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477A" w14:textId="3FEF3A06" w:rsidR="00A802EF" w:rsidRDefault="00A802EF" w:rsidP="00A802EF">
      <w:pPr>
        <w:pStyle w:val="Title1"/>
        <w:spacing w:before="480"/>
        <w:rPr>
          <w:lang w:eastAsia="zh-CN"/>
        </w:rPr>
      </w:pPr>
      <w:r>
        <w:t>QUESTION ITU-R 215-4/5</w:t>
      </w:r>
      <w:r w:rsidR="005D3509" w:rsidRPr="005D3509">
        <w:rPr>
          <w:rStyle w:val="FootnoteReference"/>
        </w:rPr>
        <w:footnoteReference w:customMarkFollows="1" w:id="1"/>
        <w:sym w:font="Symbol" w:char="F02A"/>
      </w:r>
    </w:p>
    <w:p w14:paraId="12911985" w14:textId="5D148849" w:rsidR="00A802EF" w:rsidRDefault="00A802EF" w:rsidP="00A802EF">
      <w:pPr>
        <w:pStyle w:val="Questiontitle"/>
      </w:pPr>
      <w:r>
        <w:t>Frequency bands, technical characteristics, and operational requirements for fixed wireless access</w:t>
      </w:r>
      <w:r w:rsidR="005D3509">
        <w:t xml:space="preserve"> </w:t>
      </w:r>
      <w:r w:rsidR="005D3509" w:rsidRPr="005D3509">
        <w:rPr>
          <w:rStyle w:val="FootnoteReference"/>
        </w:rPr>
        <w:footnoteReference w:customMarkFollows="1" w:id="2"/>
        <w:sym w:font="Symbol" w:char="F02A"/>
      </w:r>
      <w:r w:rsidR="005D3509" w:rsidRPr="005D3509">
        <w:rPr>
          <w:rStyle w:val="FootnoteReference"/>
        </w:rPr>
        <w:sym w:font="Symbol" w:char="F02A"/>
      </w:r>
      <w:r>
        <w:t>systems in the fixed and/or land mobile services</w:t>
      </w:r>
    </w:p>
    <w:p w14:paraId="638CC314" w14:textId="77777777" w:rsidR="00A802EF" w:rsidRDefault="00A802EF" w:rsidP="00A802EF">
      <w:pPr>
        <w:pStyle w:val="Questiondate"/>
        <w:spacing w:before="240"/>
      </w:pPr>
      <w:r>
        <w:t>(1997-2000-2007-2009-2012)</w:t>
      </w:r>
    </w:p>
    <w:p w14:paraId="2A24C636" w14:textId="77777777" w:rsidR="00A802EF" w:rsidRDefault="00A802EF" w:rsidP="00A802EF">
      <w:pPr>
        <w:pStyle w:val="Normalaftertitle0"/>
      </w:pPr>
      <w:r>
        <w:t>The ITU Radiocommunication Assembly,</w:t>
      </w:r>
    </w:p>
    <w:p w14:paraId="5FD4C754" w14:textId="77777777" w:rsidR="00A802EF" w:rsidRDefault="00A802EF" w:rsidP="00A802EF">
      <w:pPr>
        <w:pStyle w:val="Call"/>
      </w:pPr>
      <w:r>
        <w:t>considering</w:t>
      </w:r>
    </w:p>
    <w:p w14:paraId="00EFC6D3" w14:textId="77777777" w:rsidR="00A802EF" w:rsidRDefault="00A802EF" w:rsidP="00A802EF">
      <w:r>
        <w:rPr>
          <w:i/>
          <w:iCs/>
        </w:rPr>
        <w:t>a)</w:t>
      </w:r>
      <w:r>
        <w:tab/>
        <w:t>the potential of wireless access to enhance the availability of basic communication services in many countries, particularly developing countries;</w:t>
      </w:r>
    </w:p>
    <w:p w14:paraId="09AB2FF2" w14:textId="77777777" w:rsidR="00A802EF" w:rsidRDefault="00A802EF" w:rsidP="00A802EF">
      <w:r>
        <w:rPr>
          <w:i/>
          <w:iCs/>
        </w:rPr>
        <w:t>b)</w:t>
      </w:r>
      <w:r>
        <w:tab/>
        <w:t>that there is a need for efficient use of the radio-frequency spectrum;</w:t>
      </w:r>
    </w:p>
    <w:p w14:paraId="075B1F99" w14:textId="452F9B47" w:rsidR="00A802EF" w:rsidRDefault="00A802EF" w:rsidP="00A802EF">
      <w:r>
        <w:rPr>
          <w:i/>
          <w:iCs/>
        </w:rPr>
        <w:t>c)</w:t>
      </w:r>
      <w:r>
        <w:tab/>
        <w:t>that wireless access has potential for greater economic and socio-economic benefits than other access media to telecommunication networks (e.g., PSTN);</w:t>
      </w:r>
    </w:p>
    <w:p w14:paraId="4DD7F6E7" w14:textId="77777777" w:rsidR="00A802EF" w:rsidRDefault="00A802EF" w:rsidP="00A802EF">
      <w:r>
        <w:rPr>
          <w:i/>
          <w:iCs/>
        </w:rPr>
        <w:t>d)</w:t>
      </w:r>
      <w:r>
        <w:tab/>
        <w:t>that wireless access technologies allow fast and economic deployment of telecommunication facilities;</w:t>
      </w:r>
    </w:p>
    <w:p w14:paraId="7127D498" w14:textId="77777777" w:rsidR="00A802EF" w:rsidRDefault="00A802EF" w:rsidP="00A802EF">
      <w:r>
        <w:rPr>
          <w:i/>
          <w:iCs/>
        </w:rPr>
        <w:t>e)</w:t>
      </w:r>
      <w:r>
        <w:tab/>
        <w:t>that enhanced competition in the provision of services is desirable;</w:t>
      </w:r>
    </w:p>
    <w:p w14:paraId="2013B71E" w14:textId="77777777" w:rsidR="00A802EF" w:rsidRDefault="00A802EF" w:rsidP="00A802EF">
      <w:r>
        <w:rPr>
          <w:i/>
          <w:iCs/>
        </w:rPr>
        <w:t>f)</w:t>
      </w:r>
      <w:r>
        <w:tab/>
        <w:t>that fixed wireless access systems may be implemented in frequency bands used by both the fixed and mobile services;</w:t>
      </w:r>
    </w:p>
    <w:p w14:paraId="2F64C2F4" w14:textId="77777777" w:rsidR="00A802EF" w:rsidRDefault="00A802EF" w:rsidP="00A802EF">
      <w:r>
        <w:rPr>
          <w:i/>
          <w:iCs/>
        </w:rPr>
        <w:t>g)</w:t>
      </w:r>
      <w:r>
        <w:tab/>
        <w:t>that a number of ITU-R Recommendations exist on various aspects of fixed wireless access, for example Recommendations ITU-R F.755, ITU-R F.757, ITU-R F.1399, ITU-R F.1400, ITU-R F.1401, ITU-R F.149</w:t>
      </w:r>
      <w:r>
        <w:rPr>
          <w:lang w:eastAsia="ja-JP"/>
        </w:rPr>
        <w:t xml:space="preserve">0, </w:t>
      </w:r>
      <w:r>
        <w:t>ITU-R F.1499, ITU-R F.1402, ITU-R M.687, ITU-R M.819, ITU</w:t>
      </w:r>
      <w:r>
        <w:noBreakHyphen/>
        <w:t>R M.1033, ITU-R M.1073, and ITU-R M.1801 as well as a Handbook on Land Mobile (including Wireless Access);</w:t>
      </w:r>
    </w:p>
    <w:p w14:paraId="4797E84D" w14:textId="77777777" w:rsidR="00A802EF" w:rsidRDefault="00A802EF" w:rsidP="00A802EF">
      <w:r>
        <w:rPr>
          <w:i/>
          <w:iCs/>
        </w:rPr>
        <w:t>h)</w:t>
      </w:r>
      <w:r>
        <w:tab/>
        <w:t>that different wireless access technologies are suitable for different environments;</w:t>
      </w:r>
    </w:p>
    <w:p w14:paraId="29B7ADC3" w14:textId="77777777" w:rsidR="00A802EF" w:rsidRDefault="00A802EF" w:rsidP="00A802EF">
      <w:r>
        <w:rPr>
          <w:i/>
          <w:iCs/>
        </w:rPr>
        <w:t>i)</w:t>
      </w:r>
      <w:r>
        <w:tab/>
        <w:t>that the ongoing studies of IMT in the ITU have highlighted fixed wireless access as an important application;</w:t>
      </w:r>
    </w:p>
    <w:p w14:paraId="0691D8E0" w14:textId="77777777" w:rsidR="00A802EF" w:rsidRDefault="00A802EF" w:rsidP="00A802EF">
      <w:r>
        <w:rPr>
          <w:i/>
          <w:iCs/>
        </w:rPr>
        <w:t>j)</w:t>
      </w:r>
      <w:r>
        <w:tab/>
        <w:t>that the availability and possible adaptation of mobile technologies for fixed wireless access applications may be advantageous;</w:t>
      </w:r>
    </w:p>
    <w:p w14:paraId="2439C458" w14:textId="77777777" w:rsidR="00A802EF" w:rsidRDefault="00A802EF" w:rsidP="00A802EF">
      <w:r>
        <w:rPr>
          <w:i/>
          <w:iCs/>
        </w:rPr>
        <w:t>k)</w:t>
      </w:r>
      <w:r>
        <w:tab/>
        <w:t>that spectrum sharing between fixed and mobile wireless access applications may improve the spectrum utilization;</w:t>
      </w:r>
    </w:p>
    <w:p w14:paraId="572E3BEF" w14:textId="77777777" w:rsidR="00A802EF" w:rsidRDefault="00A802EF" w:rsidP="00A802EF">
      <w:r>
        <w:rPr>
          <w:i/>
          <w:iCs/>
        </w:rPr>
        <w:t>l)</w:t>
      </w:r>
      <w:r>
        <w:tab/>
        <w:t>that there is a need to consider:</w:t>
      </w:r>
    </w:p>
    <w:p w14:paraId="23BE231B" w14:textId="77777777" w:rsidR="00A802EF" w:rsidRDefault="00A802EF" w:rsidP="00A802EF">
      <w:pPr>
        <w:pStyle w:val="enumlev1"/>
      </w:pPr>
      <w:r>
        <w:t>–</w:t>
      </w:r>
      <w:r>
        <w:tab/>
        <w:t>both fixed and mobile wireless access services in conjunction with each other; and</w:t>
      </w:r>
    </w:p>
    <w:p w14:paraId="50559022" w14:textId="77777777" w:rsidR="00A802EF" w:rsidRDefault="00A802EF" w:rsidP="00A802EF">
      <w:pPr>
        <w:pStyle w:val="enumlev1"/>
      </w:pPr>
      <w:r>
        <w:t>–</w:t>
      </w:r>
      <w:r>
        <w:tab/>
        <w:t>the cost-benefits of integration of both types of services;</w:t>
      </w:r>
    </w:p>
    <w:p w14:paraId="7D875392" w14:textId="77777777" w:rsidR="00A802EF" w:rsidRDefault="00A802EF" w:rsidP="00A802EF">
      <w:r>
        <w:rPr>
          <w:i/>
          <w:iCs/>
        </w:rPr>
        <w:t>m)</w:t>
      </w:r>
      <w:r>
        <w:tab/>
        <w:t>that different fixed wireless access environments may require different frequency bands;</w:t>
      </w:r>
    </w:p>
    <w:p w14:paraId="4B9E0578" w14:textId="74B4D3F8" w:rsidR="00A802EF" w:rsidRDefault="00A802EF" w:rsidP="00A802EF">
      <w:r>
        <w:rPr>
          <w:i/>
          <w:iCs/>
        </w:rPr>
        <w:lastRenderedPageBreak/>
        <w:t>n)</w:t>
      </w:r>
      <w:r>
        <w:tab/>
        <w:t xml:space="preserve">that broadband wireless access, including wireless access to Internet Protocol (IP) core networks is a category of fixed wireless access that </w:t>
      </w:r>
      <w:r w:rsidR="00CF648D">
        <w:t xml:space="preserve">continues to be </w:t>
      </w:r>
      <w:r>
        <w:t>important,</w:t>
      </w:r>
    </w:p>
    <w:p w14:paraId="0844A922" w14:textId="77777777" w:rsidR="00A802EF" w:rsidRDefault="00A802EF" w:rsidP="00A802EF">
      <w:pPr>
        <w:pStyle w:val="Call"/>
        <w:rPr>
          <w:i w:val="0"/>
          <w:iCs/>
        </w:rPr>
      </w:pPr>
      <w:r>
        <w:t>decides</w:t>
      </w:r>
      <w:r>
        <w:rPr>
          <w:i w:val="0"/>
          <w:iCs/>
        </w:rPr>
        <w:t xml:space="preserve"> that the following Questions should be studied</w:t>
      </w:r>
    </w:p>
    <w:p w14:paraId="4D193D57" w14:textId="77777777" w:rsidR="00A802EF" w:rsidRDefault="00A802EF" w:rsidP="00A802EF">
      <w:r>
        <w:rPr>
          <w:bCs/>
        </w:rPr>
        <w:t>1</w:t>
      </w:r>
      <w:r>
        <w:tab/>
        <w:t>What are the frequency bands suitable for fixed wireless access systems within the terrestrial fixed and/or mobile frequency allocations?</w:t>
      </w:r>
    </w:p>
    <w:p w14:paraId="5C531117" w14:textId="77777777" w:rsidR="00A802EF" w:rsidRDefault="00A802EF" w:rsidP="00A802EF">
      <w:r>
        <w:rPr>
          <w:bCs/>
        </w:rPr>
        <w:t>2</w:t>
      </w:r>
      <w:r>
        <w:tab/>
        <w:t>What are the frequency bands that might allow compatible operation between wireless access systems and systems of existing radio services within the terrestrial fixed and/or mobile frequency allocations?</w:t>
      </w:r>
    </w:p>
    <w:p w14:paraId="79C37B11" w14:textId="77777777" w:rsidR="00A802EF" w:rsidRDefault="00A802EF" w:rsidP="00A802EF">
      <w:r>
        <w:rPr>
          <w:bCs/>
        </w:rPr>
        <w:t>3</w:t>
      </w:r>
      <w:r>
        <w:tab/>
        <w:t>What are the characteristics and operational requirements of fixed wireless access systems?</w:t>
      </w:r>
    </w:p>
    <w:p w14:paraId="5B55219A" w14:textId="77777777" w:rsidR="00A802EF" w:rsidRDefault="00A802EF" w:rsidP="00A802EF">
      <w:r>
        <w:rPr>
          <w:bCs/>
        </w:rPr>
        <w:t>4</w:t>
      </w:r>
      <w:r>
        <w:tab/>
        <w:t>What are the overall RF and IF bandwidth requirements for fixed wireless access systems within the terrestrial fixed and/or mobile frequency allocations?</w:t>
      </w:r>
    </w:p>
    <w:p w14:paraId="6BF6F679" w14:textId="77777777" w:rsidR="00A802EF" w:rsidRDefault="00A802EF" w:rsidP="00A802EF">
      <w:r>
        <w:rPr>
          <w:bCs/>
        </w:rPr>
        <w:t>5</w:t>
      </w:r>
      <w:r>
        <w:tab/>
        <w:t>What are the spectrum sharing criteria for:</w:t>
      </w:r>
    </w:p>
    <w:p w14:paraId="7C5A5E83" w14:textId="77777777" w:rsidR="00A802EF" w:rsidRDefault="00A802EF" w:rsidP="00A802EF">
      <w:pPr>
        <w:pStyle w:val="enumlev1"/>
      </w:pPr>
      <w:r>
        <w:t>–</w:t>
      </w:r>
      <w:r>
        <w:tab/>
        <w:t>wireless access systems and systems supporting other radio services?</w:t>
      </w:r>
    </w:p>
    <w:p w14:paraId="31E8D0C9" w14:textId="77777777" w:rsidR="00A802EF" w:rsidRDefault="00A802EF" w:rsidP="00A802EF">
      <w:pPr>
        <w:pStyle w:val="enumlev1"/>
      </w:pPr>
      <w:r>
        <w:t>–</w:t>
      </w:r>
      <w:r>
        <w:tab/>
        <w:t>wireless access systems using different technologies?</w:t>
      </w:r>
    </w:p>
    <w:p w14:paraId="4B9E78F9" w14:textId="77777777" w:rsidR="00A802EF" w:rsidRDefault="00A802EF" w:rsidP="00A802EF">
      <w:r>
        <w:rPr>
          <w:bCs/>
        </w:rPr>
        <w:t>6</w:t>
      </w:r>
      <w:r>
        <w:tab/>
        <w:t>What are the technologies suitable for wireless access?</w:t>
      </w:r>
    </w:p>
    <w:p w14:paraId="1993CD03" w14:textId="77777777" w:rsidR="00A802EF" w:rsidRDefault="00A802EF" w:rsidP="00A802EF">
      <w:r>
        <w:rPr>
          <w:bCs/>
        </w:rPr>
        <w:t>7</w:t>
      </w:r>
      <w:r>
        <w:tab/>
        <w:t>What techniques need to be considered for fixed wireless access operation to enhance spectrum sharing?</w:t>
      </w:r>
    </w:p>
    <w:p w14:paraId="562CBCC9" w14:textId="31B59DEA" w:rsidR="00A802EF" w:rsidRDefault="00A802EF" w:rsidP="00A802EF">
      <w:r>
        <w:rPr>
          <w:bCs/>
        </w:rPr>
        <w:t>8</w:t>
      </w:r>
      <w:r>
        <w:tab/>
        <w:t>What are the interface requirements between wireless access systems and the switched network (e.g., PSTN)?</w:t>
      </w:r>
    </w:p>
    <w:p w14:paraId="0D535CEA" w14:textId="77777777" w:rsidR="00A802EF" w:rsidRDefault="00A802EF" w:rsidP="00A802EF">
      <w:r>
        <w:rPr>
          <w:bCs/>
        </w:rPr>
        <w:t>9</w:t>
      </w:r>
      <w:r>
        <w:tab/>
        <w:t>What additional vocabulary should be used with fixed wireless access systems?</w:t>
      </w:r>
    </w:p>
    <w:p w14:paraId="52203414" w14:textId="77777777" w:rsidR="00A802EF" w:rsidRDefault="00A802EF" w:rsidP="00A802EF">
      <w:pPr>
        <w:pStyle w:val="Call"/>
      </w:pPr>
      <w:r>
        <w:t>further decides</w:t>
      </w:r>
    </w:p>
    <w:p w14:paraId="387AD083" w14:textId="77777777" w:rsidR="00A802EF" w:rsidRDefault="00A802EF" w:rsidP="00A802EF">
      <w:r>
        <w:rPr>
          <w:bCs/>
        </w:rPr>
        <w:t>1</w:t>
      </w:r>
      <w:r>
        <w:tab/>
        <w:t>that the results of the above studies should be included in one or more Recommendations, Reports or Handbooks;</w:t>
      </w:r>
    </w:p>
    <w:p w14:paraId="5A9E04FC" w14:textId="303BDCA9" w:rsidR="00A802EF" w:rsidRDefault="00A802EF" w:rsidP="00A802EF">
      <w:r>
        <w:rPr>
          <w:bCs/>
        </w:rPr>
        <w:t>2</w:t>
      </w:r>
      <w:r>
        <w:tab/>
        <w:t>that the above studies should be completed by 20</w:t>
      </w:r>
      <w:r w:rsidR="005F711C">
        <w:t>2</w:t>
      </w:r>
      <w:r w:rsidR="0006554E">
        <w:t>7</w:t>
      </w:r>
      <w:r>
        <w:t>.</w:t>
      </w:r>
    </w:p>
    <w:p w14:paraId="7B3217C0" w14:textId="77777777" w:rsidR="00A802EF" w:rsidRDefault="00A802EF" w:rsidP="00A802EF">
      <w:pPr>
        <w:spacing w:before="240"/>
      </w:pPr>
      <w:r>
        <w:rPr>
          <w:lang w:eastAsia="ja-JP"/>
        </w:rPr>
        <w:t>Category:  S2</w:t>
      </w:r>
    </w:p>
    <w:sectPr w:rsidR="00A802EF" w:rsidSect="002F667E">
      <w:headerReference w:type="defaul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48FC" w14:textId="77777777" w:rsidR="00CD3A82" w:rsidRDefault="00CD3A82">
      <w:r>
        <w:separator/>
      </w:r>
    </w:p>
  </w:endnote>
  <w:endnote w:type="continuationSeparator" w:id="0">
    <w:p w14:paraId="17CA3ECA" w14:textId="77777777" w:rsidR="00CD3A82" w:rsidRDefault="00C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29A5" w14:textId="77777777" w:rsidR="00CD3A82" w:rsidRDefault="00CD3A82">
      <w:r>
        <w:t>____________________</w:t>
      </w:r>
    </w:p>
  </w:footnote>
  <w:footnote w:type="continuationSeparator" w:id="0">
    <w:p w14:paraId="6CAF6BA3" w14:textId="77777777" w:rsidR="00CD3A82" w:rsidRDefault="00CD3A82">
      <w:r>
        <w:continuationSeparator/>
      </w:r>
    </w:p>
  </w:footnote>
  <w:footnote w:id="1">
    <w:p w14:paraId="5791C953" w14:textId="559A5079" w:rsidR="005D3509" w:rsidRPr="005D3509" w:rsidRDefault="005D3509">
      <w:pPr>
        <w:pStyle w:val="FootnoteText"/>
        <w:rPr>
          <w:lang w:val="en-US"/>
        </w:rPr>
      </w:pPr>
      <w:r w:rsidRPr="005D3509">
        <w:rPr>
          <w:rStyle w:val="FootnoteReference"/>
        </w:rPr>
        <w:sym w:font="Symbol" w:char="F02A"/>
      </w:r>
      <w:r>
        <w:tab/>
      </w:r>
      <w:r>
        <w:rPr>
          <w:rFonts w:eastAsia="Arial Unicode MS"/>
        </w:rPr>
        <w:t xml:space="preserve">In the year 2019, Radiocommunication Study Group 5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  <w:footnote w:id="2">
    <w:p w14:paraId="77BD465D" w14:textId="72947938" w:rsidR="005D3509" w:rsidRPr="005D3509" w:rsidRDefault="005D3509">
      <w:pPr>
        <w:pStyle w:val="FootnoteText"/>
        <w:rPr>
          <w:lang w:val="en-US"/>
        </w:rPr>
      </w:pPr>
      <w:r w:rsidRPr="005D3509">
        <w:rPr>
          <w:rStyle w:val="FootnoteReference"/>
        </w:rPr>
        <w:sym w:font="Symbol" w:char="F02A"/>
      </w:r>
      <w:r w:rsidRPr="005D3509">
        <w:rPr>
          <w:rStyle w:val="FootnoteReference"/>
        </w:rPr>
        <w:sym w:font="Symbol" w:char="F02A"/>
      </w:r>
      <w:r>
        <w:t xml:space="preserve"> </w:t>
      </w:r>
      <w:r>
        <w:rPr>
          <w:lang w:val="en-US"/>
        </w:rPr>
        <w:t>“</w:t>
      </w:r>
      <w:r>
        <w:rPr>
          <w:szCs w:val="22"/>
        </w:rPr>
        <w:t>Fixed wireless access” is defined in Recommendation ITU-R F.1399.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02B8" w14:textId="77777777" w:rsidR="0071274D" w:rsidRPr="00802F19" w:rsidRDefault="0071274D" w:rsidP="00330567">
    <w:pPr>
      <w:pStyle w:val="Header"/>
      <w:rPr>
        <w:rStyle w:val="PageNumber"/>
        <w:lang w:val="pt-BR"/>
      </w:rPr>
    </w:pPr>
    <w:r w:rsidRPr="00802F19">
      <w:rPr>
        <w:lang w:val="pt-BR"/>
      </w:rPr>
      <w:t xml:space="preserve">- </w:t>
    </w:r>
    <w:r>
      <w:rPr>
        <w:rStyle w:val="PageNumber"/>
      </w:rPr>
      <w:fldChar w:fldCharType="begin"/>
    </w:r>
    <w:r w:rsidRPr="00802F19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C84271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  <w:r w:rsidRPr="00802F19">
      <w:rPr>
        <w:rStyle w:val="PageNumber"/>
        <w:lang w:val="pt-B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269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D26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CA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48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2A2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4CA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A9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60B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4C9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9CF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C0553"/>
    <w:multiLevelType w:val="hybridMultilevel"/>
    <w:tmpl w:val="7D164AE8"/>
    <w:lvl w:ilvl="0" w:tplc="6F1A998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5035950">
    <w:abstractNumId w:val="10"/>
  </w:num>
  <w:num w:numId="2" w16cid:durableId="152572333">
    <w:abstractNumId w:val="9"/>
  </w:num>
  <w:num w:numId="3" w16cid:durableId="1537279432">
    <w:abstractNumId w:val="7"/>
  </w:num>
  <w:num w:numId="4" w16cid:durableId="1540509711">
    <w:abstractNumId w:val="6"/>
  </w:num>
  <w:num w:numId="5" w16cid:durableId="1287546914">
    <w:abstractNumId w:val="5"/>
  </w:num>
  <w:num w:numId="6" w16cid:durableId="229318212">
    <w:abstractNumId w:val="4"/>
  </w:num>
  <w:num w:numId="7" w16cid:durableId="1503935046">
    <w:abstractNumId w:val="8"/>
  </w:num>
  <w:num w:numId="8" w16cid:durableId="175387048">
    <w:abstractNumId w:val="3"/>
  </w:num>
  <w:num w:numId="9" w16cid:durableId="594363770">
    <w:abstractNumId w:val="2"/>
  </w:num>
  <w:num w:numId="10" w16cid:durableId="1388063428">
    <w:abstractNumId w:val="1"/>
  </w:num>
  <w:num w:numId="11" w16cid:durableId="8022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A2"/>
    <w:rsid w:val="000069D4"/>
    <w:rsid w:val="000174AD"/>
    <w:rsid w:val="0006554E"/>
    <w:rsid w:val="000A7D55"/>
    <w:rsid w:val="000B2827"/>
    <w:rsid w:val="000C2E8E"/>
    <w:rsid w:val="000D53E2"/>
    <w:rsid w:val="000E0E7C"/>
    <w:rsid w:val="000F1B4B"/>
    <w:rsid w:val="0012744F"/>
    <w:rsid w:val="001279F0"/>
    <w:rsid w:val="00156F66"/>
    <w:rsid w:val="00163271"/>
    <w:rsid w:val="00182528"/>
    <w:rsid w:val="0018500B"/>
    <w:rsid w:val="00196A19"/>
    <w:rsid w:val="001A203E"/>
    <w:rsid w:val="001C48A2"/>
    <w:rsid w:val="001E52D7"/>
    <w:rsid w:val="00202DC1"/>
    <w:rsid w:val="002116EE"/>
    <w:rsid w:val="002309D8"/>
    <w:rsid w:val="00236078"/>
    <w:rsid w:val="0025530D"/>
    <w:rsid w:val="00261739"/>
    <w:rsid w:val="002916C9"/>
    <w:rsid w:val="002927F9"/>
    <w:rsid w:val="002A7DFB"/>
    <w:rsid w:val="002A7FE2"/>
    <w:rsid w:val="002E1B4F"/>
    <w:rsid w:val="002F2E67"/>
    <w:rsid w:val="002F667E"/>
    <w:rsid w:val="002F7CB3"/>
    <w:rsid w:val="00315546"/>
    <w:rsid w:val="00330567"/>
    <w:rsid w:val="00386A9D"/>
    <w:rsid w:val="00391081"/>
    <w:rsid w:val="003A04D7"/>
    <w:rsid w:val="003B2789"/>
    <w:rsid w:val="003C13CE"/>
    <w:rsid w:val="003E2518"/>
    <w:rsid w:val="003E7CEF"/>
    <w:rsid w:val="00400EDC"/>
    <w:rsid w:val="00413041"/>
    <w:rsid w:val="004252C1"/>
    <w:rsid w:val="00464312"/>
    <w:rsid w:val="004B1EF7"/>
    <w:rsid w:val="004B3FAD"/>
    <w:rsid w:val="004B6956"/>
    <w:rsid w:val="00501DCA"/>
    <w:rsid w:val="00513A47"/>
    <w:rsid w:val="005408DF"/>
    <w:rsid w:val="00554EFE"/>
    <w:rsid w:val="00573344"/>
    <w:rsid w:val="00583F9B"/>
    <w:rsid w:val="00584E94"/>
    <w:rsid w:val="005D3509"/>
    <w:rsid w:val="005E3495"/>
    <w:rsid w:val="005E5C10"/>
    <w:rsid w:val="005E6A69"/>
    <w:rsid w:val="005F2C78"/>
    <w:rsid w:val="005F711C"/>
    <w:rsid w:val="006144E4"/>
    <w:rsid w:val="00650299"/>
    <w:rsid w:val="00655FC5"/>
    <w:rsid w:val="00660564"/>
    <w:rsid w:val="0071274D"/>
    <w:rsid w:val="00731C0A"/>
    <w:rsid w:val="00733272"/>
    <w:rsid w:val="007474F1"/>
    <w:rsid w:val="00753276"/>
    <w:rsid w:val="00763D33"/>
    <w:rsid w:val="00776B91"/>
    <w:rsid w:val="007D2E85"/>
    <w:rsid w:val="00802F19"/>
    <w:rsid w:val="00814E0A"/>
    <w:rsid w:val="00815083"/>
    <w:rsid w:val="00820E10"/>
    <w:rsid w:val="00822581"/>
    <w:rsid w:val="008309DD"/>
    <w:rsid w:val="0083227A"/>
    <w:rsid w:val="00840345"/>
    <w:rsid w:val="00853F8B"/>
    <w:rsid w:val="00866900"/>
    <w:rsid w:val="00881BA1"/>
    <w:rsid w:val="008C26B8"/>
    <w:rsid w:val="008C2C4A"/>
    <w:rsid w:val="008F208F"/>
    <w:rsid w:val="00904B51"/>
    <w:rsid w:val="00947355"/>
    <w:rsid w:val="0098033C"/>
    <w:rsid w:val="00982084"/>
    <w:rsid w:val="00995963"/>
    <w:rsid w:val="009A6539"/>
    <w:rsid w:val="009B61EB"/>
    <w:rsid w:val="009C1647"/>
    <w:rsid w:val="009C2064"/>
    <w:rsid w:val="009C660A"/>
    <w:rsid w:val="009D01E6"/>
    <w:rsid w:val="009D1697"/>
    <w:rsid w:val="00A014F8"/>
    <w:rsid w:val="00A0615E"/>
    <w:rsid w:val="00A5173C"/>
    <w:rsid w:val="00A61AEF"/>
    <w:rsid w:val="00A75C12"/>
    <w:rsid w:val="00A802EF"/>
    <w:rsid w:val="00AD2345"/>
    <w:rsid w:val="00AD5047"/>
    <w:rsid w:val="00AF173A"/>
    <w:rsid w:val="00B066A4"/>
    <w:rsid w:val="00B07A13"/>
    <w:rsid w:val="00B173BE"/>
    <w:rsid w:val="00B240F2"/>
    <w:rsid w:val="00B4279B"/>
    <w:rsid w:val="00B45FC9"/>
    <w:rsid w:val="00B516C7"/>
    <w:rsid w:val="00B670B9"/>
    <w:rsid w:val="00B81138"/>
    <w:rsid w:val="00BC3831"/>
    <w:rsid w:val="00BC7CCF"/>
    <w:rsid w:val="00BE0E00"/>
    <w:rsid w:val="00BE470B"/>
    <w:rsid w:val="00BE4A66"/>
    <w:rsid w:val="00C35AAD"/>
    <w:rsid w:val="00C57A91"/>
    <w:rsid w:val="00C84271"/>
    <w:rsid w:val="00CC01C2"/>
    <w:rsid w:val="00CD3A82"/>
    <w:rsid w:val="00CD4800"/>
    <w:rsid w:val="00CF21F2"/>
    <w:rsid w:val="00CF648D"/>
    <w:rsid w:val="00D02712"/>
    <w:rsid w:val="00D214D0"/>
    <w:rsid w:val="00D6546B"/>
    <w:rsid w:val="00D83A07"/>
    <w:rsid w:val="00DD4BED"/>
    <w:rsid w:val="00DE39F0"/>
    <w:rsid w:val="00DF0AF3"/>
    <w:rsid w:val="00DF7E9F"/>
    <w:rsid w:val="00E064F2"/>
    <w:rsid w:val="00E27D7E"/>
    <w:rsid w:val="00E42E13"/>
    <w:rsid w:val="00E479C1"/>
    <w:rsid w:val="00E55121"/>
    <w:rsid w:val="00E55FEA"/>
    <w:rsid w:val="00E56D5C"/>
    <w:rsid w:val="00E6257C"/>
    <w:rsid w:val="00E63C59"/>
    <w:rsid w:val="00EB357C"/>
    <w:rsid w:val="00EC6530"/>
    <w:rsid w:val="00EF2B8F"/>
    <w:rsid w:val="00FA124A"/>
    <w:rsid w:val="00FA56B0"/>
    <w:rsid w:val="00FC08DD"/>
    <w:rsid w:val="00FC2316"/>
    <w:rsid w:val="00FC2CFD"/>
    <w:rsid w:val="00FE0752"/>
    <w:rsid w:val="00FF0B09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F491285"/>
  <w15:docId w15:val="{6C1C2DA8-6146-41D5-A4AB-EC8649E3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uiPriority w:val="99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1C48A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1C48A2"/>
    <w:pPr>
      <w:ind w:leftChars="400" w:left="840"/>
    </w:pPr>
    <w:rPr>
      <w:rFonts w:eastAsia="MS Mincho"/>
    </w:rPr>
  </w:style>
  <w:style w:type="character" w:styleId="Hyperlink">
    <w:name w:val="Hyperlink"/>
    <w:basedOn w:val="DefaultParagraphFont"/>
    <w:rsid w:val="001C48A2"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uiPriority w:val="99"/>
    <w:rsid w:val="001C48A2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1C48A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1C48A2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1C48A2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rsid w:val="00B173BE"/>
  </w:style>
  <w:style w:type="table" w:styleId="TableGrid">
    <w:name w:val="Table Grid"/>
    <w:basedOn w:val="TableNormal"/>
    <w:rsid w:val="0080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2927F9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2927F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MS Mincho"/>
      <w:i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802E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B49D913639488838AFE94CC05B8A" ma:contentTypeVersion="3" ma:contentTypeDescription="Create a new document." ma:contentTypeScope="" ma:versionID="ee2b2f7259af8e4a1194658662fcc12b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WP 5A</Sour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2118-D76E-4286-AED8-26E4C2319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3733A-9897-49F4-BD80-70504F242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39F6D-20A7-4F79-8F68-6F733AD64F59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a029cd6-340b-4c4d-a48a-2df986580122"/>
    <ds:schemaRef ds:uri="4c6a61cb-1973-4fc6-92ae-f4d7a4471404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0D23B70-5E18-4D18-9B58-6B11CE68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10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draft revisions of Questions</vt:lpstr>
    </vt:vector>
  </TitlesOfParts>
  <Company>ITU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draft revisions of Questions</dc:title>
  <dc:subject/>
  <dc:creator>ITU</dc:creator>
  <cp:lastModifiedBy>Author</cp:lastModifiedBy>
  <cp:revision>7</cp:revision>
  <cp:lastPrinted>2015-07-24T12:36:00Z</cp:lastPrinted>
  <dcterms:created xsi:type="dcterms:W3CDTF">2015-08-11T13:38:00Z</dcterms:created>
  <dcterms:modified xsi:type="dcterms:W3CDTF">2023-11-01T16:08:00Z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0x01010040EEB49D913639488838AFE94CC05B8A</vt:lpwstr>
  </property>
</Properties>
</file>