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78" w:rsidRPr="00C05A83" w:rsidRDefault="00144678" w:rsidP="00D75DE0">
      <w:pPr>
        <w:pStyle w:val="QuestionNoBR"/>
        <w:rPr>
          <w:lang w:val="fr-CH"/>
        </w:rPr>
      </w:pPr>
      <w:r w:rsidRPr="00C05A83">
        <w:rPr>
          <w:lang w:val="fr-CH"/>
        </w:rPr>
        <w:t xml:space="preserve">QUESTION </w:t>
      </w:r>
      <w:proofErr w:type="spellStart"/>
      <w:r w:rsidRPr="00C05A83">
        <w:rPr>
          <w:lang w:val="fr-CH"/>
        </w:rPr>
        <w:t>UIT</w:t>
      </w:r>
      <w:proofErr w:type="spellEnd"/>
      <w:r w:rsidRPr="00C05A83">
        <w:rPr>
          <w:lang w:val="fr-CH"/>
        </w:rPr>
        <w:t>-R 209-</w:t>
      </w:r>
      <w:r w:rsidR="00D75DE0">
        <w:rPr>
          <w:lang w:val="fr-CH"/>
        </w:rPr>
        <w:t>4</w:t>
      </w:r>
      <w:r w:rsidRPr="00C05A83">
        <w:rPr>
          <w:lang w:val="fr-CH"/>
        </w:rPr>
        <w:t>/5</w:t>
      </w:r>
      <w:r w:rsidRPr="00C05A83">
        <w:rPr>
          <w:rStyle w:val="FootnoteReference"/>
          <w:lang w:val="fr-CH"/>
        </w:rPr>
        <w:footnoteReference w:customMarkFollows="1" w:id="1"/>
        <w:t>*</w:t>
      </w:r>
    </w:p>
    <w:p w:rsidR="00144678" w:rsidRPr="00C05A83" w:rsidRDefault="00144678" w:rsidP="00144678">
      <w:pPr>
        <w:pStyle w:val="Questiontitle"/>
        <w:rPr>
          <w:lang w:val="fr-CH"/>
        </w:rPr>
      </w:pPr>
      <w:r w:rsidRPr="00C05A83">
        <w:rPr>
          <w:lang w:val="fr-CH"/>
        </w:rPr>
        <w:t>Utilisation des services mobile, d'ama</w:t>
      </w:r>
      <w:r w:rsidR="00D75DE0">
        <w:rPr>
          <w:lang w:val="fr-CH"/>
        </w:rPr>
        <w:t>teur et d'amateur par satellite</w:t>
      </w:r>
      <w:r w:rsidR="00D75DE0">
        <w:rPr>
          <w:lang w:val="fr-CH"/>
        </w:rPr>
        <w:br/>
      </w:r>
      <w:r w:rsidRPr="00C05A83">
        <w:rPr>
          <w:lang w:val="fr-CH"/>
        </w:rPr>
        <w:t>pour les radiocommunications en cas de catastrophe</w:t>
      </w:r>
    </w:p>
    <w:p w:rsidR="00144678" w:rsidRPr="00554555" w:rsidRDefault="00144678" w:rsidP="00D75DE0">
      <w:pPr>
        <w:pStyle w:val="Questiondate"/>
        <w:spacing w:before="240"/>
        <w:rPr>
          <w:i/>
          <w:iCs/>
          <w:lang w:val="fr-CH"/>
        </w:rPr>
      </w:pPr>
      <w:r w:rsidRPr="00554555">
        <w:rPr>
          <w:iCs/>
          <w:lang w:val="fr-CH"/>
        </w:rPr>
        <w:t>(1995-1998-2006-2007</w:t>
      </w:r>
      <w:r w:rsidR="00D75DE0">
        <w:rPr>
          <w:iCs/>
          <w:lang w:val="fr-CH"/>
        </w:rPr>
        <w:t>-2012</w:t>
      </w:r>
      <w:r w:rsidRPr="00554555">
        <w:rPr>
          <w:iCs/>
          <w:lang w:val="fr-CH"/>
        </w:rPr>
        <w:t>)</w:t>
      </w:r>
    </w:p>
    <w:p w:rsidR="00144678" w:rsidRPr="00C05A83" w:rsidRDefault="00144678" w:rsidP="00144678">
      <w:pPr>
        <w:rPr>
          <w:lang w:val="fr-CH"/>
        </w:rPr>
      </w:pPr>
      <w:r w:rsidRPr="00C05A83">
        <w:rPr>
          <w:lang w:val="fr-CH"/>
        </w:rPr>
        <w:t>L'Assemblée des radiocommunications de l'UIT,</w:t>
      </w:r>
    </w:p>
    <w:p w:rsidR="00144678" w:rsidRPr="00C05A83" w:rsidRDefault="00144678" w:rsidP="00144678">
      <w:pPr>
        <w:pStyle w:val="Call"/>
        <w:rPr>
          <w:lang w:val="fr-CH"/>
        </w:rPr>
      </w:pPr>
      <w:proofErr w:type="gramStart"/>
      <w:r w:rsidRPr="00C05A83">
        <w:rPr>
          <w:lang w:val="fr-CH"/>
        </w:rPr>
        <w:t>considérant</w:t>
      </w:r>
      <w:proofErr w:type="gramEnd"/>
    </w:p>
    <w:p w:rsidR="00144678" w:rsidRPr="00C05A83" w:rsidRDefault="00144678" w:rsidP="00144678">
      <w:pPr>
        <w:rPr>
          <w:lang w:val="fr-CH"/>
        </w:rPr>
      </w:pPr>
      <w:r w:rsidRPr="00D75DE0">
        <w:rPr>
          <w:i/>
          <w:iCs/>
          <w:lang w:val="fr-CH"/>
        </w:rPr>
        <w:t>a)</w:t>
      </w:r>
      <w:r w:rsidRPr="00C05A83">
        <w:rPr>
          <w:lang w:val="fr-CH"/>
        </w:rPr>
        <w:tab/>
        <w:t>les dispositions de la Résolution 36 (</w:t>
      </w:r>
      <w:proofErr w:type="spellStart"/>
      <w:r w:rsidRPr="00C05A83">
        <w:rPr>
          <w:lang w:val="fr-CH"/>
        </w:rPr>
        <w:t>Rév.</w:t>
      </w:r>
      <w:r w:rsidRPr="00C05A83">
        <w:rPr>
          <w:caps/>
          <w:lang w:val="fr-CH"/>
        </w:rPr>
        <w:t>G</w:t>
      </w:r>
      <w:r w:rsidRPr="00C05A83">
        <w:rPr>
          <w:lang w:val="fr-CH"/>
        </w:rPr>
        <w:t>uadalajara</w:t>
      </w:r>
      <w:proofErr w:type="spellEnd"/>
      <w:r w:rsidRPr="00C05A83">
        <w:rPr>
          <w:lang w:val="fr-CH"/>
        </w:rPr>
        <w:t>, 2010) et de la Résolution 136 (</w:t>
      </w:r>
      <w:proofErr w:type="spellStart"/>
      <w:r w:rsidRPr="00C05A83">
        <w:rPr>
          <w:lang w:val="fr-CH"/>
        </w:rPr>
        <w:t>Rév.</w:t>
      </w:r>
      <w:r w:rsidRPr="00C05A83">
        <w:rPr>
          <w:caps/>
          <w:lang w:val="fr-CH"/>
        </w:rPr>
        <w:t>G</w:t>
      </w:r>
      <w:r w:rsidRPr="00C05A83">
        <w:rPr>
          <w:lang w:val="fr-CH"/>
        </w:rPr>
        <w:t>uadalajara</w:t>
      </w:r>
      <w:proofErr w:type="spellEnd"/>
      <w:r w:rsidRPr="00C05A83">
        <w:rPr>
          <w:lang w:val="fr-CH"/>
        </w:rPr>
        <w:t>, 2010) de la Conférence de plénipotentiaires;</w:t>
      </w:r>
    </w:p>
    <w:p w:rsidR="00144678" w:rsidRPr="00C05A83" w:rsidRDefault="00144678" w:rsidP="00144678">
      <w:pPr>
        <w:rPr>
          <w:lang w:val="fr-CH"/>
        </w:rPr>
      </w:pPr>
      <w:r w:rsidRPr="00D75DE0">
        <w:rPr>
          <w:i/>
          <w:iCs/>
          <w:lang w:val="fr-CH"/>
        </w:rPr>
        <w:t>b)</w:t>
      </w:r>
      <w:r w:rsidRPr="00C05A83">
        <w:rPr>
          <w:lang w:val="fr-CH"/>
        </w:rPr>
        <w:tab/>
        <w:t>les dispositions de la Résolution 43 (</w:t>
      </w:r>
      <w:proofErr w:type="spellStart"/>
      <w:r w:rsidRPr="00C05A83">
        <w:rPr>
          <w:lang w:val="fr-CH"/>
        </w:rPr>
        <w:t>Rév.Hyderabad</w:t>
      </w:r>
      <w:proofErr w:type="spellEnd"/>
      <w:r w:rsidRPr="00C05A83">
        <w:rPr>
          <w:lang w:val="fr-CH"/>
        </w:rPr>
        <w:t>, 2010) par laquelle le Directeur du BDT est chargé, en collaboration étroite avec le Directeur du BR, de continuer d'encourager et d'aider les pays en développement à mettre en œuvre des systèmes IMT et de fournir une assistance aux administrations pour l'utilisation et l'interprétation des Recommandations de l'UIT relatives aux IMT-2000 et aux systèmes postérieurs aux IMT;</w:t>
      </w:r>
    </w:p>
    <w:p w:rsidR="00144678" w:rsidRPr="00C05A83" w:rsidRDefault="00144678" w:rsidP="00144678">
      <w:pPr>
        <w:rPr>
          <w:lang w:val="fr-CH"/>
        </w:rPr>
      </w:pPr>
      <w:r w:rsidRPr="00D75DE0">
        <w:rPr>
          <w:i/>
          <w:iCs/>
          <w:lang w:val="fr-CH"/>
        </w:rPr>
        <w:t>c)</w:t>
      </w:r>
      <w:r w:rsidRPr="00C05A83">
        <w:rPr>
          <w:lang w:val="fr-CH"/>
        </w:rPr>
        <w:tab/>
        <w:t>les dispositions de la Résolution 644 (Rév.CMR-</w:t>
      </w:r>
      <w:r>
        <w:rPr>
          <w:lang w:val="fr-CH"/>
        </w:rPr>
        <w:t>0</w:t>
      </w:r>
      <w:r w:rsidRPr="00C05A83">
        <w:rPr>
          <w:lang w:val="fr-CH"/>
        </w:rPr>
        <w:t>7) relative aux moyens de radiocommunication pour l'alerte avancée, l'atténuation des effets des catastrophes et les opérations de secours et les dispositions de la Résolution 647 (CMR-07) sur les lignes directrices relatives à la gestion du spectre pour les radiocommunications d'urgence et les radiocommunications en cas de catastrophe;</w:t>
      </w:r>
    </w:p>
    <w:p w:rsidR="00144678" w:rsidRPr="00C05A83" w:rsidRDefault="00144678" w:rsidP="00144678">
      <w:pPr>
        <w:rPr>
          <w:lang w:val="fr-CH"/>
        </w:rPr>
      </w:pPr>
      <w:r w:rsidRPr="00D75DE0">
        <w:rPr>
          <w:i/>
          <w:iCs/>
          <w:lang w:val="fr-CH"/>
        </w:rPr>
        <w:t>d)</w:t>
      </w:r>
      <w:r w:rsidRPr="00C05A83">
        <w:rPr>
          <w:lang w:val="fr-CH"/>
        </w:rPr>
        <w:tab/>
        <w:t>que la Convention de Tampere sur la mise à disposition de ressources de télécommunication pour</w:t>
      </w:r>
      <w:r>
        <w:rPr>
          <w:lang w:val="fr-CH"/>
        </w:rPr>
        <w:t> </w:t>
      </w:r>
      <w:r w:rsidRPr="00C05A83">
        <w:rPr>
          <w:lang w:val="fr-CH"/>
        </w:rPr>
        <w:t>l'atténuation des effets des catastrophes et les opérations de secours, adoptée par la Conférence intergouvernementale sur les télécommunications d'urgence (ICET-98), est entrée en vigueur le</w:t>
      </w:r>
      <w:r>
        <w:rPr>
          <w:lang w:val="fr-CH"/>
        </w:rPr>
        <w:t> </w:t>
      </w:r>
      <w:r w:rsidRPr="00C05A83">
        <w:rPr>
          <w:lang w:val="fr-CH"/>
        </w:rPr>
        <w:t>8</w:t>
      </w:r>
      <w:r>
        <w:rPr>
          <w:lang w:val="fr-CH"/>
        </w:rPr>
        <w:t> </w:t>
      </w:r>
      <w:r w:rsidRPr="00C05A83">
        <w:rPr>
          <w:lang w:val="fr-CH"/>
        </w:rPr>
        <w:t>janvier</w:t>
      </w:r>
      <w:r>
        <w:rPr>
          <w:lang w:val="fr-CH"/>
        </w:rPr>
        <w:t> </w:t>
      </w:r>
      <w:r w:rsidRPr="00C05A83">
        <w:rPr>
          <w:lang w:val="fr-CH"/>
        </w:rPr>
        <w:t>2005,</w:t>
      </w:r>
    </w:p>
    <w:p w:rsidR="00144678" w:rsidRPr="00D75DE0" w:rsidRDefault="00144678" w:rsidP="00D75DE0">
      <w:pPr>
        <w:pStyle w:val="Call"/>
      </w:pPr>
      <w:proofErr w:type="gramStart"/>
      <w:r w:rsidRPr="00D75DE0">
        <w:t>reconnaissant</w:t>
      </w:r>
      <w:proofErr w:type="gramEnd"/>
    </w:p>
    <w:p w:rsidR="00144678" w:rsidRPr="0050626B" w:rsidRDefault="00144678" w:rsidP="00144678">
      <w:pPr>
        <w:rPr>
          <w:lang w:val="fr-CH"/>
        </w:rPr>
      </w:pPr>
      <w:r w:rsidRPr="00D75DE0">
        <w:rPr>
          <w:i/>
          <w:iCs/>
          <w:lang w:val="fr-CH"/>
        </w:rPr>
        <w:t>a)</w:t>
      </w:r>
      <w:r w:rsidRPr="0050626B">
        <w:rPr>
          <w:lang w:val="fr-CH"/>
        </w:rPr>
        <w:tab/>
      </w:r>
      <w:r w:rsidRPr="00C05A83">
        <w:rPr>
          <w:lang w:val="fr-CH"/>
        </w:rPr>
        <w:t xml:space="preserve">que, </w:t>
      </w:r>
      <w:r w:rsidRPr="0050626B">
        <w:rPr>
          <w:lang w:val="fr-CH"/>
        </w:rPr>
        <w:t>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144678" w:rsidRPr="0050626B" w:rsidRDefault="00144678" w:rsidP="00144678">
      <w:pPr>
        <w:rPr>
          <w:lang w:val="fr-CH"/>
        </w:rPr>
      </w:pPr>
      <w:r w:rsidRPr="00D75DE0">
        <w:rPr>
          <w:i/>
          <w:iCs/>
          <w:lang w:val="fr-CH"/>
        </w:rPr>
        <w:t>b)</w:t>
      </w:r>
      <w:r w:rsidRPr="0050626B">
        <w:rPr>
          <w:lang w:val="fr-CH"/>
        </w:rPr>
        <w:tab/>
        <w:t>que, pendant une catastrophe, si la plupart des réseaux de Terre sont détruits ou endommagés, d'autres réseaux des services d'amateur et d'amateur par satellite peuvent être disponibles pour assurer des communications de base sur place;</w:t>
      </w:r>
    </w:p>
    <w:p w:rsidR="00144678" w:rsidRPr="0050626B" w:rsidRDefault="00144678" w:rsidP="00144678">
      <w:pPr>
        <w:rPr>
          <w:lang w:val="fr-CH"/>
        </w:rPr>
      </w:pPr>
      <w:r w:rsidRPr="00D75DE0">
        <w:rPr>
          <w:i/>
          <w:iCs/>
          <w:lang w:val="fr-CH"/>
        </w:rPr>
        <w:t>c)</w:t>
      </w:r>
      <w:r w:rsidRPr="0050626B">
        <w:rPr>
          <w:lang w:val="fr-CH"/>
        </w:rPr>
        <w:tab/>
        <w:t>qu'une caractéristique importante des services d'amateur est qu'ils ont des stations réparties dans le monde entier avec des opérateurs qualifiés capables de reconfigurer les réseaux pour répondre aux besoins spécifiques d'une situation d'urgence</w:t>
      </w:r>
      <w:r w:rsidRPr="00C05A83">
        <w:rPr>
          <w:lang w:val="fr-CH"/>
        </w:rPr>
        <w:t>,</w:t>
      </w:r>
    </w:p>
    <w:p w:rsidR="00144678" w:rsidRPr="00C05A83" w:rsidRDefault="00144678" w:rsidP="00144678">
      <w:pPr>
        <w:pStyle w:val="Call"/>
        <w:rPr>
          <w:lang w:val="fr-CH"/>
        </w:rPr>
      </w:pPr>
      <w:proofErr w:type="gramStart"/>
      <w:r w:rsidRPr="00C05A83">
        <w:rPr>
          <w:lang w:val="fr-CH"/>
        </w:rPr>
        <w:lastRenderedPageBreak/>
        <w:t>décide</w:t>
      </w:r>
      <w:proofErr w:type="gramEnd"/>
      <w:r w:rsidRPr="00C05A83">
        <w:rPr>
          <w:lang w:val="fr-CH"/>
        </w:rPr>
        <w:t xml:space="preserve"> </w:t>
      </w:r>
      <w:r w:rsidRPr="00C05A83">
        <w:rPr>
          <w:i w:val="0"/>
          <w:lang w:val="fr-CH"/>
        </w:rPr>
        <w:t>de mettre à l'étude les Questions suivantes</w:t>
      </w:r>
    </w:p>
    <w:p w:rsidR="00144678" w:rsidRPr="00C05A83" w:rsidRDefault="00144678" w:rsidP="00144678">
      <w:pPr>
        <w:rPr>
          <w:b/>
          <w:lang w:val="fr-CH"/>
        </w:rPr>
      </w:pPr>
      <w:r w:rsidRPr="00D75DE0">
        <w:rPr>
          <w:lang w:val="fr-CH"/>
        </w:rPr>
        <w:t>1</w:t>
      </w:r>
      <w:r w:rsidRPr="00C05A83">
        <w:rPr>
          <w:b/>
          <w:lang w:val="fr-CH"/>
        </w:rPr>
        <w:tab/>
      </w:r>
      <w:r w:rsidRPr="00C05A83">
        <w:rPr>
          <w:lang w:val="fr-CH"/>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144678" w:rsidRPr="00C05A83" w:rsidRDefault="00144678" w:rsidP="00144678">
      <w:pPr>
        <w:rPr>
          <w:lang w:val="fr-CH"/>
        </w:rPr>
      </w:pPr>
      <w:r w:rsidRPr="00D75DE0">
        <w:rPr>
          <w:lang w:val="fr-CH"/>
        </w:rPr>
        <w:t>2</w:t>
      </w:r>
      <w:r w:rsidRPr="00C05A83">
        <w:rPr>
          <w:b/>
          <w:lang w:val="fr-CH"/>
        </w:rPr>
        <w:tab/>
      </w:r>
      <w:r w:rsidRPr="00C05A83">
        <w:rPr>
          <w:lang w:val="fr-CH"/>
        </w:rPr>
        <w:t>Quelles informations relatives aux dispositions ci-dessus devraient être portées à la connaissance d'une future Conférence mondiale des radiocommunications compétente?</w:t>
      </w:r>
    </w:p>
    <w:p w:rsidR="00144678" w:rsidRPr="00C05A83" w:rsidRDefault="00144678" w:rsidP="00144678">
      <w:pPr>
        <w:pStyle w:val="Call"/>
        <w:rPr>
          <w:lang w:val="fr-CH"/>
        </w:rPr>
      </w:pPr>
      <w:proofErr w:type="gramStart"/>
      <w:r w:rsidRPr="00C05A83">
        <w:rPr>
          <w:lang w:val="fr-CH"/>
        </w:rPr>
        <w:t>décide</w:t>
      </w:r>
      <w:proofErr w:type="gramEnd"/>
      <w:r w:rsidRPr="00C05A83">
        <w:rPr>
          <w:lang w:val="fr-CH"/>
        </w:rPr>
        <w:t xml:space="preserve"> en outre</w:t>
      </w:r>
    </w:p>
    <w:p w:rsidR="00144678" w:rsidRPr="00C05A83" w:rsidRDefault="00144678" w:rsidP="00144678">
      <w:pPr>
        <w:ind w:right="-142"/>
        <w:rPr>
          <w:lang w:val="fr-CH"/>
        </w:rPr>
      </w:pPr>
      <w:r w:rsidRPr="00D75DE0">
        <w:rPr>
          <w:lang w:val="fr-CH"/>
        </w:rPr>
        <w:t>1</w:t>
      </w:r>
      <w:r w:rsidRPr="00C05A83">
        <w:rPr>
          <w:lang w:val="fr-CH"/>
        </w:rPr>
        <w:tab/>
        <w:t>que les résultats de ces études devraient être inclus dans une ou plusieurs Recommandations ou un ou plusieurs Rapports ou Manuels;</w:t>
      </w:r>
    </w:p>
    <w:p w:rsidR="00144678" w:rsidRPr="00C05A83" w:rsidRDefault="00144678" w:rsidP="00144678">
      <w:pPr>
        <w:ind w:left="567" w:hanging="567"/>
        <w:rPr>
          <w:lang w:val="fr-CH"/>
        </w:rPr>
      </w:pPr>
      <w:r w:rsidRPr="00D75DE0">
        <w:rPr>
          <w:lang w:val="fr-CH"/>
        </w:rPr>
        <w:t>2</w:t>
      </w:r>
      <w:r w:rsidRPr="00C05A83">
        <w:rPr>
          <w:lang w:val="fr-CH"/>
        </w:rPr>
        <w:tab/>
      </w:r>
      <w:r w:rsidRPr="00C05A83">
        <w:rPr>
          <w:lang w:val="fr-CH"/>
        </w:rPr>
        <w:tab/>
        <w:t>que ces études devraient être achevées d'ici à 2015;</w:t>
      </w:r>
    </w:p>
    <w:p w:rsidR="00144678" w:rsidRPr="00C05A83" w:rsidRDefault="00144678" w:rsidP="00144678">
      <w:pPr>
        <w:rPr>
          <w:lang w:val="fr-CH"/>
        </w:rPr>
      </w:pPr>
      <w:r w:rsidRPr="00D75DE0">
        <w:rPr>
          <w:lang w:val="fr-CH"/>
        </w:rPr>
        <w:t>3</w:t>
      </w:r>
      <w:r w:rsidRPr="00C05A83">
        <w:rPr>
          <w:lang w:val="fr-CH"/>
        </w:rPr>
        <w:tab/>
        <w:t>que les études demandées devraient être réalisées en coordination avec les deux autres Secteurs.</w:t>
      </w:r>
    </w:p>
    <w:p w:rsidR="00144678" w:rsidRPr="00C05A83" w:rsidRDefault="00144678" w:rsidP="00D75DE0">
      <w:pPr>
        <w:spacing w:before="240"/>
        <w:rPr>
          <w:lang w:val="fr-CH"/>
        </w:rPr>
      </w:pPr>
      <w:r w:rsidRPr="00C05A83">
        <w:rPr>
          <w:lang w:val="fr-CH"/>
        </w:rPr>
        <w:t>Catégorie</w:t>
      </w:r>
      <w:proofErr w:type="gramStart"/>
      <w:r w:rsidRPr="00C05A83">
        <w:rPr>
          <w:lang w:val="fr-CH"/>
        </w:rPr>
        <w:t xml:space="preserve">: </w:t>
      </w:r>
      <w:r>
        <w:rPr>
          <w:lang w:val="fr-CH"/>
        </w:rPr>
        <w:t xml:space="preserve"> </w:t>
      </w:r>
      <w:r w:rsidRPr="00C05A83">
        <w:rPr>
          <w:lang w:val="fr-CH"/>
        </w:rPr>
        <w:t>S2</w:t>
      </w:r>
      <w:proofErr w:type="gramEnd"/>
    </w:p>
    <w:p w:rsidR="00144678" w:rsidRPr="00C05A83" w:rsidRDefault="00144678" w:rsidP="0050626B">
      <w:pPr>
        <w:rPr>
          <w:lang w:val="fr-CH"/>
        </w:rPr>
      </w:pPr>
      <w:bookmarkStart w:id="0" w:name="_GoBack"/>
      <w:bookmarkEnd w:id="0"/>
    </w:p>
    <w:sectPr w:rsidR="00144678" w:rsidRPr="00C05A83" w:rsidSect="0023788E">
      <w:headerReference w:type="default" r:id="rId9"/>
      <w:footerReference w:type="even" r:id="rId10"/>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CD" w:rsidRDefault="003D20CD">
      <w:r>
        <w:separator/>
      </w:r>
    </w:p>
  </w:endnote>
  <w:endnote w:type="continuationSeparator" w:id="0">
    <w:p w:rsidR="003D20CD" w:rsidRDefault="003D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Default="001C3429">
    <w:pPr>
      <w:rPr>
        <w:lang w:val="en-US"/>
      </w:rPr>
    </w:pPr>
    <w:r>
      <w:fldChar w:fldCharType="begin"/>
    </w:r>
    <w:r>
      <w:instrText xml:space="preserve"> FILENAME \p \* MERGEFORMAT </w:instrText>
    </w:r>
    <w:r>
      <w:fldChar w:fldCharType="separate"/>
    </w:r>
    <w:r w:rsidR="00873A36" w:rsidRPr="00873A36">
      <w:rPr>
        <w:noProof/>
        <w:lang w:val="en-US"/>
      </w:rPr>
      <w:t>Y</w:t>
    </w:r>
    <w:r w:rsidR="00873A36">
      <w:rPr>
        <w:noProof/>
      </w:rPr>
      <w:t>:\APP\BR\CIRCS_DMS\CACE\500\568\568f.docx</w:t>
    </w:r>
    <w:r>
      <w:rPr>
        <w:noProof/>
      </w:rPr>
      <w:fldChar w:fldCharType="end"/>
    </w:r>
    <w:r w:rsidR="003D20CD">
      <w:rPr>
        <w:lang w:val="en-US"/>
      </w:rPr>
      <w:tab/>
    </w:r>
    <w:r w:rsidR="003D20CD">
      <w:fldChar w:fldCharType="begin"/>
    </w:r>
    <w:r w:rsidR="003D20CD">
      <w:instrText xml:space="preserve"> savedate \@ dd.MM.yy </w:instrText>
    </w:r>
    <w:r w:rsidR="003D20CD">
      <w:fldChar w:fldCharType="separate"/>
    </w:r>
    <w:r w:rsidR="00F53EF0">
      <w:rPr>
        <w:noProof/>
      </w:rPr>
      <w:t>03.04.12</w:t>
    </w:r>
    <w:r w:rsidR="003D20CD">
      <w:fldChar w:fldCharType="end"/>
    </w:r>
    <w:r w:rsidR="003D20CD">
      <w:rPr>
        <w:lang w:val="en-US"/>
      </w:rPr>
      <w:tab/>
    </w:r>
    <w:r w:rsidR="003D20CD">
      <w:fldChar w:fldCharType="begin"/>
    </w:r>
    <w:r w:rsidR="003D20CD">
      <w:instrText xml:space="preserve"> printdate \@ dd.MM.yy </w:instrText>
    </w:r>
    <w:r w:rsidR="003D20CD">
      <w:fldChar w:fldCharType="separate"/>
    </w:r>
    <w:r w:rsidR="00873A36">
      <w:rPr>
        <w:noProof/>
      </w:rPr>
      <w:t>02.04.12</w:t>
    </w:r>
    <w:r w:rsidR="003D20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CD" w:rsidRDefault="003D20CD">
      <w:r>
        <w:t>____________________</w:t>
      </w:r>
    </w:p>
  </w:footnote>
  <w:footnote w:type="continuationSeparator" w:id="0">
    <w:p w:rsidR="003D20CD" w:rsidRDefault="003D20CD">
      <w:r>
        <w:continuationSeparator/>
      </w:r>
    </w:p>
  </w:footnote>
  <w:footnote w:id="1">
    <w:p w:rsidR="003D20CD" w:rsidRPr="00C05A83" w:rsidRDefault="003D20CD" w:rsidP="00D75DE0">
      <w:pPr>
        <w:pStyle w:val="FootnoteText"/>
        <w:ind w:left="0" w:right="-142" w:firstLine="0"/>
        <w:rPr>
          <w:szCs w:val="22"/>
          <w:lang w:val="fr-CH"/>
        </w:rPr>
      </w:pPr>
      <w:r w:rsidRPr="00C05A83">
        <w:rPr>
          <w:rStyle w:val="FootnoteReference"/>
          <w:szCs w:val="22"/>
          <w:lang w:val="fr-CH"/>
        </w:rPr>
        <w:t>*</w:t>
      </w:r>
      <w:r w:rsidRPr="00C05A83">
        <w:rPr>
          <w:szCs w:val="22"/>
          <w:lang w:val="fr-CH"/>
        </w:rPr>
        <w:tab/>
        <w:t>Cette Question doit être portée à l'attention de la Commission d'études 4 des ra</w:t>
      </w:r>
      <w:r>
        <w:rPr>
          <w:szCs w:val="22"/>
          <w:lang w:val="fr-CH"/>
        </w:rPr>
        <w:t>diocommunications (Question UIT-</w:t>
      </w:r>
      <w:r w:rsidRPr="00C05A83">
        <w:rPr>
          <w:szCs w:val="22"/>
          <w:lang w:val="fr-CH"/>
        </w:rPr>
        <w:t>R 286/4). Les résultats de ces études devraient être portés à l'attention des Commissions d'études 2, 13 et 17 de l'UIT</w:t>
      </w:r>
      <w:r w:rsidRPr="00C05A83">
        <w:rPr>
          <w:szCs w:val="22"/>
          <w:lang w:val="fr-CH"/>
        </w:rPr>
        <w:noBreakHyphen/>
        <w:t>T et de la Commission d'études 2 de l'UIT-D.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Default="003D20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C3429">
      <w:rPr>
        <w:rStyle w:val="PageNumber"/>
        <w:noProof/>
      </w:rPr>
      <w:t>2</w:t>
    </w:r>
    <w:r>
      <w:rPr>
        <w:rStyle w:val="PageNumber"/>
      </w:rPr>
      <w:fldChar w:fldCharType="end"/>
    </w:r>
    <w:r>
      <w:rPr>
        <w:rStyle w:val="PageNumber"/>
      </w:rPr>
      <w:t xml:space="preserve"> -</w:t>
    </w:r>
  </w:p>
  <w:p w:rsidR="003D20CD" w:rsidRPr="008C5D1D" w:rsidRDefault="003D20C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2060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883A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8636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36AB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3048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640CB"/>
    <w:multiLevelType w:val="multilevel"/>
    <w:tmpl w:val="2CC266C6"/>
    <w:lvl w:ilvl="0">
      <w:start w:val="1"/>
      <w:numFmt w:val="decimal"/>
      <w:pStyle w:val="CEOindent-123"/>
      <w:lvlText w:val="%1."/>
      <w:lvlJc w:val="left"/>
      <w:pPr>
        <w:tabs>
          <w:tab w:val="num" w:pos="360"/>
        </w:tabs>
        <w:ind w:left="360" w:hanging="360"/>
      </w:pPr>
      <w:rPr>
        <w:rFonts w:hint="default"/>
        <w:b w:val="0"/>
        <w:i w:val="0"/>
        <w:sz w:val="20"/>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A354537"/>
    <w:multiLevelType w:val="hybridMultilevel"/>
    <w:tmpl w:val="D85E4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00638"/>
    <w:multiLevelType w:val="hybridMultilevel"/>
    <w:tmpl w:val="3D6E3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nsid w:val="2713306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A9B2E80"/>
    <w:multiLevelType w:val="hybridMultilevel"/>
    <w:tmpl w:val="EC8A2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23">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DD837A2"/>
    <w:multiLevelType w:val="hybridMultilevel"/>
    <w:tmpl w:val="E220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C5D56"/>
    <w:multiLevelType w:val="hybridMultilevel"/>
    <w:tmpl w:val="52421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nsid w:val="47E5652C"/>
    <w:multiLevelType w:val="hybridMultilevel"/>
    <w:tmpl w:val="2F368E1E"/>
    <w:lvl w:ilvl="0" w:tplc="7754445E">
      <w:start w:val="2"/>
      <w:numFmt w:val="bullet"/>
      <w:pStyle w:val="Heading1"/>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4EA422B9"/>
    <w:multiLevelType w:val="hybridMultilevel"/>
    <w:tmpl w:val="57FA8EE2"/>
    <w:lvl w:ilvl="0" w:tplc="E934F12E">
      <w:start w:val="1"/>
      <w:numFmt w:val="bullet"/>
      <w:pStyle w:val="CEOTitleII-2li"/>
      <w:lvlText w:val="—"/>
      <w:lvlJc w:val="left"/>
      <w:pPr>
        <w:tabs>
          <w:tab w:val="num" w:pos="1637"/>
        </w:tabs>
        <w:ind w:left="1637" w:hanging="360"/>
      </w:pPr>
      <w:rPr>
        <w:rFonts w:ascii="Verdana" w:hAnsi="Verdana" w:hint="default"/>
        <w:color w:val="auto"/>
      </w:rPr>
    </w:lvl>
    <w:lvl w:ilvl="1" w:tplc="04090003" w:tentative="1">
      <w:start w:val="1"/>
      <w:numFmt w:val="bullet"/>
      <w:lvlText w:val="o"/>
      <w:lvlJc w:val="left"/>
      <w:pPr>
        <w:tabs>
          <w:tab w:val="num" w:pos="-535"/>
        </w:tabs>
        <w:ind w:left="-535" w:hanging="360"/>
      </w:pPr>
      <w:rPr>
        <w:rFonts w:ascii="Courier New" w:hAnsi="Courier New" w:cs="Courier New" w:hint="default"/>
      </w:rPr>
    </w:lvl>
    <w:lvl w:ilvl="2" w:tplc="04090005" w:tentative="1">
      <w:start w:val="1"/>
      <w:numFmt w:val="bullet"/>
      <w:lvlText w:val=""/>
      <w:lvlJc w:val="left"/>
      <w:pPr>
        <w:tabs>
          <w:tab w:val="num" w:pos="185"/>
        </w:tabs>
        <w:ind w:left="185" w:hanging="360"/>
      </w:pPr>
      <w:rPr>
        <w:rFonts w:ascii="Wingdings" w:hAnsi="Wingdings" w:hint="default"/>
      </w:rPr>
    </w:lvl>
    <w:lvl w:ilvl="3" w:tplc="04090001" w:tentative="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2">
    <w:nsid w:val="57D261FC"/>
    <w:multiLevelType w:val="hybridMultilevel"/>
    <w:tmpl w:val="685860F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35">
    <w:nsid w:val="5EF35D75"/>
    <w:multiLevelType w:val="hybridMultilevel"/>
    <w:tmpl w:val="35B242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69190E"/>
    <w:multiLevelType w:val="hybridMultilevel"/>
    <w:tmpl w:val="B8C4C44C"/>
    <w:lvl w:ilvl="0" w:tplc="0A6E6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5C4409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abstractNumId w:val="30"/>
  </w:num>
  <w:num w:numId="2">
    <w:abstractNumId w:val="37"/>
  </w:num>
  <w:num w:numId="3">
    <w:abstractNumId w:val="28"/>
  </w:num>
  <w:num w:numId="4">
    <w:abstractNumId w:val="27"/>
  </w:num>
  <w:num w:numId="5">
    <w:abstractNumId w:val="29"/>
  </w:num>
  <w:num w:numId="6">
    <w:abstractNumId w:val="34"/>
  </w:num>
  <w:num w:numId="7">
    <w:abstractNumId w:val="22"/>
  </w:num>
  <w:num w:numId="8">
    <w:abstractNumId w:val="36"/>
  </w:num>
  <w:num w:numId="9">
    <w:abstractNumId w:val="11"/>
  </w:num>
  <w:num w:numId="10">
    <w:abstractNumId w:val="23"/>
  </w:num>
  <w:num w:numId="11">
    <w:abstractNumId w:val="33"/>
  </w:num>
  <w:num w:numId="12">
    <w:abstractNumId w:val="16"/>
  </w:num>
  <w:num w:numId="13">
    <w:abstractNumId w:val="24"/>
  </w:num>
  <w:num w:numId="14">
    <w:abstractNumId w:val="38"/>
  </w:num>
  <w:num w:numId="15">
    <w:abstractNumId w:val="41"/>
  </w:num>
  <w:num w:numId="16">
    <w:abstractNumId w:val="21"/>
  </w:num>
  <w:num w:numId="17">
    <w:abstractNumId w:val="18"/>
  </w:num>
  <w:num w:numId="18">
    <w:abstractNumId w:val="32"/>
  </w:num>
  <w:num w:numId="19">
    <w:abstractNumId w:val="40"/>
  </w:num>
  <w:num w:numId="20">
    <w:abstractNumId w:val="35"/>
  </w:num>
  <w:num w:numId="21">
    <w:abstractNumId w:val="25"/>
  </w:num>
  <w:num w:numId="22">
    <w:abstractNumId w:val="26"/>
  </w:num>
  <w:num w:numId="23">
    <w:abstractNumId w:val="13"/>
  </w:num>
  <w:num w:numId="24">
    <w:abstractNumId w:val="15"/>
  </w:num>
  <w:num w:numId="25">
    <w:abstractNumId w:val="20"/>
  </w:num>
  <w:num w:numId="26">
    <w:abstractNumId w:val="4"/>
  </w:num>
  <w:num w:numId="27">
    <w:abstractNumId w:val="9"/>
  </w:num>
  <w:num w:numId="28">
    <w:abstractNumId w:val="7"/>
  </w:num>
  <w:num w:numId="29">
    <w:abstractNumId w:val="6"/>
  </w:num>
  <w:num w:numId="30">
    <w:abstractNumId w:val="5"/>
  </w:num>
  <w:num w:numId="31">
    <w:abstractNumId w:val="8"/>
  </w:num>
  <w:num w:numId="32">
    <w:abstractNumId w:val="3"/>
  </w:num>
  <w:num w:numId="33">
    <w:abstractNumId w:val="2"/>
  </w:num>
  <w:num w:numId="34">
    <w:abstractNumId w:val="1"/>
  </w:num>
  <w:num w:numId="35">
    <w:abstractNumId w:val="0"/>
  </w:num>
  <w:num w:numId="36">
    <w:abstractNumId w:val="12"/>
  </w:num>
  <w:num w:numId="37">
    <w:abstractNumId w:val="10"/>
  </w:num>
  <w:num w:numId="38">
    <w:abstractNumId w:val="42"/>
  </w:num>
  <w:num w:numId="39">
    <w:abstractNumId w:val="17"/>
  </w:num>
  <w:num w:numId="40">
    <w:abstractNumId w:val="19"/>
  </w:num>
  <w:num w:numId="41">
    <w:abstractNumId w:val="31"/>
  </w:num>
  <w:num w:numId="42">
    <w:abstractNumId w:val="1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32DBA"/>
    <w:rsid w:val="00091F4A"/>
    <w:rsid w:val="000C2528"/>
    <w:rsid w:val="00117BE1"/>
    <w:rsid w:val="00120462"/>
    <w:rsid w:val="00122ADC"/>
    <w:rsid w:val="00144678"/>
    <w:rsid w:val="00146422"/>
    <w:rsid w:val="001745B0"/>
    <w:rsid w:val="00181BFF"/>
    <w:rsid w:val="001C3429"/>
    <w:rsid w:val="002147E3"/>
    <w:rsid w:val="00222EB8"/>
    <w:rsid w:val="0023788E"/>
    <w:rsid w:val="00257C31"/>
    <w:rsid w:val="00260068"/>
    <w:rsid w:val="00296148"/>
    <w:rsid w:val="002A5B0A"/>
    <w:rsid w:val="002B5499"/>
    <w:rsid w:val="002E2ACD"/>
    <w:rsid w:val="002E71D7"/>
    <w:rsid w:val="00301FE5"/>
    <w:rsid w:val="003203D8"/>
    <w:rsid w:val="003520FF"/>
    <w:rsid w:val="00384567"/>
    <w:rsid w:val="003D20CD"/>
    <w:rsid w:val="00497782"/>
    <w:rsid w:val="00497CB7"/>
    <w:rsid w:val="0050626B"/>
    <w:rsid w:val="005F46D5"/>
    <w:rsid w:val="0067138D"/>
    <w:rsid w:val="006E6786"/>
    <w:rsid w:val="007241CE"/>
    <w:rsid w:val="007633A7"/>
    <w:rsid w:val="007A3F78"/>
    <w:rsid w:val="007A5E5A"/>
    <w:rsid w:val="007C601F"/>
    <w:rsid w:val="007C62AC"/>
    <w:rsid w:val="007C6D33"/>
    <w:rsid w:val="007E10E2"/>
    <w:rsid w:val="00817A7A"/>
    <w:rsid w:val="00833B21"/>
    <w:rsid w:val="008363A1"/>
    <w:rsid w:val="00873A36"/>
    <w:rsid w:val="008B79CE"/>
    <w:rsid w:val="008C5D1D"/>
    <w:rsid w:val="0090254D"/>
    <w:rsid w:val="00926BC1"/>
    <w:rsid w:val="009A6E1C"/>
    <w:rsid w:val="009D4517"/>
    <w:rsid w:val="009D67CC"/>
    <w:rsid w:val="009E0991"/>
    <w:rsid w:val="00A10043"/>
    <w:rsid w:val="00A2257B"/>
    <w:rsid w:val="00A41118"/>
    <w:rsid w:val="00A74724"/>
    <w:rsid w:val="00A84F32"/>
    <w:rsid w:val="00A975E9"/>
    <w:rsid w:val="00B16E0E"/>
    <w:rsid w:val="00B257A5"/>
    <w:rsid w:val="00B9622E"/>
    <w:rsid w:val="00BE7401"/>
    <w:rsid w:val="00BF3EC6"/>
    <w:rsid w:val="00C741E7"/>
    <w:rsid w:val="00CB743B"/>
    <w:rsid w:val="00D14E38"/>
    <w:rsid w:val="00D174E0"/>
    <w:rsid w:val="00D539A7"/>
    <w:rsid w:val="00D75DE0"/>
    <w:rsid w:val="00D97DA8"/>
    <w:rsid w:val="00DD651E"/>
    <w:rsid w:val="00DD7C15"/>
    <w:rsid w:val="00E25073"/>
    <w:rsid w:val="00EC5784"/>
    <w:rsid w:val="00EE34D1"/>
    <w:rsid w:val="00F16B7A"/>
    <w:rsid w:val="00F17562"/>
    <w:rsid w:val="00F26DD8"/>
    <w:rsid w:val="00F447EE"/>
    <w:rsid w:val="00F53EF0"/>
    <w:rsid w:val="00F6642D"/>
    <w:rsid w:val="00FA7B4D"/>
    <w:rsid w:val="00FB1F0C"/>
    <w:rsid w:val="00FB4AA7"/>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44678"/>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44678"/>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0D84-2E70-47AC-83E7-3BED4AD8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1</TotalTime>
  <Pages>2</Pages>
  <Words>446</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3106</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mostyn</cp:lastModifiedBy>
  <cp:revision>3</cp:revision>
  <cp:lastPrinted>2012-04-02T09:09:00Z</cp:lastPrinted>
  <dcterms:created xsi:type="dcterms:W3CDTF">2012-04-03T13:00:00Z</dcterms:created>
  <dcterms:modified xsi:type="dcterms:W3CDTF">2012-04-03T13:01:00Z</dcterms:modified>
</cp:coreProperties>
</file>