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1EFF" w14:textId="77777777" w:rsidR="005E7FD2" w:rsidRDefault="005E7FD2" w:rsidP="005E7FD2">
      <w:pPr>
        <w:pStyle w:val="QuestionNoBR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87-</w:t>
      </w:r>
      <w:r>
        <w:rPr>
          <w:rFonts w:hint="eastAsia"/>
          <w:lang w:eastAsia="zh-CN"/>
        </w:rPr>
        <w:t>4</w:t>
      </w:r>
      <w:r>
        <w:rPr>
          <w:lang w:eastAsia="zh-CN"/>
        </w:rPr>
        <w:t>/4</w:t>
      </w:r>
      <w:r>
        <w:rPr>
          <w:rStyle w:val="FootnoteReference"/>
        </w:rPr>
        <w:footnoteReference w:customMarkFollows="1" w:id="1"/>
        <w:sym w:font="Symbol" w:char="F02A"/>
      </w:r>
      <w:r w:rsidRPr="00BB384C">
        <w:rPr>
          <w:vertAlign w:val="superscript"/>
          <w:lang w:eastAsia="zh-CN"/>
        </w:rPr>
        <w:t>,</w:t>
      </w:r>
      <w:r>
        <w:rPr>
          <w:rFonts w:hint="eastAsia"/>
          <w:lang w:eastAsia="zh-CN"/>
        </w:rPr>
        <w:t>号课题</w:t>
      </w:r>
    </w:p>
    <w:p w14:paraId="3937CBD8" w14:textId="77777777" w:rsidR="005E7FD2" w:rsidRDefault="005E7FD2" w:rsidP="005E7FD2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卫星移动通信系统的传输特性</w:t>
      </w:r>
    </w:p>
    <w:p w14:paraId="2C93E195" w14:textId="77777777" w:rsidR="005E7FD2" w:rsidRPr="00423464" w:rsidRDefault="005E7FD2" w:rsidP="005E7FD2">
      <w:pPr>
        <w:pStyle w:val="Questiondate"/>
        <w:rPr>
          <w:rFonts w:eastAsia="STKaiti"/>
          <w:iCs/>
          <w:lang w:eastAsia="zh-CN"/>
        </w:rPr>
      </w:pPr>
      <w:r w:rsidRPr="00423464">
        <w:rPr>
          <w:rFonts w:eastAsia="STKaiti" w:hint="eastAsia"/>
          <w:iCs/>
          <w:lang w:eastAsia="zh-CN"/>
        </w:rPr>
        <w:t>（</w:t>
      </w:r>
      <w:r w:rsidRPr="00423464">
        <w:rPr>
          <w:rFonts w:eastAsia="STKaiti"/>
          <w:iCs/>
          <w:lang w:eastAsia="zh-CN"/>
        </w:rPr>
        <w:t>1988-1990-1992-1993</w:t>
      </w:r>
      <w:r w:rsidRPr="00423464">
        <w:rPr>
          <w:rFonts w:ascii="STKaiti" w:eastAsia="STKaiti" w:hAnsi="STKaiti" w:hint="eastAsia"/>
          <w:lang w:eastAsia="zh-CN"/>
        </w:rPr>
        <w:t>-</w:t>
      </w:r>
      <w:r w:rsidRPr="00423464">
        <w:rPr>
          <w:rFonts w:eastAsia="STKaiti"/>
          <w:lang w:eastAsia="zh-CN"/>
        </w:rPr>
        <w:t>2007</w:t>
      </w:r>
      <w:r w:rsidRPr="00423464">
        <w:rPr>
          <w:rFonts w:ascii="STKaiti" w:eastAsia="STKaiti" w:hAnsi="STKaiti" w:hint="eastAsia"/>
          <w:iCs/>
          <w:lang w:eastAsia="zh-CN"/>
        </w:rPr>
        <w:t>年</w:t>
      </w:r>
      <w:r w:rsidRPr="00423464">
        <w:rPr>
          <w:rFonts w:eastAsia="STKaiti" w:hint="eastAsia"/>
          <w:iCs/>
          <w:lang w:eastAsia="zh-CN"/>
        </w:rPr>
        <w:t>）</w:t>
      </w:r>
    </w:p>
    <w:p w14:paraId="4041C8E0" w14:textId="77777777" w:rsidR="005E7FD2" w:rsidRDefault="005E7FD2" w:rsidP="005E7FD2">
      <w:pPr>
        <w:pStyle w:val="Normalaftertitle0"/>
        <w:rPr>
          <w:lang w:eastAsia="zh-CN"/>
        </w:rPr>
      </w:pPr>
      <w:r w:rsidRPr="0060732A">
        <w:rPr>
          <w:lang w:val="zh-CN" w:eastAsia="zh-CN"/>
        </w:rPr>
        <w:t>国际电联无线电通信全会</w:t>
      </w:r>
      <w:r>
        <w:rPr>
          <w:rFonts w:hint="eastAsia"/>
          <w:lang w:eastAsia="zh-CN"/>
        </w:rPr>
        <w:t>，</w:t>
      </w:r>
    </w:p>
    <w:p w14:paraId="36C4189C" w14:textId="77777777" w:rsidR="005E7FD2" w:rsidRPr="00AC4E52" w:rsidRDefault="005E7FD2" w:rsidP="005E7FD2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AC4E52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1BF0ED58" w14:textId="77777777" w:rsidR="005E7FD2" w:rsidRDefault="005E7FD2" w:rsidP="005E7FD2">
      <w:pPr>
        <w:rPr>
          <w:lang w:eastAsia="zh-CN"/>
        </w:rPr>
      </w:pPr>
      <w:r w:rsidRPr="005E7FD2">
        <w:rPr>
          <w:rFonts w:hint="eastAsia"/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 w:rsidRPr="0060732A">
        <w:rPr>
          <w:lang w:eastAsia="zh-CN"/>
        </w:rPr>
        <w:t>目前</w:t>
      </w:r>
      <w:r>
        <w:rPr>
          <w:rFonts w:hint="eastAsia"/>
          <w:lang w:eastAsia="zh-CN"/>
        </w:rPr>
        <w:t>国际</w:t>
      </w:r>
      <w:r w:rsidRPr="0060732A">
        <w:rPr>
          <w:lang w:eastAsia="zh-CN"/>
        </w:rPr>
        <w:t>海事</w:t>
      </w:r>
      <w:r>
        <w:rPr>
          <w:rFonts w:hint="eastAsia"/>
          <w:lang w:eastAsia="zh-CN"/>
        </w:rPr>
        <w:t>组织（</w:t>
      </w:r>
      <w:r w:rsidRPr="0060732A">
        <w:rPr>
          <w:lang w:eastAsia="zh-CN"/>
        </w:rPr>
        <w:t xml:space="preserve"> IMO</w:t>
      </w:r>
      <w:r>
        <w:rPr>
          <w:rFonts w:hint="eastAsia"/>
          <w:lang w:eastAsia="zh-CN"/>
        </w:rPr>
        <w:t>）在全球海上遇险和</w:t>
      </w:r>
      <w:r w:rsidRPr="0060732A">
        <w:rPr>
          <w:lang w:eastAsia="zh-CN"/>
        </w:rPr>
        <w:t>安全系统</w:t>
      </w:r>
      <w:r>
        <w:rPr>
          <w:rFonts w:hint="eastAsia"/>
          <w:lang w:eastAsia="zh-CN"/>
        </w:rPr>
        <w:t>（</w:t>
      </w:r>
      <w:r w:rsidRPr="0060732A">
        <w:rPr>
          <w:lang w:eastAsia="zh-CN"/>
        </w:rPr>
        <w:t>GMDSS</w:t>
      </w:r>
      <w:r>
        <w:rPr>
          <w:rFonts w:hint="eastAsia"/>
          <w:lang w:eastAsia="zh-CN"/>
        </w:rPr>
        <w:t>）</w:t>
      </w:r>
      <w:r w:rsidRPr="0060732A">
        <w:rPr>
          <w:lang w:eastAsia="zh-CN"/>
        </w:rPr>
        <w:t>方面仅承认一家卫星移动通信提供商（国际海事卫星组织，</w:t>
      </w:r>
      <w:r w:rsidRPr="0060732A">
        <w:rPr>
          <w:lang w:eastAsia="zh-CN"/>
        </w:rPr>
        <w:t>Inmarsat</w:t>
      </w:r>
      <w:r w:rsidRPr="0060732A">
        <w:rPr>
          <w:lang w:eastAsia="zh-CN"/>
        </w:rPr>
        <w:t>）</w:t>
      </w:r>
      <w:r>
        <w:rPr>
          <w:rFonts w:hint="eastAsia"/>
          <w:lang w:eastAsia="zh-CN"/>
        </w:rPr>
        <w:t>；</w:t>
      </w:r>
    </w:p>
    <w:p w14:paraId="04CE0630" w14:textId="77777777" w:rsidR="005E7FD2" w:rsidRDefault="005E7FD2" w:rsidP="005E7FD2">
      <w:pPr>
        <w:rPr>
          <w:lang w:eastAsia="zh-CN"/>
        </w:rPr>
      </w:pPr>
      <w:r w:rsidRPr="005E7FD2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 w:rsidRPr="0060732A">
        <w:rPr>
          <w:lang w:eastAsia="zh-CN"/>
        </w:rPr>
        <w:t>提供或计划提供国际或国内卫星移动业务的其它组织；</w:t>
      </w:r>
    </w:p>
    <w:p w14:paraId="6ED02245" w14:textId="77777777" w:rsidR="005E7FD2" w:rsidRDefault="005E7FD2" w:rsidP="005E7FD2">
      <w:pPr>
        <w:rPr>
          <w:lang w:eastAsia="zh-CN"/>
        </w:rPr>
      </w:pPr>
      <w:r w:rsidRPr="005E7FD2">
        <w:rPr>
          <w:rFonts w:hint="eastAsia"/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lang w:eastAsia="zh-CN"/>
        </w:rPr>
        <w:t>在衰落和阴影条件下的调制技术和系统应保持</w:t>
      </w:r>
      <w:r>
        <w:rPr>
          <w:rFonts w:hint="eastAsia"/>
          <w:lang w:eastAsia="zh-CN"/>
        </w:rPr>
        <w:t>稳健；</w:t>
      </w:r>
    </w:p>
    <w:p w14:paraId="41BFB22B" w14:textId="77777777" w:rsidR="005E7FD2" w:rsidRDefault="005E7FD2" w:rsidP="005E7FD2">
      <w:pPr>
        <w:rPr>
          <w:lang w:eastAsia="zh-CN"/>
        </w:rPr>
      </w:pPr>
      <w:r w:rsidRPr="005E7FD2">
        <w:rPr>
          <w:rFonts w:hint="eastAsia"/>
          <w:i/>
          <w:iCs/>
          <w:lang w:eastAsia="zh-CN"/>
        </w:rPr>
        <w:t>d)</w:t>
      </w:r>
      <w:r>
        <w:rPr>
          <w:rFonts w:hint="eastAsia"/>
          <w:lang w:eastAsia="zh-CN"/>
        </w:rPr>
        <w:tab/>
      </w:r>
      <w:r>
        <w:rPr>
          <w:lang w:eastAsia="zh-CN"/>
        </w:rPr>
        <w:t>卫星移动系统</w:t>
      </w:r>
      <w:r>
        <w:rPr>
          <w:rFonts w:hint="eastAsia"/>
          <w:lang w:eastAsia="zh-CN"/>
        </w:rPr>
        <w:t>的</w:t>
      </w:r>
      <w:r w:rsidRPr="0060732A">
        <w:rPr>
          <w:lang w:eastAsia="zh-CN"/>
        </w:rPr>
        <w:t>轨道频谱使用效</w:t>
      </w:r>
      <w:r>
        <w:rPr>
          <w:rFonts w:hint="eastAsia"/>
          <w:lang w:eastAsia="zh-CN"/>
        </w:rPr>
        <w:t>率</w:t>
      </w:r>
      <w:r>
        <w:rPr>
          <w:lang w:eastAsia="zh-CN"/>
        </w:rPr>
        <w:t>部分取决于所采用的技术特性，如调制方法与系数、频率</w:t>
      </w:r>
      <w:r>
        <w:rPr>
          <w:rFonts w:hint="eastAsia"/>
          <w:lang w:eastAsia="zh-CN"/>
        </w:rPr>
        <w:t>再</w:t>
      </w:r>
      <w:r w:rsidRPr="0060732A">
        <w:rPr>
          <w:lang w:eastAsia="zh-CN"/>
        </w:rPr>
        <w:t>使用技术的影响或射频载波的安排等</w:t>
      </w:r>
      <w:r>
        <w:rPr>
          <w:rFonts w:hint="eastAsia"/>
          <w:lang w:eastAsia="zh-CN"/>
        </w:rPr>
        <w:t>，</w:t>
      </w:r>
    </w:p>
    <w:p w14:paraId="7222F442" w14:textId="77777777" w:rsidR="005E7FD2" w:rsidRDefault="005E7FD2" w:rsidP="005E7FD2">
      <w:pPr>
        <w:pStyle w:val="call0"/>
        <w:rPr>
          <w:lang w:eastAsia="zh-CN"/>
        </w:rPr>
      </w:pPr>
      <w:r w:rsidRPr="00AC4E52">
        <w:rPr>
          <w:rFonts w:ascii="STKaiti" w:eastAsia="STKaiti" w:hAnsi="STKaiti"/>
          <w:i w:val="0"/>
          <w:iCs/>
          <w:lang w:eastAsia="zh-CN"/>
        </w:rPr>
        <w:t>做出决定</w:t>
      </w:r>
      <w:r w:rsidRPr="00AC4E52">
        <w:rPr>
          <w:i w:val="0"/>
          <w:iCs/>
          <w:lang w:eastAsia="zh-CN"/>
        </w:rPr>
        <w:t>，应研究以下课题</w:t>
      </w:r>
    </w:p>
    <w:p w14:paraId="4201839C" w14:textId="77777777" w:rsidR="005E7FD2" w:rsidRPr="0060732A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1</w:t>
      </w:r>
      <w:r>
        <w:rPr>
          <w:lang w:eastAsia="zh-CN"/>
        </w:rPr>
        <w:tab/>
      </w:r>
      <w:r w:rsidRPr="0060732A">
        <w:rPr>
          <w:lang w:eastAsia="zh-CN"/>
        </w:rPr>
        <w:t>哪些是以下系统的优选传输特性：</w:t>
      </w:r>
    </w:p>
    <w:p w14:paraId="4F22C66C" w14:textId="77777777" w:rsidR="005E7FD2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1.1</w:t>
      </w:r>
      <w:r>
        <w:rPr>
          <w:lang w:eastAsia="zh-CN"/>
        </w:rPr>
        <w:tab/>
      </w:r>
      <w:r w:rsidRPr="0060732A">
        <w:rPr>
          <w:lang w:eastAsia="zh-CN"/>
        </w:rPr>
        <w:t>卫星陆地移动系统</w:t>
      </w:r>
      <w:r>
        <w:rPr>
          <w:rFonts w:hint="eastAsia"/>
          <w:lang w:eastAsia="zh-CN"/>
        </w:rPr>
        <w:t>；</w:t>
      </w:r>
    </w:p>
    <w:p w14:paraId="0422F368" w14:textId="77777777" w:rsidR="005E7FD2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1.2</w:t>
      </w:r>
      <w:r>
        <w:rPr>
          <w:lang w:eastAsia="zh-CN"/>
        </w:rPr>
        <w:tab/>
      </w:r>
      <w:r w:rsidRPr="0060732A">
        <w:rPr>
          <w:lang w:eastAsia="zh-CN"/>
        </w:rPr>
        <w:t>卫星水上移动系统，包括</w:t>
      </w:r>
      <w:r w:rsidRPr="0060732A">
        <w:rPr>
          <w:lang w:eastAsia="zh-CN"/>
        </w:rPr>
        <w:t>GMDSS</w:t>
      </w:r>
      <w:r>
        <w:rPr>
          <w:rFonts w:hint="eastAsia"/>
          <w:lang w:eastAsia="zh-CN"/>
        </w:rPr>
        <w:t>；</w:t>
      </w:r>
    </w:p>
    <w:p w14:paraId="4BE08BE9" w14:textId="77777777" w:rsidR="005E7FD2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1.3</w:t>
      </w:r>
      <w:r>
        <w:rPr>
          <w:lang w:eastAsia="zh-CN"/>
        </w:rPr>
        <w:tab/>
      </w:r>
      <w:r w:rsidRPr="0060732A">
        <w:rPr>
          <w:lang w:eastAsia="zh-CN"/>
        </w:rPr>
        <w:t>卫星航空移动系统</w:t>
      </w:r>
      <w:r>
        <w:rPr>
          <w:rFonts w:hint="eastAsia"/>
          <w:lang w:eastAsia="zh-CN"/>
        </w:rPr>
        <w:t>；</w:t>
      </w:r>
    </w:p>
    <w:p w14:paraId="00644D27" w14:textId="77777777" w:rsidR="005E7FD2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1.4</w:t>
      </w:r>
      <w:r>
        <w:rPr>
          <w:lang w:eastAsia="zh-CN"/>
        </w:rPr>
        <w:tab/>
      </w:r>
      <w:r w:rsidRPr="0060732A">
        <w:rPr>
          <w:lang w:eastAsia="zh-CN"/>
        </w:rPr>
        <w:t>包括结合了两个或两个以上上述系统的卫星移动系统</w:t>
      </w:r>
      <w:r>
        <w:rPr>
          <w:rFonts w:hint="eastAsia"/>
          <w:lang w:eastAsia="zh-CN"/>
        </w:rPr>
        <w:t>？</w:t>
      </w:r>
    </w:p>
    <w:p w14:paraId="22F08D0A" w14:textId="77777777" w:rsidR="005E7FD2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2</w:t>
      </w:r>
      <w:r>
        <w:rPr>
          <w:lang w:eastAsia="zh-CN"/>
        </w:rPr>
        <w:tab/>
      </w:r>
      <w:r w:rsidRPr="0060732A">
        <w:rPr>
          <w:lang w:eastAsia="zh-CN"/>
        </w:rPr>
        <w:t>从技术角度而言，哪些是此类系统的优选多址联接、调制和编码方法</w:t>
      </w:r>
      <w:r>
        <w:rPr>
          <w:rFonts w:hint="eastAsia"/>
          <w:lang w:eastAsia="zh-CN"/>
        </w:rPr>
        <w:t>？</w:t>
      </w:r>
    </w:p>
    <w:p w14:paraId="015F7122" w14:textId="77777777" w:rsidR="005E7FD2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3</w:t>
      </w:r>
      <w:r>
        <w:rPr>
          <w:lang w:eastAsia="zh-CN"/>
        </w:rPr>
        <w:tab/>
      </w:r>
      <w:r w:rsidRPr="0060732A">
        <w:rPr>
          <w:lang w:eastAsia="zh-CN"/>
        </w:rPr>
        <w:t>哪些是此类系统地球站和空间站的优选性能特性？</w:t>
      </w:r>
    </w:p>
    <w:p w14:paraId="4583E591" w14:textId="77777777" w:rsidR="005E7FD2" w:rsidRDefault="005E7FD2" w:rsidP="005E7FD2">
      <w:pPr>
        <w:rPr>
          <w:lang w:eastAsia="zh-CN"/>
        </w:rPr>
      </w:pPr>
      <w:r w:rsidRPr="005E7FD2">
        <w:rPr>
          <w:bCs/>
          <w:lang w:eastAsia="zh-CN"/>
        </w:rPr>
        <w:t>4</w:t>
      </w:r>
      <w:r>
        <w:rPr>
          <w:lang w:eastAsia="zh-CN"/>
        </w:rPr>
        <w:tab/>
      </w:r>
      <w:r>
        <w:rPr>
          <w:lang w:eastAsia="zh-CN"/>
        </w:rPr>
        <w:t>为促进陆地、</w:t>
      </w:r>
      <w:r>
        <w:rPr>
          <w:rFonts w:hint="eastAsia"/>
          <w:lang w:eastAsia="zh-CN"/>
        </w:rPr>
        <w:t>海</w:t>
      </w:r>
      <w:r w:rsidRPr="0060732A">
        <w:rPr>
          <w:lang w:eastAsia="zh-CN"/>
        </w:rPr>
        <w:t>上和航空卫星移动业务</w:t>
      </w:r>
      <w:r>
        <w:rPr>
          <w:rFonts w:hint="eastAsia"/>
          <w:lang w:eastAsia="zh-CN"/>
        </w:rPr>
        <w:t>的兼容</w:t>
      </w:r>
      <w:r w:rsidRPr="0060732A">
        <w:rPr>
          <w:lang w:eastAsia="zh-CN"/>
        </w:rPr>
        <w:t>，</w:t>
      </w:r>
      <w:r>
        <w:rPr>
          <w:rFonts w:hint="eastAsia"/>
          <w:lang w:eastAsia="zh-CN"/>
        </w:rPr>
        <w:t>可考虑</w:t>
      </w:r>
      <w:r w:rsidRPr="0060732A">
        <w:rPr>
          <w:lang w:eastAsia="zh-CN"/>
        </w:rPr>
        <w:t>哪些</w:t>
      </w:r>
      <w:r>
        <w:rPr>
          <w:rFonts w:hint="eastAsia"/>
          <w:lang w:eastAsia="zh-CN"/>
        </w:rPr>
        <w:t>共同的</w:t>
      </w:r>
      <w:r w:rsidRPr="0060732A">
        <w:rPr>
          <w:lang w:eastAsia="zh-CN"/>
        </w:rPr>
        <w:t>传输特性</w:t>
      </w:r>
      <w:r>
        <w:rPr>
          <w:rFonts w:hint="eastAsia"/>
          <w:lang w:eastAsia="zh-CN"/>
        </w:rPr>
        <w:t>？</w:t>
      </w:r>
    </w:p>
    <w:p w14:paraId="700AB8B3" w14:textId="77777777" w:rsidR="005E7FD2" w:rsidRPr="00D466AE" w:rsidRDefault="005E7FD2" w:rsidP="005E7FD2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D466AE">
        <w:rPr>
          <w:rFonts w:ascii="STKaiti" w:eastAsia="STKaiti" w:hAnsi="STKaiti"/>
          <w:i w:val="0"/>
          <w:iCs/>
          <w:lang w:eastAsia="zh-CN"/>
        </w:rPr>
        <w:t>进一步做出决定</w:t>
      </w:r>
    </w:p>
    <w:p w14:paraId="665CAC34" w14:textId="77777777" w:rsidR="005E7FD2" w:rsidRDefault="005E7FD2" w:rsidP="005E7FD2">
      <w:pPr>
        <w:rPr>
          <w:lang w:eastAsia="zh-CN"/>
        </w:rPr>
      </w:pPr>
      <w:r w:rsidRPr="00DC5786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14:paraId="0C47266D" w14:textId="3E9CE38D" w:rsidR="005E7FD2" w:rsidRDefault="005E7FD2" w:rsidP="005E7FD2">
      <w:pPr>
        <w:rPr>
          <w:lang w:eastAsia="zh-CN"/>
        </w:rPr>
      </w:pPr>
      <w:r w:rsidRPr="00DC5786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874189">
        <w:rPr>
          <w:rFonts w:hint="eastAsia"/>
          <w:lang w:eastAsia="zh-CN"/>
        </w:rPr>
        <w:t>20</w:t>
      </w:r>
      <w:r w:rsidR="00874189">
        <w:rPr>
          <w:lang w:eastAsia="zh-CN"/>
        </w:rPr>
        <w:t>2</w:t>
      </w:r>
      <w:r w:rsidR="009648A5">
        <w:rPr>
          <w:lang w:eastAsia="zh-CN"/>
        </w:rPr>
        <w:t>7</w:t>
      </w:r>
      <w:bookmarkStart w:id="0" w:name="_GoBack"/>
      <w:bookmarkEnd w:id="0"/>
      <w:r>
        <w:rPr>
          <w:rFonts w:hint="eastAsia"/>
          <w:lang w:eastAsia="zh-CN"/>
        </w:rPr>
        <w:t>年之前完成。</w:t>
      </w:r>
    </w:p>
    <w:p w14:paraId="2099EDC7" w14:textId="77777777" w:rsidR="005E7FD2" w:rsidRDefault="005E7FD2" w:rsidP="005E7FD2">
      <w:pPr>
        <w:spacing w:before="240"/>
        <w:rPr>
          <w:lang w:eastAsia="zh-CN"/>
        </w:rPr>
      </w:pPr>
      <w:r w:rsidRPr="0060732A">
        <w:rPr>
          <w:lang w:eastAsia="zh-CN"/>
        </w:rPr>
        <w:t>类别：</w:t>
      </w:r>
      <w:proofErr w:type="spellStart"/>
      <w:r w:rsidRPr="0060732A">
        <w:rPr>
          <w:lang w:eastAsia="zh-CN"/>
        </w:rPr>
        <w:t>S2</w:t>
      </w:r>
      <w:proofErr w:type="spellEnd"/>
    </w:p>
    <w:p w14:paraId="4C43BE63" w14:textId="77777777" w:rsidR="0094437E" w:rsidRDefault="0094437E" w:rsidP="00B14282">
      <w:pPr>
        <w:rPr>
          <w:lang w:eastAsia="zh-CN"/>
        </w:rPr>
      </w:pPr>
    </w:p>
    <w:sectPr w:rsidR="0094437E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6E7E6" w14:textId="77777777" w:rsidR="006A35C5" w:rsidRDefault="006A35C5">
      <w:r>
        <w:separator/>
      </w:r>
    </w:p>
  </w:endnote>
  <w:endnote w:type="continuationSeparator" w:id="0">
    <w:p w14:paraId="24D20C1E" w14:textId="77777777"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4131" w14:textId="77777777" w:rsidR="006A35C5" w:rsidRPr="007C7E48" w:rsidRDefault="009648A5" w:rsidP="007C7E4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D0875">
      <w:t>M:\BRSGD\TEXT2012\SG04\000\001c.docx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C6A9" w14:textId="77777777" w:rsidR="006A35C5" w:rsidRDefault="006A35C5">
      <w:r>
        <w:t>____________________</w:t>
      </w:r>
    </w:p>
  </w:footnote>
  <w:footnote w:type="continuationSeparator" w:id="0">
    <w:p w14:paraId="2FB47304" w14:textId="77777777" w:rsidR="006A35C5" w:rsidRDefault="006A35C5">
      <w:r>
        <w:continuationSeparator/>
      </w:r>
    </w:p>
  </w:footnote>
  <w:footnote w:id="1">
    <w:p w14:paraId="782E6EDA" w14:textId="77777777" w:rsidR="006A35C5" w:rsidRPr="005314A6" w:rsidRDefault="006A35C5" w:rsidP="005E7FD2">
      <w:pPr>
        <w:pStyle w:val="FootnoteText"/>
        <w:rPr>
          <w:szCs w:val="22"/>
          <w:lang w:val="en-US" w:eastAsia="zh-CN"/>
        </w:rPr>
      </w:pPr>
      <w:r w:rsidRPr="005314A6">
        <w:rPr>
          <w:rStyle w:val="FootnoteReference"/>
          <w:szCs w:val="22"/>
          <w:lang w:eastAsia="zh-CN"/>
        </w:rPr>
        <w:t>*</w:t>
      </w:r>
      <w:r w:rsidRPr="005314A6">
        <w:rPr>
          <w:rFonts w:hint="eastAsia"/>
          <w:szCs w:val="22"/>
          <w:lang w:eastAsia="zh-CN"/>
        </w:rPr>
        <w:t xml:space="preserve"> </w:t>
      </w:r>
      <w:r w:rsidRPr="005314A6">
        <w:rPr>
          <w:rFonts w:ascii="SimSun" w:cs="SimSun" w:hint="eastAsia"/>
          <w:szCs w:val="22"/>
          <w:lang w:eastAsia="zh-CN"/>
        </w:rPr>
        <w:t>本课题应提请国际海事组织</w:t>
      </w:r>
      <w:r w:rsidRPr="005314A6">
        <w:rPr>
          <w:szCs w:val="22"/>
          <w:lang w:eastAsia="zh-CN"/>
        </w:rPr>
        <w:t>（</w:t>
      </w:r>
      <w:r w:rsidRPr="005314A6">
        <w:rPr>
          <w:szCs w:val="22"/>
          <w:lang w:eastAsia="zh-CN"/>
        </w:rPr>
        <w:t>IMO</w:t>
      </w:r>
      <w:r>
        <w:rPr>
          <w:rFonts w:hint="eastAsia"/>
          <w:szCs w:val="22"/>
          <w:lang w:eastAsia="zh-CN"/>
        </w:rPr>
        <w:t>）</w:t>
      </w:r>
      <w:r w:rsidRPr="005314A6">
        <w:rPr>
          <w:rFonts w:ascii="SimSun" w:cs="SimSun" w:hint="eastAsia"/>
          <w:szCs w:val="22"/>
          <w:lang w:eastAsia="zh-CN"/>
        </w:rPr>
        <w:t>注意。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A33B" w14:textId="77777777"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904">
      <w:rPr>
        <w:rStyle w:val="PageNumber"/>
        <w:noProof/>
      </w:rPr>
      <w:t>61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E55723">
      <w:rPr>
        <w:rStyle w:val="PageNumber"/>
      </w:rPr>
      <w:t>4</w:t>
    </w:r>
    <w:r>
      <w:rPr>
        <w:rStyle w:val="PageNumber"/>
      </w:rPr>
      <w:t>/1-C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E5C75"/>
    <w:rsid w:val="001E6D81"/>
    <w:rsid w:val="00202AE2"/>
    <w:rsid w:val="002030D0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972BF"/>
    <w:rsid w:val="006A35C5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74189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48A5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3E17"/>
    <w:rsid w:val="00BD65FC"/>
    <w:rsid w:val="00BE1E70"/>
    <w:rsid w:val="00BE54C0"/>
    <w:rsid w:val="00BF28DD"/>
    <w:rsid w:val="00BF62E8"/>
    <w:rsid w:val="00BF72EE"/>
    <w:rsid w:val="00C03CE4"/>
    <w:rsid w:val="00C04E0D"/>
    <w:rsid w:val="00C161E6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4A1A"/>
    <w:rsid w:val="00CF03B5"/>
    <w:rsid w:val="00D00539"/>
    <w:rsid w:val="00D027AF"/>
    <w:rsid w:val="00D04DC6"/>
    <w:rsid w:val="00D05C58"/>
    <w:rsid w:val="00D12865"/>
    <w:rsid w:val="00D20935"/>
    <w:rsid w:val="00D218E7"/>
    <w:rsid w:val="00D25887"/>
    <w:rsid w:val="00D31230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5723"/>
    <w:rsid w:val="00E60479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4E87"/>
    <w:rsid w:val="00F96262"/>
    <w:rsid w:val="00FA7CE7"/>
    <w:rsid w:val="00FB2B01"/>
    <w:rsid w:val="00FB2C6E"/>
    <w:rsid w:val="00FB646B"/>
    <w:rsid w:val="00FC2467"/>
    <w:rsid w:val="00FC4904"/>
    <w:rsid w:val="00FC658E"/>
    <w:rsid w:val="00FD2053"/>
    <w:rsid w:val="00FD4815"/>
    <w:rsid w:val="00FE4DB2"/>
    <w:rsid w:val="00FE7DCC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,"/>
  <w14:docId w14:val="1C817A2D"/>
  <w15:docId w15:val="{FBA6318D-E635-41DB-AAEB-59C7460C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B331-FD26-498D-A669-962ACEB0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530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LRT</cp:lastModifiedBy>
  <cp:revision>5</cp:revision>
  <cp:lastPrinted>2012-03-15T10:50:00Z</cp:lastPrinted>
  <dcterms:created xsi:type="dcterms:W3CDTF">2012-05-03T08:32:00Z</dcterms:created>
  <dcterms:modified xsi:type="dcterms:W3CDTF">2024-01-24T13:38:00Z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