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2BB8" w14:textId="77777777" w:rsidR="00ED23DA" w:rsidRDefault="00ED23DA" w:rsidP="003A59F5">
      <w:pPr>
        <w:pStyle w:val="QuestionNoBR"/>
        <w:rPr>
          <w:noProof/>
          <w:rtl/>
          <w:lang w:val="en-US"/>
        </w:rPr>
      </w:pPr>
      <w:r>
        <w:rPr>
          <w:b/>
          <w:noProof/>
          <w:rtl/>
          <w:lang w:val="en-US"/>
        </w:rPr>
        <w:t xml:space="preserve">المسألة </w:t>
      </w:r>
      <w:r>
        <w:rPr>
          <w:b/>
          <w:noProof/>
          <w:lang w:val="en-US"/>
        </w:rPr>
        <w:t>ITU-R 281/4</w:t>
      </w:r>
      <w:r w:rsidRPr="0015585A">
        <w:rPr>
          <w:rStyle w:val="FootnoteReference"/>
          <w:b/>
          <w:caps w:val="0"/>
          <w:noProof/>
          <w:sz w:val="24"/>
          <w:szCs w:val="24"/>
          <w:vertAlign w:val="superscript"/>
        </w:rPr>
        <w:footnoteReference w:customMarkFollows="1" w:id="1"/>
        <w:sym w:font="Symbol" w:char="F02A"/>
      </w:r>
    </w:p>
    <w:p w14:paraId="67171C64" w14:textId="77777777" w:rsidR="00ED23DA" w:rsidRPr="00AC611E" w:rsidRDefault="00ED23DA" w:rsidP="003A59F5">
      <w:pPr>
        <w:pStyle w:val="Questiontitle"/>
        <w:rPr>
          <w:bCs w:val="0"/>
          <w:noProof/>
          <w:rtl/>
        </w:rPr>
      </w:pPr>
      <w:r w:rsidRPr="00AC611E">
        <w:rPr>
          <w:rFonts w:hint="eastAsia"/>
          <w:b w:val="0"/>
          <w:noProof/>
          <w:rtl/>
        </w:rPr>
        <w:t>التقنيات</w:t>
      </w:r>
      <w:r w:rsidRPr="00AC611E">
        <w:rPr>
          <w:b w:val="0"/>
          <w:noProof/>
          <w:rtl/>
        </w:rPr>
        <w:t xml:space="preserve"> </w:t>
      </w:r>
      <w:r w:rsidRPr="00AC611E">
        <w:rPr>
          <w:rFonts w:hint="eastAsia"/>
          <w:b w:val="0"/>
          <w:noProof/>
          <w:rtl/>
        </w:rPr>
        <w:t>الرقمية</w:t>
      </w:r>
      <w:r w:rsidRPr="00AC611E">
        <w:rPr>
          <w:b w:val="0"/>
          <w:noProof/>
          <w:rtl/>
        </w:rPr>
        <w:t xml:space="preserve"> </w:t>
      </w:r>
      <w:r w:rsidRPr="00AC611E">
        <w:rPr>
          <w:rFonts w:hint="eastAsia"/>
          <w:b w:val="0"/>
          <w:noProof/>
          <w:rtl/>
        </w:rPr>
        <w:t>في</w:t>
      </w:r>
      <w:r w:rsidRPr="00AC611E">
        <w:rPr>
          <w:b w:val="0"/>
          <w:noProof/>
          <w:rtl/>
        </w:rPr>
        <w:t xml:space="preserve"> </w:t>
      </w:r>
      <w:r w:rsidRPr="00AC611E">
        <w:rPr>
          <w:rFonts w:hint="eastAsia"/>
          <w:b w:val="0"/>
          <w:noProof/>
          <w:rtl/>
        </w:rPr>
        <w:t>الخدمة</w:t>
      </w:r>
      <w:r w:rsidRPr="00AC611E">
        <w:rPr>
          <w:b w:val="0"/>
          <w:noProof/>
          <w:rtl/>
        </w:rPr>
        <w:t xml:space="preserve"> </w:t>
      </w:r>
      <w:r w:rsidRPr="00AC611E">
        <w:rPr>
          <w:rFonts w:hint="eastAsia"/>
          <w:b w:val="0"/>
          <w:noProof/>
          <w:rtl/>
        </w:rPr>
        <w:t>الإذاعية</w:t>
      </w:r>
      <w:r w:rsidRPr="00AC611E">
        <w:rPr>
          <w:b w:val="0"/>
          <w:noProof/>
          <w:rtl/>
        </w:rPr>
        <w:t xml:space="preserve"> </w:t>
      </w:r>
      <w:r w:rsidRPr="00AC611E">
        <w:rPr>
          <w:rFonts w:hint="eastAsia"/>
          <w:b w:val="0"/>
          <w:noProof/>
          <w:rtl/>
        </w:rPr>
        <w:t>الساتلية</w:t>
      </w:r>
      <w:r w:rsidRPr="00AC611E">
        <w:rPr>
          <w:b w:val="0"/>
          <w:noProof/>
          <w:rtl/>
        </w:rPr>
        <w:t xml:space="preserve"> (</w:t>
      </w:r>
      <w:r w:rsidRPr="00AC611E">
        <w:rPr>
          <w:rFonts w:hint="eastAsia"/>
          <w:b w:val="0"/>
          <w:noProof/>
          <w:rtl/>
        </w:rPr>
        <w:t>الصوتية</w:t>
      </w:r>
      <w:r w:rsidRPr="00AC611E">
        <w:rPr>
          <w:b w:val="0"/>
          <w:noProof/>
          <w:rtl/>
        </w:rPr>
        <w:t xml:space="preserve"> </w:t>
      </w:r>
      <w:r w:rsidRPr="00AC611E">
        <w:rPr>
          <w:rFonts w:hint="eastAsia"/>
          <w:b w:val="0"/>
          <w:noProof/>
          <w:rtl/>
        </w:rPr>
        <w:t>والتلفزيونية</w:t>
      </w:r>
      <w:r w:rsidRPr="00AC611E">
        <w:rPr>
          <w:b w:val="0"/>
          <w:noProof/>
          <w:rtl/>
        </w:rPr>
        <w:t>)</w:t>
      </w:r>
    </w:p>
    <w:p w14:paraId="7CA90D67" w14:textId="77777777" w:rsidR="00ED23DA" w:rsidRPr="003A59F5" w:rsidRDefault="00ED23DA" w:rsidP="003A59F5">
      <w:pPr>
        <w:pStyle w:val="Questiondate"/>
        <w:spacing w:before="0"/>
        <w:rPr>
          <w:bCs/>
          <w:i/>
          <w:iCs/>
          <w:noProof/>
        </w:rPr>
      </w:pPr>
      <w:r w:rsidRPr="003A59F5">
        <w:rPr>
          <w:bCs/>
          <w:iCs/>
          <w:noProof/>
        </w:rPr>
        <w:t>(2009)</w:t>
      </w:r>
    </w:p>
    <w:p w14:paraId="7C7429E4" w14:textId="77777777" w:rsidR="00ED23DA" w:rsidRDefault="00ED23DA" w:rsidP="003A59F5">
      <w:pPr>
        <w:pStyle w:val="Normalaftertitle0"/>
        <w:spacing w:line="185" w:lineRule="auto"/>
        <w:rPr>
          <w:noProof/>
          <w:rtl/>
        </w:rPr>
      </w:pPr>
      <w:r>
        <w:rPr>
          <w:b/>
          <w:noProof/>
          <w:rtl/>
        </w:rPr>
        <w:t xml:space="preserve">إن جمعية الاتصالات الراديوية </w:t>
      </w:r>
      <w:r>
        <w:rPr>
          <w:b/>
          <w:noProof/>
          <w:rtl/>
          <w:lang w:val="fr-CH"/>
        </w:rPr>
        <w:t>للاتحاد الدولي للاتصالات</w:t>
      </w:r>
      <w:r>
        <w:rPr>
          <w:b/>
          <w:noProof/>
          <w:rtl/>
        </w:rPr>
        <w:t>،</w:t>
      </w:r>
    </w:p>
    <w:p w14:paraId="0F780B3D" w14:textId="77777777" w:rsidR="00ED23DA" w:rsidRPr="00FA6B0F" w:rsidRDefault="00ED23DA" w:rsidP="003A59F5">
      <w:pPr>
        <w:pStyle w:val="Call"/>
        <w:tabs>
          <w:tab w:val="left" w:pos="2762"/>
        </w:tabs>
        <w:spacing w:before="120" w:line="185" w:lineRule="auto"/>
        <w:rPr>
          <w:i w:val="0"/>
          <w:iCs w:val="0"/>
          <w:noProof/>
          <w:rtl/>
        </w:rPr>
      </w:pPr>
      <w:r w:rsidRPr="00FA6B0F">
        <w:rPr>
          <w:b/>
          <w:i w:val="0"/>
          <w:noProof/>
          <w:rtl/>
        </w:rPr>
        <w:t>إذ تضع في اعتبارها</w:t>
      </w:r>
    </w:p>
    <w:p w14:paraId="0B53DCEF" w14:textId="77777777" w:rsidR="00ED23DA" w:rsidRPr="0098738E" w:rsidRDefault="00ED23DA" w:rsidP="003A59F5">
      <w:pPr>
        <w:spacing w:line="185" w:lineRule="auto"/>
        <w:rPr>
          <w:noProof/>
          <w:rtl/>
        </w:rPr>
      </w:pPr>
      <w:r w:rsidRPr="003A59F5">
        <w:rPr>
          <w:b/>
          <w:i/>
          <w:iCs/>
          <w:noProof/>
          <w:rtl/>
        </w:rPr>
        <w:t xml:space="preserve"> أ )</w:t>
      </w:r>
      <w:r>
        <w:rPr>
          <w:noProof/>
          <w:rtl/>
        </w:rPr>
        <w:tab/>
      </w:r>
      <w:r>
        <w:rPr>
          <w:b/>
          <w:noProof/>
          <w:rtl/>
        </w:rPr>
        <w:t>أن بعض نطاقات التردد توزع على أساس التقاسم بالتساوي بين الخدمة الإذاعية الساتلية وخدمات فضائية أخرى أو خدمات للأرض؛</w:t>
      </w:r>
    </w:p>
    <w:p w14:paraId="2B4F7206" w14:textId="77777777" w:rsidR="00ED23DA" w:rsidRPr="0098738E" w:rsidRDefault="00ED23DA" w:rsidP="003A59F5">
      <w:pPr>
        <w:spacing w:line="185" w:lineRule="auto"/>
        <w:rPr>
          <w:noProof/>
          <w:rtl/>
        </w:rPr>
      </w:pPr>
      <w:r w:rsidRPr="003A59F5">
        <w:rPr>
          <w:b/>
          <w:i/>
          <w:iCs/>
          <w:noProof/>
          <w:rtl/>
        </w:rPr>
        <w:t>ب)</w:t>
      </w:r>
      <w:r>
        <w:rPr>
          <w:noProof/>
          <w:rtl/>
        </w:rPr>
        <w:tab/>
      </w:r>
      <w:r>
        <w:rPr>
          <w:b/>
          <w:noProof/>
          <w:rtl/>
        </w:rPr>
        <w:t>أن هذا التقاسم يحتمل أن يؤدي إلى تداخلات متبادلة بين الخدمات، وتكون له تأثيرات في فعّالية استخدام مدار السواتل المستقرة بالنسبة إلى الأرض؛</w:t>
      </w:r>
    </w:p>
    <w:p w14:paraId="21D628AC" w14:textId="77777777" w:rsidR="00ED23DA" w:rsidRPr="0098738E" w:rsidRDefault="00ED23DA" w:rsidP="003A59F5">
      <w:pPr>
        <w:spacing w:line="185" w:lineRule="auto"/>
        <w:rPr>
          <w:noProof/>
          <w:rtl/>
        </w:rPr>
      </w:pPr>
      <w:r w:rsidRPr="003A59F5">
        <w:rPr>
          <w:b/>
          <w:i/>
          <w:iCs/>
          <w:noProof/>
          <w:rtl/>
        </w:rPr>
        <w:t>ج)</w:t>
      </w:r>
      <w:r>
        <w:rPr>
          <w:noProof/>
          <w:rtl/>
        </w:rPr>
        <w:tab/>
      </w:r>
      <w:r>
        <w:rPr>
          <w:b/>
          <w:noProof/>
          <w:rtl/>
        </w:rPr>
        <w:t>أنه يجب عند تخطيط خدمة ما يجري تقاسمها مع خدمات أخرى أن يتحدد لكل واحدة من الخدمات المعنية بنفس الوقت السوية (شدة المجال أو كثافة تدفق القدرة) التي يجب أن تكون عليها الإشارة المطلوبة حتى يكون استقبالها مرضياً، والسوية التي يجب ألا تتجاوزها الإشارة المسببة للتداخل، حتى يمكن اعتبار التداخل كأنه مقبول؛</w:t>
      </w:r>
    </w:p>
    <w:p w14:paraId="2FE315D1" w14:textId="77777777" w:rsidR="00ED23DA" w:rsidRPr="0098738E" w:rsidRDefault="00ED23DA" w:rsidP="003A59F5">
      <w:pPr>
        <w:spacing w:line="185" w:lineRule="auto"/>
        <w:rPr>
          <w:noProof/>
          <w:rtl/>
        </w:rPr>
      </w:pPr>
      <w:r w:rsidRPr="003A59F5">
        <w:rPr>
          <w:b/>
          <w:i/>
          <w:iCs/>
          <w:noProof/>
          <w:rtl/>
        </w:rPr>
        <w:t>د )</w:t>
      </w:r>
      <w:r>
        <w:rPr>
          <w:noProof/>
          <w:rtl/>
        </w:rPr>
        <w:tab/>
      </w:r>
      <w:r>
        <w:rPr>
          <w:b/>
          <w:noProof/>
          <w:rtl/>
        </w:rPr>
        <w:t>أن التقدم السريع في التقنيات الرقمية فيما يخص الضغط الفيديوي والسمعي، وفي التشكيل الرقمي يمكن أن يساهم في خفض القدرة المشعة و/أو عرض النطاق؛</w:t>
      </w:r>
    </w:p>
    <w:p w14:paraId="35C8C9C5" w14:textId="77777777" w:rsidR="00ED23DA" w:rsidRPr="0098738E" w:rsidRDefault="00ED23DA" w:rsidP="003A59F5">
      <w:pPr>
        <w:spacing w:line="185" w:lineRule="auto"/>
        <w:rPr>
          <w:noProof/>
          <w:rtl/>
        </w:rPr>
      </w:pPr>
      <w:r w:rsidRPr="003A59F5">
        <w:rPr>
          <w:rFonts w:hint="cs"/>
          <w:b/>
          <w:i/>
          <w:iCs/>
          <w:noProof/>
          <w:rtl/>
        </w:rPr>
        <w:t>ﻫ</w:t>
      </w:r>
      <w:r w:rsidRPr="003A59F5">
        <w:rPr>
          <w:b/>
          <w:i/>
          <w:iCs/>
          <w:noProof/>
          <w:rtl/>
        </w:rPr>
        <w:t xml:space="preserve"> )</w:t>
      </w:r>
      <w:r>
        <w:rPr>
          <w:noProof/>
          <w:rtl/>
        </w:rPr>
        <w:tab/>
      </w:r>
      <w:r>
        <w:rPr>
          <w:b/>
          <w:noProof/>
          <w:rtl/>
        </w:rPr>
        <w:t>أن تنفيذ عمليات تشفير تصحيح الأخطاء و/أو إخفاء الأخطاء يمكن أن يكون لها تأثيرات على المتطلبات العامة لعرض النطاق وعلى التكلفة،</w:t>
      </w:r>
    </w:p>
    <w:p w14:paraId="72F1520C" w14:textId="77777777" w:rsidR="00ED23DA" w:rsidRPr="00A8113E" w:rsidRDefault="00ED23DA" w:rsidP="003A59F5">
      <w:pPr>
        <w:pStyle w:val="Call"/>
        <w:spacing w:before="120" w:line="185" w:lineRule="auto"/>
        <w:rPr>
          <w:noProof/>
          <w:rtl/>
        </w:rPr>
      </w:pPr>
      <w:r w:rsidRPr="00A8113E">
        <w:rPr>
          <w:b/>
          <w:i w:val="0"/>
          <w:noProof/>
          <w:rtl/>
        </w:rPr>
        <w:t>تقرر</w:t>
      </w:r>
      <w:r>
        <w:rPr>
          <w:b/>
          <w:noProof/>
          <w:rtl/>
        </w:rPr>
        <w:t xml:space="preserve"> </w:t>
      </w:r>
      <w:r w:rsidRPr="00A8113E">
        <w:rPr>
          <w:b/>
          <w:noProof/>
          <w:rtl/>
        </w:rPr>
        <w:t>طرح المسائل التالية للدراسة</w:t>
      </w:r>
    </w:p>
    <w:p w14:paraId="2EE57B24" w14:textId="77777777" w:rsidR="00ED23DA" w:rsidRPr="00C242C6" w:rsidRDefault="00ED23DA" w:rsidP="003A59F5">
      <w:pPr>
        <w:spacing w:line="185" w:lineRule="auto"/>
        <w:rPr>
          <w:noProof/>
          <w:rtl/>
        </w:rPr>
      </w:pPr>
      <w:r w:rsidRPr="00C242C6">
        <w:rPr>
          <w:bCs/>
          <w:noProof/>
        </w:rPr>
        <w:t>1</w:t>
      </w:r>
      <w:r w:rsidRPr="00C242C6">
        <w:rPr>
          <w:noProof/>
          <w:rtl/>
        </w:rPr>
        <w:tab/>
      </w:r>
      <w:r>
        <w:rPr>
          <w:b/>
          <w:noProof/>
          <w:rtl/>
        </w:rPr>
        <w:t>ما هي عمليات تشفير تصحيح الأخطاء و/أو إخفاء الأخطاء الملائمة، القائمة على تقييم يرمي إلى تخفيض المعلمات المثلى لاعتبارات عرض النطاق والتكلفة؟</w:t>
      </w:r>
    </w:p>
    <w:p w14:paraId="34B1D365" w14:textId="77777777" w:rsidR="00ED23DA" w:rsidRPr="00C242C6" w:rsidRDefault="00ED23DA" w:rsidP="003A59F5">
      <w:pPr>
        <w:spacing w:line="185" w:lineRule="auto"/>
        <w:rPr>
          <w:noProof/>
          <w:rtl/>
        </w:rPr>
      </w:pPr>
      <w:r>
        <w:rPr>
          <w:bCs/>
          <w:noProof/>
        </w:rPr>
        <w:t>2</w:t>
      </w:r>
      <w:r>
        <w:rPr>
          <w:noProof/>
          <w:rtl/>
        </w:rPr>
        <w:tab/>
      </w:r>
      <w:r>
        <w:rPr>
          <w:b/>
          <w:noProof/>
          <w:rtl/>
        </w:rPr>
        <w:t>ما هي قنوات التشفير المناسبة وأنظمة تشكيل الموجة الحاملة للإشارة الرقمية وعرض النطاق الذي يمكن إرسال هذه الإشارات فيه بفعالية؟</w:t>
      </w:r>
    </w:p>
    <w:p w14:paraId="25078FD4" w14:textId="77777777" w:rsidR="00ED23DA" w:rsidRDefault="00ED23DA" w:rsidP="003A59F5">
      <w:pPr>
        <w:spacing w:line="185" w:lineRule="auto"/>
        <w:rPr>
          <w:noProof/>
          <w:rtl/>
        </w:rPr>
      </w:pPr>
      <w:r>
        <w:rPr>
          <w:bCs/>
          <w:noProof/>
          <w:lang w:val="fr-FR"/>
        </w:rPr>
        <w:t>3</w:t>
      </w:r>
      <w:r>
        <w:rPr>
          <w:noProof/>
          <w:rtl/>
        </w:rPr>
        <w:tab/>
      </w:r>
      <w:r>
        <w:rPr>
          <w:b/>
          <w:noProof/>
          <w:rtl/>
        </w:rPr>
        <w:t xml:space="preserve">ما هي نسب الحماية اللازمة بين إشارتين رقميتين وبين إشارة رقمية وأنماط أخرى من الإشارات يحتمل إرسالها في النطاقات الموزعة للخدمة الإذاعية الساتلية </w:t>
      </w:r>
      <w:r w:rsidRPr="003A59F5">
        <w:rPr>
          <w:bCs/>
          <w:noProof/>
        </w:rPr>
        <w:t>(BSS)</w:t>
      </w:r>
      <w:r>
        <w:rPr>
          <w:b/>
          <w:noProof/>
          <w:rtl/>
        </w:rPr>
        <w:t xml:space="preserve"> (انظر المسألة </w:t>
      </w:r>
      <w:r w:rsidRPr="003A59F5">
        <w:rPr>
          <w:bCs/>
          <w:noProof/>
        </w:rPr>
        <w:t>ITU-R 283/4</w:t>
      </w:r>
      <w:r w:rsidRPr="003A59F5">
        <w:rPr>
          <w:bCs/>
          <w:noProof/>
          <w:rtl/>
        </w:rPr>
        <w:t>)؟</w:t>
      </w:r>
    </w:p>
    <w:p w14:paraId="2E256C18" w14:textId="77777777" w:rsidR="00ED23DA" w:rsidRDefault="00ED23DA" w:rsidP="003A59F5">
      <w:pPr>
        <w:spacing w:line="185" w:lineRule="auto"/>
        <w:rPr>
          <w:noProof/>
          <w:sz w:val="20"/>
          <w:szCs w:val="26"/>
          <w:rtl/>
        </w:rPr>
      </w:pPr>
      <w:r w:rsidRPr="009766E4">
        <w:rPr>
          <w:bCs/>
          <w:noProof/>
          <w:sz w:val="20"/>
          <w:szCs w:val="26"/>
          <w:rtl/>
        </w:rPr>
        <w:t xml:space="preserve">الملاحظة </w:t>
      </w:r>
      <w:r w:rsidRPr="009766E4">
        <w:rPr>
          <w:b/>
          <w:noProof/>
          <w:sz w:val="20"/>
          <w:szCs w:val="26"/>
          <w:rtl/>
        </w:rPr>
        <w:t xml:space="preserve">- انظر التوصيتين </w:t>
      </w:r>
      <w:r w:rsidRPr="003A59F5">
        <w:rPr>
          <w:bCs/>
          <w:noProof/>
          <w:sz w:val="20"/>
          <w:szCs w:val="26"/>
        </w:rPr>
        <w:t>ITU-R BO.</w:t>
      </w:r>
      <w:r>
        <w:rPr>
          <w:bCs/>
          <w:noProof/>
          <w:sz w:val="20"/>
          <w:szCs w:val="26"/>
        </w:rPr>
        <w:t>651</w:t>
      </w:r>
      <w:r w:rsidRPr="009766E4">
        <w:rPr>
          <w:b/>
          <w:noProof/>
          <w:sz w:val="20"/>
          <w:szCs w:val="26"/>
          <w:rtl/>
        </w:rPr>
        <w:t xml:space="preserve"> و</w:t>
      </w:r>
      <w:r w:rsidRPr="003A59F5">
        <w:rPr>
          <w:bCs/>
          <w:noProof/>
          <w:sz w:val="20"/>
          <w:szCs w:val="26"/>
        </w:rPr>
        <w:t>ITU-R BO.</w:t>
      </w:r>
      <w:r>
        <w:rPr>
          <w:bCs/>
          <w:noProof/>
          <w:sz w:val="20"/>
          <w:szCs w:val="26"/>
        </w:rPr>
        <w:t>712</w:t>
      </w:r>
      <w:r w:rsidRPr="003A59F5">
        <w:rPr>
          <w:bCs/>
          <w:noProof/>
          <w:sz w:val="20"/>
          <w:szCs w:val="26"/>
          <w:rtl/>
        </w:rPr>
        <w:t xml:space="preserve"> </w:t>
      </w:r>
      <w:r w:rsidRPr="009766E4">
        <w:rPr>
          <w:b/>
          <w:noProof/>
          <w:sz w:val="20"/>
          <w:szCs w:val="26"/>
          <w:rtl/>
        </w:rPr>
        <w:t xml:space="preserve">والتقارير </w:t>
      </w:r>
      <w:r w:rsidRPr="003A59F5">
        <w:rPr>
          <w:bCs/>
          <w:noProof/>
          <w:sz w:val="20"/>
          <w:szCs w:val="26"/>
        </w:rPr>
        <w:t>ITU-R BO.632</w:t>
      </w:r>
      <w:r w:rsidRPr="009766E4">
        <w:rPr>
          <w:b/>
          <w:noProof/>
          <w:sz w:val="20"/>
          <w:szCs w:val="26"/>
          <w:rtl/>
        </w:rPr>
        <w:t xml:space="preserve"> </w:t>
      </w:r>
      <w:r w:rsidRPr="003A59F5">
        <w:rPr>
          <w:bCs/>
          <w:noProof/>
          <w:sz w:val="20"/>
          <w:szCs w:val="26"/>
          <w:rtl/>
        </w:rPr>
        <w:t>و</w:t>
      </w:r>
      <w:r w:rsidRPr="003A59F5">
        <w:rPr>
          <w:bCs/>
          <w:noProof/>
          <w:sz w:val="20"/>
          <w:szCs w:val="26"/>
        </w:rPr>
        <w:t>ITU-R BO.634</w:t>
      </w:r>
      <w:r>
        <w:rPr>
          <w:b/>
          <w:noProof/>
          <w:sz w:val="20"/>
          <w:szCs w:val="26"/>
          <w:rtl/>
        </w:rPr>
        <w:t xml:space="preserve"> </w:t>
      </w:r>
      <w:r w:rsidRPr="003A59F5">
        <w:rPr>
          <w:bCs/>
          <w:noProof/>
          <w:sz w:val="20"/>
          <w:szCs w:val="26"/>
          <w:rtl/>
        </w:rPr>
        <w:t>و</w:t>
      </w:r>
      <w:r w:rsidRPr="003A59F5">
        <w:rPr>
          <w:bCs/>
          <w:noProof/>
          <w:sz w:val="20"/>
          <w:szCs w:val="26"/>
        </w:rPr>
        <w:t>ITU-R BO.954</w:t>
      </w:r>
      <w:r w:rsidRPr="009766E4">
        <w:rPr>
          <w:b/>
          <w:noProof/>
          <w:sz w:val="20"/>
          <w:szCs w:val="26"/>
          <w:rtl/>
        </w:rPr>
        <w:t>،</w:t>
      </w:r>
    </w:p>
    <w:p w14:paraId="6CB09169" w14:textId="77777777" w:rsidR="00ED23DA" w:rsidRPr="00DF620E" w:rsidRDefault="00ED23DA" w:rsidP="00993561">
      <w:pPr>
        <w:pStyle w:val="Call"/>
        <w:rPr>
          <w:noProof/>
          <w:rtl/>
        </w:rPr>
      </w:pPr>
      <w:r w:rsidRPr="00DF620E">
        <w:rPr>
          <w:noProof/>
          <w:rtl/>
        </w:rPr>
        <w:t>وتقرر كذلك</w:t>
      </w:r>
    </w:p>
    <w:p w14:paraId="4CC747EE" w14:textId="77777777" w:rsidR="00ED23DA" w:rsidRDefault="00ED23DA" w:rsidP="003A59F5">
      <w:pPr>
        <w:rPr>
          <w:rtl/>
          <w:lang w:bidi="ar-EG"/>
        </w:rPr>
      </w:pPr>
      <w:r>
        <w:rPr>
          <w:lang w:bidi="ar-EG"/>
        </w:rPr>
        <w:t>1</w:t>
      </w:r>
      <w:r>
        <w:rPr>
          <w:rtl/>
          <w:lang w:bidi="ar-EG"/>
        </w:rPr>
        <w:tab/>
        <w:t>أن تدرج نتائج الدراسات سالفة الذكر في توصيات و/أو تقارير مناسبة؛</w:t>
      </w:r>
    </w:p>
    <w:p w14:paraId="141F46C3" w14:textId="1B02482D" w:rsidR="00ED23DA" w:rsidRDefault="00ED23DA" w:rsidP="003A59F5">
      <w:pPr>
        <w:spacing w:before="60"/>
        <w:rPr>
          <w:noProof/>
          <w:rtl/>
        </w:rPr>
      </w:pPr>
      <w:r>
        <w:rPr>
          <w:lang w:bidi="ar-EG"/>
        </w:rPr>
        <w:t>2</w:t>
      </w:r>
      <w:r>
        <w:rPr>
          <w:rtl/>
          <w:lang w:bidi="ar-EG"/>
        </w:rPr>
        <w:tab/>
        <w:t xml:space="preserve">أنه ينبغي إنجاز الدراسات سالفة الذكر بحلول عام </w:t>
      </w:r>
      <w:r>
        <w:rPr>
          <w:lang w:bidi="ar-EG"/>
        </w:rPr>
        <w:t>202</w:t>
      </w:r>
      <w:bookmarkStart w:id="0" w:name="_GoBack"/>
      <w:bookmarkEnd w:id="0"/>
      <w:r w:rsidR="00993561">
        <w:rPr>
          <w:lang w:bidi="ar-EG"/>
        </w:rPr>
        <w:t>5</w:t>
      </w:r>
      <w:r>
        <w:rPr>
          <w:rtl/>
          <w:lang w:bidi="ar-EG"/>
        </w:rPr>
        <w:t>.</w:t>
      </w:r>
    </w:p>
    <w:p w14:paraId="0EEA5D64" w14:textId="77777777" w:rsidR="00ED23DA" w:rsidRPr="006714C1" w:rsidRDefault="00ED23DA" w:rsidP="006714C1">
      <w:pPr>
        <w:spacing w:before="240" w:line="185" w:lineRule="auto"/>
        <w:rPr>
          <w:noProof/>
          <w:lang w:val="fr-FR"/>
        </w:rPr>
      </w:pPr>
      <w:r>
        <w:rPr>
          <w:b/>
          <w:noProof/>
          <w:rtl/>
        </w:rPr>
        <w:t xml:space="preserve">الفئة: </w:t>
      </w:r>
      <w:r w:rsidRPr="003A59F5">
        <w:rPr>
          <w:bCs/>
          <w:noProof/>
          <w:lang w:val="fr-FR"/>
        </w:rPr>
        <w:t>S1</w:t>
      </w:r>
    </w:p>
    <w:p w14:paraId="67195573" w14:textId="77777777" w:rsidR="00F925E0" w:rsidRPr="00D84A3F" w:rsidRDefault="00F925E0" w:rsidP="00D84A3F"/>
    <w:sectPr w:rsidR="00F925E0" w:rsidRPr="00D84A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 w:id="1">
    <w:p w14:paraId="500D81CB" w14:textId="77777777" w:rsidR="00ED23DA" w:rsidRDefault="00ED23DA" w:rsidP="003A59F5">
      <w:pPr>
        <w:pStyle w:val="FootnoteText"/>
        <w:spacing w:before="120"/>
      </w:pPr>
      <w:r w:rsidRPr="00FA6B0F">
        <w:rPr>
          <w:rStyle w:val="FootnoteReference"/>
          <w:b/>
          <w:szCs w:val="20"/>
          <w:vertAlign w:val="superscript"/>
        </w:rPr>
        <w:sym w:font="Symbol" w:char="F02A"/>
      </w:r>
      <w:r w:rsidRPr="00FA6B0F">
        <w:rPr>
          <w:rtl/>
        </w:rPr>
        <w:tab/>
      </w:r>
      <w:r w:rsidRPr="00FA6B0F">
        <w:rPr>
          <w:b/>
          <w:rtl/>
        </w:rPr>
        <w:t xml:space="preserve">يمكن جمع هذه المسألة مع الدراسات الجارية </w:t>
      </w:r>
      <w:r>
        <w:rPr>
          <w:b/>
          <w:rtl/>
        </w:rPr>
        <w:t>في إطار</w:t>
      </w:r>
      <w:r w:rsidRPr="00FA6B0F">
        <w:rPr>
          <w:b/>
          <w:rtl/>
        </w:rPr>
        <w:t xml:space="preserve"> المسألة </w:t>
      </w:r>
      <w:r w:rsidRPr="003A59F5">
        <w:rPr>
          <w:bCs/>
        </w:rPr>
        <w:t>ITU-R 285/4</w:t>
      </w:r>
      <w:r w:rsidRPr="00FA6B0F">
        <w:rPr>
          <w:b/>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91F70"/>
    <w:rsid w:val="00993561"/>
    <w:rsid w:val="009D313F"/>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ED23DA"/>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 w:type="paragraph" w:customStyle="1" w:styleId="QuestionNoBR">
    <w:name w:val="Question_No_BR"/>
    <w:basedOn w:val="Normal"/>
    <w:next w:val="Questiontitle"/>
    <w:link w:val="QuestionNoBRChar"/>
    <w:rsid w:val="00ED23DA"/>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character" w:customStyle="1" w:styleId="QuestionNoBRChar">
    <w:name w:val="Question_No_BR Char"/>
    <w:basedOn w:val="DefaultParagraphFont"/>
    <w:link w:val="QuestionNoBR"/>
    <w:rsid w:val="00ED23DA"/>
    <w:rPr>
      <w:rFonts w:ascii="Times New Roman" w:eastAsia="Times New Roman" w:hAnsi="Times New Roman" w:cs="Traditional Arabic"/>
      <w:cap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Fernandez Jimenez, Virginia</cp:lastModifiedBy>
  <cp:revision>3</cp:revision>
  <dcterms:created xsi:type="dcterms:W3CDTF">2024-01-30T14:49:00Z</dcterms:created>
  <dcterms:modified xsi:type="dcterms:W3CDTF">2024-01-30T14:51:00Z</dcterms:modified>
</cp:coreProperties>
</file>