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B0F4" w14:textId="1E2F939E" w:rsidR="00391108" w:rsidRPr="001B240A" w:rsidRDefault="00391108" w:rsidP="003B1896">
      <w:pPr>
        <w:pStyle w:val="Title1"/>
        <w:rPr>
          <w:vertAlign w:val="superscript"/>
          <w:lang w:val="en-US" w:eastAsia="zh-CN"/>
        </w:rPr>
      </w:pPr>
      <w:r w:rsidRPr="00735CA6"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 w:rsidRPr="00735CA6">
        <w:rPr>
          <w:lang w:val="en-US" w:eastAsia="zh-CN"/>
        </w:rPr>
        <w:t>2</w:t>
      </w:r>
      <w:r>
        <w:rPr>
          <w:lang w:val="en-US" w:eastAsia="zh-CN"/>
        </w:rPr>
        <w:t>78</w:t>
      </w:r>
      <w:r w:rsidRPr="00735CA6">
        <w:rPr>
          <w:lang w:val="en-US" w:eastAsia="zh-CN"/>
        </w:rPr>
        <w:t>/4</w:t>
      </w:r>
      <w:r>
        <w:rPr>
          <w:rFonts w:hint="eastAsia"/>
          <w:lang w:val="en-US" w:eastAsia="zh-CN"/>
        </w:rPr>
        <w:t>号课题</w:t>
      </w:r>
      <w:r w:rsidR="00B11E40" w:rsidRPr="004E58A6">
        <w:rPr>
          <w:rStyle w:val="FootnoteReference"/>
          <w:caps w:val="0"/>
          <w:lang w:val="en-US"/>
        </w:rPr>
        <w:footnoteReference w:customMarkFollows="1" w:id="1"/>
        <w:sym w:font="Symbol" w:char="F02A"/>
      </w:r>
    </w:p>
    <w:p w14:paraId="54523923" w14:textId="59443FD4" w:rsidR="00391108" w:rsidRDefault="00391108" w:rsidP="003B1896">
      <w:pPr>
        <w:pStyle w:val="Title4"/>
        <w:rPr>
          <w:lang w:eastAsia="zh-CN"/>
        </w:rPr>
      </w:pPr>
      <w:r w:rsidRPr="00826AA8">
        <w:rPr>
          <w:rFonts w:hint="eastAsia"/>
          <w:lang w:eastAsia="zh-CN"/>
        </w:rPr>
        <w:t>利用运营</w:t>
      </w:r>
      <w:r w:rsidR="00B11E40">
        <w:rPr>
          <w:rFonts w:hint="eastAsia"/>
          <w:lang w:eastAsia="zh-CN"/>
        </w:rPr>
        <w:t>措施</w:t>
      </w:r>
      <w:r w:rsidRPr="00826AA8">
        <w:rPr>
          <w:rFonts w:hint="eastAsia"/>
          <w:lang w:eastAsia="zh-CN"/>
        </w:rPr>
        <w:t>以满足无线电规则第</w:t>
      </w:r>
      <w:r w:rsidRPr="00826AA8">
        <w:rPr>
          <w:lang w:eastAsia="zh-CN"/>
        </w:rPr>
        <w:t>21</w:t>
      </w:r>
      <w:r w:rsidRPr="00826AA8">
        <w:rPr>
          <w:rFonts w:hint="eastAsia"/>
          <w:lang w:eastAsia="zh-CN"/>
        </w:rPr>
        <w:t>条</w:t>
      </w:r>
      <w:r w:rsidRPr="00826AA8">
        <w:rPr>
          <w:lang w:eastAsia="zh-CN"/>
        </w:rPr>
        <w:br/>
      </w:r>
      <w:r w:rsidRPr="00826AA8">
        <w:rPr>
          <w:rFonts w:hint="eastAsia"/>
          <w:lang w:eastAsia="zh-CN"/>
        </w:rPr>
        <w:t>对功率通量密度的限制</w:t>
      </w:r>
    </w:p>
    <w:p w14:paraId="7166CBE7" w14:textId="77777777" w:rsidR="00391108" w:rsidRPr="006F1589" w:rsidRDefault="00391108" w:rsidP="00391108">
      <w:pPr>
        <w:pStyle w:val="Questiondate"/>
        <w:rPr>
          <w:sz w:val="24"/>
          <w:szCs w:val="24"/>
          <w:lang w:eastAsia="zh-CN"/>
        </w:rPr>
      </w:pPr>
      <w:r w:rsidRPr="006F1589">
        <w:rPr>
          <w:rFonts w:hint="eastAsia"/>
          <w:sz w:val="24"/>
          <w:szCs w:val="24"/>
          <w:lang w:eastAsia="zh-CN"/>
        </w:rPr>
        <w:t>（</w:t>
      </w:r>
      <w:r w:rsidRPr="006F1589">
        <w:rPr>
          <w:sz w:val="24"/>
          <w:szCs w:val="24"/>
          <w:lang w:eastAsia="zh-CN"/>
        </w:rPr>
        <w:t>2009</w:t>
      </w:r>
      <w:r w:rsidRPr="006F1589">
        <w:rPr>
          <w:rFonts w:hint="eastAsia"/>
          <w:sz w:val="24"/>
          <w:szCs w:val="24"/>
          <w:lang w:eastAsia="zh-CN"/>
        </w:rPr>
        <w:t>年）</w:t>
      </w:r>
    </w:p>
    <w:p w14:paraId="0FA9551B" w14:textId="77777777" w:rsidR="00391108" w:rsidRPr="006F1589" w:rsidRDefault="00391108" w:rsidP="00391108">
      <w:pPr>
        <w:pStyle w:val="Normalaftertitle0"/>
        <w:rPr>
          <w:rFonts w:ascii="SimSun"/>
          <w:lang w:eastAsia="zh-CN"/>
        </w:rPr>
      </w:pPr>
      <w:r w:rsidRPr="006F1589">
        <w:rPr>
          <w:rFonts w:ascii="SimSun" w:hAnsi="SimSun" w:hint="eastAsia"/>
          <w:lang w:eastAsia="zh-CN"/>
        </w:rPr>
        <w:t>国际电联无线电通信全会，</w:t>
      </w:r>
    </w:p>
    <w:p w14:paraId="6E32ADC5" w14:textId="77777777" w:rsidR="00391108" w:rsidRPr="003B1896" w:rsidRDefault="00391108" w:rsidP="003B1896">
      <w:pPr>
        <w:pStyle w:val="Call"/>
        <w:rPr>
          <w:rFonts w:ascii="STKaiti" w:eastAsia="STKaiti" w:hAnsi="STKaiti"/>
          <w:i w:val="0"/>
          <w:iCs/>
        </w:rPr>
      </w:pPr>
      <w:proofErr w:type="spellStart"/>
      <w:r w:rsidRPr="003B1896">
        <w:rPr>
          <w:rFonts w:ascii="STKaiti" w:eastAsia="STKaiti" w:hAnsi="STKaiti" w:hint="eastAsia"/>
          <w:i w:val="0"/>
          <w:iCs/>
        </w:rPr>
        <w:t>考虑到</w:t>
      </w:r>
      <w:proofErr w:type="spellEnd"/>
    </w:p>
    <w:p w14:paraId="29414AEA" w14:textId="2A51817B" w:rsidR="00391108" w:rsidRDefault="00391108" w:rsidP="00391108">
      <w:pPr>
        <w:rPr>
          <w:lang w:eastAsia="zh-CN"/>
        </w:rPr>
      </w:pPr>
      <w:r w:rsidRPr="00391108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《无线电规则》（</w:t>
      </w:r>
      <w:r>
        <w:rPr>
          <w:lang w:eastAsia="zh-CN"/>
        </w:rPr>
        <w:t>RR</w:t>
      </w:r>
      <w:r>
        <w:rPr>
          <w:rFonts w:hint="eastAsia"/>
          <w:lang w:eastAsia="zh-CN"/>
        </w:rPr>
        <w:t>）第</w:t>
      </w:r>
      <w:r w:rsidRPr="00F21682">
        <w:rPr>
          <w:b/>
          <w:bCs/>
          <w:lang w:eastAsia="zh-CN"/>
        </w:rPr>
        <w:t>11.31</w:t>
      </w:r>
      <w:r>
        <w:rPr>
          <w:rFonts w:hint="eastAsia"/>
          <w:lang w:eastAsia="zh-CN"/>
        </w:rPr>
        <w:t>款要求无线电通信局（</w:t>
      </w:r>
      <w:r>
        <w:rPr>
          <w:lang w:eastAsia="zh-CN"/>
        </w:rPr>
        <w:t>BR</w:t>
      </w:r>
      <w:r>
        <w:rPr>
          <w:rFonts w:hint="eastAsia"/>
          <w:lang w:eastAsia="zh-CN"/>
        </w:rPr>
        <w:t>）对</w:t>
      </w:r>
      <w:r>
        <w:rPr>
          <w:lang w:eastAsia="zh-CN"/>
        </w:rPr>
        <w:t>RR</w:t>
      </w:r>
      <w:r>
        <w:rPr>
          <w:rFonts w:hint="eastAsia"/>
          <w:lang w:eastAsia="zh-CN"/>
        </w:rPr>
        <w:t>第</w:t>
      </w:r>
      <w:r w:rsidRPr="00F21682">
        <w:rPr>
          <w:b/>
          <w:bCs/>
          <w:lang w:eastAsia="zh-CN"/>
        </w:rPr>
        <w:t>11</w:t>
      </w:r>
      <w:r>
        <w:rPr>
          <w:rFonts w:hint="eastAsia"/>
          <w:lang w:eastAsia="zh-CN"/>
        </w:rPr>
        <w:t>条涉及的频率指配进行研究，</w:t>
      </w:r>
      <w:r w:rsidRPr="008D4C72">
        <w:rPr>
          <w:rFonts w:ascii="STKaiti" w:eastAsia="STKaiti" w:hAnsi="STKaiti" w:hint="eastAsia"/>
          <w:lang w:eastAsia="zh-CN"/>
        </w:rPr>
        <w:t>重点</w:t>
      </w:r>
      <w:r>
        <w:rPr>
          <w:rFonts w:hint="eastAsia"/>
          <w:lang w:eastAsia="zh-CN"/>
        </w:rPr>
        <w:t>关注它是否符合第</w:t>
      </w:r>
      <w:r>
        <w:rPr>
          <w:lang w:eastAsia="zh-CN"/>
        </w:rPr>
        <w:t>21</w:t>
      </w:r>
      <w:r>
        <w:rPr>
          <w:rFonts w:hint="eastAsia"/>
          <w:lang w:eastAsia="zh-CN"/>
        </w:rPr>
        <w:t>条的规定（功率通量密度限值</w:t>
      </w:r>
      <w:proofErr w:type="gramStart"/>
      <w:r>
        <w:rPr>
          <w:rFonts w:hint="eastAsia"/>
          <w:lang w:eastAsia="zh-CN"/>
        </w:rPr>
        <w:t>）；</w:t>
      </w:r>
      <w:proofErr w:type="gramEnd"/>
    </w:p>
    <w:p w14:paraId="48E3BFA9" w14:textId="77777777" w:rsidR="00391108" w:rsidRDefault="00391108" w:rsidP="00391108">
      <w:pPr>
        <w:rPr>
          <w:lang w:eastAsia="zh-CN"/>
        </w:rPr>
      </w:pPr>
      <w:r w:rsidRPr="00391108">
        <w:rPr>
          <w:i/>
          <w:iCs/>
          <w:lang w:eastAsia="zh-CN"/>
        </w:rPr>
        <w:t>b)</w:t>
      </w:r>
      <w:r>
        <w:rPr>
          <w:lang w:eastAsia="zh-CN"/>
        </w:rPr>
        <w:tab/>
        <w:t>BR</w:t>
      </w:r>
      <w:r>
        <w:rPr>
          <w:rFonts w:hint="eastAsia"/>
          <w:lang w:eastAsia="zh-CN"/>
        </w:rPr>
        <w:t>过去曾收到而且目前仍在接收主管部门提交的资料，其中对功率通量密度的检查结果表明，在到达仰角的一定范围内，最初的超额数值在</w:t>
      </w:r>
      <w:r>
        <w:rPr>
          <w:lang w:eastAsia="zh-CN"/>
        </w:rPr>
        <w:t>0</w:t>
      </w:r>
      <w:r>
        <w:rPr>
          <w:rFonts w:hint="eastAsia"/>
          <w:lang w:eastAsia="zh-CN"/>
        </w:rPr>
        <w:t>至</w:t>
      </w:r>
      <w:r>
        <w:rPr>
          <w:lang w:eastAsia="zh-CN"/>
        </w:rPr>
        <w:t>9 dB</w:t>
      </w:r>
      <w:r>
        <w:rPr>
          <w:rFonts w:hint="eastAsia"/>
          <w:lang w:eastAsia="zh-CN"/>
        </w:rPr>
        <w:t>不等，目前已达</w:t>
      </w:r>
      <w:r>
        <w:rPr>
          <w:lang w:eastAsia="zh-CN"/>
        </w:rPr>
        <w:t xml:space="preserve">10 </w:t>
      </w:r>
      <w:proofErr w:type="gramStart"/>
      <w:r>
        <w:rPr>
          <w:lang w:eastAsia="zh-CN"/>
        </w:rPr>
        <w:t>dB</w:t>
      </w:r>
      <w:r>
        <w:rPr>
          <w:rFonts w:hint="eastAsia"/>
          <w:lang w:eastAsia="zh-CN"/>
        </w:rPr>
        <w:t>以至更高；</w:t>
      </w:r>
      <w:proofErr w:type="gramEnd"/>
    </w:p>
    <w:p w14:paraId="643C8943" w14:textId="77777777" w:rsidR="00391108" w:rsidRDefault="00391108" w:rsidP="00391108">
      <w:pPr>
        <w:rPr>
          <w:lang w:eastAsia="zh-CN"/>
        </w:rPr>
      </w:pPr>
      <w:r w:rsidRPr="00391108">
        <w:rPr>
          <w:i/>
          <w:iCs/>
          <w:lang w:eastAsia="zh-CN"/>
        </w:rPr>
        <w:t>c)</w:t>
      </w:r>
      <w:r>
        <w:rPr>
          <w:lang w:eastAsia="zh-CN"/>
        </w:rPr>
        <w:tab/>
        <w:t>BR</w:t>
      </w:r>
      <w:r>
        <w:rPr>
          <w:rFonts w:hint="eastAsia"/>
          <w:lang w:eastAsia="zh-CN"/>
        </w:rPr>
        <w:t>在与发出通知的主管部门磋商之后得知，采用</w:t>
      </w:r>
      <w:r w:rsidRPr="00241D25">
        <w:rPr>
          <w:rFonts w:ascii="Arial" w:hAnsi="Arial" w:cs="Arial" w:hint="eastAsia"/>
          <w:szCs w:val="24"/>
          <w:lang w:eastAsia="zh-CN"/>
        </w:rPr>
        <w:t>能量扩散和补偿控制</w:t>
      </w:r>
      <w:r>
        <w:rPr>
          <w:rFonts w:ascii="Arial" w:hAnsi="Arial" w:cs="Arial" w:hint="eastAsia"/>
          <w:szCs w:val="24"/>
          <w:lang w:eastAsia="zh-CN"/>
        </w:rPr>
        <w:t>等技术手段，</w:t>
      </w:r>
      <w:proofErr w:type="gramStart"/>
      <w:r>
        <w:rPr>
          <w:rFonts w:ascii="Arial" w:hAnsi="Arial" w:cs="Arial" w:hint="eastAsia"/>
          <w:szCs w:val="24"/>
          <w:lang w:eastAsia="zh-CN"/>
        </w:rPr>
        <w:t>可将功率通量密度调整到</w:t>
      </w:r>
      <w:r w:rsidRPr="00E1638D">
        <w:rPr>
          <w:szCs w:val="24"/>
          <w:lang w:eastAsia="zh-CN"/>
        </w:rPr>
        <w:t>RR</w:t>
      </w:r>
      <w:r>
        <w:rPr>
          <w:rFonts w:ascii="Arial" w:hAnsi="Arial" w:cs="Arial" w:hint="eastAsia"/>
          <w:szCs w:val="24"/>
          <w:lang w:eastAsia="zh-CN"/>
        </w:rPr>
        <w:t>确定的水准；</w:t>
      </w:r>
      <w:proofErr w:type="gramEnd"/>
    </w:p>
    <w:p w14:paraId="016ACB80" w14:textId="1EA396E9" w:rsidR="00391108" w:rsidRDefault="00391108" w:rsidP="00391108">
      <w:pPr>
        <w:rPr>
          <w:lang w:eastAsia="zh-CN"/>
        </w:rPr>
      </w:pPr>
      <w:r w:rsidRPr="00391108"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在研究这些案例时，</w:t>
      </w:r>
      <w:r>
        <w:rPr>
          <w:lang w:eastAsia="zh-CN"/>
        </w:rPr>
        <w:t>BR</w:t>
      </w:r>
      <w:r w:rsidR="00B11E40">
        <w:rPr>
          <w:rFonts w:hint="eastAsia"/>
          <w:lang w:eastAsia="zh-CN"/>
        </w:rPr>
        <w:t>根据第</w:t>
      </w:r>
      <w:r w:rsidR="00B11E40" w:rsidRPr="00B11E40">
        <w:rPr>
          <w:b/>
          <w:bCs/>
          <w:lang w:eastAsia="zh-CN"/>
        </w:rPr>
        <w:t>11.31</w:t>
      </w:r>
      <w:r w:rsidR="00B11E40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给予上述</w:t>
      </w:r>
      <w:proofErr w:type="gramStart"/>
      <w:r w:rsidRPr="00E40B69">
        <w:rPr>
          <w:i/>
          <w:iCs/>
          <w:lang w:eastAsia="zh-CN"/>
        </w:rPr>
        <w:t>b)</w:t>
      </w:r>
      <w:r>
        <w:rPr>
          <w:rFonts w:hint="eastAsia"/>
          <w:lang w:eastAsia="zh-CN"/>
        </w:rPr>
        <w:t>部分提及的提交材料</w:t>
      </w:r>
      <w:r w:rsidR="009E1EB1">
        <w:rPr>
          <w:rFonts w:hint="eastAsia"/>
          <w:lang w:eastAsia="zh-CN"/>
        </w:rPr>
        <w:t>做出</w:t>
      </w:r>
      <w:r w:rsidR="00B11E40">
        <w:rPr>
          <w:rFonts w:hint="eastAsia"/>
          <w:lang w:eastAsia="zh-CN"/>
        </w:rPr>
        <w:t>调查结果</w:t>
      </w:r>
      <w:r>
        <w:rPr>
          <w:rFonts w:hint="eastAsia"/>
          <w:lang w:eastAsia="zh-CN"/>
        </w:rPr>
        <w:t>合格</w:t>
      </w:r>
      <w:r w:rsidR="00B11E40">
        <w:rPr>
          <w:rFonts w:hint="eastAsia"/>
          <w:lang w:eastAsia="zh-CN"/>
        </w:rPr>
        <w:t>的结论</w:t>
      </w:r>
      <w:proofErr w:type="gramEnd"/>
      <w:r>
        <w:rPr>
          <w:rFonts w:hint="eastAsia"/>
          <w:lang w:eastAsia="zh-CN"/>
        </w:rPr>
        <w:t>，因为当时的问题通知包括确保功率通量密度符合</w:t>
      </w:r>
      <w:r>
        <w:rPr>
          <w:lang w:eastAsia="zh-CN"/>
        </w:rPr>
        <w:t>RR</w:t>
      </w:r>
      <w:r>
        <w:rPr>
          <w:rFonts w:hint="eastAsia"/>
          <w:lang w:eastAsia="zh-CN"/>
        </w:rPr>
        <w:t>第</w:t>
      </w:r>
      <w:r>
        <w:rPr>
          <w:lang w:eastAsia="zh-CN"/>
        </w:rPr>
        <w:t>21</w:t>
      </w:r>
      <w:r>
        <w:rPr>
          <w:rFonts w:hint="eastAsia"/>
          <w:lang w:eastAsia="zh-CN"/>
        </w:rPr>
        <w:t>条的强制性限值所需的操作</w:t>
      </w:r>
      <w:r>
        <w:rPr>
          <w:lang w:eastAsia="zh-CN"/>
        </w:rPr>
        <w:t>/</w:t>
      </w:r>
      <w:r>
        <w:rPr>
          <w:rFonts w:hint="eastAsia"/>
          <w:lang w:eastAsia="zh-CN"/>
        </w:rPr>
        <w:t>技术</w:t>
      </w:r>
      <w:r w:rsidR="00B11E40">
        <w:rPr>
          <w:rFonts w:hint="eastAsia"/>
          <w:lang w:eastAsia="zh-CN"/>
        </w:rPr>
        <w:t>措施</w:t>
      </w:r>
      <w:r>
        <w:rPr>
          <w:rFonts w:hint="eastAsia"/>
          <w:lang w:eastAsia="zh-CN"/>
        </w:rPr>
        <w:t>；</w:t>
      </w:r>
    </w:p>
    <w:p w14:paraId="790DA026" w14:textId="2E08A2A8" w:rsidR="00391108" w:rsidRPr="00E239D2" w:rsidRDefault="00391108" w:rsidP="00391108">
      <w:pPr>
        <w:rPr>
          <w:lang w:eastAsia="zh-CN"/>
        </w:rPr>
      </w:pPr>
      <w:r w:rsidRPr="00391108">
        <w:rPr>
          <w:i/>
          <w:iCs/>
          <w:lang w:eastAsia="zh-CN"/>
        </w:rPr>
        <w:t>e)</w:t>
      </w:r>
      <w:r>
        <w:rPr>
          <w:lang w:eastAsia="zh-CN"/>
        </w:rPr>
        <w:tab/>
        <w:t>BR</w:t>
      </w:r>
      <w:r>
        <w:rPr>
          <w:rFonts w:hint="eastAsia"/>
          <w:lang w:eastAsia="zh-CN"/>
        </w:rPr>
        <w:t>在执行这项与实施上述条款相关的任务时，关注可在多大程度上接受对空间业务采用的这些操作措施，</w:t>
      </w:r>
      <w:proofErr w:type="gramStart"/>
      <w:r>
        <w:rPr>
          <w:rFonts w:hint="eastAsia"/>
          <w:lang w:eastAsia="zh-CN"/>
        </w:rPr>
        <w:t>同时又不会对共用同一些频段的其它业务造成妨碍</w:t>
      </w:r>
      <w:r w:rsidR="00E40B69">
        <w:rPr>
          <w:rFonts w:hint="eastAsia"/>
          <w:lang w:eastAsia="zh-CN"/>
        </w:rPr>
        <w:t>；</w:t>
      </w:r>
      <w:proofErr w:type="gramEnd"/>
    </w:p>
    <w:p w14:paraId="1AC5C9EB" w14:textId="0973FB99" w:rsidR="00391108" w:rsidRPr="00E239D2" w:rsidRDefault="00391108" w:rsidP="00391108">
      <w:pPr>
        <w:rPr>
          <w:lang w:eastAsia="zh-CN"/>
        </w:rPr>
      </w:pPr>
      <w:r w:rsidRPr="00391108">
        <w:rPr>
          <w:i/>
          <w:iCs/>
          <w:lang w:eastAsia="zh-CN"/>
        </w:rPr>
        <w:t>f)</w:t>
      </w:r>
      <w:r w:rsidRPr="00E239D2">
        <w:rPr>
          <w:lang w:eastAsia="zh-CN"/>
        </w:rPr>
        <w:tab/>
      </w:r>
      <w:r w:rsidRPr="00B73C59">
        <w:rPr>
          <w:rFonts w:hint="eastAsia"/>
          <w:lang w:eastAsia="zh-CN"/>
        </w:rPr>
        <w:t>第</w:t>
      </w:r>
      <w:r w:rsidRPr="00B73C59">
        <w:rPr>
          <w:lang w:eastAsia="zh-CN"/>
        </w:rPr>
        <w:t>21</w:t>
      </w:r>
      <w:r w:rsidRPr="00B73C59">
        <w:rPr>
          <w:rFonts w:hint="eastAsia"/>
          <w:lang w:eastAsia="zh-CN"/>
        </w:rPr>
        <w:t>条不包含针对</w:t>
      </w:r>
      <w:r w:rsidRPr="00B73C59">
        <w:rPr>
          <w:lang w:eastAsia="zh-CN"/>
        </w:rPr>
        <w:t xml:space="preserve">50.2 GHz </w:t>
      </w:r>
      <w:r w:rsidRPr="00B73C59">
        <w:rPr>
          <w:rFonts w:hint="eastAsia"/>
          <w:lang w:eastAsia="zh-CN"/>
        </w:rPr>
        <w:t>以上频段的功率通量密度限值，而且</w:t>
      </w:r>
      <w:r>
        <w:rPr>
          <w:rFonts w:hint="eastAsia"/>
          <w:lang w:eastAsia="zh-CN"/>
        </w:rPr>
        <w:t>还</w:t>
      </w:r>
      <w:r w:rsidRPr="00B73C59">
        <w:rPr>
          <w:rFonts w:hint="eastAsia"/>
          <w:lang w:eastAsia="zh-CN"/>
        </w:rPr>
        <w:t>存在着</w:t>
      </w:r>
      <w:r>
        <w:rPr>
          <w:rFonts w:hint="eastAsia"/>
          <w:lang w:eastAsia="zh-CN"/>
        </w:rPr>
        <w:t>对</w:t>
      </w:r>
      <w:r w:rsidRPr="00B73C59">
        <w:rPr>
          <w:rFonts w:hint="eastAsia"/>
          <w:lang w:eastAsia="zh-CN"/>
        </w:rPr>
        <w:t>卫星广播和卫星固定业务（空对地）与地面业务</w:t>
      </w:r>
      <w:r>
        <w:rPr>
          <w:rFonts w:hint="eastAsia"/>
          <w:lang w:eastAsia="zh-CN"/>
        </w:rPr>
        <w:t>的</w:t>
      </w:r>
      <w:r w:rsidRPr="00B73C59">
        <w:rPr>
          <w:rFonts w:hint="eastAsia"/>
          <w:lang w:eastAsia="zh-CN"/>
        </w:rPr>
        <w:t>共同主要业务频率划分的更高频段，对此不存在</w:t>
      </w:r>
      <w:r>
        <w:rPr>
          <w:rFonts w:hint="eastAsia"/>
          <w:lang w:eastAsia="zh-CN"/>
        </w:rPr>
        <w:t>规则性</w:t>
      </w:r>
      <w:r w:rsidRPr="00B73C59">
        <w:rPr>
          <w:rFonts w:hint="eastAsia"/>
          <w:lang w:eastAsia="zh-CN"/>
        </w:rPr>
        <w:t>共用机制，</w:t>
      </w:r>
    </w:p>
    <w:p w14:paraId="30E001FB" w14:textId="77777777" w:rsidR="00391108" w:rsidRDefault="00391108" w:rsidP="00391108">
      <w:pPr>
        <w:pStyle w:val="Call"/>
        <w:rPr>
          <w:lang w:eastAsia="zh-CN"/>
        </w:rPr>
      </w:pPr>
      <w:r w:rsidRPr="00197149">
        <w:rPr>
          <w:rFonts w:eastAsia="STKaiti" w:hint="eastAsia"/>
          <w:i w:val="0"/>
          <w:iCs/>
          <w:lang w:eastAsia="zh-CN"/>
        </w:rPr>
        <w:t>做出决定，</w:t>
      </w:r>
      <w:r>
        <w:rPr>
          <w:rFonts w:ascii="SimSun" w:hAnsi="SimSun" w:cs="SimSun" w:hint="eastAsia"/>
          <w:i w:val="0"/>
          <w:iCs/>
          <w:lang w:eastAsia="zh-CN"/>
        </w:rPr>
        <w:t>应研究以下课题</w:t>
      </w:r>
    </w:p>
    <w:p w14:paraId="1CB8CA36" w14:textId="2C66C172" w:rsidR="00391108" w:rsidRDefault="00391108" w:rsidP="00391108">
      <w:pPr>
        <w:rPr>
          <w:lang w:eastAsia="zh-CN"/>
        </w:rPr>
      </w:pPr>
      <w:r w:rsidRPr="00391108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空间系统在使用能量扩散、补偿控制及其它调整功率通量密度水平的</w:t>
      </w:r>
      <w:r w:rsidR="00B11E40">
        <w:rPr>
          <w:rFonts w:hint="eastAsia"/>
          <w:lang w:eastAsia="zh-CN"/>
        </w:rPr>
        <w:t>操作措施</w:t>
      </w:r>
      <w:r>
        <w:rPr>
          <w:rFonts w:hint="eastAsia"/>
          <w:lang w:eastAsia="zh-CN"/>
        </w:rPr>
        <w:t>方面具有哪些实际设计能力？</w:t>
      </w:r>
    </w:p>
    <w:p w14:paraId="78322CCA" w14:textId="3D915F64" w:rsidR="00391108" w:rsidRDefault="00391108" w:rsidP="00391108">
      <w:pPr>
        <w:rPr>
          <w:lang w:eastAsia="zh-CN"/>
        </w:rPr>
      </w:pPr>
      <w:r w:rsidRPr="00391108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使用这类功率调整</w:t>
      </w:r>
      <w:r w:rsidR="00B11E40">
        <w:rPr>
          <w:rFonts w:hint="eastAsia"/>
          <w:lang w:eastAsia="zh-CN"/>
        </w:rPr>
        <w:t>措施</w:t>
      </w:r>
      <w:r>
        <w:rPr>
          <w:rFonts w:hint="eastAsia"/>
          <w:lang w:eastAsia="zh-CN"/>
        </w:rPr>
        <w:t>的可行限度</w:t>
      </w:r>
      <w:r w:rsidR="00B11E40">
        <w:rPr>
          <w:rFonts w:hint="eastAsia"/>
          <w:lang w:eastAsia="zh-CN"/>
        </w:rPr>
        <w:t>是什么</w:t>
      </w:r>
      <w:r>
        <w:rPr>
          <w:rFonts w:hint="eastAsia"/>
          <w:lang w:eastAsia="zh-CN"/>
        </w:rPr>
        <w:t>？</w:t>
      </w:r>
    </w:p>
    <w:p w14:paraId="37ED43E9" w14:textId="6D035D57" w:rsidR="00391108" w:rsidRDefault="00391108" w:rsidP="00391108">
      <w:pPr>
        <w:rPr>
          <w:lang w:eastAsia="zh-CN"/>
        </w:rPr>
      </w:pPr>
      <w:r w:rsidRPr="00391108"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以哪些技术手段可将这类</w:t>
      </w:r>
      <w:r w:rsidR="00B11E40">
        <w:rPr>
          <w:rFonts w:hint="eastAsia"/>
          <w:lang w:eastAsia="zh-CN"/>
        </w:rPr>
        <w:t>措施</w:t>
      </w:r>
      <w:r>
        <w:rPr>
          <w:rFonts w:hint="eastAsia"/>
          <w:lang w:eastAsia="zh-CN"/>
        </w:rPr>
        <w:t>用于特定服务区或某一到达角的范围内？</w:t>
      </w:r>
    </w:p>
    <w:p w14:paraId="2453054F" w14:textId="77777777" w:rsidR="00391108" w:rsidRPr="00E239D2" w:rsidRDefault="00391108" w:rsidP="00391108">
      <w:pPr>
        <w:rPr>
          <w:lang w:eastAsia="zh-CN"/>
        </w:rPr>
      </w:pPr>
      <w:r w:rsidRPr="00391108">
        <w:rPr>
          <w:bCs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这些操作措施（例如提高补偿以解决过高的功率通量密度）会对相关服务区的上述卫星网络的性能产生什么影响？</w:t>
      </w:r>
    </w:p>
    <w:p w14:paraId="5D19A8E9" w14:textId="77777777" w:rsidR="006A5C83" w:rsidRDefault="006A5C8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hAnsi="SimSun" w:cs="SimSun"/>
          <w:iCs/>
          <w:lang w:eastAsia="zh-CN"/>
        </w:rPr>
      </w:pPr>
      <w:r>
        <w:rPr>
          <w:rFonts w:ascii="SimSun" w:hAnsi="SimSun" w:cs="SimSun"/>
          <w:i/>
          <w:iCs/>
          <w:lang w:eastAsia="zh-CN"/>
        </w:rPr>
        <w:br w:type="page"/>
      </w:r>
    </w:p>
    <w:p w14:paraId="1FFF5C00" w14:textId="5EB83D6F" w:rsidR="00391108" w:rsidRPr="003B1896" w:rsidRDefault="00391108" w:rsidP="00391108">
      <w:pPr>
        <w:pStyle w:val="Call"/>
        <w:spacing w:before="240"/>
        <w:rPr>
          <w:rFonts w:ascii="STKaiti" w:eastAsia="STKaiti" w:hAnsi="STKaiti"/>
          <w:i w:val="0"/>
          <w:iCs/>
          <w:lang w:eastAsia="zh-CN"/>
        </w:rPr>
      </w:pPr>
      <w:r w:rsidRPr="003B1896">
        <w:rPr>
          <w:rFonts w:ascii="STKaiti" w:eastAsia="STKaiti" w:hAnsi="STKaiti" w:cs="SimSun" w:hint="eastAsia"/>
          <w:i w:val="0"/>
          <w:iCs/>
          <w:lang w:eastAsia="zh-CN"/>
        </w:rPr>
        <w:lastRenderedPageBreak/>
        <w:t>进</w:t>
      </w:r>
      <w:r w:rsidRPr="003B1896">
        <w:rPr>
          <w:rFonts w:ascii="STKaiti" w:eastAsia="STKaiti" w:hAnsi="STKaiti" w:cs="MS Mincho" w:hint="eastAsia"/>
          <w:i w:val="0"/>
          <w:iCs/>
          <w:lang w:eastAsia="zh-CN"/>
        </w:rPr>
        <w:t>一</w:t>
      </w:r>
      <w:r w:rsidRPr="003B1896">
        <w:rPr>
          <w:rFonts w:ascii="STKaiti" w:eastAsia="STKaiti" w:hAnsi="STKaiti" w:cs="SimSun" w:hint="eastAsia"/>
          <w:i w:val="0"/>
          <w:iCs/>
          <w:lang w:eastAsia="zh-CN"/>
        </w:rPr>
        <w:t>步</w:t>
      </w:r>
      <w:r w:rsidRPr="003B1896">
        <w:rPr>
          <w:rFonts w:ascii="STKaiti" w:eastAsia="STKaiti" w:hAnsi="STKaiti" w:cs="MS Mincho" w:hint="eastAsia"/>
          <w:i w:val="0"/>
          <w:iCs/>
          <w:lang w:eastAsia="zh-CN"/>
        </w:rPr>
        <w:t>做出决定</w:t>
      </w:r>
    </w:p>
    <w:p w14:paraId="22793D99" w14:textId="77777777" w:rsidR="00391108" w:rsidRDefault="00391108" w:rsidP="00391108">
      <w:pPr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以上研究结果应纳入相应建议书和</w:t>
      </w:r>
      <w:r>
        <w:rPr>
          <w:rFonts w:hint="eastAsia"/>
          <w:lang w:eastAsia="zh-CN"/>
        </w:rPr>
        <w:t>/</w:t>
      </w:r>
      <w:proofErr w:type="gramStart"/>
      <w:r>
        <w:rPr>
          <w:rFonts w:hint="eastAsia"/>
          <w:lang w:eastAsia="zh-CN"/>
        </w:rPr>
        <w:t>或报告；</w:t>
      </w:r>
      <w:proofErr w:type="gramEnd"/>
    </w:p>
    <w:p w14:paraId="203CE901" w14:textId="478BFDA3" w:rsidR="00391108" w:rsidRDefault="00391108" w:rsidP="00391108">
      <w:pPr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以上研究应在</w:t>
      </w:r>
      <w:r w:rsidR="00654B07">
        <w:rPr>
          <w:rFonts w:hint="eastAsia"/>
          <w:lang w:eastAsia="zh-CN"/>
        </w:rPr>
        <w:t>20</w:t>
      </w:r>
      <w:r w:rsidR="00654B07">
        <w:rPr>
          <w:lang w:eastAsia="zh-CN"/>
        </w:rPr>
        <w:t>2</w:t>
      </w:r>
      <w:r w:rsidR="00B11E40">
        <w:rPr>
          <w:lang w:eastAsia="zh-CN"/>
        </w:rPr>
        <w:t>5</w:t>
      </w:r>
      <w:r>
        <w:rPr>
          <w:rFonts w:hint="eastAsia"/>
          <w:lang w:eastAsia="zh-CN"/>
        </w:rPr>
        <w:t>年之前完成。</w:t>
      </w:r>
    </w:p>
    <w:p w14:paraId="102EF92E" w14:textId="77777777" w:rsidR="000E5AD9" w:rsidRDefault="000E5AD9" w:rsidP="00391108">
      <w:pPr>
        <w:tabs>
          <w:tab w:val="left" w:pos="993"/>
        </w:tabs>
        <w:spacing w:before="240"/>
        <w:rPr>
          <w:lang w:eastAsia="zh-CN"/>
        </w:rPr>
      </w:pPr>
    </w:p>
    <w:p w14:paraId="5BC39DB5" w14:textId="4187C21F" w:rsidR="00391108" w:rsidRPr="00B51100" w:rsidRDefault="00391108" w:rsidP="00391108">
      <w:pPr>
        <w:tabs>
          <w:tab w:val="left" w:pos="993"/>
        </w:tabs>
        <w:spacing w:before="240"/>
        <w:rPr>
          <w:b/>
          <w:lang w:eastAsia="zh-CN"/>
        </w:rPr>
      </w:pPr>
      <w:r w:rsidRPr="00A364CE">
        <w:rPr>
          <w:rFonts w:hint="eastAsia"/>
          <w:lang w:eastAsia="zh-CN"/>
        </w:rPr>
        <w:t>类别</w:t>
      </w:r>
      <w:r>
        <w:rPr>
          <w:lang w:eastAsia="zh-CN"/>
        </w:rPr>
        <w:t>:</w:t>
      </w:r>
      <w:r w:rsidRPr="00B51100">
        <w:rPr>
          <w:lang w:eastAsia="zh-CN"/>
        </w:rPr>
        <w:t xml:space="preserve"> S</w:t>
      </w:r>
      <w:r>
        <w:rPr>
          <w:lang w:eastAsia="zh-CN"/>
        </w:rPr>
        <w:t>1</w:t>
      </w:r>
    </w:p>
    <w:sectPr w:rsidR="00391108" w:rsidRPr="00B51100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5D65" w14:textId="77777777" w:rsidR="006A35C5" w:rsidRDefault="006A35C5">
      <w:r>
        <w:separator/>
      </w:r>
    </w:p>
  </w:endnote>
  <w:endnote w:type="continuationSeparator" w:id="0">
    <w:p w14:paraId="637911BA" w14:textId="77777777" w:rsidR="006A35C5" w:rsidRDefault="006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92B6" w14:textId="77777777" w:rsidR="00E40B69" w:rsidRDefault="00E40B69" w:rsidP="00E40B69">
    <w:pPr>
      <w:pStyle w:val="Footer"/>
    </w:pPr>
    <w:fldSimple w:instr=" FILENAME \p  \* MERGEFORMAT ">
      <w:r>
        <w:t>P:\CHI\ITU-R\BR\SGD\527983C.docx</w:t>
      </w:r>
    </w:fldSimple>
    <w:r>
      <w:t xml:space="preserve"> (527983)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1A7E" w14:textId="77777777" w:rsidR="006A35C5" w:rsidRDefault="006A35C5">
      <w:r>
        <w:t>____________________</w:t>
      </w:r>
    </w:p>
  </w:footnote>
  <w:footnote w:type="continuationSeparator" w:id="0">
    <w:p w14:paraId="4A1CC16A" w14:textId="77777777" w:rsidR="006A35C5" w:rsidRDefault="006A35C5">
      <w:r>
        <w:continuationSeparator/>
      </w:r>
    </w:p>
  </w:footnote>
  <w:footnote w:id="1">
    <w:p w14:paraId="223EDAD5" w14:textId="1E8485CC" w:rsidR="00B11E40" w:rsidRPr="009E1EB1" w:rsidRDefault="00B11E40" w:rsidP="00B11E40">
      <w:pPr>
        <w:pStyle w:val="FootnoteText"/>
        <w:rPr>
          <w:lang w:val="en-US" w:eastAsia="zh-CN"/>
        </w:rPr>
      </w:pPr>
      <w:r w:rsidRPr="004E58A6">
        <w:rPr>
          <w:rStyle w:val="FootnoteReference"/>
        </w:rPr>
        <w:sym w:font="Symbol" w:char="F02A"/>
      </w:r>
      <w:r w:rsidRPr="00B11E40">
        <w:rPr>
          <w:rFonts w:hint="eastAsia"/>
          <w:lang w:eastAsia="zh-CN"/>
        </w:rPr>
        <w:t>无线电通信第</w:t>
      </w:r>
      <w:r w:rsidRPr="00B11E40">
        <w:rPr>
          <w:rFonts w:hint="eastAsia"/>
          <w:lang w:eastAsia="zh-CN"/>
        </w:rPr>
        <w:t>4</w:t>
      </w:r>
      <w:r w:rsidRPr="00B11E40">
        <w:rPr>
          <w:rFonts w:hint="eastAsia"/>
          <w:lang w:eastAsia="zh-CN"/>
        </w:rPr>
        <w:t>研究组根据</w:t>
      </w:r>
      <w:r w:rsidRPr="00B11E40"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 w:rsidRPr="00B11E40">
        <w:rPr>
          <w:rFonts w:hint="eastAsia"/>
          <w:lang w:eastAsia="zh-CN"/>
        </w:rPr>
        <w:t>1</w:t>
      </w:r>
      <w:r w:rsidRPr="00B11E40">
        <w:rPr>
          <w:rFonts w:hint="eastAsia"/>
          <w:lang w:eastAsia="zh-CN"/>
        </w:rPr>
        <w:t>号决议于</w:t>
      </w:r>
      <w:r w:rsidRPr="00B11E40">
        <w:rPr>
          <w:rFonts w:hint="eastAsia"/>
          <w:lang w:eastAsia="zh-CN"/>
        </w:rPr>
        <w:t>2023</w:t>
      </w:r>
      <w:r w:rsidRPr="00B11E40">
        <w:rPr>
          <w:rFonts w:hint="eastAsia"/>
          <w:lang w:eastAsia="zh-CN"/>
        </w:rPr>
        <w:t>年对</w:t>
      </w:r>
      <w:r>
        <w:rPr>
          <w:rFonts w:hint="eastAsia"/>
          <w:lang w:eastAsia="zh-CN"/>
        </w:rPr>
        <w:t>此课题</w:t>
      </w:r>
      <w:r w:rsidRPr="00B11E40">
        <w:rPr>
          <w:rFonts w:hint="eastAsia"/>
          <w:lang w:eastAsia="zh-CN"/>
        </w:rPr>
        <w:t>进行了编辑</w:t>
      </w:r>
      <w:r>
        <w:rPr>
          <w:rFonts w:hint="eastAsia"/>
          <w:lang w:eastAsia="zh-CN"/>
        </w:rPr>
        <w:t>性</w:t>
      </w:r>
      <w:r w:rsidRPr="00B11E40">
        <w:rPr>
          <w:rFonts w:hint="eastAsia"/>
          <w:lang w:eastAsia="zh-CN"/>
        </w:rPr>
        <w:t>修</w:t>
      </w:r>
      <w:r>
        <w:rPr>
          <w:rFonts w:hint="eastAsia"/>
          <w:lang w:eastAsia="zh-CN"/>
        </w:rPr>
        <w:t>正</w:t>
      </w:r>
      <w:r w:rsidRPr="00B11E40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BFAE" w14:textId="3BFEA5BD" w:rsidR="006A35C5" w:rsidRDefault="006A35C5" w:rsidP="00E55723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32A3"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3D"/>
    <w:multiLevelType w:val="hybridMultilevel"/>
    <w:tmpl w:val="37261A4C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C3FC9"/>
    <w:multiLevelType w:val="hybridMultilevel"/>
    <w:tmpl w:val="00CCE366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3E5469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E02"/>
    <w:multiLevelType w:val="singleLevel"/>
    <w:tmpl w:val="8B6661E8"/>
    <w:lvl w:ilvl="0">
      <w:start w:val="7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5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190061">
    <w:abstractNumId w:val="7"/>
  </w:num>
  <w:num w:numId="2" w16cid:durableId="1126849086">
    <w:abstractNumId w:val="5"/>
  </w:num>
  <w:num w:numId="3" w16cid:durableId="1022827725">
    <w:abstractNumId w:val="3"/>
  </w:num>
  <w:num w:numId="4" w16cid:durableId="131294289">
    <w:abstractNumId w:val="4"/>
  </w:num>
  <w:num w:numId="5" w16cid:durableId="1475220350">
    <w:abstractNumId w:val="6"/>
  </w:num>
  <w:num w:numId="6" w16cid:durableId="459230682">
    <w:abstractNumId w:val="1"/>
  </w:num>
  <w:num w:numId="7" w16cid:durableId="670186265">
    <w:abstractNumId w:val="2"/>
  </w:num>
  <w:num w:numId="8" w16cid:durableId="184143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E4"/>
    <w:rsid w:val="0000093F"/>
    <w:rsid w:val="00004F7A"/>
    <w:rsid w:val="00007481"/>
    <w:rsid w:val="00014060"/>
    <w:rsid w:val="000154CE"/>
    <w:rsid w:val="00022899"/>
    <w:rsid w:val="000244B3"/>
    <w:rsid w:val="00025A19"/>
    <w:rsid w:val="00026271"/>
    <w:rsid w:val="00032A3F"/>
    <w:rsid w:val="00035BA0"/>
    <w:rsid w:val="00035C31"/>
    <w:rsid w:val="00042453"/>
    <w:rsid w:val="00043F9B"/>
    <w:rsid w:val="00044909"/>
    <w:rsid w:val="00051295"/>
    <w:rsid w:val="000567E6"/>
    <w:rsid w:val="00060073"/>
    <w:rsid w:val="000604AA"/>
    <w:rsid w:val="00065741"/>
    <w:rsid w:val="00073DA0"/>
    <w:rsid w:val="00074A20"/>
    <w:rsid w:val="00075419"/>
    <w:rsid w:val="000756DA"/>
    <w:rsid w:val="0007758D"/>
    <w:rsid w:val="00086714"/>
    <w:rsid w:val="0008755E"/>
    <w:rsid w:val="00091ECB"/>
    <w:rsid w:val="0009360D"/>
    <w:rsid w:val="000942BF"/>
    <w:rsid w:val="00095EB8"/>
    <w:rsid w:val="000961E0"/>
    <w:rsid w:val="00096F26"/>
    <w:rsid w:val="000974E6"/>
    <w:rsid w:val="00097A10"/>
    <w:rsid w:val="000A51E9"/>
    <w:rsid w:val="000B0864"/>
    <w:rsid w:val="000B7B83"/>
    <w:rsid w:val="000C2005"/>
    <w:rsid w:val="000C3092"/>
    <w:rsid w:val="000C4D73"/>
    <w:rsid w:val="000C52F3"/>
    <w:rsid w:val="000C5303"/>
    <w:rsid w:val="000C59E9"/>
    <w:rsid w:val="000C60DB"/>
    <w:rsid w:val="000C61C3"/>
    <w:rsid w:val="000D13D6"/>
    <w:rsid w:val="000D28F6"/>
    <w:rsid w:val="000D35EE"/>
    <w:rsid w:val="000D775E"/>
    <w:rsid w:val="000E05E3"/>
    <w:rsid w:val="000E52B0"/>
    <w:rsid w:val="000E5AD9"/>
    <w:rsid w:val="000E6B8F"/>
    <w:rsid w:val="000F043E"/>
    <w:rsid w:val="000F602E"/>
    <w:rsid w:val="000F79D6"/>
    <w:rsid w:val="00101F25"/>
    <w:rsid w:val="00102991"/>
    <w:rsid w:val="00105625"/>
    <w:rsid w:val="0010729A"/>
    <w:rsid w:val="00114A82"/>
    <w:rsid w:val="0011546A"/>
    <w:rsid w:val="001158A2"/>
    <w:rsid w:val="001159E2"/>
    <w:rsid w:val="001162D9"/>
    <w:rsid w:val="00116594"/>
    <w:rsid w:val="00120621"/>
    <w:rsid w:val="00122795"/>
    <w:rsid w:val="00131CD4"/>
    <w:rsid w:val="00134E78"/>
    <w:rsid w:val="0014416F"/>
    <w:rsid w:val="00146241"/>
    <w:rsid w:val="00160930"/>
    <w:rsid w:val="00160ED6"/>
    <w:rsid w:val="00162F46"/>
    <w:rsid w:val="00165A81"/>
    <w:rsid w:val="00166761"/>
    <w:rsid w:val="001737BE"/>
    <w:rsid w:val="001748AE"/>
    <w:rsid w:val="00183CF0"/>
    <w:rsid w:val="00186C82"/>
    <w:rsid w:val="0019318E"/>
    <w:rsid w:val="001936A2"/>
    <w:rsid w:val="00195E2C"/>
    <w:rsid w:val="001A23E9"/>
    <w:rsid w:val="001A5B76"/>
    <w:rsid w:val="001A70B6"/>
    <w:rsid w:val="001C74EA"/>
    <w:rsid w:val="001D278A"/>
    <w:rsid w:val="001E5C75"/>
    <w:rsid w:val="001E6D81"/>
    <w:rsid w:val="00202AE2"/>
    <w:rsid w:val="002030D0"/>
    <w:rsid w:val="00204C92"/>
    <w:rsid w:val="002057A9"/>
    <w:rsid w:val="00212899"/>
    <w:rsid w:val="0022254A"/>
    <w:rsid w:val="00222D10"/>
    <w:rsid w:val="00231A19"/>
    <w:rsid w:val="00235A19"/>
    <w:rsid w:val="00237BCB"/>
    <w:rsid w:val="0024094E"/>
    <w:rsid w:val="00240A24"/>
    <w:rsid w:val="00241827"/>
    <w:rsid w:val="002435C2"/>
    <w:rsid w:val="00244157"/>
    <w:rsid w:val="00244181"/>
    <w:rsid w:val="00256AC0"/>
    <w:rsid w:val="00260516"/>
    <w:rsid w:val="002658F2"/>
    <w:rsid w:val="002703EA"/>
    <w:rsid w:val="00270F08"/>
    <w:rsid w:val="00281090"/>
    <w:rsid w:val="00284CC8"/>
    <w:rsid w:val="00285727"/>
    <w:rsid w:val="002958E7"/>
    <w:rsid w:val="00296868"/>
    <w:rsid w:val="00297C33"/>
    <w:rsid w:val="00297F7F"/>
    <w:rsid w:val="002A6C03"/>
    <w:rsid w:val="002B1A37"/>
    <w:rsid w:val="002B53F0"/>
    <w:rsid w:val="002B6704"/>
    <w:rsid w:val="002B6C7F"/>
    <w:rsid w:val="002C0421"/>
    <w:rsid w:val="002C0A0D"/>
    <w:rsid w:val="002C1B6B"/>
    <w:rsid w:val="002C4297"/>
    <w:rsid w:val="002C49BA"/>
    <w:rsid w:val="002C4CC3"/>
    <w:rsid w:val="002C62D4"/>
    <w:rsid w:val="002D39C5"/>
    <w:rsid w:val="002D7D7A"/>
    <w:rsid w:val="002E0370"/>
    <w:rsid w:val="002E50FB"/>
    <w:rsid w:val="002E7E64"/>
    <w:rsid w:val="002F011A"/>
    <w:rsid w:val="002F0D25"/>
    <w:rsid w:val="002F3C94"/>
    <w:rsid w:val="00301AB3"/>
    <w:rsid w:val="003042A5"/>
    <w:rsid w:val="003049F0"/>
    <w:rsid w:val="00305AF8"/>
    <w:rsid w:val="00305B52"/>
    <w:rsid w:val="0030633B"/>
    <w:rsid w:val="00311F0C"/>
    <w:rsid w:val="00316156"/>
    <w:rsid w:val="00323940"/>
    <w:rsid w:val="00327410"/>
    <w:rsid w:val="00341F8F"/>
    <w:rsid w:val="0034516F"/>
    <w:rsid w:val="00346FFD"/>
    <w:rsid w:val="0036245E"/>
    <w:rsid w:val="00362A3C"/>
    <w:rsid w:val="00367360"/>
    <w:rsid w:val="00372C79"/>
    <w:rsid w:val="00374CA5"/>
    <w:rsid w:val="003763A9"/>
    <w:rsid w:val="00381E16"/>
    <w:rsid w:val="00384EFC"/>
    <w:rsid w:val="00391108"/>
    <w:rsid w:val="00392AD9"/>
    <w:rsid w:val="0039536F"/>
    <w:rsid w:val="003A40CE"/>
    <w:rsid w:val="003A7661"/>
    <w:rsid w:val="003A7A4E"/>
    <w:rsid w:val="003B0B29"/>
    <w:rsid w:val="003B1896"/>
    <w:rsid w:val="003B55A5"/>
    <w:rsid w:val="003B778F"/>
    <w:rsid w:val="003C0AE2"/>
    <w:rsid w:val="003C7833"/>
    <w:rsid w:val="003E1157"/>
    <w:rsid w:val="003E7CB2"/>
    <w:rsid w:val="003F148E"/>
    <w:rsid w:val="003F1C54"/>
    <w:rsid w:val="003F7593"/>
    <w:rsid w:val="00406FC3"/>
    <w:rsid w:val="004162F0"/>
    <w:rsid w:val="00420AAE"/>
    <w:rsid w:val="00425C70"/>
    <w:rsid w:val="00431FAE"/>
    <w:rsid w:val="004321AA"/>
    <w:rsid w:val="004353E2"/>
    <w:rsid w:val="00440676"/>
    <w:rsid w:val="00441D49"/>
    <w:rsid w:val="00444463"/>
    <w:rsid w:val="0044487B"/>
    <w:rsid w:val="004452C8"/>
    <w:rsid w:val="00446435"/>
    <w:rsid w:val="004478B4"/>
    <w:rsid w:val="00450B15"/>
    <w:rsid w:val="00451E5F"/>
    <w:rsid w:val="004536F0"/>
    <w:rsid w:val="004537C8"/>
    <w:rsid w:val="004775DB"/>
    <w:rsid w:val="0049135E"/>
    <w:rsid w:val="00494365"/>
    <w:rsid w:val="00496C62"/>
    <w:rsid w:val="004A0817"/>
    <w:rsid w:val="004A26BF"/>
    <w:rsid w:val="004A2EFC"/>
    <w:rsid w:val="004A59D6"/>
    <w:rsid w:val="004A7C9D"/>
    <w:rsid w:val="004B1EF4"/>
    <w:rsid w:val="004B7A2F"/>
    <w:rsid w:val="004C5B0A"/>
    <w:rsid w:val="004D0875"/>
    <w:rsid w:val="004D20A4"/>
    <w:rsid w:val="004D53B9"/>
    <w:rsid w:val="004D6858"/>
    <w:rsid w:val="004E0A75"/>
    <w:rsid w:val="004E736D"/>
    <w:rsid w:val="004F172A"/>
    <w:rsid w:val="004F4EA8"/>
    <w:rsid w:val="004F564D"/>
    <w:rsid w:val="004F715F"/>
    <w:rsid w:val="00500B6E"/>
    <w:rsid w:val="00500E62"/>
    <w:rsid w:val="0050170C"/>
    <w:rsid w:val="00510F63"/>
    <w:rsid w:val="00512031"/>
    <w:rsid w:val="005270D1"/>
    <w:rsid w:val="0053140C"/>
    <w:rsid w:val="00544507"/>
    <w:rsid w:val="005559C0"/>
    <w:rsid w:val="00557457"/>
    <w:rsid w:val="005578B0"/>
    <w:rsid w:val="00557B04"/>
    <w:rsid w:val="00566BCE"/>
    <w:rsid w:val="0056750C"/>
    <w:rsid w:val="0057104B"/>
    <w:rsid w:val="005717B8"/>
    <w:rsid w:val="005745FF"/>
    <w:rsid w:val="005831E6"/>
    <w:rsid w:val="00586C68"/>
    <w:rsid w:val="0059070B"/>
    <w:rsid w:val="00593E4F"/>
    <w:rsid w:val="005A34B1"/>
    <w:rsid w:val="005B086C"/>
    <w:rsid w:val="005B0ADB"/>
    <w:rsid w:val="005B0BE3"/>
    <w:rsid w:val="005B3492"/>
    <w:rsid w:val="005B5DBE"/>
    <w:rsid w:val="005B6BD7"/>
    <w:rsid w:val="005B73D0"/>
    <w:rsid w:val="005C268D"/>
    <w:rsid w:val="005C3FFF"/>
    <w:rsid w:val="005C6499"/>
    <w:rsid w:val="005C76B4"/>
    <w:rsid w:val="005D24E4"/>
    <w:rsid w:val="005D324F"/>
    <w:rsid w:val="005D4C1B"/>
    <w:rsid w:val="005D5219"/>
    <w:rsid w:val="005E07AD"/>
    <w:rsid w:val="005E1D2D"/>
    <w:rsid w:val="005E3A38"/>
    <w:rsid w:val="005E5856"/>
    <w:rsid w:val="005E7FD2"/>
    <w:rsid w:val="005F0A02"/>
    <w:rsid w:val="005F0FA7"/>
    <w:rsid w:val="005F3E50"/>
    <w:rsid w:val="005F4A80"/>
    <w:rsid w:val="00601074"/>
    <w:rsid w:val="006022C5"/>
    <w:rsid w:val="00604A7A"/>
    <w:rsid w:val="006154DF"/>
    <w:rsid w:val="00625BE1"/>
    <w:rsid w:val="0062690A"/>
    <w:rsid w:val="006343F6"/>
    <w:rsid w:val="006429F7"/>
    <w:rsid w:val="0064552A"/>
    <w:rsid w:val="00654B07"/>
    <w:rsid w:val="00662B44"/>
    <w:rsid w:val="006651D1"/>
    <w:rsid w:val="006668C5"/>
    <w:rsid w:val="00676E1C"/>
    <w:rsid w:val="00681C3F"/>
    <w:rsid w:val="006972BF"/>
    <w:rsid w:val="006A35C5"/>
    <w:rsid w:val="006A5C83"/>
    <w:rsid w:val="006A7E2E"/>
    <w:rsid w:val="006B4F22"/>
    <w:rsid w:val="006C12C2"/>
    <w:rsid w:val="006C4D71"/>
    <w:rsid w:val="006C518D"/>
    <w:rsid w:val="006C671B"/>
    <w:rsid w:val="006C68F5"/>
    <w:rsid w:val="006C713C"/>
    <w:rsid w:val="006D2021"/>
    <w:rsid w:val="006D6B40"/>
    <w:rsid w:val="006E031E"/>
    <w:rsid w:val="006E1B7F"/>
    <w:rsid w:val="006E484C"/>
    <w:rsid w:val="006E5179"/>
    <w:rsid w:val="006F429F"/>
    <w:rsid w:val="006F6A73"/>
    <w:rsid w:val="006F6FB1"/>
    <w:rsid w:val="00713820"/>
    <w:rsid w:val="00716236"/>
    <w:rsid w:val="007169A5"/>
    <w:rsid w:val="00721F52"/>
    <w:rsid w:val="007227C7"/>
    <w:rsid w:val="007237DC"/>
    <w:rsid w:val="00727794"/>
    <w:rsid w:val="00732D2E"/>
    <w:rsid w:val="00735CA6"/>
    <w:rsid w:val="00735DA5"/>
    <w:rsid w:val="00737E26"/>
    <w:rsid w:val="00745599"/>
    <w:rsid w:val="007514DB"/>
    <w:rsid w:val="007545FC"/>
    <w:rsid w:val="00757284"/>
    <w:rsid w:val="00763CEA"/>
    <w:rsid w:val="0076520E"/>
    <w:rsid w:val="0076571D"/>
    <w:rsid w:val="00770481"/>
    <w:rsid w:val="0077137B"/>
    <w:rsid w:val="0077327D"/>
    <w:rsid w:val="007736E7"/>
    <w:rsid w:val="00784B10"/>
    <w:rsid w:val="00793CC5"/>
    <w:rsid w:val="00795856"/>
    <w:rsid w:val="007B5311"/>
    <w:rsid w:val="007B55D3"/>
    <w:rsid w:val="007C33EF"/>
    <w:rsid w:val="007C6C20"/>
    <w:rsid w:val="007C7E48"/>
    <w:rsid w:val="007E24CB"/>
    <w:rsid w:val="007E2F1E"/>
    <w:rsid w:val="007E2FBA"/>
    <w:rsid w:val="007F2DA8"/>
    <w:rsid w:val="007F519F"/>
    <w:rsid w:val="007F6F62"/>
    <w:rsid w:val="00801B94"/>
    <w:rsid w:val="0080329D"/>
    <w:rsid w:val="00806A35"/>
    <w:rsid w:val="00807D03"/>
    <w:rsid w:val="00814A01"/>
    <w:rsid w:val="00816C3A"/>
    <w:rsid w:val="0081752C"/>
    <w:rsid w:val="00817B9B"/>
    <w:rsid w:val="00826E2F"/>
    <w:rsid w:val="008322DF"/>
    <w:rsid w:val="00833081"/>
    <w:rsid w:val="008337F2"/>
    <w:rsid w:val="0083399A"/>
    <w:rsid w:val="00836585"/>
    <w:rsid w:val="00842B5C"/>
    <w:rsid w:val="0085122E"/>
    <w:rsid w:val="00854B44"/>
    <w:rsid w:val="008644E4"/>
    <w:rsid w:val="0086660E"/>
    <w:rsid w:val="008812E3"/>
    <w:rsid w:val="0089659A"/>
    <w:rsid w:val="008969D3"/>
    <w:rsid w:val="008A1E8B"/>
    <w:rsid w:val="008B514D"/>
    <w:rsid w:val="008B5EBD"/>
    <w:rsid w:val="008C2BB7"/>
    <w:rsid w:val="008C4F2D"/>
    <w:rsid w:val="008C6807"/>
    <w:rsid w:val="008C6F55"/>
    <w:rsid w:val="008D206A"/>
    <w:rsid w:val="008D39FB"/>
    <w:rsid w:val="008D3DFE"/>
    <w:rsid w:val="008D5CBB"/>
    <w:rsid w:val="008D7A54"/>
    <w:rsid w:val="008E0ACA"/>
    <w:rsid w:val="008E24D0"/>
    <w:rsid w:val="008F2BE6"/>
    <w:rsid w:val="008F2E15"/>
    <w:rsid w:val="00900D91"/>
    <w:rsid w:val="00903634"/>
    <w:rsid w:val="00906A5E"/>
    <w:rsid w:val="00906FAC"/>
    <w:rsid w:val="00907AAB"/>
    <w:rsid w:val="00911046"/>
    <w:rsid w:val="009111C7"/>
    <w:rsid w:val="009132FE"/>
    <w:rsid w:val="00914585"/>
    <w:rsid w:val="00914836"/>
    <w:rsid w:val="00921D2B"/>
    <w:rsid w:val="0092200C"/>
    <w:rsid w:val="00926921"/>
    <w:rsid w:val="00937C30"/>
    <w:rsid w:val="00941EA7"/>
    <w:rsid w:val="00944025"/>
    <w:rsid w:val="0094437E"/>
    <w:rsid w:val="00946E13"/>
    <w:rsid w:val="00946E8A"/>
    <w:rsid w:val="009470E2"/>
    <w:rsid w:val="00947D0B"/>
    <w:rsid w:val="0095064D"/>
    <w:rsid w:val="00954AFD"/>
    <w:rsid w:val="009574D3"/>
    <w:rsid w:val="00961F64"/>
    <w:rsid w:val="009646BE"/>
    <w:rsid w:val="009669E1"/>
    <w:rsid w:val="00977A19"/>
    <w:rsid w:val="00983C6B"/>
    <w:rsid w:val="00984E11"/>
    <w:rsid w:val="00991382"/>
    <w:rsid w:val="00995D65"/>
    <w:rsid w:val="00997513"/>
    <w:rsid w:val="009A0BF3"/>
    <w:rsid w:val="009A0EE8"/>
    <w:rsid w:val="009A32A3"/>
    <w:rsid w:val="009A5051"/>
    <w:rsid w:val="009B7A07"/>
    <w:rsid w:val="009C176E"/>
    <w:rsid w:val="009C26F3"/>
    <w:rsid w:val="009C280E"/>
    <w:rsid w:val="009C7513"/>
    <w:rsid w:val="009D5311"/>
    <w:rsid w:val="009D5639"/>
    <w:rsid w:val="009D65F3"/>
    <w:rsid w:val="009D70AB"/>
    <w:rsid w:val="009E1EB1"/>
    <w:rsid w:val="009E2C28"/>
    <w:rsid w:val="009E67FE"/>
    <w:rsid w:val="009F3D92"/>
    <w:rsid w:val="009F5718"/>
    <w:rsid w:val="009F618C"/>
    <w:rsid w:val="009F735F"/>
    <w:rsid w:val="00A022EC"/>
    <w:rsid w:val="00A028E8"/>
    <w:rsid w:val="00A152C1"/>
    <w:rsid w:val="00A24682"/>
    <w:rsid w:val="00A35F6E"/>
    <w:rsid w:val="00A37E73"/>
    <w:rsid w:val="00A416CA"/>
    <w:rsid w:val="00A4306B"/>
    <w:rsid w:val="00A46DE5"/>
    <w:rsid w:val="00A56BC9"/>
    <w:rsid w:val="00A61E0E"/>
    <w:rsid w:val="00A641A8"/>
    <w:rsid w:val="00A64745"/>
    <w:rsid w:val="00A72089"/>
    <w:rsid w:val="00A74D8B"/>
    <w:rsid w:val="00A808FA"/>
    <w:rsid w:val="00A80A7A"/>
    <w:rsid w:val="00A8476B"/>
    <w:rsid w:val="00A855BB"/>
    <w:rsid w:val="00A859A1"/>
    <w:rsid w:val="00A869F1"/>
    <w:rsid w:val="00A8725A"/>
    <w:rsid w:val="00A87625"/>
    <w:rsid w:val="00A92608"/>
    <w:rsid w:val="00A9372B"/>
    <w:rsid w:val="00AA299A"/>
    <w:rsid w:val="00AA37FC"/>
    <w:rsid w:val="00AA45A6"/>
    <w:rsid w:val="00AA4D16"/>
    <w:rsid w:val="00AA666A"/>
    <w:rsid w:val="00AA6697"/>
    <w:rsid w:val="00AB501C"/>
    <w:rsid w:val="00AB566E"/>
    <w:rsid w:val="00AC007E"/>
    <w:rsid w:val="00AC0F16"/>
    <w:rsid w:val="00AC3668"/>
    <w:rsid w:val="00AD2900"/>
    <w:rsid w:val="00AD34D3"/>
    <w:rsid w:val="00AD6644"/>
    <w:rsid w:val="00AE4229"/>
    <w:rsid w:val="00AE510D"/>
    <w:rsid w:val="00AE7E7A"/>
    <w:rsid w:val="00AF0A6A"/>
    <w:rsid w:val="00AF56DA"/>
    <w:rsid w:val="00AF7F0A"/>
    <w:rsid w:val="00B02987"/>
    <w:rsid w:val="00B065EB"/>
    <w:rsid w:val="00B11E40"/>
    <w:rsid w:val="00B140EB"/>
    <w:rsid w:val="00B14282"/>
    <w:rsid w:val="00B16494"/>
    <w:rsid w:val="00B2144B"/>
    <w:rsid w:val="00B31E97"/>
    <w:rsid w:val="00B445A5"/>
    <w:rsid w:val="00B45ECD"/>
    <w:rsid w:val="00B462E2"/>
    <w:rsid w:val="00B5249B"/>
    <w:rsid w:val="00B554D4"/>
    <w:rsid w:val="00B64DA3"/>
    <w:rsid w:val="00B724E9"/>
    <w:rsid w:val="00B75F08"/>
    <w:rsid w:val="00B77B65"/>
    <w:rsid w:val="00B817E8"/>
    <w:rsid w:val="00B83D24"/>
    <w:rsid w:val="00B84AA1"/>
    <w:rsid w:val="00B9066C"/>
    <w:rsid w:val="00B90C3C"/>
    <w:rsid w:val="00B9239B"/>
    <w:rsid w:val="00B928E6"/>
    <w:rsid w:val="00B949E9"/>
    <w:rsid w:val="00B962A3"/>
    <w:rsid w:val="00BA0F70"/>
    <w:rsid w:val="00BA4522"/>
    <w:rsid w:val="00BB0716"/>
    <w:rsid w:val="00BB1159"/>
    <w:rsid w:val="00BC1E75"/>
    <w:rsid w:val="00BC2B28"/>
    <w:rsid w:val="00BC5891"/>
    <w:rsid w:val="00BD01F0"/>
    <w:rsid w:val="00BD1EE5"/>
    <w:rsid w:val="00BD3E17"/>
    <w:rsid w:val="00BD65FC"/>
    <w:rsid w:val="00BE1E70"/>
    <w:rsid w:val="00BE54C0"/>
    <w:rsid w:val="00BF28DD"/>
    <w:rsid w:val="00BF622F"/>
    <w:rsid w:val="00BF62E8"/>
    <w:rsid w:val="00BF72EE"/>
    <w:rsid w:val="00C03CE4"/>
    <w:rsid w:val="00C04E0D"/>
    <w:rsid w:val="00C161E6"/>
    <w:rsid w:val="00C206EE"/>
    <w:rsid w:val="00C21AA2"/>
    <w:rsid w:val="00C22664"/>
    <w:rsid w:val="00C22BB3"/>
    <w:rsid w:val="00C244EB"/>
    <w:rsid w:val="00C30DD5"/>
    <w:rsid w:val="00C31E66"/>
    <w:rsid w:val="00C47500"/>
    <w:rsid w:val="00C54090"/>
    <w:rsid w:val="00C604E3"/>
    <w:rsid w:val="00C62B58"/>
    <w:rsid w:val="00C62DB2"/>
    <w:rsid w:val="00C63C48"/>
    <w:rsid w:val="00C63F25"/>
    <w:rsid w:val="00C6477B"/>
    <w:rsid w:val="00C707F3"/>
    <w:rsid w:val="00C714D0"/>
    <w:rsid w:val="00C71D87"/>
    <w:rsid w:val="00C73304"/>
    <w:rsid w:val="00C7579B"/>
    <w:rsid w:val="00C7603D"/>
    <w:rsid w:val="00C80CCA"/>
    <w:rsid w:val="00C83B3D"/>
    <w:rsid w:val="00C84C27"/>
    <w:rsid w:val="00C8713D"/>
    <w:rsid w:val="00C94E8C"/>
    <w:rsid w:val="00C96D3C"/>
    <w:rsid w:val="00CA2B75"/>
    <w:rsid w:val="00CA318A"/>
    <w:rsid w:val="00CA4AA7"/>
    <w:rsid w:val="00CA5143"/>
    <w:rsid w:val="00CA6671"/>
    <w:rsid w:val="00CA775E"/>
    <w:rsid w:val="00CB5582"/>
    <w:rsid w:val="00CB5590"/>
    <w:rsid w:val="00CB586A"/>
    <w:rsid w:val="00CB6DA0"/>
    <w:rsid w:val="00CC1A06"/>
    <w:rsid w:val="00CC4A1A"/>
    <w:rsid w:val="00CD4F9E"/>
    <w:rsid w:val="00CF03B5"/>
    <w:rsid w:val="00D00539"/>
    <w:rsid w:val="00D027AF"/>
    <w:rsid w:val="00D04DC6"/>
    <w:rsid w:val="00D05C58"/>
    <w:rsid w:val="00D105C2"/>
    <w:rsid w:val="00D12865"/>
    <w:rsid w:val="00D20935"/>
    <w:rsid w:val="00D218E7"/>
    <w:rsid w:val="00D25887"/>
    <w:rsid w:val="00D35EA6"/>
    <w:rsid w:val="00D36521"/>
    <w:rsid w:val="00D42DD3"/>
    <w:rsid w:val="00D44E87"/>
    <w:rsid w:val="00D4548D"/>
    <w:rsid w:val="00D545FF"/>
    <w:rsid w:val="00D57E80"/>
    <w:rsid w:val="00D701F2"/>
    <w:rsid w:val="00D7031D"/>
    <w:rsid w:val="00D706D6"/>
    <w:rsid w:val="00D74C66"/>
    <w:rsid w:val="00D74F96"/>
    <w:rsid w:val="00D750ED"/>
    <w:rsid w:val="00D76983"/>
    <w:rsid w:val="00D81EBA"/>
    <w:rsid w:val="00D84355"/>
    <w:rsid w:val="00D84D88"/>
    <w:rsid w:val="00DA26B9"/>
    <w:rsid w:val="00DA5028"/>
    <w:rsid w:val="00DA7E37"/>
    <w:rsid w:val="00DB1467"/>
    <w:rsid w:val="00DB1B87"/>
    <w:rsid w:val="00DB2B76"/>
    <w:rsid w:val="00DC060E"/>
    <w:rsid w:val="00DC5786"/>
    <w:rsid w:val="00DC5A5D"/>
    <w:rsid w:val="00DC7CFF"/>
    <w:rsid w:val="00DD0006"/>
    <w:rsid w:val="00DD0BEB"/>
    <w:rsid w:val="00DD695B"/>
    <w:rsid w:val="00DD7089"/>
    <w:rsid w:val="00DE244D"/>
    <w:rsid w:val="00DE3C02"/>
    <w:rsid w:val="00DE3FB2"/>
    <w:rsid w:val="00DF02C4"/>
    <w:rsid w:val="00DF12A8"/>
    <w:rsid w:val="00DF4182"/>
    <w:rsid w:val="00DF46F1"/>
    <w:rsid w:val="00DF549F"/>
    <w:rsid w:val="00E007DA"/>
    <w:rsid w:val="00E01005"/>
    <w:rsid w:val="00E0198B"/>
    <w:rsid w:val="00E0202A"/>
    <w:rsid w:val="00E03DB4"/>
    <w:rsid w:val="00E04E64"/>
    <w:rsid w:val="00E055ED"/>
    <w:rsid w:val="00E10DD5"/>
    <w:rsid w:val="00E133E5"/>
    <w:rsid w:val="00E14026"/>
    <w:rsid w:val="00E20BEA"/>
    <w:rsid w:val="00E226AA"/>
    <w:rsid w:val="00E36211"/>
    <w:rsid w:val="00E40B69"/>
    <w:rsid w:val="00E47740"/>
    <w:rsid w:val="00E509F4"/>
    <w:rsid w:val="00E50C92"/>
    <w:rsid w:val="00E52A42"/>
    <w:rsid w:val="00E55723"/>
    <w:rsid w:val="00E60479"/>
    <w:rsid w:val="00E75EC0"/>
    <w:rsid w:val="00E760AC"/>
    <w:rsid w:val="00E76ADB"/>
    <w:rsid w:val="00E804EE"/>
    <w:rsid w:val="00E83E52"/>
    <w:rsid w:val="00E84CD3"/>
    <w:rsid w:val="00E86F00"/>
    <w:rsid w:val="00E87390"/>
    <w:rsid w:val="00E87AE5"/>
    <w:rsid w:val="00E930E0"/>
    <w:rsid w:val="00E952A4"/>
    <w:rsid w:val="00EA6062"/>
    <w:rsid w:val="00EA7E9C"/>
    <w:rsid w:val="00EB3658"/>
    <w:rsid w:val="00EC02BC"/>
    <w:rsid w:val="00EC3595"/>
    <w:rsid w:val="00ED0B6F"/>
    <w:rsid w:val="00ED2616"/>
    <w:rsid w:val="00ED2EB9"/>
    <w:rsid w:val="00EE0C2E"/>
    <w:rsid w:val="00EE0FE0"/>
    <w:rsid w:val="00EE2B6B"/>
    <w:rsid w:val="00EE5D6E"/>
    <w:rsid w:val="00EE7AC6"/>
    <w:rsid w:val="00EF2075"/>
    <w:rsid w:val="00EF396F"/>
    <w:rsid w:val="00EF50B1"/>
    <w:rsid w:val="00F00510"/>
    <w:rsid w:val="00F052B7"/>
    <w:rsid w:val="00F12F61"/>
    <w:rsid w:val="00F16243"/>
    <w:rsid w:val="00F1743F"/>
    <w:rsid w:val="00F21682"/>
    <w:rsid w:val="00F268E7"/>
    <w:rsid w:val="00F27CC0"/>
    <w:rsid w:val="00F33106"/>
    <w:rsid w:val="00F41ED9"/>
    <w:rsid w:val="00F431CB"/>
    <w:rsid w:val="00F44054"/>
    <w:rsid w:val="00F50675"/>
    <w:rsid w:val="00F50EEE"/>
    <w:rsid w:val="00F523BD"/>
    <w:rsid w:val="00F535B9"/>
    <w:rsid w:val="00F5427A"/>
    <w:rsid w:val="00F55BA7"/>
    <w:rsid w:val="00F57F9A"/>
    <w:rsid w:val="00F65B2B"/>
    <w:rsid w:val="00F67B90"/>
    <w:rsid w:val="00F762FD"/>
    <w:rsid w:val="00F802B3"/>
    <w:rsid w:val="00F85C6E"/>
    <w:rsid w:val="00F91BEE"/>
    <w:rsid w:val="00F94E87"/>
    <w:rsid w:val="00F96262"/>
    <w:rsid w:val="00FA0902"/>
    <w:rsid w:val="00FA7CE7"/>
    <w:rsid w:val="00FB2B01"/>
    <w:rsid w:val="00FB2C6E"/>
    <w:rsid w:val="00FB646B"/>
    <w:rsid w:val="00FC2467"/>
    <w:rsid w:val="00FC658E"/>
    <w:rsid w:val="00FD2053"/>
    <w:rsid w:val="00FD4815"/>
    <w:rsid w:val="00FE4DB2"/>
    <w:rsid w:val="00FE7DCC"/>
    <w:rsid w:val="00FF0A6F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28659DB"/>
  <w15:docId w15:val="{3D482D11-DCE7-4181-B72D-B9D9C79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Pr>
      <w:sz w:val="22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0"/>
    <w:next w:val="AppendixTitle"/>
  </w:style>
  <w:style w:type="paragraph" w:customStyle="1" w:styleId="AppendixTitle">
    <w:name w:val="Appendix_Title"/>
    <w:basedOn w:val="AnnexTitle0"/>
    <w:next w:val="Normalaftertitle0"/>
  </w:style>
  <w:style w:type="paragraph" w:customStyle="1" w:styleId="RefTitle0">
    <w:name w:val="Ref_Title"/>
    <w:basedOn w:val="Normal"/>
    <w:next w:val="RefText0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styleId="TOC9">
    <w:name w:val="toc 9"/>
    <w:basedOn w:val="TOC3"/>
    <w:next w:val="Normal"/>
    <w:semiHidden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cTitleRef">
    <w:name w:val="Rec_Title/Ref"/>
    <w:basedOn w:val="RecTitle0"/>
    <w:next w:val="RecTitleDat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</w:style>
  <w:style w:type="paragraph" w:customStyle="1" w:styleId="CCI">
    <w:name w:val="CCI"/>
    <w:basedOn w:val="Normal"/>
    <w:next w:val="call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link w:val="AnnexNoCar"/>
    <w:rsid w:val="00095EB8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FootnoteTextChar">
    <w:name w:val="Footnote Text Char"/>
    <w:aliases w:val="footnote text Char1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93E4F"/>
    <w:rPr>
      <w:sz w:val="22"/>
      <w:lang w:val="en-GB" w:eastAsia="en-US" w:bidi="ar-SA"/>
    </w:rPr>
  </w:style>
  <w:style w:type="paragraph" w:customStyle="1" w:styleId="TableNo">
    <w:name w:val="Table_No"/>
    <w:basedOn w:val="Normal"/>
    <w:next w:val="Normal"/>
    <w:rsid w:val="00757284"/>
    <w:pPr>
      <w:keepNext/>
      <w:spacing w:before="360" w:after="120"/>
      <w:jc w:val="center"/>
    </w:pPr>
    <w:rPr>
      <w:caps/>
    </w:rPr>
  </w:style>
  <w:style w:type="paragraph" w:styleId="BodyText2">
    <w:name w:val="Body Text 2"/>
    <w:basedOn w:val="Normal"/>
    <w:rsid w:val="00341F8F"/>
    <w:pPr>
      <w:spacing w:after="120" w:line="480" w:lineRule="auto"/>
    </w:pPr>
  </w:style>
  <w:style w:type="character" w:customStyle="1" w:styleId="FootnoteCharacters">
    <w:name w:val="Footnote Characters"/>
    <w:basedOn w:val="DefaultParagraphFont"/>
    <w:rsid w:val="00D027AF"/>
    <w:rPr>
      <w:position w:val="6"/>
      <w:sz w:val="18"/>
    </w:rPr>
  </w:style>
  <w:style w:type="character" w:customStyle="1" w:styleId="footnotetextChar0">
    <w:name w:val="footnote text Char"/>
    <w:aliases w:val="DNV-FT Char Char"/>
    <w:basedOn w:val="DefaultParagraphFont"/>
    <w:rsid w:val="00D00539"/>
    <w:rPr>
      <w:sz w:val="24"/>
      <w:lang w:val="en-GB" w:eastAsia="en-US" w:bidi="ar-SA"/>
    </w:rPr>
  </w:style>
  <w:style w:type="paragraph" w:styleId="BodyTextIndent2">
    <w:name w:val="Body Text Indent 2"/>
    <w:basedOn w:val="Normal"/>
    <w:rsid w:val="00097A10"/>
    <w:pPr>
      <w:spacing w:after="120" w:line="480" w:lineRule="auto"/>
      <w:ind w:left="283"/>
    </w:pPr>
  </w:style>
  <w:style w:type="character" w:customStyle="1" w:styleId="Title1Char">
    <w:name w:val="Title 1 Char"/>
    <w:basedOn w:val="DefaultParagraphFont"/>
    <w:link w:val="Title1"/>
    <w:rsid w:val="001158A2"/>
    <w:rPr>
      <w:caps/>
      <w:sz w:val="28"/>
      <w:lang w:val="en-GB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1158A2"/>
    <w:rPr>
      <w:sz w:val="24"/>
      <w:lang w:val="en-GB" w:eastAsia="en-US" w:bidi="ar-SA"/>
    </w:rPr>
  </w:style>
  <w:style w:type="paragraph" w:styleId="NormalWeb">
    <w:name w:val="Normal (Web)"/>
    <w:basedOn w:val="Normal"/>
    <w:rsid w:val="00FC65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Cs w:val="24"/>
      <w:lang w:val="en-AU" w:eastAsia="ja-JP"/>
    </w:rPr>
  </w:style>
  <w:style w:type="paragraph" w:customStyle="1" w:styleId="CharCharCharCharCharChar">
    <w:name w:val="Char Char Char Char Char Char"/>
    <w:basedOn w:val="Normal"/>
    <w:rsid w:val="00C31E6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uiPriority w:val="99"/>
    <w:rsid w:val="00C31E66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DD000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AA45A6"/>
    <w:rPr>
      <w:color w:val="0000FF"/>
      <w:u w:val="single"/>
    </w:rPr>
  </w:style>
  <w:style w:type="character" w:styleId="FollowedHyperlink">
    <w:name w:val="FollowedHyperlink"/>
    <w:basedOn w:val="DefaultParagraphFont"/>
    <w:rsid w:val="00AA45A6"/>
    <w:rPr>
      <w:color w:val="800080"/>
      <w:u w:val="single"/>
    </w:rPr>
  </w:style>
  <w:style w:type="paragraph" w:styleId="BalloonText">
    <w:name w:val="Balloon Text"/>
    <w:basedOn w:val="Normal"/>
    <w:semiHidden/>
    <w:rsid w:val="00E03DB4"/>
    <w:rPr>
      <w:rFonts w:ascii="Tahoma" w:hAnsi="Tahoma" w:cs="Tahoma"/>
      <w:sz w:val="16"/>
      <w:szCs w:val="16"/>
    </w:rPr>
  </w:style>
  <w:style w:type="character" w:customStyle="1" w:styleId="AnnexNotitleChar">
    <w:name w:val="Annex_No &amp; title Char"/>
    <w:basedOn w:val="DefaultParagraphFont"/>
    <w:link w:val="AnnexNotitle"/>
    <w:rsid w:val="00235A19"/>
    <w:rPr>
      <w:rFonts w:eastAsia="SimSun"/>
      <w:b/>
      <w:sz w:val="28"/>
      <w:lang w:val="en-GB" w:eastAsia="en-US" w:bidi="ar-SA"/>
    </w:rPr>
  </w:style>
  <w:style w:type="character" w:customStyle="1" w:styleId="CallChar">
    <w:name w:val="Call Char"/>
    <w:basedOn w:val="DefaultParagraphFont"/>
    <w:link w:val="Call"/>
    <w:rsid w:val="00222D10"/>
    <w:rPr>
      <w:rFonts w:eastAsia="SimSun"/>
      <w:i/>
      <w:sz w:val="24"/>
      <w:lang w:val="en-GB" w:eastAsia="en-US" w:bidi="ar-SA"/>
    </w:rPr>
  </w:style>
  <w:style w:type="character" w:customStyle="1" w:styleId="QuestiontitleChar">
    <w:name w:val="Question_title Char"/>
    <w:basedOn w:val="DefaultParagraphFont"/>
    <w:link w:val="Questiontitle"/>
    <w:rsid w:val="00AE510D"/>
    <w:rPr>
      <w:rFonts w:eastAsia="SimSun"/>
      <w:b/>
      <w:sz w:val="28"/>
      <w:lang w:val="en-GB" w:eastAsia="en-US" w:bidi="ar-SA"/>
    </w:rPr>
  </w:style>
  <w:style w:type="paragraph" w:customStyle="1" w:styleId="CharChar">
    <w:name w:val="Char Char"/>
    <w:basedOn w:val="Normal"/>
    <w:rsid w:val="009A505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A26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0">
    <w:name w:val="Normal after title Char"/>
    <w:basedOn w:val="DefaultParagraphFont"/>
    <w:link w:val="Normalaftertitle0"/>
    <w:rsid w:val="00544507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362A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HeadingbChar">
    <w:name w:val="Heading_b Char"/>
    <w:basedOn w:val="DefaultParagraphFont"/>
    <w:link w:val="Headingb"/>
    <w:locked/>
    <w:rsid w:val="00362A3C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416CA"/>
    <w:rPr>
      <w:b/>
      <w:bCs/>
    </w:rPr>
  </w:style>
  <w:style w:type="character" w:customStyle="1" w:styleId="AnnexNoCar">
    <w:name w:val="Annex_No Car"/>
    <w:basedOn w:val="DefaultParagraphFont"/>
    <w:link w:val="AnnexNo"/>
    <w:locked/>
    <w:rsid w:val="00A416CA"/>
    <w:rPr>
      <w:rFonts w:ascii="Times New Roman" w:hAnsi="Times New Roman"/>
      <w:caps/>
      <w:sz w:val="28"/>
      <w:lang w:val="en-GB" w:eastAsia="en-US"/>
    </w:rPr>
  </w:style>
  <w:style w:type="paragraph" w:customStyle="1" w:styleId="Callkaiti">
    <w:name w:val="Call kaiti"/>
    <w:basedOn w:val="call0"/>
    <w:rsid w:val="009D65F3"/>
    <w:pPr>
      <w:overflowPunct w:val="0"/>
      <w:autoSpaceDE w:val="0"/>
      <w:autoSpaceDN w:val="0"/>
      <w:adjustRightInd w:val="0"/>
      <w:textAlignment w:val="baseline"/>
    </w:pPr>
    <w:rPr>
      <w:rFonts w:eastAsia="STKaiti"/>
      <w:i w:val="0"/>
      <w:iCs/>
      <w:lang w:eastAsia="zh-CN"/>
    </w:rPr>
  </w:style>
  <w:style w:type="character" w:customStyle="1" w:styleId="enumlev10">
    <w:name w:val="enumlev1 Знак"/>
    <w:basedOn w:val="DefaultParagraphFont"/>
    <w:locked/>
    <w:rsid w:val="00512031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rsid w:val="0030633B"/>
    <w:pPr>
      <w:keepNext/>
      <w:keepLines/>
      <w:spacing w:before="48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FDDD-44F6-42A9-89FA-E7BCEB4D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794</CharactersWithSpaces>
  <SharedDoc>false</SharedDoc>
  <HLinks>
    <vt:vector size="360" baseType="variant">
      <vt:variant>
        <vt:i4>2359355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2359355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publications.aspx?lang=en&amp;parent=R-QUE-SG09.240</vt:lpwstr>
      </vt:variant>
      <vt:variant>
        <vt:lpwstr/>
      </vt:variant>
      <vt:variant>
        <vt:i4>2293819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publications.aspx?lang=en&amp;parent=R-QUE-SG09.239</vt:lpwstr>
      </vt:variant>
      <vt:variant>
        <vt:lpwstr/>
      </vt:variant>
      <vt:variant>
        <vt:i4>2293819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publications.aspx?lang=en&amp;parent=R-QUE-SG09.238</vt:lpwstr>
      </vt:variant>
      <vt:variant>
        <vt:lpwstr/>
      </vt:variant>
      <vt:variant>
        <vt:i4>2293819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2293819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publications.aspx?lang=en&amp;parent=R-QUE-SG09.236</vt:lpwstr>
      </vt:variant>
      <vt:variant>
        <vt:lpwstr/>
      </vt:variant>
      <vt:variant>
        <vt:i4>2293819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publications.aspx?lang=en&amp;parent=R-QUE-SG09.234</vt:lpwstr>
      </vt:variant>
      <vt:variant>
        <vt:lpwstr/>
      </vt:variant>
      <vt:variant>
        <vt:i4>2293819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2228283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publications.aspx?lang=en&amp;parent=R-QUE-SG09.229</vt:lpwstr>
      </vt:variant>
      <vt:variant>
        <vt:lpwstr/>
      </vt:variant>
      <vt:variant>
        <vt:i4>2228283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publications.aspx?lang=en&amp;parent=R-QUE-SG09.226</vt:lpwstr>
      </vt:variant>
      <vt:variant>
        <vt:lpwstr/>
      </vt:variant>
      <vt:variant>
        <vt:i4>2228283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publications.aspx?lang=en&amp;parent=R-QUE-SG09.218</vt:lpwstr>
      </vt:variant>
      <vt:variant>
        <vt:lpwstr/>
      </vt:variant>
      <vt:variant>
        <vt:i4>2162747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2162747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publications.aspx?lang=en&amp;parent=R-QUE-SG09.212</vt:lpwstr>
      </vt:variant>
      <vt:variant>
        <vt:lpwstr/>
      </vt:variant>
      <vt:variant>
        <vt:i4>2097211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publications.aspx?lang=en&amp;parent=R-QUE-SG09.209</vt:lpwstr>
      </vt:variant>
      <vt:variant>
        <vt:lpwstr/>
      </vt:variant>
      <vt:variant>
        <vt:i4>2097211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2424888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publications.aspx?lang=en&amp;parent=R-QUE-SG09.136</vt:lpwstr>
      </vt:variant>
      <vt:variant>
        <vt:lpwstr/>
      </vt:variant>
      <vt:variant>
        <vt:i4>2293816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2228280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publications.aspx?lang=en&amp;parent=R-QUE-SG09.125</vt:lpwstr>
      </vt:variant>
      <vt:variant>
        <vt:lpwstr/>
      </vt:variant>
      <vt:variant>
        <vt:i4>2162744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2097208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publications.aspx?lang=en&amp;parent=R-QUE-SG09.108</vt:lpwstr>
      </vt:variant>
      <vt:variant>
        <vt:lpwstr/>
      </vt:variant>
      <vt:variant>
        <vt:i4>2097208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publications.aspx?lang=en&amp;parent=R-QUE-SG09.107</vt:lpwstr>
      </vt:variant>
      <vt:variant>
        <vt:lpwstr/>
      </vt:variant>
      <vt:variant>
        <vt:i4>4259855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publications.aspx?lang=en&amp;parent=R-QUE-SG08.235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publications.aspx?lang=en&amp;parent=R-QUE-SG08.234</vt:lpwstr>
      </vt:variant>
      <vt:variant>
        <vt:lpwstr/>
      </vt:variant>
      <vt:variant>
        <vt:i4>2293819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publications.aspx?lang=en&amp;parent=R-QUE-SG08.221</vt:lpwstr>
      </vt:variant>
      <vt:variant>
        <vt:lpwstr/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Study Groups</dc:subject>
  <dc:creator>capdessu</dc:creator>
  <cp:keywords/>
  <dc:description>文件5/1-C  For: _x000d_Document date: 2007年12月14日_x000d_Saved by PCW44004 at 13:44:35 on 04.02.2008</dc:description>
  <cp:lastModifiedBy>BRSGD</cp:lastModifiedBy>
  <cp:revision>7</cp:revision>
  <cp:lastPrinted>2012-03-15T10:50:00Z</cp:lastPrinted>
  <dcterms:created xsi:type="dcterms:W3CDTF">2023-09-15T12:37:00Z</dcterms:created>
  <dcterms:modified xsi:type="dcterms:W3CDTF">2023-09-29T09:46:00Z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文件5/1-C</vt:lpwstr>
  </property>
  <property fmtid="{D5CDD505-2E9C-101B-9397-08002B2CF9AE}" pid="3" name="Docdate">
    <vt:lpwstr>2007年12月14日</vt:lpwstr>
  </property>
  <property fmtid="{D5CDD505-2E9C-101B-9397-08002B2CF9AE}" pid="4" name="Docorlang">
    <vt:lpwstr>原文: 英文</vt:lpwstr>
  </property>
</Properties>
</file>