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C072" w14:textId="77777777" w:rsidR="002C08B4" w:rsidRPr="0020298E" w:rsidRDefault="002C08B4" w:rsidP="003306D1">
      <w:pPr>
        <w:pStyle w:val="QuestionNoBR"/>
        <w:spacing w:before="320"/>
        <w:rPr>
          <w:sz w:val="18"/>
          <w:szCs w:val="18"/>
        </w:rPr>
      </w:pPr>
      <w:r w:rsidRPr="00605FB7">
        <w:t>cuestión uit-R</w:t>
      </w:r>
      <w:r>
        <w:t xml:space="preserve"> 276</w:t>
      </w:r>
      <w:r w:rsidRPr="00605FB7">
        <w:t>/4</w:t>
      </w:r>
      <w:r>
        <w:rPr>
          <w:rStyle w:val="FootnoteReference"/>
        </w:rPr>
        <w:footnoteReference w:customMarkFollows="1" w:id="1"/>
        <w:t>*</w:t>
      </w:r>
      <w:r w:rsidRPr="0020298E">
        <w:rPr>
          <w:sz w:val="18"/>
          <w:szCs w:val="18"/>
        </w:rPr>
        <w:t xml:space="preserve">, </w:t>
      </w:r>
      <w:r>
        <w:rPr>
          <w:rStyle w:val="FootnoteReference"/>
          <w:szCs w:val="18"/>
        </w:rPr>
        <w:footnoteReference w:customMarkFollows="1" w:id="2"/>
        <w:t>**</w:t>
      </w:r>
    </w:p>
    <w:p w14:paraId="6C9ED29E" w14:textId="77777777" w:rsidR="002C08B4" w:rsidRDefault="002C08B4" w:rsidP="003306D1">
      <w:pPr>
        <w:pStyle w:val="Questiontitle"/>
        <w:spacing w:before="320"/>
      </w:pPr>
      <w:r w:rsidRPr="00605FB7">
        <w:t>Disponibilidad de los trayectos digitales en los servicios móviles por satélite</w:t>
      </w:r>
    </w:p>
    <w:p w14:paraId="2402E53F" w14:textId="77777777" w:rsidR="002C08B4" w:rsidRPr="002C08B4" w:rsidRDefault="002C08B4" w:rsidP="003306D1">
      <w:pPr>
        <w:pStyle w:val="Recdate"/>
      </w:pPr>
      <w:r w:rsidRPr="002C08B4">
        <w:t>(2009)</w:t>
      </w:r>
    </w:p>
    <w:p w14:paraId="1E216074" w14:textId="77777777" w:rsidR="002C08B4" w:rsidRPr="00F37E66" w:rsidRDefault="002C08B4" w:rsidP="003306D1">
      <w:pPr>
        <w:pStyle w:val="Normalaftertitle0"/>
        <w:jc w:val="both"/>
        <w:rPr>
          <w:lang w:val="es-ES_tradnl"/>
        </w:rPr>
      </w:pPr>
      <w:r w:rsidRPr="00F37E66">
        <w:rPr>
          <w:lang w:val="es-ES_tradnl"/>
        </w:rPr>
        <w:t>La</w:t>
      </w:r>
      <w:r w:rsidRPr="00F37E66">
        <w:rPr>
          <w:caps/>
          <w:lang w:val="es-ES_tradnl"/>
        </w:rPr>
        <w:t xml:space="preserve"> </w:t>
      </w:r>
      <w:r w:rsidRPr="00F37E66">
        <w:rPr>
          <w:lang w:val="es-ES_tradnl"/>
        </w:rPr>
        <w:t>Asamblea</w:t>
      </w:r>
      <w:r w:rsidRPr="00F37E66">
        <w:rPr>
          <w:caps/>
          <w:lang w:val="es-ES_tradnl"/>
        </w:rPr>
        <w:t xml:space="preserve"> </w:t>
      </w:r>
      <w:r w:rsidRPr="00F37E66">
        <w:rPr>
          <w:lang w:val="es-ES_tradnl"/>
        </w:rPr>
        <w:t>de</w:t>
      </w:r>
      <w:r w:rsidRPr="00F37E66">
        <w:rPr>
          <w:caps/>
          <w:lang w:val="es-ES_tradnl"/>
        </w:rPr>
        <w:t xml:space="preserve"> </w:t>
      </w:r>
      <w:r w:rsidRPr="00F37E66">
        <w:rPr>
          <w:lang w:val="es-ES_tradnl"/>
        </w:rPr>
        <w:t>Radiocomunicaciones</w:t>
      </w:r>
      <w:r w:rsidRPr="00F37E66">
        <w:rPr>
          <w:caps/>
          <w:lang w:val="es-ES_tradnl"/>
        </w:rPr>
        <w:t xml:space="preserve"> </w:t>
      </w:r>
      <w:r w:rsidRPr="00F37E66">
        <w:rPr>
          <w:lang w:val="es-ES_tradnl"/>
        </w:rPr>
        <w:t>de</w:t>
      </w:r>
      <w:r w:rsidRPr="00F37E66">
        <w:rPr>
          <w:caps/>
          <w:lang w:val="es-ES_tradnl"/>
        </w:rPr>
        <w:t xml:space="preserve"> </w:t>
      </w:r>
      <w:r w:rsidRPr="00F37E66">
        <w:rPr>
          <w:lang w:val="es-ES_tradnl"/>
        </w:rPr>
        <w:t>la</w:t>
      </w:r>
      <w:r w:rsidRPr="00F37E66">
        <w:rPr>
          <w:caps/>
          <w:lang w:val="es-ES_tradnl"/>
        </w:rPr>
        <w:t xml:space="preserve"> </w:t>
      </w:r>
      <w:r w:rsidRPr="00F37E66">
        <w:rPr>
          <w:lang w:val="es-ES_tradnl"/>
        </w:rPr>
        <w:t>UIT,</w:t>
      </w:r>
    </w:p>
    <w:p w14:paraId="017E0F52" w14:textId="77777777" w:rsidR="002C08B4" w:rsidRDefault="002C08B4" w:rsidP="003306D1">
      <w:pPr>
        <w:pStyle w:val="Call"/>
        <w:jc w:val="both"/>
      </w:pPr>
      <w:r w:rsidRPr="002C08B4">
        <w:t>considerando</w:t>
      </w:r>
    </w:p>
    <w:p w14:paraId="5C1E73B6" w14:textId="3C987879" w:rsidR="002C08B4" w:rsidRDefault="002C08B4" w:rsidP="003306D1">
      <w:pPr>
        <w:jc w:val="both"/>
      </w:pPr>
      <w:r w:rsidRPr="002C08B4">
        <w:rPr>
          <w:i/>
          <w:iCs/>
        </w:rPr>
        <w:t>a)</w:t>
      </w:r>
      <w:r>
        <w:tab/>
        <w:t>que las interrupciones de servicio pueden deberse a fenómenos naturales o artificiales (por</w:t>
      </w:r>
      <w:r w:rsidR="003306D1">
        <w:t> </w:t>
      </w:r>
      <w:r>
        <w:t>ejemplo, interferencias solares, interferencias procedentes de otros sistemas, ruido de ignición o atenuación causada por propagación por trayectos múltiples o por la atmósfera) que afectan adversamente a la señal deseada o, en caso de los sistemas de transmisión digital provocan ráfagas de errores;</w:t>
      </w:r>
    </w:p>
    <w:p w14:paraId="1749EC6E" w14:textId="77777777" w:rsidR="002C08B4" w:rsidRDefault="002C08B4" w:rsidP="003306D1">
      <w:pPr>
        <w:jc w:val="both"/>
      </w:pPr>
      <w:r w:rsidRPr="002C08B4">
        <w:rPr>
          <w:i/>
          <w:iCs/>
        </w:rPr>
        <w:t>b)</w:t>
      </w:r>
      <w:r>
        <w:tab/>
        <w:t>que la utilización de técnicas adecuadas, inclusión de redundancia en los equipos, etc., pueden mejorar la disponibilidad del servicio;</w:t>
      </w:r>
    </w:p>
    <w:p w14:paraId="09FFF8B4" w14:textId="77777777" w:rsidR="002C08B4" w:rsidRDefault="002C08B4" w:rsidP="003306D1">
      <w:pPr>
        <w:jc w:val="both"/>
      </w:pPr>
      <w:r w:rsidRPr="002C08B4">
        <w:rPr>
          <w:i/>
          <w:iCs/>
        </w:rPr>
        <w:t>c)</w:t>
      </w:r>
      <w:r>
        <w:tab/>
        <w:t xml:space="preserve">que los parámetros del sistema, tales como, los márgenes de protección para las señales en </w:t>
      </w:r>
      <w:proofErr w:type="gramStart"/>
      <w:r>
        <w:t>recepción</w:t>
      </w:r>
      <w:proofErr w:type="gramEnd"/>
      <w:r>
        <w:t xml:space="preserve"> afectan a la disponibilidad del enlace y, por consiguiente, a la del sistema;</w:t>
      </w:r>
    </w:p>
    <w:p w14:paraId="3BF4C278" w14:textId="77777777" w:rsidR="002C08B4" w:rsidRDefault="002C08B4" w:rsidP="003306D1">
      <w:pPr>
        <w:jc w:val="both"/>
      </w:pPr>
      <w:r w:rsidRPr="002C08B4">
        <w:rPr>
          <w:i/>
          <w:iCs/>
        </w:rPr>
        <w:t>d)</w:t>
      </w:r>
      <w:r>
        <w:tab/>
        <w:t>que los requisitos de disponibilidad de las conexiones para los diferentes tipos y sentidos de transmisión pueden no ser iguales;</w:t>
      </w:r>
    </w:p>
    <w:p w14:paraId="37D54E76" w14:textId="77777777" w:rsidR="002C08B4" w:rsidRDefault="002C08B4" w:rsidP="003306D1">
      <w:pPr>
        <w:jc w:val="both"/>
      </w:pPr>
      <w:r w:rsidRPr="002C08B4">
        <w:rPr>
          <w:i/>
          <w:iCs/>
        </w:rPr>
        <w:t>e)</w:t>
      </w:r>
      <w:r>
        <w:tab/>
        <w:t>que como el enlace entre la estación terrestre fija y la estación terrena móvil está compuesto por dos secciones, el enlace fijo (de conexión), y el enlace de servicio (satélite-móvil), han de considerarse cada uno de forma independiente;</w:t>
      </w:r>
    </w:p>
    <w:p w14:paraId="0D2FC8AE" w14:textId="77777777" w:rsidR="002C08B4" w:rsidRDefault="002C08B4" w:rsidP="003306D1">
      <w:pPr>
        <w:jc w:val="both"/>
      </w:pPr>
      <w:r w:rsidRPr="002C08B4">
        <w:rPr>
          <w:i/>
          <w:iCs/>
        </w:rPr>
        <w:t>f)</w:t>
      </w:r>
      <w:r>
        <w:tab/>
        <w:t>que el comportamiento de las estaciones terrenas móviles estará sometido a condiciones ambientales que varían, no solamente en función del tiempo sino también del emplazamiento de las estaciones en la zona de cobertura del satélite,</w:t>
      </w:r>
    </w:p>
    <w:p w14:paraId="7D327D72" w14:textId="77777777" w:rsidR="002C08B4" w:rsidRDefault="002C08B4" w:rsidP="003306D1">
      <w:pPr>
        <w:pStyle w:val="Call"/>
        <w:jc w:val="both"/>
      </w:pPr>
      <w:r>
        <w:t xml:space="preserve">decide </w:t>
      </w:r>
      <w:r w:rsidRPr="00C415CC">
        <w:rPr>
          <w:i w:val="0"/>
          <w:iCs/>
        </w:rPr>
        <w:t>poner a estudio la</w:t>
      </w:r>
      <w:r>
        <w:rPr>
          <w:i w:val="0"/>
          <w:iCs/>
        </w:rPr>
        <w:t>s</w:t>
      </w:r>
      <w:r w:rsidRPr="00C415CC">
        <w:rPr>
          <w:i w:val="0"/>
          <w:iCs/>
        </w:rPr>
        <w:t xml:space="preserve"> siguiente</w:t>
      </w:r>
      <w:r>
        <w:rPr>
          <w:i w:val="0"/>
          <w:iCs/>
        </w:rPr>
        <w:t>s Cuestio</w:t>
      </w:r>
      <w:r w:rsidRPr="00C415CC">
        <w:rPr>
          <w:i w:val="0"/>
          <w:iCs/>
        </w:rPr>
        <w:t>n</w:t>
      </w:r>
      <w:r>
        <w:rPr>
          <w:i w:val="0"/>
          <w:iCs/>
        </w:rPr>
        <w:t>es</w:t>
      </w:r>
    </w:p>
    <w:p w14:paraId="15036E23" w14:textId="77777777" w:rsidR="002C08B4" w:rsidRDefault="002C08B4" w:rsidP="003306D1">
      <w:pPr>
        <w:jc w:val="both"/>
      </w:pPr>
      <w:r w:rsidRPr="002C08B4">
        <w:rPr>
          <w:bCs/>
        </w:rPr>
        <w:t>1</w:t>
      </w:r>
      <w:r>
        <w:tab/>
        <w:t>¿Cuál es la definición de disponibilidad en un trayecto digital ficticio de referencia de los servicios móviles por satélite para los distintos tipos de aplicación de transmisión?</w:t>
      </w:r>
    </w:p>
    <w:p w14:paraId="3FA4E199" w14:textId="77777777" w:rsidR="002C08B4" w:rsidRDefault="002C08B4" w:rsidP="003306D1">
      <w:pPr>
        <w:jc w:val="both"/>
      </w:pPr>
      <w:r w:rsidRPr="002C08B4">
        <w:rPr>
          <w:bCs/>
        </w:rPr>
        <w:t>2</w:t>
      </w:r>
      <w:r>
        <w:tab/>
        <w:t>¿Cuál es la disponibilidad del sistema/enlace que puede alcanzarse de forma realista en cada elemento de un sistema móvil por satélite y en el sistema completo?</w:t>
      </w:r>
    </w:p>
    <w:p w14:paraId="336F7CDB" w14:textId="77777777" w:rsidR="002C08B4" w:rsidRDefault="002C08B4" w:rsidP="003306D1">
      <w:pPr>
        <w:jc w:val="both"/>
      </w:pPr>
      <w:r w:rsidRPr="002C08B4">
        <w:rPr>
          <w:bCs/>
        </w:rPr>
        <w:t>3</w:t>
      </w:r>
      <w:r>
        <w:tab/>
        <w:t>¿Cuál es la relación técnica entre la disponibilidad y las características de propagación?</w:t>
      </w:r>
    </w:p>
    <w:p w14:paraId="5715A1F8" w14:textId="77777777" w:rsidR="002C08B4" w:rsidRDefault="002C08B4" w:rsidP="003306D1">
      <w:pPr>
        <w:pStyle w:val="Call"/>
        <w:jc w:val="both"/>
      </w:pPr>
      <w:proofErr w:type="gramStart"/>
      <w:r w:rsidRPr="002C08B4">
        <w:t>decide</w:t>
      </w:r>
      <w:proofErr w:type="gramEnd"/>
      <w:r>
        <w:t xml:space="preserve"> además</w:t>
      </w:r>
    </w:p>
    <w:p w14:paraId="73F37AB6" w14:textId="77777777" w:rsidR="002C08B4" w:rsidRDefault="002C08B4" w:rsidP="003306D1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5EB78D3B" w14:textId="3ADA4C55" w:rsidR="002C08B4" w:rsidRDefault="002C08B4" w:rsidP="003306D1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CD587B">
        <w:t>hos estudios se terminen en 202</w:t>
      </w:r>
      <w:r w:rsidR="003306D1">
        <w:t>7</w:t>
      </w:r>
      <w:r>
        <w:t xml:space="preserve"> como muy tarde.</w:t>
      </w:r>
    </w:p>
    <w:p w14:paraId="3DEB574F" w14:textId="77777777" w:rsidR="002C08B4" w:rsidRPr="004B2CAF" w:rsidRDefault="002C08B4" w:rsidP="003306D1">
      <w:pPr>
        <w:spacing w:before="360"/>
        <w:jc w:val="both"/>
        <w:rPr>
          <w:lang w:val="pt-PT"/>
        </w:rPr>
      </w:pPr>
      <w:r w:rsidRPr="004B2CAF">
        <w:rPr>
          <w:lang w:val="pt-PT"/>
        </w:rPr>
        <w:t>Categoría: S2</w:t>
      </w:r>
    </w:p>
    <w:sectPr w:rsidR="002C08B4" w:rsidRPr="004B2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C1AB" w14:textId="77777777" w:rsidR="00C44CD8" w:rsidRDefault="00C44CD8">
      <w:r>
        <w:separator/>
      </w:r>
    </w:p>
  </w:endnote>
  <w:endnote w:type="continuationSeparator" w:id="0">
    <w:p w14:paraId="58851427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8647" w14:textId="77777777" w:rsidR="007463AC" w:rsidRDefault="00746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CE67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6E3B" w14:textId="77777777" w:rsidR="00C44CD8" w:rsidRPr="00A022BA" w:rsidRDefault="00C44CD8" w:rsidP="00A022B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5116" w14:textId="77777777" w:rsidR="00C44CD8" w:rsidRDefault="00C44CD8">
      <w:r>
        <w:t>____________________</w:t>
      </w:r>
    </w:p>
  </w:footnote>
  <w:footnote w:type="continuationSeparator" w:id="0">
    <w:p w14:paraId="666E5A22" w14:textId="77777777" w:rsidR="00C44CD8" w:rsidRDefault="00C44CD8">
      <w:r>
        <w:continuationSeparator/>
      </w:r>
    </w:p>
  </w:footnote>
  <w:footnote w:id="1">
    <w:p w14:paraId="2BBE5905" w14:textId="77777777" w:rsidR="00C44CD8" w:rsidRDefault="00C44CD8" w:rsidP="002C08B4">
      <w:pPr>
        <w:pStyle w:val="FootnoteText"/>
      </w:pPr>
      <w:r>
        <w:rPr>
          <w:rStyle w:val="FootnoteReference"/>
        </w:rPr>
        <w:t>*</w:t>
      </w:r>
      <w:r>
        <w:tab/>
      </w:r>
      <w:r w:rsidRPr="002C08B4">
        <w:rPr>
          <w:sz w:val="24"/>
          <w:szCs w:val="24"/>
        </w:rPr>
        <w:t>Esta Cuestión debe señalarse a la atención de la Comisión de Estudio 3 de Radiocomunicaciones.</w:t>
      </w:r>
    </w:p>
  </w:footnote>
  <w:footnote w:id="2">
    <w:p w14:paraId="4069D1F5" w14:textId="77777777" w:rsidR="00C44CD8" w:rsidRPr="002C08B4" w:rsidRDefault="00C44CD8" w:rsidP="002C08B4">
      <w:pPr>
        <w:pStyle w:val="FootnoteText"/>
        <w:rPr>
          <w:sz w:val="24"/>
          <w:szCs w:val="24"/>
        </w:rPr>
      </w:pPr>
      <w:r>
        <w:rPr>
          <w:rStyle w:val="FootnoteReference"/>
        </w:rPr>
        <w:t>**</w:t>
      </w:r>
      <w:r>
        <w:t xml:space="preserve"> </w:t>
      </w:r>
      <w:r>
        <w:tab/>
      </w:r>
      <w:r w:rsidRPr="002C08B4">
        <w:rPr>
          <w:sz w:val="24"/>
          <w:szCs w:val="24"/>
        </w:rPr>
        <w:t xml:space="preserve">Esta Cuestión debe estudiarse </w:t>
      </w:r>
      <w:proofErr w:type="gramStart"/>
      <w:r w:rsidRPr="002C08B4">
        <w:rPr>
          <w:sz w:val="24"/>
          <w:szCs w:val="24"/>
        </w:rPr>
        <w:t>conjuntamente con</w:t>
      </w:r>
      <w:proofErr w:type="gramEnd"/>
      <w:r w:rsidRPr="002C08B4">
        <w:rPr>
          <w:sz w:val="24"/>
          <w:szCs w:val="24"/>
        </w:rPr>
        <w:t xml:space="preserve"> la Cuestión UIT</w:t>
      </w:r>
      <w:r w:rsidRPr="002C08B4">
        <w:rPr>
          <w:sz w:val="24"/>
          <w:szCs w:val="24"/>
        </w:rPr>
        <w:noBreakHyphen/>
        <w:t>R 277/4.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031F" w14:textId="77777777" w:rsidR="007463AC" w:rsidRDefault="00746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4F18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2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EAE3525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463E" w14:textId="77777777" w:rsidR="007463AC" w:rsidRDefault="00746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568EF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06D1"/>
    <w:rsid w:val="003366F2"/>
    <w:rsid w:val="00344C92"/>
    <w:rsid w:val="0037142C"/>
    <w:rsid w:val="00377C50"/>
    <w:rsid w:val="0038044C"/>
    <w:rsid w:val="00380A7C"/>
    <w:rsid w:val="00393B9E"/>
    <w:rsid w:val="003A16DE"/>
    <w:rsid w:val="003C0613"/>
    <w:rsid w:val="003E30FF"/>
    <w:rsid w:val="003E3632"/>
    <w:rsid w:val="003E3867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8588C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5FE6"/>
    <w:rsid w:val="0068734A"/>
    <w:rsid w:val="006B5304"/>
    <w:rsid w:val="006C0E1A"/>
    <w:rsid w:val="006F7F46"/>
    <w:rsid w:val="00703420"/>
    <w:rsid w:val="007463AC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584D"/>
    <w:rsid w:val="008D6D08"/>
    <w:rsid w:val="008F5239"/>
    <w:rsid w:val="008F749B"/>
    <w:rsid w:val="00923903"/>
    <w:rsid w:val="009249BF"/>
    <w:rsid w:val="00966982"/>
    <w:rsid w:val="009762AA"/>
    <w:rsid w:val="0098301B"/>
    <w:rsid w:val="00993D56"/>
    <w:rsid w:val="009959CC"/>
    <w:rsid w:val="009D2477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D587B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0CDC"/>
    <w:rsid w:val="00DD7D50"/>
    <w:rsid w:val="00E14B8C"/>
    <w:rsid w:val="00E23304"/>
    <w:rsid w:val="00E302E3"/>
    <w:rsid w:val="00E31F8D"/>
    <w:rsid w:val="00E60DB2"/>
    <w:rsid w:val="00E64671"/>
    <w:rsid w:val="00E7293F"/>
    <w:rsid w:val="00E80010"/>
    <w:rsid w:val="00E82059"/>
    <w:rsid w:val="00EF1EF9"/>
    <w:rsid w:val="00F27EB2"/>
    <w:rsid w:val="00F50261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E2738"/>
  <w15:docId w15:val="{32DECF41-FA80-4CA4-94AD-7B49CF3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4753-8698-4F41-AFDB-97150DE5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</cp:lastModifiedBy>
  <cp:revision>6</cp:revision>
  <cp:lastPrinted>2012-03-12T15:13:00Z</cp:lastPrinted>
  <dcterms:created xsi:type="dcterms:W3CDTF">2012-05-02T07:15:00Z</dcterms:created>
  <dcterms:modified xsi:type="dcterms:W3CDTF">2024-01-30T10:23:00Z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