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83C7" w14:textId="7DE265F7" w:rsidR="00AA4D16" w:rsidRPr="004B1EF4" w:rsidRDefault="00AA4D16" w:rsidP="00AA4D16">
      <w:pPr>
        <w:pStyle w:val="QuestionNoBR"/>
        <w:rPr>
          <w:lang w:val="en-US" w:eastAsia="zh-CN"/>
        </w:rPr>
      </w:pPr>
      <w:r w:rsidRPr="004B1EF4">
        <w:rPr>
          <w:lang w:val="en-US" w:eastAsia="zh-CN"/>
        </w:rPr>
        <w:t>ITU-R</w:t>
      </w:r>
      <w:r>
        <w:rPr>
          <w:rFonts w:hint="eastAsia"/>
          <w:lang w:val="en-US" w:eastAsia="zh-CN"/>
        </w:rPr>
        <w:t>第</w:t>
      </w:r>
      <w:r w:rsidRPr="004B1EF4">
        <w:rPr>
          <w:lang w:val="en-US" w:eastAsia="zh-CN"/>
        </w:rPr>
        <w:t>233/4</w:t>
      </w:r>
      <w:r>
        <w:rPr>
          <w:rFonts w:hint="eastAsia"/>
          <w:lang w:val="en-US" w:eastAsia="zh-CN"/>
        </w:rPr>
        <w:t>号课题</w:t>
      </w:r>
      <w:r w:rsidR="005C20E1" w:rsidRPr="005C20E1">
        <w:rPr>
          <w:rStyle w:val="FootnoteReference"/>
          <w:lang w:val="en-US" w:eastAsia="zh-CN"/>
        </w:rPr>
        <w:footnoteReference w:customMarkFollows="1" w:id="1"/>
        <w:sym w:font="Symbol" w:char="F02A"/>
      </w:r>
    </w:p>
    <w:p w14:paraId="119C2FF4" w14:textId="77777777" w:rsidR="00AA4D16" w:rsidRDefault="00AA4D16" w:rsidP="00AA4D16">
      <w:pPr>
        <w:pStyle w:val="Questiontitle"/>
        <w:rPr>
          <w:lang w:eastAsia="zh-CN"/>
        </w:rPr>
      </w:pPr>
      <w:r w:rsidRPr="00113389">
        <w:rPr>
          <w:rFonts w:hint="eastAsia"/>
          <w:szCs w:val="22"/>
          <w:lang w:val="fr-FR" w:eastAsia="zh-CN"/>
        </w:rPr>
        <w:t>专用用户数字卫星通信系统及其相关</w:t>
      </w:r>
      <w:r w:rsidRPr="00360E22">
        <w:rPr>
          <w:rFonts w:hint="eastAsia"/>
          <w:szCs w:val="22"/>
          <w:lang w:val="fr-FR" w:eastAsia="zh-CN"/>
        </w:rPr>
        <w:t>结构</w:t>
      </w:r>
    </w:p>
    <w:p w14:paraId="2FE86222" w14:textId="77777777" w:rsidR="00AA4D16" w:rsidRDefault="00AA4D16" w:rsidP="00AA4D16">
      <w:pPr>
        <w:pStyle w:val="Questiondate"/>
        <w:rPr>
          <w:lang w:eastAsia="zh-CN"/>
        </w:rPr>
      </w:pPr>
      <w:r>
        <w:rPr>
          <w:rFonts w:hint="eastAsia"/>
          <w:lang w:eastAsia="zh-CN"/>
        </w:rPr>
        <w:t>（</w:t>
      </w:r>
      <w:r>
        <w:rPr>
          <w:lang w:eastAsia="zh-CN"/>
        </w:rPr>
        <w:t>1995</w:t>
      </w:r>
      <w:r>
        <w:rPr>
          <w:rFonts w:hint="eastAsia"/>
          <w:lang w:eastAsia="zh-CN"/>
        </w:rPr>
        <w:t>年）</w:t>
      </w:r>
    </w:p>
    <w:p w14:paraId="01097890" w14:textId="77777777" w:rsidR="00AA4D16" w:rsidRDefault="00AA4D16" w:rsidP="00AA4D16">
      <w:pPr>
        <w:pStyle w:val="Normalaftertitle0"/>
        <w:rPr>
          <w:lang w:eastAsia="zh-CN"/>
        </w:rPr>
      </w:pPr>
      <w:r>
        <w:rPr>
          <w:rFonts w:hint="eastAsia"/>
          <w:lang w:eastAsia="zh-CN"/>
        </w:rPr>
        <w:t>国际电联无线电通信全会，</w:t>
      </w:r>
    </w:p>
    <w:p w14:paraId="6362E75B" w14:textId="77777777" w:rsidR="00AA4D16" w:rsidRPr="00AB6FF2" w:rsidRDefault="00AA4D16" w:rsidP="00047A3B">
      <w:pPr>
        <w:pStyle w:val="Call"/>
        <w:jc w:val="both"/>
        <w:rPr>
          <w:rFonts w:ascii="STKaiti" w:eastAsia="STKaiti" w:hAnsi="STKaiti"/>
          <w:i w:val="0"/>
          <w:iCs/>
          <w:lang w:eastAsia="zh-CN"/>
        </w:rPr>
      </w:pPr>
      <w:r w:rsidRPr="00AB6FF2">
        <w:rPr>
          <w:rFonts w:ascii="STKaiti" w:eastAsia="STKaiti" w:hAnsi="STKaiti" w:hint="eastAsia"/>
          <w:i w:val="0"/>
          <w:iCs/>
          <w:lang w:eastAsia="zh-CN"/>
        </w:rPr>
        <w:t>考虑到</w:t>
      </w:r>
    </w:p>
    <w:p w14:paraId="64526CFE" w14:textId="77777777" w:rsidR="00AA4D16" w:rsidRDefault="00AA4D16" w:rsidP="00047A3B">
      <w:pPr>
        <w:jc w:val="both"/>
        <w:rPr>
          <w:lang w:eastAsia="zh-CN"/>
        </w:rPr>
      </w:pPr>
      <w:r w:rsidRPr="00AA4D16">
        <w:rPr>
          <w:i/>
          <w:iCs/>
          <w:lang w:eastAsia="zh-CN"/>
        </w:rPr>
        <w:t>a)</w:t>
      </w:r>
      <w:r>
        <w:rPr>
          <w:lang w:eastAsia="zh-CN"/>
        </w:rPr>
        <w:tab/>
      </w:r>
      <w:r>
        <w:rPr>
          <w:rFonts w:hint="eastAsia"/>
          <w:lang w:eastAsia="zh-CN"/>
        </w:rPr>
        <w:t>独立于国际、区域和国家系统容量的</w:t>
      </w:r>
      <w:r>
        <w:rPr>
          <w:lang w:eastAsia="zh-CN"/>
        </w:rPr>
        <w:t>ISDN</w:t>
      </w:r>
      <w:r>
        <w:rPr>
          <w:rFonts w:hint="eastAsia"/>
          <w:lang w:eastAsia="zh-CN"/>
        </w:rPr>
        <w:t>的专用</w:t>
      </w:r>
      <w:r>
        <w:rPr>
          <w:rFonts w:hint="eastAsia"/>
          <w:lang w:eastAsia="zh-CN"/>
        </w:rPr>
        <w:t>/</w:t>
      </w:r>
      <w:proofErr w:type="gramStart"/>
      <w:r>
        <w:rPr>
          <w:rFonts w:hint="eastAsia"/>
          <w:lang w:eastAsia="zh-CN"/>
        </w:rPr>
        <w:t>面向用户的网络正在建设之中；</w:t>
      </w:r>
      <w:proofErr w:type="gramEnd"/>
    </w:p>
    <w:p w14:paraId="492C36E5" w14:textId="77777777" w:rsidR="00AA4D16" w:rsidRDefault="00AA4D16" w:rsidP="00047A3B">
      <w:pPr>
        <w:jc w:val="both"/>
        <w:rPr>
          <w:lang w:eastAsia="zh-CN"/>
        </w:rPr>
      </w:pPr>
      <w:r w:rsidRPr="00AA4D16">
        <w:rPr>
          <w:i/>
          <w:iCs/>
          <w:lang w:eastAsia="zh-CN"/>
        </w:rPr>
        <w:t>b)</w:t>
      </w:r>
      <w:r>
        <w:rPr>
          <w:lang w:eastAsia="zh-CN"/>
        </w:rPr>
        <w:tab/>
      </w:r>
      <w:proofErr w:type="gramStart"/>
      <w:r>
        <w:rPr>
          <w:rFonts w:hint="eastAsia"/>
          <w:lang w:eastAsia="zh-CN"/>
        </w:rPr>
        <w:t>这些网络具有多种可选的体系结构和相应的参考数字路径及用户要求；</w:t>
      </w:r>
      <w:proofErr w:type="gramEnd"/>
    </w:p>
    <w:p w14:paraId="4042DB3D" w14:textId="77777777" w:rsidR="00AA4D16" w:rsidRDefault="00AA4D16" w:rsidP="00047A3B">
      <w:pPr>
        <w:jc w:val="both"/>
        <w:rPr>
          <w:lang w:eastAsia="zh-CN"/>
        </w:rPr>
      </w:pPr>
      <w:r w:rsidRPr="00AA4D16">
        <w:rPr>
          <w:i/>
          <w:iCs/>
          <w:lang w:eastAsia="zh-CN"/>
        </w:rPr>
        <w:t>c)</w:t>
      </w:r>
      <w:r>
        <w:rPr>
          <w:lang w:eastAsia="zh-CN"/>
        </w:rPr>
        <w:tab/>
      </w:r>
      <w:r>
        <w:rPr>
          <w:rFonts w:hint="eastAsia"/>
          <w:lang w:eastAsia="zh-CN"/>
        </w:rPr>
        <w:t>有关这些系统的技术和操作问题的进一步信息和标准，</w:t>
      </w:r>
      <w:proofErr w:type="gramStart"/>
      <w:r>
        <w:rPr>
          <w:rFonts w:hint="eastAsia"/>
          <w:lang w:eastAsia="zh-CN"/>
        </w:rPr>
        <w:t>将有助于开发出经济的卫星系统；</w:t>
      </w:r>
      <w:proofErr w:type="gramEnd"/>
    </w:p>
    <w:p w14:paraId="5FE18A26" w14:textId="4CAC23BB" w:rsidR="00AA4D16" w:rsidRDefault="00AA4D16" w:rsidP="00047A3B">
      <w:pPr>
        <w:jc w:val="both"/>
        <w:rPr>
          <w:lang w:eastAsia="zh-CN"/>
        </w:rPr>
      </w:pPr>
      <w:r w:rsidRPr="00AA4D16">
        <w:rPr>
          <w:i/>
          <w:iCs/>
          <w:lang w:eastAsia="zh-CN"/>
        </w:rPr>
        <w:t>d)</w:t>
      </w:r>
      <w:r>
        <w:rPr>
          <w:lang w:eastAsia="zh-CN"/>
        </w:rPr>
        <w:tab/>
      </w:r>
      <w:r>
        <w:rPr>
          <w:rFonts w:hint="eastAsia"/>
          <w:lang w:eastAsia="zh-CN"/>
        </w:rPr>
        <w:t>这些网络可能包括在陆地段针对单一用户使用的</w:t>
      </w:r>
      <w:r w:rsidRPr="004A4E2B">
        <w:rPr>
          <w:rFonts w:ascii="Arial" w:hAnsi="Arial" w:cs="Arial"/>
          <w:szCs w:val="24"/>
          <w:lang w:eastAsia="zh-CN"/>
        </w:rPr>
        <w:t>甚小孔径终端</w:t>
      </w:r>
      <w:r>
        <w:rPr>
          <w:rFonts w:ascii="Arial" w:hAnsi="Arial" w:cs="Arial" w:hint="eastAsia"/>
          <w:szCs w:val="24"/>
          <w:lang w:eastAsia="zh-CN"/>
        </w:rPr>
        <w:t>（</w:t>
      </w:r>
      <w:proofErr w:type="gramStart"/>
      <w:r>
        <w:rPr>
          <w:lang w:eastAsia="zh-CN"/>
        </w:rPr>
        <w:t>VSAT</w:t>
      </w:r>
      <w:r>
        <w:rPr>
          <w:rFonts w:ascii="Arial" w:hAnsi="Arial" w:cs="Arial" w:hint="eastAsia"/>
          <w:szCs w:val="24"/>
          <w:lang w:eastAsia="zh-CN"/>
        </w:rPr>
        <w:t>；</w:t>
      </w:r>
      <w:proofErr w:type="gramEnd"/>
    </w:p>
    <w:p w14:paraId="6A7DCF95" w14:textId="77777777" w:rsidR="00AA4D16" w:rsidRDefault="00AA4D16" w:rsidP="00047A3B">
      <w:pPr>
        <w:jc w:val="both"/>
        <w:rPr>
          <w:lang w:eastAsia="zh-CN"/>
        </w:rPr>
      </w:pPr>
      <w:r w:rsidRPr="00AA4D16">
        <w:rPr>
          <w:i/>
          <w:iCs/>
          <w:lang w:eastAsia="zh-CN"/>
        </w:rPr>
        <w:t>e)</w:t>
      </w:r>
      <w:r>
        <w:rPr>
          <w:lang w:eastAsia="zh-CN"/>
        </w:rPr>
        <w:tab/>
      </w:r>
      <w:r>
        <w:rPr>
          <w:rFonts w:hint="eastAsia"/>
          <w:lang w:eastAsia="zh-CN"/>
        </w:rPr>
        <w:t>由大量低地球轨道卫星和相关地球站组成的新型卫星固定业务网络，正在开发研制当中，</w:t>
      </w:r>
      <w:proofErr w:type="gramStart"/>
      <w:r>
        <w:rPr>
          <w:rFonts w:hint="eastAsia"/>
          <w:lang w:eastAsia="zh-CN"/>
        </w:rPr>
        <w:t>而且这些网络当中还包括多条卫星间链路；</w:t>
      </w:r>
      <w:proofErr w:type="gramEnd"/>
    </w:p>
    <w:p w14:paraId="77918A07" w14:textId="77777777" w:rsidR="00AA4D16" w:rsidRDefault="00AA4D16" w:rsidP="00047A3B">
      <w:pPr>
        <w:jc w:val="both"/>
        <w:rPr>
          <w:lang w:eastAsia="zh-CN"/>
        </w:rPr>
      </w:pPr>
      <w:r w:rsidRPr="00AA4D16">
        <w:rPr>
          <w:i/>
          <w:iCs/>
          <w:lang w:eastAsia="zh-CN"/>
        </w:rPr>
        <w:t>f)</w:t>
      </w:r>
      <w:r>
        <w:rPr>
          <w:lang w:eastAsia="zh-CN"/>
        </w:rPr>
        <w:tab/>
      </w:r>
      <w:proofErr w:type="gramStart"/>
      <w:r>
        <w:rPr>
          <w:rFonts w:hint="eastAsia"/>
          <w:lang w:eastAsia="zh-CN"/>
        </w:rPr>
        <w:t>数字卫星链路将继续作为承载</w:t>
      </w:r>
      <w:r>
        <w:rPr>
          <w:lang w:eastAsia="zh-CN"/>
        </w:rPr>
        <w:t>ISDN</w:t>
      </w:r>
      <w:r>
        <w:rPr>
          <w:rFonts w:hint="eastAsia"/>
          <w:lang w:eastAsia="zh-CN"/>
        </w:rPr>
        <w:t>等多种业务的发展中数字网络的组成部分；</w:t>
      </w:r>
      <w:proofErr w:type="gramEnd"/>
    </w:p>
    <w:p w14:paraId="4B5373D3" w14:textId="5E3E0D4E" w:rsidR="00AA4D16" w:rsidRDefault="00ED757B" w:rsidP="00047A3B">
      <w:pPr>
        <w:jc w:val="both"/>
        <w:rPr>
          <w:lang w:eastAsia="zh-CN"/>
        </w:rPr>
      </w:pPr>
      <w:r>
        <w:rPr>
          <w:i/>
          <w:iCs/>
          <w:lang w:eastAsia="zh-CN"/>
        </w:rPr>
        <w:t>g</w:t>
      </w:r>
      <w:r w:rsidR="00AA4D16" w:rsidRPr="00AA4D16">
        <w:rPr>
          <w:i/>
          <w:iCs/>
          <w:lang w:eastAsia="zh-CN"/>
        </w:rPr>
        <w:t>)</w:t>
      </w:r>
      <w:r w:rsidR="00AA4D16">
        <w:rPr>
          <w:lang w:eastAsia="zh-CN"/>
        </w:rPr>
        <w:tab/>
      </w:r>
      <w:r w:rsidR="00AA4D16">
        <w:rPr>
          <w:rFonts w:hint="eastAsia"/>
          <w:lang w:eastAsia="zh-CN"/>
        </w:rPr>
        <w:t>可行的做法是为数字卫星链路确定多种网络体系结构，</w:t>
      </w:r>
      <w:proofErr w:type="gramStart"/>
      <w:r w:rsidR="00AA4D16">
        <w:rPr>
          <w:rFonts w:hint="eastAsia"/>
          <w:lang w:eastAsia="zh-CN"/>
        </w:rPr>
        <w:t>并向设备和系统设计人员提供设备和系统实施指导；</w:t>
      </w:r>
      <w:proofErr w:type="gramEnd"/>
    </w:p>
    <w:p w14:paraId="5B8F4F4D" w14:textId="1B93C6F3" w:rsidR="00AA4D16" w:rsidRDefault="00ED757B" w:rsidP="00047A3B">
      <w:pPr>
        <w:jc w:val="both"/>
        <w:rPr>
          <w:lang w:eastAsia="zh-CN"/>
        </w:rPr>
      </w:pPr>
      <w:r>
        <w:rPr>
          <w:i/>
          <w:iCs/>
          <w:lang w:eastAsia="zh-CN"/>
        </w:rPr>
        <w:t>h</w:t>
      </w:r>
      <w:r w:rsidR="00AA4D16" w:rsidRPr="00AA4D16">
        <w:rPr>
          <w:i/>
          <w:iCs/>
          <w:lang w:eastAsia="zh-CN"/>
        </w:rPr>
        <w:t>)</w:t>
      </w:r>
      <w:r w:rsidR="00AA4D16">
        <w:rPr>
          <w:lang w:eastAsia="zh-CN"/>
        </w:rPr>
        <w:tab/>
      </w:r>
      <w:r w:rsidR="00AA4D16">
        <w:rPr>
          <w:rFonts w:hint="eastAsia"/>
          <w:lang w:eastAsia="zh-CN"/>
        </w:rPr>
        <w:t>这些网络体系结构会有助于设计人员分配数字传输链路的损失，</w:t>
      </w:r>
    </w:p>
    <w:p w14:paraId="23E21B29" w14:textId="77777777" w:rsidR="00AA4D16" w:rsidRDefault="00AA4D16" w:rsidP="00047A3B">
      <w:pPr>
        <w:pStyle w:val="Call"/>
        <w:jc w:val="both"/>
        <w:rPr>
          <w:lang w:eastAsia="zh-CN"/>
        </w:rPr>
      </w:pPr>
      <w:r w:rsidRPr="00197149">
        <w:rPr>
          <w:rFonts w:eastAsia="STKaiti" w:hint="eastAsia"/>
          <w:i w:val="0"/>
          <w:iCs/>
          <w:lang w:eastAsia="zh-CN"/>
        </w:rPr>
        <w:t>做出决定，</w:t>
      </w:r>
      <w:r>
        <w:rPr>
          <w:rFonts w:ascii="SimSun" w:hAnsi="SimSun" w:cs="SimSun" w:hint="eastAsia"/>
          <w:i w:val="0"/>
          <w:iCs/>
          <w:lang w:eastAsia="zh-CN"/>
        </w:rPr>
        <w:t>应研究以下课题</w:t>
      </w:r>
    </w:p>
    <w:p w14:paraId="3438B3BC" w14:textId="77777777" w:rsidR="00AA4D16" w:rsidRPr="005C20E1" w:rsidRDefault="00AA4D16" w:rsidP="00047A3B">
      <w:pPr>
        <w:jc w:val="both"/>
        <w:rPr>
          <w:spacing w:val="-2"/>
          <w:lang w:eastAsia="zh-CN"/>
        </w:rPr>
      </w:pPr>
      <w:r w:rsidRPr="005C20E1">
        <w:rPr>
          <w:bCs/>
          <w:spacing w:val="-2"/>
          <w:lang w:eastAsia="zh-CN"/>
        </w:rPr>
        <w:t>1</w:t>
      </w:r>
      <w:r w:rsidRPr="005C20E1">
        <w:rPr>
          <w:spacing w:val="-2"/>
          <w:lang w:eastAsia="zh-CN"/>
        </w:rPr>
        <w:tab/>
      </w:r>
      <w:r w:rsidRPr="005C20E1">
        <w:rPr>
          <w:rFonts w:hint="eastAsia"/>
          <w:spacing w:val="-2"/>
          <w:lang w:eastAsia="zh-CN"/>
        </w:rPr>
        <w:t>可以考虑选择哪些网络体系结构来促进用于数字传输的专用用户系统的设计与制作？</w:t>
      </w:r>
    </w:p>
    <w:p w14:paraId="7E5403D7" w14:textId="77777777" w:rsidR="00AA4D16" w:rsidRDefault="00AA4D16" w:rsidP="00047A3B">
      <w:pPr>
        <w:jc w:val="both"/>
        <w:rPr>
          <w:lang w:eastAsia="zh-CN"/>
        </w:rPr>
      </w:pPr>
      <w:r w:rsidRPr="00BC2B28">
        <w:rPr>
          <w:bCs/>
          <w:lang w:eastAsia="zh-CN"/>
        </w:rPr>
        <w:t>2</w:t>
      </w:r>
      <w:r>
        <w:rPr>
          <w:lang w:eastAsia="zh-CN"/>
        </w:rPr>
        <w:tab/>
      </w:r>
      <w:r>
        <w:rPr>
          <w:rFonts w:hint="eastAsia"/>
          <w:lang w:eastAsia="zh-CN"/>
        </w:rPr>
        <w:t>考虑到</w:t>
      </w:r>
      <w:r>
        <w:rPr>
          <w:lang w:eastAsia="zh-CN"/>
        </w:rPr>
        <w:t>§ 1</w:t>
      </w:r>
      <w:r>
        <w:rPr>
          <w:rFonts w:hint="eastAsia"/>
          <w:lang w:eastAsia="zh-CN"/>
        </w:rPr>
        <w:t>的内容，哪些网络体系结构具有更可取的综合成本效益？</w:t>
      </w:r>
    </w:p>
    <w:p w14:paraId="7824596C" w14:textId="77777777" w:rsidR="00AA4D16" w:rsidRDefault="00AA4D16" w:rsidP="00047A3B">
      <w:pPr>
        <w:jc w:val="both"/>
        <w:rPr>
          <w:lang w:eastAsia="zh-CN"/>
        </w:rPr>
      </w:pPr>
      <w:r w:rsidRPr="00BC2B28">
        <w:rPr>
          <w:bCs/>
          <w:lang w:eastAsia="zh-CN"/>
        </w:rPr>
        <w:t>3</w:t>
      </w:r>
      <w:r>
        <w:rPr>
          <w:lang w:eastAsia="zh-CN"/>
        </w:rPr>
        <w:tab/>
      </w:r>
      <w:r>
        <w:rPr>
          <w:rFonts w:hint="eastAsia"/>
          <w:lang w:eastAsia="zh-CN"/>
        </w:rPr>
        <w:t>哪些是用户首选的卫星链路性能和可用性要求？</w:t>
      </w:r>
    </w:p>
    <w:p w14:paraId="25876A10" w14:textId="77777777" w:rsidR="00AA4D16" w:rsidRDefault="00AA4D16" w:rsidP="00047A3B">
      <w:pPr>
        <w:jc w:val="both"/>
        <w:rPr>
          <w:lang w:eastAsia="zh-CN"/>
        </w:rPr>
      </w:pPr>
      <w:r w:rsidRPr="00BC2B28">
        <w:rPr>
          <w:bCs/>
          <w:lang w:eastAsia="zh-CN"/>
        </w:rPr>
        <w:t>4</w:t>
      </w:r>
      <w:r>
        <w:rPr>
          <w:lang w:eastAsia="zh-CN"/>
        </w:rPr>
        <w:tab/>
      </w:r>
      <w:r>
        <w:rPr>
          <w:rFonts w:hint="eastAsia"/>
          <w:lang w:eastAsia="zh-CN"/>
        </w:rPr>
        <w:t>什么是显示备选网络拓扑、系统体系结构和链路控制协议特点的因素？</w:t>
      </w:r>
    </w:p>
    <w:p w14:paraId="56FCBBF5" w14:textId="77777777" w:rsidR="00AA4D16" w:rsidRDefault="00AA4D16" w:rsidP="00047A3B">
      <w:pPr>
        <w:jc w:val="both"/>
        <w:rPr>
          <w:lang w:eastAsia="zh-CN"/>
        </w:rPr>
      </w:pPr>
      <w:r w:rsidRPr="00BC2B28">
        <w:rPr>
          <w:bCs/>
          <w:lang w:eastAsia="zh-CN"/>
        </w:rPr>
        <w:t>5</w:t>
      </w:r>
      <w:r>
        <w:rPr>
          <w:lang w:eastAsia="zh-CN"/>
        </w:rPr>
        <w:tab/>
      </w:r>
      <w:r>
        <w:rPr>
          <w:rFonts w:hint="eastAsia"/>
          <w:lang w:eastAsia="zh-CN"/>
        </w:rPr>
        <w:t>网络要求对地球站特性具有什么影响？</w:t>
      </w:r>
    </w:p>
    <w:p w14:paraId="38C37F2B" w14:textId="77777777" w:rsidR="00AA4D16" w:rsidRDefault="00AA4D16" w:rsidP="00047A3B">
      <w:pPr>
        <w:jc w:val="both"/>
        <w:rPr>
          <w:lang w:eastAsia="zh-CN"/>
        </w:rPr>
      </w:pPr>
      <w:r w:rsidRPr="00BC2B28">
        <w:rPr>
          <w:bCs/>
          <w:lang w:eastAsia="zh-CN"/>
        </w:rPr>
        <w:t>6</w:t>
      </w:r>
      <w:r>
        <w:rPr>
          <w:lang w:eastAsia="zh-CN"/>
        </w:rPr>
        <w:tab/>
      </w:r>
      <w:r>
        <w:rPr>
          <w:rFonts w:hint="eastAsia"/>
          <w:lang w:eastAsia="zh-CN"/>
        </w:rPr>
        <w:t>哪些是推荐使用的标准化专用用户</w:t>
      </w:r>
      <w:r>
        <w:rPr>
          <w:rFonts w:hint="eastAsia"/>
          <w:lang w:eastAsia="zh-CN"/>
        </w:rPr>
        <w:t>/</w:t>
      </w:r>
      <w:r>
        <w:rPr>
          <w:rFonts w:hint="eastAsia"/>
          <w:lang w:eastAsia="zh-CN"/>
        </w:rPr>
        <w:t>网络数字接口？</w:t>
      </w:r>
    </w:p>
    <w:p w14:paraId="3EF2744E" w14:textId="77777777" w:rsidR="00AA4D16" w:rsidRPr="00C20215" w:rsidRDefault="00AA4D16" w:rsidP="00047A3B">
      <w:pPr>
        <w:pStyle w:val="Call"/>
        <w:jc w:val="both"/>
        <w:rPr>
          <w:i w:val="0"/>
          <w:lang w:eastAsia="zh-CN"/>
        </w:rPr>
      </w:pPr>
      <w:r w:rsidRPr="00C20215">
        <w:rPr>
          <w:rFonts w:eastAsia="STKaiti" w:hint="eastAsia"/>
          <w:i w:val="0"/>
          <w:lang w:eastAsia="zh-CN"/>
        </w:rPr>
        <w:t>进一步做出决定</w:t>
      </w:r>
    </w:p>
    <w:p w14:paraId="7664AC73" w14:textId="77777777" w:rsidR="00BC2B28" w:rsidRDefault="00BC2B28" w:rsidP="00047A3B">
      <w:pPr>
        <w:jc w:val="both"/>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0F38A8FF" w14:textId="428365C4" w:rsidR="00BC2B28" w:rsidRDefault="00BC2B28" w:rsidP="00047A3B">
      <w:pPr>
        <w:jc w:val="both"/>
        <w:rPr>
          <w:lang w:eastAsia="zh-CN"/>
        </w:rPr>
      </w:pPr>
      <w:r w:rsidRPr="00DC5786">
        <w:rPr>
          <w:bCs/>
          <w:lang w:eastAsia="zh-CN"/>
        </w:rPr>
        <w:t>2</w:t>
      </w:r>
      <w:r>
        <w:rPr>
          <w:lang w:eastAsia="zh-CN"/>
        </w:rPr>
        <w:tab/>
      </w:r>
      <w:r>
        <w:rPr>
          <w:rFonts w:hint="eastAsia"/>
          <w:lang w:eastAsia="zh-CN"/>
        </w:rPr>
        <w:t>以上研究应在</w:t>
      </w:r>
      <w:r w:rsidR="008E1EE0">
        <w:rPr>
          <w:rFonts w:hint="eastAsia"/>
          <w:lang w:eastAsia="zh-CN"/>
        </w:rPr>
        <w:t>20</w:t>
      </w:r>
      <w:r w:rsidR="008E1EE0">
        <w:rPr>
          <w:lang w:eastAsia="zh-CN"/>
        </w:rPr>
        <w:t>2</w:t>
      </w:r>
      <w:r w:rsidR="00ED757B">
        <w:rPr>
          <w:lang w:eastAsia="zh-CN"/>
        </w:rPr>
        <w:t>7</w:t>
      </w:r>
      <w:r>
        <w:rPr>
          <w:rFonts w:hint="eastAsia"/>
          <w:lang w:eastAsia="zh-CN"/>
        </w:rPr>
        <w:t>年之前完成。</w:t>
      </w:r>
    </w:p>
    <w:p w14:paraId="0BB803CD" w14:textId="77777777" w:rsidR="00AA4D16" w:rsidRPr="009B4763" w:rsidRDefault="00BC2B28" w:rsidP="00047A3B">
      <w:pPr>
        <w:spacing w:before="360"/>
        <w:jc w:val="both"/>
        <w:rPr>
          <w:lang w:eastAsia="zh-CN"/>
        </w:rPr>
      </w:pPr>
      <w:r>
        <w:rPr>
          <w:rFonts w:hint="eastAsia"/>
          <w:lang w:eastAsia="zh-CN"/>
        </w:rPr>
        <w:t>类别：</w:t>
      </w:r>
      <w:r>
        <w:rPr>
          <w:lang w:eastAsia="zh-CN"/>
        </w:rPr>
        <w:t>S2</w:t>
      </w:r>
    </w:p>
    <w:sectPr w:rsidR="00AA4D16" w:rsidRPr="009B4763">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13C5" w14:textId="77777777" w:rsidR="006A35C5" w:rsidRDefault="006A35C5">
      <w:r>
        <w:separator/>
      </w:r>
    </w:p>
  </w:endnote>
  <w:endnote w:type="continuationSeparator" w:id="0">
    <w:p w14:paraId="79B166B5"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icrosoft YaHe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F6C9" w14:textId="77777777" w:rsidR="006A35C5" w:rsidRPr="007C7E48" w:rsidRDefault="005C20E1"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75B0" w14:textId="77777777" w:rsidR="006A35C5" w:rsidRDefault="006A35C5">
      <w:r>
        <w:t>____________________</w:t>
      </w:r>
    </w:p>
  </w:footnote>
  <w:footnote w:type="continuationSeparator" w:id="0">
    <w:p w14:paraId="3A2C8E05" w14:textId="77777777" w:rsidR="006A35C5" w:rsidRDefault="006A35C5">
      <w:r>
        <w:continuationSeparator/>
      </w:r>
    </w:p>
  </w:footnote>
  <w:footnote w:id="1">
    <w:p w14:paraId="716EB3E2" w14:textId="1E87D796" w:rsidR="005C20E1" w:rsidRPr="005C20E1" w:rsidRDefault="005C20E1">
      <w:pPr>
        <w:pStyle w:val="FootnoteText"/>
        <w:rPr>
          <w:rFonts w:ascii="SimSun" w:hAnsi="SimSun"/>
          <w:lang w:val="fr-FR"/>
        </w:rPr>
      </w:pPr>
      <w:r w:rsidRPr="005C20E1">
        <w:rPr>
          <w:rStyle w:val="FootnoteReference"/>
          <w:rFonts w:ascii="SimSun" w:hAnsi="SimSun"/>
        </w:rPr>
        <w:sym w:font="Symbol" w:char="F02A"/>
      </w:r>
      <w:r w:rsidRPr="005C20E1">
        <w:rPr>
          <w:rFonts w:ascii="SimSun" w:hAnsi="SimSun"/>
        </w:rPr>
        <w:t xml:space="preserve"> </w:t>
      </w:r>
      <w:r w:rsidRPr="005C20E1">
        <w:rPr>
          <w:rFonts w:ascii="SimSun" w:hAnsi="SimSun" w:cs="Segoe UI"/>
          <w:color w:val="000000"/>
          <w:sz w:val="20"/>
          <w:lang w:val="ru-RU"/>
        </w:rPr>
        <w:t>2023</w:t>
      </w:r>
      <w:r w:rsidRPr="005C20E1">
        <w:rPr>
          <w:rFonts w:ascii="SimSun" w:hAnsi="SimSun" w:hint="eastAsia"/>
          <w:color w:val="000000"/>
          <w:sz w:val="20"/>
          <w:lang w:val="fr-FR" w:eastAsia="zh-CN"/>
        </w:rPr>
        <w:t>年</w:t>
      </w:r>
      <w:r w:rsidRPr="005C20E1">
        <w:rPr>
          <w:rFonts w:ascii="SimSun" w:hAnsi="SimSun" w:hint="eastAsia"/>
          <w:color w:val="000000"/>
          <w:sz w:val="20"/>
          <w:lang w:val="ru-RU" w:eastAsia="zh-CN"/>
        </w:rPr>
        <w:t>，</w:t>
      </w:r>
      <w:proofErr w:type="spellStart"/>
      <w:r w:rsidRPr="005C20E1">
        <w:rPr>
          <w:rFonts w:ascii="SimSun" w:hAnsi="SimSun" w:hint="eastAsia"/>
          <w:color w:val="000000"/>
          <w:sz w:val="20"/>
          <w:lang w:val="fr-FR"/>
        </w:rPr>
        <w:t>无线电通信第</w:t>
      </w:r>
      <w:proofErr w:type="spellEnd"/>
      <w:r w:rsidRPr="005C20E1">
        <w:rPr>
          <w:rFonts w:ascii="SimSun" w:hAnsi="SimSun"/>
          <w:lang w:val="es-ES"/>
        </w:rPr>
        <w:t>4</w:t>
      </w:r>
      <w:proofErr w:type="spellStart"/>
      <w:r w:rsidRPr="005C20E1">
        <w:rPr>
          <w:rFonts w:ascii="SimSun" w:hAnsi="SimSun" w:hint="eastAsia"/>
          <w:color w:val="000000"/>
          <w:sz w:val="20"/>
          <w:lang w:val="fr-FR"/>
        </w:rPr>
        <w:t>研究组根据</w:t>
      </w:r>
      <w:proofErr w:type="spellEnd"/>
      <w:r w:rsidRPr="005C20E1">
        <w:rPr>
          <w:rFonts w:ascii="SimSun" w:hAnsi="SimSun" w:cs="Segoe UI"/>
          <w:color w:val="000000"/>
          <w:sz w:val="20"/>
          <w:lang w:val="es-ES"/>
        </w:rPr>
        <w:t>ITU</w:t>
      </w:r>
      <w:r w:rsidRPr="005C20E1">
        <w:rPr>
          <w:rFonts w:ascii="SimSun" w:hAnsi="SimSun" w:cs="Segoe UI"/>
          <w:color w:val="000000"/>
          <w:sz w:val="20"/>
          <w:lang w:val="ru-RU"/>
        </w:rPr>
        <w:t>-</w:t>
      </w:r>
      <w:r w:rsidRPr="005C20E1">
        <w:rPr>
          <w:rFonts w:ascii="SimSun" w:hAnsi="SimSun" w:cs="Segoe UI"/>
          <w:color w:val="000000"/>
          <w:sz w:val="20"/>
          <w:lang w:val="es-ES"/>
        </w:rPr>
        <w:t>R</w:t>
      </w:r>
      <w:r w:rsidRPr="005C20E1">
        <w:rPr>
          <w:rFonts w:ascii="SimSun" w:hAnsi="SimSun" w:hint="eastAsia"/>
          <w:color w:val="000000"/>
          <w:sz w:val="20"/>
          <w:lang w:val="fr-FR"/>
        </w:rPr>
        <w:t>第</w:t>
      </w:r>
      <w:r w:rsidRPr="005C20E1">
        <w:rPr>
          <w:rFonts w:ascii="SimSun" w:hAnsi="SimSun" w:cs="Segoe UI"/>
          <w:color w:val="000000"/>
          <w:sz w:val="20"/>
          <w:lang w:val="ru-RU"/>
        </w:rPr>
        <w:t>1</w:t>
      </w:r>
      <w:proofErr w:type="spellStart"/>
      <w:r w:rsidRPr="005C20E1">
        <w:rPr>
          <w:rFonts w:ascii="SimSun" w:hAnsi="SimSun" w:hint="eastAsia"/>
          <w:color w:val="000000"/>
          <w:sz w:val="20"/>
          <w:lang w:val="fr-FR"/>
        </w:rPr>
        <w:t>号决议对此课题进行了编辑性修正</w:t>
      </w:r>
      <w:proofErr w:type="spellEnd"/>
      <w:r w:rsidRPr="005C20E1">
        <w:rPr>
          <w:rFonts w:ascii="SimSun" w:hAnsi="SimSun" w:hint="eastAsia"/>
          <w:color w:val="000000"/>
          <w:sz w:val="20"/>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AEED"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B4763">
      <w:rPr>
        <w:rStyle w:val="PageNumber"/>
        <w:noProof/>
      </w:rPr>
      <w:t>40</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9312389">
    <w:abstractNumId w:val="7"/>
  </w:num>
  <w:num w:numId="2" w16cid:durableId="777916031">
    <w:abstractNumId w:val="5"/>
  </w:num>
  <w:num w:numId="3" w16cid:durableId="2130584939">
    <w:abstractNumId w:val="3"/>
  </w:num>
  <w:num w:numId="4" w16cid:durableId="343019443">
    <w:abstractNumId w:val="4"/>
  </w:num>
  <w:num w:numId="5" w16cid:durableId="1774398039">
    <w:abstractNumId w:val="6"/>
  </w:num>
  <w:num w:numId="6" w16cid:durableId="958876431">
    <w:abstractNumId w:val="1"/>
  </w:num>
  <w:num w:numId="7" w16cid:durableId="1401519582">
    <w:abstractNumId w:val="2"/>
  </w:num>
  <w:num w:numId="8" w16cid:durableId="141624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47A3B"/>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0E1"/>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1EE0"/>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4763"/>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D757B"/>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E197F80"/>
  <w15:docId w15:val="{8B5A7ACD-B818-4A91-B1D4-4CECA060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0406-FC3E-4A46-9B26-54469010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648</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Limousin, Catherine</cp:lastModifiedBy>
  <cp:revision>7</cp:revision>
  <cp:lastPrinted>2012-03-15T10:50:00Z</cp:lastPrinted>
  <dcterms:created xsi:type="dcterms:W3CDTF">2012-05-03T08:43:00Z</dcterms:created>
  <dcterms:modified xsi:type="dcterms:W3CDTF">2023-09-14T13:36:00Z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