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7A7E" w14:textId="77777777" w:rsidR="000707FE" w:rsidRDefault="000707FE" w:rsidP="00C8236A">
      <w:pPr>
        <w:pStyle w:val="Title1"/>
        <w:spacing w:before="120"/>
      </w:pPr>
      <w:r>
        <w:t>CuestiÓn UIT-R 217-2/4</w:t>
      </w:r>
      <w:r>
        <w:rPr>
          <w:rStyle w:val="FootnoteReference"/>
          <w:sz w:val="20"/>
        </w:rPr>
        <w:footnoteReference w:customMarkFollows="1" w:id="1"/>
        <w:t>*</w:t>
      </w:r>
    </w:p>
    <w:p w14:paraId="0755F830" w14:textId="77777777" w:rsidR="000707FE" w:rsidRDefault="000707FE" w:rsidP="00C8236A">
      <w:pPr>
        <w:pStyle w:val="Questiontitle"/>
      </w:pPr>
      <w:r>
        <w:t xml:space="preserve">Interferencias al servicio de radionavegación por satélite en el sistema </w:t>
      </w:r>
      <w:r>
        <w:br/>
        <w:t>mundial de navegación por satélite de la OACI</w:t>
      </w:r>
    </w:p>
    <w:p w14:paraId="081EF6B3" w14:textId="77777777" w:rsidR="000707FE" w:rsidRPr="0030108E" w:rsidRDefault="000707FE" w:rsidP="00C8236A">
      <w:pPr>
        <w:pStyle w:val="Questiondate"/>
      </w:pPr>
      <w:r w:rsidRPr="0030108E">
        <w:t>(1997</w:t>
      </w:r>
      <w:r>
        <w:t>-2006-2007</w:t>
      </w:r>
      <w:r w:rsidRPr="0030108E">
        <w:t>)</w:t>
      </w:r>
    </w:p>
    <w:p w14:paraId="26EAD96A" w14:textId="77777777" w:rsidR="000707FE" w:rsidRPr="005C2BDE" w:rsidRDefault="000707FE" w:rsidP="009C2840">
      <w:pPr>
        <w:pStyle w:val="Normalaftertitle0"/>
        <w:jc w:val="both"/>
      </w:pPr>
      <w:r w:rsidRPr="005C2BDE">
        <w:t>La Asamblea de Radiocomunicaciones de la UIT,</w:t>
      </w:r>
    </w:p>
    <w:p w14:paraId="1AA38DAE" w14:textId="77777777" w:rsidR="000707FE" w:rsidRDefault="000707FE" w:rsidP="009C2840">
      <w:pPr>
        <w:pStyle w:val="Call"/>
        <w:jc w:val="both"/>
      </w:pPr>
      <w:r>
        <w:t>considerando</w:t>
      </w:r>
    </w:p>
    <w:p w14:paraId="0F7EFB58" w14:textId="77777777" w:rsidR="000707FE" w:rsidRDefault="000707FE" w:rsidP="009C2840">
      <w:pPr>
        <w:jc w:val="both"/>
      </w:pPr>
      <w:r w:rsidRPr="00C8236A">
        <w:rPr>
          <w:i/>
          <w:iCs/>
        </w:rPr>
        <w:t>a)</w:t>
      </w:r>
      <w:r>
        <w:tab/>
        <w:t>que los tipos de radiación capaces de causar interferencia perjudicial pueden diferir mucho, según las características técnicas y de explotación de los servicios de que se trate y de la fase de vuelo de la aeronave (por ejemplo, en ruta, de aproximación);</w:t>
      </w:r>
    </w:p>
    <w:p w14:paraId="157D1C1D" w14:textId="77777777" w:rsidR="000707FE" w:rsidRDefault="000707FE" w:rsidP="009C2840">
      <w:pPr>
        <w:jc w:val="both"/>
      </w:pPr>
      <w:r w:rsidRPr="00C8236A">
        <w:rPr>
          <w:i/>
          <w:iCs/>
        </w:rPr>
        <w:t>b)</w:t>
      </w:r>
      <w:r>
        <w:tab/>
        <w:t>que el sistema mundial de determinación de posición (GPS) y el sistema mundial de navegación por satélite (GLONASS) son elementos que constituyen el sistema mundial de navegación por satélite (</w:t>
      </w:r>
      <w:proofErr w:type="spellStart"/>
      <w:r>
        <w:t>GNSS</w:t>
      </w:r>
      <w:proofErr w:type="spellEnd"/>
      <w:r>
        <w:t>) de la Organización de Aviación Civil Internacional (OACI);</w:t>
      </w:r>
    </w:p>
    <w:p w14:paraId="7BAC4066" w14:textId="77777777" w:rsidR="000707FE" w:rsidRDefault="000707FE" w:rsidP="009C2840">
      <w:pPr>
        <w:jc w:val="both"/>
      </w:pPr>
      <w:r w:rsidRPr="00C8236A">
        <w:rPr>
          <w:i/>
          <w:iCs/>
        </w:rPr>
        <w:t>c)</w:t>
      </w:r>
      <w:r>
        <w:tab/>
        <w:t xml:space="preserve">que otros sistemas del </w:t>
      </w:r>
      <w:proofErr w:type="spellStart"/>
      <w:r>
        <w:t>SRNS</w:t>
      </w:r>
      <w:proofErr w:type="spellEnd"/>
      <w:r>
        <w:t xml:space="preserve"> planificados, tales como Galileo, podrían solicitar su incorporación como elementos constitutivos del sistema mundial de navegación por satélite (</w:t>
      </w:r>
      <w:proofErr w:type="spellStart"/>
      <w:r>
        <w:t>GNSS</w:t>
      </w:r>
      <w:proofErr w:type="spellEnd"/>
      <w:r>
        <w:t>) de la Organización de Aviación Civil Internacional (OACI);</w:t>
      </w:r>
    </w:p>
    <w:p w14:paraId="1A2F8E48" w14:textId="77777777" w:rsidR="000707FE" w:rsidRDefault="000707FE" w:rsidP="009C2840">
      <w:pPr>
        <w:jc w:val="both"/>
      </w:pPr>
      <w:r w:rsidRPr="00C8236A">
        <w:rPr>
          <w:i/>
          <w:iCs/>
        </w:rPr>
        <w:t>d)</w:t>
      </w:r>
      <w:r>
        <w:tab/>
      </w:r>
      <w:proofErr w:type="gramStart"/>
      <w:r>
        <w:t>que</w:t>
      </w:r>
      <w:proofErr w:type="gramEnd"/>
      <w:r>
        <w:t xml:space="preserve"> en la </w:t>
      </w:r>
      <w:proofErr w:type="spellStart"/>
      <w:r>
        <w:t>10</w:t>
      </w:r>
      <w:r>
        <w:rPr>
          <w:sz w:val="28"/>
          <w:vertAlign w:val="superscript"/>
        </w:rPr>
        <w:t>a</w:t>
      </w:r>
      <w:proofErr w:type="spellEnd"/>
      <w:r>
        <w:t xml:space="preserve"> Conferencia de Navegación Aérea de la OACI, en 1991, se aprobó un concepto de futuros sistemas de comunicaciones, navegación y vigilancia (</w:t>
      </w:r>
      <w:proofErr w:type="spellStart"/>
      <w:r>
        <w:t>CNS</w:t>
      </w:r>
      <w:proofErr w:type="spellEnd"/>
      <w:r>
        <w:t xml:space="preserve">) basado en gran medida en los servicios por satélite, de los cuales el </w:t>
      </w:r>
      <w:proofErr w:type="spellStart"/>
      <w:r>
        <w:t>GNSS</w:t>
      </w:r>
      <w:proofErr w:type="spellEnd"/>
      <w:r>
        <w:t xml:space="preserve"> es el componente de navegación esencial;</w:t>
      </w:r>
    </w:p>
    <w:p w14:paraId="2D721223" w14:textId="77777777" w:rsidR="000707FE" w:rsidRDefault="000707FE" w:rsidP="009C2840">
      <w:pPr>
        <w:jc w:val="both"/>
      </w:pPr>
      <w:r w:rsidRPr="00C8236A">
        <w:rPr>
          <w:i/>
          <w:iCs/>
        </w:rPr>
        <w:t>e)</w:t>
      </w:r>
      <w:r>
        <w:tab/>
        <w:t>que la OACI ha elaborado normas y prácticas recomendadas (</w:t>
      </w:r>
      <w:proofErr w:type="spellStart"/>
      <w:r>
        <w:t>SARP</w:t>
      </w:r>
      <w:proofErr w:type="spellEnd"/>
      <w:r>
        <w:t>) que proporcionan datos técnicos para las operaciones del sistema mundial de navegación por satélite (</w:t>
      </w:r>
      <w:proofErr w:type="spellStart"/>
      <w:r>
        <w:t>GNSS</w:t>
      </w:r>
      <w:proofErr w:type="spellEnd"/>
      <w:r>
        <w:t>) y los correspondientes equipos de electrónica aeroespacial;</w:t>
      </w:r>
    </w:p>
    <w:p w14:paraId="0C2E821D" w14:textId="77777777" w:rsidR="000707FE" w:rsidRDefault="000707FE" w:rsidP="009C2840">
      <w:pPr>
        <w:jc w:val="both"/>
      </w:pPr>
      <w:r w:rsidRPr="00C8236A">
        <w:rPr>
          <w:i/>
          <w:iCs/>
        </w:rPr>
        <w:t>f)</w:t>
      </w:r>
      <w:r>
        <w:tab/>
        <w:t>que desde 1998 el modo en banda estrecha del GLONASS-M funciona en la banda 1 597,5515</w:t>
      </w:r>
      <w:r>
        <w:noBreakHyphen/>
        <w:t>1 609,8235 MHz. A partir del año 2005 los modos del GLONASS</w:t>
      </w:r>
      <w:r>
        <w:noBreakHyphen/>
        <w:t>M en banda estrecha y en banda ancha funcionarán en la banda 1 592,9525</w:t>
      </w:r>
      <w:r>
        <w:noBreakHyphen/>
        <w:t xml:space="preserve">1 609,3600 MHz. Actualmente, la OACI está considerando utilizar únicamente el modo banda estrecha para el </w:t>
      </w:r>
      <w:proofErr w:type="spellStart"/>
      <w:r>
        <w:t>GNSS</w:t>
      </w:r>
      <w:proofErr w:type="spellEnd"/>
      <w:r>
        <w:t>;</w:t>
      </w:r>
    </w:p>
    <w:p w14:paraId="6F424B41" w14:textId="355B86EA" w:rsidR="000707FE" w:rsidRDefault="000707FE" w:rsidP="009C2840">
      <w:pPr>
        <w:jc w:val="both"/>
      </w:pPr>
      <w:r w:rsidRPr="00C8236A">
        <w:rPr>
          <w:i/>
          <w:iCs/>
        </w:rPr>
        <w:t>g)</w:t>
      </w:r>
      <w:r>
        <w:tab/>
        <w:t xml:space="preserve">que es posible que algunas administraciones estén actualmente utilizando, o estén planificando utilizar, la banda atribuida al </w:t>
      </w:r>
      <w:proofErr w:type="spellStart"/>
      <w:r>
        <w:t>SRNS</w:t>
      </w:r>
      <w:proofErr w:type="spellEnd"/>
      <w:r>
        <w:t xml:space="preserve"> para operaciones del servicio fijo;</w:t>
      </w:r>
    </w:p>
    <w:p w14:paraId="5D4DE9B5" w14:textId="77777777" w:rsidR="000707FE" w:rsidRDefault="000707FE" w:rsidP="009C2840">
      <w:pPr>
        <w:jc w:val="both"/>
      </w:pPr>
      <w:r w:rsidRPr="00C8236A">
        <w:rPr>
          <w:i/>
          <w:iCs/>
        </w:rPr>
        <w:t>h)</w:t>
      </w:r>
      <w:r>
        <w:tab/>
        <w:t xml:space="preserve">que esas operaciones del servicio fijo pueden causar interferencia perjudicial a las operaciones del </w:t>
      </w:r>
      <w:proofErr w:type="spellStart"/>
      <w:r>
        <w:t>GNSS</w:t>
      </w:r>
      <w:proofErr w:type="spellEnd"/>
      <w:r>
        <w:t xml:space="preserve"> en la banda,</w:t>
      </w:r>
    </w:p>
    <w:p w14:paraId="110BB094" w14:textId="77777777" w:rsidR="000707FE" w:rsidRDefault="000707FE" w:rsidP="009C2840">
      <w:pPr>
        <w:pStyle w:val="Call"/>
        <w:jc w:val="both"/>
      </w:pPr>
      <w:r>
        <w:t>reconociendo</w:t>
      </w:r>
    </w:p>
    <w:p w14:paraId="0881DFDB" w14:textId="77777777" w:rsidR="000707FE" w:rsidRDefault="000707FE" w:rsidP="009C2840">
      <w:pPr>
        <w:jc w:val="both"/>
      </w:pPr>
      <w:r w:rsidRPr="00C8236A">
        <w:rPr>
          <w:i/>
          <w:iCs/>
        </w:rPr>
        <w:t>a)</w:t>
      </w:r>
      <w:r>
        <w:tab/>
      </w:r>
      <w:r w:rsidRPr="000F6E5E">
        <w:t xml:space="preserve">que el servicio de navegación por satélite proporciona un servicio de navegación relacionado con la seguridad de los vuelos en el medio aeronáutico y que el </w:t>
      </w:r>
      <w:proofErr w:type="spellStart"/>
      <w:r w:rsidRPr="000F6E5E">
        <w:t>RR</w:t>
      </w:r>
      <w:proofErr w:type="spellEnd"/>
      <w:r w:rsidRPr="000F6E5E">
        <w:t xml:space="preserve"> </w:t>
      </w:r>
      <w:r w:rsidRPr="009C2840">
        <w:rPr>
          <w:b/>
          <w:bCs/>
        </w:rPr>
        <w:t>4.10</w:t>
      </w:r>
      <w:r w:rsidRPr="000F6E5E">
        <w:t xml:space="preserve"> reconoce que los servicios de seguridad requieren medidas especiales para garantizar que estén libres de interferencia perjudicial</w:t>
      </w:r>
      <w:r>
        <w:t>;</w:t>
      </w:r>
    </w:p>
    <w:p w14:paraId="79758FF9" w14:textId="77777777" w:rsidR="000707FE" w:rsidRDefault="000707FE" w:rsidP="009C2840">
      <w:pPr>
        <w:jc w:val="both"/>
      </w:pPr>
      <w:r w:rsidRPr="00C8236A">
        <w:rPr>
          <w:i/>
          <w:iCs/>
        </w:rPr>
        <w:t>b)</w:t>
      </w:r>
      <w:r>
        <w:tab/>
        <w:t>que ciertas partes de las bandas de frecuencias atribuidas al servicio de radionavegación por satélite están atribuidas también al servicio fijo en ciertos países (</w:t>
      </w:r>
      <w:proofErr w:type="spellStart"/>
      <w:r>
        <w:t>RR</w:t>
      </w:r>
      <w:proofErr w:type="spellEnd"/>
      <w:r>
        <w:t xml:space="preserve"> </w:t>
      </w:r>
      <w:proofErr w:type="spellStart"/>
      <w:r w:rsidRPr="009C2840">
        <w:rPr>
          <w:b/>
          <w:bCs/>
        </w:rPr>
        <w:t>5.362B</w:t>
      </w:r>
      <w:proofErr w:type="spellEnd"/>
      <w:r>
        <w:t>) a título primario con igualdad de derechos;</w:t>
      </w:r>
    </w:p>
    <w:p w14:paraId="2E21453C" w14:textId="77777777" w:rsidR="000707FE" w:rsidRDefault="000707FE" w:rsidP="009C2840">
      <w:pPr>
        <w:jc w:val="both"/>
      </w:pPr>
      <w:r w:rsidRPr="00C8236A">
        <w:rPr>
          <w:i/>
          <w:iCs/>
        </w:rPr>
        <w:lastRenderedPageBreak/>
        <w:t>c)</w:t>
      </w:r>
      <w:r>
        <w:tab/>
        <w:t xml:space="preserve">que, de conformidad con el número </w:t>
      </w:r>
      <w:r w:rsidRPr="009C2840">
        <w:rPr>
          <w:b/>
          <w:bCs/>
        </w:rPr>
        <w:t>5.36</w:t>
      </w:r>
      <w:r>
        <w:t xml:space="preserve"> del Reglamento de Radiocomunicaciones, todos los servicios atribuidos a título primario en una determinada banda de frecuencias tienen igualdad de derechos;</w:t>
      </w:r>
    </w:p>
    <w:p w14:paraId="4D69D95A" w14:textId="77777777" w:rsidR="000707FE" w:rsidRDefault="000707FE" w:rsidP="009C2840">
      <w:pPr>
        <w:jc w:val="both"/>
      </w:pPr>
      <w:r w:rsidRPr="00C8236A">
        <w:rPr>
          <w:i/>
          <w:iCs/>
        </w:rPr>
        <w:t>d)</w:t>
      </w:r>
      <w:r>
        <w:tab/>
        <w:t xml:space="preserve">que el Apéndice </w:t>
      </w:r>
      <w:r w:rsidRPr="009C2840">
        <w:rPr>
          <w:b/>
          <w:bCs/>
        </w:rPr>
        <w:t>3</w:t>
      </w:r>
      <w:r>
        <w:t xml:space="preserve"> del Reglamento de Radiocomunicaciones especifica los máximos niveles de potencia permitidos para las emisiones no esenciales,</w:t>
      </w:r>
    </w:p>
    <w:p w14:paraId="70C42144" w14:textId="77777777" w:rsidR="000707FE" w:rsidRPr="009D014F" w:rsidRDefault="000707FE" w:rsidP="009C2840">
      <w:pPr>
        <w:pStyle w:val="Call"/>
        <w:jc w:val="both"/>
        <w:rPr>
          <w:i w:val="0"/>
          <w:iCs/>
        </w:rPr>
      </w:pPr>
      <w:r>
        <w:t xml:space="preserve">decide </w:t>
      </w:r>
      <w:r w:rsidRPr="009D014F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9D014F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9D014F">
        <w:rPr>
          <w:i w:val="0"/>
          <w:iCs/>
        </w:rPr>
        <w:t>n</w:t>
      </w:r>
      <w:r>
        <w:rPr>
          <w:i w:val="0"/>
          <w:iCs/>
        </w:rPr>
        <w:t>es</w:t>
      </w:r>
    </w:p>
    <w:p w14:paraId="2F3D2A29" w14:textId="77777777" w:rsidR="000707FE" w:rsidRDefault="000707FE" w:rsidP="009C2840">
      <w:pPr>
        <w:jc w:val="both"/>
      </w:pPr>
      <w:r w:rsidRPr="00C8236A">
        <w:rPr>
          <w:bCs/>
        </w:rPr>
        <w:t>1</w:t>
      </w:r>
      <w:r>
        <w:tab/>
        <w:t>¿Cuál es el máximo nivel de interferencia permitido de los servicios fijos en la banda 1 559</w:t>
      </w:r>
      <w:r>
        <w:noBreakHyphen/>
        <w:t xml:space="preserve">1 610 MHz para garantizar que no existan interferencia perjudicial en las operaciones en ruta, terminales, de aproximación y aterrizaje del </w:t>
      </w:r>
      <w:proofErr w:type="spellStart"/>
      <w:r>
        <w:t>GNSS</w:t>
      </w:r>
      <w:proofErr w:type="spellEnd"/>
      <w:r>
        <w:t>?</w:t>
      </w:r>
    </w:p>
    <w:p w14:paraId="5887357E" w14:textId="1DB14973" w:rsidR="000707FE" w:rsidRDefault="000707FE" w:rsidP="009C2840">
      <w:pPr>
        <w:spacing w:before="100"/>
        <w:jc w:val="both"/>
      </w:pPr>
      <w:r w:rsidRPr="00C8236A">
        <w:rPr>
          <w:bCs/>
        </w:rPr>
        <w:t>2</w:t>
      </w:r>
      <w:r>
        <w:tab/>
        <w:t xml:space="preserve">¿Cuál es la distancia de separación necesaria que las aeronaves equipadas con el </w:t>
      </w:r>
      <w:proofErr w:type="spellStart"/>
      <w:r>
        <w:t>GNSS</w:t>
      </w:r>
      <w:proofErr w:type="spellEnd"/>
      <w:r>
        <w:t xml:space="preserve"> deberían mantener con respecto a las operaciones del servicio fijo para protegerse de la interferencia perjudicial?</w:t>
      </w:r>
    </w:p>
    <w:p w14:paraId="561C115E" w14:textId="77777777" w:rsidR="000707FE" w:rsidRDefault="000707FE" w:rsidP="009C2840">
      <w:pPr>
        <w:spacing w:before="100"/>
        <w:jc w:val="both"/>
      </w:pPr>
      <w:r w:rsidRPr="00C8236A">
        <w:rPr>
          <w:bCs/>
        </w:rPr>
        <w:t>3</w:t>
      </w:r>
      <w:r>
        <w:tab/>
        <w:t>¿Cómo deben considerar los criterios de protección contra la interferencia aplicables al servicio de radionavegación por satélite la interferencia total y la procedente de una sola fuente?</w:t>
      </w:r>
    </w:p>
    <w:p w14:paraId="0DD320E3" w14:textId="77777777" w:rsidR="000707FE" w:rsidRDefault="000707FE" w:rsidP="009C2840">
      <w:pPr>
        <w:spacing w:before="100"/>
        <w:jc w:val="both"/>
      </w:pPr>
      <w:r w:rsidRPr="00C8236A">
        <w:rPr>
          <w:bCs/>
        </w:rPr>
        <w:t>4</w:t>
      </w:r>
      <w:r>
        <w:tab/>
        <w:t>¿Cómo deben tenerse en cuenta en los criterios de protección del servicio de radionavegación por satélite las emisiones fuera de banda y las emisiones no esenciales en sus dominios relativos de otros servicios radioeléctricos que funcionan en otras bandas de frecuencias?</w:t>
      </w:r>
    </w:p>
    <w:p w14:paraId="77A160DB" w14:textId="77777777" w:rsidR="000707FE" w:rsidRDefault="000707FE" w:rsidP="009C2840">
      <w:pPr>
        <w:pStyle w:val="Call"/>
        <w:jc w:val="both"/>
      </w:pPr>
      <w:r>
        <w:t>decide también</w:t>
      </w:r>
    </w:p>
    <w:p w14:paraId="050D9AD6" w14:textId="77777777" w:rsidR="000707FE" w:rsidRDefault="000707FE" w:rsidP="009C2840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75F9BF28" w14:textId="013FC2DC" w:rsidR="000707FE" w:rsidRDefault="000707FE" w:rsidP="009C2840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bookmarkStart w:id="0" w:name="_GoBack"/>
      <w:bookmarkEnd w:id="0"/>
      <w:r w:rsidR="009C2840">
        <w:t>5</w:t>
      </w:r>
      <w:r>
        <w:t xml:space="preserve"> como muy tarde.</w:t>
      </w:r>
    </w:p>
    <w:p w14:paraId="09276350" w14:textId="77777777" w:rsidR="000707FE" w:rsidRDefault="000707FE" w:rsidP="009C2840">
      <w:pPr>
        <w:spacing w:before="100"/>
        <w:jc w:val="both"/>
      </w:pPr>
    </w:p>
    <w:p w14:paraId="47199841" w14:textId="77777777" w:rsidR="000707FE" w:rsidRDefault="000707FE" w:rsidP="00C8236A">
      <w:r>
        <w:rPr>
          <w:lang w:val="es-ES"/>
        </w:rPr>
        <w:t xml:space="preserve">Categoría: </w:t>
      </w:r>
      <w:proofErr w:type="spellStart"/>
      <w:r>
        <w:rPr>
          <w:lang w:val="es-ES"/>
        </w:rPr>
        <w:t>S1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327F67EF" w14:textId="77777777" w:rsidR="000707FE" w:rsidRPr="00C8236A" w:rsidRDefault="000707FE" w:rsidP="009C2840">
      <w:pPr>
        <w:pStyle w:val="FootnoteText"/>
        <w:ind w:left="0" w:firstLine="0"/>
        <w:jc w:val="both"/>
        <w:rPr>
          <w:sz w:val="24"/>
          <w:szCs w:val="24"/>
        </w:rPr>
      </w:pPr>
      <w:r w:rsidRPr="00AE4DDF">
        <w:rPr>
          <w:rStyle w:val="FootnoteReference"/>
          <w:szCs w:val="22"/>
        </w:rPr>
        <w:t>*</w:t>
      </w:r>
      <w:r w:rsidRPr="00AE4DDF">
        <w:rPr>
          <w:szCs w:val="22"/>
        </w:rPr>
        <w:tab/>
      </w:r>
      <w:r w:rsidRPr="00C8236A">
        <w:rPr>
          <w:sz w:val="24"/>
          <w:szCs w:val="24"/>
        </w:rPr>
        <w:t>Esta Cuestión debe señalarse a la atención de la Organización de Aviación Civil Internacional (OACI).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0707FE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C2840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0707F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0707FE"/>
    <w:rPr>
      <w:rFonts w:ascii="Times New Roman" w:hAnsi="Times New Roman"/>
      <w:sz w:val="22"/>
      <w:lang w:val="es-ES_tradnl" w:eastAsia="en-US"/>
    </w:rPr>
  </w:style>
  <w:style w:type="character" w:customStyle="1" w:styleId="Title1Char">
    <w:name w:val="Title 1 Char"/>
    <w:basedOn w:val="DefaultParagraphFont"/>
    <w:link w:val="Title1"/>
    <w:rsid w:val="000707FE"/>
    <w:rPr>
      <w:rFonts w:ascii="Times New Roman" w:hAnsi="Times New Roman"/>
      <w:caps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707FE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0707FE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2</TotalTime>
  <Pages>2</Pages>
  <Words>632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2024-01-29T13:02:00Z</dcterms:created>
  <dcterms:modified xsi:type="dcterms:W3CDTF">2024-01-29T13:04:00Z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