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671B" w14:textId="77777777" w:rsidR="00876DE8" w:rsidRPr="001C2CDB" w:rsidRDefault="00876DE8" w:rsidP="00876DE8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700330">
        <w:rPr>
          <w:lang w:val="en-US" w:bidi="ar-EG"/>
        </w:rPr>
        <w:t>ITU-R 201-1/</w:t>
      </w:r>
      <w:r>
        <w:rPr>
          <w:lang w:val="en-US" w:bidi="ar-EG"/>
        </w:rPr>
        <w:t>4</w:t>
      </w:r>
      <w:r w:rsidRPr="00B70A16">
        <w:rPr>
          <w:rStyle w:val="FootnoteReference"/>
          <w:position w:val="10"/>
          <w:rtl/>
          <w:lang w:val="en-US" w:bidi="ar-EG"/>
        </w:rPr>
        <w:footnoteReference w:customMarkFollows="1" w:id="1"/>
        <w:sym w:font="Symbol" w:char="F02A"/>
      </w:r>
      <w:r>
        <w:rPr>
          <w:position w:val="10"/>
          <w:lang w:val="en-US" w:bidi="ar-EG"/>
        </w:rPr>
        <w:t xml:space="preserve"> ,</w:t>
      </w:r>
    </w:p>
    <w:p w14:paraId="6B271D18" w14:textId="77777777" w:rsidR="00876DE8" w:rsidRPr="00700330" w:rsidRDefault="00876DE8" w:rsidP="00876DE8">
      <w:pPr>
        <w:pStyle w:val="Questiontitle"/>
        <w:spacing w:before="240"/>
        <w:rPr>
          <w:lang w:bidi="ar-EG"/>
        </w:rPr>
      </w:pPr>
      <w:r w:rsidRPr="00700330">
        <w:rPr>
          <w:rtl/>
          <w:lang w:bidi="ar-EG"/>
        </w:rPr>
        <w:t>تقاسم الترددات بين الخدمات المتنقلة الساتلية وخدمات أخرى</w:t>
      </w:r>
    </w:p>
    <w:p w14:paraId="56941AF4" w14:textId="77777777" w:rsidR="00876DE8" w:rsidRPr="00B70A16" w:rsidRDefault="00876DE8" w:rsidP="00876DE8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(2003-1993)</w:t>
      </w:r>
    </w:p>
    <w:p w14:paraId="0ADAD896" w14:textId="77777777" w:rsidR="00876DE8" w:rsidRDefault="00876DE8" w:rsidP="00876DE8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B70A1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08B3B316" w14:textId="77777777" w:rsidR="00876DE8" w:rsidRDefault="00876DE8" w:rsidP="00876DE8">
      <w:pPr>
        <w:pStyle w:val="Call"/>
        <w:tabs>
          <w:tab w:val="clear" w:pos="1985"/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70E9F622" w14:textId="77777777" w:rsidR="00876DE8" w:rsidRDefault="00876DE8" w:rsidP="00876DE8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spacing w:before="80"/>
        <w:rPr>
          <w:rtl/>
          <w:lang w:val="en-US" w:bidi="ar-EG"/>
        </w:rPr>
      </w:pPr>
      <w:r w:rsidRPr="00876DE8">
        <w:rPr>
          <w:i/>
          <w:iCs/>
          <w:rtl/>
          <w:lang w:val="en-US" w:bidi="ar-EG"/>
        </w:rPr>
        <w:t xml:space="preserve">أ </w:t>
      </w:r>
      <w:r w:rsidRPr="00876DE8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بعض نطاقات الترددات موزعة لخدمات مختلفة في الخدمة المتنقلة الساتلية </w:t>
      </w:r>
      <w:r>
        <w:rPr>
          <w:lang w:val="en-US" w:bidi="ar-EG"/>
        </w:rPr>
        <w:t>(MSS)</w:t>
      </w:r>
      <w:r>
        <w:rPr>
          <w:rtl/>
          <w:lang w:val="en-US" w:bidi="ar-EG"/>
        </w:rPr>
        <w:t xml:space="preserve"> على أساس أولي مشترك وبالتقاسم مع خدمات أخرى فضائية وللأرض؛</w:t>
      </w:r>
    </w:p>
    <w:p w14:paraId="5A945775" w14:textId="77777777" w:rsidR="00876DE8" w:rsidRDefault="00876DE8" w:rsidP="00876DE8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spacing w:before="80"/>
        <w:rPr>
          <w:rtl/>
          <w:lang w:val="en-US" w:bidi="ar-EG"/>
        </w:rPr>
      </w:pPr>
      <w:r w:rsidRPr="00876DE8">
        <w:rPr>
          <w:i/>
          <w:iCs/>
          <w:rtl/>
          <w:lang w:val="en-US" w:bidi="ar-EG"/>
        </w:rPr>
        <w:t>ب</w:t>
      </w:r>
      <w:r w:rsidRPr="00876DE8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أنظمة السواتل المستقرة بالنسبة إلى الأرض أو غير المستقرة بالنسبة إلى الأرض قد يُطلب منها أن تستعمل نطاقات تردد بالتقاسم مع خدمات أخرى، وأن معايير التقاسم بين الخدمة المتنقلة الساتلية </w:t>
      </w:r>
      <w:r>
        <w:rPr>
          <w:lang w:val="en-US" w:bidi="ar-EG"/>
        </w:rPr>
        <w:t>(MSS)</w:t>
      </w:r>
      <w:r>
        <w:rPr>
          <w:rtl/>
          <w:lang w:val="en-US" w:bidi="ar-EG"/>
        </w:rPr>
        <w:t xml:space="preserve"> وخدمات أخرى قد تختلف باختلاف كون السواتل مستقرة أو غير مستقرة بالنسبة إلى الأرض؛</w:t>
      </w:r>
    </w:p>
    <w:p w14:paraId="07EC0CEF" w14:textId="77777777" w:rsidR="00876DE8" w:rsidRDefault="00876DE8" w:rsidP="00876DE8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spacing w:before="80"/>
        <w:rPr>
          <w:rtl/>
          <w:lang w:val="en-US" w:bidi="ar-EG"/>
        </w:rPr>
      </w:pPr>
      <w:r w:rsidRPr="00876DE8">
        <w:rPr>
          <w:i/>
          <w:iCs/>
          <w:rtl/>
          <w:lang w:val="en-US" w:bidi="ar-EG"/>
        </w:rPr>
        <w:t>ج</w:t>
      </w:r>
      <w:r w:rsidRPr="00876DE8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تحديد شروط التقاسم بين الخدمة </w:t>
      </w:r>
      <w:r>
        <w:rPr>
          <w:lang w:val="en-US" w:bidi="ar-EG"/>
        </w:rPr>
        <w:t>MSS</w:t>
      </w:r>
      <w:r>
        <w:rPr>
          <w:rtl/>
          <w:lang w:val="en-US" w:bidi="ar-EG"/>
        </w:rPr>
        <w:t xml:space="preserve"> وخدمات أخرى يسهل التعايش بين خدمات متنقلة ساتلية جديدة والخدمات القائمة، وخاصة في البلدان النامية، ويقلل من ضرورة تحويل بعض التخصيصات القائمة؛</w:t>
      </w:r>
    </w:p>
    <w:p w14:paraId="05B8CFBF" w14:textId="77777777" w:rsidR="00876DE8" w:rsidRDefault="00876DE8" w:rsidP="00876DE8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spacing w:before="80"/>
        <w:rPr>
          <w:rtl/>
          <w:lang w:val="en-US" w:bidi="ar-EG"/>
        </w:rPr>
      </w:pPr>
      <w:r w:rsidRPr="00876DE8">
        <w:rPr>
          <w:i/>
          <w:iCs/>
          <w:rtl/>
          <w:lang w:val="en-US" w:bidi="ar-EG"/>
        </w:rPr>
        <w:t xml:space="preserve">د </w:t>
      </w:r>
      <w:r w:rsidRPr="00876DE8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استعمال طيف الترددات الراديوية استعمالاً فعّالاً يمكن أن يشجعه تقاسم الترددات إلى حد أعظم بين الخدمة المتنقلة الساتلية وخدمات أخرى فضائية أو للأرض</w:t>
      </w:r>
      <w:r>
        <w:rPr>
          <w:rtl/>
          <w:lang w:val="en-US" w:bidi="ar-EG"/>
        </w:rPr>
        <w:t>؛</w:t>
      </w:r>
    </w:p>
    <w:p w14:paraId="1E06783A" w14:textId="77777777" w:rsidR="00876DE8" w:rsidRDefault="00876DE8" w:rsidP="00876DE8">
      <w:pPr>
        <w:rPr>
          <w:rtl/>
          <w:lang w:val="en-US" w:bidi="ar-EG"/>
        </w:rPr>
      </w:pPr>
      <w:r w:rsidRPr="00876DE8">
        <w:rPr>
          <w:rFonts w:hint="cs"/>
          <w:i/>
          <w:iCs/>
          <w:rtl/>
          <w:lang w:val="en-US" w:bidi="ar-EG"/>
        </w:rPr>
        <w:t>ﻫ</w:t>
      </w:r>
      <w:r w:rsidRPr="00876DE8">
        <w:rPr>
          <w:rFonts w:hint="cs"/>
          <w:i/>
          <w:iCs/>
          <w:rtl/>
          <w:lang w:bidi="ar-EG"/>
        </w:rPr>
        <w:t xml:space="preserve"> </w:t>
      </w:r>
      <w:r w:rsidRPr="00876DE8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الفرق بين كثافة تدفق القدرة في الأنظمة الشغّالة من الخدمة </w:t>
      </w:r>
      <w:r>
        <w:rPr>
          <w:lang w:val="en-US" w:bidi="ar-EG"/>
        </w:rPr>
        <w:t>MSS</w:t>
      </w:r>
      <w:r>
        <w:rPr>
          <w:rtl/>
          <w:lang w:val="en-US" w:bidi="ar-EG"/>
        </w:rPr>
        <w:t xml:space="preserve"> والكثافة في أنظمة أخرى شغّالة في نطاقات التردد المجاورة الموزعة لخدمات أخرى، قد تنتج عنه تداخلات متبادلة</w:t>
      </w:r>
      <w:r>
        <w:rPr>
          <w:rFonts w:hint="cs"/>
          <w:rtl/>
          <w:lang w:val="en-US" w:bidi="ar-EG"/>
        </w:rPr>
        <w:t>،</w:t>
      </w:r>
    </w:p>
    <w:p w14:paraId="793F187E" w14:textId="77777777" w:rsidR="00876DE8" w:rsidRDefault="00876DE8" w:rsidP="00876DE8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iCs/>
          <w:rtl/>
          <w:lang w:bidi="ar-EG"/>
        </w:rPr>
        <w:t>طرح المسألة التالية للدراسة</w:t>
      </w:r>
    </w:p>
    <w:p w14:paraId="049B884C" w14:textId="77777777" w:rsidR="00876DE8" w:rsidRPr="00983BCE" w:rsidRDefault="00876DE8" w:rsidP="00876DE8">
      <w:pPr>
        <w:rPr>
          <w:rtl/>
          <w:lang w:val="en-US" w:bidi="ar-EG"/>
        </w:rPr>
      </w:pPr>
      <w:r w:rsidRPr="00876DE8">
        <w:rPr>
          <w:lang w:val="en-US" w:bidi="ar-EG"/>
        </w:rPr>
        <w:t>1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ما هي الوسائل التقنية والتشغيلية المناسبة لتسهيل التقاسم بين الخدمة المتنقلة الساتلية </w:t>
      </w:r>
      <w:r>
        <w:rPr>
          <w:lang w:val="en-US" w:bidi="ar-EG"/>
        </w:rPr>
        <w:t>(MSS)</w:t>
      </w:r>
      <w:r>
        <w:rPr>
          <w:rtl/>
          <w:lang w:val="en-US" w:bidi="ar-EG"/>
        </w:rPr>
        <w:t xml:space="preserve"> وخدمات أخرى؟</w:t>
      </w:r>
    </w:p>
    <w:p w14:paraId="5DC87C16" w14:textId="77777777" w:rsidR="00876DE8" w:rsidRPr="00983BCE" w:rsidRDefault="00876DE8" w:rsidP="00876DE8">
      <w:pPr>
        <w:rPr>
          <w:rtl/>
          <w:lang w:val="en-US" w:bidi="ar-EG"/>
        </w:rPr>
      </w:pPr>
      <w:r w:rsidRPr="00876DE8">
        <w:rPr>
          <w:lang w:val="en-US" w:bidi="ar-EG"/>
        </w:rPr>
        <w:t>2</w:t>
      </w:r>
      <w:r>
        <w:rPr>
          <w:rtl/>
          <w:lang w:val="en-US" w:bidi="ar-EG"/>
        </w:rPr>
        <w:tab/>
        <w:t>ما هي معايير التقاسم الملائمة بين الخدمة المتنقلة الساتلية وخدمات أخرى شغّالة في نفس نطاقات التردد، ولا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 xml:space="preserve">سيما منها حدود القدرة وحدود اجتناب المدار وحدود كثافة تدفق القدرة (المادتان </w:t>
      </w:r>
      <w:r w:rsidRPr="0070758F">
        <w:rPr>
          <w:b/>
          <w:bCs/>
          <w:lang w:val="en-US" w:bidi="ar-EG"/>
        </w:rPr>
        <w:t>21</w:t>
      </w:r>
      <w:r>
        <w:rPr>
          <w:rtl/>
          <w:lang w:val="en-US" w:bidi="ar-EG"/>
        </w:rPr>
        <w:t xml:space="preserve"> و</w:t>
      </w:r>
      <w:r w:rsidRPr="0070758F">
        <w:rPr>
          <w:b/>
          <w:bCs/>
          <w:lang w:val="en-US" w:bidi="ar-EG"/>
        </w:rPr>
        <w:t>22</w:t>
      </w:r>
      <w:r>
        <w:rPr>
          <w:rtl/>
          <w:lang w:val="en-US" w:bidi="ar-EG"/>
        </w:rPr>
        <w:t xml:space="preserve"> من لوائح الراديو) وكذلك عتبات التنسيق (القرار </w:t>
      </w:r>
      <w:r w:rsidRPr="0070758F">
        <w:rPr>
          <w:b/>
          <w:bCs/>
          <w:lang w:val="en-US" w:bidi="ar-EG"/>
        </w:rPr>
        <w:t>46 (Rev.WRC-97</w:t>
      </w:r>
      <w:r>
        <w:rPr>
          <w:lang w:val="en-US" w:bidi="ar-EG"/>
        </w:rPr>
        <w:t>)</w:t>
      </w:r>
      <w:r>
        <w:rPr>
          <w:rtl/>
          <w:lang w:val="en-US" w:bidi="ar-EG"/>
        </w:rPr>
        <w:t>) التي تفرض أقل تقييدات على الخدمات الشغاّلة في هذه النطاقات؟</w:t>
      </w:r>
    </w:p>
    <w:p w14:paraId="6F4D45D6" w14:textId="77777777" w:rsidR="00876DE8" w:rsidRPr="00983BCE" w:rsidRDefault="00876DE8" w:rsidP="00876DE8">
      <w:pPr>
        <w:rPr>
          <w:rtl/>
          <w:lang w:val="en-US" w:bidi="ar-EG"/>
        </w:rPr>
      </w:pPr>
      <w:r w:rsidRPr="00876DE8">
        <w:rPr>
          <w:lang w:val="en-US" w:bidi="ar-EG"/>
        </w:rPr>
        <w:t>3</w:t>
      </w:r>
      <w:r>
        <w:rPr>
          <w:rtl/>
          <w:lang w:val="en-US" w:bidi="ar-EG"/>
        </w:rPr>
        <w:tab/>
        <w:t>ما هو التأثير في الخدمة المتنقلة الساتلية من معايير الحماية المصاحبة لخدمات أخرى تعمل في نفس نطاقات التردد، مثل أنظمة السواتل غير المستقرة بالنسبة إلى الأرض في الخدمة المتنقلة الساتلية؟</w:t>
      </w:r>
    </w:p>
    <w:p w14:paraId="027D0786" w14:textId="77777777" w:rsidR="00876DE8" w:rsidRPr="00983BCE" w:rsidRDefault="00876DE8" w:rsidP="00876DE8">
      <w:pPr>
        <w:rPr>
          <w:rtl/>
          <w:lang w:val="en-US" w:bidi="ar-EG"/>
        </w:rPr>
      </w:pPr>
      <w:r w:rsidRPr="00876DE8">
        <w:rPr>
          <w:lang w:val="en-US" w:bidi="ar-EG"/>
        </w:rPr>
        <w:t>4</w:t>
      </w:r>
      <w:r>
        <w:rPr>
          <w:rtl/>
          <w:lang w:val="en-US" w:bidi="ar-EG"/>
        </w:rPr>
        <w:tab/>
        <w:t>ما هي تقنيات التقاسم التي يمكن أن تستعملها أنظمة السواتل غير المستقرة بالنسبة إلى الأرض في الخدمة المتنقلة الساتلية العاملة في نطاقات تردد تستعمل بالتقاسم مع خدمات أخرى؟</w:t>
      </w:r>
    </w:p>
    <w:p w14:paraId="11965EFF" w14:textId="77777777" w:rsidR="00876DE8" w:rsidRDefault="00876DE8" w:rsidP="00876DE8">
      <w:pPr>
        <w:rPr>
          <w:rtl/>
          <w:lang w:val="en-US" w:bidi="ar-EG"/>
        </w:rPr>
      </w:pPr>
      <w:r w:rsidRPr="00876DE8">
        <w:rPr>
          <w:lang w:val="en-US" w:bidi="ar-EG"/>
        </w:rPr>
        <w:t>5</w:t>
      </w:r>
      <w:r>
        <w:rPr>
          <w:rtl/>
          <w:lang w:val="en-US" w:bidi="ar-EG"/>
        </w:rPr>
        <w:tab/>
        <w:t>ما هي الوسائل التقنية والتشغيلية الملائمة لتجنب حدوث تداخلات ضارة بين أنظمة الخدمة المتنقلة الساتلية وأنظمة أخرى عاملة في نطاقات تردد مجاورة وفي مناطق جغرافية قريبٍ بعضها من بعض؟</w:t>
      </w:r>
    </w:p>
    <w:p w14:paraId="50C722C5" w14:textId="77777777" w:rsidR="00876DE8" w:rsidRDefault="00876D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14:paraId="028DD103" w14:textId="77777777" w:rsidR="00876DE8" w:rsidRPr="00983BCE" w:rsidRDefault="00876DE8" w:rsidP="00876DE8">
      <w:pPr>
        <w:rPr>
          <w:rtl/>
          <w:lang w:val="en-US" w:bidi="ar-EG"/>
        </w:rPr>
      </w:pPr>
    </w:p>
    <w:p w14:paraId="159813B8" w14:textId="77777777" w:rsidR="00876DE8" w:rsidRDefault="00876DE8" w:rsidP="00876DE8">
      <w:pPr>
        <w:pStyle w:val="Call"/>
        <w:tabs>
          <w:tab w:val="clear" w:pos="1191"/>
          <w:tab w:val="clear" w:pos="1588"/>
          <w:tab w:val="clear" w:pos="1985"/>
          <w:tab w:val="left" w:pos="1440"/>
          <w:tab w:val="left" w:pos="2160"/>
          <w:tab w:val="left" w:pos="2730"/>
          <w:tab w:val="left" w:pos="3148"/>
        </w:tabs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06393318" w14:textId="77777777" w:rsidR="00876DE8" w:rsidRDefault="00876DE8" w:rsidP="00876DE8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5B69E181" w14:textId="3E739821" w:rsidR="00876DE8" w:rsidRDefault="00876DE8" w:rsidP="00876DE8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093F1B">
        <w:rPr>
          <w:lang w:val="en-US" w:bidi="ar-EG"/>
        </w:rPr>
        <w:t>202</w:t>
      </w:r>
      <w:r w:rsidR="0070758F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07FCFE23" w14:textId="77777777" w:rsidR="00876DE8" w:rsidRDefault="00876DE8" w:rsidP="0070758F">
      <w:pPr>
        <w:spacing w:before="360"/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14:paraId="0FAE4A40" w14:textId="77777777" w:rsidR="00EF319E" w:rsidRDefault="00EF319E" w:rsidP="004B5BAA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bidi="ar-EG"/>
        </w:rPr>
      </w:pPr>
    </w:p>
    <w:p w14:paraId="2C63424E" w14:textId="77777777" w:rsidR="005C628B" w:rsidRDefault="005C628B" w:rsidP="00770F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-EG"/>
        </w:rPr>
      </w:pPr>
    </w:p>
    <w:sectPr w:rsidR="005C628B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8417" w14:textId="77777777" w:rsidR="009E7AF1" w:rsidRDefault="009E7AF1">
      <w:r>
        <w:separator/>
      </w:r>
    </w:p>
  </w:endnote>
  <w:endnote w:type="continuationSeparator" w:id="0">
    <w:p w14:paraId="29B659FB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96B0" w14:textId="77777777" w:rsidR="009E7AF1" w:rsidRDefault="0070758F" w:rsidP="00A85EC1">
    <w:pPr>
      <w:pStyle w:val="Footer"/>
      <w:bidi w:val="0"/>
    </w:pPr>
    <w:r>
      <w:fldChar w:fldCharType="begin"/>
    </w:r>
    <w:r>
      <w:instrText xml:space="preserve"> FILENAME \p \* MERGEFORMAT </w:instrText>
    </w:r>
    <w:r>
      <w:fldChar w:fldCharType="separate"/>
    </w:r>
    <w:r w:rsidR="00C60DA5">
      <w:t>M:\BRSGD\TEXT2012\SG04\000\001a.docx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87FE" w14:textId="77777777" w:rsidR="009E7AF1" w:rsidRDefault="009E7AF1">
      <w:r>
        <w:t>____________________</w:t>
      </w:r>
    </w:p>
  </w:footnote>
  <w:footnote w:type="continuationSeparator" w:id="0">
    <w:p w14:paraId="7A36A5B4" w14:textId="77777777" w:rsidR="009E7AF1" w:rsidRDefault="009E7AF1">
      <w:r>
        <w:continuationSeparator/>
      </w:r>
    </w:p>
  </w:footnote>
  <w:footnote w:id="1">
    <w:p w14:paraId="4130C802" w14:textId="77777777" w:rsidR="009E7AF1" w:rsidRDefault="009E7AF1" w:rsidP="00876DE8">
      <w:pPr>
        <w:pStyle w:val="FootnoteText"/>
        <w:spacing w:before="120"/>
        <w:rPr>
          <w:rtl/>
        </w:rPr>
      </w:pPr>
      <w:r w:rsidRPr="00087FD9">
        <w:rPr>
          <w:rStyle w:val="FootnoteReference"/>
          <w:rtl/>
        </w:rPr>
        <w:sym w:font="Symbol" w:char="F02A"/>
      </w:r>
      <w:r>
        <w:rPr>
          <w:rFonts w:hint="cs"/>
          <w:rtl/>
        </w:rPr>
        <w:tab/>
        <w:t xml:space="preserve">ينبغي أن تحمل هذه المسألة إلى عناية لجان الدراسات </w:t>
      </w:r>
      <w:r>
        <w:t>5</w:t>
      </w:r>
      <w:r>
        <w:rPr>
          <w:rFonts w:hint="cs"/>
          <w:rtl/>
        </w:rPr>
        <w:t xml:space="preserve"> و</w:t>
      </w:r>
      <w:r>
        <w:t>7</w:t>
      </w:r>
      <w:r>
        <w:rPr>
          <w:rFonts w:hint="cs"/>
          <w:rtl/>
        </w:rPr>
        <w:t xml:space="preserve"> للاتصالات الراديوية.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5EB7" w14:textId="77777777" w:rsidR="009E7AF1" w:rsidRPr="008F010C" w:rsidRDefault="009E7AF1" w:rsidP="00770FF7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093F1B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456573">
    <w:abstractNumId w:val="11"/>
  </w:num>
  <w:num w:numId="2" w16cid:durableId="1048183576">
    <w:abstractNumId w:val="6"/>
  </w:num>
  <w:num w:numId="3" w16cid:durableId="782575812">
    <w:abstractNumId w:val="5"/>
  </w:num>
  <w:num w:numId="4" w16cid:durableId="339695818">
    <w:abstractNumId w:val="4"/>
  </w:num>
  <w:num w:numId="5" w16cid:durableId="1634671150">
    <w:abstractNumId w:val="8"/>
  </w:num>
  <w:num w:numId="6" w16cid:durableId="1267228541">
    <w:abstractNumId w:val="3"/>
  </w:num>
  <w:num w:numId="7" w16cid:durableId="1692493186">
    <w:abstractNumId w:val="2"/>
  </w:num>
  <w:num w:numId="8" w16cid:durableId="788474263">
    <w:abstractNumId w:val="1"/>
  </w:num>
  <w:num w:numId="9" w16cid:durableId="243495152">
    <w:abstractNumId w:val="0"/>
  </w:num>
  <w:num w:numId="10" w16cid:durableId="1845777873">
    <w:abstractNumId w:val="9"/>
  </w:num>
  <w:num w:numId="11" w16cid:durableId="39400118">
    <w:abstractNumId w:val="7"/>
  </w:num>
  <w:num w:numId="12" w16cid:durableId="791443180">
    <w:abstractNumId w:val="10"/>
  </w:num>
  <w:num w:numId="13" w16cid:durableId="1302728168">
    <w:abstractNumId w:val="10"/>
  </w:num>
  <w:num w:numId="14" w16cid:durableId="1133712461">
    <w:abstractNumId w:val="10"/>
  </w:num>
  <w:num w:numId="15" w16cid:durableId="1563716688">
    <w:abstractNumId w:val="10"/>
  </w:num>
  <w:num w:numId="16" w16cid:durableId="1756389995">
    <w:abstractNumId w:val="10"/>
  </w:num>
  <w:num w:numId="17" w16cid:durableId="2024093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4289E"/>
    <w:rsid w:val="0004705F"/>
    <w:rsid w:val="00083BC9"/>
    <w:rsid w:val="00093F1B"/>
    <w:rsid w:val="000A1BF8"/>
    <w:rsid w:val="000A3338"/>
    <w:rsid w:val="000A3CB7"/>
    <w:rsid w:val="000B5C8F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0711C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7019BF"/>
    <w:rsid w:val="0070758F"/>
    <w:rsid w:val="007178B1"/>
    <w:rsid w:val="00741FA0"/>
    <w:rsid w:val="00742FB4"/>
    <w:rsid w:val="00755FD1"/>
    <w:rsid w:val="00757E6A"/>
    <w:rsid w:val="00762597"/>
    <w:rsid w:val="00770FF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94F59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0EF0C13"/>
  <w15:docId w15:val="{2E544D18-3410-4862-A6CC-95927563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CEDA-4726-46FF-A528-7CB4AAFB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4</cp:revision>
  <cp:lastPrinted>2012-03-14T13:56:00Z</cp:lastPrinted>
  <dcterms:created xsi:type="dcterms:W3CDTF">2012-05-03T06:45:00Z</dcterms:created>
  <dcterms:modified xsi:type="dcterms:W3CDTF">2024-01-26T15:22:00Z</dcterms:modified>
</cp:coreProperties>
</file>