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B3" w:rsidRPr="00E871A9" w:rsidRDefault="003864B3" w:rsidP="003864B3">
      <w:pPr>
        <w:keepNext/>
        <w:keepLines/>
        <w:spacing w:before="480"/>
        <w:jc w:val="center"/>
        <w:rPr>
          <w:caps/>
          <w:sz w:val="28"/>
          <w:lang w:val="en-US" w:eastAsia="zh-CN"/>
        </w:rPr>
      </w:pPr>
      <w:r w:rsidRPr="00E871A9">
        <w:rPr>
          <w:caps/>
          <w:sz w:val="28"/>
          <w:lang w:val="en-US" w:eastAsia="zh-CN"/>
        </w:rPr>
        <w:t>ITU-R</w:t>
      </w:r>
      <w:r w:rsidRPr="00E871A9">
        <w:rPr>
          <w:rFonts w:hint="eastAsia"/>
          <w:caps/>
          <w:sz w:val="28"/>
          <w:lang w:val="en-US" w:eastAsia="zh-CN"/>
        </w:rPr>
        <w:t>第</w:t>
      </w:r>
      <w:r>
        <w:rPr>
          <w:rFonts w:hint="eastAsia"/>
          <w:caps/>
          <w:sz w:val="28"/>
          <w:lang w:val="en-US" w:eastAsia="zh-CN"/>
        </w:rPr>
        <w:t>233/</w:t>
      </w:r>
      <w:r w:rsidRPr="00E871A9">
        <w:rPr>
          <w:caps/>
          <w:sz w:val="28"/>
          <w:lang w:val="en-US" w:eastAsia="zh-CN"/>
        </w:rPr>
        <w:t>3</w:t>
      </w:r>
      <w:r w:rsidRPr="00E871A9">
        <w:rPr>
          <w:rFonts w:hint="eastAsia"/>
          <w:caps/>
          <w:sz w:val="28"/>
          <w:lang w:val="en-US" w:eastAsia="zh-CN"/>
        </w:rPr>
        <w:t>号</w:t>
      </w:r>
      <w:r>
        <w:rPr>
          <w:rFonts w:hint="eastAsia"/>
          <w:caps/>
          <w:sz w:val="28"/>
          <w:lang w:val="en-US" w:eastAsia="zh-CN"/>
        </w:rPr>
        <w:t>课题</w:t>
      </w:r>
    </w:p>
    <w:p w:rsidR="003864B3" w:rsidRPr="00E871A9" w:rsidRDefault="003864B3" w:rsidP="003864B3">
      <w:pPr>
        <w:keepNext/>
        <w:keepLines/>
        <w:spacing w:before="240"/>
        <w:jc w:val="center"/>
        <w:rPr>
          <w:rFonts w:eastAsia="Times New Roman"/>
          <w:b/>
          <w:bCs/>
          <w:sz w:val="28"/>
          <w:lang w:eastAsia="zh-CN"/>
        </w:rPr>
      </w:pPr>
      <w:r w:rsidRPr="00E871A9">
        <w:rPr>
          <w:rFonts w:hint="eastAsia"/>
          <w:b/>
          <w:bCs/>
          <w:lang w:eastAsia="zh-CN"/>
        </w:rPr>
        <w:t>预测空载平台与卫星、地面终端或</w:t>
      </w:r>
      <w:r w:rsidRPr="00E871A9">
        <w:rPr>
          <w:b/>
          <w:bCs/>
          <w:lang w:eastAsia="zh-CN"/>
        </w:rPr>
        <w:br/>
      </w:r>
      <w:r w:rsidRPr="00E871A9">
        <w:rPr>
          <w:rFonts w:hint="eastAsia"/>
          <w:b/>
          <w:bCs/>
          <w:lang w:eastAsia="zh-CN"/>
        </w:rPr>
        <w:t>其它空载平台间传播路径损耗的方法</w:t>
      </w:r>
    </w:p>
    <w:p w:rsidR="003864B3" w:rsidRPr="001F7B6B" w:rsidRDefault="003864B3" w:rsidP="003864B3">
      <w:pPr>
        <w:keepNext/>
        <w:keepLines/>
        <w:spacing w:before="360"/>
        <w:jc w:val="center"/>
        <w:rPr>
          <w:rFonts w:eastAsia="Times New Roman"/>
          <w:b/>
          <w:sz w:val="28"/>
          <w:lang w:eastAsia="zh-CN"/>
        </w:rPr>
      </w:pPr>
    </w:p>
    <w:p w:rsidR="003864B3" w:rsidRPr="00E871A9" w:rsidRDefault="003864B3" w:rsidP="003864B3">
      <w:pPr>
        <w:keepNext/>
        <w:keepLines/>
        <w:tabs>
          <w:tab w:val="clear" w:pos="794"/>
          <w:tab w:val="clear" w:pos="1191"/>
          <w:tab w:val="clear" w:pos="1588"/>
          <w:tab w:val="clear" w:pos="1985"/>
        </w:tabs>
        <w:jc w:val="right"/>
        <w:rPr>
          <w:rFonts w:eastAsiaTheme="minorEastAsia"/>
          <w:sz w:val="22"/>
          <w:lang w:eastAsia="zh-CN"/>
        </w:rPr>
      </w:pPr>
      <w:r>
        <w:rPr>
          <w:rFonts w:asciiTheme="minorEastAsia" w:eastAsiaTheme="minorEastAsia" w:hAnsiTheme="minorEastAsia" w:hint="eastAsia"/>
          <w:sz w:val="22"/>
          <w:lang w:eastAsia="zh-CN"/>
        </w:rPr>
        <w:t>（</w:t>
      </w:r>
      <w:r>
        <w:rPr>
          <w:rFonts w:eastAsia="Times New Roman"/>
          <w:sz w:val="22"/>
          <w:lang w:eastAsia="zh-CN"/>
        </w:rPr>
        <w:t>2012</w:t>
      </w:r>
      <w:r>
        <w:rPr>
          <w:rFonts w:asciiTheme="minorEastAsia" w:eastAsiaTheme="minorEastAsia" w:hAnsiTheme="minorEastAsia" w:hint="eastAsia"/>
          <w:sz w:val="22"/>
          <w:lang w:eastAsia="zh-CN"/>
        </w:rPr>
        <w:t>年）</w:t>
      </w:r>
    </w:p>
    <w:p w:rsidR="003864B3" w:rsidRPr="006D5B70" w:rsidRDefault="003864B3" w:rsidP="003864B3">
      <w:pPr>
        <w:overflowPunct/>
        <w:autoSpaceDE/>
        <w:autoSpaceDN/>
        <w:adjustRightInd/>
        <w:spacing w:before="320"/>
        <w:textAlignment w:val="auto"/>
        <w:rPr>
          <w:lang w:eastAsia="zh-CN"/>
        </w:rPr>
      </w:pPr>
      <w:bookmarkStart w:id="0" w:name="dbreak"/>
      <w:bookmarkEnd w:id="0"/>
      <w:r w:rsidRPr="006D5B70">
        <w:rPr>
          <w:rFonts w:hint="eastAsia"/>
          <w:lang w:eastAsia="zh-CN"/>
        </w:rPr>
        <w:t>国际电联无线电通信全会，</w:t>
      </w:r>
    </w:p>
    <w:p w:rsidR="003864B3" w:rsidRPr="006D5B70" w:rsidRDefault="003864B3" w:rsidP="003864B3">
      <w:pPr>
        <w:keepNext/>
        <w:keepLines/>
        <w:spacing w:after="120"/>
        <w:ind w:left="794"/>
        <w:rPr>
          <w:rFonts w:ascii="STKaiti" w:eastAsia="STKaiti" w:hAnsi="STKaiti"/>
          <w:iCs/>
          <w:lang w:eastAsia="zh-CN"/>
        </w:rPr>
      </w:pPr>
      <w:r w:rsidRPr="006D5B70">
        <w:rPr>
          <w:rFonts w:ascii="STKaiti" w:eastAsia="STKaiti" w:hAnsi="STKaiti" w:hint="eastAsia"/>
          <w:iCs/>
          <w:lang w:eastAsia="zh-CN"/>
        </w:rPr>
        <w:t>考虑到</w:t>
      </w:r>
    </w:p>
    <w:p w:rsidR="003864B3" w:rsidRPr="006D5B70" w:rsidRDefault="003864B3" w:rsidP="003864B3">
      <w:pPr>
        <w:rPr>
          <w:lang w:eastAsia="zh-CN"/>
        </w:rPr>
      </w:pPr>
      <w:r w:rsidRPr="006D5B70">
        <w:rPr>
          <w:lang w:eastAsia="zh-CN"/>
        </w:rPr>
        <w:t>a)</w:t>
      </w:r>
      <w:r w:rsidRPr="006D5B70">
        <w:rPr>
          <w:lang w:eastAsia="zh-CN"/>
        </w:rPr>
        <w:tab/>
      </w:r>
      <w:r w:rsidRPr="006D5B70">
        <w:rPr>
          <w:rFonts w:hint="eastAsia"/>
          <w:lang w:eastAsia="zh-CN"/>
        </w:rPr>
        <w:t>在空载系统的设计过程中，有必要准确了解系统在空载平台与卫星、地面终端或其它空载平台间进行无线电传播方面的性能；</w:t>
      </w:r>
    </w:p>
    <w:p w:rsidR="003864B3" w:rsidRPr="006D5B70" w:rsidRDefault="003864B3" w:rsidP="003864B3">
      <w:pPr>
        <w:rPr>
          <w:lang w:eastAsia="zh-CN"/>
        </w:rPr>
      </w:pPr>
      <w:r w:rsidRPr="006D5B70">
        <w:rPr>
          <w:lang w:eastAsia="zh-CN"/>
        </w:rPr>
        <w:t>b)</w:t>
      </w:r>
      <w:r w:rsidRPr="006D5B70">
        <w:rPr>
          <w:lang w:eastAsia="zh-CN"/>
        </w:rPr>
        <w:tab/>
      </w:r>
      <w:r w:rsidRPr="006D5B70">
        <w:rPr>
          <w:rFonts w:hint="eastAsia"/>
          <w:lang w:eastAsia="zh-CN"/>
        </w:rPr>
        <w:t>系统可能在视距之外以非常低的角度或负仰角运行；</w:t>
      </w:r>
    </w:p>
    <w:p w:rsidR="003864B3" w:rsidRPr="006D5B70" w:rsidRDefault="003864B3" w:rsidP="003864B3">
      <w:pPr>
        <w:rPr>
          <w:lang w:eastAsia="zh-CN"/>
        </w:rPr>
      </w:pPr>
      <w:r w:rsidRPr="006D5B70">
        <w:rPr>
          <w:lang w:eastAsia="zh-CN"/>
        </w:rPr>
        <w:t>c)</w:t>
      </w:r>
      <w:r w:rsidRPr="006D5B70">
        <w:rPr>
          <w:lang w:eastAsia="zh-CN"/>
        </w:rPr>
        <w:tab/>
      </w:r>
      <w:r w:rsidRPr="006D5B70">
        <w:rPr>
          <w:rFonts w:hint="eastAsia"/>
          <w:lang w:eastAsia="zh-CN"/>
        </w:rPr>
        <w:t>使用的频率可能在</w:t>
      </w:r>
      <w:r w:rsidRPr="006D5B70">
        <w:rPr>
          <w:lang w:eastAsia="zh-CN"/>
        </w:rPr>
        <w:t>30 MHz</w:t>
      </w:r>
      <w:r w:rsidRPr="006D5B70">
        <w:rPr>
          <w:rFonts w:hint="eastAsia"/>
          <w:lang w:eastAsia="zh-CN"/>
        </w:rPr>
        <w:t>至</w:t>
      </w:r>
      <w:r w:rsidRPr="006D5B70">
        <w:rPr>
          <w:lang w:eastAsia="zh-CN"/>
        </w:rPr>
        <w:t>50 GHz</w:t>
      </w:r>
      <w:r w:rsidRPr="006D5B70">
        <w:rPr>
          <w:rFonts w:hint="eastAsia"/>
          <w:lang w:eastAsia="zh-CN"/>
        </w:rPr>
        <w:t>或更高的范围之内，</w:t>
      </w:r>
      <w:r w:rsidRPr="006D5B70">
        <w:rPr>
          <w:rFonts w:hint="eastAsia"/>
          <w:lang w:eastAsia="zh-CN"/>
        </w:rPr>
        <w:t xml:space="preserve"> </w:t>
      </w:r>
    </w:p>
    <w:p w:rsidR="003864B3" w:rsidRPr="006D5B70" w:rsidRDefault="003864B3" w:rsidP="003864B3">
      <w:pPr>
        <w:keepNext/>
        <w:keepLines/>
        <w:spacing w:after="120"/>
        <w:ind w:left="794"/>
        <w:rPr>
          <w:rFonts w:ascii="STKaiti" w:eastAsia="STKaiti" w:hAnsi="STKaiti"/>
          <w:iCs/>
          <w:lang w:eastAsia="zh-CN"/>
        </w:rPr>
      </w:pPr>
      <w:r w:rsidRPr="006D5B70">
        <w:rPr>
          <w:rFonts w:ascii="STKaiti" w:eastAsia="STKaiti" w:hAnsi="STKaiti" w:hint="eastAsia"/>
          <w:iCs/>
          <w:lang w:eastAsia="zh-CN"/>
        </w:rPr>
        <w:t>注意到</w:t>
      </w:r>
    </w:p>
    <w:p w:rsidR="003864B3" w:rsidRPr="006D5B70" w:rsidRDefault="003864B3" w:rsidP="003864B3">
      <w:pPr>
        <w:rPr>
          <w:b/>
          <w:lang w:eastAsia="zh-CN"/>
        </w:rPr>
      </w:pPr>
      <w:r w:rsidRPr="006D5B70">
        <w:rPr>
          <w:lang w:eastAsia="zh-CN"/>
        </w:rPr>
        <w:t>a)</w:t>
      </w:r>
      <w:r w:rsidRPr="006D5B70">
        <w:rPr>
          <w:lang w:eastAsia="zh-CN"/>
        </w:rPr>
        <w:tab/>
      </w:r>
      <w:r w:rsidRPr="006D5B70">
        <w:rPr>
          <w:rFonts w:hint="eastAsia"/>
          <w:lang w:eastAsia="zh-CN"/>
        </w:rPr>
        <w:t>现有的地面和地球空间传播预测方法不足以预测这些链路的性能；</w:t>
      </w:r>
      <w:r w:rsidRPr="006D5B70">
        <w:rPr>
          <w:b/>
          <w:lang w:eastAsia="zh-CN"/>
        </w:rPr>
        <w:t xml:space="preserve"> </w:t>
      </w:r>
    </w:p>
    <w:p w:rsidR="003864B3" w:rsidRPr="006D5B70" w:rsidRDefault="003864B3" w:rsidP="003864B3">
      <w:pPr>
        <w:rPr>
          <w:lang w:eastAsia="zh-CN"/>
        </w:rPr>
      </w:pPr>
      <w:r w:rsidRPr="006D5B70">
        <w:rPr>
          <w:lang w:eastAsia="zh-CN"/>
        </w:rPr>
        <w:t>b)</w:t>
      </w:r>
      <w:r w:rsidRPr="006D5B70">
        <w:rPr>
          <w:lang w:eastAsia="zh-CN"/>
        </w:rPr>
        <w:tab/>
      </w:r>
      <w:r w:rsidRPr="006D5B70">
        <w:rPr>
          <w:rFonts w:hint="eastAsia"/>
          <w:lang w:eastAsia="zh-CN"/>
        </w:rPr>
        <w:t>空载平台可能并不在地表与</w:t>
      </w:r>
      <w:r w:rsidRPr="006D5B70">
        <w:rPr>
          <w:lang w:eastAsia="zh-CN"/>
        </w:rPr>
        <w:t>平流</w:t>
      </w:r>
      <w:r w:rsidRPr="006D5B70">
        <w:rPr>
          <w:rFonts w:ascii="SimSun" w:hAnsi="SimSun" w:cs="SimSun" w:hint="eastAsia"/>
          <w:lang w:eastAsia="zh-CN"/>
        </w:rPr>
        <w:t>层顶之间的某一高度；</w:t>
      </w:r>
    </w:p>
    <w:p w:rsidR="003864B3" w:rsidRPr="006D5B70" w:rsidRDefault="003864B3" w:rsidP="003864B3">
      <w:pPr>
        <w:rPr>
          <w:b/>
          <w:lang w:eastAsia="zh-CN"/>
        </w:rPr>
      </w:pPr>
      <w:r w:rsidRPr="006D5B70">
        <w:rPr>
          <w:lang w:eastAsia="zh-CN"/>
        </w:rPr>
        <w:t>c)</w:t>
      </w:r>
      <w:r w:rsidRPr="006D5B70">
        <w:rPr>
          <w:lang w:eastAsia="zh-CN"/>
        </w:rPr>
        <w:tab/>
      </w:r>
      <w:r w:rsidRPr="006D5B70">
        <w:rPr>
          <w:rFonts w:hint="eastAsia"/>
          <w:lang w:eastAsia="zh-CN"/>
        </w:rPr>
        <w:t>在低仰角或负仰角的情况下，</w:t>
      </w:r>
      <w:r w:rsidRPr="006D5B70">
        <w:rPr>
          <w:lang w:eastAsia="zh-CN"/>
        </w:rPr>
        <w:t>对流</w:t>
      </w:r>
      <w:r w:rsidRPr="006D5B70">
        <w:rPr>
          <w:rFonts w:ascii="SimSun" w:hAnsi="SimSun" w:cs="SimSun" w:hint="eastAsia"/>
          <w:lang w:eastAsia="zh-CN"/>
        </w:rPr>
        <w:t>层效应可能会很激烈，或许当前的方法无法充分予以解决；</w:t>
      </w:r>
    </w:p>
    <w:p w:rsidR="003864B3" w:rsidRPr="006D5B70" w:rsidRDefault="003864B3" w:rsidP="003864B3">
      <w:pPr>
        <w:rPr>
          <w:b/>
          <w:lang w:eastAsia="zh-CN"/>
        </w:rPr>
      </w:pPr>
      <w:r w:rsidRPr="006D5B70">
        <w:rPr>
          <w:lang w:eastAsia="zh-CN"/>
        </w:rPr>
        <w:t>d)</w:t>
      </w:r>
      <w:r w:rsidRPr="006D5B70">
        <w:rPr>
          <w:lang w:eastAsia="zh-CN"/>
        </w:rPr>
        <w:tab/>
      </w:r>
      <w:r w:rsidRPr="006D5B70">
        <w:rPr>
          <w:rFonts w:hint="eastAsia"/>
          <w:lang w:eastAsia="zh-CN"/>
        </w:rPr>
        <w:t>因空载天线和空载平台互动而产生的多径和散射效应，取决于具体的天线方向图和空载平台配置，且并非大气传播现象，但其它大气层多径效应源均很重要，</w:t>
      </w:r>
    </w:p>
    <w:p w:rsidR="003864B3" w:rsidRPr="006D5B70" w:rsidRDefault="003864B3" w:rsidP="003864B3">
      <w:pPr>
        <w:keepNext/>
        <w:keepLines/>
        <w:spacing w:after="120"/>
        <w:ind w:left="794"/>
        <w:rPr>
          <w:rFonts w:asciiTheme="minorEastAsia" w:hAnsiTheme="minorEastAsia"/>
          <w:iCs/>
          <w:lang w:eastAsia="zh-CN"/>
        </w:rPr>
      </w:pPr>
      <w:r w:rsidRPr="006D5B70">
        <w:rPr>
          <w:rFonts w:ascii="STKaiti" w:eastAsia="STKaiti" w:hAnsi="STKaiti" w:hint="eastAsia"/>
          <w:iCs/>
          <w:lang w:eastAsia="zh-CN"/>
        </w:rPr>
        <w:t>做出决定，</w:t>
      </w:r>
      <w:r w:rsidRPr="006D5B70">
        <w:rPr>
          <w:rFonts w:asciiTheme="minorEastAsia" w:hAnsiTheme="minorEastAsia" w:hint="eastAsia"/>
          <w:iCs/>
          <w:lang w:eastAsia="zh-CN"/>
        </w:rPr>
        <w:t>应研究以下课题</w:t>
      </w:r>
    </w:p>
    <w:p w:rsidR="003864B3" w:rsidRPr="006D5B70" w:rsidRDefault="003864B3" w:rsidP="003864B3">
      <w:pPr>
        <w:rPr>
          <w:lang w:eastAsia="zh-CN"/>
        </w:rPr>
      </w:pPr>
      <w:r w:rsidRPr="006D5B70">
        <w:rPr>
          <w:b/>
          <w:bCs/>
          <w:lang w:eastAsia="zh-CN"/>
        </w:rPr>
        <w:t>1</w:t>
      </w:r>
      <w:r w:rsidRPr="006D5B70">
        <w:rPr>
          <w:lang w:eastAsia="zh-CN"/>
        </w:rPr>
        <w:tab/>
      </w:r>
      <w:r>
        <w:rPr>
          <w:rFonts w:hint="eastAsia"/>
          <w:lang w:eastAsia="zh-CN"/>
        </w:rPr>
        <w:t>可使用何种方法预测</w:t>
      </w:r>
      <w:r w:rsidRPr="006D5B70">
        <w:rPr>
          <w:rFonts w:hint="eastAsia"/>
          <w:lang w:eastAsia="zh-CN"/>
        </w:rPr>
        <w:t>大气影响以及空载平台与卫星间的其它多径效应与衍射效应造成的长期平均损害（例如，衰减、闪烁、多径效应）？</w:t>
      </w:r>
    </w:p>
    <w:p w:rsidR="003864B3" w:rsidRPr="006D5B70" w:rsidRDefault="003864B3" w:rsidP="003864B3">
      <w:pPr>
        <w:rPr>
          <w:lang w:eastAsia="zh-CN"/>
        </w:rPr>
      </w:pPr>
      <w:r w:rsidRPr="006D5B70">
        <w:rPr>
          <w:b/>
          <w:bCs/>
          <w:lang w:eastAsia="zh-CN"/>
        </w:rPr>
        <w:t>2</w:t>
      </w:r>
      <w:r w:rsidRPr="006D5B70">
        <w:rPr>
          <w:lang w:eastAsia="zh-CN"/>
        </w:rPr>
        <w:tab/>
      </w:r>
      <w:r>
        <w:rPr>
          <w:rFonts w:hint="eastAsia"/>
          <w:lang w:eastAsia="zh-CN"/>
        </w:rPr>
        <w:t>可使用何种方法预测</w:t>
      </w:r>
      <w:r w:rsidRPr="006D5B70">
        <w:rPr>
          <w:rFonts w:hint="eastAsia"/>
          <w:lang w:eastAsia="zh-CN"/>
        </w:rPr>
        <w:t>大气影响以及空载平台与地表终端间的其它多径效应与衍射效应造成的长期平均损害？</w:t>
      </w:r>
    </w:p>
    <w:p w:rsidR="003864B3" w:rsidRPr="00650CF3" w:rsidRDefault="003864B3" w:rsidP="003864B3">
      <w:pPr>
        <w:rPr>
          <w:lang w:eastAsia="zh-CN"/>
        </w:rPr>
      </w:pPr>
      <w:r w:rsidRPr="006D5B70">
        <w:rPr>
          <w:b/>
          <w:bCs/>
          <w:lang w:eastAsia="zh-CN"/>
        </w:rPr>
        <w:t>3</w:t>
      </w:r>
      <w:r w:rsidRPr="006D5B70">
        <w:rPr>
          <w:lang w:eastAsia="zh-CN"/>
        </w:rPr>
        <w:tab/>
      </w:r>
      <w:r>
        <w:rPr>
          <w:rFonts w:hint="eastAsia"/>
          <w:lang w:eastAsia="zh-CN"/>
        </w:rPr>
        <w:t>可使用何种方法预测</w:t>
      </w:r>
      <w:r w:rsidRPr="006D5B70">
        <w:rPr>
          <w:rFonts w:hint="eastAsia"/>
          <w:lang w:eastAsia="zh-CN"/>
        </w:rPr>
        <w:t>两空载平台间大气影响造成的长期平均损害？</w:t>
      </w:r>
    </w:p>
    <w:p w:rsidR="003864B3" w:rsidRPr="006D5B70" w:rsidRDefault="003864B3" w:rsidP="003864B3">
      <w:pPr>
        <w:rPr>
          <w:lang w:eastAsia="zh-CN"/>
        </w:rPr>
      </w:pPr>
      <w:r w:rsidRPr="006D5B70">
        <w:rPr>
          <w:b/>
          <w:bCs/>
          <w:lang w:eastAsia="zh-CN"/>
        </w:rPr>
        <w:t>4</w:t>
      </w:r>
      <w:r w:rsidRPr="006D5B70">
        <w:rPr>
          <w:lang w:eastAsia="zh-CN"/>
        </w:rPr>
        <w:tab/>
      </w:r>
      <w:r w:rsidRPr="006D5B70">
        <w:rPr>
          <w:rFonts w:hint="eastAsia"/>
          <w:lang w:eastAsia="zh-CN"/>
        </w:rPr>
        <w:t>可使用何种方法预测空载平台与卫星间的大气效应、其它多径效应及衍射效应造成的</w:t>
      </w:r>
      <w:r>
        <w:rPr>
          <w:rFonts w:hint="eastAsia"/>
          <w:lang w:eastAsia="zh-CN"/>
        </w:rPr>
        <w:t>、以时间函数表示的</w:t>
      </w:r>
      <w:r w:rsidRPr="006D5B70">
        <w:rPr>
          <w:rFonts w:hint="eastAsia"/>
          <w:lang w:eastAsia="zh-CN"/>
        </w:rPr>
        <w:t>动态损害？</w:t>
      </w:r>
    </w:p>
    <w:p w:rsidR="003864B3" w:rsidRPr="006D5B70" w:rsidRDefault="003864B3" w:rsidP="003864B3">
      <w:pPr>
        <w:rPr>
          <w:b/>
          <w:bCs/>
          <w:lang w:eastAsia="zh-CN"/>
        </w:rPr>
      </w:pPr>
      <w:r w:rsidRPr="006D5B70">
        <w:rPr>
          <w:b/>
          <w:bCs/>
          <w:lang w:eastAsia="zh-CN"/>
        </w:rPr>
        <w:t>5</w:t>
      </w:r>
      <w:r w:rsidRPr="006D5B70">
        <w:rPr>
          <w:lang w:eastAsia="zh-CN"/>
        </w:rPr>
        <w:tab/>
      </w:r>
      <w:r w:rsidRPr="006D5B70">
        <w:rPr>
          <w:rFonts w:hint="eastAsia"/>
          <w:lang w:eastAsia="zh-CN"/>
        </w:rPr>
        <w:t>可使用何种方法预测，空载平台与地表终端间的大气效应、其它多径效应及衍射效应造成的</w:t>
      </w:r>
      <w:r>
        <w:rPr>
          <w:rFonts w:hint="eastAsia"/>
          <w:lang w:eastAsia="zh-CN"/>
        </w:rPr>
        <w:t>、以时间函数表示的</w:t>
      </w:r>
      <w:r w:rsidRPr="006D5B70">
        <w:rPr>
          <w:rFonts w:hint="eastAsia"/>
          <w:lang w:eastAsia="zh-CN"/>
        </w:rPr>
        <w:t>动态损害？</w:t>
      </w:r>
    </w:p>
    <w:p w:rsidR="003864B3" w:rsidRPr="006D5B70" w:rsidRDefault="003864B3" w:rsidP="003864B3">
      <w:pPr>
        <w:rPr>
          <w:lang w:eastAsia="zh-CN"/>
        </w:rPr>
      </w:pPr>
      <w:r w:rsidRPr="006D5B70">
        <w:rPr>
          <w:b/>
          <w:bCs/>
          <w:lang w:eastAsia="zh-CN"/>
        </w:rPr>
        <w:lastRenderedPageBreak/>
        <w:t>6</w:t>
      </w:r>
      <w:r w:rsidRPr="006D5B70">
        <w:rPr>
          <w:lang w:eastAsia="zh-CN"/>
        </w:rPr>
        <w:tab/>
      </w:r>
      <w:r w:rsidRPr="006D5B70">
        <w:rPr>
          <w:rFonts w:hint="eastAsia"/>
          <w:lang w:eastAsia="zh-CN"/>
        </w:rPr>
        <w:t>可使用何种方法预测，两空载平台间的大气效应造成的</w:t>
      </w:r>
      <w:r>
        <w:rPr>
          <w:rFonts w:hint="eastAsia"/>
          <w:lang w:eastAsia="zh-CN"/>
        </w:rPr>
        <w:t>、以时间函数表示的</w:t>
      </w:r>
      <w:r w:rsidRPr="006D5B70">
        <w:rPr>
          <w:rFonts w:hint="eastAsia"/>
          <w:lang w:eastAsia="zh-CN"/>
        </w:rPr>
        <w:t>动态损害？</w:t>
      </w:r>
    </w:p>
    <w:p w:rsidR="003864B3" w:rsidRPr="006D5B70" w:rsidRDefault="003864B3" w:rsidP="003864B3">
      <w:pPr>
        <w:keepNext/>
        <w:keepLines/>
        <w:spacing w:after="120"/>
        <w:ind w:left="794"/>
        <w:rPr>
          <w:rFonts w:ascii="STKaiti" w:eastAsia="STKaiti" w:hAnsi="STKaiti"/>
          <w:iCs/>
          <w:lang w:eastAsia="zh-CN"/>
        </w:rPr>
      </w:pPr>
      <w:r w:rsidRPr="006D5B70">
        <w:rPr>
          <w:rFonts w:ascii="STKaiti" w:eastAsia="STKaiti" w:hAnsi="STKaiti" w:hint="eastAsia"/>
          <w:iCs/>
          <w:lang w:eastAsia="zh-CN"/>
        </w:rPr>
        <w:t>进一步做出决定</w:t>
      </w:r>
    </w:p>
    <w:p w:rsidR="003864B3" w:rsidRPr="006D5B70" w:rsidRDefault="003864B3" w:rsidP="003864B3">
      <w:pPr>
        <w:rPr>
          <w:lang w:eastAsia="zh-CN"/>
        </w:rPr>
      </w:pPr>
      <w:r w:rsidRPr="006D5B70">
        <w:rPr>
          <w:b/>
          <w:bCs/>
          <w:lang w:eastAsia="zh-CN"/>
        </w:rPr>
        <w:t>1</w:t>
      </w:r>
      <w:r w:rsidRPr="006D5B70">
        <w:rPr>
          <w:lang w:eastAsia="zh-CN"/>
        </w:rPr>
        <w:tab/>
      </w:r>
      <w:r w:rsidRPr="006D5B70">
        <w:rPr>
          <w:rFonts w:hint="eastAsia"/>
          <w:lang w:eastAsia="zh-CN"/>
        </w:rPr>
        <w:t>上述研究应在</w:t>
      </w:r>
      <w:r w:rsidRPr="006D5B70">
        <w:rPr>
          <w:rFonts w:hint="eastAsia"/>
          <w:lang w:eastAsia="zh-CN"/>
        </w:rPr>
        <w:t>2015</w:t>
      </w:r>
      <w:r w:rsidRPr="006D5B70">
        <w:rPr>
          <w:rFonts w:hint="eastAsia"/>
          <w:lang w:eastAsia="zh-CN"/>
        </w:rPr>
        <w:t>年之前完成。</w:t>
      </w:r>
    </w:p>
    <w:p w:rsidR="003864B3" w:rsidRDefault="003864B3" w:rsidP="003864B3">
      <w:pPr>
        <w:spacing w:before="240"/>
        <w:rPr>
          <w:lang w:eastAsia="zh-CN"/>
        </w:rPr>
      </w:pPr>
      <w:r w:rsidRPr="006D5B70">
        <w:rPr>
          <w:rFonts w:hint="eastAsia"/>
          <w:lang w:eastAsia="zh-CN"/>
        </w:rPr>
        <w:t>类别：</w:t>
      </w:r>
      <w:r w:rsidRPr="006D5B70">
        <w:rPr>
          <w:rFonts w:hint="eastAsia"/>
          <w:lang w:eastAsia="zh-CN"/>
        </w:rPr>
        <w:t>S2</w:t>
      </w:r>
    </w:p>
    <w:p w:rsidR="00A165AE" w:rsidRDefault="00A165AE"/>
    <w:sectPr w:rsidR="00A165AE" w:rsidSect="003864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4B3" w:rsidRDefault="003864B3" w:rsidP="003864B3">
      <w:pPr>
        <w:spacing w:before="0"/>
      </w:pPr>
      <w:r>
        <w:separator/>
      </w:r>
    </w:p>
  </w:endnote>
  <w:endnote w:type="continuationSeparator" w:id="0">
    <w:p w:rsidR="003864B3" w:rsidRDefault="003864B3" w:rsidP="003864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B3" w:rsidRDefault="00386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B3" w:rsidRDefault="003864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B3" w:rsidRDefault="00386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4B3" w:rsidRDefault="003864B3" w:rsidP="003864B3">
      <w:pPr>
        <w:spacing w:before="0"/>
      </w:pPr>
      <w:r>
        <w:separator/>
      </w:r>
    </w:p>
  </w:footnote>
  <w:footnote w:type="continuationSeparator" w:id="0">
    <w:p w:rsidR="003864B3" w:rsidRDefault="003864B3" w:rsidP="003864B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B3" w:rsidRDefault="00386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26138"/>
      <w:docPartObj>
        <w:docPartGallery w:val="Page Numbers (Top of Page)"/>
        <w:docPartUnique/>
      </w:docPartObj>
    </w:sdtPr>
    <w:sdtEndPr>
      <w:rPr>
        <w:noProof/>
      </w:rPr>
    </w:sdtEndPr>
    <w:sdtContent>
      <w:p w:rsidR="003864B3" w:rsidRDefault="003864B3">
        <w:pPr>
          <w:pStyle w:val="Header"/>
          <w:jc w:val="center"/>
        </w:pPr>
        <w:r>
          <w:t>-</w:t>
        </w:r>
        <w:bookmarkStart w:id="1" w:name="_GoBack"/>
        <w:bookmarkEnd w:id="1"/>
        <w:r>
          <w:fldChar w:fldCharType="begin"/>
        </w:r>
        <w:r>
          <w:instrText xml:space="preserve"> PAGE   \* MERGEFORMAT </w:instrText>
        </w:r>
        <w:r>
          <w:fldChar w:fldCharType="separate"/>
        </w:r>
        <w:r>
          <w:rPr>
            <w:noProof/>
          </w:rPr>
          <w:t>2</w:t>
        </w:r>
        <w:r>
          <w:rPr>
            <w:noProof/>
          </w:rPr>
          <w:fldChar w:fldCharType="end"/>
        </w:r>
        <w:r>
          <w:rPr>
            <w:noProof/>
          </w:rPr>
          <w:t>-</w:t>
        </w:r>
      </w:p>
    </w:sdtContent>
  </w:sdt>
  <w:p w:rsidR="003864B3" w:rsidRDefault="003864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B3" w:rsidRDefault="00386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B3"/>
    <w:rsid w:val="003864B3"/>
    <w:rsid w:val="00A165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B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4B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3864B3"/>
    <w:rPr>
      <w:rFonts w:ascii="Times New Roman" w:eastAsia="SimSun" w:hAnsi="Times New Roman" w:cs="Times New Roman"/>
      <w:sz w:val="24"/>
      <w:szCs w:val="20"/>
      <w:lang w:val="en-GB" w:eastAsia="en-US"/>
    </w:rPr>
  </w:style>
  <w:style w:type="paragraph" w:styleId="Footer">
    <w:name w:val="footer"/>
    <w:basedOn w:val="Normal"/>
    <w:link w:val="FooterChar"/>
    <w:uiPriority w:val="99"/>
    <w:unhideWhenUsed/>
    <w:rsid w:val="003864B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3864B3"/>
    <w:rPr>
      <w:rFonts w:ascii="Times New Roman" w:eastAsia="SimSu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B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4B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3864B3"/>
    <w:rPr>
      <w:rFonts w:ascii="Times New Roman" w:eastAsia="SimSun" w:hAnsi="Times New Roman" w:cs="Times New Roman"/>
      <w:sz w:val="24"/>
      <w:szCs w:val="20"/>
      <w:lang w:val="en-GB" w:eastAsia="en-US"/>
    </w:rPr>
  </w:style>
  <w:style w:type="paragraph" w:styleId="Footer">
    <w:name w:val="footer"/>
    <w:basedOn w:val="Normal"/>
    <w:link w:val="FooterChar"/>
    <w:uiPriority w:val="99"/>
    <w:unhideWhenUsed/>
    <w:rsid w:val="003864B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3864B3"/>
    <w:rPr>
      <w:rFonts w:ascii="Times New Roman" w:eastAsia="SimSu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2012-03-01T14:43:00Z</dcterms:created>
  <dcterms:modified xsi:type="dcterms:W3CDTF">2012-03-01T14:54:00Z</dcterms:modified>
</cp:coreProperties>
</file>