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E1" w:rsidRPr="00D638FB" w:rsidRDefault="00486DE1" w:rsidP="00486DE1">
      <w:pPr>
        <w:pStyle w:val="QuestionNoBR"/>
        <w:rPr>
          <w:sz w:val="40"/>
          <w:szCs w:val="40"/>
          <w:rtl/>
        </w:rPr>
      </w:pPr>
      <w:r w:rsidRPr="00D638FB">
        <w:rPr>
          <w:sz w:val="40"/>
          <w:szCs w:val="40"/>
          <w:rtl/>
        </w:rPr>
        <w:t>المس</w:t>
      </w:r>
      <w:r w:rsidRPr="00D638FB">
        <w:rPr>
          <w:rFonts w:hint="cs"/>
          <w:sz w:val="40"/>
          <w:szCs w:val="40"/>
          <w:rtl/>
        </w:rPr>
        <w:t>ـ</w:t>
      </w:r>
      <w:r w:rsidRPr="00D638FB">
        <w:rPr>
          <w:sz w:val="40"/>
          <w:szCs w:val="40"/>
          <w:rtl/>
        </w:rPr>
        <w:t xml:space="preserve">ألة </w:t>
      </w:r>
      <w:r w:rsidRPr="00D638FB">
        <w:rPr>
          <w:szCs w:val="28"/>
        </w:rPr>
        <w:t>ITU-R 233/3</w:t>
      </w:r>
    </w:p>
    <w:p w:rsidR="00486DE1" w:rsidRPr="00D638FB" w:rsidRDefault="00486DE1" w:rsidP="00486DE1">
      <w:pPr>
        <w:pStyle w:val="Questiontitle"/>
        <w:rPr>
          <w:noProof/>
          <w:rtl/>
        </w:rPr>
      </w:pPr>
      <w:r w:rsidRPr="00D638FB">
        <w:rPr>
          <w:noProof/>
          <w:rtl/>
        </w:rPr>
        <w:t>طرائق التنبؤ بالخسارة في مسير الانتشار بين منصة محمولة جواً</w:t>
      </w:r>
      <w:r w:rsidRPr="00D638FB">
        <w:rPr>
          <w:noProof/>
          <w:rtl/>
        </w:rPr>
        <w:br/>
        <w:t>وساتل أو مطراف أرضي أو منصة أخرى محمولة جواً</w:t>
      </w:r>
    </w:p>
    <w:p w:rsidR="00486DE1" w:rsidRPr="00305A7B" w:rsidRDefault="00486DE1" w:rsidP="00486DE1">
      <w:pPr>
        <w:pStyle w:val="Questiondate"/>
        <w:rPr>
          <w:rFonts w:eastAsia="SimSun"/>
          <w:noProof/>
          <w:rtl/>
          <w:lang w:val="en-US" w:bidi="ar-EG"/>
        </w:rPr>
      </w:pPr>
      <w:r w:rsidRPr="00305A7B">
        <w:rPr>
          <w:rFonts w:eastAsia="SimSun"/>
          <w:noProof/>
          <w:lang w:val="en-US" w:bidi="ar-EG"/>
        </w:rPr>
        <w:t>(</w:t>
      </w:r>
      <w:r w:rsidRPr="00D638FB">
        <w:rPr>
          <w:lang w:val="en-US" w:bidi="ar-EG"/>
        </w:rPr>
        <w:t>2012</w:t>
      </w:r>
      <w:r w:rsidRPr="00305A7B">
        <w:rPr>
          <w:rFonts w:eastAsia="SimSun"/>
          <w:noProof/>
          <w:lang w:val="en-US" w:bidi="ar-EG"/>
        </w:rPr>
        <w:t>)</w:t>
      </w:r>
    </w:p>
    <w:p w:rsidR="00486DE1" w:rsidRPr="00534B77" w:rsidRDefault="00486DE1" w:rsidP="00486DE1">
      <w:pPr>
        <w:pStyle w:val="Normalaftertitle"/>
        <w:rPr>
          <w:rtl/>
          <w:lang w:val="en-US" w:bidi="ar-EG"/>
        </w:rPr>
      </w:pPr>
      <w:r w:rsidRPr="00534B77">
        <w:rPr>
          <w:rtl/>
          <w:lang w:val="en-US" w:bidi="ar-EG"/>
        </w:rPr>
        <w:t>إن جمعية الاتصالات الراديوية للاتحاد الدولي للاتصالات،</w:t>
      </w:r>
    </w:p>
    <w:p w:rsidR="00486DE1" w:rsidRPr="003D3252" w:rsidRDefault="00486DE1" w:rsidP="00486DE1">
      <w:pPr>
        <w:pStyle w:val="Call"/>
        <w:rPr>
          <w:i w:val="0"/>
          <w:iCs/>
          <w:rtl/>
          <w:lang w:bidi="ar-EG"/>
        </w:rPr>
      </w:pPr>
      <w:r w:rsidRPr="003D3252">
        <w:rPr>
          <w:i w:val="0"/>
          <w:iCs/>
          <w:rtl/>
          <w:lang w:bidi="ar-EG"/>
        </w:rPr>
        <w:t>إذ تضع في اعتبارها</w:t>
      </w:r>
    </w:p>
    <w:p w:rsidR="00486DE1" w:rsidRDefault="00486DE1" w:rsidP="00486DE1">
      <w:pPr>
        <w:rPr>
          <w:rtl/>
          <w:lang w:bidi="ar-EG"/>
        </w:rPr>
      </w:pPr>
      <w:r w:rsidRPr="00AF2152">
        <w:rPr>
          <w:i/>
          <w:iCs/>
          <w:rtl/>
          <w:lang w:bidi="ar-EG"/>
        </w:rPr>
        <w:t xml:space="preserve"> أ )</w:t>
      </w:r>
      <w:r w:rsidRPr="00E433D5">
        <w:rPr>
          <w:rtl/>
          <w:lang w:bidi="ar-EG"/>
        </w:rPr>
        <w:tab/>
      </w:r>
      <w:r>
        <w:rPr>
          <w:rtl/>
          <w:lang w:bidi="ar-EG"/>
        </w:rPr>
        <w:t>أنه عند تصميم الأنظمة المحمولة جواً، يتعين وجود معلومات دقيقة عن أداء النظام نتيجة لانتشار الموجات الراديوية بين منصة محمولة جواً وساتل أو مطراف أرضي أو منصة أخرى محمولة جواً؛</w:t>
      </w:r>
    </w:p>
    <w:p w:rsidR="00486DE1" w:rsidRDefault="00486DE1" w:rsidP="00486DE1">
      <w:pPr>
        <w:rPr>
          <w:rtl/>
          <w:lang w:bidi="ar-EG"/>
        </w:rPr>
      </w:pPr>
      <w:r w:rsidRPr="00AF2152">
        <w:rPr>
          <w:i/>
          <w:iCs/>
          <w:rtl/>
          <w:lang w:bidi="ar-EG"/>
        </w:rPr>
        <w:t>ب)</w:t>
      </w:r>
      <w:r w:rsidRPr="00E433D5">
        <w:rPr>
          <w:rtl/>
          <w:lang w:bidi="ar-EG"/>
        </w:rPr>
        <w:tab/>
      </w:r>
      <w:r>
        <w:rPr>
          <w:rtl/>
          <w:lang w:bidi="ar-EG"/>
        </w:rPr>
        <w:t>أن بإمكان الأنظمة العمل فيما وراء خط البصر بزوايا ارتفاع منخفضة جداً أو سالبة؛</w:t>
      </w:r>
    </w:p>
    <w:p w:rsidR="00486DE1" w:rsidRDefault="00486DE1" w:rsidP="00486DE1">
      <w:pPr>
        <w:rPr>
          <w:rtl/>
          <w:lang w:bidi="ar-EG"/>
        </w:rPr>
      </w:pPr>
      <w:r w:rsidRPr="00AF2152">
        <w:rPr>
          <w:i/>
          <w:iCs/>
          <w:rtl/>
          <w:lang w:bidi="ar-EG"/>
        </w:rPr>
        <w:t>ج)</w:t>
      </w:r>
      <w:r w:rsidRPr="00E433D5">
        <w:rPr>
          <w:rtl/>
          <w:lang w:bidi="ar-EG"/>
        </w:rPr>
        <w:tab/>
      </w:r>
      <w:r>
        <w:rPr>
          <w:rtl/>
          <w:lang w:bidi="ar-EG"/>
        </w:rPr>
        <w:t xml:space="preserve">أن نطاقات التردد المستعملة قد تقع في المدى من </w:t>
      </w:r>
      <w:r>
        <w:rPr>
          <w:lang w:bidi="ar-EG"/>
        </w:rPr>
        <w:t>MHz</w:t>
      </w:r>
      <w:r>
        <w:rPr>
          <w:lang w:val="en-US" w:bidi="ar-EG"/>
        </w:rPr>
        <w:t> 30</w:t>
      </w:r>
      <w:r>
        <w:rPr>
          <w:rtl/>
          <w:lang w:bidi="ar-EG"/>
        </w:rPr>
        <w:t xml:space="preserve"> إلى </w:t>
      </w:r>
      <w:r w:rsidRPr="00516E9C">
        <w:rPr>
          <w:lang w:bidi="ar-EG"/>
        </w:rPr>
        <w:t>GHz</w:t>
      </w:r>
      <w:r>
        <w:rPr>
          <w:lang w:bidi="ar-EG"/>
        </w:rPr>
        <w:t> 50</w:t>
      </w:r>
      <w:r>
        <w:rPr>
          <w:rtl/>
          <w:lang w:bidi="ar-EG"/>
        </w:rPr>
        <w:t xml:space="preserve"> أو أكبر،</w:t>
      </w:r>
    </w:p>
    <w:p w:rsidR="00486DE1" w:rsidRPr="003D3252" w:rsidRDefault="00486DE1" w:rsidP="00486DE1">
      <w:pPr>
        <w:pStyle w:val="Call"/>
        <w:rPr>
          <w:i w:val="0"/>
          <w:iCs/>
          <w:rtl/>
          <w:lang w:bidi="ar-EG"/>
        </w:rPr>
      </w:pPr>
      <w:r w:rsidRPr="003D3252">
        <w:rPr>
          <w:i w:val="0"/>
          <w:iCs/>
          <w:rtl/>
          <w:lang w:bidi="ar-EG"/>
        </w:rPr>
        <w:t>وإذ تلاحظ</w:t>
      </w:r>
    </w:p>
    <w:p w:rsidR="00486DE1" w:rsidRDefault="00486DE1" w:rsidP="00486DE1">
      <w:pPr>
        <w:rPr>
          <w:rtl/>
          <w:lang w:bidi="ar-EG"/>
        </w:rPr>
      </w:pPr>
      <w:r w:rsidRPr="00AF2152">
        <w:rPr>
          <w:i/>
          <w:iCs/>
          <w:rtl/>
          <w:lang w:bidi="ar-EG"/>
        </w:rPr>
        <w:t xml:space="preserve"> أ )</w:t>
      </w:r>
      <w:r>
        <w:rPr>
          <w:rtl/>
          <w:lang w:bidi="ar-EG"/>
        </w:rPr>
        <w:tab/>
        <w:t>أن طرائق التنبؤ الحالية بالانتشار الأرضي والأرضي الفضائي ليست مناسبة للتنبؤ بأداء هذه الوصلات؛</w:t>
      </w:r>
    </w:p>
    <w:p w:rsidR="00486DE1" w:rsidRDefault="00486DE1" w:rsidP="00486DE1">
      <w:pPr>
        <w:rPr>
          <w:rtl/>
          <w:lang w:bidi="ar-EG"/>
        </w:rPr>
      </w:pPr>
      <w:r w:rsidRPr="00AF2152">
        <w:rPr>
          <w:i/>
          <w:iCs/>
          <w:rtl/>
          <w:lang w:bidi="ar-EG"/>
        </w:rPr>
        <w:t>ب)</w:t>
      </w:r>
      <w:r>
        <w:rPr>
          <w:rtl/>
          <w:lang w:bidi="ar-EG"/>
        </w:rPr>
        <w:tab/>
        <w:t>أن المنصة المحمولة جواً قد تو</w:t>
      </w:r>
      <w:r>
        <w:rPr>
          <w:rFonts w:hint="cs"/>
          <w:rtl/>
          <w:lang w:bidi="ar-EG"/>
        </w:rPr>
        <w:t>ض</w:t>
      </w:r>
      <w:r>
        <w:rPr>
          <w:rtl/>
          <w:lang w:bidi="ar-EG"/>
        </w:rPr>
        <w:t>ع على أي ارتفاع بين سطح الأرض وقمة طبقة الاستراتوسفير؛</w:t>
      </w:r>
    </w:p>
    <w:p w:rsidR="00486DE1" w:rsidRDefault="00486DE1" w:rsidP="00486DE1">
      <w:pPr>
        <w:rPr>
          <w:rtl/>
          <w:lang w:bidi="ar-EG"/>
        </w:rPr>
      </w:pPr>
      <w:r w:rsidRPr="00AF2152">
        <w:rPr>
          <w:i/>
          <w:iCs/>
          <w:rtl/>
          <w:lang w:bidi="ar-EG"/>
        </w:rPr>
        <w:t>ج)</w:t>
      </w:r>
      <w:r>
        <w:rPr>
          <w:rtl/>
          <w:lang w:bidi="ar-EG"/>
        </w:rPr>
        <w:tab/>
        <w:t>أن التأثيرات التروبوسفيرية قد تكون شديدة على زوايا الارتفاع المنخفضة أو السالبة وقد لا تكون الطرائق الحالية مناسبة</w:t>
      </w:r>
      <w:r>
        <w:rPr>
          <w:rFonts w:hint="cs"/>
          <w:rtl/>
          <w:lang w:bidi="ar-EG"/>
        </w:rPr>
        <w:t> </w:t>
      </w:r>
      <w:r>
        <w:rPr>
          <w:rtl/>
          <w:lang w:bidi="ar-EG"/>
        </w:rPr>
        <w:t>لمعالجتها؛</w:t>
      </w:r>
    </w:p>
    <w:p w:rsidR="00486DE1" w:rsidRDefault="00486DE1" w:rsidP="00486DE1">
      <w:pPr>
        <w:rPr>
          <w:rtl/>
          <w:lang w:bidi="ar-EG"/>
        </w:rPr>
      </w:pPr>
      <w:r w:rsidRPr="00AF2152">
        <w:rPr>
          <w:i/>
          <w:iCs/>
          <w:rtl/>
          <w:lang w:bidi="ar-EG"/>
        </w:rPr>
        <w:t>د )</w:t>
      </w:r>
      <w:r>
        <w:rPr>
          <w:rtl/>
          <w:lang w:bidi="ar-EG"/>
        </w:rPr>
        <w:tab/>
        <w:t>أن تعدد المسيرات والانتثار نتيجة للتفاعل بين الهوائي المحمول جواً والمنصة المحمولة جواً يتوقف على مخطط الهوائي المحدد وتشكيلة المنصة المحمولة جواً وليس من ظواهر الانتشار الجوي، بيد أن هناك مصادر جوية أخرى لتعدد المسيرات تعتبر ذات</w:t>
      </w:r>
      <w:r>
        <w:rPr>
          <w:rFonts w:hint="cs"/>
          <w:rtl/>
          <w:lang w:bidi="ar-EG"/>
        </w:rPr>
        <w:t> </w:t>
      </w:r>
      <w:r>
        <w:rPr>
          <w:rtl/>
          <w:lang w:bidi="ar-EG"/>
        </w:rPr>
        <w:t>مغزى،</w:t>
      </w:r>
    </w:p>
    <w:p w:rsidR="00486DE1" w:rsidRPr="003D3252" w:rsidRDefault="00486DE1" w:rsidP="00486DE1">
      <w:pPr>
        <w:pStyle w:val="Call"/>
        <w:rPr>
          <w:i w:val="0"/>
          <w:iCs/>
          <w:rtl/>
          <w:lang w:val="en-US" w:bidi="ar-EG"/>
        </w:rPr>
      </w:pPr>
      <w:r w:rsidRPr="003D3252">
        <w:rPr>
          <w:i w:val="0"/>
          <w:iCs/>
          <w:rtl/>
          <w:lang w:val="en-US" w:bidi="ar-EG"/>
        </w:rPr>
        <w:t xml:space="preserve">تقرر دراسة </w:t>
      </w:r>
      <w:r>
        <w:rPr>
          <w:rFonts w:hint="cs"/>
          <w:i w:val="0"/>
          <w:iCs/>
          <w:rtl/>
          <w:lang w:val="en-US" w:bidi="ar-EG"/>
        </w:rPr>
        <w:t>المسائل</w:t>
      </w:r>
      <w:r w:rsidRPr="003D3252">
        <w:rPr>
          <w:i w:val="0"/>
          <w:iCs/>
          <w:rtl/>
          <w:lang w:val="en-US" w:bidi="ar-EG"/>
        </w:rPr>
        <w:t xml:space="preserve"> التالية</w:t>
      </w:r>
    </w:p>
    <w:p w:rsidR="00486DE1" w:rsidRPr="00D638FB" w:rsidRDefault="00486DE1" w:rsidP="00486DE1">
      <w:pPr>
        <w:rPr>
          <w:rtl/>
          <w:lang w:bidi="ar-EG"/>
        </w:rPr>
      </w:pPr>
      <w:r w:rsidRPr="00D638FB">
        <w:rPr>
          <w:lang w:bidi="ar-EG"/>
        </w:rPr>
        <w:t>1</w:t>
      </w:r>
      <w:r w:rsidRPr="00D638FB">
        <w:rPr>
          <w:lang w:bidi="ar-EG"/>
        </w:rPr>
        <w:tab/>
      </w:r>
      <w:r w:rsidRPr="00D638FB">
        <w:rPr>
          <w:rtl/>
          <w:lang w:bidi="ar-EG"/>
        </w:rPr>
        <w:t>ما هي طرائق التنبؤ التي يمكن استعمالها للتنبؤ بمتوسط الانحطاطات على المدى الطويل (مثل التوهين والتلألؤ وتعدد المسيرات) نتيجة للتأثيرات الجوية والتأثيرات الأخرى الناتجة عن تعدد المسيرات والانكسار بين منصة محمولة جواً وساتل؟</w:t>
      </w:r>
    </w:p>
    <w:p w:rsidR="00486DE1" w:rsidRPr="00D638FB" w:rsidRDefault="00486DE1" w:rsidP="00486DE1">
      <w:pPr>
        <w:rPr>
          <w:rtl/>
          <w:lang w:bidi="ar-EG"/>
        </w:rPr>
      </w:pPr>
      <w:r w:rsidRPr="00D638FB">
        <w:rPr>
          <w:lang w:bidi="ar-EG"/>
        </w:rPr>
        <w:t>2</w:t>
      </w:r>
      <w:r w:rsidRPr="00D638FB">
        <w:rPr>
          <w:lang w:bidi="ar-EG"/>
        </w:rPr>
        <w:tab/>
      </w:r>
      <w:r w:rsidRPr="00D638FB">
        <w:rPr>
          <w:rtl/>
          <w:lang w:bidi="ar-EG"/>
        </w:rPr>
        <w:t>ما هي طرائق التنبؤ التي يمكن استعمالها للتنبؤ بمتوسط الانحطاطات على المدى الطويل نتيجة للتأثيرات الجوية والتأثيرات الأخرى الناتجة عن تعدد المسيرات والانكسار بين منصة محمولة جواً ومطراف موجود على سطح الأرض؟</w:t>
      </w:r>
    </w:p>
    <w:p w:rsidR="00486DE1" w:rsidRPr="00D638FB" w:rsidRDefault="00486DE1" w:rsidP="00486DE1">
      <w:pPr>
        <w:rPr>
          <w:rtl/>
          <w:lang w:bidi="ar-EG"/>
        </w:rPr>
      </w:pPr>
      <w:r w:rsidRPr="00D638FB">
        <w:rPr>
          <w:lang w:bidi="ar-EG"/>
        </w:rPr>
        <w:t>3</w:t>
      </w:r>
      <w:r w:rsidRPr="00D638FB">
        <w:rPr>
          <w:lang w:val="en-US" w:bidi="ar-EG"/>
        </w:rPr>
        <w:tab/>
      </w:r>
      <w:r w:rsidRPr="00D638FB">
        <w:rPr>
          <w:rtl/>
          <w:lang w:bidi="ar-EG"/>
        </w:rPr>
        <w:t>ما هي طرائق التنبؤ التي يمكن استعمالها للتنبؤ بمتوسط الانحطاطات على المدى الطويل نتيجة للتأثيرات الجوية بين منصتين محمولتين جواً؟</w:t>
      </w:r>
    </w:p>
    <w:p w:rsidR="00486DE1" w:rsidRPr="00D638FB" w:rsidRDefault="00486DE1" w:rsidP="00486DE1">
      <w:pPr>
        <w:keepNext/>
        <w:rPr>
          <w:rtl/>
          <w:lang w:bidi="ar-EG"/>
        </w:rPr>
      </w:pPr>
      <w:r w:rsidRPr="00D638FB">
        <w:rPr>
          <w:lang w:bidi="ar-EG"/>
        </w:rPr>
        <w:lastRenderedPageBreak/>
        <w:t>4</w:t>
      </w:r>
      <w:r w:rsidRPr="00D638FB">
        <w:rPr>
          <w:lang w:bidi="ar-EG"/>
        </w:rPr>
        <w:tab/>
      </w:r>
      <w:r w:rsidRPr="00D638FB">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وساتل؟</w:t>
      </w:r>
    </w:p>
    <w:p w:rsidR="00486DE1" w:rsidRPr="00211360" w:rsidRDefault="00486DE1" w:rsidP="00486DE1">
      <w:pPr>
        <w:keepNext/>
        <w:keepLines/>
        <w:rPr>
          <w:rtl/>
          <w:lang w:bidi="ar-EG"/>
        </w:rPr>
      </w:pPr>
      <w:r w:rsidRPr="00211360">
        <w:rPr>
          <w:lang w:bidi="ar-EG"/>
        </w:rPr>
        <w:t>5</w:t>
      </w:r>
      <w:r w:rsidRPr="00211360">
        <w:rPr>
          <w:lang w:bidi="ar-EG"/>
        </w:rPr>
        <w:tab/>
      </w:r>
      <w:r w:rsidRPr="00211360">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ومطراف موجود على سطح الأرض؛</w:t>
      </w:r>
    </w:p>
    <w:p w:rsidR="00486DE1" w:rsidRPr="00211360" w:rsidRDefault="00486DE1" w:rsidP="00486DE1">
      <w:pPr>
        <w:keepNext/>
        <w:keepLines/>
        <w:rPr>
          <w:rtl/>
          <w:lang w:bidi="ar-EG"/>
        </w:rPr>
      </w:pPr>
      <w:r w:rsidRPr="00211360">
        <w:rPr>
          <w:lang w:bidi="ar-EG"/>
        </w:rPr>
        <w:t>6</w:t>
      </w:r>
      <w:r w:rsidRPr="00211360">
        <w:rPr>
          <w:rtl/>
          <w:lang w:bidi="ar-EG"/>
        </w:rPr>
        <w:tab/>
        <w:t>ما هي طرائق التنبؤ التي يمكن استعمالها للتنبؤ بالانحطاطات الدينامية بدلالة الزمن نتيجة للتأثيرات الجوية بين منصتين محمولتين جواً؟</w:t>
      </w:r>
    </w:p>
    <w:p w:rsidR="00486DE1" w:rsidRPr="003D3252" w:rsidRDefault="00486DE1" w:rsidP="00486DE1">
      <w:pPr>
        <w:pStyle w:val="Call"/>
        <w:rPr>
          <w:i w:val="0"/>
          <w:iCs/>
          <w:rtl/>
          <w:lang w:bidi="ar-EG"/>
        </w:rPr>
      </w:pPr>
      <w:r w:rsidRPr="003D3252">
        <w:rPr>
          <w:i w:val="0"/>
          <w:iCs/>
          <w:rtl/>
          <w:lang w:bidi="ar-EG"/>
        </w:rPr>
        <w:t>وتقرر كذلك</w:t>
      </w:r>
    </w:p>
    <w:p w:rsidR="00486DE1" w:rsidRPr="00D703DB" w:rsidRDefault="00486DE1" w:rsidP="00486DE1">
      <w:pPr>
        <w:keepNext/>
        <w:keepLines/>
        <w:rPr>
          <w:rtl/>
          <w:lang w:val="en-US" w:bidi="ar-EG"/>
        </w:rPr>
      </w:pPr>
      <w:r w:rsidRPr="00211360">
        <w:rPr>
          <w:lang w:bidi="ar-EG"/>
        </w:rPr>
        <w:t>1</w:t>
      </w:r>
      <w:r w:rsidRPr="00E433D5">
        <w:rPr>
          <w:lang w:bidi="ar-EG"/>
        </w:rPr>
        <w:tab/>
      </w:r>
      <w:r>
        <w:rPr>
          <w:rtl/>
          <w:lang w:bidi="ar-EG"/>
        </w:rPr>
        <w:t xml:space="preserve">أنه ينبغي إنجاز </w:t>
      </w:r>
      <w:r w:rsidRPr="00E433D5">
        <w:rPr>
          <w:rtl/>
          <w:lang w:bidi="ar-EG"/>
        </w:rPr>
        <w:t xml:space="preserve">الدراسات </w:t>
      </w:r>
      <w:r>
        <w:rPr>
          <w:rtl/>
          <w:lang w:bidi="ar-EG"/>
        </w:rPr>
        <w:t xml:space="preserve">أعلاه </w:t>
      </w:r>
      <w:r w:rsidRPr="00E433D5">
        <w:rPr>
          <w:rtl/>
          <w:lang w:bidi="ar-EG"/>
        </w:rPr>
        <w:t>بحلول عام</w:t>
      </w:r>
      <w:r>
        <w:rPr>
          <w:position w:val="2"/>
          <w:rtl/>
          <w:lang w:bidi="ar-EG"/>
        </w:rPr>
        <w:t> </w:t>
      </w:r>
      <w:r w:rsidRPr="00E433D5">
        <w:rPr>
          <w:lang w:bidi="ar-EG"/>
        </w:rPr>
        <w:t>20</w:t>
      </w:r>
      <w:r>
        <w:rPr>
          <w:lang w:bidi="ar-EG"/>
        </w:rPr>
        <w:t>1</w:t>
      </w:r>
      <w:r>
        <w:rPr>
          <w:lang w:val="en-US" w:bidi="ar-EG"/>
        </w:rPr>
        <w:t>5</w:t>
      </w:r>
      <w:r>
        <w:rPr>
          <w:rtl/>
          <w:lang w:val="en-US" w:bidi="ar-EG"/>
        </w:rPr>
        <w:t>.</w:t>
      </w:r>
    </w:p>
    <w:p w:rsidR="00486DE1" w:rsidRPr="00E54D51" w:rsidRDefault="00486DE1" w:rsidP="00486DE1">
      <w:pPr>
        <w:keepNext/>
        <w:keepLines/>
        <w:tabs>
          <w:tab w:val="clear" w:pos="794"/>
          <w:tab w:val="clear" w:pos="1191"/>
          <w:tab w:val="clear" w:pos="1588"/>
          <w:tab w:val="clear" w:pos="1985"/>
          <w:tab w:val="left" w:pos="567"/>
          <w:tab w:val="left" w:pos="1134"/>
          <w:tab w:val="left" w:pos="1701"/>
          <w:tab w:val="left" w:pos="2268"/>
          <w:tab w:val="left" w:pos="2835"/>
        </w:tabs>
        <w:spacing w:after="60" w:line="320" w:lineRule="exact"/>
        <w:rPr>
          <w:position w:val="2"/>
          <w:rtl/>
          <w:lang w:bidi="ar-EG"/>
        </w:rPr>
      </w:pPr>
    </w:p>
    <w:p w:rsidR="00486DE1" w:rsidRDefault="00486DE1" w:rsidP="00486DE1">
      <w:pPr>
        <w:rPr>
          <w:rtl/>
          <w:lang w:val="en-US" w:bidi="ar-EG"/>
        </w:rPr>
      </w:pPr>
      <w:r>
        <w:rPr>
          <w:rtl/>
          <w:lang w:val="en-US" w:bidi="ar-EG"/>
        </w:rPr>
        <w:t>الفئة:  </w:t>
      </w:r>
      <w:r>
        <w:rPr>
          <w:lang w:val="en-US" w:bidi="ar-EG"/>
        </w:rPr>
        <w:t>S2</w:t>
      </w:r>
    </w:p>
    <w:p w:rsidR="008E6F80" w:rsidRPr="00486DE1" w:rsidRDefault="008E6F80">
      <w:pPr>
        <w:rPr>
          <w:lang w:val="en-US"/>
        </w:rPr>
      </w:pPr>
    </w:p>
    <w:sectPr w:rsidR="008E6F80" w:rsidRPr="00486DE1" w:rsidSect="000323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60" w:rsidRDefault="00032360" w:rsidP="00032360">
      <w:pPr>
        <w:spacing w:before="0" w:line="240" w:lineRule="auto"/>
      </w:pPr>
      <w:r>
        <w:separator/>
      </w:r>
    </w:p>
  </w:endnote>
  <w:endnote w:type="continuationSeparator" w:id="0">
    <w:p w:rsidR="00032360" w:rsidRDefault="00032360" w:rsidP="000323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60" w:rsidRDefault="00032360" w:rsidP="00032360">
      <w:pPr>
        <w:spacing w:before="0" w:line="240" w:lineRule="auto"/>
      </w:pPr>
      <w:r>
        <w:separator/>
      </w:r>
    </w:p>
  </w:footnote>
  <w:footnote w:type="continuationSeparator" w:id="0">
    <w:p w:rsidR="00032360" w:rsidRDefault="00032360" w:rsidP="0003236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Header"/>
      <w:jc w:val="center"/>
    </w:pPr>
    <w:sdt>
      <w:sdtPr>
        <w:rPr>
          <w:rtl/>
        </w:rPr>
        <w:id w:val="1414584465"/>
        <w:docPartObj>
          <w:docPartGallery w:val="Page Numbers (Top of Page)"/>
          <w:docPartUnique/>
        </w:docPartObj>
      </w:sdtPr>
      <w:sdtEndPr>
        <w:rPr>
          <w:noProof/>
        </w:rPr>
      </w:sdtEndPr>
      <w:sdtContent>
        <w:r>
          <w:t>-</w:t>
        </w:r>
        <w:r>
          <w:fldChar w:fldCharType="begin"/>
        </w:r>
        <w:r>
          <w:instrText xml:space="preserve"> PAGE   \* MERGEFORMAT </w:instrText>
        </w:r>
        <w:r>
          <w:fldChar w:fldCharType="separate"/>
        </w:r>
        <w:r>
          <w:rPr>
            <w:noProof/>
            <w:rtl/>
          </w:rPr>
          <w:t>2</w:t>
        </w:r>
        <w:r>
          <w:rPr>
            <w:noProof/>
          </w:rPr>
          <w:fldChar w:fldCharType="end"/>
        </w:r>
      </w:sdtContent>
    </w:sdt>
    <w:r>
      <w:rPr>
        <w:noProof/>
      </w:rPr>
      <w:t>-</w:t>
    </w:r>
    <w:bookmarkStart w:id="0" w:name="_GoBack"/>
    <w:bookmarkEnd w:id="0"/>
  </w:p>
  <w:p w:rsidR="00032360" w:rsidRDefault="00032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0" w:rsidRDefault="00032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E1"/>
    <w:rsid w:val="00032360"/>
    <w:rsid w:val="00486DE1"/>
    <w:rsid w:val="008E6F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1"/>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PMingLiU"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486DE1"/>
    <w:pPr>
      <w:spacing w:before="360"/>
    </w:pPr>
  </w:style>
  <w:style w:type="paragraph" w:customStyle="1" w:styleId="Call">
    <w:name w:val="Call"/>
    <w:basedOn w:val="Normal"/>
    <w:next w:val="Normal"/>
    <w:link w:val="CallChar"/>
    <w:qFormat/>
    <w:rsid w:val="00486DE1"/>
    <w:pPr>
      <w:keepNext/>
      <w:keepLines/>
      <w:spacing w:before="160"/>
      <w:ind w:left="794"/>
    </w:pPr>
    <w:rPr>
      <w:i/>
    </w:rPr>
  </w:style>
  <w:style w:type="paragraph" w:customStyle="1" w:styleId="QuestionNoBR">
    <w:name w:val="Question_No_BR"/>
    <w:basedOn w:val="Normal"/>
    <w:next w:val="Questiontitle"/>
    <w:link w:val="QuestionNoBRChar"/>
    <w:rsid w:val="00486DE1"/>
    <w:pPr>
      <w:keepNext/>
      <w:keepLines/>
      <w:spacing w:before="480"/>
      <w:jc w:val="center"/>
    </w:pPr>
    <w:rPr>
      <w:caps/>
      <w:sz w:val="28"/>
    </w:rPr>
  </w:style>
  <w:style w:type="paragraph" w:customStyle="1" w:styleId="Questiontitle">
    <w:name w:val="Question_title"/>
    <w:basedOn w:val="Normal"/>
    <w:next w:val="Normal"/>
    <w:link w:val="QuestiontitleChar"/>
    <w:rsid w:val="00486DE1"/>
    <w:pPr>
      <w:keepNext/>
      <w:keepLines/>
      <w:spacing w:before="360"/>
      <w:jc w:val="center"/>
    </w:pPr>
    <w:rPr>
      <w:rFonts w:ascii="Times New Roman Bold" w:hAnsi="Times New Roman Bold"/>
      <w:b/>
      <w:bCs/>
      <w:sz w:val="28"/>
      <w:szCs w:val="40"/>
    </w:rPr>
  </w:style>
  <w:style w:type="paragraph" w:customStyle="1" w:styleId="Questiondate">
    <w:name w:val="Question_date"/>
    <w:basedOn w:val="Normal"/>
    <w:next w:val="Normalaftertitle"/>
    <w:rsid w:val="00486DE1"/>
    <w:pPr>
      <w:keepNext/>
      <w:keepLines/>
      <w:tabs>
        <w:tab w:val="clear" w:pos="794"/>
        <w:tab w:val="clear" w:pos="1191"/>
        <w:tab w:val="clear" w:pos="1588"/>
        <w:tab w:val="clear" w:pos="1985"/>
      </w:tabs>
      <w:jc w:val="right"/>
    </w:pPr>
  </w:style>
  <w:style w:type="character" w:customStyle="1" w:styleId="CallChar">
    <w:name w:val="Call Char"/>
    <w:basedOn w:val="DefaultParagraphFont"/>
    <w:link w:val="Call"/>
    <w:rsid w:val="00486DE1"/>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486DE1"/>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486DE1"/>
    <w:rPr>
      <w:rFonts w:ascii="Times New Roman" w:eastAsia="PMingLiU" w:hAnsi="Times New Roman" w:cs="Traditional Arabic"/>
      <w:caps/>
      <w:sz w:val="28"/>
      <w:szCs w:val="30"/>
      <w:lang w:val="en-GB" w:eastAsia="en-US"/>
    </w:rPr>
  </w:style>
  <w:style w:type="paragraph" w:styleId="Header">
    <w:name w:val="header"/>
    <w:basedOn w:val="Normal"/>
    <w:link w:val="HeaderChar"/>
    <w:uiPriority w:val="99"/>
    <w:unhideWhenUsed/>
    <w:rsid w:val="00032360"/>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032360"/>
    <w:rPr>
      <w:rFonts w:ascii="Times New Roman" w:eastAsia="PMingLiU" w:hAnsi="Times New Roman" w:cs="Traditional Arabic"/>
      <w:szCs w:val="30"/>
      <w:lang w:val="en-GB" w:eastAsia="en-US"/>
    </w:rPr>
  </w:style>
  <w:style w:type="paragraph" w:styleId="Footer">
    <w:name w:val="footer"/>
    <w:basedOn w:val="Normal"/>
    <w:link w:val="FooterChar"/>
    <w:uiPriority w:val="99"/>
    <w:unhideWhenUsed/>
    <w:rsid w:val="00032360"/>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032360"/>
    <w:rPr>
      <w:rFonts w:ascii="Times New Roman" w:eastAsia="PMingLiU" w:hAnsi="Times New Roman" w:cs="Traditional Arabic"/>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1"/>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PMingLiU" w:hAnsi="Times New Roman" w:cs="Traditional Arabic"/>
      <w:szCs w:val="3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486DE1"/>
    <w:pPr>
      <w:spacing w:before="360"/>
    </w:pPr>
  </w:style>
  <w:style w:type="paragraph" w:customStyle="1" w:styleId="Call">
    <w:name w:val="Call"/>
    <w:basedOn w:val="Normal"/>
    <w:next w:val="Normal"/>
    <w:link w:val="CallChar"/>
    <w:qFormat/>
    <w:rsid w:val="00486DE1"/>
    <w:pPr>
      <w:keepNext/>
      <w:keepLines/>
      <w:spacing w:before="160"/>
      <w:ind w:left="794"/>
    </w:pPr>
    <w:rPr>
      <w:i/>
    </w:rPr>
  </w:style>
  <w:style w:type="paragraph" w:customStyle="1" w:styleId="QuestionNoBR">
    <w:name w:val="Question_No_BR"/>
    <w:basedOn w:val="Normal"/>
    <w:next w:val="Questiontitle"/>
    <w:link w:val="QuestionNoBRChar"/>
    <w:rsid w:val="00486DE1"/>
    <w:pPr>
      <w:keepNext/>
      <w:keepLines/>
      <w:spacing w:before="480"/>
      <w:jc w:val="center"/>
    </w:pPr>
    <w:rPr>
      <w:caps/>
      <w:sz w:val="28"/>
    </w:rPr>
  </w:style>
  <w:style w:type="paragraph" w:customStyle="1" w:styleId="Questiontitle">
    <w:name w:val="Question_title"/>
    <w:basedOn w:val="Normal"/>
    <w:next w:val="Normal"/>
    <w:link w:val="QuestiontitleChar"/>
    <w:rsid w:val="00486DE1"/>
    <w:pPr>
      <w:keepNext/>
      <w:keepLines/>
      <w:spacing w:before="360"/>
      <w:jc w:val="center"/>
    </w:pPr>
    <w:rPr>
      <w:rFonts w:ascii="Times New Roman Bold" w:hAnsi="Times New Roman Bold"/>
      <w:b/>
      <w:bCs/>
      <w:sz w:val="28"/>
      <w:szCs w:val="40"/>
    </w:rPr>
  </w:style>
  <w:style w:type="paragraph" w:customStyle="1" w:styleId="Questiondate">
    <w:name w:val="Question_date"/>
    <w:basedOn w:val="Normal"/>
    <w:next w:val="Normalaftertitle"/>
    <w:rsid w:val="00486DE1"/>
    <w:pPr>
      <w:keepNext/>
      <w:keepLines/>
      <w:tabs>
        <w:tab w:val="clear" w:pos="794"/>
        <w:tab w:val="clear" w:pos="1191"/>
        <w:tab w:val="clear" w:pos="1588"/>
        <w:tab w:val="clear" w:pos="1985"/>
      </w:tabs>
      <w:jc w:val="right"/>
    </w:pPr>
  </w:style>
  <w:style w:type="character" w:customStyle="1" w:styleId="CallChar">
    <w:name w:val="Call Char"/>
    <w:basedOn w:val="DefaultParagraphFont"/>
    <w:link w:val="Call"/>
    <w:rsid w:val="00486DE1"/>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486DE1"/>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486DE1"/>
    <w:rPr>
      <w:rFonts w:ascii="Times New Roman" w:eastAsia="PMingLiU" w:hAnsi="Times New Roman" w:cs="Traditional Arabic"/>
      <w:caps/>
      <w:sz w:val="28"/>
      <w:szCs w:val="30"/>
      <w:lang w:val="en-GB" w:eastAsia="en-US"/>
    </w:rPr>
  </w:style>
  <w:style w:type="paragraph" w:styleId="Header">
    <w:name w:val="header"/>
    <w:basedOn w:val="Normal"/>
    <w:link w:val="HeaderChar"/>
    <w:uiPriority w:val="99"/>
    <w:unhideWhenUsed/>
    <w:rsid w:val="00032360"/>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032360"/>
    <w:rPr>
      <w:rFonts w:ascii="Times New Roman" w:eastAsia="PMingLiU" w:hAnsi="Times New Roman" w:cs="Traditional Arabic"/>
      <w:szCs w:val="30"/>
      <w:lang w:val="en-GB" w:eastAsia="en-US"/>
    </w:rPr>
  </w:style>
  <w:style w:type="paragraph" w:styleId="Footer">
    <w:name w:val="footer"/>
    <w:basedOn w:val="Normal"/>
    <w:link w:val="FooterChar"/>
    <w:uiPriority w:val="99"/>
    <w:unhideWhenUsed/>
    <w:rsid w:val="00032360"/>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032360"/>
    <w:rPr>
      <w:rFonts w:ascii="Times New Roman" w:eastAsia="PMingLiU"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2012-03-01T14:07:00Z</dcterms:created>
  <dcterms:modified xsi:type="dcterms:W3CDTF">2012-03-01T14:08:00Z</dcterms:modified>
</cp:coreProperties>
</file>