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AA" w:rsidRDefault="00A561AA" w:rsidP="00427D11">
      <w:pPr>
        <w:pStyle w:val="Title1"/>
        <w:tabs>
          <w:tab w:val="clear" w:pos="567"/>
          <w:tab w:val="clear" w:pos="1134"/>
          <w:tab w:val="clear" w:pos="1701"/>
          <w:tab w:val="clear" w:pos="1871"/>
          <w:tab w:val="clear" w:pos="2268"/>
          <w:tab w:val="clear" w:pos="2835"/>
        </w:tabs>
        <w:rPr>
          <w:lang w:eastAsia="zh-CN"/>
        </w:rPr>
      </w:pPr>
      <w:bookmarkStart w:id="0" w:name="drec" w:colFirst="0" w:colLast="0"/>
      <w:bookmarkStart w:id="1" w:name="_GoBack"/>
      <w:bookmarkEnd w:id="1"/>
      <w:r w:rsidRPr="00D87BF6">
        <w:rPr>
          <w:lang w:eastAsia="fr-FR"/>
        </w:rPr>
        <w:t>OPINION ITU-R 92-</w:t>
      </w:r>
      <w:r w:rsidR="00427D11">
        <w:rPr>
          <w:lang w:eastAsia="fr-FR"/>
        </w:rPr>
        <w:t>2</w:t>
      </w:r>
      <w:r w:rsidRPr="00D87BF6">
        <w:rPr>
          <w:position w:val="6"/>
          <w:lang w:eastAsia="fr-FR"/>
        </w:rPr>
        <w:footnoteReference w:customMarkFollows="1" w:id="1"/>
        <w:t>*</w:t>
      </w:r>
    </w:p>
    <w:p w:rsidR="00A561AA" w:rsidRDefault="00A561AA" w:rsidP="000B5130">
      <w:pPr>
        <w:pStyle w:val="Title4"/>
        <w:tabs>
          <w:tab w:val="clear" w:pos="1134"/>
          <w:tab w:val="clear" w:pos="1871"/>
          <w:tab w:val="clear" w:pos="2268"/>
        </w:tabs>
        <w:rPr>
          <w:lang w:eastAsia="zh-CN"/>
        </w:rPr>
      </w:pPr>
      <w:bookmarkStart w:id="2" w:name="dtitle1" w:colFirst="0" w:colLast="0"/>
      <w:bookmarkEnd w:id="0"/>
      <w:r>
        <w:rPr>
          <w:lang w:eastAsia="ko-KR"/>
        </w:rPr>
        <w:t xml:space="preserve">Support and </w:t>
      </w:r>
      <w:r w:rsidRPr="00100DCF">
        <w:rPr>
          <w:lang w:eastAsia="ko-KR"/>
        </w:rPr>
        <w:t xml:space="preserve">harmonization </w:t>
      </w:r>
      <w:r>
        <w:rPr>
          <w:lang w:eastAsia="ko-KR"/>
        </w:rPr>
        <w:t xml:space="preserve">of </w:t>
      </w:r>
      <w:r>
        <w:t>International</w:t>
      </w:r>
      <w:r w:rsidR="000B5130">
        <w:t xml:space="preserve"> </w:t>
      </w:r>
      <w:r>
        <w:t>Mobile</w:t>
      </w:r>
      <w:r w:rsidR="000B5130">
        <w:br/>
      </w:r>
      <w:r>
        <w:t xml:space="preserve">Telecommunications </w:t>
      </w:r>
      <w:r>
        <w:rPr>
          <w:lang w:eastAsia="ko-KR"/>
        </w:rPr>
        <w:t>(</w:t>
      </w:r>
      <w:proofErr w:type="spellStart"/>
      <w:r>
        <w:rPr>
          <w:lang w:eastAsia="ko-KR"/>
        </w:rPr>
        <w:t>IMT</w:t>
      </w:r>
      <w:proofErr w:type="spellEnd"/>
      <w:r>
        <w:rPr>
          <w:lang w:eastAsia="ko-KR"/>
        </w:rPr>
        <w:t xml:space="preserve">) </w:t>
      </w:r>
      <w:r w:rsidR="00427D11" w:rsidRPr="002D7C9B">
        <w:rPr>
          <w:lang w:eastAsia="ko-KR"/>
        </w:rPr>
        <w:t>a</w:t>
      </w:r>
      <w:r w:rsidRPr="002D7C9B">
        <w:rPr>
          <w:lang w:eastAsia="ko-KR"/>
        </w:rPr>
        <w:t>ctivities</w:t>
      </w:r>
    </w:p>
    <w:p w:rsidR="00D456AA" w:rsidRPr="002D7C9B" w:rsidRDefault="00D456AA" w:rsidP="00D456AA">
      <w:pPr>
        <w:pStyle w:val="Recdate"/>
        <w:spacing w:before="240"/>
        <w:rPr>
          <w:rFonts w:eastAsia="Malgun Gothic"/>
          <w:lang w:eastAsia="ja-JP"/>
        </w:rPr>
      </w:pPr>
      <w:bookmarkStart w:id="3" w:name="dbreak"/>
      <w:bookmarkEnd w:id="2"/>
      <w:bookmarkEnd w:id="3"/>
      <w:r w:rsidRPr="002D7C9B">
        <w:rPr>
          <w:lang w:eastAsia="fr-FR"/>
        </w:rPr>
        <w:t>(1993-1997</w:t>
      </w:r>
      <w:r w:rsidR="00427D11">
        <w:rPr>
          <w:lang w:eastAsia="fr-FR"/>
        </w:rPr>
        <w:t>-2012</w:t>
      </w:r>
      <w:r w:rsidRPr="002D7C9B">
        <w:rPr>
          <w:lang w:eastAsia="fr-FR"/>
        </w:rPr>
        <w:t>)</w:t>
      </w:r>
    </w:p>
    <w:p w:rsidR="00D456AA" w:rsidRPr="002D7C9B" w:rsidRDefault="00D456AA" w:rsidP="00D456AA">
      <w:pPr>
        <w:spacing w:before="280"/>
        <w:rPr>
          <w:rFonts w:eastAsia="MS Mincho"/>
        </w:rPr>
      </w:pPr>
      <w:r w:rsidRPr="002D7C9B">
        <w:rPr>
          <w:rFonts w:eastAsia="MS Mincho"/>
        </w:rPr>
        <w:t>The ITU Radiocommunication Assembly,</w:t>
      </w:r>
    </w:p>
    <w:p w:rsidR="00D456AA" w:rsidRPr="002D7C9B" w:rsidRDefault="00D456AA" w:rsidP="00D456AA">
      <w:pPr>
        <w:pStyle w:val="Call"/>
        <w:rPr>
          <w:rFonts w:eastAsia="Malgun Gothic"/>
          <w:lang w:eastAsia="ja-JP"/>
        </w:rPr>
      </w:pPr>
      <w:proofErr w:type="gramStart"/>
      <w:r w:rsidRPr="002D7C9B">
        <w:rPr>
          <w:rFonts w:eastAsia="Batang"/>
          <w:lang w:eastAsia="fr-FR"/>
        </w:rPr>
        <w:t>considering</w:t>
      </w:r>
      <w:proofErr w:type="gramEnd"/>
    </w:p>
    <w:p w:rsidR="00D456AA" w:rsidRPr="002D7C9B" w:rsidRDefault="00D456AA" w:rsidP="00D456AA">
      <w:pPr>
        <w:rPr>
          <w:rFonts w:eastAsia="MS Mincho"/>
        </w:rPr>
      </w:pPr>
      <w:r w:rsidRPr="000B5130">
        <w:rPr>
          <w:rFonts w:eastAsia="MS Mincho"/>
          <w:i/>
          <w:iCs/>
        </w:rPr>
        <w:t>a)</w:t>
      </w:r>
      <w:r w:rsidRPr="002D7C9B">
        <w:rPr>
          <w:rFonts w:eastAsia="MS Mincho"/>
        </w:rPr>
        <w:tab/>
      </w:r>
      <w:proofErr w:type="gramStart"/>
      <w:r w:rsidRPr="002D7C9B">
        <w:rPr>
          <w:rFonts w:eastAsia="MS Mincho"/>
        </w:rPr>
        <w:t>that</w:t>
      </w:r>
      <w:proofErr w:type="gramEnd"/>
      <w:r w:rsidRPr="002D7C9B">
        <w:rPr>
          <w:rFonts w:eastAsia="MS Mincho"/>
        </w:rPr>
        <w:t xml:space="preserve"> the Radiocommunication Sector has a program on International Mobile Telecommunications (</w:t>
      </w:r>
      <w:proofErr w:type="spellStart"/>
      <w:r w:rsidRPr="002D7C9B">
        <w:rPr>
          <w:rFonts w:eastAsia="MS Mincho"/>
        </w:rPr>
        <w:t>IMT</w:t>
      </w:r>
      <w:proofErr w:type="spellEnd"/>
      <w:r w:rsidRPr="002D7C9B">
        <w:rPr>
          <w:rFonts w:eastAsia="MS Mincho"/>
        </w:rPr>
        <w:t xml:space="preserve">) which </w:t>
      </w:r>
      <w:r w:rsidRPr="002D7C9B">
        <w:rPr>
          <w:rFonts w:eastAsia="Malgun Gothic"/>
          <w:lang w:eastAsia="ko-KR"/>
        </w:rPr>
        <w:t>has</w:t>
      </w:r>
      <w:r w:rsidRPr="002D7C9B">
        <w:rPr>
          <w:rFonts w:eastAsia="MS Mincho"/>
        </w:rPr>
        <w:t xml:space="preserve"> enable</w:t>
      </w:r>
      <w:r w:rsidRPr="002D7C9B">
        <w:rPr>
          <w:rFonts w:eastAsia="Malgun Gothic"/>
          <w:lang w:eastAsia="ko-KR"/>
        </w:rPr>
        <w:t>d</w:t>
      </w:r>
      <w:r w:rsidRPr="002D7C9B">
        <w:rPr>
          <w:rFonts w:eastAsia="MS Mincho"/>
        </w:rPr>
        <w:t xml:space="preserve"> worldwide</w:t>
      </w:r>
      <w:r w:rsidRPr="002D7C9B">
        <w:rPr>
          <w:rFonts w:eastAsia="Malgun Gothic"/>
          <w:lang w:eastAsia="ko-KR"/>
        </w:rPr>
        <w:t xml:space="preserve"> roaming and</w:t>
      </w:r>
      <w:r w:rsidRPr="002D7C9B">
        <w:rPr>
          <w:rFonts w:eastAsia="MS Mincho"/>
        </w:rPr>
        <w:t xml:space="preserve"> compatibility;</w:t>
      </w:r>
    </w:p>
    <w:p w:rsidR="00D456AA" w:rsidRPr="002D7C9B" w:rsidRDefault="00D456AA" w:rsidP="00D456AA">
      <w:pPr>
        <w:rPr>
          <w:rFonts w:eastAsia="MS Mincho"/>
        </w:rPr>
      </w:pPr>
      <w:r w:rsidRPr="000B5130">
        <w:rPr>
          <w:rFonts w:eastAsia="MS Mincho"/>
          <w:i/>
          <w:iCs/>
        </w:rPr>
        <w:t>b)</w:t>
      </w:r>
      <w:r w:rsidRPr="002D7C9B">
        <w:rPr>
          <w:rFonts w:eastAsia="MS Mincho"/>
        </w:rPr>
        <w:tab/>
      </w:r>
      <w:proofErr w:type="gramStart"/>
      <w:r w:rsidRPr="002D7C9B">
        <w:rPr>
          <w:rFonts w:eastAsia="MS Mincho"/>
        </w:rPr>
        <w:t>that</w:t>
      </w:r>
      <w:proofErr w:type="gramEnd"/>
      <w:r w:rsidRPr="002D7C9B">
        <w:rPr>
          <w:rFonts w:eastAsia="MS Mincho"/>
        </w:rPr>
        <w:t xml:space="preserve"> major </w:t>
      </w:r>
      <w:r w:rsidRPr="002D7C9B">
        <w:rPr>
          <w:lang w:eastAsia="ko-KR"/>
        </w:rPr>
        <w:t>technology development and deployment</w:t>
      </w:r>
      <w:r w:rsidRPr="002D7C9B">
        <w:t xml:space="preserve"> </w:t>
      </w:r>
      <w:r w:rsidRPr="002D7C9B">
        <w:rPr>
          <w:rFonts w:eastAsia="MS Mincho"/>
        </w:rPr>
        <w:t>programs for future mobile communications</w:t>
      </w:r>
      <w:r w:rsidRPr="002D7C9B">
        <w:t>, mobile broadband access, and deployment of IMT systems</w:t>
      </w:r>
      <w:r w:rsidRPr="002D7C9B">
        <w:rPr>
          <w:rFonts w:eastAsia="MS Mincho"/>
        </w:rPr>
        <w:t xml:space="preserve"> within each </w:t>
      </w:r>
      <w:r w:rsidRPr="002D7C9B">
        <w:rPr>
          <w:rFonts w:eastAsia="Malgun Gothic"/>
          <w:lang w:eastAsia="ko-KR"/>
        </w:rPr>
        <w:t xml:space="preserve">ITU </w:t>
      </w:r>
      <w:r w:rsidRPr="002D7C9B">
        <w:rPr>
          <w:rFonts w:eastAsia="MS Mincho"/>
        </w:rPr>
        <w:t>Region are progressing rapidly</w:t>
      </w:r>
      <w:r w:rsidRPr="002D7C9B">
        <w:rPr>
          <w:lang w:eastAsia="ko-KR"/>
        </w:rPr>
        <w:t>, and that a number of National initiatives are emerging</w:t>
      </w:r>
      <w:r w:rsidRPr="002D7C9B">
        <w:rPr>
          <w:rFonts w:eastAsia="MS Mincho"/>
        </w:rPr>
        <w:t>;</w:t>
      </w:r>
    </w:p>
    <w:p w:rsidR="00D456AA" w:rsidRPr="002D7C9B" w:rsidRDefault="00D456AA" w:rsidP="00D456AA">
      <w:pPr>
        <w:rPr>
          <w:rFonts w:eastAsia="Malgun Gothic"/>
          <w:lang w:eastAsia="ko-KR"/>
        </w:rPr>
      </w:pPr>
      <w:r w:rsidRPr="000B5130">
        <w:rPr>
          <w:rFonts w:eastAsia="MS Mincho"/>
          <w:i/>
          <w:iCs/>
        </w:rPr>
        <w:t>c)</w:t>
      </w:r>
      <w:r w:rsidRPr="002D7C9B">
        <w:rPr>
          <w:rFonts w:eastAsia="MS Mincho"/>
        </w:rPr>
        <w:tab/>
      </w:r>
      <w:proofErr w:type="gramStart"/>
      <w:r w:rsidRPr="002D7C9B">
        <w:rPr>
          <w:rFonts w:eastAsia="MS Mincho"/>
        </w:rPr>
        <w:t>that</w:t>
      </w:r>
      <w:proofErr w:type="gramEnd"/>
      <w:r w:rsidRPr="002D7C9B">
        <w:rPr>
          <w:rFonts w:eastAsia="MS Mincho"/>
        </w:rPr>
        <w:t xml:space="preserve"> resources of budget, manpower, and planning expertise are available to these programs which substantially exceed those readily available to the Radiocommunication Sector;</w:t>
      </w:r>
    </w:p>
    <w:p w:rsidR="00D456AA" w:rsidRPr="002D7C9B" w:rsidRDefault="00D456AA" w:rsidP="00D456AA">
      <w:pPr>
        <w:rPr>
          <w:rFonts w:eastAsia="MS Mincho"/>
        </w:rPr>
      </w:pPr>
      <w:r w:rsidRPr="000B5130">
        <w:rPr>
          <w:rFonts w:eastAsia="MS Mincho"/>
          <w:i/>
          <w:iCs/>
        </w:rPr>
        <w:t>d)</w:t>
      </w:r>
      <w:r w:rsidRPr="002D7C9B">
        <w:rPr>
          <w:rFonts w:eastAsia="MS Mincho"/>
        </w:rPr>
        <w:tab/>
      </w:r>
      <w:proofErr w:type="gramStart"/>
      <w:r w:rsidRPr="002D7C9B">
        <w:rPr>
          <w:rFonts w:eastAsia="MS Mincho"/>
        </w:rPr>
        <w:t>that</w:t>
      </w:r>
      <w:proofErr w:type="gramEnd"/>
      <w:r w:rsidRPr="002D7C9B">
        <w:rPr>
          <w:rFonts w:eastAsia="MS Mincho"/>
        </w:rPr>
        <w:t>, without</w:t>
      </w:r>
      <w:r w:rsidRPr="002D7C9B">
        <w:rPr>
          <w:rFonts w:eastAsia="Malgun Gothic"/>
          <w:lang w:eastAsia="ko-KR"/>
        </w:rPr>
        <w:t xml:space="preserve"> continuing</w:t>
      </w:r>
      <w:r w:rsidRPr="002D7C9B">
        <w:rPr>
          <w:rFonts w:eastAsia="MS Mincho"/>
        </w:rPr>
        <w:t xml:space="preserve"> international </w:t>
      </w:r>
      <w:r w:rsidRPr="003A2091">
        <w:rPr>
          <w:rFonts w:eastAsia="MS Mincho"/>
        </w:rPr>
        <w:t>support and</w:t>
      </w:r>
      <w:r w:rsidRPr="002D7C9B">
        <w:rPr>
          <w:rFonts w:eastAsia="MS Mincho"/>
        </w:rPr>
        <w:t xml:space="preserve"> coordination, these programs would tend to diverge</w:t>
      </w:r>
      <w:r w:rsidRPr="002D7C9B">
        <w:rPr>
          <w:rFonts w:eastAsia="Malgun Gothic"/>
          <w:lang w:eastAsia="ko-KR"/>
        </w:rPr>
        <w:t xml:space="preserve"> </w:t>
      </w:r>
      <w:r w:rsidRPr="002D7C9B">
        <w:t xml:space="preserve">and </w:t>
      </w:r>
      <w:r w:rsidRPr="002D7C9B">
        <w:rPr>
          <w:lang w:eastAsia="ko-KR"/>
        </w:rPr>
        <w:t>the benefits already recognized by IMT would be diminished</w:t>
      </w:r>
      <w:r w:rsidRPr="002D7C9B">
        <w:rPr>
          <w:rFonts w:eastAsia="MS Mincho"/>
        </w:rPr>
        <w:t>;</w:t>
      </w:r>
    </w:p>
    <w:p w:rsidR="00D456AA" w:rsidRPr="002D7C9B" w:rsidRDefault="00D456AA" w:rsidP="00D456AA">
      <w:pPr>
        <w:rPr>
          <w:rFonts w:eastAsia="MS Mincho"/>
        </w:rPr>
      </w:pPr>
      <w:r w:rsidRPr="000B5130">
        <w:rPr>
          <w:rFonts w:eastAsia="MS Mincho"/>
          <w:i/>
          <w:iCs/>
        </w:rPr>
        <w:t>e)</w:t>
      </w:r>
      <w:r w:rsidRPr="002D7C9B">
        <w:rPr>
          <w:rFonts w:eastAsia="MS Mincho"/>
        </w:rPr>
        <w:tab/>
      </w:r>
      <w:proofErr w:type="gramStart"/>
      <w:r w:rsidRPr="002D7C9B">
        <w:rPr>
          <w:rFonts w:eastAsia="MS Mincho"/>
        </w:rPr>
        <w:t>that</w:t>
      </w:r>
      <w:proofErr w:type="gramEnd"/>
      <w:r w:rsidRPr="002D7C9B">
        <w:rPr>
          <w:rFonts w:eastAsia="MS Mincho"/>
        </w:rPr>
        <w:t xml:space="preserve"> international standards for </w:t>
      </w:r>
      <w:proofErr w:type="spellStart"/>
      <w:r w:rsidRPr="002D7C9B">
        <w:rPr>
          <w:rFonts w:eastAsia="MS Mincho"/>
        </w:rPr>
        <w:t>IMT</w:t>
      </w:r>
      <w:proofErr w:type="spellEnd"/>
      <w:r w:rsidRPr="002D7C9B">
        <w:rPr>
          <w:rFonts w:eastAsia="MS Mincho"/>
        </w:rPr>
        <w:t xml:space="preserve"> will be </w:t>
      </w:r>
      <w:r w:rsidRPr="002D7C9B">
        <w:rPr>
          <w:rFonts w:eastAsia="Malgun Gothic"/>
          <w:lang w:eastAsia="ko-KR"/>
        </w:rPr>
        <w:t xml:space="preserve">less </w:t>
      </w:r>
      <w:r w:rsidRPr="002D7C9B">
        <w:rPr>
          <w:rFonts w:eastAsia="MS Mincho"/>
        </w:rPr>
        <w:t xml:space="preserve">effective unless these  programs are </w:t>
      </w:r>
      <w:r w:rsidRPr="003A2091">
        <w:rPr>
          <w:rFonts w:eastAsia="MS Mincho"/>
        </w:rPr>
        <w:t>supported and</w:t>
      </w:r>
      <w:r>
        <w:rPr>
          <w:rFonts w:eastAsia="Malgun Gothic" w:hint="eastAsia"/>
          <w:lang w:eastAsia="ko-KR"/>
        </w:rPr>
        <w:t xml:space="preserve"> </w:t>
      </w:r>
      <w:r w:rsidRPr="002D7C9B">
        <w:rPr>
          <w:rFonts w:eastAsia="MS Mincho"/>
        </w:rPr>
        <w:t>coordinated;</w:t>
      </w:r>
    </w:p>
    <w:p w:rsidR="00D456AA" w:rsidRPr="003A2091" w:rsidRDefault="00D456AA" w:rsidP="00D456AA">
      <w:pPr>
        <w:rPr>
          <w:rFonts w:eastAsia="Malgun Gothic"/>
          <w:lang w:eastAsia="ko-KR"/>
        </w:rPr>
      </w:pPr>
      <w:r w:rsidRPr="000B5130">
        <w:rPr>
          <w:rFonts w:hint="eastAsia"/>
          <w:i/>
          <w:iCs/>
          <w:lang w:eastAsia="ko-KR"/>
        </w:rPr>
        <w:t>f</w:t>
      </w:r>
      <w:r w:rsidRPr="000B5130">
        <w:rPr>
          <w:i/>
          <w:iCs/>
          <w:lang w:eastAsia="ko-KR"/>
        </w:rPr>
        <w:t>)</w:t>
      </w:r>
      <w:r w:rsidRPr="002D7C9B">
        <w:rPr>
          <w:lang w:eastAsia="ko-KR"/>
        </w:rPr>
        <w:tab/>
      </w:r>
      <w:proofErr w:type="gramStart"/>
      <w:r w:rsidRPr="002D7C9B">
        <w:rPr>
          <w:lang w:eastAsia="ko-KR"/>
        </w:rPr>
        <w:t>that</w:t>
      </w:r>
      <w:proofErr w:type="gramEnd"/>
      <w:r w:rsidRPr="002D7C9B">
        <w:rPr>
          <w:lang w:eastAsia="ko-KR"/>
        </w:rPr>
        <w:t xml:space="preserve"> the coordination of activities </w:t>
      </w:r>
      <w:r w:rsidRPr="002D7C9B">
        <w:rPr>
          <w:rFonts w:hint="eastAsia"/>
          <w:lang w:eastAsia="ko-KR"/>
        </w:rPr>
        <w:t>and the harmonization provided by IMT</w:t>
      </w:r>
      <w:r w:rsidRPr="002D7C9B">
        <w:rPr>
          <w:lang w:eastAsia="ko-KR"/>
        </w:rPr>
        <w:t xml:space="preserve"> ha</w:t>
      </w:r>
      <w:r w:rsidRPr="002D7C9B">
        <w:rPr>
          <w:rFonts w:hint="eastAsia"/>
          <w:lang w:eastAsia="ko-KR"/>
        </w:rPr>
        <w:t>ve</w:t>
      </w:r>
      <w:r w:rsidRPr="002D7C9B">
        <w:rPr>
          <w:lang w:eastAsia="ko-KR"/>
        </w:rPr>
        <w:t xml:space="preserve"> already proven to be effective in promoting the expansion of global communications</w:t>
      </w:r>
      <w:r w:rsidRPr="002D7C9B">
        <w:rPr>
          <w:iCs/>
          <w:lang w:eastAsia="ko-KR"/>
        </w:rPr>
        <w:t>;</w:t>
      </w:r>
    </w:p>
    <w:p w:rsidR="00D456AA" w:rsidRPr="00D87BF6" w:rsidRDefault="00D456AA" w:rsidP="00D456AA">
      <w:pPr>
        <w:rPr>
          <w:rFonts w:eastAsia="MS Mincho"/>
        </w:rPr>
      </w:pPr>
      <w:r w:rsidRPr="000B5130">
        <w:rPr>
          <w:rFonts w:eastAsia="Malgun Gothic"/>
          <w:i/>
          <w:iCs/>
          <w:lang w:eastAsia="ko-KR"/>
        </w:rPr>
        <w:t>g</w:t>
      </w:r>
      <w:r w:rsidRPr="000B5130">
        <w:rPr>
          <w:rFonts w:eastAsia="MS Mincho"/>
          <w:i/>
          <w:iCs/>
        </w:rPr>
        <w:t>)</w:t>
      </w:r>
      <w:r w:rsidRPr="002D7C9B">
        <w:rPr>
          <w:rFonts w:eastAsia="MS Mincho"/>
        </w:rPr>
        <w:tab/>
      </w:r>
      <w:proofErr w:type="gramStart"/>
      <w:r w:rsidRPr="002D7C9B">
        <w:rPr>
          <w:rFonts w:eastAsia="MS Mincho"/>
        </w:rPr>
        <w:t>that</w:t>
      </w:r>
      <w:proofErr w:type="gramEnd"/>
      <w:r w:rsidRPr="002D7C9B">
        <w:rPr>
          <w:rFonts w:eastAsia="MS Mincho"/>
        </w:rPr>
        <w:t xml:space="preserve"> the production of ITU-R Recommendations on </w:t>
      </w:r>
      <w:proofErr w:type="spellStart"/>
      <w:r w:rsidRPr="002D7C9B">
        <w:rPr>
          <w:rFonts w:eastAsia="MS Mincho"/>
        </w:rPr>
        <w:t>IMT</w:t>
      </w:r>
      <w:proofErr w:type="spellEnd"/>
      <w:r w:rsidRPr="002D7C9B">
        <w:rPr>
          <w:rFonts w:eastAsia="MS Mincho"/>
        </w:rPr>
        <w:t xml:space="preserve"> </w:t>
      </w:r>
      <w:r w:rsidRPr="002D7C9B">
        <w:rPr>
          <w:rFonts w:eastAsia="Malgun Gothic"/>
          <w:lang w:eastAsia="ko-KR"/>
        </w:rPr>
        <w:t>continue to</w:t>
      </w:r>
      <w:r w:rsidRPr="002D7C9B">
        <w:rPr>
          <w:rFonts w:eastAsia="MS Mincho"/>
        </w:rPr>
        <w:t xml:space="preserve"> be an important step in achieving this </w:t>
      </w:r>
      <w:r w:rsidRPr="002D7C9B">
        <w:rPr>
          <w:rFonts w:eastAsia="Malgun Gothic"/>
          <w:lang w:eastAsia="ko-KR"/>
        </w:rPr>
        <w:t xml:space="preserve">global </w:t>
      </w:r>
      <w:r w:rsidRPr="002D7C9B">
        <w:rPr>
          <w:rFonts w:eastAsia="MS Mincho"/>
        </w:rPr>
        <w:t>harmonization,</w:t>
      </w:r>
    </w:p>
    <w:p w:rsidR="00D456AA" w:rsidRPr="00D87BF6" w:rsidRDefault="00D456AA" w:rsidP="00D456AA">
      <w:pPr>
        <w:pStyle w:val="Call"/>
        <w:rPr>
          <w:rFonts w:eastAsia="Malgun Gothic"/>
          <w:lang w:eastAsia="ja-JP"/>
        </w:rPr>
      </w:pPr>
      <w:proofErr w:type="gramStart"/>
      <w:r w:rsidRPr="00D87BF6">
        <w:rPr>
          <w:rFonts w:eastAsia="Batang"/>
          <w:lang w:eastAsia="fr-FR"/>
        </w:rPr>
        <w:t>is</w:t>
      </w:r>
      <w:proofErr w:type="gramEnd"/>
      <w:r w:rsidRPr="00D87BF6">
        <w:rPr>
          <w:rFonts w:eastAsia="Batang"/>
          <w:lang w:eastAsia="fr-FR"/>
        </w:rPr>
        <w:t xml:space="preserve"> of the opinion</w:t>
      </w:r>
    </w:p>
    <w:p w:rsidR="00D456AA" w:rsidRDefault="00D456AA" w:rsidP="00D456AA">
      <w:pPr>
        <w:rPr>
          <w:rFonts w:eastAsia="MS Mincho"/>
        </w:rPr>
      </w:pPr>
      <w:r w:rsidRPr="00427D11">
        <w:rPr>
          <w:rFonts w:eastAsia="MS Mincho"/>
          <w:bCs/>
        </w:rPr>
        <w:t>1</w:t>
      </w:r>
      <w:r w:rsidRPr="00D87BF6">
        <w:rPr>
          <w:rFonts w:eastAsia="MS Mincho"/>
        </w:rPr>
        <w:tab/>
        <w:t xml:space="preserve">that the ITU, as a matter of policy, should make every effort to persuade regional bodies, national authorities and other appropriate </w:t>
      </w:r>
      <w:r>
        <w:t xml:space="preserve">organisations and </w:t>
      </w:r>
      <w:r w:rsidRPr="00D87BF6">
        <w:rPr>
          <w:rFonts w:eastAsia="MS Mincho"/>
        </w:rPr>
        <w:t>entities to</w:t>
      </w:r>
      <w:r>
        <w:rPr>
          <w:rFonts w:eastAsia="Malgun Gothic"/>
          <w:lang w:eastAsia="ko-KR"/>
        </w:rPr>
        <w:t xml:space="preserve"> continue </w:t>
      </w:r>
      <w:r w:rsidRPr="00D87BF6">
        <w:rPr>
          <w:rFonts w:eastAsia="MS Mincho"/>
        </w:rPr>
        <w:t xml:space="preserve">support </w:t>
      </w:r>
      <w:r>
        <w:rPr>
          <w:rFonts w:eastAsia="Malgun Gothic"/>
          <w:lang w:eastAsia="ko-KR"/>
        </w:rPr>
        <w:t xml:space="preserve">of </w:t>
      </w:r>
      <w:r w:rsidRPr="00D87BF6">
        <w:rPr>
          <w:rFonts w:eastAsia="MS Mincho"/>
        </w:rPr>
        <w:t xml:space="preserve">the Radiocommunication Sector in an explicit manner in </w:t>
      </w:r>
      <w:r>
        <w:t xml:space="preserve">the on-going evolution of IMT and </w:t>
      </w:r>
      <w:r w:rsidRPr="00D87BF6">
        <w:rPr>
          <w:rFonts w:eastAsia="MS Mincho"/>
        </w:rPr>
        <w:t xml:space="preserve">its development of Recommendations on </w:t>
      </w:r>
      <w:proofErr w:type="spellStart"/>
      <w:r w:rsidRPr="00D87BF6">
        <w:rPr>
          <w:rFonts w:eastAsia="MS Mincho"/>
        </w:rPr>
        <w:t>IMT</w:t>
      </w:r>
      <w:proofErr w:type="spellEnd"/>
      <w:r>
        <w:rPr>
          <w:rFonts w:eastAsia="Malgun Gothic" w:hint="eastAsia"/>
          <w:lang w:eastAsia="ko-KR"/>
        </w:rPr>
        <w:t>,</w:t>
      </w:r>
      <w:r w:rsidRPr="00D87BF6">
        <w:rPr>
          <w:rFonts w:eastAsia="MS Mincho"/>
        </w:rPr>
        <w:t xml:space="preserve"> and strongly encourage regional organizations to work together towards </w:t>
      </w:r>
      <w:r>
        <w:rPr>
          <w:rFonts w:eastAsia="Malgun Gothic"/>
          <w:lang w:eastAsia="ko-KR"/>
        </w:rPr>
        <w:t xml:space="preserve">common </w:t>
      </w:r>
      <w:r w:rsidRPr="00D87BF6">
        <w:rPr>
          <w:rFonts w:eastAsia="MS Mincho"/>
        </w:rPr>
        <w:t xml:space="preserve">worldwide </w:t>
      </w:r>
      <w:r>
        <w:t xml:space="preserve">recognized family of </w:t>
      </w:r>
      <w:r w:rsidRPr="00D87BF6">
        <w:rPr>
          <w:rFonts w:eastAsia="MS Mincho"/>
        </w:rPr>
        <w:t>standard</w:t>
      </w:r>
      <w:r>
        <w:rPr>
          <w:rFonts w:eastAsia="Malgun Gothic"/>
          <w:lang w:eastAsia="ko-KR"/>
        </w:rPr>
        <w:t>s</w:t>
      </w:r>
      <w:r w:rsidRPr="00D87BF6">
        <w:rPr>
          <w:rFonts w:eastAsia="MS Mincho"/>
        </w:rPr>
        <w:t>.</w:t>
      </w:r>
    </w:p>
    <w:p w:rsidR="00D456AA" w:rsidRPr="00D87BF6" w:rsidRDefault="00D456AA" w:rsidP="00D456AA">
      <w:pPr>
        <w:rPr>
          <w:rFonts w:eastAsia="MS Mincho"/>
        </w:rPr>
      </w:pPr>
    </w:p>
    <w:sectPr w:rsidR="00D456AA" w:rsidRPr="00D87BF6" w:rsidSect="00D02712">
      <w:headerReference w:type="default" r:id="rId7"/>
      <w:footerReference w:type="default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1E" w:rsidRDefault="008E081E">
      <w:r>
        <w:separator/>
      </w:r>
    </w:p>
  </w:endnote>
  <w:endnote w:type="continuationSeparator" w:id="0">
    <w:p w:rsidR="008E081E" w:rsidRDefault="008E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1E" w:rsidRPr="00D456AA" w:rsidRDefault="000B5130" w:rsidP="00D456AA">
    <w:pPr>
      <w:pStyle w:val="Footer"/>
      <w:rPr>
        <w:lang w:val="en-US"/>
      </w:rPr>
    </w:pPr>
    <w:fldSimple w:instr=" FILENAME  \p  \* MERGEFORMAT ">
      <w:r>
        <w:t>X:\SG\C&amp;P\Registre\UIT-R\BRSGD\SG5\Opinion 92-2CLEANe.docx</w:t>
      </w:r>
    </w:fldSimple>
    <w:r w:rsidR="008E081E">
      <w:tab/>
    </w:r>
    <w:r w:rsidR="008E081E" w:rsidRPr="00D456AA">
      <w:rPr>
        <w:lang w:val="en-US"/>
      </w:rPr>
      <w:t>21.10.11</w:t>
    </w:r>
    <w:r w:rsidR="008E081E">
      <w:rPr>
        <w:lang w:val="en-US"/>
      </w:rPr>
      <w:tab/>
    </w:r>
    <w:r w:rsidR="008E081E" w:rsidRPr="00D456AA">
      <w:rPr>
        <w:lang w:val="en-US"/>
      </w:rPr>
      <w:t>21.10.11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1E" w:rsidRDefault="008E081E">
      <w:r>
        <w:t>____________________</w:t>
      </w:r>
    </w:p>
  </w:footnote>
  <w:footnote w:type="continuationSeparator" w:id="0">
    <w:p w:rsidR="008E081E" w:rsidRDefault="008E081E">
      <w:r>
        <w:continuationSeparator/>
      </w:r>
    </w:p>
  </w:footnote>
  <w:footnote w:id="1">
    <w:p w:rsidR="00A561AA" w:rsidRDefault="00A561AA" w:rsidP="00D456AA">
      <w:pPr>
        <w:pStyle w:val="FootnoteText"/>
      </w:pPr>
      <w:r>
        <w:rPr>
          <w:rStyle w:val="FootnoteReference"/>
        </w:rPr>
        <w:t>*</w:t>
      </w:r>
      <w:r>
        <w:tab/>
      </w:r>
      <w:r w:rsidRPr="005D1FDC">
        <w:rPr>
          <w:szCs w:val="24"/>
        </w:rPr>
        <w:t>This Opinion should be brought to the attention of the Telecommunication Standardization Sector.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1E" w:rsidRDefault="008E081E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7D1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081E" w:rsidRDefault="008E081E">
    <w:pPr>
      <w:pStyle w:val="Header"/>
      <w:rPr>
        <w:lang w:val="en-US"/>
      </w:rPr>
    </w:pPr>
    <w:r>
      <w:rPr>
        <w:lang w:val="en-US"/>
      </w:rPr>
      <w:t>5/282-E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3B"/>
    <w:rsid w:val="000069D4"/>
    <w:rsid w:val="000174AD"/>
    <w:rsid w:val="000A7D55"/>
    <w:rsid w:val="000B5130"/>
    <w:rsid w:val="000C2E8E"/>
    <w:rsid w:val="000E0E7C"/>
    <w:rsid w:val="000F1B4B"/>
    <w:rsid w:val="0012744F"/>
    <w:rsid w:val="00156F66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315546"/>
    <w:rsid w:val="00330567"/>
    <w:rsid w:val="00386A9D"/>
    <w:rsid w:val="00391081"/>
    <w:rsid w:val="003B2789"/>
    <w:rsid w:val="003B533B"/>
    <w:rsid w:val="003C13CE"/>
    <w:rsid w:val="003E2518"/>
    <w:rsid w:val="00427D11"/>
    <w:rsid w:val="004B1EF7"/>
    <w:rsid w:val="004B3FAD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661A3B"/>
    <w:rsid w:val="00822581"/>
    <w:rsid w:val="008309DD"/>
    <w:rsid w:val="0083227A"/>
    <w:rsid w:val="00866900"/>
    <w:rsid w:val="00881BA1"/>
    <w:rsid w:val="008B2280"/>
    <w:rsid w:val="008C26B8"/>
    <w:rsid w:val="008E081E"/>
    <w:rsid w:val="00982084"/>
    <w:rsid w:val="00995963"/>
    <w:rsid w:val="009B61EB"/>
    <w:rsid w:val="009C2064"/>
    <w:rsid w:val="009D1697"/>
    <w:rsid w:val="00A014F8"/>
    <w:rsid w:val="00A5173C"/>
    <w:rsid w:val="00A561AA"/>
    <w:rsid w:val="00A61AEF"/>
    <w:rsid w:val="00AF173A"/>
    <w:rsid w:val="00B066A4"/>
    <w:rsid w:val="00B07A13"/>
    <w:rsid w:val="00B4279B"/>
    <w:rsid w:val="00B45FC9"/>
    <w:rsid w:val="00BC7CCF"/>
    <w:rsid w:val="00BE470B"/>
    <w:rsid w:val="00C57A91"/>
    <w:rsid w:val="00CC01C2"/>
    <w:rsid w:val="00CF21F2"/>
    <w:rsid w:val="00D02712"/>
    <w:rsid w:val="00D214D0"/>
    <w:rsid w:val="00D456AA"/>
    <w:rsid w:val="00D6546B"/>
    <w:rsid w:val="00DD4BED"/>
    <w:rsid w:val="00DE39F0"/>
    <w:rsid w:val="00DF0AF3"/>
    <w:rsid w:val="00E27D7E"/>
    <w:rsid w:val="00E42E13"/>
    <w:rsid w:val="00E6257C"/>
    <w:rsid w:val="00E63C59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3,Style 124,fr,o,Style 3,FR,Style 17,Appel note de bas de p + 11 pt,Italic,Footnote,Appel note de bas de p1,Appel note de bas de p2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CallChar">
    <w:name w:val="Call Char"/>
    <w:link w:val="Call"/>
    <w:locked/>
    <w:rsid w:val="00D456AA"/>
    <w:rPr>
      <w:rFonts w:ascii="Times New Roman" w:hAnsi="Times New Roman"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456AA"/>
    <w:pPr>
      <w:ind w:left="720"/>
      <w:contextualSpacing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456AA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A561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1A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3,Style 124,fr,o,Style 3,FR,Style 17,Appel note de bas de p + 11 pt,Italic,Footnote,Appel note de bas de p1,Appel note de bas de p2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CallChar">
    <w:name w:val="Call Char"/>
    <w:link w:val="Call"/>
    <w:locked/>
    <w:rsid w:val="00D456AA"/>
    <w:rPr>
      <w:rFonts w:ascii="Times New Roman" w:hAnsi="Times New Roman"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456AA"/>
    <w:pPr>
      <w:ind w:left="720"/>
      <w:contextualSpacing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456AA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A561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1A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252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detraz</dc:creator>
  <cp:keywords/>
  <dc:description/>
  <cp:lastModifiedBy>mostyn</cp:lastModifiedBy>
  <cp:revision>4</cp:revision>
  <cp:lastPrinted>2012-04-04T14:20:00Z</cp:lastPrinted>
  <dcterms:created xsi:type="dcterms:W3CDTF">2012-04-04T14:20:00Z</dcterms:created>
  <dcterms:modified xsi:type="dcterms:W3CDTF">2012-04-17T14:43:00Z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