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9D" w:rsidRPr="00431C4B" w:rsidRDefault="00F959EF" w:rsidP="00B82D68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0"/>
      </w:pPr>
      <w:bookmarkStart w:id="0" w:name="_GoBack"/>
      <w:bookmarkEnd w:id="0"/>
      <w:r w:rsidRPr="00431C4B">
        <w:t xml:space="preserve">Ruego </w:t>
      </w:r>
      <w:proofErr w:type="spellStart"/>
      <w:r w:rsidRPr="00431C4B">
        <w:t>UIT</w:t>
      </w:r>
      <w:proofErr w:type="spellEnd"/>
      <w:r w:rsidRPr="00431C4B">
        <w:t xml:space="preserve">-R </w:t>
      </w:r>
      <w:r w:rsidR="009D0C9D" w:rsidRPr="00431C4B">
        <w:t>100</w:t>
      </w:r>
    </w:p>
    <w:p w:rsidR="009D0C9D" w:rsidRPr="00431C4B" w:rsidRDefault="009D0C9D" w:rsidP="00B82D68">
      <w:pPr>
        <w:pStyle w:val="Questiontitle"/>
      </w:pPr>
      <w:r w:rsidRPr="00431C4B">
        <w:t xml:space="preserve">Consideraciones de compatibilidad relativas a la utilización de las frecuencias </w:t>
      </w:r>
      <w:r w:rsidR="00343A8E" w:rsidRPr="00431C4B">
        <w:t>radioeléctricas</w:t>
      </w:r>
      <w:r w:rsidRPr="00431C4B">
        <w:t xml:space="preserve"> para fines no contemplados en el </w:t>
      </w:r>
      <w:r w:rsidR="00343A8E" w:rsidRPr="00431C4B">
        <w:t>Reglamento</w:t>
      </w:r>
      <w:r w:rsidR="004A635F" w:rsidRPr="00431C4B">
        <w:t xml:space="preserve"> </w:t>
      </w:r>
      <w:r w:rsidRPr="00431C4B">
        <w:t xml:space="preserve">de </w:t>
      </w:r>
      <w:r w:rsidR="00343A8E" w:rsidRPr="00431C4B">
        <w:t>Radiocomunicaciones</w:t>
      </w:r>
      <w:r w:rsidR="004A635F" w:rsidRPr="00431C4B">
        <w:t xml:space="preserve"> </w:t>
      </w:r>
      <w:r w:rsidRPr="00431C4B">
        <w:t xml:space="preserve">o en otras </w:t>
      </w:r>
      <w:r w:rsidR="00343A8E" w:rsidRPr="00431C4B">
        <w:t>publicaciones</w:t>
      </w:r>
      <w:r w:rsidRPr="00431C4B">
        <w:t xml:space="preserve"> de la </w:t>
      </w:r>
      <w:proofErr w:type="spellStart"/>
      <w:r w:rsidRPr="00431C4B">
        <w:t>UIT</w:t>
      </w:r>
      <w:proofErr w:type="spellEnd"/>
      <w:r w:rsidRPr="00431C4B">
        <w:t xml:space="preserve"> pertinentes</w:t>
      </w:r>
    </w:p>
    <w:p w:rsidR="004E639D" w:rsidRPr="00431C4B" w:rsidRDefault="004E639D" w:rsidP="00F959EF">
      <w:pPr>
        <w:pStyle w:val="Recdate"/>
        <w:tabs>
          <w:tab w:val="left" w:pos="1134"/>
          <w:tab w:val="left" w:pos="1871"/>
          <w:tab w:val="left" w:pos="2268"/>
        </w:tabs>
        <w:rPr>
          <w:i/>
        </w:rPr>
      </w:pPr>
      <w:r w:rsidRPr="00431C4B">
        <w:t>(2012)</w:t>
      </w:r>
    </w:p>
    <w:p w:rsidR="009D0C9D" w:rsidRDefault="009D0C9D" w:rsidP="004A635F">
      <w:pPr>
        <w:pStyle w:val="Normalaftertitle"/>
      </w:pPr>
      <w:r>
        <w:t xml:space="preserve">La </w:t>
      </w:r>
      <w:r w:rsidR="007810B2">
        <w:t xml:space="preserve">Comisión </w:t>
      </w:r>
      <w:r>
        <w:t xml:space="preserve">de </w:t>
      </w:r>
      <w:r w:rsidR="007810B2">
        <w:t xml:space="preserve">Estudio </w:t>
      </w:r>
      <w:r>
        <w:t xml:space="preserve">1 de Radiocomunicaciones de la </w:t>
      </w:r>
      <w:proofErr w:type="spellStart"/>
      <w:r w:rsidR="00343A8E">
        <w:t>UIT</w:t>
      </w:r>
      <w:proofErr w:type="spellEnd"/>
      <w:r>
        <w:t>,</w:t>
      </w:r>
    </w:p>
    <w:p w:rsidR="009D0C9D" w:rsidRDefault="004A635F" w:rsidP="004A635F">
      <w:pPr>
        <w:pStyle w:val="Call"/>
      </w:pPr>
      <w:proofErr w:type="gramStart"/>
      <w:r>
        <w:t>considerando</w:t>
      </w:r>
      <w:proofErr w:type="gramEnd"/>
    </w:p>
    <w:p w:rsidR="009D0C9D" w:rsidRDefault="009D0C9D" w:rsidP="00907404">
      <w:r w:rsidRPr="00A83ACA">
        <w:rPr>
          <w:i/>
          <w:iCs/>
        </w:rPr>
        <w:t>a)</w:t>
      </w:r>
      <w:r>
        <w:tab/>
        <w:t xml:space="preserve">que los objetivos de </w:t>
      </w:r>
      <w:r w:rsidR="007810B2">
        <w:t>la Unión establecidos en el Artí</w:t>
      </w:r>
      <w:r>
        <w:t xml:space="preserve">culo 1 de la </w:t>
      </w:r>
      <w:r w:rsidR="00343A8E">
        <w:t>Constitución</w:t>
      </w:r>
      <w:r>
        <w:t xml:space="preserve"> de la </w:t>
      </w:r>
      <w:proofErr w:type="spellStart"/>
      <w:r>
        <w:t>UIT</w:t>
      </w:r>
      <w:proofErr w:type="spellEnd"/>
      <w:r>
        <w:t xml:space="preserve"> </w:t>
      </w:r>
      <w:r w:rsidR="00343A8E">
        <w:t>prevén</w:t>
      </w:r>
      <w:r>
        <w:t xml:space="preserve"> la adopción de un </w:t>
      </w:r>
      <w:r w:rsidR="00343A8E">
        <w:t>enfoque</w:t>
      </w:r>
      <w:r>
        <w:t xml:space="preserve"> </w:t>
      </w:r>
      <w:r w:rsidR="007810B2">
        <w:t>más</w:t>
      </w:r>
      <w:r>
        <w:t xml:space="preserve"> amplio de las cuestiones de las telecomunicaciones, a causa de la </w:t>
      </w:r>
      <w:r w:rsidR="00343A8E">
        <w:t>universalización</w:t>
      </w:r>
      <w:r>
        <w:t xml:space="preserve"> de la </w:t>
      </w:r>
      <w:r w:rsidR="00343A8E">
        <w:t>economía</w:t>
      </w:r>
      <w:r>
        <w:t xml:space="preserve"> y la sociedad de la </w:t>
      </w:r>
      <w:r w:rsidR="00343A8E">
        <w:t>información</w:t>
      </w:r>
      <w:r>
        <w:t xml:space="preserve">, cooperando a tal fin con otras organizaciones mundiales y regionales y con las organizaciones no gubernamentales interesadas en las telecomunicaciones de manera que puedan satisfacerse las necesidades de la </w:t>
      </w:r>
      <w:r w:rsidR="00343A8E">
        <w:t>revolución</w:t>
      </w:r>
      <w:r>
        <w:t xml:space="preserve"> de la </w:t>
      </w:r>
      <w:r w:rsidR="00343A8E">
        <w:t>información</w:t>
      </w:r>
      <w:r>
        <w:t>;</w:t>
      </w:r>
    </w:p>
    <w:p w:rsidR="009D0C9D" w:rsidRDefault="009D0C9D" w:rsidP="009D0C9D">
      <w:r w:rsidRPr="00A83ACA">
        <w:rPr>
          <w:i/>
          <w:iCs/>
        </w:rPr>
        <w:t>b)</w:t>
      </w:r>
      <w:r>
        <w:tab/>
        <w:t>que el continuo crecimiento en la demanda de</w:t>
      </w:r>
      <w:r w:rsidR="00907404">
        <w:t xml:space="preserve"> servicios de</w:t>
      </w:r>
      <w:r>
        <w:t xml:space="preserve"> telecomunicaciones ha dado como </w:t>
      </w:r>
      <w:r w:rsidR="00343A8E">
        <w:t>resultado</w:t>
      </w:r>
      <w:r>
        <w:t xml:space="preserve"> que aparezcan en el mercado productos que dependen del empleo de las frecuencias </w:t>
      </w:r>
      <w:r w:rsidR="00343A8E">
        <w:t>radioeléctricas</w:t>
      </w:r>
      <w:r>
        <w:t xml:space="preserve"> para proporcionar comunicaciones por trayectos cableados e </w:t>
      </w:r>
      <w:r w:rsidR="00343A8E">
        <w:t>inalámbricos</w:t>
      </w:r>
      <w:r>
        <w:t xml:space="preserve"> que pueden afectar a los servicios de radiocomunicaciones que funcionan en sus bandas atribuidas;</w:t>
      </w:r>
    </w:p>
    <w:p w:rsidR="009D0C9D" w:rsidRDefault="009D0C9D" w:rsidP="009A43E0">
      <w:r w:rsidRPr="00A83ACA">
        <w:rPr>
          <w:i/>
          <w:iCs/>
        </w:rPr>
        <w:t>c)</w:t>
      </w:r>
      <w:r>
        <w:tab/>
        <w:t xml:space="preserve">que la </w:t>
      </w:r>
      <w:r w:rsidR="00343A8E">
        <w:t>protección</w:t>
      </w:r>
      <w:r>
        <w:t xml:space="preserve"> de las servicios de radiocomunicaciones es una obligación internacional que cae dentro de las competencias de la </w:t>
      </w:r>
      <w:proofErr w:type="spellStart"/>
      <w:r>
        <w:t>UIT</w:t>
      </w:r>
      <w:proofErr w:type="spellEnd"/>
      <w:r>
        <w:t xml:space="preserve"> y que la propia Unión ha </w:t>
      </w:r>
      <w:r w:rsidR="00343A8E">
        <w:t>establecido</w:t>
      </w:r>
      <w:r>
        <w:t xml:space="preserve"> reglas, normas y orientaciones </w:t>
      </w:r>
      <w:r w:rsidR="009A43E0">
        <w:t>a fin de</w:t>
      </w:r>
      <w:r>
        <w:t xml:space="preserve"> garantizar que el empleo de las </w:t>
      </w:r>
      <w:r w:rsidR="00343A8E">
        <w:t>radiofrecuencias</w:t>
      </w:r>
      <w:r>
        <w:t xml:space="preserve"> </w:t>
      </w:r>
      <w:r w:rsidR="009A43E0">
        <w:t>para</w:t>
      </w:r>
      <w:r>
        <w:t xml:space="preserve"> </w:t>
      </w:r>
      <w:r w:rsidR="00343A8E">
        <w:t>proporcionar</w:t>
      </w:r>
      <w:r>
        <w:t xml:space="preserve"> trayectos </w:t>
      </w:r>
      <w:proofErr w:type="gramStart"/>
      <w:r>
        <w:t>de</w:t>
      </w:r>
      <w:proofErr w:type="gramEnd"/>
      <w:r>
        <w:t xml:space="preserve"> comunicaciones fiables en los sistemas y productos de telecomunicaciones </w:t>
      </w:r>
      <w:r w:rsidR="00343A8E">
        <w:t>también</w:t>
      </w:r>
      <w:r>
        <w:t xml:space="preserve"> es compatible con otras utilizaciones del espectro </w:t>
      </w:r>
      <w:r w:rsidR="00343A8E">
        <w:t>radioeléctrico</w:t>
      </w:r>
      <w:r>
        <w:t>;</w:t>
      </w:r>
    </w:p>
    <w:p w:rsidR="009D0C9D" w:rsidRDefault="009D0C9D" w:rsidP="00B23A96">
      <w:r w:rsidRPr="00A83ACA">
        <w:rPr>
          <w:i/>
          <w:iCs/>
        </w:rPr>
        <w:t>d)</w:t>
      </w:r>
      <w:r>
        <w:tab/>
        <w:t>que teniendo en cuenta las funciones del Sec</w:t>
      </w:r>
      <w:r w:rsidR="009A43E0">
        <w:t>tor de Radiocomunicaciones (Capí</w:t>
      </w:r>
      <w:r>
        <w:t xml:space="preserve">tulo II de la </w:t>
      </w:r>
      <w:r w:rsidR="00343A8E">
        <w:t>Constitución</w:t>
      </w:r>
      <w:r>
        <w:t xml:space="preserve">) y del Sector de </w:t>
      </w:r>
      <w:r w:rsidR="00343A8E">
        <w:t>Normalización</w:t>
      </w:r>
      <w:r>
        <w:t xml:space="preserve"> de las Telecomunicaciones (Cap</w:t>
      </w:r>
      <w:r w:rsidR="009A43E0">
        <w:t>í</w:t>
      </w:r>
      <w:r>
        <w:t xml:space="preserve">tulo III de la </w:t>
      </w:r>
      <w:r w:rsidR="009A43E0">
        <w:t>Constitución</w:t>
      </w:r>
      <w:r>
        <w:t xml:space="preserve">), el </w:t>
      </w:r>
      <w:proofErr w:type="spellStart"/>
      <w:r>
        <w:t>GANT</w:t>
      </w:r>
      <w:proofErr w:type="spellEnd"/>
      <w:r>
        <w:t xml:space="preserve"> y el GAR han reconocido la necesidad de cooperación entre el </w:t>
      </w:r>
      <w:proofErr w:type="spellStart"/>
      <w:r w:rsidR="00343A8E">
        <w:t>UIT</w:t>
      </w:r>
      <w:proofErr w:type="spellEnd"/>
      <w:r>
        <w:t>-R y el</w:t>
      </w:r>
      <w:r w:rsidR="00B23A96">
        <w:t> </w:t>
      </w:r>
      <w:proofErr w:type="spellStart"/>
      <w:r>
        <w:t>UIT</w:t>
      </w:r>
      <w:proofErr w:type="spellEnd"/>
      <w:r>
        <w:t xml:space="preserve">-T de forma que la </w:t>
      </w:r>
      <w:r w:rsidR="00343A8E">
        <w:t>explotación</w:t>
      </w:r>
      <w:r>
        <w:t xml:space="preserve"> de muchos tipos de telecomunicaciones que dependen del uso de las frecuencias </w:t>
      </w:r>
      <w:r w:rsidR="00343A8E">
        <w:t>radioeléctricas</w:t>
      </w:r>
      <w:r>
        <w:t xml:space="preserve"> para </w:t>
      </w:r>
      <w:r w:rsidR="00343A8E">
        <w:t>establecer</w:t>
      </w:r>
      <w:r>
        <w:t xml:space="preserve"> trayectos de comunicaciones </w:t>
      </w:r>
      <w:r w:rsidR="00343A8E">
        <w:t>mediante</w:t>
      </w:r>
      <w:r w:rsidR="009A43E0">
        <w:t xml:space="preserve"> conexiones por cable puede</w:t>
      </w:r>
      <w:r>
        <w:t xml:space="preserve"> llevarse a cabo de manera que </w:t>
      </w:r>
      <w:r w:rsidR="00343A8E">
        <w:t>sean</w:t>
      </w:r>
      <w:r w:rsidR="009A43E0">
        <w:t xml:space="preserve"> compatible</w:t>
      </w:r>
      <w:r>
        <w:t xml:space="preserve"> con el entorno y los </w:t>
      </w:r>
      <w:r w:rsidR="00343A8E">
        <w:t>requisitos</w:t>
      </w:r>
      <w:r>
        <w:t xml:space="preserve"> </w:t>
      </w:r>
      <w:r w:rsidR="009A43E0">
        <w:t xml:space="preserve">operacionales </w:t>
      </w:r>
      <w:r>
        <w:t>esperados de los servicios de radiocomunicaciones que funcionan en sus bandas atribuidas;</w:t>
      </w:r>
    </w:p>
    <w:p w:rsidR="009D0C9D" w:rsidRDefault="009D0C9D" w:rsidP="009A43E0">
      <w:r w:rsidRPr="00A83ACA">
        <w:rPr>
          <w:i/>
          <w:iCs/>
        </w:rPr>
        <w:t>e)</w:t>
      </w:r>
      <w:r>
        <w:tab/>
        <w:t xml:space="preserve">que es esencial mantener la certidumbre de un entorno de funcionamiento estable para </w:t>
      </w:r>
      <w:r w:rsidR="009A43E0">
        <w:t>l</w:t>
      </w:r>
      <w:r>
        <w:t>os servicios de radiocomunicaciones teniendo en cu</w:t>
      </w:r>
      <w:r w:rsidR="009A43E0">
        <w:t>e</w:t>
      </w:r>
      <w:r>
        <w:t xml:space="preserve">nta que debido a consideraciones </w:t>
      </w:r>
      <w:r w:rsidR="00343A8E">
        <w:t>geográficas</w:t>
      </w:r>
      <w:r>
        <w:t xml:space="preserve"> y </w:t>
      </w:r>
      <w:r w:rsidR="00343A8E">
        <w:t>topológicas</w:t>
      </w:r>
      <w:r>
        <w:t xml:space="preserve">, las radiocomunicaciones </w:t>
      </w:r>
      <w:r w:rsidR="009A43E0">
        <w:t xml:space="preserve">constituyen </w:t>
      </w:r>
      <w:r>
        <w:t xml:space="preserve">a menudo el </w:t>
      </w:r>
      <w:r w:rsidR="00343A8E">
        <w:t>único</w:t>
      </w:r>
      <w:r>
        <w:t xml:space="preserve"> medio de satisfacer los requisitos de cobertura y caudal de forma </w:t>
      </w:r>
      <w:r w:rsidR="00343A8E">
        <w:t>económica</w:t>
      </w:r>
      <w:r>
        <w:t xml:space="preserve"> y flexible y puede ser la </w:t>
      </w:r>
      <w:r w:rsidR="00343A8E">
        <w:t>única</w:t>
      </w:r>
      <w:r>
        <w:t xml:space="preserve"> manera de proporcionar comunicaciones robustas después de una </w:t>
      </w:r>
      <w:r w:rsidR="00343A8E">
        <w:t>catástrofe</w:t>
      </w:r>
      <w:r>
        <w:t xml:space="preserve"> o para la seguridad de la vida humana;</w:t>
      </w:r>
    </w:p>
    <w:p w:rsidR="009D0C9D" w:rsidRDefault="009D0C9D" w:rsidP="009A43E0">
      <w:r w:rsidRPr="00A83ACA">
        <w:rPr>
          <w:i/>
          <w:iCs/>
        </w:rPr>
        <w:t>f)</w:t>
      </w:r>
      <w:r>
        <w:tab/>
        <w:t xml:space="preserve">que la configuración de algunos tipos de sistemas de telecomunicaciones por cables o hilos que dependen del uso de las frecuencias </w:t>
      </w:r>
      <w:r w:rsidR="00343A8E">
        <w:t>radioeléctricas</w:t>
      </w:r>
      <w:r>
        <w:t xml:space="preserve"> para establecer el t</w:t>
      </w:r>
      <w:r w:rsidR="009A43E0">
        <w:t>rayecto de comunicaciones puede</w:t>
      </w:r>
      <w:r>
        <w:t xml:space="preserve"> requerir consideraciones sobre compatibilidad y </w:t>
      </w:r>
      <w:r w:rsidR="009A43E0">
        <w:t xml:space="preserve">sobre </w:t>
      </w:r>
      <w:r w:rsidR="00343A8E">
        <w:t>compartición</w:t>
      </w:r>
      <w:r>
        <w:t xml:space="preserve"> de frecuencias </w:t>
      </w:r>
      <w:r w:rsidR="009A43E0">
        <w:t xml:space="preserve">similares </w:t>
      </w:r>
      <w:r>
        <w:t>a las necesarias cuando se considera el uso compartido de bandas de frecuencias a efectos de radiocomunicaciones;</w:t>
      </w:r>
    </w:p>
    <w:p w:rsidR="009D0C9D" w:rsidRDefault="009D0C9D" w:rsidP="007810B2">
      <w:r w:rsidRPr="00A83ACA">
        <w:rPr>
          <w:i/>
          <w:iCs/>
        </w:rPr>
        <w:t>g)</w:t>
      </w:r>
      <w:r>
        <w:tab/>
        <w:t xml:space="preserve">que las especificaciones de los productos y sistemas de telecomunicaciones que dependen del uso de las frecuencias </w:t>
      </w:r>
      <w:r w:rsidR="00343A8E">
        <w:t>radioeléctricas</w:t>
      </w:r>
      <w:r>
        <w:t xml:space="preserve"> cada vez son determinadas </w:t>
      </w:r>
      <w:r w:rsidR="00343A8E">
        <w:t>con</w:t>
      </w:r>
      <w:r>
        <w:t xml:space="preserve"> </w:t>
      </w:r>
      <w:r w:rsidR="007810B2">
        <w:t>más</w:t>
      </w:r>
      <w:r>
        <w:t xml:space="preserve"> frecuencia por las organizaciones de elaboración de normas, la</w:t>
      </w:r>
      <w:r w:rsidR="00AD5A88">
        <w:t>s</w:t>
      </w:r>
      <w:r>
        <w:t xml:space="preserve"> </w:t>
      </w:r>
      <w:r w:rsidR="00343A8E">
        <w:t>alianza</w:t>
      </w:r>
      <w:r w:rsidR="00AD5A88">
        <w:t>s</w:t>
      </w:r>
      <w:r>
        <w:t xml:space="preserve"> industriales y los fabricantes</w:t>
      </w:r>
      <w:r w:rsidR="00AD5A88">
        <w:t>,</w:t>
      </w:r>
      <w:r>
        <w:t xml:space="preserve"> sin referencia </w:t>
      </w:r>
      <w:r>
        <w:lastRenderedPageBreak/>
        <w:t xml:space="preserve">alguna a la reglamentación, las normas y las directrices establecidas por la </w:t>
      </w:r>
      <w:proofErr w:type="spellStart"/>
      <w:r>
        <w:t>UIT</w:t>
      </w:r>
      <w:proofErr w:type="spellEnd"/>
      <w:r>
        <w:t xml:space="preserve"> para asegurar el empleo eficaz del </w:t>
      </w:r>
      <w:r w:rsidR="00343A8E">
        <w:t>espectro</w:t>
      </w:r>
      <w:r>
        <w:t xml:space="preserve"> de radiofrecuencias y sin los debates en foro </w:t>
      </w:r>
      <w:r w:rsidR="00343A8E">
        <w:t>abierto</w:t>
      </w:r>
      <w:r>
        <w:t xml:space="preserve"> que caracterizan los estudios de compatibilidad en la </w:t>
      </w:r>
      <w:proofErr w:type="spellStart"/>
      <w:r>
        <w:t>UIT</w:t>
      </w:r>
      <w:proofErr w:type="spellEnd"/>
      <w:r>
        <w:t xml:space="preserve"> sobre la utilización de las radiofrecuencias, lo cual puede dar lugar a la </w:t>
      </w:r>
      <w:r w:rsidR="00343A8E">
        <w:t>aparición</w:t>
      </w:r>
      <w:r>
        <w:t xml:space="preserve"> de especificaciones que no son compatibles con los sistemas de </w:t>
      </w:r>
      <w:r w:rsidR="00343A8E">
        <w:t>telecomunicaciones</w:t>
      </w:r>
      <w:r>
        <w:t xml:space="preserve"> y radiocomunicaciones desarrollados de conformidad con la reglamentación, las normas y las directrices establecidas por la </w:t>
      </w:r>
      <w:proofErr w:type="spellStart"/>
      <w:r>
        <w:t>UIT</w:t>
      </w:r>
      <w:proofErr w:type="spellEnd"/>
      <w:r>
        <w:t>;</w:t>
      </w:r>
    </w:p>
    <w:p w:rsidR="009D0C9D" w:rsidRDefault="009D0C9D" w:rsidP="00AD5A88">
      <w:r w:rsidRPr="00A83ACA">
        <w:rPr>
          <w:i/>
          <w:iCs/>
        </w:rPr>
        <w:t>h)</w:t>
      </w:r>
      <w:r>
        <w:tab/>
        <w:t xml:space="preserve">que, en particular, el </w:t>
      </w:r>
      <w:r w:rsidR="00343A8E">
        <w:t>rápido</w:t>
      </w:r>
      <w:r>
        <w:t xml:space="preserve"> incremento de los </w:t>
      </w:r>
      <w:r w:rsidR="00343A8E">
        <w:t>sistemas</w:t>
      </w:r>
      <w:r>
        <w:t xml:space="preserve"> cableados e </w:t>
      </w:r>
      <w:r w:rsidR="00343A8E">
        <w:t>inalámbricos</w:t>
      </w:r>
      <w:r>
        <w:t xml:space="preserve"> que funcionan en estrecha proximidad requiere prestar </w:t>
      </w:r>
      <w:r w:rsidR="00AD5A88">
        <w:t xml:space="preserve">la </w:t>
      </w:r>
      <w:r>
        <w:t xml:space="preserve">debida atención a la mejora de las normas sobre inmunidad y a las </w:t>
      </w:r>
      <w:r w:rsidR="00343A8E">
        <w:t>técnicas</w:t>
      </w:r>
      <w:r>
        <w:t xml:space="preserve"> de </w:t>
      </w:r>
      <w:r w:rsidR="00343A8E">
        <w:t>reducción</w:t>
      </w:r>
      <w:r>
        <w:t xml:space="preserve"> de la interferencia;</w:t>
      </w:r>
    </w:p>
    <w:p w:rsidR="009D0C9D" w:rsidRDefault="009D0C9D" w:rsidP="00AD5A88">
      <w:r w:rsidRPr="00A83ACA">
        <w:rPr>
          <w:i/>
          <w:iCs/>
        </w:rPr>
        <w:t>i)</w:t>
      </w:r>
      <w:r>
        <w:tab/>
        <w:t xml:space="preserve">que </w:t>
      </w:r>
      <w:r w:rsidR="00AD5A88">
        <w:t xml:space="preserve">sólo los Sectores de la </w:t>
      </w:r>
      <w:proofErr w:type="spellStart"/>
      <w:r w:rsidR="00AD5A88">
        <w:t>UIT</w:t>
      </w:r>
      <w:proofErr w:type="spellEnd"/>
      <w:r w:rsidR="00AD5A88">
        <w:t xml:space="preserve"> poseen </w:t>
      </w:r>
      <w:r>
        <w:t xml:space="preserve">la experiencia </w:t>
      </w:r>
      <w:r w:rsidR="00AD5A88">
        <w:t xml:space="preserve">necesaria </w:t>
      </w:r>
      <w:r>
        <w:t xml:space="preserve">para determinar la compatibilidad entre los sistemas de telecomunicaciones que utilizan conexiones directas y </w:t>
      </w:r>
      <w:r w:rsidR="00AD5A88">
        <w:t xml:space="preserve">las </w:t>
      </w:r>
      <w:r>
        <w:t xml:space="preserve">ondas </w:t>
      </w:r>
      <w:r w:rsidR="00343A8E">
        <w:t>radioeléctricas</w:t>
      </w:r>
      <w:r w:rsidR="00AD5A88">
        <w:t>,</w:t>
      </w:r>
      <w:r>
        <w:t xml:space="preserve"> gracias a </w:t>
      </w:r>
      <w:r w:rsidR="00AD5A88">
        <w:t xml:space="preserve">la participación en dichos Sectores de </w:t>
      </w:r>
      <w:r>
        <w:t xml:space="preserve">expertos en telecomunicaciones y </w:t>
      </w:r>
      <w:r w:rsidR="00343A8E">
        <w:t>radiocomunicaciones</w:t>
      </w:r>
      <w:r>
        <w:t xml:space="preserve"> procedentes del sector privado, el gobierno y los regulado</w:t>
      </w:r>
      <w:r w:rsidR="00AD5A88">
        <w:t>res, y que la participación está</w:t>
      </w:r>
      <w:r>
        <w:t xml:space="preserve"> abierta a todas las partes interesadas a </w:t>
      </w:r>
      <w:r w:rsidR="00343A8E">
        <w:t>través</w:t>
      </w:r>
      <w:r>
        <w:t xml:space="preserve"> de las distintas </w:t>
      </w:r>
      <w:r w:rsidR="00343A8E">
        <w:t>categorías</w:t>
      </w:r>
      <w:r>
        <w:t xml:space="preserve"> de miembros disponibles en la </w:t>
      </w:r>
      <w:proofErr w:type="spellStart"/>
      <w:r>
        <w:t>UIT</w:t>
      </w:r>
      <w:proofErr w:type="spellEnd"/>
      <w:r>
        <w:t>,</w:t>
      </w:r>
    </w:p>
    <w:p w:rsidR="009D0C9D" w:rsidRDefault="009D0C9D" w:rsidP="004A635F">
      <w:pPr>
        <w:pStyle w:val="Call"/>
      </w:pPr>
      <w:proofErr w:type="gramStart"/>
      <w:r>
        <w:t>observando</w:t>
      </w:r>
      <w:proofErr w:type="gramEnd"/>
    </w:p>
    <w:p w:rsidR="009D0C9D" w:rsidRDefault="009D0C9D" w:rsidP="00AD5A88">
      <w:r>
        <w:t>1</w:t>
      </w:r>
      <w:r>
        <w:tab/>
      </w:r>
      <w:proofErr w:type="gramStart"/>
      <w:r>
        <w:t>que</w:t>
      </w:r>
      <w:proofErr w:type="gramEnd"/>
      <w:r>
        <w:t xml:space="preserve"> el Sector de </w:t>
      </w:r>
      <w:r w:rsidR="00343A8E">
        <w:t>Normalización</w:t>
      </w:r>
      <w:r>
        <w:t xml:space="preserve"> de las </w:t>
      </w:r>
      <w:r w:rsidR="00AD5A88">
        <w:t xml:space="preserve">Telecomunicaciones </w:t>
      </w:r>
      <w:r>
        <w:t xml:space="preserve">y el </w:t>
      </w:r>
      <w:r w:rsidR="00343A8E">
        <w:t>Sector</w:t>
      </w:r>
      <w:r>
        <w:t xml:space="preserve"> de Radiocomunicaciones han </w:t>
      </w:r>
      <w:r w:rsidR="00AD5A88">
        <w:t xml:space="preserve">creado </w:t>
      </w:r>
      <w:r>
        <w:t xml:space="preserve">mecanismos de cooperación para garantizar que los sistemas que utilizan frecuencias </w:t>
      </w:r>
      <w:r w:rsidR="00343A8E">
        <w:t>radioeléctricas</w:t>
      </w:r>
      <w:r>
        <w:t xml:space="preserve"> de </w:t>
      </w:r>
      <w:r w:rsidR="00343A8E">
        <w:t>interés</w:t>
      </w:r>
      <w:r>
        <w:t xml:space="preserve"> para cada Sector pueden </w:t>
      </w:r>
      <w:r w:rsidR="00AD5A88">
        <w:t xml:space="preserve">desarrollarse </w:t>
      </w:r>
      <w:r>
        <w:t xml:space="preserve">de forma que durante sus </w:t>
      </w:r>
      <w:r w:rsidR="00343A8E">
        <w:t>estudios</w:t>
      </w:r>
      <w:r>
        <w:t xml:space="preserve"> se abord</w:t>
      </w:r>
      <w:r w:rsidR="00AD5A88">
        <w:t>e</w:t>
      </w:r>
      <w:r>
        <w:t xml:space="preserve">n los </w:t>
      </w:r>
      <w:r w:rsidR="00343A8E">
        <w:t>diversos</w:t>
      </w:r>
      <w:r>
        <w:t xml:space="preserve"> t</w:t>
      </w:r>
      <w:r w:rsidR="00AD5A88">
        <w:t>emas de compatibilidad que pueda</w:t>
      </w:r>
      <w:r>
        <w:t>n surgir entre los sistemas basados en hilos y en cable y los sistemas de radiocomunicaciones;</w:t>
      </w:r>
    </w:p>
    <w:p w:rsidR="009D0C9D" w:rsidRDefault="009D0C9D" w:rsidP="009D0C9D">
      <w:r>
        <w:t>2</w:t>
      </w:r>
      <w:r>
        <w:tab/>
      </w:r>
      <w:proofErr w:type="gramStart"/>
      <w:r>
        <w:t>que</w:t>
      </w:r>
      <w:proofErr w:type="gramEnd"/>
      <w:r>
        <w:t xml:space="preserve"> los niveles de las señales de radiofrecuencia necesarios para mantener comunicaciones de datos </w:t>
      </w:r>
      <w:r w:rsidR="00AD5A88">
        <w:t>a</w:t>
      </w:r>
      <w:r>
        <w:t xml:space="preserve"> </w:t>
      </w:r>
      <w:r w:rsidR="00343A8E">
        <w:t>través</w:t>
      </w:r>
      <w:r>
        <w:t xml:space="preserve"> de sistemas de hilos o cables pueden rebasar los niveles fijados bajo la hipótesis de que las emisiones de radiofrecuencia conducidas y radiadas por equipos </w:t>
      </w:r>
      <w:r w:rsidR="00343A8E">
        <w:t>eléctricos</w:t>
      </w:r>
      <w:r>
        <w:t xml:space="preserve"> y </w:t>
      </w:r>
      <w:r w:rsidR="00343A8E">
        <w:t>electrónicos</w:t>
      </w:r>
      <w:r>
        <w:t xml:space="preserve"> </w:t>
      </w:r>
      <w:r w:rsidR="00AD5A88">
        <w:t xml:space="preserve">son </w:t>
      </w:r>
      <w:r>
        <w:t xml:space="preserve">independientes del funcionamiento de los equipos y no cursan </w:t>
      </w:r>
      <w:r w:rsidR="00343A8E">
        <w:t>realmente</w:t>
      </w:r>
      <w:r>
        <w:t xml:space="preserve"> ninguna señal o datos de comunicaciones,</w:t>
      </w:r>
    </w:p>
    <w:p w:rsidR="009D0C9D" w:rsidRDefault="009D0C9D" w:rsidP="004A635F">
      <w:pPr>
        <w:pStyle w:val="Call"/>
      </w:pPr>
      <w:proofErr w:type="gramStart"/>
      <w:r>
        <w:t>reconociendo</w:t>
      </w:r>
      <w:proofErr w:type="gramEnd"/>
    </w:p>
    <w:p w:rsidR="009D0C9D" w:rsidRDefault="009D0C9D" w:rsidP="007810B2">
      <w:proofErr w:type="gramStart"/>
      <w:r>
        <w:t>que</w:t>
      </w:r>
      <w:proofErr w:type="gramEnd"/>
      <w:r>
        <w:t>, en vi</w:t>
      </w:r>
      <w:r w:rsidR="00343A8E">
        <w:t>rtud</w:t>
      </w:r>
      <w:r>
        <w:t xml:space="preserve"> del Reglamento de Radiocomunicaciones y de diversas Resoluciones y </w:t>
      </w:r>
      <w:r w:rsidR="00C27D44">
        <w:t xml:space="preserve">Recomendaciones </w:t>
      </w:r>
      <w:r>
        <w:t xml:space="preserve">del </w:t>
      </w:r>
      <w:proofErr w:type="spellStart"/>
      <w:r>
        <w:t>UIT</w:t>
      </w:r>
      <w:proofErr w:type="spellEnd"/>
      <w:r>
        <w:t xml:space="preserve">-R y el </w:t>
      </w:r>
      <w:proofErr w:type="spellStart"/>
      <w:r>
        <w:t>UIT</w:t>
      </w:r>
      <w:proofErr w:type="spellEnd"/>
      <w:r>
        <w:t xml:space="preserve">-T, la </w:t>
      </w:r>
      <w:proofErr w:type="spellStart"/>
      <w:r>
        <w:t>UIT</w:t>
      </w:r>
      <w:proofErr w:type="spellEnd"/>
      <w:r>
        <w:t xml:space="preserve"> es el </w:t>
      </w:r>
      <w:r w:rsidR="00343A8E">
        <w:t>organismo</w:t>
      </w:r>
      <w:r>
        <w:t xml:space="preserve"> </w:t>
      </w:r>
      <w:r w:rsidR="00343A8E">
        <w:t>internacional</w:t>
      </w:r>
      <w:r>
        <w:t xml:space="preserve"> competente </w:t>
      </w:r>
      <w:r w:rsidR="007810B2">
        <w:t>más</w:t>
      </w:r>
      <w:r>
        <w:t xml:space="preserve"> destacado para garantizar la compatibilidad entre las diversas utilizaciones de las frecuencias </w:t>
      </w:r>
      <w:r w:rsidR="00343A8E">
        <w:t>radioeléctricas</w:t>
      </w:r>
      <w:r>
        <w:t xml:space="preserve"> a efectos de telecomunicaciones,</w:t>
      </w:r>
    </w:p>
    <w:p w:rsidR="009D0C9D" w:rsidRDefault="00AD5A88" w:rsidP="004A635F">
      <w:pPr>
        <w:pStyle w:val="Call"/>
      </w:pPr>
      <w:proofErr w:type="gramStart"/>
      <w:r>
        <w:t>formula</w:t>
      </w:r>
      <w:proofErr w:type="gramEnd"/>
      <w:r>
        <w:t xml:space="preserve"> el siguiente ruego</w:t>
      </w:r>
    </w:p>
    <w:p w:rsidR="009D0C9D" w:rsidRDefault="009D0C9D" w:rsidP="00AD5A88">
      <w:r>
        <w:t>1</w:t>
      </w:r>
      <w:r>
        <w:tab/>
        <w:t xml:space="preserve">que las organizaciones de </w:t>
      </w:r>
      <w:r w:rsidR="00343A8E">
        <w:t>elaboración</w:t>
      </w:r>
      <w:r>
        <w:t xml:space="preserve"> de normas, las alianzas industriales y los fabricantes deben satisfacer las normas, las especificaciones de los sistemas y el entorno de </w:t>
      </w:r>
      <w:r w:rsidR="00AD5A88">
        <w:t xml:space="preserve">explotación </w:t>
      </w:r>
      <w:r>
        <w:t xml:space="preserve">de las frecuencias </w:t>
      </w:r>
      <w:r w:rsidR="00343A8E">
        <w:t>radioeléctricas</w:t>
      </w:r>
      <w:r>
        <w:t xml:space="preserve"> </w:t>
      </w:r>
      <w:r w:rsidR="00343A8E">
        <w:t>establecidos</w:t>
      </w:r>
      <w:r>
        <w:t xml:space="preserve"> mediantes las diferentes </w:t>
      </w:r>
      <w:r w:rsidR="00343A8E">
        <w:t>Recomendaciones</w:t>
      </w:r>
      <w:r>
        <w:t xml:space="preserve"> </w:t>
      </w:r>
      <w:proofErr w:type="spellStart"/>
      <w:r>
        <w:t>UIT</w:t>
      </w:r>
      <w:proofErr w:type="spellEnd"/>
      <w:r>
        <w:t xml:space="preserve">-R y </w:t>
      </w:r>
      <w:proofErr w:type="spellStart"/>
      <w:r>
        <w:t>UIT</w:t>
      </w:r>
      <w:proofErr w:type="spellEnd"/>
      <w:r>
        <w:t xml:space="preserve">-T al desarrollar sistemas y equipos que dependen de la utilización de las citadas frecuencias </w:t>
      </w:r>
      <w:r w:rsidR="00343A8E">
        <w:t>radioeléctricas</w:t>
      </w:r>
      <w:r>
        <w:t xml:space="preserve"> para su funcionamiento;</w:t>
      </w:r>
    </w:p>
    <w:p w:rsidR="00D02D2B" w:rsidRDefault="009D0C9D" w:rsidP="004E639D">
      <w:r>
        <w:t>2</w:t>
      </w:r>
      <w:r>
        <w:tab/>
        <w:t xml:space="preserve">que, en primer lugar y con un </w:t>
      </w:r>
      <w:r w:rsidR="00343A8E">
        <w:t>espíritu</w:t>
      </w:r>
      <w:r>
        <w:t xml:space="preserve"> de cooperación, se aliente a las organizaciones de elaboración de normas, las alianzas </w:t>
      </w:r>
      <w:r w:rsidR="00D72C1D">
        <w:t xml:space="preserve">industriales y los fabricantes </w:t>
      </w:r>
      <w:r>
        <w:t xml:space="preserve">a señalar a la atención de la </w:t>
      </w:r>
      <w:proofErr w:type="spellStart"/>
      <w:r>
        <w:t>UIT</w:t>
      </w:r>
      <w:proofErr w:type="spellEnd"/>
      <w:r>
        <w:t xml:space="preserve"> todo nuevo requisito de sistema o equipo que dependa de la utilización de las radiofrecuencias a fin de beneficiarse de la experiencia de la </w:t>
      </w:r>
      <w:r w:rsidR="00343A8E">
        <w:t>Unión</w:t>
      </w:r>
      <w:r>
        <w:t xml:space="preserve"> para garantizar que esa utilización sea </w:t>
      </w:r>
      <w:r w:rsidR="00343A8E">
        <w:t>compatible</w:t>
      </w:r>
      <w:r>
        <w:t xml:space="preserve"> con otros usos conformes al Reglamento de Radiocomunicaciones y </w:t>
      </w:r>
      <w:r w:rsidR="00AD5A88">
        <w:t xml:space="preserve">a </w:t>
      </w:r>
      <w:r>
        <w:t xml:space="preserve">las amplias directrices sobre practicas </w:t>
      </w:r>
      <w:r w:rsidR="00343A8E">
        <w:t>idóneas</w:t>
      </w:r>
      <w:r>
        <w:t xml:space="preserve"> establecidas en el seno de los </w:t>
      </w:r>
      <w:r w:rsidR="00343A8E">
        <w:t>Sectores</w:t>
      </w:r>
      <w:r>
        <w:t xml:space="preserve"> de Radiocomunicaciones y de </w:t>
      </w:r>
      <w:r w:rsidR="00AD5A88">
        <w:t xml:space="preserve">Normalización </w:t>
      </w:r>
      <w:r>
        <w:t xml:space="preserve">de las </w:t>
      </w:r>
      <w:r w:rsidR="00AD5A88">
        <w:t xml:space="preserve">Telecomunicaciones </w:t>
      </w:r>
      <w:r>
        <w:t xml:space="preserve">de la </w:t>
      </w:r>
      <w:proofErr w:type="spellStart"/>
      <w:r>
        <w:t>UIT</w:t>
      </w:r>
      <w:proofErr w:type="spellEnd"/>
      <w:r>
        <w:t>.</w:t>
      </w:r>
    </w:p>
    <w:p w:rsidR="00492A43" w:rsidRPr="00FE617E" w:rsidRDefault="00492A43" w:rsidP="0032202E">
      <w:pPr>
        <w:pStyle w:val="Reasons"/>
        <w:rPr>
          <w:lang w:val="es-ES_tradnl"/>
        </w:rPr>
      </w:pPr>
    </w:p>
    <w:p w:rsidR="00492A43" w:rsidRDefault="00492A43" w:rsidP="00492A43">
      <w:pPr>
        <w:jc w:val="center"/>
      </w:pPr>
      <w:r>
        <w:t>______________</w:t>
      </w:r>
    </w:p>
    <w:sectPr w:rsidR="00492A43" w:rsidSect="00431C4B">
      <w:headerReference w:type="default" r:id="rId7"/>
      <w:pgSz w:w="11907" w:h="16840" w:code="9"/>
      <w:pgMar w:top="1304" w:right="1134" w:bottom="130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EF" w:rsidRDefault="00F959EF">
      <w:r>
        <w:separator/>
      </w:r>
    </w:p>
  </w:endnote>
  <w:endnote w:type="continuationSeparator" w:id="0">
    <w:p w:rsidR="00F959EF" w:rsidRDefault="00F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EF" w:rsidRDefault="00F959EF">
      <w:r>
        <w:t>____________________</w:t>
      </w:r>
    </w:p>
  </w:footnote>
  <w:footnote w:type="continuationSeparator" w:id="0">
    <w:p w:rsidR="00F959EF" w:rsidRDefault="00F9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247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59EF" w:rsidRPr="00112A7B" w:rsidRDefault="00F959EF" w:rsidP="007810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9D"/>
    <w:rsid w:val="00112A7B"/>
    <w:rsid w:val="001D503E"/>
    <w:rsid w:val="002D753C"/>
    <w:rsid w:val="00343A8E"/>
    <w:rsid w:val="00392C9F"/>
    <w:rsid w:val="00431C4B"/>
    <w:rsid w:val="00492A43"/>
    <w:rsid w:val="004A635F"/>
    <w:rsid w:val="004E639D"/>
    <w:rsid w:val="007810B2"/>
    <w:rsid w:val="007C1854"/>
    <w:rsid w:val="00863DEA"/>
    <w:rsid w:val="008C4A64"/>
    <w:rsid w:val="0090717A"/>
    <w:rsid w:val="00907404"/>
    <w:rsid w:val="009A43E0"/>
    <w:rsid w:val="009D0C9D"/>
    <w:rsid w:val="00A83ACA"/>
    <w:rsid w:val="00AD5A88"/>
    <w:rsid w:val="00B23A96"/>
    <w:rsid w:val="00B82D68"/>
    <w:rsid w:val="00B85204"/>
    <w:rsid w:val="00BF3A8E"/>
    <w:rsid w:val="00C27D44"/>
    <w:rsid w:val="00D02D2B"/>
    <w:rsid w:val="00D72C1D"/>
    <w:rsid w:val="00E71462"/>
    <w:rsid w:val="00F76641"/>
    <w:rsid w:val="00F959EF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C4A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NoBR">
    <w:name w:val="Rep_No_BR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NoBR">
    <w:name w:val="Res_No_BR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112A7B"/>
    <w:rPr>
      <w:rFonts w:ascii="Times New Roman" w:hAnsi="Times New Roman"/>
      <w:sz w:val="18"/>
      <w:lang w:val="es-ES_tradnl" w:eastAsia="en-US"/>
    </w:rPr>
  </w:style>
  <w:style w:type="paragraph" w:customStyle="1" w:styleId="Reasons">
    <w:name w:val="Reasons"/>
    <w:basedOn w:val="Normal"/>
    <w:qFormat/>
    <w:rsid w:val="00D02D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C4A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NoBR">
    <w:name w:val="Rep_No_BR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NoBR">
    <w:name w:val="Res_No_BR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112A7B"/>
    <w:rPr>
      <w:rFonts w:ascii="Times New Roman" w:hAnsi="Times New Roman"/>
      <w:sz w:val="18"/>
      <w:lang w:val="es-ES_tradnl" w:eastAsia="en-US"/>
    </w:rPr>
  </w:style>
  <w:style w:type="paragraph" w:customStyle="1" w:styleId="Reasons">
    <w:name w:val="Reasons"/>
    <w:basedOn w:val="Normal"/>
    <w:qFormat/>
    <w:rsid w:val="00D02D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PS_POOL.dotm</Template>
  <TotalTime>82</TotalTime>
  <Pages>2</Pages>
  <Words>1038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Rosa Trivino, Maria Dolores</dc:creator>
  <cp:keywords/>
  <dc:description/>
  <cp:lastModifiedBy>mostyn</cp:lastModifiedBy>
  <cp:revision>24</cp:revision>
  <cp:lastPrinted>2012-07-05T11:39:00Z</cp:lastPrinted>
  <dcterms:created xsi:type="dcterms:W3CDTF">2012-07-03T12:47:00Z</dcterms:created>
  <dcterms:modified xsi:type="dcterms:W3CDTF">2012-07-06T11:41:00Z</dcterms:modified>
</cp:coreProperties>
</file>