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993" w:rsidRDefault="004E5EB7" w:rsidP="007E7CE1">
      <w:pPr>
        <w:pStyle w:val="QuestionNo"/>
        <w:rPr>
          <w:lang w:eastAsia="zh-CN"/>
        </w:rPr>
      </w:pPr>
      <w:bookmarkStart w:id="0" w:name="drec" w:colFirst="0" w:colLast="0"/>
      <w:bookmarkStart w:id="1" w:name="_GoBack"/>
      <w:bookmarkEnd w:id="1"/>
      <w:r>
        <w:rPr>
          <w:lang w:val="en-US" w:eastAsia="zh-CN"/>
        </w:rPr>
        <w:t>ITU-R</w:t>
      </w:r>
      <w:r w:rsidR="008A0414">
        <w:rPr>
          <w:rFonts w:hint="eastAsia"/>
          <w:lang w:val="en-US" w:eastAsia="zh-CN"/>
        </w:rPr>
        <w:t>第</w:t>
      </w:r>
      <w:r w:rsidR="008A0414">
        <w:rPr>
          <w:rFonts w:hint="eastAsia"/>
          <w:lang w:val="en-US" w:eastAsia="zh-CN"/>
        </w:rPr>
        <w:t>1</w:t>
      </w:r>
      <w:r w:rsidR="00C379AB">
        <w:rPr>
          <w:rFonts w:hint="eastAsia"/>
          <w:lang w:val="en-US" w:eastAsia="zh-CN"/>
        </w:rPr>
        <w:t>0</w:t>
      </w:r>
      <w:r w:rsidR="008A0414">
        <w:rPr>
          <w:rFonts w:hint="eastAsia"/>
          <w:lang w:val="en-US" w:eastAsia="zh-CN"/>
        </w:rPr>
        <w:t>0</w:t>
      </w:r>
      <w:r w:rsidR="008A0414">
        <w:rPr>
          <w:rFonts w:hint="eastAsia"/>
          <w:lang w:val="en-US" w:eastAsia="zh-CN"/>
        </w:rPr>
        <w:t>号意见</w:t>
      </w:r>
    </w:p>
    <w:p w:rsidR="001D3993" w:rsidRPr="007E7CE1" w:rsidRDefault="008A0414" w:rsidP="007E7CE1">
      <w:pPr>
        <w:pStyle w:val="Questiontitle"/>
      </w:pPr>
      <w:bookmarkStart w:id="2" w:name="dtitle1" w:colFirst="0" w:colLast="0"/>
      <w:bookmarkEnd w:id="0"/>
      <w:proofErr w:type="spellStart"/>
      <w:r w:rsidRPr="007E7CE1">
        <w:rPr>
          <w:rFonts w:hint="eastAsia"/>
        </w:rPr>
        <w:t>有关将无线电频率</w:t>
      </w:r>
      <w:r w:rsidR="00C379AB" w:rsidRPr="007E7CE1">
        <w:rPr>
          <w:rFonts w:hint="eastAsia"/>
        </w:rPr>
        <w:t>用于</w:t>
      </w:r>
      <w:r w:rsidRPr="007E7CE1">
        <w:rPr>
          <w:rFonts w:hint="eastAsia"/>
        </w:rPr>
        <w:t>《无线电规则》或其它相关</w:t>
      </w:r>
      <w:proofErr w:type="spellEnd"/>
      <w:r w:rsidRPr="007E7CE1">
        <w:br/>
      </w:r>
      <w:proofErr w:type="spellStart"/>
      <w:r w:rsidRPr="007E7CE1">
        <w:rPr>
          <w:rFonts w:hint="eastAsia"/>
        </w:rPr>
        <w:t>国际电联出版物</w:t>
      </w:r>
      <w:r w:rsidR="00C379AB" w:rsidRPr="007E7CE1">
        <w:rPr>
          <w:rFonts w:hint="eastAsia"/>
        </w:rPr>
        <w:t>涉及</w:t>
      </w:r>
      <w:r w:rsidRPr="007E7CE1">
        <w:rPr>
          <w:rFonts w:hint="eastAsia"/>
        </w:rPr>
        <w:t>范围之外用途的兼容性考虑</w:t>
      </w:r>
      <w:proofErr w:type="spellEnd"/>
    </w:p>
    <w:p w:rsidR="00D176A9" w:rsidRPr="00CD4CB8" w:rsidRDefault="0081343E" w:rsidP="007E7CE1">
      <w:pPr>
        <w:pStyle w:val="Questiondate"/>
        <w:rPr>
          <w:lang w:val="en-US" w:eastAsia="zh-CN"/>
        </w:rPr>
      </w:pPr>
      <w:bookmarkStart w:id="3" w:name="dbreak"/>
      <w:bookmarkEnd w:id="3"/>
      <w:bookmarkEnd w:id="2"/>
      <w:r>
        <w:rPr>
          <w:rFonts w:hint="eastAsia"/>
          <w:lang w:val="en-US" w:eastAsia="zh-CN"/>
        </w:rPr>
        <w:t>（</w:t>
      </w:r>
      <w:r w:rsidR="00D176A9" w:rsidRPr="00CD4CB8">
        <w:rPr>
          <w:lang w:val="en-US" w:eastAsia="zh-CN"/>
        </w:rPr>
        <w:t>2012</w:t>
      </w:r>
      <w:r>
        <w:rPr>
          <w:rFonts w:hint="eastAsia"/>
          <w:lang w:val="en-US" w:eastAsia="zh-CN"/>
        </w:rPr>
        <w:t>年）</w:t>
      </w:r>
    </w:p>
    <w:p w:rsidR="00D176A9" w:rsidRPr="00CD4CB8" w:rsidRDefault="008A0414" w:rsidP="007E7CE1">
      <w:pPr>
        <w:pStyle w:val="Normalaftertitle"/>
        <w:rPr>
          <w:lang w:val="en-US" w:eastAsia="zh-CN"/>
        </w:rPr>
      </w:pPr>
      <w:r>
        <w:rPr>
          <w:rFonts w:hint="eastAsia"/>
          <w:lang w:val="en-US" w:eastAsia="zh-CN"/>
        </w:rPr>
        <w:t>国际电联无线电通信第</w:t>
      </w:r>
      <w:r>
        <w:rPr>
          <w:rFonts w:hint="eastAsia"/>
          <w:lang w:val="en-US" w:eastAsia="zh-CN"/>
        </w:rPr>
        <w:t>1</w:t>
      </w:r>
      <w:r>
        <w:rPr>
          <w:rFonts w:hint="eastAsia"/>
          <w:lang w:val="en-US" w:eastAsia="zh-CN"/>
        </w:rPr>
        <w:t>研究组，</w:t>
      </w:r>
    </w:p>
    <w:p w:rsidR="00D176A9" w:rsidRPr="0026072F" w:rsidRDefault="008A0414" w:rsidP="00D900A6">
      <w:pPr>
        <w:pStyle w:val="Call"/>
        <w:rPr>
          <w:rFonts w:ascii="STKaiti" w:eastAsia="STKaiti" w:hAnsi="STKaiti"/>
          <w:i w:val="0"/>
          <w:iCs/>
          <w:lang w:val="en-US" w:eastAsia="zh-CN"/>
        </w:rPr>
      </w:pPr>
      <w:r w:rsidRPr="0026072F">
        <w:rPr>
          <w:rFonts w:ascii="STKaiti" w:eastAsia="STKaiti" w:hAnsi="STKaiti" w:hint="eastAsia"/>
          <w:i w:val="0"/>
          <w:iCs/>
          <w:lang w:val="en-US" w:eastAsia="zh-CN"/>
        </w:rPr>
        <w:t>考虑到</w:t>
      </w:r>
    </w:p>
    <w:p w:rsidR="00D176A9" w:rsidRPr="00CD4CB8" w:rsidRDefault="00D176A9" w:rsidP="00D900A6">
      <w:pPr>
        <w:rPr>
          <w:lang w:eastAsia="zh-CN"/>
        </w:rPr>
      </w:pPr>
      <w:r w:rsidRPr="00CD4CB8">
        <w:rPr>
          <w:i/>
          <w:iCs/>
          <w:lang w:eastAsia="zh-CN"/>
        </w:rPr>
        <w:t>a)</w:t>
      </w:r>
      <w:r w:rsidRPr="00CD4CB8">
        <w:rPr>
          <w:lang w:eastAsia="zh-CN"/>
        </w:rPr>
        <w:tab/>
      </w:r>
      <w:r w:rsidR="008A0414">
        <w:rPr>
          <w:rFonts w:hint="eastAsia"/>
          <w:lang w:eastAsia="zh-CN"/>
        </w:rPr>
        <w:t>国际电联《组织法》第</w:t>
      </w:r>
      <w:r w:rsidR="008A0414">
        <w:rPr>
          <w:rFonts w:hint="eastAsia"/>
          <w:lang w:eastAsia="zh-CN"/>
        </w:rPr>
        <w:t>1</w:t>
      </w:r>
      <w:r w:rsidR="008A0414">
        <w:rPr>
          <w:rFonts w:hint="eastAsia"/>
          <w:lang w:eastAsia="zh-CN"/>
        </w:rPr>
        <w:t>条规定的国际电联的宗旨是</w:t>
      </w:r>
      <w:r w:rsidR="00C379AB">
        <w:rPr>
          <w:rFonts w:hint="eastAsia"/>
          <w:lang w:eastAsia="zh-CN"/>
        </w:rPr>
        <w:t>，</w:t>
      </w:r>
      <w:r w:rsidR="008A0414">
        <w:rPr>
          <w:rFonts w:hint="eastAsia"/>
          <w:lang w:eastAsia="zh-CN"/>
        </w:rPr>
        <w:t>通过与其它世界性和区域性政府间组织以及那些与电信有关的非政府组织有关的合作，在国际层面上促进从更宽的角度对待全球信息经济和社会中的电信问题，以满足信息革命的需求；</w:t>
      </w:r>
    </w:p>
    <w:p w:rsidR="00D176A9" w:rsidRPr="00CD4CB8" w:rsidRDefault="00D176A9" w:rsidP="00C379AB">
      <w:pPr>
        <w:rPr>
          <w:lang w:eastAsia="zh-CN"/>
        </w:rPr>
      </w:pPr>
      <w:r w:rsidRPr="00CD4CB8">
        <w:rPr>
          <w:i/>
          <w:iCs/>
          <w:lang w:eastAsia="zh-CN"/>
        </w:rPr>
        <w:t>b)</w:t>
      </w:r>
      <w:r w:rsidRPr="00CD4CB8">
        <w:rPr>
          <w:lang w:eastAsia="zh-CN"/>
        </w:rPr>
        <w:tab/>
      </w:r>
      <w:r w:rsidR="008A0414">
        <w:rPr>
          <w:rFonts w:hint="eastAsia"/>
          <w:lang w:eastAsia="zh-CN"/>
        </w:rPr>
        <w:t>电信需求的持续增长导致上市产品依</w:t>
      </w:r>
      <w:r w:rsidR="00C379AB">
        <w:rPr>
          <w:rFonts w:hint="eastAsia"/>
          <w:lang w:eastAsia="zh-CN"/>
        </w:rPr>
        <w:t>靠</w:t>
      </w:r>
      <w:r w:rsidR="008A0414">
        <w:rPr>
          <w:rFonts w:hint="eastAsia"/>
          <w:lang w:eastAsia="zh-CN"/>
        </w:rPr>
        <w:t>无线电频率经能</w:t>
      </w:r>
      <w:r w:rsidR="00C379AB">
        <w:rPr>
          <w:rFonts w:hint="eastAsia"/>
          <w:lang w:eastAsia="zh-CN"/>
        </w:rPr>
        <w:t>够</w:t>
      </w:r>
      <w:r w:rsidR="008A0414">
        <w:rPr>
          <w:rFonts w:hint="eastAsia"/>
          <w:lang w:eastAsia="zh-CN"/>
        </w:rPr>
        <w:t>与在其划分频段内运行的无线电通信业务互动的有线和无线路径提供通信服务；</w:t>
      </w:r>
    </w:p>
    <w:p w:rsidR="00D176A9" w:rsidRPr="00CD4CB8" w:rsidRDefault="00D176A9" w:rsidP="00D900A6">
      <w:pPr>
        <w:rPr>
          <w:lang w:eastAsia="zh-CN"/>
        </w:rPr>
      </w:pPr>
      <w:r w:rsidRPr="00CD4CB8">
        <w:rPr>
          <w:i/>
          <w:iCs/>
          <w:lang w:eastAsia="zh-CN"/>
        </w:rPr>
        <w:t>c)</w:t>
      </w:r>
      <w:r w:rsidRPr="00CD4CB8">
        <w:rPr>
          <w:lang w:eastAsia="zh-CN"/>
        </w:rPr>
        <w:tab/>
      </w:r>
      <w:r w:rsidR="008A0414">
        <w:rPr>
          <w:rFonts w:hint="eastAsia"/>
          <w:lang w:eastAsia="zh-CN"/>
        </w:rPr>
        <w:t>保护无线电通信服务是国际电联职责范围内的国际义务，而国际电联制定的规则、标准和指导意见旨在确保</w:t>
      </w:r>
      <w:r w:rsidR="00C379AB">
        <w:rPr>
          <w:rFonts w:hint="eastAsia"/>
          <w:lang w:eastAsia="zh-CN"/>
        </w:rPr>
        <w:t>，</w:t>
      </w:r>
      <w:r w:rsidR="008A0414">
        <w:rPr>
          <w:rFonts w:hint="eastAsia"/>
          <w:lang w:eastAsia="zh-CN"/>
        </w:rPr>
        <w:t>用于在通信系统和产品中提供可靠通信路径</w:t>
      </w:r>
      <w:r w:rsidR="00C379AB">
        <w:rPr>
          <w:rFonts w:hint="eastAsia"/>
          <w:lang w:eastAsia="zh-CN"/>
        </w:rPr>
        <w:t>的</w:t>
      </w:r>
      <w:r w:rsidR="008A0414">
        <w:rPr>
          <w:rFonts w:hint="eastAsia"/>
          <w:lang w:eastAsia="zh-CN"/>
        </w:rPr>
        <w:t>无线电频率</w:t>
      </w:r>
      <w:r w:rsidR="00C379AB">
        <w:rPr>
          <w:rFonts w:hint="eastAsia"/>
          <w:lang w:eastAsia="zh-CN"/>
        </w:rPr>
        <w:t>，</w:t>
      </w:r>
      <w:r w:rsidR="008A0414">
        <w:rPr>
          <w:rFonts w:hint="eastAsia"/>
          <w:lang w:eastAsia="zh-CN"/>
        </w:rPr>
        <w:t>也能与无线电频谱的其它用途相兼容；</w:t>
      </w:r>
    </w:p>
    <w:p w:rsidR="00D176A9" w:rsidRPr="00CD4CB8" w:rsidRDefault="00D176A9" w:rsidP="00C379AB">
      <w:pPr>
        <w:rPr>
          <w:lang w:eastAsia="zh-CN"/>
        </w:rPr>
      </w:pPr>
      <w:r w:rsidRPr="00CD4CB8">
        <w:rPr>
          <w:i/>
          <w:iCs/>
          <w:lang w:eastAsia="zh-CN"/>
        </w:rPr>
        <w:t>d)</w:t>
      </w:r>
      <w:r w:rsidRPr="00CD4CB8">
        <w:rPr>
          <w:lang w:eastAsia="zh-CN"/>
        </w:rPr>
        <w:tab/>
      </w:r>
      <w:r w:rsidR="008A0414">
        <w:rPr>
          <w:rFonts w:hint="eastAsia"/>
          <w:lang w:eastAsia="zh-CN"/>
        </w:rPr>
        <w:t>鉴于无线电通信部门</w:t>
      </w:r>
      <w:r w:rsidR="00C379AB">
        <w:rPr>
          <w:rFonts w:hint="eastAsia"/>
          <w:lang w:eastAsia="zh-CN"/>
        </w:rPr>
        <w:t>（</w:t>
      </w:r>
      <w:r w:rsidR="008A0414">
        <w:rPr>
          <w:rFonts w:hint="eastAsia"/>
          <w:lang w:eastAsia="zh-CN"/>
        </w:rPr>
        <w:t>《组织法》</w:t>
      </w:r>
      <w:r w:rsidR="006012EA">
        <w:rPr>
          <w:rFonts w:hint="eastAsia"/>
          <w:lang w:eastAsia="zh-CN"/>
        </w:rPr>
        <w:t>第</w:t>
      </w:r>
      <w:r w:rsidR="006012EA">
        <w:rPr>
          <w:rFonts w:hint="eastAsia"/>
          <w:lang w:eastAsia="zh-CN"/>
        </w:rPr>
        <w:t>2</w:t>
      </w:r>
      <w:r w:rsidR="006012EA">
        <w:rPr>
          <w:rFonts w:hint="eastAsia"/>
          <w:lang w:eastAsia="zh-CN"/>
        </w:rPr>
        <w:t>章</w:t>
      </w:r>
      <w:r w:rsidR="00C379AB">
        <w:rPr>
          <w:rFonts w:hint="eastAsia"/>
          <w:lang w:eastAsia="zh-CN"/>
        </w:rPr>
        <w:t>）</w:t>
      </w:r>
      <w:r w:rsidR="006012EA">
        <w:rPr>
          <w:rFonts w:hint="eastAsia"/>
          <w:lang w:eastAsia="zh-CN"/>
        </w:rPr>
        <w:t>和电信标准化部门（《组织法》第</w:t>
      </w:r>
      <w:r w:rsidR="006012EA">
        <w:rPr>
          <w:rFonts w:hint="eastAsia"/>
          <w:lang w:eastAsia="zh-CN"/>
        </w:rPr>
        <w:t>3</w:t>
      </w:r>
      <w:r w:rsidR="006012EA">
        <w:rPr>
          <w:rFonts w:hint="eastAsia"/>
          <w:lang w:eastAsia="zh-CN"/>
        </w:rPr>
        <w:t>章）的职责，电信标准化顾问组（</w:t>
      </w:r>
      <w:proofErr w:type="spellStart"/>
      <w:r w:rsidR="006012EA">
        <w:rPr>
          <w:rFonts w:hint="eastAsia"/>
          <w:lang w:eastAsia="zh-CN"/>
        </w:rPr>
        <w:t>TSAG</w:t>
      </w:r>
      <w:proofErr w:type="spellEnd"/>
      <w:r w:rsidR="006012EA">
        <w:rPr>
          <w:rFonts w:hint="eastAsia"/>
          <w:lang w:eastAsia="zh-CN"/>
        </w:rPr>
        <w:t>）和无线电通信顾问组（</w:t>
      </w:r>
      <w:r w:rsidR="006012EA">
        <w:rPr>
          <w:rFonts w:hint="eastAsia"/>
          <w:lang w:eastAsia="zh-CN"/>
        </w:rPr>
        <w:t>RAG</w:t>
      </w:r>
      <w:r w:rsidR="006012EA">
        <w:rPr>
          <w:rFonts w:hint="eastAsia"/>
          <w:lang w:eastAsia="zh-CN"/>
        </w:rPr>
        <w:t>）确认</w:t>
      </w:r>
      <w:r w:rsidR="006012EA">
        <w:rPr>
          <w:rFonts w:hint="eastAsia"/>
          <w:lang w:eastAsia="zh-CN"/>
        </w:rPr>
        <w:t>ITU-T</w:t>
      </w:r>
      <w:r w:rsidR="006012EA">
        <w:rPr>
          <w:rFonts w:hint="eastAsia"/>
          <w:lang w:eastAsia="zh-CN"/>
        </w:rPr>
        <w:t>和</w:t>
      </w:r>
      <w:r w:rsidR="006012EA">
        <w:rPr>
          <w:rFonts w:hint="eastAsia"/>
          <w:lang w:eastAsia="zh-CN"/>
        </w:rPr>
        <w:t>ITU-R</w:t>
      </w:r>
      <w:r w:rsidR="006012EA">
        <w:rPr>
          <w:rFonts w:hint="eastAsia"/>
          <w:lang w:eastAsia="zh-CN"/>
        </w:rPr>
        <w:t>有必要开展合作，以便以</w:t>
      </w:r>
      <w:r w:rsidR="00C379AB">
        <w:rPr>
          <w:rFonts w:hint="eastAsia"/>
          <w:lang w:eastAsia="zh-CN"/>
        </w:rPr>
        <w:t>与</w:t>
      </w:r>
      <w:r w:rsidR="006012EA">
        <w:rPr>
          <w:rFonts w:hint="eastAsia"/>
          <w:lang w:eastAsia="zh-CN"/>
        </w:rPr>
        <w:t>预计的操作环境和在其划分频段运行的无线电通信服务的要求保持兼容的形式，</w:t>
      </w:r>
      <w:r w:rsidR="00C379AB">
        <w:rPr>
          <w:rFonts w:hint="eastAsia"/>
          <w:lang w:eastAsia="zh-CN"/>
        </w:rPr>
        <w:t>利用依靠</w:t>
      </w:r>
      <w:r w:rsidR="006012EA">
        <w:rPr>
          <w:rFonts w:hint="eastAsia"/>
          <w:lang w:eastAsia="zh-CN"/>
        </w:rPr>
        <w:t>无线电频率建立有线连接通信路径的多种电信服务；</w:t>
      </w:r>
    </w:p>
    <w:p w:rsidR="00D176A9" w:rsidRPr="00CD4CB8" w:rsidRDefault="00D176A9" w:rsidP="00C379AB">
      <w:pPr>
        <w:rPr>
          <w:lang w:eastAsia="zh-CN"/>
        </w:rPr>
      </w:pPr>
      <w:r w:rsidRPr="00CD4CB8">
        <w:rPr>
          <w:i/>
          <w:iCs/>
          <w:lang w:eastAsia="zh-CN"/>
        </w:rPr>
        <w:t>e)</w:t>
      </w:r>
      <w:r w:rsidRPr="00CD4CB8">
        <w:rPr>
          <w:lang w:eastAsia="zh-CN"/>
        </w:rPr>
        <w:tab/>
      </w:r>
      <w:r w:rsidR="006012EA">
        <w:rPr>
          <w:rFonts w:hint="eastAsia"/>
          <w:lang w:eastAsia="zh-CN"/>
        </w:rPr>
        <w:t>铭记顾及到地域和拓普方面的考虑，无线电通信通常是以经济灵活的方式满足覆盖和通量需求的唯一方式，并可能是在灾</w:t>
      </w:r>
      <w:r w:rsidR="00C379AB">
        <w:rPr>
          <w:rFonts w:hint="eastAsia"/>
          <w:lang w:eastAsia="zh-CN"/>
        </w:rPr>
        <w:t>后</w:t>
      </w:r>
      <w:r w:rsidR="006012EA">
        <w:rPr>
          <w:rFonts w:hint="eastAsia"/>
          <w:lang w:eastAsia="zh-CN"/>
        </w:rPr>
        <w:t>或为了生命安全目的提供高适应性通信服务的唯一可靠方式，因此保持通信服务平稳运行环境的</w:t>
      </w:r>
      <w:r w:rsidR="00C379AB">
        <w:rPr>
          <w:rFonts w:hint="eastAsia"/>
          <w:lang w:eastAsia="zh-CN"/>
        </w:rPr>
        <w:t>可靠</w:t>
      </w:r>
      <w:r w:rsidR="006012EA">
        <w:rPr>
          <w:rFonts w:hint="eastAsia"/>
          <w:lang w:eastAsia="zh-CN"/>
        </w:rPr>
        <w:t>性至关重要；</w:t>
      </w:r>
    </w:p>
    <w:p w:rsidR="008F3056" w:rsidRDefault="00D176A9" w:rsidP="00D900A6">
      <w:pPr>
        <w:rPr>
          <w:i/>
          <w:iCs/>
          <w:lang w:eastAsia="zh-CN"/>
        </w:rPr>
      </w:pPr>
      <w:r w:rsidRPr="00CD4CB8">
        <w:rPr>
          <w:i/>
          <w:iCs/>
          <w:lang w:eastAsia="zh-CN"/>
        </w:rPr>
        <w:t>f)</w:t>
      </w:r>
      <w:r w:rsidRPr="00CD4CB8">
        <w:rPr>
          <w:lang w:eastAsia="zh-CN"/>
        </w:rPr>
        <w:tab/>
      </w:r>
      <w:r w:rsidR="00C379AB">
        <w:rPr>
          <w:rFonts w:hint="eastAsia"/>
          <w:lang w:eastAsia="zh-CN"/>
        </w:rPr>
        <w:t>就</w:t>
      </w:r>
      <w:r w:rsidR="006012EA">
        <w:rPr>
          <w:rFonts w:hint="eastAsia"/>
          <w:lang w:eastAsia="zh-CN"/>
        </w:rPr>
        <w:t>依靠无线电频率建立通信路径的某些类型的有线或基于电缆的无线电通信系统的配置</w:t>
      </w:r>
      <w:r w:rsidR="00C379AB">
        <w:rPr>
          <w:rFonts w:hint="eastAsia"/>
          <w:lang w:eastAsia="zh-CN"/>
        </w:rPr>
        <w:t>而言</w:t>
      </w:r>
      <w:r w:rsidR="006012EA">
        <w:rPr>
          <w:rFonts w:hint="eastAsia"/>
          <w:lang w:eastAsia="zh-CN"/>
        </w:rPr>
        <w:t>，它所需要的有关兼容性和频率共用方面的考虑</w:t>
      </w:r>
      <w:r w:rsidR="00C379AB">
        <w:rPr>
          <w:rFonts w:hint="eastAsia"/>
          <w:lang w:eastAsia="zh-CN"/>
        </w:rPr>
        <w:t>，</w:t>
      </w:r>
      <w:r w:rsidR="006012EA">
        <w:rPr>
          <w:rFonts w:hint="eastAsia"/>
          <w:lang w:eastAsia="zh-CN"/>
        </w:rPr>
        <w:t>与研究无线电通信所用频段共用时所需的考虑相同；</w:t>
      </w:r>
    </w:p>
    <w:p w:rsidR="00D176A9" w:rsidRDefault="00D176A9" w:rsidP="00F44F9F">
      <w:pPr>
        <w:rPr>
          <w:lang w:eastAsia="zh-CN"/>
        </w:rPr>
      </w:pPr>
      <w:r w:rsidRPr="00CD4CB8">
        <w:rPr>
          <w:i/>
          <w:iCs/>
          <w:lang w:eastAsia="zh-CN"/>
        </w:rPr>
        <w:t>g)</w:t>
      </w:r>
      <w:r w:rsidRPr="00CD4CB8">
        <w:rPr>
          <w:lang w:eastAsia="zh-CN"/>
        </w:rPr>
        <w:tab/>
      </w:r>
      <w:r w:rsidR="006012EA">
        <w:rPr>
          <w:rFonts w:hint="eastAsia"/>
          <w:lang w:eastAsia="zh-CN"/>
        </w:rPr>
        <w:t>标准</w:t>
      </w:r>
      <w:r w:rsidR="00C379AB">
        <w:rPr>
          <w:rFonts w:hint="eastAsia"/>
          <w:lang w:eastAsia="zh-CN"/>
        </w:rPr>
        <w:t>制</w:t>
      </w:r>
      <w:r w:rsidR="006012EA">
        <w:rPr>
          <w:rFonts w:hint="eastAsia"/>
          <w:lang w:eastAsia="zh-CN"/>
        </w:rPr>
        <w:t>定机构、行业联盟和制造商在不参考国际电联为确保无线电频谱有效利用而制定的规则、标准和指导原则</w:t>
      </w:r>
      <w:r w:rsidR="00C379AB">
        <w:rPr>
          <w:rFonts w:hint="eastAsia"/>
          <w:lang w:eastAsia="zh-CN"/>
        </w:rPr>
        <w:t>，</w:t>
      </w:r>
      <w:r w:rsidR="006012EA">
        <w:rPr>
          <w:rFonts w:hint="eastAsia"/>
          <w:lang w:eastAsia="zh-CN"/>
        </w:rPr>
        <w:t>以及</w:t>
      </w:r>
      <w:r w:rsidR="00F44F9F">
        <w:rPr>
          <w:rFonts w:hint="eastAsia"/>
          <w:lang w:eastAsia="zh-CN"/>
        </w:rPr>
        <w:t>未</w:t>
      </w:r>
      <w:r w:rsidR="006012EA">
        <w:rPr>
          <w:rFonts w:hint="eastAsia"/>
          <w:lang w:eastAsia="zh-CN"/>
        </w:rPr>
        <w:t>进行国际电联通常就无线电频率使用兼容性研究开展</w:t>
      </w:r>
      <w:r w:rsidR="00F44F9F">
        <w:rPr>
          <w:rFonts w:hint="eastAsia"/>
          <w:lang w:eastAsia="zh-CN"/>
        </w:rPr>
        <w:t>公开</w:t>
      </w:r>
      <w:r w:rsidR="006012EA">
        <w:rPr>
          <w:rFonts w:hint="eastAsia"/>
          <w:lang w:eastAsia="zh-CN"/>
        </w:rPr>
        <w:t>论坛讨论的情况下，越来越多</w:t>
      </w:r>
      <w:r w:rsidR="00F44F9F">
        <w:rPr>
          <w:rFonts w:hint="eastAsia"/>
          <w:lang w:eastAsia="zh-CN"/>
        </w:rPr>
        <w:t>地</w:t>
      </w:r>
      <w:r w:rsidR="006012EA">
        <w:rPr>
          <w:rFonts w:hint="eastAsia"/>
          <w:lang w:eastAsia="zh-CN"/>
        </w:rPr>
        <w:t>制定出有关依赖无线电频率的无线电通信产品和系统的规范，</w:t>
      </w:r>
      <w:r w:rsidR="00F44F9F">
        <w:rPr>
          <w:rFonts w:hint="eastAsia"/>
          <w:lang w:eastAsia="zh-CN"/>
        </w:rPr>
        <w:t>因而</w:t>
      </w:r>
      <w:r w:rsidR="006012EA">
        <w:rPr>
          <w:rFonts w:hint="eastAsia"/>
          <w:lang w:eastAsia="zh-CN"/>
        </w:rPr>
        <w:t>可能导致这些规范与根据国际电</w:t>
      </w:r>
      <w:r w:rsidR="00DB7A13">
        <w:rPr>
          <w:rFonts w:hint="eastAsia"/>
          <w:lang w:eastAsia="zh-CN"/>
        </w:rPr>
        <w:t>联制定的规则、标准和指导意见开发的电信和无线电通信系统不相兼容；</w:t>
      </w:r>
    </w:p>
    <w:p w:rsidR="00D176A9" w:rsidRPr="00CD4CB8" w:rsidRDefault="00D176A9" w:rsidP="00F44F9F">
      <w:pPr>
        <w:rPr>
          <w:lang w:eastAsia="zh-CN"/>
        </w:rPr>
      </w:pPr>
      <w:r w:rsidRPr="00FB3A15">
        <w:rPr>
          <w:i/>
          <w:lang w:eastAsia="zh-CN"/>
        </w:rPr>
        <w:t>h)</w:t>
      </w:r>
      <w:r>
        <w:rPr>
          <w:lang w:eastAsia="zh-CN"/>
        </w:rPr>
        <w:tab/>
      </w:r>
      <w:r w:rsidR="005B509C">
        <w:rPr>
          <w:rFonts w:hint="eastAsia"/>
          <w:lang w:eastAsia="zh-CN"/>
        </w:rPr>
        <w:t>尤其是</w:t>
      </w:r>
      <w:r w:rsidR="00F44F9F">
        <w:rPr>
          <w:rFonts w:hint="eastAsia"/>
          <w:lang w:eastAsia="zh-CN"/>
        </w:rPr>
        <w:t>密集</w:t>
      </w:r>
      <w:r w:rsidR="005B509C">
        <w:rPr>
          <w:rFonts w:hint="eastAsia"/>
          <w:lang w:eastAsia="zh-CN"/>
        </w:rPr>
        <w:t>排列运行的有线和无线家庭网络系统的迅速增长</w:t>
      </w:r>
      <w:r w:rsidR="00F44F9F">
        <w:rPr>
          <w:rFonts w:hint="eastAsia"/>
          <w:lang w:eastAsia="zh-CN"/>
        </w:rPr>
        <w:t>，提出了</w:t>
      </w:r>
      <w:r w:rsidR="005B509C">
        <w:rPr>
          <w:rFonts w:hint="eastAsia"/>
          <w:lang w:eastAsia="zh-CN"/>
        </w:rPr>
        <w:t>更加重视</w:t>
      </w:r>
      <w:r w:rsidR="00F44F9F">
        <w:rPr>
          <w:rFonts w:hint="eastAsia"/>
          <w:lang w:eastAsia="zh-CN"/>
        </w:rPr>
        <w:t>改进</w:t>
      </w:r>
      <w:r w:rsidR="005B509C">
        <w:rPr>
          <w:rFonts w:hint="eastAsia"/>
          <w:lang w:eastAsia="zh-CN"/>
        </w:rPr>
        <w:t>抗干扰标准和缓解技术的</w:t>
      </w:r>
      <w:r w:rsidR="00F44F9F">
        <w:rPr>
          <w:rFonts w:hint="eastAsia"/>
          <w:lang w:eastAsia="zh-CN"/>
        </w:rPr>
        <w:t>要求</w:t>
      </w:r>
      <w:r w:rsidR="005B509C">
        <w:rPr>
          <w:rFonts w:hint="eastAsia"/>
          <w:lang w:eastAsia="zh-CN"/>
        </w:rPr>
        <w:t>；</w:t>
      </w:r>
    </w:p>
    <w:p w:rsidR="00D176A9" w:rsidRPr="00CD4CB8" w:rsidRDefault="00D176A9" w:rsidP="00D900A6">
      <w:pPr>
        <w:rPr>
          <w:lang w:eastAsia="zh-CN"/>
        </w:rPr>
      </w:pPr>
      <w:proofErr w:type="spellStart"/>
      <w:r>
        <w:rPr>
          <w:i/>
          <w:iCs/>
          <w:lang w:eastAsia="zh-CN"/>
        </w:rPr>
        <w:t>i</w:t>
      </w:r>
      <w:proofErr w:type="spellEnd"/>
      <w:r w:rsidRPr="00CD4CB8">
        <w:rPr>
          <w:i/>
          <w:iCs/>
          <w:lang w:eastAsia="zh-CN"/>
        </w:rPr>
        <w:t>)</w:t>
      </w:r>
      <w:r w:rsidRPr="00CD4CB8">
        <w:rPr>
          <w:lang w:eastAsia="zh-CN"/>
        </w:rPr>
        <w:tab/>
      </w:r>
      <w:r w:rsidR="005B509C">
        <w:rPr>
          <w:rFonts w:hint="eastAsia"/>
          <w:lang w:eastAsia="zh-CN"/>
        </w:rPr>
        <w:t>只有来自私营部门、政府和监管机构的国际电联各部门</w:t>
      </w:r>
      <w:r w:rsidR="00F44F9F">
        <w:rPr>
          <w:rFonts w:hint="eastAsia"/>
          <w:lang w:eastAsia="zh-CN"/>
        </w:rPr>
        <w:t>的</w:t>
      </w:r>
      <w:r w:rsidR="005B509C">
        <w:rPr>
          <w:rFonts w:hint="eastAsia"/>
          <w:lang w:eastAsia="zh-CN"/>
        </w:rPr>
        <w:t>电信和无线电通信专家</w:t>
      </w:r>
      <w:r w:rsidR="00F44F9F">
        <w:rPr>
          <w:rFonts w:hint="eastAsia"/>
          <w:lang w:eastAsia="zh-CN"/>
        </w:rPr>
        <w:t>，</w:t>
      </w:r>
      <w:r w:rsidR="005B509C">
        <w:rPr>
          <w:rFonts w:hint="eastAsia"/>
          <w:lang w:eastAsia="zh-CN"/>
        </w:rPr>
        <w:t>能够提供研究采用直接连接和无线电波的电信系统之间兼容性的专业技能，可通过国际电联提供的各种成员类别接纳所有相关方参与工作，</w:t>
      </w:r>
    </w:p>
    <w:p w:rsidR="00D176A9" w:rsidRPr="0026072F" w:rsidRDefault="005B509C" w:rsidP="00D900A6">
      <w:pPr>
        <w:pStyle w:val="Call"/>
        <w:rPr>
          <w:i w:val="0"/>
          <w:iCs/>
          <w:lang w:val="en-US" w:eastAsia="zh-CN"/>
        </w:rPr>
      </w:pPr>
      <w:r w:rsidRPr="0026072F">
        <w:rPr>
          <w:rFonts w:ascii="STKaiti" w:eastAsia="STKaiti" w:hAnsi="STKaiti" w:hint="eastAsia"/>
          <w:i w:val="0"/>
          <w:iCs/>
          <w:lang w:val="en-US" w:eastAsia="zh-CN"/>
        </w:rPr>
        <w:lastRenderedPageBreak/>
        <w:t>注意到</w:t>
      </w:r>
    </w:p>
    <w:p w:rsidR="00D176A9" w:rsidRPr="00CD4CB8" w:rsidRDefault="00D176A9" w:rsidP="00615CF0">
      <w:pPr>
        <w:rPr>
          <w:b/>
          <w:lang w:eastAsia="zh-CN"/>
        </w:rPr>
      </w:pPr>
      <w:r w:rsidRPr="00CD4CB8">
        <w:rPr>
          <w:bCs/>
          <w:lang w:eastAsia="zh-CN"/>
        </w:rPr>
        <w:t>1</w:t>
      </w:r>
      <w:r w:rsidRPr="00CD4CB8">
        <w:rPr>
          <w:lang w:eastAsia="zh-CN"/>
        </w:rPr>
        <w:tab/>
      </w:r>
      <w:r w:rsidR="005B509C">
        <w:rPr>
          <w:rFonts w:hint="eastAsia"/>
          <w:lang w:eastAsia="zh-CN"/>
        </w:rPr>
        <w:t>电信标准化部门和无线电通信部门开发的合作机制</w:t>
      </w:r>
      <w:r w:rsidR="00615CF0">
        <w:rPr>
          <w:rFonts w:hint="eastAsia"/>
          <w:lang w:eastAsia="zh-CN"/>
        </w:rPr>
        <w:t>可确保，在开发利用</w:t>
      </w:r>
      <w:r w:rsidR="005B509C">
        <w:rPr>
          <w:rFonts w:hint="eastAsia"/>
          <w:lang w:eastAsia="zh-CN"/>
        </w:rPr>
        <w:t>两部门</w:t>
      </w:r>
      <w:r w:rsidR="00615CF0">
        <w:rPr>
          <w:rFonts w:hint="eastAsia"/>
          <w:lang w:eastAsia="zh-CN"/>
        </w:rPr>
        <w:t>关注</w:t>
      </w:r>
      <w:r w:rsidR="005B509C">
        <w:rPr>
          <w:rFonts w:hint="eastAsia"/>
          <w:lang w:eastAsia="zh-CN"/>
        </w:rPr>
        <w:t>的无线电频率的系统</w:t>
      </w:r>
      <w:r w:rsidR="00615CF0">
        <w:rPr>
          <w:rFonts w:hint="eastAsia"/>
          <w:lang w:eastAsia="zh-CN"/>
        </w:rPr>
        <w:t>时</w:t>
      </w:r>
      <w:r w:rsidR="00F44F9F">
        <w:rPr>
          <w:rFonts w:hint="eastAsia"/>
          <w:lang w:eastAsia="zh-CN"/>
        </w:rPr>
        <w:t>，</w:t>
      </w:r>
      <w:r w:rsidR="00615CF0">
        <w:rPr>
          <w:rFonts w:hint="eastAsia"/>
          <w:lang w:eastAsia="zh-CN"/>
        </w:rPr>
        <w:t>能够</w:t>
      </w:r>
      <w:r w:rsidR="005B509C">
        <w:rPr>
          <w:rFonts w:hint="eastAsia"/>
          <w:lang w:eastAsia="zh-CN"/>
        </w:rPr>
        <w:t>使有线</w:t>
      </w:r>
      <w:r w:rsidR="005B509C">
        <w:rPr>
          <w:rFonts w:hint="eastAsia"/>
          <w:lang w:eastAsia="zh-CN"/>
        </w:rPr>
        <w:t>-/</w:t>
      </w:r>
      <w:r w:rsidR="005B509C">
        <w:rPr>
          <w:rFonts w:hint="eastAsia"/>
          <w:lang w:eastAsia="zh-CN"/>
        </w:rPr>
        <w:t>基于电缆的系统和无线电通信系统之间出现的各类兼容性问题在其研究过程中得到解决；</w:t>
      </w:r>
    </w:p>
    <w:p w:rsidR="00D176A9" w:rsidRPr="00CD4CB8" w:rsidRDefault="00D176A9" w:rsidP="00615CF0">
      <w:pPr>
        <w:rPr>
          <w:lang w:eastAsia="zh-CN"/>
        </w:rPr>
      </w:pPr>
      <w:r w:rsidRPr="00CD4CB8">
        <w:rPr>
          <w:bCs/>
          <w:lang w:eastAsia="zh-CN"/>
        </w:rPr>
        <w:t>2</w:t>
      </w:r>
      <w:r w:rsidRPr="00CD4CB8">
        <w:rPr>
          <w:lang w:eastAsia="zh-CN"/>
        </w:rPr>
        <w:tab/>
      </w:r>
      <w:r w:rsidR="00DB7A13">
        <w:rPr>
          <w:rFonts w:hint="eastAsia"/>
          <w:lang w:eastAsia="zh-CN"/>
        </w:rPr>
        <w:t>维持经有线</w:t>
      </w:r>
      <w:r w:rsidR="005B509C">
        <w:rPr>
          <w:rFonts w:hint="eastAsia"/>
          <w:lang w:eastAsia="zh-CN"/>
        </w:rPr>
        <w:t>-/</w:t>
      </w:r>
      <w:r w:rsidR="00615CF0">
        <w:rPr>
          <w:rFonts w:hint="eastAsia"/>
          <w:lang w:eastAsia="zh-CN"/>
        </w:rPr>
        <w:t>缆</w:t>
      </w:r>
      <w:r w:rsidR="005B509C">
        <w:rPr>
          <w:rFonts w:hint="eastAsia"/>
          <w:lang w:eastAsia="zh-CN"/>
        </w:rPr>
        <w:t>基系统的数据通信所需的射频信号电</w:t>
      </w:r>
      <w:r w:rsidR="00615CF0">
        <w:rPr>
          <w:rFonts w:hint="eastAsia"/>
          <w:lang w:eastAsia="zh-CN"/>
        </w:rPr>
        <w:t>平</w:t>
      </w:r>
      <w:r w:rsidR="005B509C">
        <w:rPr>
          <w:rFonts w:hint="eastAsia"/>
          <w:lang w:eastAsia="zh-CN"/>
        </w:rPr>
        <w:t>可能高于假设电</w:t>
      </w:r>
      <w:r w:rsidR="00615CF0">
        <w:rPr>
          <w:rFonts w:hint="eastAsia"/>
          <w:lang w:eastAsia="zh-CN"/>
        </w:rPr>
        <w:t>平</w:t>
      </w:r>
      <w:r w:rsidR="005B509C">
        <w:rPr>
          <w:rFonts w:hint="eastAsia"/>
          <w:lang w:eastAsia="zh-CN"/>
        </w:rPr>
        <w:t>，因为假设的条件是，电器和电子设备传导和扩散出的射频发射完全是设备运行引起的，并不实际承载任何通信信号或数据，</w:t>
      </w:r>
      <w:r w:rsidRPr="00CD4CB8">
        <w:rPr>
          <w:lang w:eastAsia="zh-CN"/>
        </w:rPr>
        <w:t xml:space="preserve"> </w:t>
      </w:r>
    </w:p>
    <w:p w:rsidR="00D176A9" w:rsidRPr="0026072F" w:rsidRDefault="005B509C" w:rsidP="00D900A6">
      <w:pPr>
        <w:pStyle w:val="Call"/>
        <w:rPr>
          <w:i w:val="0"/>
          <w:iCs/>
          <w:lang w:val="en-US" w:eastAsia="zh-CN"/>
        </w:rPr>
      </w:pPr>
      <w:r w:rsidRPr="0026072F">
        <w:rPr>
          <w:rFonts w:ascii="STKaiti" w:eastAsia="STKaiti" w:hAnsi="STKaiti" w:hint="eastAsia"/>
          <w:i w:val="0"/>
          <w:iCs/>
          <w:lang w:val="en-US" w:eastAsia="zh-CN"/>
        </w:rPr>
        <w:t>认识到</w:t>
      </w:r>
    </w:p>
    <w:p w:rsidR="000E5FA4" w:rsidRDefault="005B509C" w:rsidP="007E7CE1">
      <w:pPr>
        <w:ind w:firstLineChars="200" w:firstLine="480"/>
        <w:rPr>
          <w:i/>
          <w:lang w:val="en-US" w:eastAsia="zh-CN"/>
        </w:rPr>
      </w:pPr>
      <w:r>
        <w:rPr>
          <w:rFonts w:hint="eastAsia"/>
          <w:bCs/>
          <w:lang w:eastAsia="zh-CN"/>
        </w:rPr>
        <w:t>依据《无线电规则》和</w:t>
      </w:r>
      <w:r>
        <w:rPr>
          <w:rFonts w:hint="eastAsia"/>
          <w:bCs/>
          <w:lang w:eastAsia="zh-CN"/>
        </w:rPr>
        <w:t>ITU-R</w:t>
      </w:r>
      <w:r>
        <w:rPr>
          <w:rFonts w:hint="eastAsia"/>
          <w:bCs/>
          <w:lang w:eastAsia="zh-CN"/>
        </w:rPr>
        <w:t>和</w:t>
      </w:r>
      <w:r>
        <w:rPr>
          <w:rFonts w:hint="eastAsia"/>
          <w:bCs/>
          <w:lang w:eastAsia="zh-CN"/>
        </w:rPr>
        <w:t>ITU-T</w:t>
      </w:r>
      <w:r>
        <w:rPr>
          <w:rFonts w:hint="eastAsia"/>
          <w:bCs/>
          <w:lang w:eastAsia="zh-CN"/>
        </w:rPr>
        <w:t>各项决议及建议书，国际电联是负责确保电信所用不同无线电频率之间兼容性的主导国际机构，</w:t>
      </w:r>
    </w:p>
    <w:p w:rsidR="00D176A9" w:rsidRPr="0026072F" w:rsidRDefault="005B509C" w:rsidP="00D900A6">
      <w:pPr>
        <w:pStyle w:val="Call"/>
        <w:rPr>
          <w:i w:val="0"/>
          <w:iCs/>
          <w:lang w:val="en-US" w:eastAsia="zh-CN"/>
        </w:rPr>
      </w:pPr>
      <w:r w:rsidRPr="0026072F">
        <w:rPr>
          <w:rFonts w:ascii="STKaiti" w:eastAsia="STKaiti" w:hAnsi="STKaiti" w:hint="eastAsia"/>
          <w:i w:val="0"/>
          <w:iCs/>
          <w:lang w:val="en-US" w:eastAsia="zh-CN"/>
        </w:rPr>
        <w:t>认为</w:t>
      </w:r>
    </w:p>
    <w:p w:rsidR="00D176A9" w:rsidRDefault="000E5FA4" w:rsidP="00615CF0">
      <w:pPr>
        <w:rPr>
          <w:lang w:eastAsia="zh-CN"/>
        </w:rPr>
      </w:pPr>
      <w:r>
        <w:rPr>
          <w:lang w:eastAsia="zh-CN"/>
        </w:rPr>
        <w:t>1</w:t>
      </w:r>
      <w:r w:rsidR="00D176A9">
        <w:rPr>
          <w:lang w:eastAsia="zh-CN"/>
        </w:rPr>
        <w:tab/>
      </w:r>
      <w:r w:rsidR="005B509C">
        <w:rPr>
          <w:rFonts w:hint="eastAsia"/>
          <w:lang w:eastAsia="zh-CN"/>
        </w:rPr>
        <w:t>标准</w:t>
      </w:r>
      <w:r w:rsidR="00615CF0">
        <w:rPr>
          <w:rFonts w:hint="eastAsia"/>
          <w:lang w:eastAsia="zh-CN"/>
        </w:rPr>
        <w:t>制定</w:t>
      </w:r>
      <w:r w:rsidR="005B509C">
        <w:rPr>
          <w:rFonts w:hint="eastAsia"/>
          <w:lang w:eastAsia="zh-CN"/>
        </w:rPr>
        <w:t>机构、行业联盟和制造商在开发依赖无线电频率运行的系统和设备时，遵循通过</w:t>
      </w:r>
      <w:r w:rsidR="005B509C">
        <w:rPr>
          <w:rFonts w:hint="eastAsia"/>
          <w:lang w:eastAsia="zh-CN"/>
        </w:rPr>
        <w:t>ITU-R</w:t>
      </w:r>
      <w:r w:rsidR="005B509C">
        <w:rPr>
          <w:rFonts w:hint="eastAsia"/>
          <w:lang w:eastAsia="zh-CN"/>
        </w:rPr>
        <w:t>和</w:t>
      </w:r>
      <w:r w:rsidR="005B509C">
        <w:rPr>
          <w:rFonts w:hint="eastAsia"/>
          <w:lang w:eastAsia="zh-CN"/>
        </w:rPr>
        <w:t>ITU-T</w:t>
      </w:r>
      <w:r w:rsidR="005B509C">
        <w:rPr>
          <w:rFonts w:hint="eastAsia"/>
          <w:lang w:eastAsia="zh-CN"/>
        </w:rPr>
        <w:t>各项建议书制定的标准、系统规范和无线电频率操作环境</w:t>
      </w:r>
      <w:r w:rsidR="00615CF0">
        <w:rPr>
          <w:rFonts w:hint="eastAsia"/>
          <w:lang w:eastAsia="zh-CN"/>
        </w:rPr>
        <w:t>；</w:t>
      </w:r>
    </w:p>
    <w:p w:rsidR="00D176A9" w:rsidRDefault="000E5FA4" w:rsidP="00615CF0">
      <w:pPr>
        <w:rPr>
          <w:lang w:eastAsia="zh-CN"/>
        </w:rPr>
      </w:pPr>
      <w:r>
        <w:rPr>
          <w:lang w:eastAsia="zh-CN"/>
        </w:rPr>
        <w:t>2</w:t>
      </w:r>
      <w:r w:rsidR="00D176A9">
        <w:rPr>
          <w:lang w:eastAsia="zh-CN"/>
        </w:rPr>
        <w:tab/>
      </w:r>
      <w:r w:rsidR="005B509C">
        <w:rPr>
          <w:rFonts w:hint="eastAsia"/>
          <w:lang w:eastAsia="zh-CN"/>
        </w:rPr>
        <w:t>首先</w:t>
      </w:r>
      <w:r w:rsidR="00615CF0">
        <w:rPr>
          <w:rFonts w:hint="eastAsia"/>
          <w:lang w:eastAsia="zh-CN"/>
        </w:rPr>
        <w:t>，应秉承合作精神</w:t>
      </w:r>
      <w:r w:rsidR="005B509C">
        <w:rPr>
          <w:rFonts w:hint="eastAsia"/>
          <w:lang w:eastAsia="zh-CN"/>
        </w:rPr>
        <w:t>鼓励标准制定机构、行业联盟和制造商提请国际电联注意所有依赖无线电频率的新系统和设备的要求，以便利用国际电联的专业技能</w:t>
      </w:r>
      <w:r w:rsidR="00DB7A13">
        <w:rPr>
          <w:rFonts w:hint="eastAsia"/>
          <w:lang w:eastAsia="zh-CN"/>
        </w:rPr>
        <w:t>确保</w:t>
      </w:r>
      <w:r w:rsidR="00D82AB2">
        <w:rPr>
          <w:rFonts w:hint="eastAsia"/>
          <w:lang w:eastAsia="zh-CN"/>
        </w:rPr>
        <w:t>，</w:t>
      </w:r>
      <w:r w:rsidR="00DB7A13">
        <w:rPr>
          <w:rFonts w:hint="eastAsia"/>
          <w:lang w:eastAsia="zh-CN"/>
        </w:rPr>
        <w:t>这种使用与其</w:t>
      </w:r>
      <w:r w:rsidR="00D82AB2">
        <w:rPr>
          <w:rFonts w:hint="eastAsia"/>
          <w:lang w:eastAsia="zh-CN"/>
        </w:rPr>
        <w:t>它</w:t>
      </w:r>
      <w:r w:rsidR="00DB7A13">
        <w:rPr>
          <w:rFonts w:hint="eastAsia"/>
          <w:lang w:eastAsia="zh-CN"/>
        </w:rPr>
        <w:t>符合《无线电规则》和国际电联无线电通信和电信标准化部门制定的广泛的最佳做法指导原则的用途相</w:t>
      </w:r>
      <w:r w:rsidR="00D82AB2">
        <w:rPr>
          <w:rFonts w:hint="eastAsia"/>
          <w:lang w:eastAsia="zh-CN"/>
        </w:rPr>
        <w:t>互</w:t>
      </w:r>
      <w:r w:rsidR="00DB7A13">
        <w:rPr>
          <w:rFonts w:hint="eastAsia"/>
          <w:lang w:eastAsia="zh-CN"/>
        </w:rPr>
        <w:t>兼容。</w:t>
      </w:r>
    </w:p>
    <w:p w:rsidR="00D176A9" w:rsidRDefault="00D176A9" w:rsidP="00D900A6">
      <w:pPr>
        <w:rPr>
          <w:lang w:val="en-US" w:eastAsia="zh-CN"/>
        </w:rPr>
      </w:pPr>
    </w:p>
    <w:p w:rsidR="007E7CE1" w:rsidRDefault="007E7CE1" w:rsidP="00D900A6">
      <w:pPr>
        <w:rPr>
          <w:lang w:val="en-US" w:eastAsia="zh-CN"/>
        </w:rPr>
      </w:pPr>
    </w:p>
    <w:p w:rsidR="007E7CE1" w:rsidRDefault="007E7CE1" w:rsidP="0032202E">
      <w:pPr>
        <w:pStyle w:val="Reasons"/>
      </w:pPr>
    </w:p>
    <w:p w:rsidR="007E7CE1" w:rsidRDefault="007E7CE1">
      <w:pPr>
        <w:jc w:val="center"/>
      </w:pPr>
      <w:r>
        <w:t>______________</w:t>
      </w:r>
    </w:p>
    <w:sectPr w:rsidR="007E7CE1" w:rsidSect="007E7CE1">
      <w:headerReference w:type="default" r:id="rId8"/>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CF0" w:rsidRDefault="00615CF0">
      <w:r>
        <w:separator/>
      </w:r>
    </w:p>
  </w:endnote>
  <w:endnote w:type="continuationSeparator" w:id="0">
    <w:p w:rsidR="00615CF0" w:rsidRDefault="0061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80000000" w:usb2="00000008" w:usb3="00000000" w:csb0="000001FF" w:csb1="00000000"/>
  </w:font>
  <w:font w:name="STKaiti">
    <w:altName w:val="SimSun"/>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CF0" w:rsidRDefault="00615CF0">
      <w:r>
        <w:t>____________________</w:t>
      </w:r>
    </w:p>
  </w:footnote>
  <w:footnote w:type="continuationSeparator" w:id="0">
    <w:p w:rsidR="00615CF0" w:rsidRDefault="00615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CF0" w:rsidRDefault="00615CF0"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35204">
      <w:rPr>
        <w:rStyle w:val="PageNumber"/>
        <w:noProof/>
      </w:rPr>
      <w:t>2</w:t>
    </w:r>
    <w:r>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6A9"/>
    <w:rsid w:val="000069D4"/>
    <w:rsid w:val="000174AD"/>
    <w:rsid w:val="00017DEE"/>
    <w:rsid w:val="000A7D55"/>
    <w:rsid w:val="000C2E8E"/>
    <w:rsid w:val="000D65AA"/>
    <w:rsid w:val="000E0E7C"/>
    <w:rsid w:val="000E5FA4"/>
    <w:rsid w:val="000F1B4B"/>
    <w:rsid w:val="00123300"/>
    <w:rsid w:val="0012744F"/>
    <w:rsid w:val="00153842"/>
    <w:rsid w:val="00156F66"/>
    <w:rsid w:val="00164765"/>
    <w:rsid w:val="00182528"/>
    <w:rsid w:val="0018500B"/>
    <w:rsid w:val="00196A19"/>
    <w:rsid w:val="001D3993"/>
    <w:rsid w:val="00202DC1"/>
    <w:rsid w:val="002116EE"/>
    <w:rsid w:val="002309D8"/>
    <w:rsid w:val="00260332"/>
    <w:rsid w:val="0026072F"/>
    <w:rsid w:val="002A7FE2"/>
    <w:rsid w:val="002E1B4F"/>
    <w:rsid w:val="002F2E67"/>
    <w:rsid w:val="00315546"/>
    <w:rsid w:val="00330567"/>
    <w:rsid w:val="00386A9D"/>
    <w:rsid w:val="00391081"/>
    <w:rsid w:val="003B2789"/>
    <w:rsid w:val="003C13CE"/>
    <w:rsid w:val="003E2518"/>
    <w:rsid w:val="004B1EF7"/>
    <w:rsid w:val="004B3FAD"/>
    <w:rsid w:val="004C182C"/>
    <w:rsid w:val="004E5EB7"/>
    <w:rsid w:val="00501DCA"/>
    <w:rsid w:val="00513A47"/>
    <w:rsid w:val="005408DF"/>
    <w:rsid w:val="00573344"/>
    <w:rsid w:val="00583F9B"/>
    <w:rsid w:val="005B509C"/>
    <w:rsid w:val="005C0702"/>
    <w:rsid w:val="005E5C10"/>
    <w:rsid w:val="005F2C78"/>
    <w:rsid w:val="005F3E27"/>
    <w:rsid w:val="006012EA"/>
    <w:rsid w:val="006144E4"/>
    <w:rsid w:val="00615CF0"/>
    <w:rsid w:val="006418C9"/>
    <w:rsid w:val="00650299"/>
    <w:rsid w:val="00655FC5"/>
    <w:rsid w:val="006A24E6"/>
    <w:rsid w:val="006A4239"/>
    <w:rsid w:val="006E3867"/>
    <w:rsid w:val="007E7CE1"/>
    <w:rsid w:val="0081343E"/>
    <w:rsid w:val="00822581"/>
    <w:rsid w:val="008309DD"/>
    <w:rsid w:val="0083227A"/>
    <w:rsid w:val="00866900"/>
    <w:rsid w:val="00873778"/>
    <w:rsid w:val="00881BA1"/>
    <w:rsid w:val="008A0414"/>
    <w:rsid w:val="008C26B8"/>
    <w:rsid w:val="008F2BC0"/>
    <w:rsid w:val="008F3056"/>
    <w:rsid w:val="00966266"/>
    <w:rsid w:val="00982084"/>
    <w:rsid w:val="00995963"/>
    <w:rsid w:val="009B61EB"/>
    <w:rsid w:val="009C2064"/>
    <w:rsid w:val="009D1697"/>
    <w:rsid w:val="00A014F8"/>
    <w:rsid w:val="00A17F8A"/>
    <w:rsid w:val="00A5173C"/>
    <w:rsid w:val="00A61AEF"/>
    <w:rsid w:val="00AA0A57"/>
    <w:rsid w:val="00AD4D08"/>
    <w:rsid w:val="00AF173A"/>
    <w:rsid w:val="00B066A4"/>
    <w:rsid w:val="00B07A13"/>
    <w:rsid w:val="00B4279B"/>
    <w:rsid w:val="00B45FC9"/>
    <w:rsid w:val="00BC7193"/>
    <w:rsid w:val="00BC7CCF"/>
    <w:rsid w:val="00BE470B"/>
    <w:rsid w:val="00C379AB"/>
    <w:rsid w:val="00C5047D"/>
    <w:rsid w:val="00C57A91"/>
    <w:rsid w:val="00CC01C2"/>
    <w:rsid w:val="00CF21F2"/>
    <w:rsid w:val="00D02712"/>
    <w:rsid w:val="00D176A9"/>
    <w:rsid w:val="00D214D0"/>
    <w:rsid w:val="00D6546B"/>
    <w:rsid w:val="00D74472"/>
    <w:rsid w:val="00D82AB2"/>
    <w:rsid w:val="00D900A6"/>
    <w:rsid w:val="00DB7A13"/>
    <w:rsid w:val="00DD4BED"/>
    <w:rsid w:val="00DE39F0"/>
    <w:rsid w:val="00DF0AF3"/>
    <w:rsid w:val="00E26656"/>
    <w:rsid w:val="00E27D7E"/>
    <w:rsid w:val="00E35204"/>
    <w:rsid w:val="00E42E13"/>
    <w:rsid w:val="00E6257C"/>
    <w:rsid w:val="00E63C59"/>
    <w:rsid w:val="00E7728B"/>
    <w:rsid w:val="00EB6FCD"/>
    <w:rsid w:val="00ED583D"/>
    <w:rsid w:val="00F44F9F"/>
    <w:rsid w:val="00F64BB7"/>
    <w:rsid w:val="00FA124A"/>
    <w:rsid w:val="00FC08DD"/>
    <w:rsid w:val="00FC2316"/>
    <w:rsid w:val="00FC2CFD"/>
    <w:rsid w:val="00FF24B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1EF96-E125-4167-9A6E-EE3AEB2B6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2</Pages>
  <Words>1424</Words>
  <Characters>103</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Virginia</dc:creator>
  <cp:lastModifiedBy>mostyn</cp:lastModifiedBy>
  <cp:revision>5</cp:revision>
  <cp:lastPrinted>2012-07-06T08:21:00Z</cp:lastPrinted>
  <dcterms:created xsi:type="dcterms:W3CDTF">2012-07-06T08:20:00Z</dcterms:created>
  <dcterms:modified xsi:type="dcterms:W3CDTF">2012-07-06T11:41:00Z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