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1"/>
              <w:gridCol w:w="4892"/>
            </w:tblGrid>
            <w:tr w:rsidR="004A2D4D" w:rsidTr="00457951">
              <w:tc>
                <w:tcPr>
                  <w:tcW w:w="5031" w:type="dxa"/>
                </w:tcPr>
                <w:p w:rsidR="004A2D4D" w:rsidRDefault="004A2D4D" w:rsidP="004A2D4D">
                  <w:pPr>
                    <w:pStyle w:val="Header"/>
                    <w:tabs>
                      <w:tab w:val="clear" w:pos="794"/>
                      <w:tab w:val="clear" w:pos="4820"/>
                    </w:tabs>
                    <w:spacing w:before="120" w:line="360" w:lineRule="auto"/>
                  </w:pPr>
                  <w:r>
                    <w:rPr>
                      <w:b/>
                      <w:bCs/>
                      <w:noProof/>
                      <w:lang w:val="en-GB" w:eastAsia="zh-CN"/>
                    </w:rPr>
                    <w:drawing>
                      <wp:inline distT="0" distB="0" distL="0" distR="0" wp14:anchorId="0CE9FFA8" wp14:editId="080198D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4A2D4D" w:rsidRDefault="004A2D4D" w:rsidP="004A2D4D">
                  <w:pPr>
                    <w:pStyle w:val="Header"/>
                    <w:tabs>
                      <w:tab w:val="clear" w:pos="794"/>
                      <w:tab w:val="clear" w:pos="4820"/>
                    </w:tabs>
                    <w:spacing w:line="360" w:lineRule="auto"/>
                    <w:jc w:val="right"/>
                  </w:pPr>
                  <w:r w:rsidRPr="00975D6F">
                    <w:rPr>
                      <w:rFonts w:cs="Arial"/>
                      <w:noProof/>
                      <w:lang w:val="en-GB" w:eastAsia="zh-CN"/>
                    </w:rPr>
                    <w:drawing>
                      <wp:inline distT="0" distB="0" distL="0" distR="0" wp14:anchorId="40521F0A" wp14:editId="297DAAC9">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D62D92">
            <w:pPr>
              <w:spacing w:before="0"/>
              <w:jc w:val="left"/>
              <w:rPr>
                <w:b/>
                <w:bCs/>
                <w:szCs w:val="24"/>
                <w:lang w:val="es-ES_tradnl"/>
              </w:rPr>
            </w:pPr>
            <w:r w:rsidRPr="0075124D">
              <w:rPr>
                <w:b/>
                <w:bCs/>
                <w:lang w:val="es-ES_tradnl"/>
              </w:rPr>
              <w:t>CR/</w:t>
            </w:r>
            <w:r w:rsidR="0005584B">
              <w:rPr>
                <w:b/>
                <w:bCs/>
                <w:lang w:val="es-ES_tradnl"/>
              </w:rPr>
              <w:t>409</w:t>
            </w:r>
          </w:p>
        </w:tc>
        <w:tc>
          <w:tcPr>
            <w:tcW w:w="2835" w:type="dxa"/>
            <w:shd w:val="clear" w:color="auto" w:fill="auto"/>
          </w:tcPr>
          <w:p w:rsidR="00E53DCE" w:rsidRPr="0075124D" w:rsidRDefault="0005584B" w:rsidP="0005584B">
            <w:pPr>
              <w:spacing w:before="0"/>
              <w:jc w:val="right"/>
              <w:rPr>
                <w:szCs w:val="24"/>
                <w:lang w:val="es-ES_tradnl"/>
              </w:rPr>
            </w:pPr>
            <w:r>
              <w:rPr>
                <w:bCs/>
                <w:szCs w:val="24"/>
                <w:lang w:val="es-ES_tradnl"/>
              </w:rPr>
              <w:t>28 de julio</w:t>
            </w:r>
            <w:r w:rsidR="00D62D92" w:rsidRPr="0075124D">
              <w:rPr>
                <w:bCs/>
                <w:szCs w:val="24"/>
                <w:lang w:val="es-ES_tradnl"/>
              </w:rPr>
              <w:t xml:space="preserve"> de 2016</w:t>
            </w: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4801D8"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4801D8"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4801D8"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4801D8"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62209F" w:rsidP="0005584B">
            <w:pPr>
              <w:tabs>
                <w:tab w:val="clear" w:pos="1588"/>
                <w:tab w:val="left" w:pos="1560"/>
              </w:tabs>
              <w:spacing w:before="0"/>
              <w:rPr>
                <w:b/>
                <w:bCs/>
                <w:szCs w:val="24"/>
                <w:lang w:val="es-ES_tradnl"/>
              </w:rPr>
            </w:pPr>
            <w:r w:rsidRPr="00FD124F">
              <w:rPr>
                <w:b/>
                <w:bCs/>
                <w:szCs w:val="24"/>
                <w:lang w:val="es-ES_tradnl"/>
              </w:rPr>
              <w:t xml:space="preserve">Actas de la </w:t>
            </w:r>
            <w:r>
              <w:rPr>
                <w:b/>
                <w:bCs/>
                <w:szCs w:val="24"/>
                <w:lang w:val="es-ES_tradnl"/>
              </w:rPr>
              <w:t>7</w:t>
            </w:r>
            <w:r w:rsidR="0005584B">
              <w:rPr>
                <w:b/>
                <w:bCs/>
                <w:szCs w:val="24"/>
                <w:lang w:val="es-ES_tradnl"/>
              </w:rPr>
              <w:t>2</w:t>
            </w:r>
            <w:r w:rsidRPr="00FD124F">
              <w:rPr>
                <w:b/>
                <w:bCs/>
                <w:szCs w:val="24"/>
                <w:lang w:val="es-ES_tradnl"/>
              </w:rPr>
              <w:t>ª reunión de la Junta del Reglamento de Radiocomunicaciones</w:t>
            </w:r>
          </w:p>
        </w:tc>
      </w:tr>
      <w:tr w:rsidR="00E53DCE" w:rsidRPr="004801D8"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4801D8"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4801D8"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4801D8"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62209F" w:rsidRDefault="0062209F" w:rsidP="0005584B">
      <w:pPr>
        <w:tabs>
          <w:tab w:val="clear" w:pos="1588"/>
          <w:tab w:val="left" w:pos="1560"/>
        </w:tabs>
        <w:spacing w:before="840"/>
        <w:jc w:val="left"/>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sidR="0005584B">
        <w:rPr>
          <w:szCs w:val="24"/>
          <w:lang w:val="es-ES_tradnl"/>
        </w:rPr>
        <w:t>72</w:t>
      </w:r>
      <w:r w:rsidRPr="00FD124F">
        <w:rPr>
          <w:szCs w:val="24"/>
          <w:lang w:val="es-ES_tradnl"/>
        </w:rPr>
        <w:t>ª reunión de la Junta de Reglamento de Radiocomunicaciones (</w:t>
      </w:r>
      <w:r>
        <w:rPr>
          <w:szCs w:val="24"/>
          <w:lang w:val="es-ES_tradnl"/>
        </w:rPr>
        <w:t>1</w:t>
      </w:r>
      <w:r w:rsidR="0005584B">
        <w:rPr>
          <w:szCs w:val="24"/>
          <w:lang w:val="es-ES_tradnl"/>
        </w:rPr>
        <w:t>6</w:t>
      </w:r>
      <w:r>
        <w:rPr>
          <w:szCs w:val="24"/>
          <w:lang w:val="es-ES_tradnl"/>
        </w:rPr>
        <w:t xml:space="preserve"> – </w:t>
      </w:r>
      <w:r w:rsidR="0005584B">
        <w:rPr>
          <w:szCs w:val="24"/>
          <w:lang w:val="es-ES_tradnl"/>
        </w:rPr>
        <w:t>20 de mayo</w:t>
      </w:r>
      <w:r>
        <w:rPr>
          <w:szCs w:val="24"/>
          <w:lang w:val="es-ES_tradnl"/>
        </w:rPr>
        <w:t xml:space="preserve"> de 2016</w:t>
      </w:r>
      <w:r w:rsidRPr="00FD124F">
        <w:rPr>
          <w:szCs w:val="24"/>
          <w:lang w:val="es-ES_tradnl"/>
        </w:rPr>
        <w:t>).</w:t>
      </w:r>
    </w:p>
    <w:p w:rsidR="0074424D" w:rsidRPr="00FD124F" w:rsidRDefault="0074424D" w:rsidP="0074424D">
      <w:pPr>
        <w:tabs>
          <w:tab w:val="clear" w:pos="1588"/>
          <w:tab w:val="left" w:pos="1560"/>
        </w:tabs>
        <w:spacing w:before="240"/>
        <w:jc w:val="left"/>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rsidR="00D62D92" w:rsidRPr="0075124D" w:rsidRDefault="00D62D92" w:rsidP="0074424D">
      <w:pPr>
        <w:spacing w:before="1200" w:line="240" w:lineRule="auto"/>
        <w:jc w:val="left"/>
        <w:rPr>
          <w:szCs w:val="24"/>
          <w:lang w:val="es-ES_tradnl"/>
        </w:rPr>
      </w:pPr>
      <w:r w:rsidRPr="0075124D">
        <w:rPr>
          <w:szCs w:val="24"/>
          <w:lang w:val="es-ES_tradnl"/>
        </w:rPr>
        <w:t>François Rancy</w:t>
      </w:r>
      <w:r w:rsidR="00A414A5">
        <w:rPr>
          <w:szCs w:val="24"/>
          <w:lang w:val="es-ES_tradnl"/>
        </w:rPr>
        <w:br/>
      </w:r>
      <w:r w:rsidRPr="0075124D">
        <w:rPr>
          <w:szCs w:val="24"/>
          <w:lang w:val="es-ES_tradnl"/>
        </w:rPr>
        <w:t>Director</w:t>
      </w:r>
    </w:p>
    <w:p w:rsidR="00EB6339" w:rsidRPr="00CB50D9" w:rsidRDefault="00EB6339" w:rsidP="0074424D">
      <w:pPr>
        <w:spacing w:before="120" w:line="240" w:lineRule="auto"/>
        <w:jc w:val="left"/>
        <w:rPr>
          <w:rFonts w:asciiTheme="minorHAnsi" w:hAnsiTheme="minorHAnsi" w:cstheme="minorHAnsi"/>
          <w:szCs w:val="24"/>
          <w:lang w:val="es-ES_tradnl"/>
        </w:rPr>
      </w:pPr>
    </w:p>
    <w:p w:rsidR="00EB6339" w:rsidRPr="00CB50D9" w:rsidRDefault="00EB6339" w:rsidP="0074424D">
      <w:pPr>
        <w:spacing w:before="120" w:line="240" w:lineRule="auto"/>
        <w:jc w:val="left"/>
        <w:rPr>
          <w:rFonts w:asciiTheme="minorHAnsi" w:hAnsiTheme="minorHAnsi" w:cstheme="minorHAnsi"/>
          <w:szCs w:val="24"/>
          <w:lang w:val="es-ES_tradnl"/>
        </w:rPr>
      </w:pPr>
    </w:p>
    <w:p w:rsidR="00D62D92" w:rsidRPr="0075124D" w:rsidRDefault="00D62D92" w:rsidP="0005584B">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62209F">
        <w:rPr>
          <w:szCs w:val="24"/>
          <w:lang w:val="es-ES_tradnl"/>
        </w:rPr>
        <w:t>7</w:t>
      </w:r>
      <w:r w:rsidR="0005584B">
        <w:rPr>
          <w:szCs w:val="24"/>
          <w:lang w:val="es-ES_tradnl"/>
        </w:rPr>
        <w:t>2</w:t>
      </w:r>
      <w:r w:rsidR="0062209F" w:rsidRPr="00B00EDE">
        <w:rPr>
          <w:szCs w:val="24"/>
          <w:lang w:val="es-ES_tradnl"/>
        </w:rPr>
        <w:t>ª reunión de la Junta del Reglamento de Radiocomunicaciones</w:t>
      </w:r>
    </w:p>
    <w:p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62209F" w:rsidRDefault="0062209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tbl>
      <w:tblPr>
        <w:tblpPr w:leftFromText="180" w:rightFromText="180" w:tblpY="-858"/>
        <w:tblW w:w="10066" w:type="dxa"/>
        <w:tblLayout w:type="fixed"/>
        <w:tblLook w:val="0000" w:firstRow="0" w:lastRow="0" w:firstColumn="0" w:lastColumn="0" w:noHBand="0" w:noVBand="0"/>
      </w:tblPr>
      <w:tblGrid>
        <w:gridCol w:w="1559"/>
        <w:gridCol w:w="5212"/>
        <w:gridCol w:w="1734"/>
        <w:gridCol w:w="1528"/>
        <w:gridCol w:w="33"/>
      </w:tblGrid>
      <w:tr w:rsidR="00891F76" w:rsidRPr="00115AD6" w:rsidTr="004865FC">
        <w:trPr>
          <w:cantSplit/>
        </w:trPr>
        <w:tc>
          <w:tcPr>
            <w:tcW w:w="1559" w:type="dxa"/>
            <w:vAlign w:val="center"/>
          </w:tcPr>
          <w:p w:rsidR="00891F76" w:rsidRPr="00115AD6" w:rsidRDefault="00891F76" w:rsidP="0005584B">
            <w:pPr>
              <w:shd w:val="solid" w:color="FFFFFF" w:fill="FFFFFF"/>
              <w:spacing w:before="1560"/>
              <w:rPr>
                <w:rFonts w:ascii="Verdana" w:hAnsi="Verdana"/>
                <w:b/>
                <w:bCs/>
                <w:lang w:val="es-ES"/>
              </w:rPr>
            </w:pPr>
            <w:r w:rsidRPr="00115AD6">
              <w:rPr>
                <w:rFonts w:ascii="Verdana" w:hAnsi="Verdana" w:cs="Times New Roman Bold"/>
                <w:b/>
                <w:bCs/>
                <w:noProof/>
                <w:sz w:val="20"/>
                <w:szCs w:val="26"/>
                <w:lang w:val="en-GB" w:eastAsia="zh-CN"/>
              </w:rPr>
              <w:lastRenderedPageBreak/>
              <w:drawing>
                <wp:inline distT="0" distB="0" distL="0" distR="0" wp14:anchorId="536B53A8" wp14:editId="577523E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946" w:type="dxa"/>
            <w:gridSpan w:val="2"/>
            <w:vAlign w:val="center"/>
          </w:tcPr>
          <w:p w:rsidR="00891F76" w:rsidRPr="004801D8" w:rsidRDefault="00891F76" w:rsidP="00891F76">
            <w:pPr>
              <w:pStyle w:val="enumlev1"/>
              <w:tabs>
                <w:tab w:val="clear" w:pos="794"/>
                <w:tab w:val="left" w:pos="284"/>
              </w:tabs>
              <w:spacing w:before="0"/>
              <w:jc w:val="center"/>
              <w:rPr>
                <w:rFonts w:ascii="Times New Roman" w:hAnsi="Times New Roman" w:cs="Times New Roman"/>
                <w:b/>
                <w:bCs/>
                <w:szCs w:val="24"/>
                <w:lang w:val="es-ES_tradnl"/>
              </w:rPr>
            </w:pPr>
            <w:r w:rsidRPr="004801D8">
              <w:rPr>
                <w:rFonts w:ascii="Times New Roman" w:hAnsi="Times New Roman" w:cs="Times New Roman"/>
                <w:b/>
                <w:bCs/>
                <w:szCs w:val="24"/>
                <w:lang w:val="es-ES_tradnl"/>
              </w:rPr>
              <w:t>Anexo</w:t>
            </w:r>
          </w:p>
          <w:p w:rsidR="00891F76" w:rsidRPr="00115AD6" w:rsidRDefault="00891F76" w:rsidP="0005584B">
            <w:pPr>
              <w:shd w:val="solid" w:color="FFFFFF" w:fill="FFFFFF"/>
              <w:tabs>
                <w:tab w:val="clear" w:pos="794"/>
                <w:tab w:val="clear" w:pos="1191"/>
                <w:tab w:val="clear" w:pos="1588"/>
                <w:tab w:val="left" w:pos="1560"/>
              </w:tabs>
              <w:spacing w:before="360"/>
              <w:jc w:val="left"/>
              <w:rPr>
                <w:b/>
                <w:caps/>
                <w:sz w:val="32"/>
                <w:lang w:val="es-ES"/>
              </w:rPr>
            </w:pPr>
            <w:r w:rsidRPr="00115AD6">
              <w:rPr>
                <w:rFonts w:ascii="Verdana" w:hAnsi="Verdana" w:cs="Times New Roman Bold"/>
                <w:b/>
                <w:sz w:val="26"/>
                <w:szCs w:val="26"/>
                <w:lang w:val="es-ES"/>
              </w:rPr>
              <w:tab/>
              <w:t xml:space="preserve">Junta del Reglamento de </w:t>
            </w:r>
            <w:r>
              <w:rPr>
                <w:rFonts w:ascii="Verdana" w:hAnsi="Verdana" w:cs="Times New Roman Bold"/>
                <w:b/>
                <w:sz w:val="26"/>
                <w:szCs w:val="26"/>
                <w:lang w:val="es-ES"/>
              </w:rPr>
              <w:br/>
            </w:r>
            <w:r>
              <w:rPr>
                <w:rFonts w:ascii="Verdana" w:hAnsi="Verdana" w:cs="Times New Roman Bold"/>
                <w:b/>
                <w:sz w:val="26"/>
                <w:szCs w:val="26"/>
                <w:lang w:val="es-ES"/>
              </w:rPr>
              <w:tab/>
            </w:r>
            <w:r w:rsidRPr="00115AD6">
              <w:rPr>
                <w:rFonts w:ascii="Verdana" w:hAnsi="Verdana" w:cs="Times New Roman Bold"/>
                <w:b/>
                <w:sz w:val="26"/>
                <w:szCs w:val="26"/>
                <w:lang w:val="es-ES"/>
              </w:rPr>
              <w:t>Radiocomunicaciones</w:t>
            </w:r>
            <w:r w:rsidRPr="00115AD6">
              <w:rPr>
                <w:b/>
                <w:caps/>
                <w:sz w:val="32"/>
                <w:lang w:val="es-ES"/>
              </w:rPr>
              <w:t xml:space="preserve"> </w:t>
            </w:r>
          </w:p>
          <w:p w:rsidR="00891F76" w:rsidRPr="00115AD6" w:rsidRDefault="00891F76" w:rsidP="0005584B">
            <w:pPr>
              <w:shd w:val="solid" w:color="FFFFFF" w:fill="FFFFFF"/>
              <w:tabs>
                <w:tab w:val="clear" w:pos="794"/>
                <w:tab w:val="clear" w:pos="1191"/>
                <w:tab w:val="clear" w:pos="1588"/>
                <w:tab w:val="left" w:pos="1560"/>
              </w:tabs>
              <w:spacing w:before="0"/>
              <w:rPr>
                <w:rFonts w:ascii="Verdana" w:hAnsi="Verdana"/>
                <w:b/>
                <w:bCs/>
                <w:lang w:val="es-ES"/>
              </w:rPr>
            </w:pPr>
            <w:r w:rsidRPr="00115AD6">
              <w:rPr>
                <w:b/>
                <w:caps/>
                <w:sz w:val="32"/>
                <w:lang w:val="es-ES"/>
              </w:rPr>
              <w:tab/>
            </w:r>
            <w:r w:rsidRPr="00115AD6">
              <w:rPr>
                <w:rFonts w:ascii="Verdana" w:hAnsi="Verdana" w:cs="Times New Roman Bold"/>
                <w:b/>
                <w:sz w:val="20"/>
                <w:lang w:val="es-ES"/>
              </w:rPr>
              <w:t xml:space="preserve">Ginebra, </w:t>
            </w:r>
            <w:r>
              <w:rPr>
                <w:rFonts w:ascii="Verdana" w:hAnsi="Verdana" w:cs="Times New Roman Bold"/>
                <w:b/>
                <w:sz w:val="20"/>
                <w:lang w:val="es-ES"/>
              </w:rPr>
              <w:t>1</w:t>
            </w:r>
            <w:r w:rsidR="0005584B">
              <w:rPr>
                <w:rFonts w:ascii="Verdana" w:hAnsi="Verdana" w:cs="Times New Roman Bold"/>
                <w:b/>
                <w:sz w:val="20"/>
                <w:lang w:val="es-ES"/>
              </w:rPr>
              <w:t>6-20 de mayo</w:t>
            </w:r>
            <w:r w:rsidRPr="00115AD6">
              <w:rPr>
                <w:rFonts w:ascii="Verdana" w:hAnsi="Verdana" w:cs="Times New Roman Bold"/>
                <w:b/>
                <w:sz w:val="20"/>
                <w:lang w:val="es-ES"/>
              </w:rPr>
              <w:t xml:space="preserve"> de 2016</w:t>
            </w:r>
          </w:p>
        </w:tc>
        <w:tc>
          <w:tcPr>
            <w:tcW w:w="1561" w:type="dxa"/>
            <w:gridSpan w:val="2"/>
            <w:vAlign w:val="center"/>
          </w:tcPr>
          <w:p w:rsidR="00891F76" w:rsidRPr="00115AD6" w:rsidRDefault="00891F76" w:rsidP="0005584B">
            <w:pPr>
              <w:shd w:val="solid" w:color="FFFFFF" w:fill="FFFFFF"/>
              <w:spacing w:before="1080" w:line="240" w:lineRule="atLeast"/>
              <w:jc w:val="right"/>
              <w:rPr>
                <w:lang w:val="es-ES"/>
              </w:rPr>
            </w:pPr>
            <w:r w:rsidRPr="00115AD6">
              <w:rPr>
                <w:rFonts w:cs="Arial"/>
                <w:noProof/>
                <w:lang w:val="en-GB" w:eastAsia="zh-CN"/>
              </w:rPr>
              <w:drawing>
                <wp:inline distT="0" distB="0" distL="0" distR="0" wp14:anchorId="43EF46E2" wp14:editId="4D7F308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891F76" w:rsidRPr="00115AD6" w:rsidTr="004865FC">
        <w:trPr>
          <w:gridAfter w:val="1"/>
          <w:wAfter w:w="33" w:type="dxa"/>
          <w:cantSplit/>
        </w:trPr>
        <w:tc>
          <w:tcPr>
            <w:tcW w:w="10033" w:type="dxa"/>
            <w:gridSpan w:val="4"/>
            <w:tcBorders>
              <w:bottom w:val="single" w:sz="12" w:space="0" w:color="auto"/>
            </w:tcBorders>
          </w:tcPr>
          <w:p w:rsidR="00891F76" w:rsidRPr="00115AD6" w:rsidRDefault="00891F76" w:rsidP="0005584B">
            <w:pPr>
              <w:shd w:val="solid" w:color="FFFFFF" w:fill="FFFFFF"/>
              <w:spacing w:before="0"/>
              <w:rPr>
                <w:rFonts w:ascii="Verdana" w:hAnsi="Verdana" w:cs="Times New Roman Bold"/>
                <w:b/>
                <w:sz w:val="22"/>
                <w:lang w:val="es-ES"/>
              </w:rPr>
            </w:pPr>
            <w:r w:rsidRPr="00115AD6">
              <w:rPr>
                <w:rFonts w:ascii="Verdana" w:hAnsi="Verdana"/>
                <w:b/>
                <w:smallCaps/>
                <w:sz w:val="20"/>
                <w:lang w:val="es-ES"/>
              </w:rPr>
              <w:t>UNIÓN INTERNACIONAL DE TELECOMUNICACIONES</w:t>
            </w:r>
          </w:p>
        </w:tc>
      </w:tr>
      <w:tr w:rsidR="004801D8" w:rsidRPr="002A127E" w:rsidTr="004865FC">
        <w:trPr>
          <w:gridAfter w:val="1"/>
          <w:wAfter w:w="33" w:type="dxa"/>
          <w:cantSplit/>
        </w:trPr>
        <w:tc>
          <w:tcPr>
            <w:tcW w:w="6771" w:type="dxa"/>
            <w:gridSpan w:val="2"/>
            <w:vMerge w:val="restart"/>
          </w:tcPr>
          <w:p w:rsidR="004801D8" w:rsidRDefault="004801D8" w:rsidP="00CB7A43">
            <w:pPr>
              <w:shd w:val="solid" w:color="FFFFFF" w:fill="FFFFFF"/>
              <w:spacing w:after="240"/>
              <w:rPr>
                <w:sz w:val="20"/>
              </w:rPr>
            </w:pPr>
            <w:bookmarkStart w:id="1" w:name="dnum" w:colFirst="1" w:colLast="1"/>
          </w:p>
        </w:tc>
        <w:tc>
          <w:tcPr>
            <w:tcW w:w="3262" w:type="dxa"/>
            <w:gridSpan w:val="2"/>
          </w:tcPr>
          <w:p w:rsidR="004801D8" w:rsidRPr="005B2D48" w:rsidRDefault="004801D8" w:rsidP="004801D8">
            <w:pPr>
              <w:shd w:val="solid" w:color="FFFFFF" w:fill="FFFFFF"/>
              <w:spacing w:before="120" w:line="240" w:lineRule="atLeast"/>
              <w:rPr>
                <w:rFonts w:ascii="Verdana" w:hAnsi="Verdana"/>
                <w:sz w:val="20"/>
              </w:rPr>
            </w:pPr>
            <w:proofErr w:type="spellStart"/>
            <w:r>
              <w:rPr>
                <w:rFonts w:ascii="Verdana" w:hAnsi="Verdana"/>
                <w:b/>
                <w:sz w:val="20"/>
              </w:rPr>
              <w:t>Documento</w:t>
            </w:r>
            <w:proofErr w:type="spellEnd"/>
            <w:r>
              <w:rPr>
                <w:rFonts w:ascii="Verdana" w:hAnsi="Verdana"/>
                <w:b/>
                <w:sz w:val="20"/>
              </w:rPr>
              <w:t xml:space="preserve"> RRB16-2/15-S</w:t>
            </w:r>
          </w:p>
        </w:tc>
      </w:tr>
      <w:tr w:rsidR="004801D8" w:rsidRPr="002A127E" w:rsidTr="004865FC">
        <w:trPr>
          <w:gridAfter w:val="1"/>
          <w:wAfter w:w="33" w:type="dxa"/>
          <w:cantSplit/>
        </w:trPr>
        <w:tc>
          <w:tcPr>
            <w:tcW w:w="6771" w:type="dxa"/>
            <w:gridSpan w:val="2"/>
            <w:vMerge/>
          </w:tcPr>
          <w:p w:rsidR="004801D8" w:rsidRDefault="004801D8" w:rsidP="00CB7A43">
            <w:pPr>
              <w:spacing w:before="60"/>
              <w:jc w:val="center"/>
              <w:rPr>
                <w:b/>
                <w:smallCaps/>
                <w:sz w:val="32"/>
              </w:rPr>
            </w:pPr>
            <w:bookmarkStart w:id="2" w:name="ddate" w:colFirst="1" w:colLast="1"/>
            <w:bookmarkEnd w:id="1"/>
          </w:p>
        </w:tc>
        <w:tc>
          <w:tcPr>
            <w:tcW w:w="3262" w:type="dxa"/>
            <w:gridSpan w:val="2"/>
          </w:tcPr>
          <w:p w:rsidR="004801D8" w:rsidRPr="005B2D48" w:rsidRDefault="004801D8" w:rsidP="005B2D48">
            <w:pPr>
              <w:shd w:val="solid" w:color="FFFFFF" w:fill="FFFFFF"/>
              <w:spacing w:before="0" w:line="240" w:lineRule="atLeast"/>
              <w:rPr>
                <w:rFonts w:ascii="Verdana" w:hAnsi="Verdana"/>
                <w:sz w:val="20"/>
              </w:rPr>
            </w:pPr>
            <w:r>
              <w:rPr>
                <w:rFonts w:ascii="Verdana" w:hAnsi="Verdana"/>
                <w:b/>
                <w:sz w:val="20"/>
              </w:rPr>
              <w:t>30 de mayo de 2016</w:t>
            </w:r>
          </w:p>
        </w:tc>
      </w:tr>
      <w:tr w:rsidR="004801D8" w:rsidRPr="002A127E" w:rsidTr="004865FC">
        <w:trPr>
          <w:gridAfter w:val="1"/>
          <w:wAfter w:w="33" w:type="dxa"/>
          <w:cantSplit/>
        </w:trPr>
        <w:tc>
          <w:tcPr>
            <w:tcW w:w="6771" w:type="dxa"/>
            <w:gridSpan w:val="2"/>
            <w:vMerge/>
          </w:tcPr>
          <w:p w:rsidR="004801D8" w:rsidRDefault="004801D8" w:rsidP="00CB7A43">
            <w:pPr>
              <w:spacing w:before="60"/>
              <w:jc w:val="center"/>
              <w:rPr>
                <w:b/>
                <w:smallCaps/>
                <w:sz w:val="32"/>
              </w:rPr>
            </w:pPr>
            <w:bookmarkStart w:id="3" w:name="dorlang" w:colFirst="1" w:colLast="1"/>
            <w:bookmarkEnd w:id="2"/>
          </w:p>
        </w:tc>
        <w:tc>
          <w:tcPr>
            <w:tcW w:w="3262" w:type="dxa"/>
            <w:gridSpan w:val="2"/>
          </w:tcPr>
          <w:p w:rsidR="004801D8" w:rsidRPr="005B2D48" w:rsidRDefault="004801D8" w:rsidP="005B2D48">
            <w:pPr>
              <w:shd w:val="solid" w:color="FFFFFF" w:fill="FFFFFF"/>
              <w:spacing w:before="0" w:after="120" w:line="240" w:lineRule="atLeast"/>
              <w:rPr>
                <w:rFonts w:ascii="Verdana" w:hAnsi="Verdana"/>
                <w:sz w:val="20"/>
              </w:rPr>
            </w:pPr>
            <w:r>
              <w:rPr>
                <w:rFonts w:ascii="Verdana" w:hAnsi="Verdana"/>
                <w:b/>
                <w:sz w:val="20"/>
              </w:rPr>
              <w:t xml:space="preserve">Original: </w:t>
            </w:r>
            <w:proofErr w:type="spellStart"/>
            <w:r>
              <w:rPr>
                <w:rFonts w:ascii="Verdana" w:hAnsi="Verdana"/>
                <w:b/>
                <w:sz w:val="20"/>
              </w:rPr>
              <w:t>inglés</w:t>
            </w:r>
            <w:proofErr w:type="spellEnd"/>
          </w:p>
        </w:tc>
      </w:tr>
      <w:tr w:rsidR="004801D8" w:rsidRPr="004801D8" w:rsidTr="004865FC">
        <w:trPr>
          <w:gridAfter w:val="1"/>
          <w:wAfter w:w="33" w:type="dxa"/>
          <w:cantSplit/>
        </w:trPr>
        <w:tc>
          <w:tcPr>
            <w:tcW w:w="10033" w:type="dxa"/>
            <w:gridSpan w:val="4"/>
          </w:tcPr>
          <w:p w:rsidR="004801D8" w:rsidRPr="004801D8" w:rsidRDefault="004801D8" w:rsidP="00AA41FB">
            <w:pPr>
              <w:pStyle w:val="Title1"/>
              <w:rPr>
                <w:rFonts w:asciiTheme="majorBidi" w:hAnsiTheme="majorBidi" w:cstheme="majorBidi"/>
                <w:lang w:val="es-ES"/>
              </w:rPr>
            </w:pPr>
            <w:bookmarkStart w:id="4" w:name="dsource" w:colFirst="0" w:colLast="0"/>
            <w:bookmarkEnd w:id="3"/>
            <w:r w:rsidRPr="004801D8">
              <w:rPr>
                <w:rFonts w:asciiTheme="majorBidi" w:hAnsiTheme="majorBidi" w:cstheme="majorBidi"/>
                <w:lang w:val="es-ES"/>
              </w:rPr>
              <w:t>ACTAS</w:t>
            </w:r>
            <w:r w:rsidRPr="004801D8">
              <w:rPr>
                <w:rStyle w:val="FootnoteReference"/>
                <w:rFonts w:asciiTheme="majorBidi" w:hAnsiTheme="majorBidi" w:cstheme="majorBidi"/>
                <w:lang w:val="es-ES"/>
              </w:rPr>
              <w:footnoteReference w:id="1"/>
            </w:r>
            <w:r w:rsidRPr="004801D8">
              <w:rPr>
                <w:rFonts w:asciiTheme="majorBidi" w:hAnsiTheme="majorBidi" w:cstheme="majorBidi"/>
                <w:lang w:val="es-ES"/>
              </w:rPr>
              <w:t xml:space="preserve"> </w:t>
            </w:r>
            <w:r w:rsidRPr="004801D8">
              <w:rPr>
                <w:rFonts w:asciiTheme="majorBidi" w:hAnsiTheme="majorBidi" w:cstheme="majorBidi"/>
                <w:lang w:val="es-ES"/>
              </w:rPr>
              <w:br/>
            </w:r>
            <w:r w:rsidRPr="004801D8">
              <w:rPr>
                <w:rFonts w:asciiTheme="majorBidi" w:hAnsiTheme="majorBidi" w:cstheme="majorBidi"/>
                <w:lang w:val="es-ES"/>
              </w:rPr>
              <w:br/>
              <w:t>DE LA</w:t>
            </w:r>
            <w:r w:rsidRPr="004801D8">
              <w:rPr>
                <w:rFonts w:asciiTheme="majorBidi" w:hAnsiTheme="majorBidi" w:cstheme="majorBidi"/>
                <w:lang w:val="es-ES"/>
              </w:rPr>
              <w:br/>
            </w:r>
            <w:r w:rsidRPr="004801D8">
              <w:rPr>
                <w:rFonts w:asciiTheme="majorBidi" w:hAnsiTheme="majorBidi" w:cstheme="majorBidi"/>
                <w:lang w:val="es-ES"/>
              </w:rPr>
              <w:br/>
              <w:t xml:space="preserve">72ª REUNIÓN DE LA JUNTA DEL REGLAMENTO </w:t>
            </w:r>
            <w:r w:rsidRPr="004801D8">
              <w:rPr>
                <w:rFonts w:asciiTheme="majorBidi" w:hAnsiTheme="majorBidi" w:cstheme="majorBidi"/>
                <w:lang w:val="es-ES"/>
              </w:rPr>
              <w:br/>
            </w:r>
            <w:r w:rsidRPr="004801D8">
              <w:rPr>
                <w:rFonts w:asciiTheme="majorBidi" w:hAnsiTheme="majorBidi" w:cstheme="majorBidi"/>
                <w:lang w:val="es-ES"/>
              </w:rPr>
              <w:br/>
              <w:t>DE RADIOCOMUNICACIONES</w:t>
            </w:r>
          </w:p>
        </w:tc>
      </w:tr>
      <w:tr w:rsidR="004801D8" w:rsidRPr="004801D8" w:rsidTr="004865FC">
        <w:trPr>
          <w:gridAfter w:val="1"/>
          <w:wAfter w:w="33" w:type="dxa"/>
          <w:cantSplit/>
        </w:trPr>
        <w:tc>
          <w:tcPr>
            <w:tcW w:w="10033" w:type="dxa"/>
            <w:gridSpan w:val="4"/>
          </w:tcPr>
          <w:p w:rsidR="004801D8" w:rsidRPr="004801D8" w:rsidRDefault="004801D8" w:rsidP="00AB4C1A">
            <w:pPr>
              <w:jc w:val="center"/>
              <w:rPr>
                <w:rFonts w:asciiTheme="majorBidi" w:hAnsiTheme="majorBidi" w:cstheme="majorBidi"/>
              </w:rPr>
            </w:pPr>
            <w:bookmarkStart w:id="5" w:name="dtitle1" w:colFirst="0" w:colLast="0"/>
            <w:bookmarkEnd w:id="4"/>
            <w:r w:rsidRPr="004801D8">
              <w:rPr>
                <w:rFonts w:asciiTheme="majorBidi" w:hAnsiTheme="majorBidi" w:cstheme="majorBidi"/>
                <w:lang w:val="es-ES"/>
              </w:rPr>
              <w:t>16-20 de mayo de 2016</w:t>
            </w:r>
          </w:p>
        </w:tc>
      </w:tr>
    </w:tbl>
    <w:bookmarkEnd w:id="5"/>
    <w:p w:rsidR="004801D8" w:rsidRPr="004801D8" w:rsidRDefault="004801D8" w:rsidP="004801D8">
      <w:pPr>
        <w:tabs>
          <w:tab w:val="clear" w:pos="794"/>
          <w:tab w:val="clear" w:pos="1191"/>
          <w:tab w:val="clear" w:pos="1588"/>
          <w:tab w:val="clear" w:pos="1985"/>
        </w:tabs>
        <w:spacing w:before="360"/>
        <w:ind w:left="2268" w:hanging="2268"/>
        <w:jc w:val="left"/>
        <w:rPr>
          <w:rFonts w:asciiTheme="majorBidi" w:hAnsiTheme="majorBidi" w:cstheme="majorBidi"/>
        </w:rPr>
      </w:pPr>
      <w:proofErr w:type="spellStart"/>
      <w:r w:rsidRPr="004801D8">
        <w:rPr>
          <w:rFonts w:asciiTheme="majorBidi" w:hAnsiTheme="majorBidi" w:cstheme="majorBidi"/>
          <w:u w:val="single"/>
        </w:rPr>
        <w:t>Presentes</w:t>
      </w:r>
      <w:proofErr w:type="spellEnd"/>
      <w:r w:rsidRPr="004801D8">
        <w:rPr>
          <w:rFonts w:asciiTheme="majorBidi" w:hAnsiTheme="majorBidi" w:cstheme="majorBidi"/>
        </w:rPr>
        <w:t>:</w:t>
      </w:r>
      <w:r w:rsidRPr="004801D8">
        <w:rPr>
          <w:rFonts w:asciiTheme="majorBidi" w:hAnsiTheme="majorBidi" w:cstheme="majorBidi"/>
        </w:rPr>
        <w:tab/>
      </w:r>
      <w:proofErr w:type="spellStart"/>
      <w:r w:rsidRPr="004801D8">
        <w:rPr>
          <w:rFonts w:asciiTheme="majorBidi" w:hAnsiTheme="majorBidi" w:cstheme="majorBidi"/>
          <w:u w:val="single"/>
        </w:rPr>
        <w:t>Miembros</w:t>
      </w:r>
      <w:proofErr w:type="spellEnd"/>
      <w:r w:rsidRPr="004801D8">
        <w:rPr>
          <w:rFonts w:asciiTheme="majorBidi" w:hAnsiTheme="majorBidi" w:cstheme="majorBidi"/>
          <w:u w:val="single"/>
        </w:rPr>
        <w:t xml:space="preserve"> de la RRB</w:t>
      </w:r>
      <w:r w:rsidRPr="004801D8">
        <w:rPr>
          <w:rFonts w:asciiTheme="majorBidi" w:hAnsiTheme="majorBidi" w:cstheme="majorBidi"/>
          <w:u w:val="single"/>
        </w:rPr>
        <w:br/>
      </w:r>
      <w:r w:rsidRPr="004801D8">
        <w:rPr>
          <w:rFonts w:asciiTheme="majorBidi" w:hAnsiTheme="majorBidi" w:cstheme="majorBidi"/>
        </w:rPr>
        <w:t xml:space="preserve">Sra. L. JEANTY, </w:t>
      </w:r>
      <w:proofErr w:type="spellStart"/>
      <w:r w:rsidRPr="004801D8">
        <w:rPr>
          <w:rFonts w:asciiTheme="majorBidi" w:hAnsiTheme="majorBidi" w:cstheme="majorBidi"/>
        </w:rPr>
        <w:t>Presidenta</w:t>
      </w:r>
      <w:proofErr w:type="spellEnd"/>
      <w:r w:rsidRPr="004801D8">
        <w:rPr>
          <w:rFonts w:asciiTheme="majorBidi" w:hAnsiTheme="majorBidi" w:cstheme="majorBidi"/>
        </w:rPr>
        <w:br/>
        <w:t xml:space="preserve">Sr. I. KHAIROV, </w:t>
      </w:r>
      <w:proofErr w:type="spellStart"/>
      <w:r w:rsidRPr="004801D8">
        <w:rPr>
          <w:rFonts w:asciiTheme="majorBidi" w:hAnsiTheme="majorBidi" w:cstheme="majorBidi"/>
        </w:rPr>
        <w:t>Vicepresidente</w:t>
      </w:r>
      <w:proofErr w:type="spellEnd"/>
      <w:r w:rsidRPr="004801D8">
        <w:rPr>
          <w:rFonts w:asciiTheme="majorBidi" w:hAnsiTheme="majorBidi" w:cstheme="majorBidi"/>
        </w:rPr>
        <w:br/>
        <w:t>Sr. M. BESSI, Sr. N. BIN HAMMAD, Sr. D. Q. HOAN, Sr. Y. ITO,</w:t>
      </w:r>
      <w:r w:rsidRPr="004801D8">
        <w:rPr>
          <w:rFonts w:asciiTheme="majorBidi" w:hAnsiTheme="majorBidi" w:cstheme="majorBidi"/>
        </w:rPr>
        <w:br/>
        <w:t>Sr. S. K. KIBE, Sr. S. KOFFI, Sr. A. MAGENTA, Sr. V. STRELETS,</w:t>
      </w:r>
      <w:r w:rsidRPr="004801D8">
        <w:rPr>
          <w:rFonts w:asciiTheme="majorBidi" w:hAnsiTheme="majorBidi" w:cstheme="majorBidi"/>
        </w:rPr>
        <w:br/>
        <w:t>Sr. R. L. TERÁN, Sra. J. C. WILSON</w:t>
      </w:r>
    </w:p>
    <w:p w:rsidR="004801D8" w:rsidRPr="004801D8" w:rsidRDefault="004801D8" w:rsidP="004801D8">
      <w:pPr>
        <w:tabs>
          <w:tab w:val="clear" w:pos="794"/>
          <w:tab w:val="clear" w:pos="1191"/>
          <w:tab w:val="clear" w:pos="1588"/>
          <w:tab w:val="clear" w:pos="1985"/>
        </w:tabs>
        <w:ind w:left="2268"/>
        <w:jc w:val="left"/>
        <w:rPr>
          <w:rFonts w:asciiTheme="majorBidi" w:hAnsiTheme="majorBidi" w:cstheme="majorBidi"/>
          <w:lang w:val="es-ES"/>
        </w:rPr>
      </w:pPr>
      <w:r w:rsidRPr="004801D8">
        <w:rPr>
          <w:rFonts w:asciiTheme="majorBidi" w:hAnsiTheme="majorBidi" w:cstheme="majorBidi"/>
          <w:u w:val="single"/>
          <w:lang w:val="es-ES"/>
        </w:rPr>
        <w:t>Secretario Ejecutivo de la RRB</w:t>
      </w:r>
      <w:r w:rsidRPr="004801D8">
        <w:rPr>
          <w:rFonts w:asciiTheme="majorBidi" w:hAnsiTheme="majorBidi" w:cstheme="majorBidi"/>
          <w:u w:val="single"/>
          <w:lang w:val="es-ES"/>
        </w:rPr>
        <w:br/>
      </w:r>
      <w:r w:rsidRPr="004801D8">
        <w:rPr>
          <w:rFonts w:asciiTheme="majorBidi" w:hAnsiTheme="majorBidi" w:cstheme="majorBidi"/>
          <w:lang w:val="es-ES"/>
        </w:rPr>
        <w:t>Sr. F. RANCY, Director de la BR</w:t>
      </w:r>
    </w:p>
    <w:p w:rsidR="004801D8" w:rsidRPr="004801D8" w:rsidRDefault="004801D8" w:rsidP="004801D8">
      <w:pPr>
        <w:ind w:left="2268"/>
        <w:jc w:val="left"/>
        <w:rPr>
          <w:rFonts w:asciiTheme="majorBidi" w:hAnsiTheme="majorBidi" w:cstheme="majorBidi"/>
          <w:lang w:val="es-ES"/>
        </w:rPr>
      </w:pPr>
      <w:r w:rsidRPr="004801D8">
        <w:rPr>
          <w:rFonts w:asciiTheme="majorBidi" w:hAnsiTheme="majorBidi" w:cstheme="majorBidi"/>
          <w:u w:val="single"/>
          <w:lang w:val="es-ES"/>
        </w:rPr>
        <w:t>Redactores de actas</w:t>
      </w:r>
      <w:r w:rsidRPr="004801D8">
        <w:rPr>
          <w:rFonts w:asciiTheme="majorBidi" w:hAnsiTheme="majorBidi" w:cstheme="majorBidi"/>
          <w:u w:val="single"/>
          <w:lang w:val="es-ES"/>
        </w:rPr>
        <w:br/>
      </w:r>
      <w:r w:rsidRPr="004801D8">
        <w:rPr>
          <w:rFonts w:asciiTheme="majorBidi" w:hAnsiTheme="majorBidi" w:cstheme="majorBidi"/>
          <w:lang w:val="es-ES"/>
        </w:rPr>
        <w:t>Sr. T. ELDRIDGE y Sra. A. HADEN</w:t>
      </w:r>
    </w:p>
    <w:p w:rsidR="004801D8" w:rsidRPr="004801D8" w:rsidRDefault="004801D8" w:rsidP="004801D8">
      <w:pPr>
        <w:tabs>
          <w:tab w:val="clear" w:pos="1191"/>
          <w:tab w:val="clear" w:pos="1588"/>
          <w:tab w:val="clear" w:pos="1985"/>
          <w:tab w:val="left" w:pos="2268"/>
        </w:tabs>
        <w:ind w:left="2268" w:hanging="2268"/>
        <w:jc w:val="left"/>
        <w:rPr>
          <w:rFonts w:asciiTheme="majorBidi" w:hAnsiTheme="majorBidi" w:cstheme="majorBidi"/>
          <w:lang w:val="es-ES"/>
        </w:rPr>
      </w:pPr>
      <w:r w:rsidRPr="004801D8">
        <w:rPr>
          <w:rFonts w:asciiTheme="majorBidi" w:hAnsiTheme="majorBidi" w:cstheme="majorBidi"/>
          <w:u w:val="single"/>
          <w:lang w:val="es-ES"/>
        </w:rPr>
        <w:t>También presentes</w:t>
      </w:r>
      <w:r w:rsidRPr="004801D8">
        <w:rPr>
          <w:rFonts w:asciiTheme="majorBidi" w:hAnsiTheme="majorBidi" w:cstheme="majorBidi"/>
          <w:lang w:val="es-ES"/>
        </w:rPr>
        <w:t>:</w:t>
      </w:r>
      <w:r w:rsidRPr="004801D8">
        <w:rPr>
          <w:rFonts w:asciiTheme="majorBidi" w:hAnsiTheme="majorBidi" w:cstheme="majorBidi"/>
          <w:lang w:val="es-ES"/>
        </w:rPr>
        <w:tab/>
      </w:r>
      <w:bookmarkStart w:id="6" w:name="lt_pId046"/>
      <w:r w:rsidRPr="004801D8">
        <w:rPr>
          <w:rFonts w:asciiTheme="majorBidi" w:hAnsiTheme="majorBidi" w:cstheme="majorBidi"/>
          <w:bCs/>
          <w:lang w:val="es-ES"/>
        </w:rPr>
        <w:t>Sr. H. ZHAO, Secretario General</w:t>
      </w:r>
      <w:bookmarkEnd w:id="6"/>
      <w:r w:rsidRPr="004801D8">
        <w:rPr>
          <w:rFonts w:asciiTheme="majorBidi" w:hAnsiTheme="majorBidi" w:cstheme="majorBidi"/>
          <w:bCs/>
          <w:lang w:val="es-ES"/>
        </w:rPr>
        <w:t xml:space="preserve"> de la UIT</w:t>
      </w:r>
      <w:r w:rsidRPr="004801D8">
        <w:rPr>
          <w:rFonts w:asciiTheme="majorBidi" w:hAnsiTheme="majorBidi" w:cstheme="majorBidi"/>
          <w:bCs/>
          <w:lang w:val="es-ES"/>
        </w:rPr>
        <w:br/>
      </w:r>
      <w:bookmarkStart w:id="7" w:name="lt_pId050"/>
      <w:r w:rsidRPr="004801D8">
        <w:rPr>
          <w:rFonts w:asciiTheme="majorBidi" w:hAnsiTheme="majorBidi" w:cstheme="majorBidi"/>
          <w:bCs/>
          <w:lang w:val="es-ES"/>
        </w:rPr>
        <w:t>Sr. M.</w:t>
      </w:r>
      <w:bookmarkStart w:id="8" w:name="lt_pId051"/>
      <w:bookmarkEnd w:id="7"/>
      <w:r w:rsidRPr="004801D8">
        <w:rPr>
          <w:rFonts w:asciiTheme="majorBidi" w:hAnsiTheme="majorBidi" w:cstheme="majorBidi"/>
          <w:bCs/>
          <w:lang w:val="es-ES"/>
        </w:rPr>
        <w:t xml:space="preserve"> MANIEWICZ, Director Adjunto, Jefe, IAP</w:t>
      </w:r>
      <w:bookmarkEnd w:id="8"/>
      <w:r w:rsidRPr="004801D8">
        <w:rPr>
          <w:rFonts w:asciiTheme="majorBidi" w:hAnsiTheme="majorBidi" w:cstheme="majorBidi"/>
          <w:bCs/>
          <w:lang w:val="es-ES"/>
        </w:rPr>
        <w:br/>
        <w:t>Sr. Y. HENRI, Jefe del SSD</w:t>
      </w:r>
      <w:r w:rsidRPr="004801D8">
        <w:rPr>
          <w:rFonts w:asciiTheme="majorBidi" w:hAnsiTheme="majorBidi" w:cstheme="majorBidi"/>
          <w:lang w:val="es-ES"/>
        </w:rPr>
        <w:br/>
        <w:t xml:space="preserve">Sr. A. MÉNDEZ, </w:t>
      </w:r>
      <w:r w:rsidRPr="004801D8">
        <w:rPr>
          <w:rFonts w:asciiTheme="majorBidi" w:hAnsiTheme="majorBidi" w:cstheme="majorBidi"/>
          <w:bCs/>
          <w:lang w:val="es-ES"/>
        </w:rPr>
        <w:t xml:space="preserve">Jefe del </w:t>
      </w:r>
      <w:r w:rsidRPr="004801D8">
        <w:rPr>
          <w:rFonts w:asciiTheme="majorBidi" w:hAnsiTheme="majorBidi" w:cstheme="majorBidi"/>
          <w:lang w:val="es-ES"/>
        </w:rPr>
        <w:t>TSD</w:t>
      </w:r>
      <w:r w:rsidRPr="004801D8">
        <w:rPr>
          <w:rFonts w:asciiTheme="majorBidi" w:hAnsiTheme="majorBidi" w:cstheme="majorBidi"/>
          <w:lang w:val="es-ES"/>
        </w:rPr>
        <w:br/>
        <w:t xml:space="preserve">Sr. A. GUILLOT, </w:t>
      </w:r>
      <w:r w:rsidRPr="004801D8">
        <w:rPr>
          <w:rFonts w:asciiTheme="majorBidi" w:hAnsiTheme="majorBidi" w:cstheme="majorBidi"/>
          <w:color w:val="000000"/>
          <w:lang w:val="es-ES"/>
        </w:rPr>
        <w:t>Asesor Jurídico de la UIT</w:t>
      </w:r>
      <w:r w:rsidRPr="004801D8">
        <w:rPr>
          <w:rFonts w:asciiTheme="majorBidi" w:hAnsiTheme="majorBidi" w:cstheme="majorBidi"/>
          <w:color w:val="000000"/>
          <w:lang w:val="es-ES"/>
        </w:rPr>
        <w:br/>
      </w:r>
      <w:r w:rsidRPr="004801D8">
        <w:rPr>
          <w:rFonts w:asciiTheme="majorBidi" w:hAnsiTheme="majorBidi" w:cstheme="majorBidi"/>
          <w:lang w:val="es-ES"/>
        </w:rPr>
        <w:t xml:space="preserve">Sr. A. MATAS, </w:t>
      </w:r>
      <w:r w:rsidRPr="004801D8">
        <w:rPr>
          <w:rFonts w:asciiTheme="majorBidi" w:hAnsiTheme="majorBidi" w:cstheme="majorBidi"/>
          <w:bCs/>
          <w:lang w:val="es-ES"/>
        </w:rPr>
        <w:t xml:space="preserve">Jefe de </w:t>
      </w:r>
      <w:r w:rsidRPr="004801D8">
        <w:rPr>
          <w:rFonts w:asciiTheme="majorBidi" w:hAnsiTheme="majorBidi" w:cstheme="majorBidi"/>
          <w:lang w:val="es-ES"/>
        </w:rPr>
        <w:t>SSD/SPR</w:t>
      </w:r>
      <w:r w:rsidRPr="004801D8">
        <w:rPr>
          <w:rFonts w:asciiTheme="majorBidi" w:hAnsiTheme="majorBidi" w:cstheme="majorBidi"/>
          <w:lang w:val="es-ES"/>
        </w:rPr>
        <w:br/>
        <w:t xml:space="preserve">Sr. M. SAKAMOTO, </w:t>
      </w:r>
      <w:r w:rsidRPr="004801D8">
        <w:rPr>
          <w:rFonts w:asciiTheme="majorBidi" w:hAnsiTheme="majorBidi" w:cstheme="majorBidi"/>
          <w:bCs/>
          <w:lang w:val="es-ES"/>
        </w:rPr>
        <w:t xml:space="preserve">Jefe del </w:t>
      </w:r>
      <w:r w:rsidRPr="004801D8">
        <w:rPr>
          <w:rFonts w:asciiTheme="majorBidi" w:hAnsiTheme="majorBidi" w:cstheme="majorBidi"/>
          <w:lang w:val="es-ES"/>
        </w:rPr>
        <w:t>SSD/SSC</w:t>
      </w:r>
      <w:r w:rsidRPr="004801D8">
        <w:rPr>
          <w:rFonts w:asciiTheme="majorBidi" w:hAnsiTheme="majorBidi" w:cstheme="majorBidi"/>
          <w:lang w:val="es-ES"/>
        </w:rPr>
        <w:br/>
        <w:t xml:space="preserve">Sr. J. WANG, </w:t>
      </w:r>
      <w:r w:rsidRPr="004801D8">
        <w:rPr>
          <w:rFonts w:asciiTheme="majorBidi" w:hAnsiTheme="majorBidi" w:cstheme="majorBidi"/>
          <w:bCs/>
          <w:lang w:val="es-ES"/>
        </w:rPr>
        <w:t xml:space="preserve">Jefe de </w:t>
      </w:r>
      <w:r w:rsidRPr="004801D8">
        <w:rPr>
          <w:rFonts w:asciiTheme="majorBidi" w:hAnsiTheme="majorBidi" w:cstheme="majorBidi"/>
          <w:lang w:val="es-ES"/>
        </w:rPr>
        <w:t>SSD/SNP</w:t>
      </w:r>
      <w:r w:rsidRPr="004801D8">
        <w:rPr>
          <w:rFonts w:asciiTheme="majorBidi" w:hAnsiTheme="majorBidi" w:cstheme="majorBidi"/>
          <w:lang w:val="es-ES"/>
        </w:rPr>
        <w:br/>
        <w:t xml:space="preserve">Sr. B. BA, </w:t>
      </w:r>
      <w:r w:rsidRPr="004801D8">
        <w:rPr>
          <w:rFonts w:asciiTheme="majorBidi" w:hAnsiTheme="majorBidi" w:cstheme="majorBidi"/>
          <w:bCs/>
          <w:lang w:val="es-ES"/>
        </w:rPr>
        <w:t xml:space="preserve">Jefe de </w:t>
      </w:r>
      <w:r w:rsidRPr="004801D8">
        <w:rPr>
          <w:rFonts w:asciiTheme="majorBidi" w:hAnsiTheme="majorBidi" w:cstheme="majorBidi"/>
          <w:lang w:val="es-ES"/>
        </w:rPr>
        <w:t>TSD/TPR</w:t>
      </w:r>
      <w:r w:rsidRPr="004801D8">
        <w:rPr>
          <w:rFonts w:asciiTheme="majorBidi" w:hAnsiTheme="majorBidi" w:cstheme="majorBidi"/>
          <w:lang w:val="es-ES"/>
        </w:rPr>
        <w:br/>
      </w:r>
      <w:bookmarkStart w:id="9" w:name="lt_pId083"/>
      <w:r w:rsidRPr="004801D8">
        <w:rPr>
          <w:rFonts w:asciiTheme="majorBidi" w:eastAsia="MS Mincho" w:hAnsiTheme="majorBidi" w:cstheme="majorBidi"/>
          <w:lang w:val="es-ES"/>
        </w:rPr>
        <w:t xml:space="preserve">Sr W. IJEH, </w:t>
      </w:r>
      <w:bookmarkEnd w:id="9"/>
      <w:r w:rsidRPr="004801D8">
        <w:rPr>
          <w:rFonts w:asciiTheme="majorBidi" w:eastAsia="MS Mincho" w:hAnsiTheme="majorBidi" w:cstheme="majorBidi"/>
          <w:lang w:val="es-ES"/>
        </w:rPr>
        <w:t>Administrador BR</w:t>
      </w:r>
      <w:r w:rsidRPr="004801D8">
        <w:rPr>
          <w:rFonts w:asciiTheme="majorBidi" w:hAnsiTheme="majorBidi" w:cstheme="majorBidi"/>
          <w:lang w:val="es-ES"/>
        </w:rPr>
        <w:br/>
        <w:t xml:space="preserve">Sra. I. GHAZI, </w:t>
      </w:r>
      <w:r w:rsidRPr="004801D8">
        <w:rPr>
          <w:rFonts w:asciiTheme="majorBidi" w:hAnsiTheme="majorBidi" w:cstheme="majorBidi"/>
          <w:bCs/>
          <w:lang w:val="es-ES"/>
        </w:rPr>
        <w:t xml:space="preserve">Jefa de </w:t>
      </w:r>
      <w:r w:rsidRPr="004801D8">
        <w:rPr>
          <w:rFonts w:asciiTheme="majorBidi" w:hAnsiTheme="majorBidi" w:cstheme="majorBidi"/>
          <w:lang w:val="es-ES"/>
        </w:rPr>
        <w:t>TSD/BCD</w:t>
      </w:r>
      <w:r w:rsidRPr="004801D8">
        <w:rPr>
          <w:rFonts w:asciiTheme="majorBidi" w:hAnsiTheme="majorBidi" w:cstheme="majorBidi"/>
          <w:lang w:val="es-ES"/>
        </w:rPr>
        <w:br/>
        <w:t xml:space="preserve">Sr. N. VASSILIEV, </w:t>
      </w:r>
      <w:r w:rsidRPr="004801D8">
        <w:rPr>
          <w:rFonts w:asciiTheme="majorBidi" w:hAnsiTheme="majorBidi" w:cstheme="majorBidi"/>
          <w:bCs/>
          <w:lang w:val="es-ES"/>
        </w:rPr>
        <w:t xml:space="preserve">Jefe de </w:t>
      </w:r>
      <w:r w:rsidRPr="004801D8">
        <w:rPr>
          <w:rFonts w:asciiTheme="majorBidi" w:hAnsiTheme="majorBidi" w:cstheme="majorBidi"/>
          <w:lang w:val="es-ES"/>
        </w:rPr>
        <w:t>TSD/FMD</w:t>
      </w:r>
      <w:r w:rsidRPr="004801D8">
        <w:rPr>
          <w:rFonts w:asciiTheme="majorBidi" w:hAnsiTheme="majorBidi" w:cstheme="majorBidi"/>
          <w:lang w:val="es-ES"/>
        </w:rPr>
        <w:br/>
        <w:t>Sr. D. BOTHA, SGD</w:t>
      </w:r>
      <w:r w:rsidRPr="004801D8">
        <w:rPr>
          <w:rFonts w:asciiTheme="majorBidi" w:hAnsiTheme="majorBidi" w:cstheme="majorBidi"/>
          <w:lang w:val="es-ES"/>
        </w:rPr>
        <w:br/>
        <w:t>Sra. K. GOZAL, Secretaria Administrativa</w:t>
      </w:r>
    </w:p>
    <w:p w:rsidR="004801D8" w:rsidRPr="004801D8" w:rsidRDefault="004801D8" w:rsidP="00AB4C1A">
      <w:pPr>
        <w:rPr>
          <w:rFonts w:asciiTheme="majorBidi" w:hAnsiTheme="majorBidi" w:cstheme="majorBidi"/>
          <w:lang w:val="es-ES"/>
        </w:rPr>
      </w:pPr>
    </w:p>
    <w:tbl>
      <w:tblPr>
        <w:tblStyle w:val="TableGrid"/>
        <w:tblW w:w="10065" w:type="dxa"/>
        <w:tblBorders>
          <w:top w:val="nil"/>
          <w:left w:val="nil"/>
          <w:bottom w:val="nil"/>
          <w:right w:val="nil"/>
          <w:insideH w:val="nil"/>
          <w:insideV w:val="nil"/>
        </w:tblBorders>
        <w:tblLook w:val="04A0" w:firstRow="1" w:lastRow="0" w:firstColumn="1" w:lastColumn="0" w:noHBand="0" w:noVBand="1"/>
      </w:tblPr>
      <w:tblGrid>
        <w:gridCol w:w="460"/>
        <w:gridCol w:w="6737"/>
        <w:gridCol w:w="2868"/>
      </w:tblGrid>
      <w:tr w:rsidR="004801D8" w:rsidRPr="004801D8" w:rsidTr="00181403">
        <w:tc>
          <w:tcPr>
            <w:tcW w:w="460" w:type="dxa"/>
          </w:tcPr>
          <w:p w:rsidR="004801D8" w:rsidRPr="004801D8" w:rsidRDefault="004801D8" w:rsidP="00181403">
            <w:pPr>
              <w:pStyle w:val="Tablehead"/>
              <w:rPr>
                <w:rFonts w:asciiTheme="majorBidi" w:hAnsiTheme="majorBidi" w:cstheme="majorBidi"/>
                <w:sz w:val="24"/>
                <w:szCs w:val="24"/>
                <w:lang w:val="es-ES"/>
              </w:rPr>
            </w:pPr>
            <w:r w:rsidRPr="004801D8">
              <w:rPr>
                <w:rFonts w:asciiTheme="majorBidi" w:hAnsiTheme="majorBidi" w:cstheme="majorBidi"/>
                <w:sz w:val="24"/>
                <w:szCs w:val="24"/>
                <w:lang w:val="es-ES"/>
              </w:rPr>
              <w:br w:type="page"/>
            </w:r>
          </w:p>
        </w:tc>
        <w:tc>
          <w:tcPr>
            <w:tcW w:w="6737" w:type="dxa"/>
            <w:hideMark/>
          </w:tcPr>
          <w:p w:rsidR="004801D8" w:rsidRPr="004801D8" w:rsidRDefault="004801D8" w:rsidP="00181403">
            <w:pPr>
              <w:pStyle w:val="Tablehead"/>
              <w:jc w:val="left"/>
              <w:rPr>
                <w:rFonts w:asciiTheme="majorBidi" w:hAnsiTheme="majorBidi" w:cstheme="majorBidi"/>
                <w:sz w:val="24"/>
                <w:szCs w:val="24"/>
                <w:lang w:val="es-ES"/>
              </w:rPr>
            </w:pPr>
            <w:r w:rsidRPr="004801D8">
              <w:rPr>
                <w:rFonts w:asciiTheme="majorBidi" w:hAnsiTheme="majorBidi" w:cstheme="majorBidi"/>
                <w:bCs/>
                <w:sz w:val="24"/>
                <w:szCs w:val="24"/>
                <w:lang w:val="es-ES"/>
              </w:rPr>
              <w:t>Asuntos tratados</w:t>
            </w:r>
          </w:p>
        </w:tc>
        <w:tc>
          <w:tcPr>
            <w:tcW w:w="2868" w:type="dxa"/>
            <w:hideMark/>
          </w:tcPr>
          <w:p w:rsidR="004801D8" w:rsidRPr="004801D8" w:rsidRDefault="004801D8" w:rsidP="00181403">
            <w:pPr>
              <w:pStyle w:val="Tablehead"/>
              <w:rPr>
                <w:rFonts w:asciiTheme="majorBidi" w:hAnsiTheme="majorBidi" w:cstheme="majorBidi"/>
                <w:sz w:val="24"/>
                <w:szCs w:val="24"/>
                <w:lang w:val="es-ES"/>
              </w:rPr>
            </w:pPr>
            <w:bookmarkStart w:id="10" w:name="lt_pId045"/>
            <w:r w:rsidRPr="004801D8">
              <w:rPr>
                <w:rFonts w:asciiTheme="majorBidi" w:hAnsiTheme="majorBidi" w:cstheme="majorBidi"/>
                <w:bCs/>
                <w:sz w:val="24"/>
                <w:szCs w:val="24"/>
                <w:lang w:val="es-ES"/>
              </w:rPr>
              <w:t>Documentos</w:t>
            </w:r>
            <w:bookmarkEnd w:id="10"/>
          </w:p>
        </w:tc>
      </w:tr>
      <w:tr w:rsidR="004801D8" w:rsidRPr="004801D8" w:rsidTr="00181403">
        <w:tc>
          <w:tcPr>
            <w:tcW w:w="460" w:type="dxa"/>
            <w:hideMark/>
          </w:tcPr>
          <w:p w:rsidR="004801D8" w:rsidRPr="004801D8" w:rsidRDefault="004801D8" w:rsidP="00181403">
            <w:pPr>
              <w:rPr>
                <w:rFonts w:asciiTheme="majorBidi" w:hAnsiTheme="majorBidi" w:cstheme="majorBidi"/>
                <w:szCs w:val="24"/>
                <w:lang w:val="es-ES"/>
              </w:rPr>
            </w:pPr>
            <w:r w:rsidRPr="004801D8">
              <w:rPr>
                <w:rFonts w:asciiTheme="majorBidi" w:hAnsiTheme="majorBidi" w:cstheme="majorBidi"/>
                <w:szCs w:val="24"/>
                <w:lang w:val="es-ES"/>
              </w:rPr>
              <w:t>1</w:t>
            </w:r>
          </w:p>
        </w:tc>
        <w:tc>
          <w:tcPr>
            <w:tcW w:w="6737" w:type="dxa"/>
            <w:hideMark/>
          </w:tcPr>
          <w:p w:rsidR="004801D8" w:rsidRPr="004801D8" w:rsidRDefault="004801D8" w:rsidP="00181403">
            <w:pPr>
              <w:rPr>
                <w:rFonts w:asciiTheme="majorBidi" w:hAnsiTheme="majorBidi" w:cstheme="majorBidi"/>
                <w:lang w:val="es-ES"/>
              </w:rPr>
            </w:pPr>
            <w:r w:rsidRPr="004801D8">
              <w:rPr>
                <w:rFonts w:asciiTheme="majorBidi" w:hAnsiTheme="majorBidi" w:cstheme="majorBidi"/>
                <w:lang w:val="es-ES"/>
              </w:rPr>
              <w:t>Apertura de la reunión</w:t>
            </w:r>
          </w:p>
        </w:tc>
        <w:tc>
          <w:tcPr>
            <w:tcW w:w="2868" w:type="dxa"/>
            <w:hideMark/>
          </w:tcPr>
          <w:p w:rsidR="004801D8" w:rsidRPr="004801D8" w:rsidRDefault="004801D8" w:rsidP="00181403">
            <w:pPr>
              <w:jc w:val="center"/>
              <w:rPr>
                <w:rFonts w:asciiTheme="majorBidi" w:hAnsiTheme="majorBidi" w:cstheme="majorBidi"/>
                <w:lang w:val="es-ES"/>
              </w:rPr>
            </w:pPr>
            <w:r w:rsidRPr="004801D8">
              <w:rPr>
                <w:rFonts w:asciiTheme="majorBidi" w:hAnsiTheme="majorBidi" w:cstheme="majorBidi"/>
                <w:lang w:val="es-ES"/>
              </w:rPr>
              <w:t>–</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11" w:name="lt_pId049"/>
            <w:r w:rsidRPr="004801D8">
              <w:rPr>
                <w:rFonts w:asciiTheme="majorBidi" w:hAnsiTheme="majorBidi" w:cstheme="majorBidi"/>
                <w:szCs w:val="24"/>
                <w:lang w:val="es-ES"/>
              </w:rPr>
              <w:t>2</w:t>
            </w:r>
            <w:bookmarkEnd w:id="11"/>
          </w:p>
        </w:tc>
        <w:tc>
          <w:tcPr>
            <w:tcW w:w="6737" w:type="dxa"/>
          </w:tcPr>
          <w:p w:rsidR="004801D8" w:rsidRPr="004801D8" w:rsidRDefault="004801D8" w:rsidP="00F412E8">
            <w:pPr>
              <w:rPr>
                <w:rFonts w:asciiTheme="majorBidi" w:hAnsiTheme="majorBidi" w:cstheme="majorBidi"/>
                <w:lang w:val="es-ES"/>
              </w:rPr>
            </w:pPr>
            <w:r w:rsidRPr="004801D8">
              <w:rPr>
                <w:rFonts w:asciiTheme="majorBidi" w:hAnsiTheme="majorBidi" w:cstheme="majorBidi"/>
                <w:lang w:val="es-ES"/>
              </w:rPr>
              <w:t>Contribuciones tardías y orden del día</w:t>
            </w:r>
          </w:p>
        </w:tc>
        <w:tc>
          <w:tcPr>
            <w:tcW w:w="2868" w:type="dxa"/>
          </w:tcPr>
          <w:p w:rsidR="004801D8" w:rsidRPr="004801D8" w:rsidRDefault="004801D8" w:rsidP="00181403">
            <w:pPr>
              <w:jc w:val="center"/>
              <w:rPr>
                <w:rFonts w:asciiTheme="majorBidi" w:hAnsiTheme="majorBidi" w:cstheme="majorBidi"/>
                <w:lang w:val="es-ES"/>
              </w:rPr>
            </w:pPr>
            <w:r w:rsidRPr="004801D8">
              <w:rPr>
                <w:rFonts w:asciiTheme="majorBidi" w:hAnsiTheme="majorBidi" w:cstheme="majorBidi"/>
                <w:lang w:val="es-ES"/>
              </w:rPr>
              <w:t>–</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12" w:name="lt_pId052"/>
            <w:r w:rsidRPr="004801D8">
              <w:rPr>
                <w:rFonts w:asciiTheme="majorBidi" w:hAnsiTheme="majorBidi" w:cstheme="majorBidi"/>
                <w:szCs w:val="24"/>
                <w:lang w:val="es-ES"/>
              </w:rPr>
              <w:t>3</w:t>
            </w:r>
            <w:bookmarkEnd w:id="12"/>
          </w:p>
        </w:tc>
        <w:tc>
          <w:tcPr>
            <w:tcW w:w="6737" w:type="dxa"/>
          </w:tcPr>
          <w:p w:rsidR="004801D8" w:rsidRPr="004801D8" w:rsidRDefault="004801D8" w:rsidP="00AA41FB">
            <w:pPr>
              <w:spacing w:line="480" w:lineRule="auto"/>
              <w:rPr>
                <w:rFonts w:asciiTheme="majorBidi" w:hAnsiTheme="majorBidi" w:cstheme="majorBidi"/>
                <w:lang w:val="es-ES"/>
              </w:rPr>
            </w:pPr>
            <w:r w:rsidRPr="004801D8">
              <w:rPr>
                <w:rFonts w:asciiTheme="majorBidi" w:hAnsiTheme="majorBidi" w:cstheme="majorBidi"/>
                <w:lang w:val="es-ES"/>
              </w:rPr>
              <w:t>Informe del Director de la BR</w:t>
            </w:r>
          </w:p>
        </w:tc>
        <w:tc>
          <w:tcPr>
            <w:tcW w:w="2868" w:type="dxa"/>
          </w:tcPr>
          <w:p w:rsidR="004801D8" w:rsidRPr="004801D8" w:rsidRDefault="004801D8" w:rsidP="003B12D7">
            <w:pPr>
              <w:jc w:val="center"/>
              <w:rPr>
                <w:rFonts w:asciiTheme="majorBidi" w:hAnsiTheme="majorBidi" w:cstheme="majorBidi"/>
                <w:lang w:val="es-ES"/>
              </w:rPr>
            </w:pPr>
            <w:bookmarkStart w:id="13" w:name="lt_pId054"/>
            <w:r w:rsidRPr="004801D8">
              <w:rPr>
                <w:rFonts w:asciiTheme="majorBidi" w:hAnsiTheme="majorBidi" w:cstheme="majorBidi"/>
                <w:lang w:val="es-ES"/>
              </w:rPr>
              <w:t xml:space="preserve">RRB16-2/5 + Add.1 a </w:t>
            </w:r>
            <w:bookmarkEnd w:id="13"/>
            <w:r w:rsidRPr="004801D8">
              <w:rPr>
                <w:rFonts w:asciiTheme="majorBidi" w:hAnsiTheme="majorBidi" w:cstheme="majorBidi"/>
                <w:lang w:val="es-ES"/>
              </w:rPr>
              <w:t>3</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14" w:name="lt_pId055"/>
            <w:r w:rsidRPr="004801D8">
              <w:rPr>
                <w:rFonts w:asciiTheme="majorBidi" w:hAnsiTheme="majorBidi" w:cstheme="majorBidi"/>
                <w:szCs w:val="24"/>
                <w:lang w:val="es-ES"/>
              </w:rPr>
              <w:t>4</w:t>
            </w:r>
            <w:bookmarkEnd w:id="14"/>
          </w:p>
        </w:tc>
        <w:tc>
          <w:tcPr>
            <w:tcW w:w="6737" w:type="dxa"/>
          </w:tcPr>
          <w:p w:rsidR="004801D8" w:rsidRPr="004801D8" w:rsidRDefault="004801D8" w:rsidP="00181403">
            <w:pPr>
              <w:rPr>
                <w:rFonts w:asciiTheme="majorBidi" w:hAnsiTheme="majorBidi" w:cstheme="majorBidi"/>
                <w:b/>
                <w:color w:val="000000" w:themeColor="text1"/>
                <w:lang w:val="es-ES"/>
              </w:rPr>
            </w:pPr>
            <w:r w:rsidRPr="004801D8">
              <w:rPr>
                <w:rFonts w:asciiTheme="majorBidi" w:hAnsiTheme="majorBidi" w:cstheme="majorBidi"/>
                <w:color w:val="000000" w:themeColor="text1"/>
                <w:lang w:val="es-ES"/>
              </w:rPr>
              <w:t>Comunicaciones de la Administración de los Estados Unidos de América relativas a la situación de las redes de satélites ACS-1 y MCS-1</w:t>
            </w:r>
          </w:p>
        </w:tc>
        <w:tc>
          <w:tcPr>
            <w:tcW w:w="2868" w:type="dxa"/>
          </w:tcPr>
          <w:p w:rsidR="004801D8" w:rsidRPr="004801D8" w:rsidRDefault="004801D8" w:rsidP="00AA41FB">
            <w:pPr>
              <w:jc w:val="center"/>
              <w:rPr>
                <w:rFonts w:asciiTheme="majorBidi" w:hAnsiTheme="majorBidi" w:cstheme="majorBidi"/>
              </w:rPr>
            </w:pPr>
            <w:r w:rsidRPr="004801D8">
              <w:rPr>
                <w:rFonts w:asciiTheme="majorBidi" w:hAnsiTheme="majorBidi" w:cstheme="majorBidi"/>
              </w:rPr>
              <w:t>RRB16-2/1</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15" w:name="lt_pId058"/>
            <w:r w:rsidRPr="004801D8">
              <w:rPr>
                <w:rFonts w:asciiTheme="majorBidi" w:hAnsiTheme="majorBidi" w:cstheme="majorBidi"/>
                <w:szCs w:val="24"/>
                <w:lang w:val="es-ES"/>
              </w:rPr>
              <w:t>5</w:t>
            </w:r>
            <w:bookmarkEnd w:id="15"/>
          </w:p>
        </w:tc>
        <w:tc>
          <w:tcPr>
            <w:tcW w:w="6737" w:type="dxa"/>
          </w:tcPr>
          <w:p w:rsidR="004801D8" w:rsidRPr="004801D8" w:rsidRDefault="004801D8" w:rsidP="00181403">
            <w:pPr>
              <w:rPr>
                <w:rFonts w:asciiTheme="majorBidi" w:hAnsiTheme="majorBidi" w:cstheme="majorBidi"/>
                <w:b/>
                <w:color w:val="000000" w:themeColor="text1"/>
                <w:lang w:val="es-ES"/>
              </w:rPr>
            </w:pPr>
            <w:r w:rsidRPr="004801D8">
              <w:rPr>
                <w:rFonts w:asciiTheme="majorBidi" w:hAnsiTheme="majorBidi" w:cstheme="majorBidi"/>
                <w:color w:val="000000" w:themeColor="text1"/>
                <w:lang w:val="es-ES"/>
              </w:rPr>
              <w:t>Comunicaciones de las Administraciones de Noruega y de los Estados Unidos de América relativas al cambio de la Administración Notificante de los sistemas de satélite STEAM 0, STEAM-1, STEAM-2 y STEAM-3C</w:t>
            </w:r>
          </w:p>
        </w:tc>
        <w:tc>
          <w:tcPr>
            <w:tcW w:w="2868" w:type="dxa"/>
          </w:tcPr>
          <w:p w:rsidR="004801D8" w:rsidRPr="004801D8" w:rsidRDefault="004801D8" w:rsidP="00857CD1">
            <w:pPr>
              <w:jc w:val="center"/>
              <w:rPr>
                <w:rFonts w:asciiTheme="majorBidi" w:hAnsiTheme="majorBidi" w:cstheme="majorBidi"/>
                <w:lang w:val="es-ES"/>
              </w:rPr>
            </w:pPr>
            <w:r w:rsidRPr="004801D8">
              <w:rPr>
                <w:rFonts w:asciiTheme="majorBidi" w:hAnsiTheme="majorBidi" w:cstheme="majorBidi"/>
                <w:lang w:val="es-ES"/>
              </w:rPr>
              <w:t>RRB16-2/6, RRB16</w:t>
            </w:r>
            <w:r w:rsidRPr="004801D8">
              <w:rPr>
                <w:rFonts w:asciiTheme="majorBidi" w:hAnsiTheme="majorBidi" w:cstheme="majorBidi"/>
                <w:lang w:val="es-ES"/>
              </w:rPr>
              <w:noBreakHyphen/>
              <w:t>2/INFO/2</w:t>
            </w:r>
          </w:p>
        </w:tc>
      </w:tr>
      <w:tr w:rsidR="004801D8" w:rsidRPr="004801D8" w:rsidTr="00181403">
        <w:tc>
          <w:tcPr>
            <w:tcW w:w="460" w:type="dxa"/>
          </w:tcPr>
          <w:p w:rsidR="004801D8" w:rsidRPr="004801D8" w:rsidRDefault="004801D8" w:rsidP="00857CD1">
            <w:pPr>
              <w:rPr>
                <w:rFonts w:asciiTheme="majorBidi" w:hAnsiTheme="majorBidi" w:cstheme="majorBidi"/>
                <w:szCs w:val="24"/>
                <w:lang w:val="es-ES"/>
              </w:rPr>
            </w:pPr>
            <w:bookmarkStart w:id="16" w:name="lt_pId061"/>
            <w:r w:rsidRPr="004801D8">
              <w:rPr>
                <w:rFonts w:asciiTheme="majorBidi" w:hAnsiTheme="majorBidi" w:cstheme="majorBidi"/>
                <w:szCs w:val="24"/>
                <w:lang w:val="es-ES"/>
              </w:rPr>
              <w:t>6</w:t>
            </w:r>
            <w:bookmarkEnd w:id="16"/>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Comunicación de la Administración de Malasia relativa a la situación de la red de satélites MEASAT-91.5E-30B</w:t>
            </w:r>
          </w:p>
        </w:tc>
        <w:tc>
          <w:tcPr>
            <w:tcW w:w="2868" w:type="dxa"/>
          </w:tcPr>
          <w:p w:rsidR="004801D8" w:rsidRPr="004801D8" w:rsidRDefault="004801D8" w:rsidP="00857CD1">
            <w:pPr>
              <w:jc w:val="center"/>
              <w:rPr>
                <w:rFonts w:asciiTheme="majorBidi" w:hAnsiTheme="majorBidi" w:cstheme="majorBidi"/>
                <w:lang w:val="es-ES"/>
              </w:rPr>
            </w:pPr>
            <w:r w:rsidRPr="004801D8">
              <w:rPr>
                <w:rFonts w:asciiTheme="majorBidi" w:hAnsiTheme="majorBidi" w:cstheme="majorBidi"/>
                <w:lang w:val="es-ES"/>
              </w:rPr>
              <w:t>RRB16-2/7</w:t>
            </w:r>
          </w:p>
        </w:tc>
      </w:tr>
      <w:tr w:rsidR="004801D8" w:rsidRPr="004801D8" w:rsidTr="00181403">
        <w:tc>
          <w:tcPr>
            <w:tcW w:w="460" w:type="dxa"/>
          </w:tcPr>
          <w:p w:rsidR="004801D8" w:rsidRPr="004801D8" w:rsidRDefault="004801D8" w:rsidP="00857CD1">
            <w:pPr>
              <w:rPr>
                <w:rFonts w:asciiTheme="majorBidi" w:hAnsiTheme="majorBidi" w:cstheme="majorBidi"/>
                <w:szCs w:val="24"/>
                <w:lang w:val="es-ES"/>
              </w:rPr>
            </w:pPr>
            <w:bookmarkStart w:id="17" w:name="lt_pId064"/>
            <w:r w:rsidRPr="004801D8">
              <w:rPr>
                <w:rFonts w:asciiTheme="majorBidi" w:hAnsiTheme="majorBidi" w:cstheme="majorBidi"/>
                <w:szCs w:val="24"/>
                <w:lang w:val="es-ES"/>
              </w:rPr>
              <w:t>7</w:t>
            </w:r>
            <w:bookmarkEnd w:id="17"/>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Comunicación de la Administración de Brasil relativa a la situación de la red de satélites STAR ONE D1</w:t>
            </w:r>
          </w:p>
        </w:tc>
        <w:tc>
          <w:tcPr>
            <w:tcW w:w="2868" w:type="dxa"/>
          </w:tcPr>
          <w:p w:rsidR="004801D8" w:rsidRPr="004801D8" w:rsidRDefault="004801D8" w:rsidP="00857CD1">
            <w:pPr>
              <w:jc w:val="center"/>
              <w:rPr>
                <w:rFonts w:asciiTheme="majorBidi" w:hAnsiTheme="majorBidi" w:cstheme="majorBidi"/>
              </w:rPr>
            </w:pPr>
            <w:r w:rsidRPr="004801D8">
              <w:rPr>
                <w:rFonts w:asciiTheme="majorBidi" w:hAnsiTheme="majorBidi" w:cstheme="majorBidi"/>
              </w:rPr>
              <w:t>RRB16-2/12</w:t>
            </w:r>
          </w:p>
        </w:tc>
      </w:tr>
      <w:tr w:rsidR="004801D8" w:rsidRPr="004801D8" w:rsidTr="00181403">
        <w:tc>
          <w:tcPr>
            <w:tcW w:w="460" w:type="dxa"/>
          </w:tcPr>
          <w:p w:rsidR="004801D8" w:rsidRPr="004801D8" w:rsidRDefault="004801D8" w:rsidP="00857CD1">
            <w:pPr>
              <w:rPr>
                <w:rFonts w:asciiTheme="majorBidi" w:hAnsiTheme="majorBidi" w:cstheme="majorBidi"/>
                <w:szCs w:val="24"/>
                <w:lang w:val="es-ES"/>
              </w:rPr>
            </w:pPr>
            <w:bookmarkStart w:id="18" w:name="lt_pId067"/>
            <w:r w:rsidRPr="004801D8">
              <w:rPr>
                <w:rFonts w:asciiTheme="majorBidi" w:hAnsiTheme="majorBidi" w:cstheme="majorBidi"/>
                <w:szCs w:val="24"/>
                <w:lang w:val="es-ES"/>
              </w:rPr>
              <w:t>8</w:t>
            </w:r>
            <w:bookmarkEnd w:id="18"/>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Comunicación de la Administración de la Federación de Rusia relativa a la situación de las redes de satélites INTERSPUTNIK-17E, INTERSPUTNIK-17E-CK e INTERSPUTNIK-17E-B</w:t>
            </w:r>
          </w:p>
        </w:tc>
        <w:tc>
          <w:tcPr>
            <w:tcW w:w="2868" w:type="dxa"/>
          </w:tcPr>
          <w:p w:rsidR="004801D8" w:rsidRPr="004801D8" w:rsidRDefault="004801D8" w:rsidP="00857CD1">
            <w:pPr>
              <w:jc w:val="center"/>
              <w:rPr>
                <w:rFonts w:asciiTheme="majorBidi" w:hAnsiTheme="majorBidi" w:cstheme="majorBidi"/>
                <w:lang w:val="es-ES"/>
              </w:rPr>
            </w:pPr>
            <w:r w:rsidRPr="004801D8">
              <w:rPr>
                <w:rFonts w:asciiTheme="majorBidi" w:hAnsiTheme="majorBidi" w:cstheme="majorBidi"/>
                <w:lang w:val="es-ES"/>
              </w:rPr>
              <w:t>RRB16-2/9</w:t>
            </w:r>
          </w:p>
        </w:tc>
      </w:tr>
      <w:tr w:rsidR="004801D8" w:rsidRPr="004801D8" w:rsidTr="00181403">
        <w:tc>
          <w:tcPr>
            <w:tcW w:w="460" w:type="dxa"/>
          </w:tcPr>
          <w:p w:rsidR="004801D8" w:rsidRPr="004801D8" w:rsidRDefault="004801D8" w:rsidP="00857CD1">
            <w:pPr>
              <w:rPr>
                <w:rFonts w:asciiTheme="majorBidi" w:hAnsiTheme="majorBidi" w:cstheme="majorBidi"/>
                <w:szCs w:val="24"/>
                <w:lang w:val="es-ES"/>
              </w:rPr>
            </w:pPr>
            <w:bookmarkStart w:id="19" w:name="lt_pId070"/>
            <w:r w:rsidRPr="004801D8">
              <w:rPr>
                <w:rFonts w:asciiTheme="majorBidi" w:hAnsiTheme="majorBidi" w:cstheme="majorBidi"/>
                <w:szCs w:val="24"/>
                <w:lang w:val="es-ES"/>
              </w:rPr>
              <w:t>9</w:t>
            </w:r>
            <w:bookmarkEnd w:id="19"/>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Comunicación de la Administración de Argelia relativa a la admisibilidad de la correspondencia remitida por la Oficina de Radiocomunicaciones a las administraciones en relación con el procedimiento para la coordinación de frecuencias con arreglo a las disposiciones de los acuerdos regionales y el Reglamento de Radiocomunicaciones</w:t>
            </w:r>
          </w:p>
        </w:tc>
        <w:tc>
          <w:tcPr>
            <w:tcW w:w="2868" w:type="dxa"/>
          </w:tcPr>
          <w:p w:rsidR="004801D8" w:rsidRPr="004801D8" w:rsidRDefault="004801D8" w:rsidP="00857CD1">
            <w:pPr>
              <w:jc w:val="center"/>
              <w:rPr>
                <w:rFonts w:asciiTheme="majorBidi" w:hAnsiTheme="majorBidi" w:cstheme="majorBidi"/>
              </w:rPr>
            </w:pPr>
            <w:r w:rsidRPr="004801D8">
              <w:rPr>
                <w:rFonts w:asciiTheme="majorBidi" w:hAnsiTheme="majorBidi" w:cstheme="majorBidi"/>
              </w:rPr>
              <w:t>RRB16-2/11</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20" w:name="lt_pId074"/>
            <w:r w:rsidRPr="004801D8">
              <w:rPr>
                <w:rFonts w:asciiTheme="majorBidi" w:hAnsiTheme="majorBidi" w:cstheme="majorBidi"/>
                <w:szCs w:val="24"/>
                <w:lang w:val="es-ES"/>
              </w:rPr>
              <w:t>10</w:t>
            </w:r>
            <w:bookmarkEnd w:id="20"/>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Proyecto de Regla de Procedimiento relativa a la tramitación de las solicitudes de coordinación o de las notificaciones de redes de satélites recibidas antes de la entrada en vigor de una decisión de la CMR</w:t>
            </w:r>
          </w:p>
        </w:tc>
        <w:tc>
          <w:tcPr>
            <w:tcW w:w="2868" w:type="dxa"/>
          </w:tcPr>
          <w:p w:rsidR="004801D8" w:rsidRPr="004801D8" w:rsidRDefault="004801D8" w:rsidP="00181403">
            <w:pPr>
              <w:jc w:val="center"/>
              <w:rPr>
                <w:rFonts w:asciiTheme="majorBidi" w:hAnsiTheme="majorBidi" w:cstheme="majorBidi"/>
                <w:lang w:val="es-ES_tradnl"/>
              </w:rPr>
            </w:pPr>
            <w:r w:rsidRPr="004801D8">
              <w:rPr>
                <w:rFonts w:asciiTheme="majorBidi" w:hAnsiTheme="majorBidi" w:cstheme="majorBidi"/>
                <w:lang w:val="es-ES_tradnl"/>
              </w:rPr>
              <w:t>Carta Circular CCRR/55, RRB16-2/2, RRB16-2/4</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21" w:name="lt_pId077"/>
            <w:r w:rsidRPr="004801D8">
              <w:rPr>
                <w:rFonts w:asciiTheme="majorBidi" w:hAnsiTheme="majorBidi" w:cstheme="majorBidi"/>
                <w:szCs w:val="24"/>
                <w:lang w:val="es-ES"/>
              </w:rPr>
              <w:t>11</w:t>
            </w:r>
            <w:bookmarkEnd w:id="21"/>
          </w:p>
        </w:tc>
        <w:tc>
          <w:tcPr>
            <w:tcW w:w="6737" w:type="dxa"/>
          </w:tcPr>
          <w:p w:rsidR="004801D8" w:rsidRPr="004801D8" w:rsidRDefault="004801D8" w:rsidP="00857CD1">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Comunicación de la Administración de los Estados Unidos de América relativa a la prioridad de las solicitudes de coordinación de asignaciones de frecuencias existentes en el servicio de investigación espacial en las bandas de frecuencias 13,4-13,65 GHz y 14,5 14,8 GHz</w:t>
            </w:r>
          </w:p>
        </w:tc>
        <w:tc>
          <w:tcPr>
            <w:tcW w:w="2868" w:type="dxa"/>
          </w:tcPr>
          <w:p w:rsidR="004801D8" w:rsidRPr="004801D8" w:rsidRDefault="004801D8" w:rsidP="00857CD1">
            <w:pPr>
              <w:jc w:val="center"/>
              <w:rPr>
                <w:rFonts w:asciiTheme="majorBidi" w:hAnsiTheme="majorBidi" w:cstheme="majorBidi"/>
                <w:lang w:val="es-ES"/>
              </w:rPr>
            </w:pPr>
            <w:r w:rsidRPr="004801D8">
              <w:rPr>
                <w:rFonts w:asciiTheme="majorBidi" w:hAnsiTheme="majorBidi" w:cstheme="majorBidi"/>
                <w:lang w:val="es-ES"/>
              </w:rPr>
              <w:t>RRB16-2/13, RRB16</w:t>
            </w:r>
            <w:r w:rsidRPr="004801D8">
              <w:rPr>
                <w:rFonts w:asciiTheme="majorBidi" w:hAnsiTheme="majorBidi" w:cstheme="majorBidi"/>
                <w:lang w:val="es-ES"/>
              </w:rPr>
              <w:noBreakHyphen/>
              <w:t>2/INFO/1</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22" w:name="lt_pId080"/>
            <w:r w:rsidRPr="004801D8">
              <w:rPr>
                <w:rFonts w:asciiTheme="majorBidi" w:hAnsiTheme="majorBidi" w:cstheme="majorBidi"/>
                <w:szCs w:val="24"/>
                <w:lang w:val="es-ES"/>
              </w:rPr>
              <w:t>12</w:t>
            </w:r>
            <w:bookmarkEnd w:id="22"/>
          </w:p>
        </w:tc>
        <w:tc>
          <w:tcPr>
            <w:tcW w:w="6737" w:type="dxa"/>
          </w:tcPr>
          <w:p w:rsidR="004801D8" w:rsidRPr="004801D8" w:rsidRDefault="004801D8" w:rsidP="00181403">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Repercusión de las decisiones de la CMR-15 sobre las actuales Reglas de Procedimiento</w:t>
            </w:r>
          </w:p>
        </w:tc>
        <w:tc>
          <w:tcPr>
            <w:tcW w:w="2868" w:type="dxa"/>
          </w:tcPr>
          <w:p w:rsidR="004801D8" w:rsidRPr="004801D8" w:rsidRDefault="004801D8" w:rsidP="00181403">
            <w:pPr>
              <w:jc w:val="center"/>
              <w:rPr>
                <w:rFonts w:asciiTheme="majorBidi" w:hAnsiTheme="majorBidi" w:cstheme="majorBidi"/>
                <w:lang w:val="es-ES"/>
              </w:rPr>
            </w:pPr>
            <w:r w:rsidRPr="004801D8">
              <w:rPr>
                <w:rFonts w:asciiTheme="majorBidi" w:hAnsiTheme="majorBidi" w:cstheme="majorBidi"/>
                <w:lang w:val="es-ES"/>
              </w:rPr>
              <w:t>RRB16-2/3, RRB16-2/8, RRB16-2/10</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r w:rsidRPr="004801D8">
              <w:rPr>
                <w:rFonts w:asciiTheme="majorBidi" w:hAnsiTheme="majorBidi" w:cstheme="majorBidi"/>
                <w:szCs w:val="24"/>
                <w:lang w:val="es-ES"/>
              </w:rPr>
              <w:t>13</w:t>
            </w:r>
          </w:p>
        </w:tc>
        <w:tc>
          <w:tcPr>
            <w:tcW w:w="6737" w:type="dxa"/>
          </w:tcPr>
          <w:p w:rsidR="004801D8" w:rsidRPr="004801D8" w:rsidRDefault="004801D8" w:rsidP="00181403">
            <w:pPr>
              <w:rPr>
                <w:rFonts w:asciiTheme="majorBidi" w:hAnsiTheme="majorBidi" w:cstheme="majorBidi"/>
                <w:b/>
                <w:color w:val="000000" w:themeColor="text1"/>
                <w:lang w:val="es-ES"/>
              </w:rPr>
            </w:pPr>
            <w:r w:rsidRPr="004801D8">
              <w:rPr>
                <w:rFonts w:asciiTheme="majorBidi" w:hAnsiTheme="majorBidi" w:cstheme="majorBidi"/>
                <w:color w:val="000000" w:themeColor="text1"/>
                <w:lang w:val="es-ES"/>
              </w:rPr>
              <w:t>Confirmación de la próxima reunión y fechas indicativas de las próximas reuniones</w:t>
            </w:r>
          </w:p>
        </w:tc>
        <w:tc>
          <w:tcPr>
            <w:tcW w:w="2868" w:type="dxa"/>
          </w:tcPr>
          <w:p w:rsidR="004801D8" w:rsidRPr="004801D8" w:rsidRDefault="004801D8" w:rsidP="00181403">
            <w:pPr>
              <w:jc w:val="center"/>
              <w:rPr>
                <w:rFonts w:asciiTheme="majorBidi" w:hAnsiTheme="majorBidi" w:cstheme="majorBidi"/>
                <w:lang w:val="es-ES"/>
              </w:rPr>
            </w:pPr>
            <w:r w:rsidRPr="004801D8">
              <w:rPr>
                <w:rFonts w:asciiTheme="majorBidi" w:hAnsiTheme="majorBidi" w:cstheme="majorBidi"/>
                <w:lang w:val="es-ES"/>
              </w:rPr>
              <w:t>–</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23" w:name="lt_pId086"/>
            <w:r w:rsidRPr="004801D8">
              <w:rPr>
                <w:rFonts w:asciiTheme="majorBidi" w:hAnsiTheme="majorBidi" w:cstheme="majorBidi"/>
                <w:szCs w:val="24"/>
                <w:lang w:val="es-ES"/>
              </w:rPr>
              <w:t>14</w:t>
            </w:r>
            <w:bookmarkEnd w:id="23"/>
          </w:p>
        </w:tc>
        <w:tc>
          <w:tcPr>
            <w:tcW w:w="6737" w:type="dxa"/>
          </w:tcPr>
          <w:p w:rsidR="004801D8" w:rsidRPr="004801D8" w:rsidRDefault="004801D8" w:rsidP="00181403">
            <w:pPr>
              <w:rPr>
                <w:rFonts w:asciiTheme="majorBidi" w:hAnsiTheme="majorBidi" w:cstheme="majorBidi"/>
                <w:b/>
                <w:color w:val="000000" w:themeColor="text1"/>
                <w:lang w:val="es-ES"/>
              </w:rPr>
            </w:pPr>
            <w:r w:rsidRPr="004801D8">
              <w:rPr>
                <w:rFonts w:asciiTheme="majorBidi" w:hAnsiTheme="majorBidi" w:cstheme="majorBidi"/>
                <w:color w:val="000000" w:themeColor="text1"/>
                <w:lang w:val="es-ES"/>
              </w:rPr>
              <w:t>Aprobación del Resumen de Decisiones</w:t>
            </w:r>
          </w:p>
        </w:tc>
        <w:tc>
          <w:tcPr>
            <w:tcW w:w="2868" w:type="dxa"/>
          </w:tcPr>
          <w:p w:rsidR="004801D8" w:rsidRPr="004801D8" w:rsidRDefault="004801D8" w:rsidP="00857CD1">
            <w:pPr>
              <w:jc w:val="center"/>
              <w:rPr>
                <w:rFonts w:asciiTheme="majorBidi" w:hAnsiTheme="majorBidi" w:cstheme="majorBidi"/>
                <w:lang w:val="es-ES"/>
              </w:rPr>
            </w:pPr>
            <w:bookmarkStart w:id="24" w:name="lt_pId088"/>
            <w:r w:rsidRPr="004801D8">
              <w:rPr>
                <w:rFonts w:asciiTheme="majorBidi" w:hAnsiTheme="majorBidi" w:cstheme="majorBidi"/>
                <w:lang w:val="es-ES"/>
              </w:rPr>
              <w:t>RRB16-2/1</w:t>
            </w:r>
            <w:bookmarkEnd w:id="24"/>
            <w:r w:rsidRPr="004801D8">
              <w:rPr>
                <w:rFonts w:asciiTheme="majorBidi" w:hAnsiTheme="majorBidi" w:cstheme="majorBidi"/>
                <w:lang w:val="es-ES"/>
              </w:rPr>
              <w:t>4</w:t>
            </w:r>
          </w:p>
        </w:tc>
      </w:tr>
      <w:tr w:rsidR="004801D8" w:rsidRPr="004801D8" w:rsidTr="00181403">
        <w:tc>
          <w:tcPr>
            <w:tcW w:w="460" w:type="dxa"/>
          </w:tcPr>
          <w:p w:rsidR="004801D8" w:rsidRPr="004801D8" w:rsidRDefault="004801D8" w:rsidP="00181403">
            <w:pPr>
              <w:rPr>
                <w:rFonts w:asciiTheme="majorBidi" w:hAnsiTheme="majorBidi" w:cstheme="majorBidi"/>
                <w:szCs w:val="24"/>
                <w:lang w:val="es-ES"/>
              </w:rPr>
            </w:pPr>
            <w:bookmarkStart w:id="25" w:name="lt_pId089"/>
            <w:r w:rsidRPr="004801D8">
              <w:rPr>
                <w:rFonts w:asciiTheme="majorBidi" w:hAnsiTheme="majorBidi" w:cstheme="majorBidi"/>
                <w:szCs w:val="24"/>
                <w:lang w:val="es-ES"/>
              </w:rPr>
              <w:t>15</w:t>
            </w:r>
            <w:bookmarkEnd w:id="25"/>
          </w:p>
        </w:tc>
        <w:tc>
          <w:tcPr>
            <w:tcW w:w="6737" w:type="dxa"/>
          </w:tcPr>
          <w:p w:rsidR="004801D8" w:rsidRPr="004801D8" w:rsidRDefault="004801D8" w:rsidP="00181403">
            <w:pPr>
              <w:rPr>
                <w:rFonts w:asciiTheme="majorBidi" w:hAnsiTheme="majorBidi" w:cstheme="majorBidi"/>
                <w:color w:val="000000" w:themeColor="text1"/>
                <w:lang w:val="es-ES"/>
              </w:rPr>
            </w:pPr>
            <w:r w:rsidRPr="004801D8">
              <w:rPr>
                <w:rFonts w:asciiTheme="majorBidi" w:hAnsiTheme="majorBidi" w:cstheme="majorBidi"/>
                <w:color w:val="000000" w:themeColor="text1"/>
                <w:lang w:val="es-ES"/>
              </w:rPr>
              <w:t>Clausura de la reunión</w:t>
            </w:r>
          </w:p>
        </w:tc>
        <w:tc>
          <w:tcPr>
            <w:tcW w:w="2868" w:type="dxa"/>
          </w:tcPr>
          <w:p w:rsidR="004801D8" w:rsidRPr="004801D8" w:rsidRDefault="004801D8" w:rsidP="00181403">
            <w:pPr>
              <w:jc w:val="center"/>
              <w:rPr>
                <w:rFonts w:asciiTheme="majorBidi" w:hAnsiTheme="majorBidi" w:cstheme="majorBidi"/>
                <w:lang w:val="es-ES"/>
              </w:rPr>
            </w:pPr>
            <w:r w:rsidRPr="004801D8">
              <w:rPr>
                <w:rFonts w:asciiTheme="majorBidi" w:hAnsiTheme="majorBidi" w:cstheme="majorBidi"/>
                <w:lang w:val="es-ES"/>
              </w:rPr>
              <w:t>–</w:t>
            </w:r>
          </w:p>
        </w:tc>
      </w:tr>
    </w:tbl>
    <w:p w:rsidR="004801D8" w:rsidRPr="004801D8" w:rsidRDefault="004801D8" w:rsidP="00857CD1">
      <w:pPr>
        <w:rPr>
          <w:rFonts w:asciiTheme="majorBidi" w:hAnsiTheme="majorBidi" w:cstheme="majorBidi"/>
        </w:rPr>
      </w:pPr>
      <w:r w:rsidRPr="004801D8">
        <w:rPr>
          <w:rFonts w:asciiTheme="majorBidi" w:hAnsiTheme="majorBidi" w:cstheme="majorBidi"/>
        </w:rPr>
        <w:br w:type="page"/>
      </w:r>
    </w:p>
    <w:p w:rsidR="004801D8" w:rsidRPr="004801D8" w:rsidRDefault="004801D8" w:rsidP="00181403">
      <w:pPr>
        <w:pStyle w:val="Heading1"/>
        <w:rPr>
          <w:rFonts w:asciiTheme="majorBidi" w:hAnsiTheme="majorBidi" w:cstheme="majorBidi"/>
          <w:lang w:val="es-ES"/>
        </w:rPr>
      </w:pPr>
      <w:bookmarkStart w:id="26" w:name="lt_pId092"/>
      <w:r w:rsidRPr="004801D8">
        <w:rPr>
          <w:rFonts w:asciiTheme="majorBidi" w:hAnsiTheme="majorBidi" w:cstheme="majorBidi"/>
          <w:lang w:val="es-ES"/>
        </w:rPr>
        <w:lastRenderedPageBreak/>
        <w:t>1</w:t>
      </w:r>
      <w:bookmarkEnd w:id="26"/>
      <w:r w:rsidRPr="004801D8">
        <w:rPr>
          <w:rFonts w:asciiTheme="majorBidi" w:hAnsiTheme="majorBidi" w:cstheme="majorBidi"/>
          <w:lang w:val="es-ES"/>
        </w:rPr>
        <w:tab/>
        <w:t>Apertura de la reunión</w:t>
      </w:r>
    </w:p>
    <w:p w:rsidR="004801D8" w:rsidRPr="004801D8" w:rsidRDefault="004801D8" w:rsidP="00B51E5A">
      <w:pPr>
        <w:rPr>
          <w:rFonts w:asciiTheme="majorBidi" w:hAnsiTheme="majorBidi" w:cstheme="majorBidi"/>
          <w:lang w:val="es-ES_tradnl"/>
        </w:rPr>
      </w:pPr>
      <w:bookmarkStart w:id="27" w:name="lt_pId094"/>
      <w:r w:rsidRPr="004801D8">
        <w:rPr>
          <w:rFonts w:asciiTheme="majorBidi" w:hAnsiTheme="majorBidi" w:cstheme="majorBidi"/>
          <w:lang w:val="es-ES"/>
        </w:rPr>
        <w:t>1.1</w:t>
      </w:r>
      <w:bookmarkEnd w:id="27"/>
      <w:r w:rsidRPr="004801D8">
        <w:rPr>
          <w:rFonts w:asciiTheme="majorBidi" w:hAnsiTheme="majorBidi" w:cstheme="majorBidi"/>
          <w:lang w:val="es-ES"/>
        </w:rPr>
        <w:tab/>
      </w:r>
      <w:bookmarkStart w:id="28" w:name="lt_pId095"/>
      <w:r w:rsidRPr="004801D8">
        <w:rPr>
          <w:rFonts w:asciiTheme="majorBidi" w:hAnsiTheme="majorBidi" w:cstheme="majorBidi"/>
          <w:lang w:val="es-ES"/>
        </w:rPr>
        <w:t xml:space="preserve">La </w:t>
      </w:r>
      <w:r w:rsidRPr="004801D8">
        <w:rPr>
          <w:rFonts w:asciiTheme="majorBidi" w:hAnsiTheme="majorBidi" w:cstheme="majorBidi"/>
          <w:b/>
          <w:lang w:val="es-ES"/>
        </w:rPr>
        <w:t>Presidenta</w:t>
      </w:r>
      <w:r w:rsidRPr="004801D8">
        <w:rPr>
          <w:rFonts w:asciiTheme="majorBidi" w:hAnsiTheme="majorBidi" w:cstheme="majorBidi"/>
          <w:lang w:val="es-ES"/>
        </w:rPr>
        <w:t xml:space="preserve"> declara abierta la reunión a las 14.00 horas del lunes 16 de mayo de 2016 y d</w:t>
      </w:r>
      <w:proofErr w:type="spellStart"/>
      <w:r w:rsidRPr="004801D8">
        <w:rPr>
          <w:rFonts w:asciiTheme="majorBidi" w:hAnsiTheme="majorBidi" w:cstheme="majorBidi"/>
          <w:lang w:val="es-ES_tradnl"/>
        </w:rPr>
        <w:t>a</w:t>
      </w:r>
      <w:proofErr w:type="spellEnd"/>
      <w:r w:rsidRPr="004801D8">
        <w:rPr>
          <w:rFonts w:asciiTheme="majorBidi" w:hAnsiTheme="majorBidi" w:cstheme="majorBidi"/>
          <w:lang w:val="es-ES_tradnl"/>
        </w:rPr>
        <w:t xml:space="preserve"> la bienvenida a los participantes.</w:t>
      </w:r>
    </w:p>
    <w:bookmarkEnd w:id="28"/>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w:t>
      </w:r>
      <w:r w:rsidRPr="004801D8">
        <w:rPr>
          <w:rFonts w:asciiTheme="majorBidi" w:hAnsiTheme="majorBidi" w:cstheme="majorBidi"/>
          <w:lang w:val="es-ES_tradnl"/>
        </w:rPr>
        <w:tab/>
      </w:r>
      <w:bookmarkStart w:id="29" w:name="lt_pId15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da la bienvenida a los miembros de la Junta y les desea mucho éxito en la que parece va a ser una reunión intensa. El personal de la reunión está listo para ayudar a la Junta en todo lo que necesite</w:t>
      </w:r>
      <w:bookmarkStart w:id="30" w:name="lt_pId151"/>
      <w:bookmarkEnd w:id="29"/>
      <w:r w:rsidRPr="004801D8">
        <w:rPr>
          <w:rFonts w:asciiTheme="majorBidi" w:hAnsiTheme="majorBidi" w:cstheme="majorBidi"/>
          <w:lang w:val="es-ES_tradnl"/>
        </w:rPr>
        <w:t>.</w:t>
      </w:r>
      <w:bookmarkEnd w:id="3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w:t>
      </w:r>
      <w:r w:rsidRPr="004801D8">
        <w:rPr>
          <w:rFonts w:asciiTheme="majorBidi" w:hAnsiTheme="majorBidi" w:cstheme="majorBidi"/>
          <w:lang w:val="es-ES_tradnl"/>
        </w:rPr>
        <w:tab/>
      </w:r>
      <w:bookmarkStart w:id="31" w:name="lt_pId15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Secretario General</w:t>
      </w:r>
      <w:r w:rsidRPr="004801D8">
        <w:rPr>
          <w:rFonts w:asciiTheme="majorBidi" w:hAnsiTheme="majorBidi" w:cstheme="majorBidi"/>
          <w:lang w:val="es-ES_tradnl"/>
        </w:rPr>
        <w:t xml:space="preserve"> se dice complacido de saludar a los miembros de la Junta y darles la bienvenida a Ginebra. Insistiendo en la importancia de encontrar nuevas tecnologías, sobre todo en el ámbito de las comunicaciones por satélite, señala que las radiocomunicaciones, que implican tanto servicios por satélite como terrenales, desempeñan un papel clave y más importante que nunca en la prestación de servicios Internet, en dar conexión a lo que carecen de ella, en encontrar nuevos medios de economizar recursos escasos y en la cooperación intersectorial. La UIT es conocida por ser el único foro donde se reúnen todos los elementos pertinentes y el trabajo de la Junta es fundamental para la parte radiocomunicaciones del mandato de la UIT y, por ende, para la UIT en general y sus Miembros, en un mundo donde la innovación técnica reviste tanta importancia. Además, los miembros de la Junta realizan una labor encomiable en sus propias regiones, por ejemplo en las negociaciones bilaterales y en los eventos regionales. Desea a la Junta una exitosa y productiva reunión</w:t>
      </w:r>
      <w:bookmarkStart w:id="32" w:name="lt_pId157"/>
      <w:bookmarkEnd w:id="31"/>
      <w:r w:rsidRPr="004801D8">
        <w:rPr>
          <w:rFonts w:asciiTheme="majorBidi" w:hAnsiTheme="majorBidi" w:cstheme="majorBidi"/>
          <w:lang w:val="es-ES_tradnl"/>
        </w:rPr>
        <w:t>.</w:t>
      </w:r>
      <w:bookmarkEnd w:id="32"/>
    </w:p>
    <w:p w:rsidR="004801D8" w:rsidRPr="004801D8" w:rsidRDefault="004801D8" w:rsidP="003147E7">
      <w:pPr>
        <w:pStyle w:val="Heading1"/>
        <w:rPr>
          <w:rFonts w:asciiTheme="majorBidi" w:hAnsiTheme="majorBidi" w:cstheme="majorBidi"/>
          <w:lang w:val="es-ES_tradnl"/>
        </w:rPr>
      </w:pPr>
      <w:r w:rsidRPr="004801D8">
        <w:rPr>
          <w:rFonts w:asciiTheme="majorBidi" w:hAnsiTheme="majorBidi" w:cstheme="majorBidi"/>
          <w:lang w:val="es-ES_tradnl"/>
        </w:rPr>
        <w:t>2</w:t>
      </w:r>
      <w:r w:rsidRPr="004801D8">
        <w:rPr>
          <w:rFonts w:asciiTheme="majorBidi" w:hAnsiTheme="majorBidi" w:cstheme="majorBidi"/>
          <w:lang w:val="es-ES_tradnl"/>
        </w:rPr>
        <w:tab/>
      </w:r>
      <w:bookmarkStart w:id="33" w:name="lt_pId159"/>
      <w:r w:rsidRPr="004801D8">
        <w:rPr>
          <w:rFonts w:asciiTheme="majorBidi" w:hAnsiTheme="majorBidi" w:cstheme="majorBidi"/>
          <w:lang w:val="es-ES_tradnl"/>
        </w:rPr>
        <w:t>Contribuciones tardías y orden del día</w:t>
      </w:r>
      <w:bookmarkEnd w:id="3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2.1</w:t>
      </w:r>
      <w:r w:rsidRPr="004801D8">
        <w:rPr>
          <w:rFonts w:asciiTheme="majorBidi" w:hAnsiTheme="majorBidi" w:cstheme="majorBidi"/>
          <w:lang w:val="es-ES_tradnl"/>
        </w:rPr>
        <w:tab/>
      </w:r>
      <w:bookmarkStart w:id="34" w:name="lt_pId161"/>
      <w:r w:rsidRPr="004801D8">
        <w:rPr>
          <w:rFonts w:asciiTheme="majorBidi" w:hAnsiTheme="majorBidi" w:cstheme="majorBidi"/>
          <w:lang w:val="es-ES_tradnl"/>
        </w:rPr>
        <w:t xml:space="preserve">la Junta </w:t>
      </w:r>
      <w:r w:rsidRPr="004801D8">
        <w:rPr>
          <w:rFonts w:asciiTheme="majorBidi" w:hAnsiTheme="majorBidi" w:cstheme="majorBidi"/>
          <w:b/>
          <w:bCs/>
          <w:lang w:val="es-ES_tradnl"/>
        </w:rPr>
        <w:t>acuerda</w:t>
      </w:r>
      <w:r w:rsidRPr="004801D8">
        <w:rPr>
          <w:rFonts w:asciiTheme="majorBidi" w:hAnsiTheme="majorBidi" w:cstheme="majorBidi"/>
          <w:lang w:val="es-ES_tradnl"/>
        </w:rPr>
        <w:t>, de conformidad con el número 13.12A</w:t>
      </w:r>
      <w:r w:rsidRPr="004801D8">
        <w:rPr>
          <w:rFonts w:asciiTheme="majorBidi" w:hAnsiTheme="majorBidi" w:cstheme="majorBidi"/>
          <w:i/>
          <w:iCs/>
          <w:lang w:val="es-ES_tradnl"/>
        </w:rPr>
        <w:t>f)</w:t>
      </w:r>
      <w:r w:rsidRPr="004801D8">
        <w:rPr>
          <w:rFonts w:asciiTheme="majorBidi" w:hAnsiTheme="majorBidi" w:cstheme="majorBidi"/>
          <w:lang w:val="es-ES_tradnl"/>
        </w:rPr>
        <w:t>, que no debe considerar las dos contribuciones tardías presentadas por las Administraciones de Bulgaria y Francia con observaciones sobre proyectos de Reglas de Procedimiento, recibidas antes de empezar esta reunión, pero después de cumplido el plazo de presentación de contribuciones.</w:t>
      </w:r>
      <w:bookmarkEnd w:id="3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2.2</w:t>
      </w:r>
      <w:r w:rsidRPr="004801D8">
        <w:rPr>
          <w:rFonts w:asciiTheme="majorBidi" w:hAnsiTheme="majorBidi" w:cstheme="majorBidi"/>
          <w:lang w:val="es-ES_tradnl"/>
        </w:rPr>
        <w:tab/>
      </w:r>
      <w:bookmarkStart w:id="35" w:name="lt_pId16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insiste en que, al elaborar y adoptar su orden del día para una reunión, la Junta ha de asegurarse de dejar tiempo suficiente para el examen de los proyectos de Reglas de Procedimiento que se le puedan presentar. En este contexto, señala el orden en que se enumeran los elementos que se han de considerar en las reuniones de la Junta en el</w:t>
      </w:r>
      <w:bookmarkStart w:id="36" w:name="lt_pId164"/>
      <w:bookmarkEnd w:id="35"/>
      <w:r w:rsidRPr="004801D8">
        <w:rPr>
          <w:rFonts w:asciiTheme="majorBidi" w:hAnsiTheme="majorBidi" w:cstheme="majorBidi"/>
          <w:lang w:val="es-ES_tradnl"/>
        </w:rPr>
        <w:t xml:space="preserve"> § 1.4 de los métodos de trabajo de la Junta, en la Parte C de las Reglas de Procedimiento. Considera importante que se tengan en cuenta sus observaciones para la 73ª reunión de la Junta, que tendrá ante sí numerosos proyectos de Reglas</w:t>
      </w:r>
      <w:bookmarkStart w:id="37" w:name="lt_pId165"/>
      <w:bookmarkEnd w:id="36"/>
      <w:r w:rsidRPr="004801D8">
        <w:rPr>
          <w:rFonts w:asciiTheme="majorBidi" w:hAnsiTheme="majorBidi" w:cstheme="majorBidi"/>
          <w:lang w:val="es-ES_tradnl"/>
        </w:rPr>
        <w:t>.</w:t>
      </w:r>
      <w:bookmarkEnd w:id="3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2.3</w:t>
      </w:r>
      <w:r w:rsidRPr="004801D8">
        <w:rPr>
          <w:rFonts w:asciiTheme="majorBidi" w:hAnsiTheme="majorBidi" w:cstheme="majorBidi"/>
          <w:lang w:val="es-ES_tradnl"/>
        </w:rPr>
        <w:tab/>
      </w:r>
      <w:bookmarkStart w:id="38" w:name="lt_pId167"/>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dice que se tendrán en cuenta las observaciones del Sr. Strelets, sobre todo para la 73ª reunión, pero indica que en sus reuniones la Junta no siempre sigue estrictamente el orden en que figuran los puntos en el orden del día adoptado.</w:t>
      </w:r>
      <w:bookmarkEnd w:id="3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2.4</w:t>
      </w:r>
      <w:r w:rsidRPr="004801D8">
        <w:rPr>
          <w:rFonts w:asciiTheme="majorBidi" w:hAnsiTheme="majorBidi" w:cstheme="majorBidi"/>
          <w:lang w:val="es-ES_tradnl"/>
        </w:rPr>
        <w:tab/>
      </w:r>
      <w:bookmarkStart w:id="39" w:name="lt_pId169"/>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dice que en el § 1.4 de la Parte C de las Reglas de Procedimiento simplemente se enumeran los puntos que se han de incluir en los órdenes del día de la Junta, pero no se dicta el orden en que se han de examinar. La Junta debe gozar de la flexibilidad necesaria para tratar los asuntos de la manera más eficaz posible</w:t>
      </w:r>
      <w:bookmarkStart w:id="40" w:name="lt_pId170"/>
      <w:bookmarkEnd w:id="39"/>
      <w:r w:rsidRPr="004801D8">
        <w:rPr>
          <w:rFonts w:asciiTheme="majorBidi" w:hAnsiTheme="majorBidi" w:cstheme="majorBidi"/>
          <w:lang w:val="es-ES_tradnl"/>
        </w:rPr>
        <w:t>.</w:t>
      </w:r>
      <w:bookmarkEnd w:id="4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2.5</w:t>
      </w:r>
      <w:r w:rsidRPr="004801D8">
        <w:rPr>
          <w:rFonts w:asciiTheme="majorBidi" w:hAnsiTheme="majorBidi" w:cstheme="majorBidi"/>
          <w:lang w:val="es-ES_tradnl"/>
        </w:rPr>
        <w:tab/>
      </w:r>
      <w:bookmarkStart w:id="41" w:name="lt_pId17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reconoce la validez de las observaciones del Sr. Strelets, pero también considera fundamental la flexibilidad. Por ejemplo, justo antes de una CMR la Junta ha de asegurarse de dedicar tiempo suficiente a su Informe en virtud de la Resolución</w:t>
      </w:r>
      <w:bookmarkStart w:id="42" w:name="lt_pId173"/>
      <w:bookmarkEnd w:id="41"/>
      <w:r w:rsidRPr="004801D8">
        <w:rPr>
          <w:rFonts w:asciiTheme="majorBidi" w:hAnsiTheme="majorBidi" w:cstheme="majorBidi"/>
          <w:lang w:val="es-ES_tradnl"/>
        </w:rPr>
        <w:t xml:space="preserve"> 80.</w:t>
      </w:r>
      <w:bookmarkEnd w:id="42"/>
      <w:r w:rsidRPr="004801D8">
        <w:rPr>
          <w:rFonts w:asciiTheme="majorBidi" w:hAnsiTheme="majorBidi" w:cstheme="majorBidi"/>
          <w:lang w:val="es-ES_tradnl"/>
        </w:rPr>
        <w:t xml:space="preserve"> </w:t>
      </w:r>
      <w:bookmarkStart w:id="43" w:name="lt_pId174"/>
      <w:r w:rsidRPr="004801D8">
        <w:rPr>
          <w:rFonts w:asciiTheme="majorBidi" w:hAnsiTheme="majorBidi" w:cstheme="majorBidi"/>
          <w:lang w:val="es-ES_tradnl"/>
        </w:rPr>
        <w:t>También resulta útil que en las reuniones la Junta siga el orden en que aparecen los puntos del orden del día adoptado para que el personal de la Oficina sepa más o menos en qué momento deben asistir a la reunión y facilitar los preparativos de los miembros de la Junta para el examen de los asuntos en cuestión.</w:t>
      </w:r>
      <w:bookmarkEnd w:id="4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2.6</w:t>
      </w:r>
      <w:r w:rsidRPr="004801D8">
        <w:rPr>
          <w:rFonts w:asciiTheme="majorBidi" w:hAnsiTheme="majorBidi" w:cstheme="majorBidi"/>
          <w:lang w:val="es-ES_tradnl"/>
        </w:rPr>
        <w:tab/>
      </w:r>
      <w:bookmarkStart w:id="44" w:name="lt_pId17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concluye diciendo que, en su 73ª reunión, la Junta examinará los proyectos de Reglas de Procedimiento inmediatamente después de haber considerado el Informe del Director, pero que decidirá del orden de los puntos del orden del día de una reunión para la siguiente.</w:t>
      </w:r>
      <w:bookmarkEnd w:id="4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2.7</w:t>
      </w:r>
      <w:r w:rsidRPr="004801D8">
        <w:rPr>
          <w:rFonts w:asciiTheme="majorBidi" w:hAnsiTheme="majorBidi" w:cstheme="majorBidi"/>
          <w:lang w:val="es-ES_tradnl"/>
        </w:rPr>
        <w:tab/>
      </w:r>
      <w:bookmarkStart w:id="45" w:name="lt_pId17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considera lamentable, e incluso una infracción a los métodos de trabajo de la Junta, que los documentos oficiales presentados a la reunión no estén íntegramente traducidos a los idiomas exigidos por los miembros de la Junta.</w:t>
      </w:r>
      <w:bookmarkEnd w:id="45"/>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3</w:t>
      </w:r>
      <w:r w:rsidRPr="004801D8">
        <w:rPr>
          <w:rFonts w:asciiTheme="majorBidi" w:hAnsiTheme="majorBidi" w:cstheme="majorBidi"/>
          <w:lang w:val="es-ES_tradnl"/>
        </w:rPr>
        <w:tab/>
      </w:r>
      <w:bookmarkStart w:id="46" w:name="lt_pId180"/>
      <w:r w:rsidRPr="004801D8">
        <w:rPr>
          <w:rFonts w:asciiTheme="majorBidi" w:hAnsiTheme="majorBidi" w:cstheme="majorBidi"/>
          <w:lang w:val="es-ES_tradnl"/>
        </w:rPr>
        <w:t xml:space="preserve">Informe del Director de la BR (Documentos RRB16-2/5 y </w:t>
      </w:r>
      <w:proofErr w:type="spellStart"/>
      <w:r w:rsidRPr="004801D8">
        <w:rPr>
          <w:rFonts w:asciiTheme="majorBidi" w:hAnsiTheme="majorBidi" w:cstheme="majorBidi"/>
          <w:lang w:val="es-ES_tradnl"/>
        </w:rPr>
        <w:t>Addenda</w:t>
      </w:r>
      <w:proofErr w:type="spellEnd"/>
      <w:r w:rsidRPr="004801D8">
        <w:rPr>
          <w:rFonts w:asciiTheme="majorBidi" w:hAnsiTheme="majorBidi" w:cstheme="majorBidi"/>
          <w:lang w:val="es-ES_tradnl"/>
        </w:rPr>
        <w:t xml:space="preserve"> 1 a 3)</w:t>
      </w:r>
      <w:bookmarkEnd w:id="4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w:t>
      </w:r>
      <w:r w:rsidRPr="004801D8">
        <w:rPr>
          <w:rFonts w:asciiTheme="majorBidi" w:hAnsiTheme="majorBidi" w:cstheme="majorBidi"/>
          <w:lang w:val="es-ES_tradnl"/>
        </w:rPr>
        <w:tab/>
      </w:r>
      <w:bookmarkStart w:id="47" w:name="lt_pId18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presenta su Informe contenido en el Documento RRB16-2/5, y señala a la atención de los presentes el Anexo 1 en el que se indican las medidas adoptadas por la Oficina para aplicar las decisiones adoptadas por la Junta en su 71ª reunión.</w:t>
      </w:r>
      <w:bookmarkEnd w:id="47"/>
      <w:r w:rsidRPr="004801D8">
        <w:rPr>
          <w:rFonts w:asciiTheme="majorBidi" w:hAnsiTheme="majorBidi" w:cstheme="majorBidi"/>
          <w:lang w:val="es-ES_tradnl"/>
        </w:rPr>
        <w:t xml:space="preserve"> </w:t>
      </w:r>
      <w:bookmarkStart w:id="48" w:name="lt_pId183"/>
      <w:r w:rsidRPr="004801D8">
        <w:rPr>
          <w:rFonts w:asciiTheme="majorBidi" w:hAnsiTheme="majorBidi" w:cstheme="majorBidi"/>
          <w:lang w:val="es-ES_tradnl"/>
        </w:rPr>
        <w:t xml:space="preserve">Señala a la atención de la Junta los tres </w:t>
      </w:r>
      <w:proofErr w:type="spellStart"/>
      <w:r w:rsidRPr="004801D8">
        <w:rPr>
          <w:rFonts w:asciiTheme="majorBidi" w:hAnsiTheme="majorBidi" w:cstheme="majorBidi"/>
          <w:lang w:val="es-ES_tradnl"/>
        </w:rPr>
        <w:t>addenda</w:t>
      </w:r>
      <w:proofErr w:type="spellEnd"/>
      <w:r w:rsidRPr="004801D8">
        <w:rPr>
          <w:rFonts w:asciiTheme="majorBidi" w:hAnsiTheme="majorBidi" w:cstheme="majorBidi"/>
          <w:lang w:val="es-ES_tradnl"/>
        </w:rPr>
        <w:t xml:space="preserve"> al Informe relacionados con la interferencia perjudicial causada por Italia a sus países vecinos, asunto que se considerará en el punto dedicado a los servicios terrenales.</w:t>
      </w:r>
      <w:bookmarkEnd w:id="4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3.2</w:t>
      </w:r>
      <w:r w:rsidRPr="004801D8">
        <w:rPr>
          <w:rFonts w:asciiTheme="majorBidi" w:hAnsiTheme="majorBidi" w:cstheme="majorBidi"/>
          <w:lang w:val="es-ES_tradnl"/>
        </w:rPr>
        <w:tab/>
      </w:r>
      <w:bookmarkStart w:id="49" w:name="lt_pId18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presenta las secciones del Informe del Director relativas a los sistemas terrenales y señala que en el Anexo 2 se describe el trabajo de la Oficina en lo que respecta a la tramitación de notificaciones relacionadas con los servicios terrenales.</w:t>
      </w:r>
      <w:bookmarkEnd w:id="49"/>
      <w:r w:rsidRPr="004801D8">
        <w:rPr>
          <w:rFonts w:asciiTheme="majorBidi" w:hAnsiTheme="majorBidi" w:cstheme="majorBidi"/>
          <w:lang w:val="es-ES_tradnl"/>
        </w:rPr>
        <w:t xml:space="preserve"> </w:t>
      </w:r>
      <w:bookmarkStart w:id="50" w:name="lt_pId186"/>
      <w:r w:rsidRPr="004801D8">
        <w:rPr>
          <w:rFonts w:asciiTheme="majorBidi" w:hAnsiTheme="majorBidi" w:cstheme="majorBidi"/>
          <w:lang w:val="es-ES_tradnl"/>
        </w:rPr>
        <w:t>El § 4 del Informe trata de los informes de interferencia perjudicial y de los informes sobre infracciones al Reglamento de Radiocomunicaciones, y el § 4.2 en particular se centra en la interferencia perjudicial causada por Italia a los países vecinos y resume los informes de las Administraciones de Suiza, Francia y Eslovenia</w:t>
      </w:r>
      <w:bookmarkEnd w:id="50"/>
      <w:r w:rsidRPr="004801D8">
        <w:rPr>
          <w:rFonts w:asciiTheme="majorBidi" w:hAnsiTheme="majorBidi" w:cstheme="majorBidi"/>
          <w:lang w:val="es-ES_tradnl"/>
        </w:rPr>
        <w:t xml:space="preserve">. </w:t>
      </w:r>
      <w:bookmarkStart w:id="51" w:name="lt_pId187"/>
      <w:r w:rsidRPr="004801D8">
        <w:rPr>
          <w:rFonts w:asciiTheme="majorBidi" w:hAnsiTheme="majorBidi" w:cstheme="majorBidi"/>
          <w:lang w:val="es-ES_tradnl"/>
        </w:rPr>
        <w:t xml:space="preserve">Sobre este mismo tema, en el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1 al Informe se reproduce una carta de la Administración de Malta, y el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2 contiene una carta de la Administración de Croacia. En el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3 se da cuenta de una reunión celebrada entre la Oficina y la Administración de Italia en Roma el 5 de mayo de</w:t>
      </w:r>
      <w:bookmarkStart w:id="52" w:name="lt_pId188"/>
      <w:bookmarkEnd w:id="51"/>
      <w:r w:rsidRPr="004801D8">
        <w:rPr>
          <w:rFonts w:asciiTheme="majorBidi" w:hAnsiTheme="majorBidi" w:cstheme="majorBidi"/>
          <w:lang w:val="es-ES_tradnl"/>
        </w:rPr>
        <w:t xml:space="preserve"> 2016.</w:t>
      </w:r>
      <w:bookmarkEnd w:id="52"/>
      <w:r w:rsidRPr="004801D8">
        <w:rPr>
          <w:rFonts w:asciiTheme="majorBidi" w:hAnsiTheme="majorBidi" w:cstheme="majorBidi"/>
          <w:lang w:val="es-ES_tradnl"/>
        </w:rPr>
        <w:t xml:space="preserve"> </w:t>
      </w:r>
      <w:bookmarkStart w:id="53" w:name="lt_pId189"/>
      <w:r w:rsidRPr="004801D8">
        <w:rPr>
          <w:rFonts w:asciiTheme="majorBidi" w:hAnsiTheme="majorBidi" w:cstheme="majorBidi"/>
          <w:lang w:val="es-ES_tradnl"/>
        </w:rPr>
        <w:t xml:space="preserve">En esa reunión, además de lo indicado en el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3, la Oficina presentó un caso de interferencia al servicio TDAB de Suiza en el canal 12A, comunicado por Suiza, y la Administración de Italia transmitió el caso a las oficinas locales, que tratarían el asunto directamente con la Administración de Suiza.</w:t>
      </w:r>
      <w:bookmarkEnd w:id="5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3.3</w:t>
      </w:r>
      <w:r w:rsidRPr="004801D8">
        <w:rPr>
          <w:rFonts w:asciiTheme="majorBidi" w:hAnsiTheme="majorBidi" w:cstheme="majorBidi"/>
          <w:lang w:val="es-ES_tradnl"/>
        </w:rPr>
        <w:tab/>
      </w:r>
      <w:bookmarkStart w:id="54" w:name="lt_pId19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felicita a las autoridades italianas por los progresos realizados en lo que respecta a la interferencia a la radiodifusión de televisión, aunque las Administraciones de Croacia y Eslovenia aún no han constatado mejoras. Sugiere que, en sus futuros contactos con Italia, la Oficina se centre particularmente en esos dos países. También dice estar preocupado por que la situación se degrade cuando los países empiecen a utilizar la banda de 700 MHz para el servicio móvil</w:t>
      </w:r>
      <w:bookmarkStart w:id="55" w:name="lt_pId193"/>
      <w:bookmarkEnd w:id="54"/>
      <w:r w:rsidRPr="004801D8">
        <w:rPr>
          <w:rFonts w:asciiTheme="majorBidi" w:hAnsiTheme="majorBidi" w:cstheme="majorBidi"/>
          <w:lang w:val="es-ES_tradnl"/>
        </w:rPr>
        <w:t>.</w:t>
      </w:r>
      <w:bookmarkEnd w:id="5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3.4</w:t>
      </w:r>
      <w:r w:rsidRPr="004801D8">
        <w:rPr>
          <w:rFonts w:asciiTheme="majorBidi" w:hAnsiTheme="majorBidi" w:cstheme="majorBidi"/>
          <w:lang w:val="es-ES_tradnl"/>
        </w:rPr>
        <w:tab/>
      </w:r>
      <w:bookmarkStart w:id="56" w:name="lt_pId19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felicita a la Oficina por los esfuerzos realizados de acuerdo con las decisiones de la Junta. Por fin, gracias a las autoridades italianas, se dispone de un plan práctico, aunque aún queda mucho por hacer y subsisten varias incógnitas, como las mencionadas por el Sr Bessi, que pueden poner en peligro los avances realizados. Pregunta si el plan dispone de un apoyo financiero adecuado</w:t>
      </w:r>
      <w:bookmarkStart w:id="57" w:name="lt_pId197"/>
      <w:bookmarkEnd w:id="56"/>
      <w:r w:rsidRPr="004801D8">
        <w:rPr>
          <w:rFonts w:asciiTheme="majorBidi" w:hAnsiTheme="majorBidi" w:cstheme="majorBidi"/>
          <w:lang w:val="es-ES_tradnl"/>
        </w:rPr>
        <w:t>.</w:t>
      </w:r>
      <w:bookmarkEnd w:id="5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3.5</w:t>
      </w:r>
      <w:r w:rsidRPr="004801D8">
        <w:rPr>
          <w:rFonts w:asciiTheme="majorBidi" w:hAnsiTheme="majorBidi" w:cstheme="majorBidi"/>
          <w:lang w:val="es-ES_tradnl"/>
        </w:rPr>
        <w:tab/>
      </w:r>
      <w:bookmarkStart w:id="58" w:name="lt_pId19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Kibe</w:t>
      </w:r>
      <w:r w:rsidRPr="004801D8">
        <w:rPr>
          <w:rFonts w:asciiTheme="majorBidi" w:hAnsiTheme="majorBidi" w:cstheme="majorBidi"/>
          <w:lang w:val="es-ES_tradnl"/>
        </w:rPr>
        <w:t xml:space="preserve"> se muestra complacido de ver que se Avanza hacia la resolución de un problema de larga data y dice que la Junta debe animar a Italia a proseguir en esta línea. Sugiere que el Director siga supervisando el proceso y rinda Informe a la Junta en su próxima reunión</w:t>
      </w:r>
      <w:bookmarkStart w:id="59" w:name="lt_pId200"/>
      <w:bookmarkEnd w:id="58"/>
      <w:r w:rsidRPr="004801D8">
        <w:rPr>
          <w:rFonts w:asciiTheme="majorBidi" w:hAnsiTheme="majorBidi" w:cstheme="majorBidi"/>
          <w:lang w:val="es-ES_tradnl"/>
        </w:rPr>
        <w:t>.</w:t>
      </w:r>
      <w:bookmarkEnd w:id="5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3.6</w:t>
      </w:r>
      <w:r w:rsidRPr="004801D8">
        <w:rPr>
          <w:rFonts w:asciiTheme="majorBidi" w:hAnsiTheme="majorBidi" w:cstheme="majorBidi"/>
          <w:lang w:val="es-ES_tradnl"/>
        </w:rPr>
        <w:tab/>
      </w:r>
      <w:bookmarkStart w:id="60" w:name="lt_pId20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felicita a la Oficina y a las autoridades italianas por los progresos realizados. Hay motivos para ser optimistas, pues la nueva norma</w:t>
      </w:r>
      <w:bookmarkStart w:id="61" w:name="lt_pId203"/>
      <w:bookmarkEnd w:id="60"/>
      <w:r w:rsidRPr="004801D8">
        <w:rPr>
          <w:rFonts w:asciiTheme="majorBidi" w:hAnsiTheme="majorBidi" w:cstheme="majorBidi"/>
          <w:lang w:val="es-ES_tradnl"/>
        </w:rPr>
        <w:t xml:space="preserve"> DVB-T2 brinda oportunidades para utilizar las frecuencias de manera más económica, creando grandes redes síncronas. Se ha de animar a la Administración italiana a seguir por el camino elegido</w:t>
      </w:r>
      <w:bookmarkStart w:id="62" w:name="lt_pId204"/>
      <w:bookmarkEnd w:id="61"/>
      <w:r w:rsidRPr="004801D8">
        <w:rPr>
          <w:rFonts w:asciiTheme="majorBidi" w:hAnsiTheme="majorBidi" w:cstheme="majorBidi"/>
          <w:lang w:val="es-ES_tradnl"/>
        </w:rPr>
        <w:t>.</w:t>
      </w:r>
      <w:bookmarkEnd w:id="62"/>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3.7</w:t>
      </w:r>
      <w:r w:rsidRPr="004801D8">
        <w:rPr>
          <w:rFonts w:asciiTheme="majorBidi" w:hAnsiTheme="majorBidi" w:cstheme="majorBidi"/>
          <w:lang w:val="es-ES_tradnl"/>
        </w:rPr>
        <w:tab/>
      </w:r>
      <w:bookmarkStart w:id="63" w:name="lt_pId206"/>
      <w:r w:rsidRPr="004801D8">
        <w:rPr>
          <w:rFonts w:asciiTheme="majorBidi" w:hAnsiTheme="majorBidi" w:cstheme="majorBidi"/>
          <w:lang w:val="es-ES_tradnl"/>
        </w:rPr>
        <w:t xml:space="preserve">En referencia al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3 de su Informe, 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dice que en la reunión celebrada en mayo en Roma se había previsto examinar las medidas adoptadas en relación con la radiodifusión de televisión, cuya compleción estaba prevista para el 30 de abril de 2016.</w:t>
      </w:r>
      <w:bookmarkEnd w:id="63"/>
      <w:r w:rsidRPr="004801D8">
        <w:rPr>
          <w:rFonts w:asciiTheme="majorBidi" w:hAnsiTheme="majorBidi" w:cstheme="majorBidi"/>
          <w:lang w:val="es-ES_tradnl"/>
        </w:rPr>
        <w:t xml:space="preserve"> </w:t>
      </w:r>
      <w:bookmarkStart w:id="64" w:name="lt_pId207"/>
      <w:r w:rsidRPr="004801D8">
        <w:rPr>
          <w:rFonts w:asciiTheme="majorBidi" w:hAnsiTheme="majorBidi" w:cstheme="majorBidi"/>
          <w:lang w:val="es-ES_tradnl"/>
        </w:rPr>
        <w:t xml:space="preserve">Como se indica en el </w:t>
      </w:r>
      <w:r w:rsidRPr="004801D8">
        <w:rPr>
          <w:rFonts w:asciiTheme="majorBidi" w:hAnsiTheme="majorBidi" w:cstheme="majorBidi"/>
          <w:lang w:val="es-ES_tradnl"/>
        </w:rPr>
        <w:lastRenderedPageBreak/>
        <w:t>documento, el plazo no se había respetado, pero se habían logrado algunos progresos. Las autoridades italianas han promulgado para cada región decretos y ordenanzas que definen como se ha de llevar a cabo el proceso a fin de minimizar el riesgo de que se presenten apelaciones por la vía jurídica. Se prevé ahora que el proceso finalice en julio de</w:t>
      </w:r>
      <w:bookmarkStart w:id="65" w:name="lt_pId209"/>
      <w:bookmarkEnd w:id="64"/>
      <w:r w:rsidRPr="004801D8">
        <w:rPr>
          <w:rFonts w:asciiTheme="majorBidi" w:hAnsiTheme="majorBidi" w:cstheme="majorBidi"/>
          <w:lang w:val="es-ES_tradnl"/>
        </w:rPr>
        <w:t xml:space="preserve"> 2016.</w:t>
      </w:r>
      <w:bookmarkEnd w:id="65"/>
      <w:r w:rsidRPr="004801D8">
        <w:rPr>
          <w:rFonts w:asciiTheme="majorBidi" w:hAnsiTheme="majorBidi" w:cstheme="majorBidi"/>
          <w:lang w:val="es-ES_tradnl"/>
        </w:rPr>
        <w:t xml:space="preserve"> </w:t>
      </w:r>
      <w:bookmarkStart w:id="66" w:name="lt_pId210"/>
      <w:r w:rsidRPr="004801D8">
        <w:rPr>
          <w:rFonts w:asciiTheme="majorBidi" w:hAnsiTheme="majorBidi" w:cstheme="majorBidi"/>
          <w:lang w:val="es-ES_tradnl"/>
        </w:rPr>
        <w:t>De un presupuesto cercano a los 51 millones de euros, las autoridades italianas han desembolsado alrededor de 6,8 millones y se están adoptando medidas para fomentar la utilización racional del espectro. Como puede verse en el Adjunto</w:t>
      </w:r>
      <w:bookmarkStart w:id="67" w:name="lt_pId211"/>
      <w:bookmarkEnd w:id="66"/>
      <w:r w:rsidRPr="004801D8">
        <w:rPr>
          <w:rFonts w:asciiTheme="majorBidi" w:hAnsiTheme="majorBidi" w:cstheme="majorBidi"/>
          <w:lang w:val="es-ES_tradnl"/>
        </w:rPr>
        <w:t xml:space="preserve"> 1 del </w:t>
      </w:r>
      <w:proofErr w:type="spellStart"/>
      <w:r w:rsidRPr="004801D8">
        <w:rPr>
          <w:rFonts w:asciiTheme="majorBidi" w:hAnsiTheme="majorBidi" w:cstheme="majorBidi"/>
          <w:lang w:val="es-ES_tradnl"/>
        </w:rPr>
        <w:t>Addéndum</w:t>
      </w:r>
      <w:proofErr w:type="spellEnd"/>
      <w:r w:rsidRPr="004801D8">
        <w:rPr>
          <w:rFonts w:asciiTheme="majorBidi" w:hAnsiTheme="majorBidi" w:cstheme="majorBidi"/>
          <w:lang w:val="es-ES_tradnl"/>
        </w:rPr>
        <w:t xml:space="preserve"> 3, se han liberado los canales para Malta, Francia y Suiza, pero los de Eslovenia y Croacia están por liberar, lo que se hará por fases, que finalizarán en julio de 2016. En lo que respecta a la radiodifusión Sonora, no se ha promulgado una nueva ley, sino que se ha adoptado un enfoque pragmático para resolver los casos de interferencia perjudicial comunicados de uno en uno. De cara al futuro, los países que deseen utilizar la banda de</w:t>
      </w:r>
      <w:bookmarkStart w:id="68" w:name="lt_pId213"/>
      <w:bookmarkEnd w:id="67"/>
      <w:r w:rsidRPr="004801D8">
        <w:rPr>
          <w:rFonts w:asciiTheme="majorBidi" w:hAnsiTheme="majorBidi" w:cstheme="majorBidi"/>
          <w:lang w:val="es-ES_tradnl"/>
        </w:rPr>
        <w:t xml:space="preserve"> 700 MHz para el servicio móvil deberán coordinarse con Italia y de ahí el interés de Italia de demostrar su capacidad para utilizar el espectro según lo acordado con sus vecinos. La introducción de la</w:t>
      </w:r>
      <w:bookmarkStart w:id="69" w:name="lt_pId214"/>
      <w:bookmarkEnd w:id="68"/>
      <w:r w:rsidRPr="004801D8">
        <w:rPr>
          <w:rFonts w:asciiTheme="majorBidi" w:hAnsiTheme="majorBidi" w:cstheme="majorBidi"/>
          <w:lang w:val="es-ES_tradnl"/>
        </w:rPr>
        <w:t xml:space="preserve"> DVB-T2 sin duda aportará más eficacia al espectro, pero esto sólo se conseguirá en una fase posterior, una vez que la reorganización del espectro por debajo de 700 MHz se haya acordado mediante la coordinación multilateral de las frecuencias.</w:t>
      </w:r>
      <w:bookmarkEnd w:id="6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3.8</w:t>
      </w:r>
      <w:r w:rsidRPr="004801D8">
        <w:rPr>
          <w:rFonts w:asciiTheme="majorBidi" w:hAnsiTheme="majorBidi" w:cstheme="majorBidi"/>
          <w:lang w:val="es-ES_tradnl"/>
        </w:rPr>
        <w:tab/>
      </w:r>
      <w:bookmarkStart w:id="70" w:name="lt_pId21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toma nota de que se prevé que en julio se hayan realizado progresos y que la Oficina dará cuenta de ello a la Junta en su próxima reunión.</w:t>
      </w:r>
      <w:bookmarkEnd w:id="7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3.9</w:t>
      </w:r>
      <w:r w:rsidRPr="004801D8">
        <w:rPr>
          <w:rFonts w:asciiTheme="majorBidi" w:hAnsiTheme="majorBidi" w:cstheme="majorBidi"/>
          <w:lang w:val="es-ES_tradnl"/>
        </w:rPr>
        <w:tab/>
      </w:r>
      <w:bookmarkStart w:id="71" w:name="lt_pId21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del SSD)</w:t>
      </w:r>
      <w:r w:rsidRPr="004801D8">
        <w:rPr>
          <w:rFonts w:asciiTheme="majorBidi" w:hAnsiTheme="majorBidi" w:cstheme="majorBidi"/>
          <w:lang w:val="es-ES_tradnl"/>
        </w:rPr>
        <w:t xml:space="preserve"> presenta las partes del Informe del Director relativas a los sistemas espaciales y señala a la atención de los presentes el Anexo 3 sobre la tramitación de las notificaciones para los servicios espaciales. Ofrece información actualizada a abril de 2016.</w:t>
      </w:r>
      <w:bookmarkEnd w:id="71"/>
      <w:r w:rsidRPr="004801D8">
        <w:rPr>
          <w:rFonts w:asciiTheme="majorBidi" w:hAnsiTheme="majorBidi" w:cstheme="majorBidi"/>
          <w:lang w:val="es-ES_tradnl"/>
        </w:rPr>
        <w:t xml:space="preserve"> </w:t>
      </w:r>
      <w:bookmarkStart w:id="72" w:name="lt_pId220"/>
      <w:r w:rsidRPr="004801D8">
        <w:rPr>
          <w:rFonts w:asciiTheme="majorBidi" w:hAnsiTheme="majorBidi" w:cstheme="majorBidi"/>
          <w:lang w:val="es-ES_tradnl"/>
        </w:rPr>
        <w:t>En lo que respecta a las solicitudes de coordinación (Cuadro 2 del Anexo 3), señala que el 28 de noviembre de 2015 se recibió un gran número de solicitudes para las bandas de frecuencias atribuidas por la CMR-15, por lo que fue necesario actualizar el software de la Oficina, lo que ha retrasado la publicación. Se han redistribuido los recursos dentro del Departamento a fin de volver a respetar el plazo reglamentario de tramitación de cuatro meses lo antes posible, lo que con certeza se conseguirá a finales de</w:t>
      </w:r>
      <w:bookmarkStart w:id="73" w:name="lt_pId221"/>
      <w:bookmarkEnd w:id="72"/>
      <w:r w:rsidRPr="004801D8">
        <w:rPr>
          <w:rFonts w:asciiTheme="majorBidi" w:hAnsiTheme="majorBidi" w:cstheme="majorBidi"/>
          <w:lang w:val="es-ES_tradnl"/>
        </w:rPr>
        <w:t xml:space="preserve"> 2016.</w:t>
      </w:r>
      <w:bookmarkEnd w:id="73"/>
      <w:r w:rsidRPr="004801D8">
        <w:rPr>
          <w:rFonts w:asciiTheme="majorBidi" w:hAnsiTheme="majorBidi" w:cstheme="majorBidi"/>
          <w:lang w:val="es-ES_tradnl"/>
        </w:rPr>
        <w:t xml:space="preserve"> En lo que respecta a la recuperación de costes para las notificaciones de redes de satélites, señala a la atención de los presentes la lista contenida en el Anexo 4, en la que se enumeran las notificaciones de redes de satélites cuyo pago se ha recibido con retraso, pero antes de la reunión de la BR IFIC en la que se abordó ese asunto. </w:t>
      </w:r>
      <w:bookmarkStart w:id="74" w:name="lt_pId223"/>
      <w:r w:rsidRPr="004801D8">
        <w:rPr>
          <w:rFonts w:asciiTheme="majorBidi" w:hAnsiTheme="majorBidi" w:cstheme="majorBidi"/>
          <w:lang w:val="es-ES_tradnl"/>
        </w:rPr>
        <w:t>Durante el periodo considerado no se han cancelado notificaciones por impago. Para garantizar que el Registro Internacional refleja la realidad, la Oficina ha examinado la aplicación de diversas disposiciones del Reglamento de Radiocomunicaciones, como se indica en el</w:t>
      </w:r>
      <w:bookmarkStart w:id="75" w:name="lt_pId224"/>
      <w:bookmarkEnd w:id="74"/>
      <w:r w:rsidRPr="004801D8">
        <w:rPr>
          <w:rFonts w:asciiTheme="majorBidi" w:hAnsiTheme="majorBidi" w:cstheme="majorBidi"/>
          <w:lang w:val="es-ES_tradnl"/>
        </w:rPr>
        <w:t xml:space="preserve"> § 5 del Informe del Director, incluidas las relativas a la reanudación del servicio de redes de satélites tras su suspensión. Recuerda que, en la anterior de la Junta la Oficina le había solicitado que tomase una decisión sobre la supresión de las asignaciones de frecuencias a las redes de satélites</w:t>
      </w:r>
      <w:bookmarkStart w:id="76" w:name="lt_pId225"/>
      <w:bookmarkEnd w:id="75"/>
      <w:r w:rsidRPr="004801D8">
        <w:rPr>
          <w:rFonts w:asciiTheme="majorBidi" w:hAnsiTheme="majorBidi" w:cstheme="majorBidi"/>
          <w:lang w:val="es-ES_tradnl"/>
        </w:rPr>
        <w:t xml:space="preserve"> ACS-1 y MCS-1 (§ 8 del Documento RRB16-1/22 – Actas de la 71ª reunión) y la Junta finalmente decidió dejar este asunto para su siguiente reunión. Desde entonces, como se señala en el</w:t>
      </w:r>
      <w:bookmarkStart w:id="77" w:name="lt_pId226"/>
      <w:bookmarkEnd w:id="76"/>
      <w:r w:rsidRPr="004801D8">
        <w:rPr>
          <w:rFonts w:asciiTheme="majorBidi" w:hAnsiTheme="majorBidi" w:cstheme="majorBidi"/>
          <w:lang w:val="es-ES_tradnl"/>
        </w:rPr>
        <w:t xml:space="preserve"> § 6 del Informe del Director, la Administración de Estados Unidos ha presentado pruebas adicionales de la utilización continua de las asignaciones de frecuencias a las redes de satélites ACS-1 y MCS-1, incluidas en el Registro Internacional y operadas por el satélite SKYTERRA-1. Habida cuenta de esa información, la Oficina dio por concluida la cuestión y decidió mantener las asignaciones de frecuencias en el Registro Internacional. Por último, en el</w:t>
      </w:r>
      <w:bookmarkStart w:id="78" w:name="lt_pId228"/>
      <w:bookmarkEnd w:id="77"/>
      <w:r w:rsidRPr="004801D8">
        <w:rPr>
          <w:rFonts w:asciiTheme="majorBidi" w:hAnsiTheme="majorBidi" w:cstheme="majorBidi"/>
          <w:lang w:val="es-ES_tradnl"/>
        </w:rPr>
        <w:t xml:space="preserve"> § 7 del Informe se aborda la suspensión de redes de satélites cuando las solicitudes se reciben más de seis meses después de la fecha real de suspensión. En el cuadro de esa cláusula se consignan los satélites de Luxemburgo y Papúa Nueva Guinea que la Oficina seguirá teniendo en cuenta. Tras la entrada en vigor de la modificación adoptada por la CMR-15 del </w:t>
      </w:r>
      <w:bookmarkStart w:id="79" w:name="lt_pId230"/>
      <w:bookmarkEnd w:id="78"/>
      <w:r w:rsidRPr="004801D8">
        <w:rPr>
          <w:rFonts w:asciiTheme="majorBidi" w:hAnsiTheme="majorBidi" w:cstheme="majorBidi"/>
          <w:lang w:val="es-ES_tradnl"/>
        </w:rPr>
        <w:t>§ 5.2.10 del Artículo 5 de los Apéndices 30 y 30A del Reglamento de Radiocomunicaciones, la Oficina abordará esos casos de acuerdo con la nueva disposición y ya no será necesario rendir informe a la Junta sobre este asunto.</w:t>
      </w:r>
      <w:bookmarkEnd w:id="7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3.10</w:t>
      </w:r>
      <w:r w:rsidRPr="004801D8">
        <w:rPr>
          <w:rFonts w:asciiTheme="majorBidi" w:hAnsiTheme="majorBidi" w:cstheme="majorBidi"/>
          <w:lang w:val="es-ES_tradnl"/>
        </w:rPr>
        <w:tab/>
      </w:r>
      <w:bookmarkStart w:id="80" w:name="lt_pId23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sugiere que, a la luz de la información presentada en el § 6 del Informe del Director, la Junta no tenga que abordar el tema de las redes de satélites ACS-1 y MCS-1 en un punto del orden del día distinto.</w:t>
      </w:r>
      <w:bookmarkEnd w:id="8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3.11</w:t>
      </w:r>
      <w:r w:rsidRPr="004801D8">
        <w:rPr>
          <w:rFonts w:asciiTheme="majorBidi" w:hAnsiTheme="majorBidi" w:cstheme="majorBidi"/>
          <w:lang w:val="es-ES_tradnl"/>
        </w:rPr>
        <w:tab/>
      </w:r>
      <w:bookmarkStart w:id="81" w:name="lt_pId23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recuerda el debate sostenido por la Junta en su 71ª reunión y la decisión adoptada entonces y dice que no ve que en el Informe del Director haya información adicional.</w:t>
      </w:r>
      <w:bookmarkEnd w:id="8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3.12</w:t>
      </w:r>
      <w:r w:rsidRPr="004801D8">
        <w:rPr>
          <w:rFonts w:asciiTheme="majorBidi" w:hAnsiTheme="majorBidi" w:cstheme="majorBidi"/>
          <w:lang w:val="es-ES_tradnl"/>
        </w:rPr>
        <w:tab/>
      </w:r>
      <w:bookmarkStart w:id="82" w:name="lt_pId23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en la reunión anterior, la Oficina pidió a la Junta que le diese el visto Bueno para cancelar las redes. Ahora, de acuerdo con las pruebas adicionales, la Oficina retira implícitamente su solicitud y decide mantener las redes en el Registro Internacional. La Junta podría simplemente tomar nota de la decisión de la Oficina</w:t>
      </w:r>
      <w:bookmarkStart w:id="83" w:name="lt_pId238"/>
      <w:bookmarkEnd w:id="82"/>
      <w:r w:rsidRPr="004801D8">
        <w:rPr>
          <w:rFonts w:asciiTheme="majorBidi" w:hAnsiTheme="majorBidi" w:cstheme="majorBidi"/>
          <w:lang w:val="es-ES_tradnl"/>
        </w:rPr>
        <w:t>.</w:t>
      </w:r>
      <w:bookmarkEnd w:id="8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3.13</w:t>
      </w:r>
      <w:r w:rsidRPr="004801D8">
        <w:rPr>
          <w:rFonts w:asciiTheme="majorBidi" w:hAnsiTheme="majorBidi" w:cstheme="majorBidi"/>
          <w:lang w:val="es-ES_tradnl"/>
        </w:rPr>
        <w:tab/>
      </w:r>
      <w:bookmarkStart w:id="84" w:name="lt_pId24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está de acuerdo con las observaciones del Sr. Ito. La Oficina planteó un asunto a la Junta y la Junta decidió aplazar la toma de una decisión al respecto. Mientras no se haya adoptado esa decisión, la Oficina debe mantener el asunto en suspenso. Quizá la formulación del Informe del Director no sea muy afortunada</w:t>
      </w:r>
      <w:bookmarkStart w:id="85" w:name="lt_pId243"/>
      <w:bookmarkEnd w:id="84"/>
      <w:r w:rsidRPr="004801D8">
        <w:rPr>
          <w:rFonts w:asciiTheme="majorBidi" w:hAnsiTheme="majorBidi" w:cstheme="majorBidi"/>
          <w:lang w:val="es-ES_tradnl"/>
        </w:rPr>
        <w:t>.</w:t>
      </w:r>
      <w:bookmarkEnd w:id="8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3.14</w:t>
      </w:r>
      <w:r w:rsidRPr="004801D8">
        <w:rPr>
          <w:rFonts w:asciiTheme="majorBidi" w:hAnsiTheme="majorBidi" w:cstheme="majorBidi"/>
          <w:b/>
          <w:bCs/>
          <w:lang w:val="es-ES_tradnl"/>
        </w:rPr>
        <w:tab/>
      </w:r>
      <w:bookmarkStart w:id="86" w:name="lt_pId245"/>
      <w:r w:rsidRPr="004801D8">
        <w:rPr>
          <w:rFonts w:asciiTheme="majorBidi" w:hAnsiTheme="majorBidi" w:cstheme="majorBidi"/>
          <w:b/>
          <w:bCs/>
          <w:lang w:val="es-ES_tradnl"/>
        </w:rPr>
        <w:t>El Sr. Koffi</w:t>
      </w:r>
      <w:r w:rsidRPr="004801D8">
        <w:rPr>
          <w:rFonts w:asciiTheme="majorBidi" w:hAnsiTheme="majorBidi" w:cstheme="majorBidi"/>
          <w:lang w:val="es-ES_tradnl"/>
        </w:rPr>
        <w:t xml:space="preserve"> coincide con el Sr. Ito y el Sr. Strelets. La Junta debería simplemente tomar nota del Informe del Director y estudiar el caso para tomar una decisión en un punto del orden del día separado. El</w:t>
      </w:r>
      <w:bookmarkEnd w:id="86"/>
      <w:r w:rsidRPr="004801D8">
        <w:rPr>
          <w:rFonts w:asciiTheme="majorBidi" w:hAnsiTheme="majorBidi" w:cstheme="majorBidi"/>
          <w:lang w:val="es-ES_tradnl"/>
        </w:rPr>
        <w:t xml:space="preserve"> </w:t>
      </w:r>
      <w:bookmarkStart w:id="87" w:name="lt_pId247"/>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estar de acuerdo con ese proceder.</w:t>
      </w:r>
      <w:bookmarkEnd w:id="8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3.15</w:t>
      </w:r>
      <w:r w:rsidRPr="004801D8">
        <w:rPr>
          <w:rFonts w:asciiTheme="majorBidi" w:hAnsiTheme="majorBidi" w:cstheme="majorBidi"/>
          <w:lang w:val="es-ES_tradnl"/>
        </w:rPr>
        <w:tab/>
      </w:r>
      <w:bookmarkStart w:id="88" w:name="lt_pId249"/>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señala, en cuanto al procedimiento, que en la 71ª reunión de la Junta se incluyó en el orden del día el tema de las redes de satélites ACS-1 y MCS-1 a petición de la Oficina para que se tomase una decisión, mientras que en el orden del día de la presente reunión este tema se engloba en el punto relativo a la consideración de la situación de las redes de satélites. Sugiere que, en general, cuando un tema vaya a tratarse en dos reuniones de la Junta sucesivas, el título del punto del orden del día permanezca idéntico</w:t>
      </w:r>
      <w:bookmarkStart w:id="89" w:name="lt_pId250"/>
      <w:bookmarkEnd w:id="88"/>
      <w:r w:rsidRPr="004801D8">
        <w:rPr>
          <w:rFonts w:asciiTheme="majorBidi" w:hAnsiTheme="majorBidi" w:cstheme="majorBidi"/>
          <w:lang w:val="es-ES_tradnl"/>
        </w:rPr>
        <w:t>.</w:t>
      </w:r>
      <w:bookmarkEnd w:id="8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3.16</w:t>
      </w:r>
      <w:r w:rsidRPr="004801D8">
        <w:rPr>
          <w:rFonts w:asciiTheme="majorBidi" w:hAnsiTheme="majorBidi" w:cstheme="majorBidi"/>
          <w:lang w:val="es-ES_tradnl"/>
        </w:rPr>
        <w:tab/>
      </w:r>
      <w:bookmarkStart w:id="90" w:name="lt_pId25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observa que el punto del orden del día de esta reunión en cuestión (consideración de la situación de las redes de satélites) en realidad cubre una serie de temas no relacionados con dicha situación. En lo que respecta a las redes de satélites</w:t>
      </w:r>
      <w:bookmarkStart w:id="91" w:name="lt_pId253"/>
      <w:bookmarkEnd w:id="90"/>
      <w:r w:rsidRPr="004801D8">
        <w:rPr>
          <w:rFonts w:asciiTheme="majorBidi" w:hAnsiTheme="majorBidi" w:cstheme="majorBidi"/>
          <w:lang w:val="es-ES_tradnl"/>
        </w:rPr>
        <w:t xml:space="preserve"> ACS-1 y MCS-1, sugiere que la Junta reanude sus deliberaciones sobre el asunto y tome una decisión al respecto dentro de un punto del orden del día distinto. El</w:t>
      </w:r>
      <w:bookmarkEnd w:id="91"/>
      <w:r w:rsidRPr="004801D8">
        <w:rPr>
          <w:rFonts w:asciiTheme="majorBidi" w:hAnsiTheme="majorBidi" w:cstheme="majorBidi"/>
          <w:lang w:val="es-ES_tradnl"/>
        </w:rPr>
        <w:t xml:space="preserve"> </w:t>
      </w:r>
      <w:bookmarkStart w:id="92" w:name="lt_pId254"/>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está de acuerdo con esa sugerencia.</w:t>
      </w:r>
      <w:bookmarkEnd w:id="9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3.17</w:t>
      </w:r>
      <w:r w:rsidRPr="004801D8">
        <w:rPr>
          <w:rFonts w:asciiTheme="majorBidi" w:hAnsiTheme="majorBidi" w:cstheme="majorBidi"/>
          <w:lang w:val="es-ES_tradnl"/>
        </w:rPr>
        <w:tab/>
      </w:r>
      <w:bookmarkStart w:id="93" w:name="lt_pId256"/>
      <w:r w:rsidRPr="004801D8">
        <w:rPr>
          <w:rFonts w:asciiTheme="majorBidi" w:hAnsiTheme="majorBidi" w:cstheme="majorBidi"/>
          <w:lang w:val="es-ES_tradnl"/>
        </w:rPr>
        <w:t xml:space="preserve">En relación con el § 7 del Informe del Director, 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pregunta qué va a hacer la Oficina con las solicitudes de suspensión recibidas después del 1 de enero de 2017 relativas a suspensiones anteriores al 1 de enero de 2017. En su opinión, la Oficina debería considerar todas las solicitudes de suspensión recibidas después del 1 de enero de 2017 de acuerdo con la nueva disposición. El</w:t>
      </w:r>
      <w:bookmarkEnd w:id="93"/>
      <w:r w:rsidRPr="004801D8">
        <w:rPr>
          <w:rFonts w:asciiTheme="majorBidi" w:hAnsiTheme="majorBidi" w:cstheme="majorBidi"/>
          <w:lang w:val="es-ES_tradnl"/>
        </w:rPr>
        <w:t xml:space="preserve"> </w:t>
      </w:r>
      <w:bookmarkStart w:id="94" w:name="lt_pId258"/>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el Sr. Bessi ha planteado una cuestión importante que quizá la Junta debería abordar más adelante.</w:t>
      </w:r>
      <w:bookmarkEnd w:id="94"/>
      <w:r w:rsidRPr="004801D8">
        <w:rPr>
          <w:rFonts w:asciiTheme="majorBidi" w:hAnsiTheme="majorBidi" w:cstheme="majorBidi"/>
          <w:lang w:val="es-ES_tradnl"/>
        </w:rPr>
        <w:t xml:space="preserve"> El </w:t>
      </w:r>
      <w:r w:rsidRPr="004801D8">
        <w:rPr>
          <w:rFonts w:asciiTheme="majorBidi" w:hAnsiTheme="majorBidi" w:cstheme="majorBidi"/>
          <w:b/>
          <w:bCs/>
          <w:lang w:val="es-ES_tradnl"/>
        </w:rPr>
        <w:t>Sr. Henri (Jefe del SSD)</w:t>
      </w:r>
      <w:r w:rsidRPr="004801D8">
        <w:rPr>
          <w:rFonts w:asciiTheme="majorBidi" w:hAnsiTheme="majorBidi" w:cstheme="majorBidi"/>
          <w:lang w:val="es-ES_tradnl"/>
        </w:rPr>
        <w:t xml:space="preserve"> afirma que para todas las solicitudes de suspensión recibidas después del 1 de enero de 2017, se aplicarán las reglas en vigor en el momento de recibirse la solicitud, incluso para las suspensiones que comiencen antes del 1 de enero de 2017. Si alguna de tales solicitudes fuera para una suspensión que comience más de seis meses antes del 1 de enero de 2017, se concederá la suspensión, pero sujeta a reducción según se describe en el número 11.49 en su versión revisada por la CMR-15.</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3.18</w:t>
      </w:r>
      <w:r w:rsidRPr="004801D8">
        <w:rPr>
          <w:rFonts w:asciiTheme="majorBidi" w:hAnsiTheme="majorBidi" w:cstheme="majorBidi"/>
          <w:lang w:val="es-ES_tradnl"/>
        </w:rPr>
        <w:tab/>
      </w:r>
      <w:bookmarkStart w:id="95" w:name="lt_pId260"/>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sugiere que, con respecto al Informe del Director, la Junta llegue a la siguiente conclusión:</w:t>
      </w:r>
      <w:bookmarkEnd w:id="95"/>
    </w:p>
    <w:p w:rsidR="004801D8" w:rsidRPr="004801D8" w:rsidRDefault="004801D8" w:rsidP="00B51E5A">
      <w:pPr>
        <w:rPr>
          <w:rFonts w:asciiTheme="majorBidi" w:hAnsiTheme="majorBidi" w:cstheme="majorBidi"/>
          <w:lang w:val="es-ES_tradnl"/>
        </w:rPr>
      </w:pPr>
      <w:bookmarkStart w:id="96" w:name="lt_pId264"/>
      <w:r w:rsidRPr="004801D8">
        <w:rPr>
          <w:rFonts w:asciiTheme="majorBidi" w:hAnsiTheme="majorBidi" w:cstheme="majorBidi"/>
          <w:lang w:val="es-ES_tradnl"/>
        </w:rPr>
        <w:t xml:space="preserve">«La Junta agradeció al Director de la Oficina de Radiocomunicaciones el Informe y la información proporcionada en el Documento RRB16-2/5. Además, la Junta examinó detalladamente la información de los </w:t>
      </w:r>
      <w:proofErr w:type="spellStart"/>
      <w:r w:rsidRPr="004801D8">
        <w:rPr>
          <w:rFonts w:asciiTheme="majorBidi" w:hAnsiTheme="majorBidi" w:cstheme="majorBidi"/>
          <w:lang w:val="es-ES_tradnl"/>
        </w:rPr>
        <w:t>Addenda</w:t>
      </w:r>
      <w:proofErr w:type="spellEnd"/>
      <w:r w:rsidRPr="004801D8">
        <w:rPr>
          <w:rFonts w:asciiTheme="majorBidi" w:hAnsiTheme="majorBidi" w:cstheme="majorBidi"/>
          <w:lang w:val="es-ES_tradnl"/>
        </w:rPr>
        <w:t xml:space="preserve"> 1 a 3 del Documento RRB16-2/5 y observó con satisfacción los avances considerables realizados por la Administración de Italia para resolver el problema de interferencia perjudicial causado por Italia sobre los servicios de radiodifusión sonora y de televisión de sus países vecinos. La Junta observó que en el caso de las estaciones de radiodifusión de televisión se han conseguido resultados positivos en varias regiones y que se piensa resolver los problemas en las regiones restantes en julio de 2016. La Junta alentó a continuar los esfuerzos y pidió al Director de la Oficina de Radiocomunicaciones que informe en la próxima reunión sobre el final del proceso de </w:t>
      </w:r>
      <w:r w:rsidRPr="004801D8">
        <w:rPr>
          <w:rFonts w:asciiTheme="majorBidi" w:hAnsiTheme="majorBidi" w:cstheme="majorBidi"/>
          <w:lang w:val="es-ES_tradnl"/>
        </w:rPr>
        <w:lastRenderedPageBreak/>
        <w:t>resolución de este problema, también observó que el caso de la radiodifusión sonora era un proceso continuo de resolución sobre un periodo de tiempo mucho más largo.</w:t>
      </w:r>
      <w:bookmarkEnd w:id="96"/>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3.19</w:t>
      </w:r>
      <w:r w:rsidRPr="004801D8">
        <w:rPr>
          <w:rFonts w:asciiTheme="majorBidi" w:hAnsiTheme="majorBidi" w:cstheme="majorBidi"/>
          <w:lang w:val="es-ES_tradnl"/>
        </w:rPr>
        <w:tab/>
      </w:r>
      <w:bookmarkStart w:id="97" w:name="lt_pId266"/>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9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3.20</w:t>
      </w:r>
      <w:r w:rsidRPr="004801D8">
        <w:rPr>
          <w:rFonts w:asciiTheme="majorBidi" w:hAnsiTheme="majorBidi" w:cstheme="majorBidi"/>
          <w:lang w:val="es-ES_tradnl"/>
        </w:rPr>
        <w:tab/>
      </w:r>
      <w:bookmarkStart w:id="98" w:name="lt_pId268"/>
      <w:r w:rsidRPr="004801D8">
        <w:rPr>
          <w:rFonts w:asciiTheme="majorBidi" w:hAnsiTheme="majorBidi" w:cstheme="majorBidi"/>
          <w:lang w:val="es-ES_tradnl"/>
        </w:rPr>
        <w:t xml:space="preserve">Se </w:t>
      </w:r>
      <w:r w:rsidRPr="004801D8">
        <w:rPr>
          <w:rFonts w:asciiTheme="majorBidi" w:hAnsiTheme="majorBidi" w:cstheme="majorBidi"/>
          <w:b/>
          <w:bCs/>
          <w:lang w:val="es-ES_tradnl"/>
        </w:rPr>
        <w:t xml:space="preserve">toma nota </w:t>
      </w:r>
      <w:r w:rsidRPr="004801D8">
        <w:rPr>
          <w:rFonts w:asciiTheme="majorBidi" w:hAnsiTheme="majorBidi" w:cstheme="majorBidi"/>
          <w:lang w:val="es-ES_tradnl"/>
        </w:rPr>
        <w:t xml:space="preserve">del Informe del Director reproducido en el Documento RRB16-2/5 y sus </w:t>
      </w:r>
      <w:proofErr w:type="spellStart"/>
      <w:r w:rsidRPr="004801D8">
        <w:rPr>
          <w:rFonts w:asciiTheme="majorBidi" w:hAnsiTheme="majorBidi" w:cstheme="majorBidi"/>
          <w:lang w:val="es-ES_tradnl"/>
        </w:rPr>
        <w:t>Addenda</w:t>
      </w:r>
      <w:proofErr w:type="spellEnd"/>
      <w:r w:rsidRPr="004801D8">
        <w:rPr>
          <w:rFonts w:asciiTheme="majorBidi" w:hAnsiTheme="majorBidi" w:cstheme="majorBidi"/>
          <w:lang w:val="es-ES_tradnl"/>
        </w:rPr>
        <w:t xml:space="preserve"> 1-3.</w:t>
      </w:r>
      <w:bookmarkEnd w:id="98"/>
    </w:p>
    <w:p w:rsidR="004801D8" w:rsidRPr="004801D8" w:rsidRDefault="004801D8" w:rsidP="00375EFE">
      <w:pPr>
        <w:pStyle w:val="Heading1"/>
        <w:rPr>
          <w:rFonts w:asciiTheme="majorBidi" w:hAnsiTheme="majorBidi" w:cstheme="majorBidi"/>
          <w:lang w:val="es-ES_tradnl"/>
        </w:rPr>
      </w:pPr>
      <w:r w:rsidRPr="004801D8">
        <w:rPr>
          <w:rFonts w:asciiTheme="majorBidi" w:hAnsiTheme="majorBidi" w:cstheme="majorBidi"/>
          <w:lang w:val="es-ES_tradnl"/>
        </w:rPr>
        <w:t>4</w:t>
      </w:r>
      <w:r w:rsidRPr="004801D8">
        <w:rPr>
          <w:rFonts w:asciiTheme="majorBidi" w:hAnsiTheme="majorBidi" w:cstheme="majorBidi"/>
          <w:lang w:val="es-ES_tradnl"/>
        </w:rPr>
        <w:tab/>
      </w:r>
      <w:bookmarkStart w:id="99" w:name="lt_pId270"/>
      <w:r w:rsidRPr="004801D8">
        <w:rPr>
          <w:rFonts w:asciiTheme="majorBidi" w:hAnsiTheme="majorBidi" w:cstheme="majorBidi"/>
          <w:color w:val="000000" w:themeColor="text1"/>
          <w:lang w:val="es-ES"/>
        </w:rPr>
        <w:t>Comunicaciones de la Administración de los Estados Unidos de América relativas a la situación de las redes de satélites ACS-1 y MCS-1</w:t>
      </w:r>
      <w:r w:rsidRPr="004801D8">
        <w:rPr>
          <w:rFonts w:asciiTheme="majorBidi" w:hAnsiTheme="majorBidi" w:cstheme="majorBidi"/>
          <w:lang w:val="es-ES_tradnl"/>
        </w:rPr>
        <w:t xml:space="preserve"> (Documento RRB16-2/1)</w:t>
      </w:r>
      <w:bookmarkEnd w:id="9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4.1</w:t>
      </w:r>
      <w:r w:rsidRPr="004801D8">
        <w:rPr>
          <w:rFonts w:asciiTheme="majorBidi" w:hAnsiTheme="majorBidi" w:cstheme="majorBidi"/>
          <w:lang w:val="es-ES_tradnl"/>
        </w:rPr>
        <w:tab/>
      </w:r>
      <w:bookmarkStart w:id="100" w:name="lt_pId27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Henri (Jefe de SSD) </w:t>
      </w:r>
      <w:r w:rsidRPr="004801D8">
        <w:rPr>
          <w:rFonts w:asciiTheme="majorBidi" w:hAnsiTheme="majorBidi" w:cstheme="majorBidi"/>
          <w:lang w:val="es-ES_tradnl"/>
        </w:rPr>
        <w:t>presenta el Documento RRB16-2/1, que contiene una comunicación de la Administración de Estados Unidos con información sobre las redes de satélites ACS-1 y MCS-1. Esa información se recibió demasiado tarde para la 71ª reunión de la Junta por lo que ésta decidió dejar el examen de la cuestión para la presente reunión. El 26 de febrero de</w:t>
      </w:r>
      <w:bookmarkStart w:id="101" w:name="lt_pId274"/>
      <w:bookmarkEnd w:id="100"/>
      <w:r w:rsidRPr="004801D8">
        <w:rPr>
          <w:rFonts w:asciiTheme="majorBidi" w:hAnsiTheme="majorBidi" w:cstheme="majorBidi"/>
          <w:lang w:val="es-ES_tradnl"/>
        </w:rPr>
        <w:t xml:space="preserve"> 2016, la Oficina solicitó a la Administración de Estados Unidos información sobre el satélite SKYTERRA-1. El 4 de abril de 2016, la Administración contestó presentando pruebas</w:t>
      </w:r>
      <w:bookmarkStart w:id="102" w:name="lt_pId275"/>
      <w:bookmarkEnd w:id="101"/>
      <w:r w:rsidRPr="004801D8">
        <w:rPr>
          <w:rFonts w:asciiTheme="majorBidi" w:hAnsiTheme="majorBidi" w:cstheme="majorBidi"/>
          <w:lang w:val="es-ES_tradnl"/>
        </w:rPr>
        <w:t xml:space="preserve"> de la utilización continua de las asignaciones de frecuencias a las redes de satélite ACS-1 y MCS-1 inscritas en el Registro y utilizadas por el satélite SKYTERRA-1 en la posición 101°W.</w:t>
      </w:r>
      <w:bookmarkStart w:id="103" w:name="lt_pId276"/>
      <w:bookmarkEnd w:id="102"/>
      <w:r w:rsidRPr="004801D8">
        <w:rPr>
          <w:rFonts w:asciiTheme="majorBidi" w:hAnsiTheme="majorBidi" w:cstheme="majorBidi"/>
          <w:bCs/>
          <w:lang w:val="es-ES_tradnl"/>
        </w:rPr>
        <w:t xml:space="preserve"> </w:t>
      </w:r>
      <w:r w:rsidRPr="004801D8">
        <w:rPr>
          <w:rFonts w:asciiTheme="majorBidi" w:hAnsiTheme="majorBidi" w:cstheme="majorBidi"/>
          <w:lang w:val="es-ES_tradnl"/>
        </w:rPr>
        <w:t>Una vez examinada la información presentada, el 13 de abril de 2016 la Oficina dio las gracias a la Administración y le indicó que mantendría las asignaciones de frecuencias en el Registro Internacional.</w:t>
      </w:r>
      <w:bookmarkEnd w:id="103"/>
      <w:r w:rsidRPr="004801D8">
        <w:rPr>
          <w:rFonts w:asciiTheme="majorBidi" w:hAnsiTheme="majorBidi" w:cstheme="majorBidi"/>
          <w:lang w:val="es-ES_tradnl"/>
        </w:rPr>
        <w:t xml:space="preserve"> </w:t>
      </w:r>
      <w:bookmarkStart w:id="104" w:name="lt_pId277"/>
      <w:r w:rsidRPr="004801D8">
        <w:rPr>
          <w:rFonts w:asciiTheme="majorBidi" w:hAnsiTheme="majorBidi" w:cstheme="majorBidi"/>
          <w:lang w:val="es-ES_tradnl"/>
        </w:rPr>
        <w:t>Toda la correspondencia intercambiada entre la Administración de Estados Unidos y la Oficina se ha presentado a los miembros de la Junta en formato electrónico.</w:t>
      </w:r>
      <w:bookmarkEnd w:id="10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4.2</w:t>
      </w:r>
      <w:r w:rsidRPr="004801D8">
        <w:rPr>
          <w:rFonts w:asciiTheme="majorBidi" w:hAnsiTheme="majorBidi" w:cstheme="majorBidi"/>
          <w:lang w:val="es-ES_tradnl"/>
        </w:rPr>
        <w:tab/>
      </w:r>
      <w:bookmarkStart w:id="105" w:name="lt_pId27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con el apoyo del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Sr. Kibe</w:t>
      </w:r>
      <w:r w:rsidRPr="004801D8">
        <w:rPr>
          <w:rFonts w:asciiTheme="majorBidi" w:hAnsiTheme="majorBidi" w:cstheme="majorBidi"/>
          <w:lang w:val="es-ES_tradnl"/>
        </w:rPr>
        <w:t>, recuerda que fue la falta de información presentada por la Administración de Estados Unidos la que impulse a la Oficina a solicitar a la anterior reunión de la Junta que tomase la decisión de suprimir las asignaciones. Ahora que se ha presentado la información, la Oficina ha decidido mantener las notificaciones en el Registro Internacional y la Junta puede simplemente tomar nota de esa decisión</w:t>
      </w:r>
      <w:bookmarkStart w:id="106" w:name="lt_pId280"/>
      <w:bookmarkEnd w:id="105"/>
      <w:r w:rsidRPr="004801D8">
        <w:rPr>
          <w:rFonts w:asciiTheme="majorBidi" w:hAnsiTheme="majorBidi" w:cstheme="majorBidi"/>
          <w:lang w:val="es-ES_tradnl"/>
        </w:rPr>
        <w:t>.</w:t>
      </w:r>
      <w:bookmarkEnd w:id="10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4.3</w:t>
      </w:r>
      <w:r w:rsidRPr="004801D8">
        <w:rPr>
          <w:rFonts w:asciiTheme="majorBidi" w:hAnsiTheme="majorBidi" w:cstheme="majorBidi"/>
          <w:lang w:val="es-ES_tradnl"/>
        </w:rPr>
        <w:tab/>
      </w:r>
      <w:bookmarkStart w:id="107" w:name="lt_pId28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Strelets </w:t>
      </w:r>
      <w:r w:rsidRPr="004801D8">
        <w:rPr>
          <w:rFonts w:asciiTheme="majorBidi" w:hAnsiTheme="majorBidi" w:cstheme="majorBidi"/>
          <w:lang w:val="es-ES_tradnl"/>
        </w:rPr>
        <w:t>dice que la información presentada por la Oficina a esta reunión muestra que las redes se han puesto en servicio y se utilizan de manera continua. Sin embargo, en la anterior reunión, la Oficina solicitó a la Junta que tomase la decisión de cancelar las notificaciones y la Junta decidió aplazar la toma de una decisión hasta la presente reunión. Por consiguiente, se trata de un caso presentado a la Junta y es la Junta quien debe tomar una decisión al respecto</w:t>
      </w:r>
      <w:bookmarkStart w:id="108" w:name="lt_pId284"/>
      <w:bookmarkEnd w:id="107"/>
      <w:r w:rsidRPr="004801D8">
        <w:rPr>
          <w:rFonts w:asciiTheme="majorBidi" w:hAnsiTheme="majorBidi" w:cstheme="majorBidi"/>
          <w:lang w:val="es-ES_tradnl"/>
        </w:rPr>
        <w:t>.</w:t>
      </w:r>
      <w:bookmarkEnd w:id="108"/>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4.4</w:t>
      </w:r>
      <w:r w:rsidRPr="004801D8">
        <w:rPr>
          <w:rFonts w:asciiTheme="majorBidi" w:hAnsiTheme="majorBidi" w:cstheme="majorBidi"/>
          <w:lang w:val="es-ES_tradnl"/>
        </w:rPr>
        <w:tab/>
      </w:r>
      <w:bookmarkStart w:id="109" w:name="lt_pId28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b/>
          <w:bCs/>
          <w:lang w:val="es-ES_tradnl"/>
        </w:rPr>
        <w:t xml:space="preserve"> </w:t>
      </w:r>
      <w:r w:rsidRPr="004801D8">
        <w:rPr>
          <w:rFonts w:asciiTheme="majorBidi" w:hAnsiTheme="majorBidi" w:cstheme="majorBidi"/>
          <w:lang w:val="es-ES_tradnl"/>
        </w:rPr>
        <w:t>coincide en que, de acuerdo con la información facilitada, las asignaciones deben permanecer en el Registro Internacional. Desde un punto de vista procesal, corresponde a la Junta y no a la Oficina tomar una decisión sobre este caso. La Oficina debería haber retirado explícitamente la solicitud presentada a la Junta en su anterior reunión</w:t>
      </w:r>
      <w:bookmarkStart w:id="110" w:name="lt_pId288"/>
      <w:bookmarkEnd w:id="109"/>
      <w:r w:rsidRPr="004801D8">
        <w:rPr>
          <w:rFonts w:asciiTheme="majorBidi" w:hAnsiTheme="majorBidi" w:cstheme="majorBidi"/>
          <w:lang w:val="es-ES_tradnl"/>
        </w:rPr>
        <w:t>.</w:t>
      </w:r>
      <w:bookmarkEnd w:id="11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4.5</w:t>
      </w:r>
      <w:r w:rsidRPr="004801D8">
        <w:rPr>
          <w:rFonts w:asciiTheme="majorBidi" w:hAnsiTheme="majorBidi" w:cstheme="majorBidi"/>
          <w:lang w:val="es-ES_tradnl"/>
        </w:rPr>
        <w:tab/>
      </w:r>
      <w:bookmarkStart w:id="111" w:name="lt_pId29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da las gracias a la Oficina y a la Administración de Estados Unidos por aclarar la cuestión. Afortunadamente la Junta no ha suprimido por error redes de satélites reales. Si la información se hubiese presentado más pronto, la Oficina no habría planteado el caso en virtud del número</w:t>
      </w:r>
      <w:bookmarkStart w:id="112" w:name="lt_pId292"/>
      <w:bookmarkEnd w:id="111"/>
      <w:r w:rsidRPr="004801D8">
        <w:rPr>
          <w:rFonts w:asciiTheme="majorBidi" w:hAnsiTheme="majorBidi" w:cstheme="majorBidi"/>
          <w:lang w:val="es-ES_tradnl"/>
        </w:rPr>
        <w:t xml:space="preserve"> 13.6 del Reglamento de Radiocomunicaciones y la Junta no habría perdido el tiempo. Las administraciones deberían ser conscientes de lo importante que es seguir el procedimiento del número</w:t>
      </w:r>
      <w:bookmarkStart w:id="113" w:name="lt_pId293"/>
      <w:bookmarkEnd w:id="112"/>
      <w:r w:rsidRPr="004801D8">
        <w:rPr>
          <w:rFonts w:asciiTheme="majorBidi" w:hAnsiTheme="majorBidi" w:cstheme="majorBidi"/>
          <w:lang w:val="es-ES_tradnl"/>
        </w:rPr>
        <w:t xml:space="preserve"> 13.6. En este caso, el resultado es satisfactorio, pero podría no haberlo sido. No obstante, no le parece bien que la Oficina tome una decisión sobre un asunto que está considerando la Junta</w:t>
      </w:r>
      <w:bookmarkStart w:id="114" w:name="lt_pId295"/>
      <w:bookmarkEnd w:id="113"/>
      <w:r w:rsidRPr="004801D8">
        <w:rPr>
          <w:rFonts w:asciiTheme="majorBidi" w:hAnsiTheme="majorBidi" w:cstheme="majorBidi"/>
          <w:lang w:val="es-ES_tradnl"/>
        </w:rPr>
        <w:t>.</w:t>
      </w:r>
      <w:bookmarkEnd w:id="11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4.6</w:t>
      </w:r>
      <w:r w:rsidRPr="004801D8">
        <w:rPr>
          <w:rFonts w:asciiTheme="majorBidi" w:hAnsiTheme="majorBidi" w:cstheme="majorBidi"/>
          <w:lang w:val="es-ES_tradnl"/>
        </w:rPr>
        <w:tab/>
      </w:r>
      <w:bookmarkStart w:id="115" w:name="lt_pId29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consideran que corresponde a la Junta y no a la Oficina tomar una decisión.</w:t>
      </w:r>
      <w:bookmarkEnd w:id="11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4.7</w:t>
      </w:r>
      <w:r w:rsidRPr="004801D8">
        <w:rPr>
          <w:rFonts w:asciiTheme="majorBidi" w:hAnsiTheme="majorBidi" w:cstheme="majorBidi"/>
          <w:lang w:val="es-ES_tradnl"/>
        </w:rPr>
        <w:tab/>
      </w:r>
      <w:bookmarkStart w:id="116" w:name="lt_pId29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la Oficina obró de conformidad con el Reglamento de Radiocomunicaciones. La administración presentó la información solicitada y no hay divergencias entre la administración y la Oficina, por lo que no corresponde aplicar el número</w:t>
      </w:r>
      <w:bookmarkStart w:id="117" w:name="lt_pId300"/>
      <w:bookmarkEnd w:id="116"/>
      <w:r w:rsidRPr="004801D8">
        <w:rPr>
          <w:rFonts w:asciiTheme="majorBidi" w:hAnsiTheme="majorBidi" w:cstheme="majorBidi"/>
          <w:lang w:val="es-ES_tradnl"/>
        </w:rPr>
        <w:t xml:space="preserve"> 13.6.</w:t>
      </w:r>
      <w:bookmarkEnd w:id="11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4.8</w:t>
      </w:r>
      <w:r w:rsidRPr="004801D8">
        <w:rPr>
          <w:rFonts w:asciiTheme="majorBidi" w:hAnsiTheme="majorBidi" w:cstheme="majorBidi"/>
          <w:lang w:val="es-ES_tradnl"/>
        </w:rPr>
        <w:tab/>
      </w:r>
      <w:bookmarkStart w:id="118" w:name="lt_pId30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dice que, de no haberse incluido este punto en el orden del día de la Junta, la Oficina simplemente habría retirado su solicitud de que la Junta decretase la cancelación, pues ya no hay motivos para presentar tal solicitud. En cualquier caso, si la Junta no decide cancelar una red, la Oficina no tiene más remedio que seguir teniéndola en cuenta</w:t>
      </w:r>
      <w:bookmarkStart w:id="119" w:name="lt_pId303"/>
      <w:bookmarkEnd w:id="118"/>
      <w:r w:rsidRPr="004801D8">
        <w:rPr>
          <w:rFonts w:asciiTheme="majorBidi" w:hAnsiTheme="majorBidi" w:cstheme="majorBidi"/>
          <w:lang w:val="es-ES_tradnl"/>
        </w:rPr>
        <w:t>.</w:t>
      </w:r>
      <w:bookmarkEnd w:id="119"/>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
        </w:rPr>
      </w:pPr>
      <w:r w:rsidRPr="004801D8">
        <w:rPr>
          <w:rFonts w:asciiTheme="majorBidi" w:hAnsiTheme="majorBidi" w:cstheme="majorBidi"/>
          <w:lang w:val="es-ES"/>
        </w:rPr>
        <w:t>4.9</w:t>
      </w:r>
      <w:r w:rsidRPr="004801D8">
        <w:rPr>
          <w:rFonts w:asciiTheme="majorBidi" w:hAnsiTheme="majorBidi" w:cstheme="majorBidi"/>
          <w:lang w:val="es-ES"/>
        </w:rPr>
        <w:tab/>
      </w:r>
      <w:bookmarkStart w:id="120" w:name="lt_pId285"/>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 </w:t>
      </w:r>
      <w:bookmarkEnd w:id="120"/>
    </w:p>
    <w:p w:rsidR="004801D8" w:rsidRPr="004801D8" w:rsidRDefault="004801D8" w:rsidP="00B51E5A">
      <w:pPr>
        <w:rPr>
          <w:rFonts w:asciiTheme="majorBidi" w:hAnsiTheme="majorBidi" w:cstheme="majorBidi"/>
          <w:lang w:val="es-ES_tradnl"/>
        </w:rPr>
      </w:pPr>
      <w:bookmarkStart w:id="121" w:name="lt_pId306"/>
      <w:r w:rsidRPr="004801D8">
        <w:rPr>
          <w:rFonts w:asciiTheme="majorBidi" w:hAnsiTheme="majorBidi" w:cstheme="majorBidi"/>
          <w:lang w:val="es-ES_tradnl"/>
        </w:rPr>
        <w:t>«La Junta examinó detalladamente el Documento RRB16-2/1 y la información adicional proporcionada por la Oficina, y habida cuenta de los resultados de los estudios realizados por la Oficina, la Junta decidió no suprimir las asignaciones de frecuencias de las redes de satélites ACS-1 y MCS-1.</w:t>
      </w:r>
      <w:bookmarkEnd w:id="121"/>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4.10</w:t>
      </w:r>
      <w:r w:rsidRPr="004801D8">
        <w:rPr>
          <w:rFonts w:asciiTheme="majorBidi" w:hAnsiTheme="majorBidi" w:cstheme="majorBidi"/>
          <w:lang w:val="es-ES_tradnl"/>
        </w:rPr>
        <w:tab/>
      </w:r>
      <w:bookmarkStart w:id="122" w:name="lt_pId308"/>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122"/>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5</w:t>
      </w:r>
      <w:r w:rsidRPr="004801D8">
        <w:rPr>
          <w:rFonts w:asciiTheme="majorBidi" w:hAnsiTheme="majorBidi" w:cstheme="majorBidi"/>
          <w:lang w:val="es-ES_tradnl"/>
        </w:rPr>
        <w:tab/>
      </w:r>
      <w:bookmarkStart w:id="123" w:name="lt_pId310"/>
      <w:r w:rsidRPr="004801D8">
        <w:rPr>
          <w:rFonts w:asciiTheme="majorBidi" w:hAnsiTheme="majorBidi" w:cstheme="majorBidi"/>
          <w:color w:val="000000" w:themeColor="text1"/>
          <w:lang w:val="es-ES"/>
        </w:rPr>
        <w:t>Comunicaciones de las Administraciones de Noruega y de los Estados Unidos de América relativas al cambio de la Administración Notificante de los sistemas de satélite STEAM 0, STEAM-1, STEAM-2 y STEAM-3C</w:t>
      </w:r>
      <w:r w:rsidRPr="004801D8">
        <w:rPr>
          <w:rFonts w:asciiTheme="majorBidi" w:hAnsiTheme="majorBidi" w:cstheme="majorBidi"/>
          <w:highlight w:val="lightGray"/>
          <w:lang w:val="es-ES_tradnl"/>
        </w:rPr>
        <w:t xml:space="preserve"> </w:t>
      </w:r>
      <w:r w:rsidRPr="004801D8">
        <w:rPr>
          <w:rFonts w:asciiTheme="majorBidi" w:hAnsiTheme="majorBidi" w:cstheme="majorBidi"/>
          <w:lang w:val="es-ES_tradnl"/>
        </w:rPr>
        <w:t>(Documentos RRB16-2/6 y RRB16-2/INFO/2)</w:t>
      </w:r>
      <w:bookmarkEnd w:id="123"/>
    </w:p>
    <w:p w:rsidR="004801D8" w:rsidRPr="004801D8" w:rsidRDefault="004801D8" w:rsidP="00B51E5A">
      <w:pPr>
        <w:rPr>
          <w:rFonts w:asciiTheme="majorBidi" w:hAnsiTheme="majorBidi" w:cstheme="majorBidi"/>
          <w:iCs/>
          <w:lang w:val="es-ES_tradnl"/>
        </w:rPr>
      </w:pPr>
      <w:r w:rsidRPr="004801D8">
        <w:rPr>
          <w:rFonts w:asciiTheme="majorBidi" w:hAnsiTheme="majorBidi" w:cstheme="majorBidi"/>
          <w:lang w:val="es-ES_tradnl"/>
        </w:rPr>
        <w:t>5.1</w:t>
      </w:r>
      <w:r w:rsidRPr="004801D8">
        <w:rPr>
          <w:rFonts w:asciiTheme="majorBidi" w:hAnsiTheme="majorBidi" w:cstheme="majorBidi"/>
          <w:lang w:val="es-ES_tradnl"/>
        </w:rPr>
        <w:tab/>
      </w:r>
      <w:bookmarkStart w:id="124" w:name="lt_pId31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presenta el Documento RRB16-2/6, que recoge la correspondencia de las Administraciones de Noruega (Adjunto 1) y Estados Unidos (Adjunto 2) en la que solicitan que, a partir del 1 de julio de 2016, la administración notificante para los sistemas de satélites STEAM-0, STEAM-1, STEAM-2 y STEAM -3C deje de ser Noruega y pase a ser Estados Unidos. Señala que Noruega indicó que la solicitud de cambio de administración notificante se presenta a petición del operador de los sistemas, que Estados Unidos ha aceptado el cambio y que se han de preservar los derechos de coordinación de otras notificaciones presentadas por Noruega. Estados Unidos comunica su acuerdo en cambiar de administración notificante e indica que ninguna de las administraciones considera que ese cambio suponga distorsión o tráfico, ni recibe compensación alguna él. Según esa Administración, uno de los principales motivos del cambio es que la Administración de Estados Unidos dispone de mejores recursos para entablar en cada vez más complicado proceso de coordinación de los sistemas de satélites no OSG. Dice, además, que el operador de los sistemas seguirá siendo el mismo</w:t>
      </w:r>
      <w:bookmarkStart w:id="125" w:name="lt_pId314"/>
      <w:bookmarkEnd w:id="124"/>
      <w:r w:rsidRPr="004801D8">
        <w:rPr>
          <w:rFonts w:asciiTheme="majorBidi" w:hAnsiTheme="majorBidi" w:cstheme="majorBidi"/>
          <w:iCs/>
          <w:lang w:val="es-ES_tradnl"/>
        </w:rPr>
        <w:t>.</w:t>
      </w:r>
      <w:bookmarkEnd w:id="125"/>
    </w:p>
    <w:p w:rsidR="004801D8" w:rsidRPr="004801D8" w:rsidRDefault="004801D8" w:rsidP="00B51E5A">
      <w:pPr>
        <w:rPr>
          <w:rFonts w:asciiTheme="majorBidi" w:hAnsiTheme="majorBidi" w:cstheme="majorBidi"/>
          <w:iCs/>
          <w:lang w:val="es-ES_tradnl"/>
        </w:rPr>
      </w:pPr>
      <w:r w:rsidRPr="004801D8">
        <w:rPr>
          <w:rFonts w:asciiTheme="majorBidi" w:hAnsiTheme="majorBidi" w:cstheme="majorBidi"/>
          <w:iCs/>
          <w:lang w:val="es-ES_tradnl"/>
        </w:rPr>
        <w:t>5.2</w:t>
      </w:r>
      <w:r w:rsidRPr="004801D8">
        <w:rPr>
          <w:rFonts w:asciiTheme="majorBidi" w:hAnsiTheme="majorBidi" w:cstheme="majorBidi"/>
          <w:iCs/>
          <w:lang w:val="es-ES_tradnl"/>
        </w:rPr>
        <w:tab/>
      </w:r>
      <w:bookmarkStart w:id="126" w:name="lt_pId316"/>
      <w:r w:rsidRPr="004801D8">
        <w:rPr>
          <w:rFonts w:asciiTheme="majorBidi" w:hAnsiTheme="majorBidi" w:cstheme="majorBidi"/>
          <w:iCs/>
          <w:lang w:val="es-ES_tradnl"/>
        </w:rPr>
        <w:t xml:space="preserve">La </w:t>
      </w:r>
      <w:r w:rsidRPr="004801D8">
        <w:rPr>
          <w:rFonts w:asciiTheme="majorBidi" w:hAnsiTheme="majorBidi" w:cstheme="majorBidi"/>
          <w:b/>
          <w:bCs/>
          <w:iCs/>
          <w:lang w:val="es-ES_tradnl"/>
        </w:rPr>
        <w:t>Presidenta</w:t>
      </w:r>
      <w:r w:rsidRPr="004801D8">
        <w:rPr>
          <w:rFonts w:asciiTheme="majorBidi" w:hAnsiTheme="majorBidi" w:cstheme="majorBidi"/>
          <w:iCs/>
          <w:lang w:val="es-ES_tradnl"/>
        </w:rPr>
        <w:t xml:space="preserve"> dice que en ocasiones anteriores la Junta ha examinado varias veces cambios de administración notificante en nombre de una organización intergubernamental y que, de hecho, ya elaboró una Regla de Procedimiento para tales modificaciones. A su entender, es la primera vez que la Junta tiene ante sí un cambio de una administración notificante que actúa en su nombre a otra administración que también actúa en su propio nombre</w:t>
      </w:r>
      <w:bookmarkStart w:id="127" w:name="lt_pId317"/>
      <w:bookmarkEnd w:id="126"/>
      <w:r w:rsidRPr="004801D8">
        <w:rPr>
          <w:rFonts w:asciiTheme="majorBidi" w:hAnsiTheme="majorBidi" w:cstheme="majorBidi"/>
          <w:iCs/>
          <w:lang w:val="es-ES_tradnl"/>
        </w:rPr>
        <w:t>.</w:t>
      </w:r>
      <w:bookmarkEnd w:id="12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5.3</w:t>
      </w:r>
      <w:r w:rsidRPr="004801D8">
        <w:rPr>
          <w:rFonts w:asciiTheme="majorBidi" w:hAnsiTheme="majorBidi" w:cstheme="majorBidi"/>
          <w:lang w:val="es-ES_tradnl"/>
        </w:rPr>
        <w:tab/>
      </w:r>
      <w:bookmarkStart w:id="128" w:name="lt_pId31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Kibe</w:t>
      </w:r>
      <w:r w:rsidRPr="004801D8">
        <w:rPr>
          <w:rFonts w:asciiTheme="majorBidi" w:hAnsiTheme="majorBidi" w:cstheme="majorBidi"/>
          <w:lang w:val="es-ES_tradnl"/>
        </w:rPr>
        <w:t xml:space="preserve"> está de acuerdo con la Presidente. No existen Reglas de Procedimiento que rijan el caso presentado a la Junta. La Regla de Procedimiento relativa al cambio de administración notificante en nombre de un grupo de administraciones se elaboró y aprobó en las 56ª y 57ª reuniones de la Junta. A pesar de lo que afirman las Administraciones de Noruega y Estados Unidos, teme que la solicitud que se presenta a la Junta pueda dar pie a acusaciones de tráfico del espectro y los recursos orbitales y redunde en problemas para la Oficina y la Junta. La Junta podría solicitar a la Oficina la elaboración de una Regla de Procedimiento para tratar este tipo de solicitudes</w:t>
      </w:r>
      <w:bookmarkStart w:id="129" w:name="lt_pId322"/>
      <w:bookmarkEnd w:id="128"/>
      <w:r w:rsidRPr="004801D8">
        <w:rPr>
          <w:rFonts w:asciiTheme="majorBidi" w:hAnsiTheme="majorBidi" w:cstheme="majorBidi"/>
          <w:lang w:val="es-ES_tradnl"/>
        </w:rPr>
        <w:t>.</w:t>
      </w:r>
      <w:bookmarkEnd w:id="12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5.4</w:t>
      </w:r>
      <w:r w:rsidRPr="004801D8">
        <w:rPr>
          <w:rFonts w:asciiTheme="majorBidi" w:hAnsiTheme="majorBidi" w:cstheme="majorBidi"/>
          <w:lang w:val="es-ES_tradnl"/>
        </w:rPr>
        <w:tab/>
      </w:r>
      <w:bookmarkStart w:id="130" w:name="lt_pId32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se pregunta qué quiere decir exactamente la Administración de Noruega cuando dice que «Las Administraciones de Noruega y de Estados Unidos han confirmado en un intercambio epistolar aparte que los derechos de coordinación de las demás notificaciones sometidas por Noruega </w:t>
      </w:r>
      <w:r w:rsidRPr="004801D8">
        <w:rPr>
          <w:rFonts w:asciiTheme="majorBidi" w:hAnsiTheme="majorBidi" w:cstheme="majorBidi"/>
          <w:lang w:val="es-ES_tradnl"/>
        </w:rPr>
        <w:lastRenderedPageBreak/>
        <w:t>se mantendrán a pesar de la transferencia de Administración notificante de esas redes de satélite, y se comprometen a garantizar ese resultado.» Por otra parte, coincide con la Presidenta en que, hasta ahora, sólo se habían realizado cambios de administración notificante cuando ésta actuaba en nombre de otras administraciones, de una organización intergubernamental o cuando las administraciones concernidas se veían obligadas a solicitar tal cambio. Esta es la primera vez que la Junta se encuentra con una administración que actúa en su propio nombre que solicita la transferencia de las notificaciones a otra administración, que también actúa en su propio nombre, sin que se vea obligada a ello por un obstáculo insalvable. Teme que acceder a la solicitud pueda tener diversas consecuencias y efectos negativos y no deseados, además de perturbar todo el control de los sistemas orbitales</w:t>
      </w:r>
      <w:bookmarkStart w:id="131" w:name="lt_pId326"/>
      <w:bookmarkEnd w:id="130"/>
      <w:r w:rsidRPr="004801D8">
        <w:rPr>
          <w:rFonts w:asciiTheme="majorBidi" w:hAnsiTheme="majorBidi" w:cstheme="majorBidi"/>
          <w:lang w:val="es-ES_tradnl"/>
        </w:rPr>
        <w:t>.</w:t>
      </w:r>
      <w:bookmarkEnd w:id="13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5.5</w:t>
      </w:r>
      <w:r w:rsidRPr="004801D8">
        <w:rPr>
          <w:rFonts w:asciiTheme="majorBidi" w:hAnsiTheme="majorBidi" w:cstheme="majorBidi"/>
          <w:lang w:val="es-ES_tradnl"/>
        </w:rPr>
        <w:tab/>
      </w:r>
      <w:bookmarkStart w:id="132" w:name="lt_pId32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está de acuerdo con el Sr. Ito y la Presidenta. También coincide con casi todo lo dicho por el Sr. Kibe. Añade que no ve motivos ni para acceder a la solicitud ni para elaborar una Regla de Procedimiento al respecto. De hecho, ninguna de las partes ha solicitado que se prepare tal Regla de Procedimiento. No es un asunto que puedan afrontar la Oficina o la Junta, sino que, más bien, debería considerarse en una CMR o, incluso, en la Conferencia de Plenipotenciarios, pues atañe a los principios básicos recogidos en la Constitución de la UIT en relación con la utilización racional y equitativa del espectro y los recursos orbitales</w:t>
      </w:r>
      <w:bookmarkStart w:id="133" w:name="lt_pId332"/>
      <w:bookmarkEnd w:id="132"/>
      <w:r w:rsidRPr="004801D8">
        <w:rPr>
          <w:rFonts w:asciiTheme="majorBidi" w:hAnsiTheme="majorBidi" w:cstheme="majorBidi"/>
          <w:lang w:val="es-ES_tradnl"/>
        </w:rPr>
        <w:t>.</w:t>
      </w:r>
      <w:bookmarkEnd w:id="13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5.6</w:t>
      </w:r>
      <w:r w:rsidRPr="004801D8">
        <w:rPr>
          <w:rFonts w:asciiTheme="majorBidi" w:hAnsiTheme="majorBidi" w:cstheme="majorBidi"/>
          <w:lang w:val="es-ES_tradnl"/>
        </w:rPr>
        <w:tab/>
      </w:r>
      <w:bookmarkStart w:id="134" w:name="lt_pId33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está de acuerdo con el Sr. Strelets y el Sr. Ito, y se suma a las primeras observaciones del Sr. Kibe. El Reglamento de Radiocomunicaciones no contempla el caso que se presenta ahora a la Junta y acceder a tal solicitud podría poner en peligro el equilibrio mantenido por el Reglamento de Radiocomunicaciones. La Regla de Procedimiento aprobada por la Junta en su 57ª reunión no abarca tal solicitud. Además, la solicitud presentada no se ajusta al número</w:t>
      </w:r>
      <w:bookmarkStart w:id="135" w:name="lt_pId337"/>
      <w:bookmarkEnd w:id="134"/>
      <w:r w:rsidRPr="004801D8">
        <w:rPr>
          <w:rFonts w:asciiTheme="majorBidi" w:hAnsiTheme="majorBidi" w:cstheme="majorBidi"/>
          <w:lang w:val="es-ES_tradnl"/>
        </w:rPr>
        <w:t xml:space="preserve"> 9.6.1 del Reglamento de Radiocomunicaciones, pues ese número trata de una administración que actúa en nombre de un grupo de administraciones nominativamente designadas. Por otra parte, de la carta de Noruega queda claro que, una vez las asignaciones de Noruega transferidas, Noruega podrá formular comentarios respecto de los sistemas de satélites transferidos a fin de proteger sus propios servicios, mientras que, como administración notificante de los sistemas en cuestión, no disponía de tal derecho antes de la transferencia de los mismos.</w:t>
      </w:r>
      <w:bookmarkEnd w:id="13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5.7</w:t>
      </w:r>
      <w:r w:rsidRPr="004801D8">
        <w:rPr>
          <w:rFonts w:asciiTheme="majorBidi" w:hAnsiTheme="majorBidi" w:cstheme="majorBidi"/>
          <w:lang w:val="es-ES_tradnl"/>
        </w:rPr>
        <w:tab/>
      </w:r>
      <w:bookmarkStart w:id="136" w:name="lt_pId34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coincide con las observaciones de los anteriores oradores y está de acuerdo que en no hay motivos para que la Junta decida la elaboración de una nueva Regla de Procedimiento. Las administraciones concernidas deberían presentar su solicitud a la Conferencia de Plenipotenciarios, si así lo desean</w:t>
      </w:r>
      <w:bookmarkStart w:id="137" w:name="lt_pId341"/>
      <w:bookmarkEnd w:id="136"/>
      <w:r w:rsidRPr="004801D8">
        <w:rPr>
          <w:rFonts w:asciiTheme="majorBidi" w:hAnsiTheme="majorBidi" w:cstheme="majorBidi"/>
          <w:lang w:val="es-ES_tradnl"/>
        </w:rPr>
        <w:t>.</w:t>
      </w:r>
      <w:bookmarkEnd w:id="13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5.8</w:t>
      </w:r>
      <w:r w:rsidRPr="004801D8">
        <w:rPr>
          <w:rFonts w:asciiTheme="majorBidi" w:hAnsiTheme="majorBidi" w:cstheme="majorBidi"/>
          <w:lang w:val="es-ES_tradnl"/>
        </w:rPr>
        <w:tab/>
      </w:r>
      <w:bookmarkStart w:id="138" w:name="lt_pId34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coincide con los anteriores oradores, en particular el Sr. Ito y el Sr. Strelets.</w:t>
      </w:r>
      <w:bookmarkEnd w:id="138"/>
      <w:r w:rsidRPr="004801D8">
        <w:rPr>
          <w:rFonts w:asciiTheme="majorBidi" w:hAnsiTheme="majorBidi" w:cstheme="majorBidi"/>
          <w:lang w:val="es-ES_tradnl"/>
        </w:rPr>
        <w:t xml:space="preserve"> </w:t>
      </w:r>
      <w:bookmarkStart w:id="139" w:name="lt_pId344"/>
      <w:r w:rsidRPr="004801D8">
        <w:rPr>
          <w:rFonts w:asciiTheme="majorBidi" w:hAnsiTheme="majorBidi" w:cstheme="majorBidi"/>
          <w:lang w:val="es-ES_tradnl"/>
        </w:rPr>
        <w:t>Este asunto se trató en el Informe de la Junta a la CMR-15, pero no se abordó en la Conferencia. No hay Reglas de Procedimiento o disposiciones del Reglamento de Radiocomunicaciones que contemplen la solicitud presentada a la Junta</w:t>
      </w:r>
      <w:bookmarkStart w:id="140" w:name="lt_pId345"/>
      <w:bookmarkEnd w:id="139"/>
      <w:r w:rsidRPr="004801D8">
        <w:rPr>
          <w:rFonts w:asciiTheme="majorBidi" w:hAnsiTheme="majorBidi" w:cstheme="majorBidi"/>
          <w:lang w:val="es-ES_tradnl"/>
        </w:rPr>
        <w:t>.</w:t>
      </w:r>
      <w:bookmarkEnd w:id="14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5.9</w:t>
      </w:r>
      <w:r w:rsidRPr="004801D8">
        <w:rPr>
          <w:rFonts w:asciiTheme="majorBidi" w:hAnsiTheme="majorBidi" w:cstheme="majorBidi"/>
          <w:lang w:val="es-ES_tradnl"/>
        </w:rPr>
        <w:tab/>
      </w:r>
      <w:bookmarkStart w:id="141" w:name="lt_pId34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dice no cuestionar en ningún momento la honestidad y las buenas intenciones de las Administraciones de Noruega y Estados Unidos en su propósito de poner en marcha un verdadero proyecto no OSG en el que han invertido mucho tiempo y esfuerzos. Sin embargo, si la Junta accediese a una petición de cambio de administración notificante no contemplada por ninguno de los textos reglamentarios, se abriría la puerta para que la Oficina y la Junta asuman funciones que van mucho más allá de su mandato regular. Además, un cambio de administración notificante conlleva inevitablemente un intercambio de recursos, sean financieros o de otro tipo. Está de acuerdo con el Sr. Magenta en que corresponde a la Conferencia de Plenipotenciarios tomar la decisión, dando así oportunidad a todas las administraciones de manifestar su opinión</w:t>
      </w:r>
      <w:bookmarkStart w:id="142" w:name="lt_pId350"/>
      <w:bookmarkEnd w:id="141"/>
      <w:r w:rsidRPr="004801D8">
        <w:rPr>
          <w:rFonts w:asciiTheme="majorBidi" w:hAnsiTheme="majorBidi" w:cstheme="majorBidi"/>
          <w:lang w:val="es-ES_tradnl"/>
        </w:rPr>
        <w:t>.</w:t>
      </w:r>
      <w:bookmarkEnd w:id="14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5.10</w:t>
      </w:r>
      <w:r w:rsidRPr="004801D8">
        <w:rPr>
          <w:rFonts w:asciiTheme="majorBidi" w:hAnsiTheme="majorBidi" w:cstheme="majorBidi"/>
          <w:lang w:val="es-ES_tradnl"/>
        </w:rPr>
        <w:tab/>
      </w:r>
      <w:bookmarkStart w:id="143" w:name="lt_pId35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dice estar de acuerdo en que la Junta no puede tomar una decisión sobre este asunto por todos los motivos expuestos por los demás oradores. No obstante, al formular su decisión, la Junta debe mostrarse cautelosa a la hora de remitir el asunto a un órgano superior, como la CMR o la Conferencia de Plenipotenciarios, aconsejar a las administraciones concernidas que lo </w:t>
      </w:r>
      <w:r w:rsidRPr="004801D8">
        <w:rPr>
          <w:rFonts w:asciiTheme="majorBidi" w:hAnsiTheme="majorBidi" w:cstheme="majorBidi"/>
          <w:lang w:val="es-ES_tradnl"/>
        </w:rPr>
        <w:lastRenderedPageBreak/>
        <w:t>hagan o simplemente decidir que no es competente en este asunto. Señala, además, que la solicitud parece ser urgente, pues la transferencia debía entrar en vigor el 1 de julio de 2016</w:t>
      </w:r>
      <w:bookmarkStart w:id="144" w:name="lt_pId354"/>
      <w:bookmarkEnd w:id="143"/>
      <w:r w:rsidRPr="004801D8">
        <w:rPr>
          <w:rFonts w:asciiTheme="majorBidi" w:hAnsiTheme="majorBidi" w:cstheme="majorBidi"/>
          <w:lang w:val="es-ES_tradnl"/>
        </w:rPr>
        <w:t>.</w:t>
      </w:r>
      <w:bookmarkEnd w:id="14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5.11</w:t>
      </w:r>
      <w:r w:rsidRPr="004801D8">
        <w:rPr>
          <w:rFonts w:asciiTheme="majorBidi" w:hAnsiTheme="majorBidi" w:cstheme="majorBidi"/>
          <w:lang w:val="es-ES_tradnl"/>
        </w:rPr>
        <w:tab/>
      </w:r>
      <w:bookmarkStart w:id="145" w:name="lt_pId35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no corresponde a la Junta aconsejar a las administraciones que presenten solicitudes a la Conferencia. Es responsabilidad de las administraciones hacerlo, si lo consideran adecuado, pues todas saben que tienen el derecho de dirigirse a la Conferencia. La Junta debería simplemente concluir que no hay disposiciones del Reglamento de Radiocomunicaciones ni Reglas de Procedimiento que autoricen el cambio solicitado</w:t>
      </w:r>
      <w:bookmarkStart w:id="146" w:name="lt_pId357"/>
      <w:bookmarkEnd w:id="145"/>
      <w:r w:rsidRPr="004801D8">
        <w:rPr>
          <w:rFonts w:asciiTheme="majorBidi" w:hAnsiTheme="majorBidi" w:cstheme="majorBidi"/>
          <w:lang w:val="es-ES_tradnl"/>
        </w:rPr>
        <w:t>.</w:t>
      </w:r>
      <w:bookmarkEnd w:id="14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5.12</w:t>
      </w:r>
      <w:r w:rsidRPr="004801D8">
        <w:rPr>
          <w:rFonts w:asciiTheme="majorBidi" w:hAnsiTheme="majorBidi" w:cstheme="majorBidi"/>
          <w:lang w:val="es-ES_tradnl"/>
        </w:rPr>
        <w:tab/>
      </w:r>
      <w:bookmarkStart w:id="147" w:name="lt_pId359"/>
      <w:r w:rsidRPr="004801D8">
        <w:rPr>
          <w:rFonts w:asciiTheme="majorBidi" w:hAnsiTheme="majorBidi" w:cstheme="majorBidi"/>
          <w:lang w:val="es-ES_tradnl"/>
        </w:rPr>
        <w:t xml:space="preserve">En repuesta a la observación del Sr. Ito, 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dice, para aclarar el significado del segundo párrafo de la carta de Noruega, reproducida en el Documento RRB16-2/6, que a su entender Noruega indica que ha acordado con Estados Unidos que, de transferirse esas notificaciones a Estados Unidos, Noruega no tendría que coordinar ninguna de otras notificaciones con las notificaciones transferidas. Señala también que sería inexacto afirmar, en una decisión de la Junta por ejemplo, que en ocasiones anteriores la Junta ha aceptado cambios de administraciones notificantes sólo en el caso de organizaciones intergubernamentales. En ese sentido recuerda los casos de las redes transferidas de la antigua URSS a la Federación de Rusia, de Portugal a China, de Reino Unido a China, etc., como se indica en la lista del Documento</w:t>
      </w:r>
      <w:bookmarkStart w:id="148" w:name="lt_pId361"/>
      <w:bookmarkEnd w:id="147"/>
      <w:r w:rsidRPr="004801D8">
        <w:rPr>
          <w:rFonts w:asciiTheme="majorBidi" w:hAnsiTheme="majorBidi" w:cstheme="majorBidi"/>
          <w:lang w:val="es-ES_tradnl"/>
        </w:rPr>
        <w:t xml:space="preserve"> RRB16-2/INFO/2 presentado a la Junta.</w:t>
      </w:r>
      <w:bookmarkEnd w:id="14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5.13</w:t>
      </w:r>
      <w:r w:rsidRPr="004801D8">
        <w:rPr>
          <w:rFonts w:asciiTheme="majorBidi" w:hAnsiTheme="majorBidi" w:cstheme="majorBidi"/>
          <w:lang w:val="es-ES_tradnl"/>
        </w:rPr>
        <w:tab/>
      </w:r>
      <w:bookmarkStart w:id="149" w:name="lt_pId36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que no está claro qué solicitan las Administraciones de Noruega y Estados Unidos cuando piden a la Oficina que transmita, de ser necesario, su correspondencia a la Junta, </w:t>
      </w:r>
      <w:proofErr w:type="spellStart"/>
      <w:r w:rsidRPr="004801D8">
        <w:rPr>
          <w:rFonts w:asciiTheme="majorBidi" w:hAnsiTheme="majorBidi" w:cstheme="majorBidi"/>
          <w:lang w:val="es-ES_tradnl"/>
        </w:rPr>
        <w:t>si</w:t>
      </w:r>
      <w:proofErr w:type="spellEnd"/>
      <w:r w:rsidRPr="004801D8">
        <w:rPr>
          <w:rFonts w:asciiTheme="majorBidi" w:hAnsiTheme="majorBidi" w:cstheme="majorBidi"/>
          <w:lang w:val="es-ES_tradnl"/>
        </w:rPr>
        <w:t xml:space="preserve"> que se elabore una Regla de Procedimiento o sólo una decisión. Además, la transferencia de notificaciones de una administración a otra podría tener ramificaciones jurídicas en cuanto a los de4rechos de las administraciones y su poder con respecto a otras administraciones. Si la Junta considerase la posibilidad de acceder a la petición, en primer lugar debería consultar con los expertos jurídicos cuáles podrían ser esas ramificaciones y si los solicitantes verdaderamente son competentes para presentar tal solicitud. En este sentido señala que uno de los signatarios de la carta de Noruega, reproducida en el Documento</w:t>
      </w:r>
      <w:bookmarkStart w:id="150" w:name="lt_pId366"/>
      <w:bookmarkEnd w:id="149"/>
      <w:r w:rsidRPr="004801D8">
        <w:rPr>
          <w:rFonts w:asciiTheme="majorBidi" w:hAnsiTheme="majorBidi" w:cstheme="majorBidi"/>
          <w:lang w:val="es-ES_tradnl"/>
        </w:rPr>
        <w:t xml:space="preserve"> RRB16-2/6, es «ingeniero superior».</w:t>
      </w:r>
      <w:bookmarkEnd w:id="15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5.14</w:t>
      </w:r>
      <w:r w:rsidRPr="004801D8">
        <w:rPr>
          <w:rFonts w:asciiTheme="majorBidi" w:hAnsiTheme="majorBidi" w:cstheme="majorBidi"/>
          <w:lang w:val="es-ES_tradnl"/>
        </w:rPr>
        <w:tab/>
      </w:r>
      <w:bookmarkStart w:id="151" w:name="lt_pId36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no ve conflicto alguno entre las administraciones que presentan la solicitud, lo que implicaría una transferencia directa donde ambas administraciones desearían conservar sus derechos con respecto a las notificaciones implicadas y las demás notificaciones. Sin embargo, sigue sin considerar que haya motivos para elaborar una Regla de Procedimiento para este tipo de solicitudes</w:t>
      </w:r>
      <w:bookmarkStart w:id="152" w:name="lt_pId369"/>
      <w:bookmarkEnd w:id="151"/>
      <w:r w:rsidRPr="004801D8">
        <w:rPr>
          <w:rFonts w:asciiTheme="majorBidi" w:hAnsiTheme="majorBidi" w:cstheme="majorBidi"/>
          <w:lang w:val="es-ES_tradnl"/>
        </w:rPr>
        <w:t>.</w:t>
      </w:r>
      <w:bookmarkEnd w:id="15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5.15</w:t>
      </w:r>
      <w:r w:rsidRPr="004801D8">
        <w:rPr>
          <w:rFonts w:asciiTheme="majorBidi" w:hAnsiTheme="majorBidi" w:cstheme="majorBidi"/>
          <w:lang w:val="es-ES_tradnl"/>
        </w:rPr>
        <w:tab/>
      </w:r>
      <w:bookmarkStart w:id="153" w:name="lt_pId371"/>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r w:rsidRPr="004801D8">
        <w:rPr>
          <w:rFonts w:asciiTheme="majorBidi" w:hAnsiTheme="majorBidi" w:cstheme="majorBidi"/>
          <w:lang w:val="es-ES_tradnl"/>
        </w:rPr>
        <w:t>:</w:t>
      </w:r>
      <w:bookmarkEnd w:id="153"/>
    </w:p>
    <w:p w:rsidR="004801D8" w:rsidRPr="004801D8" w:rsidRDefault="004801D8" w:rsidP="00B51E5A">
      <w:pPr>
        <w:rPr>
          <w:rFonts w:asciiTheme="majorBidi" w:hAnsiTheme="majorBidi" w:cstheme="majorBidi"/>
          <w:highlight w:val="yellow"/>
          <w:lang w:val="es-ES_tradnl"/>
        </w:rPr>
      </w:pPr>
      <w:r w:rsidRPr="004801D8">
        <w:rPr>
          <w:rFonts w:asciiTheme="majorBidi" w:hAnsiTheme="majorBidi" w:cstheme="majorBidi"/>
          <w:lang w:val="es-ES_tradnl"/>
        </w:rPr>
        <w:t>«La Junta debatió ampliamente la solicitud del Documento RRB16-2/6 de cambiar las funciones de Administración Notificante de la Administración de Noruega a la Administración de los Estados Unidos de América para los sistemas de satélites STEAM-0, STEAM-1, STEAM-2 y STEAM-3C y reconoció la buena voluntad de ambas administraciones. La Junta observó sin embargo que no hay ninguna disposición del Reglamento de Radiocomunicaciones que permita el cambio de la función de Administración notificante aplicable a esta situación específica. Además, la Junta considera que una solicitud de este tipo sólo puede tratarse en una conferencia competente.</w:t>
      </w:r>
    </w:p>
    <w:p w:rsidR="004801D8" w:rsidRPr="004801D8" w:rsidRDefault="004801D8" w:rsidP="00B51E5A">
      <w:pPr>
        <w:rPr>
          <w:rFonts w:asciiTheme="majorBidi" w:hAnsiTheme="majorBidi" w:cstheme="majorBidi"/>
          <w:lang w:val="es-ES_tradnl"/>
        </w:rPr>
      </w:pPr>
      <w:bookmarkStart w:id="154" w:name="lt_pId375"/>
      <w:r w:rsidRPr="004801D8">
        <w:rPr>
          <w:rFonts w:asciiTheme="majorBidi" w:hAnsiTheme="majorBidi" w:cstheme="majorBidi"/>
          <w:lang w:val="es-ES_tradnl"/>
        </w:rPr>
        <w:t>En consecuencia, la Junta decidió que no podía acceder a la solicitud de las Administraciones de Noruega y de los Estados Unidos de América.</w:t>
      </w:r>
      <w:bookmarkEnd w:id="154"/>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5.16</w:t>
      </w:r>
      <w:r w:rsidRPr="004801D8">
        <w:rPr>
          <w:rFonts w:asciiTheme="majorBidi" w:hAnsiTheme="majorBidi" w:cstheme="majorBidi"/>
          <w:lang w:val="es-ES_tradnl"/>
        </w:rPr>
        <w:tab/>
      </w:r>
      <w:bookmarkStart w:id="155" w:name="lt_pId377"/>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155"/>
    </w:p>
    <w:p w:rsidR="004801D8" w:rsidRPr="004801D8" w:rsidRDefault="004801D8" w:rsidP="00B51E5A">
      <w:pPr>
        <w:rPr>
          <w:rFonts w:asciiTheme="majorBidi" w:hAnsiTheme="majorBidi" w:cstheme="majorBidi"/>
          <w:iCs/>
          <w:lang w:val="es-ES_tradnl"/>
        </w:rPr>
      </w:pPr>
      <w:r w:rsidRPr="004801D8">
        <w:rPr>
          <w:rFonts w:asciiTheme="majorBidi" w:hAnsiTheme="majorBidi" w:cstheme="majorBidi"/>
          <w:lang w:val="es-ES_tradnl"/>
        </w:rPr>
        <w:t>5.17</w:t>
      </w:r>
      <w:r w:rsidRPr="004801D8">
        <w:rPr>
          <w:rFonts w:asciiTheme="majorBidi" w:hAnsiTheme="majorBidi" w:cstheme="majorBidi"/>
          <w:lang w:val="es-ES_tradnl"/>
        </w:rPr>
        <w:tab/>
      </w:r>
      <w:bookmarkStart w:id="156" w:name="lt_pId37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se ha de tomar nota de este asunto a fin de incluirlo en el Informe de la Junta a la CMR-19 en virtud de la Resolución 80 (Rev. CMR-07).</w:t>
      </w:r>
      <w:bookmarkEnd w:id="156"/>
    </w:p>
    <w:p w:rsidR="004801D8" w:rsidRPr="004801D8" w:rsidRDefault="004801D8" w:rsidP="00D16649">
      <w:pPr>
        <w:pStyle w:val="Heading1"/>
        <w:rPr>
          <w:rFonts w:asciiTheme="majorBidi" w:hAnsiTheme="majorBidi" w:cstheme="majorBidi"/>
          <w:lang w:val="es-ES_tradnl"/>
        </w:rPr>
      </w:pPr>
      <w:r w:rsidRPr="004801D8">
        <w:rPr>
          <w:rFonts w:asciiTheme="majorBidi" w:hAnsiTheme="majorBidi" w:cstheme="majorBidi"/>
          <w:lang w:val="es-ES_tradnl"/>
        </w:rPr>
        <w:lastRenderedPageBreak/>
        <w:t>6</w:t>
      </w:r>
      <w:r w:rsidRPr="004801D8">
        <w:rPr>
          <w:rFonts w:asciiTheme="majorBidi" w:hAnsiTheme="majorBidi" w:cstheme="majorBidi"/>
          <w:lang w:val="es-ES_tradnl"/>
        </w:rPr>
        <w:tab/>
      </w:r>
      <w:bookmarkStart w:id="157" w:name="lt_pId381"/>
      <w:r w:rsidRPr="004801D8">
        <w:rPr>
          <w:rFonts w:asciiTheme="majorBidi" w:hAnsiTheme="majorBidi" w:cstheme="majorBidi"/>
          <w:color w:val="000000" w:themeColor="text1"/>
          <w:lang w:val="es-ES"/>
        </w:rPr>
        <w:t>Comunicación de la Administración de Malasia relativa a la situación de la red de satélites MEASAT-91.5E-30B</w:t>
      </w:r>
      <w:r w:rsidRPr="004801D8">
        <w:rPr>
          <w:rFonts w:asciiTheme="majorBidi" w:hAnsiTheme="majorBidi" w:cstheme="majorBidi"/>
          <w:lang w:val="es-ES_tradnl"/>
        </w:rPr>
        <w:t xml:space="preserve"> (Documento RRB16-2/7)</w:t>
      </w:r>
      <w:bookmarkEnd w:id="15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w:t>
      </w:r>
      <w:r w:rsidRPr="004801D8">
        <w:rPr>
          <w:rFonts w:asciiTheme="majorBidi" w:hAnsiTheme="majorBidi" w:cstheme="majorBidi"/>
          <w:lang w:val="es-ES_tradnl"/>
        </w:rPr>
        <w:tab/>
      </w:r>
      <w:bookmarkStart w:id="158" w:name="lt_pId38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presentó en el Documento RRB16-2/7 una comunicación en la que la Administración de Malasia manifiesta su desacuerdo con la conclusión de la Oficina con respecto a la red MEASAT-91.5E-30B.</w:t>
      </w:r>
      <w:bookmarkEnd w:id="158"/>
      <w:r w:rsidRPr="004801D8">
        <w:rPr>
          <w:rFonts w:asciiTheme="majorBidi" w:hAnsiTheme="majorBidi" w:cstheme="majorBidi"/>
          <w:lang w:val="es-ES_tradnl"/>
        </w:rPr>
        <w:t xml:space="preserve"> </w:t>
      </w:r>
      <w:bookmarkStart w:id="159" w:name="lt_pId384"/>
      <w:r w:rsidRPr="004801D8">
        <w:rPr>
          <w:rFonts w:asciiTheme="majorBidi" w:hAnsiTheme="majorBidi" w:cstheme="majorBidi"/>
          <w:lang w:val="es-ES_tradnl"/>
        </w:rPr>
        <w:t>Anexa al documento se presenta la correspondencia intercambiada entre la Oficina y la Administración de Malasia. En un breve repaso del caso y de las principales razones del desacuerdo de Malasia con la conclusión de la Oficina, dice que la Oficina recibió la notificación de la red de Malasia en enero de 2015 y que informó a ese país de que, de acuerdo con el examen realizado por la Oficina en virtud del número</w:t>
      </w:r>
      <w:bookmarkStart w:id="160" w:name="lt_pId385"/>
      <w:bookmarkEnd w:id="159"/>
      <w:r w:rsidRPr="004801D8">
        <w:rPr>
          <w:rFonts w:asciiTheme="majorBidi" w:hAnsiTheme="majorBidi" w:cstheme="majorBidi"/>
          <w:lang w:val="es-ES_tradnl"/>
        </w:rPr>
        <w:t xml:space="preserve"> § 6.22 del Artículo 6 del Apéndice 30B, se habían identificado otras administraciones con las que Malasia debía realizar la coordinación, además de las ya identificadas, y con las que Malasia no había concluido la coordinación. Malasia, en su respuesta, se mantuvo en su convicción de que no se había identificado más interferencia potencial en la fase de la Parte B que en la fase de la Parte A. Malasia señaló su intención de aplicar el</w:t>
      </w:r>
      <w:bookmarkStart w:id="161" w:name="lt_pId387"/>
      <w:bookmarkEnd w:id="160"/>
      <w:r w:rsidRPr="004801D8">
        <w:rPr>
          <w:rFonts w:asciiTheme="majorBidi" w:hAnsiTheme="majorBidi" w:cstheme="majorBidi"/>
          <w:lang w:val="es-ES_tradnl"/>
        </w:rPr>
        <w:t xml:space="preserve"> § 6.25 del Artículo 6 del Apéndice 30B con respecto a las administraciones con las que no había realizado la coordinación necesaria, garantizando así la inscripción provisional de la red en la Lista. Dado que todos los datos de la notificación estaban completos, la Oficina publicó la Parte B de la red en la</w:t>
      </w:r>
      <w:bookmarkStart w:id="162" w:name="lt_pId388"/>
      <w:bookmarkEnd w:id="161"/>
      <w:r w:rsidRPr="004801D8">
        <w:rPr>
          <w:rFonts w:asciiTheme="majorBidi" w:hAnsiTheme="majorBidi" w:cstheme="majorBidi"/>
          <w:lang w:val="es-ES_tradnl"/>
        </w:rPr>
        <w:t xml:space="preserve"> BR IFIC 2795 de mayo de 2015.</w:t>
      </w:r>
      <w:bookmarkStart w:id="163" w:name="lt_pId389"/>
      <w:bookmarkEnd w:id="162"/>
      <w:r w:rsidRPr="004801D8">
        <w:rPr>
          <w:rFonts w:asciiTheme="majorBidi" w:hAnsiTheme="majorBidi" w:cstheme="majorBidi"/>
          <w:lang w:val="es-ES_tradnl"/>
        </w:rPr>
        <w:t xml:space="preserve"> Unos cuatro meses más tarde, en septiembre de 2015, la Administración de Malasia apeló la conclusión de la Oficina y, a pesar de la correspondencia intercambiada entre esa Administración y la Oficina, como se presenta en el Documento RRB16-2/7, permaneció convencida de que la conclusión de la Oficina es errónea y solicitó, en su carta de 25 de abril de 2016, que el asunto se sometiese a la Junta para que ésta tome una decisión. Las principales razones aducidas por la Administración de Malasia para justificar su posición es que el software de la BR utilizado por recomendación de la Oficina tiene una precisión limitada a tres decimales, mientras que el aumento de interferencia sólo puede identificarse con cálculos cuya precisión es de 5 decimales. Por consiguiente, Malasia considera que no puede ser considerada responsable de las consecuencias de la interferencia adicional identificada. En segundo lugar, la red en cuestión es un sistema nacional que ya se ha puesto en servicio. Por último, la Administración de Malasia mantiene haber solicitado que su territorio quede excluido de las zonas de servicio de las redes afectadas, pero que la Oficina no ha tenido en cuenta esa solicitud al formular su conclusión</w:t>
      </w:r>
      <w:bookmarkStart w:id="164" w:name="lt_pId393"/>
      <w:bookmarkEnd w:id="163"/>
      <w:r w:rsidRPr="004801D8">
        <w:rPr>
          <w:rFonts w:asciiTheme="majorBidi" w:hAnsiTheme="majorBidi" w:cstheme="majorBidi"/>
          <w:lang w:val="es-ES_tradnl"/>
        </w:rPr>
        <w:t>.</w:t>
      </w:r>
      <w:bookmarkEnd w:id="16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w:t>
      </w:r>
      <w:r w:rsidRPr="004801D8">
        <w:rPr>
          <w:rFonts w:asciiTheme="majorBidi" w:hAnsiTheme="majorBidi" w:cstheme="majorBidi"/>
          <w:lang w:val="es-ES_tradnl"/>
        </w:rPr>
        <w:tab/>
      </w:r>
      <w:bookmarkStart w:id="165" w:name="lt_pId39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el problema que tiene ante sí la Junta es de orden matemático y depende básicamente de a qué decimal se han de redondear las cifras. En el Anexo 4 al Apéndice</w:t>
      </w:r>
      <w:bookmarkStart w:id="166" w:name="lt_pId396"/>
      <w:bookmarkEnd w:id="165"/>
      <w:r w:rsidRPr="004801D8">
        <w:rPr>
          <w:rFonts w:asciiTheme="majorBidi" w:hAnsiTheme="majorBidi" w:cstheme="majorBidi"/>
          <w:lang w:val="es-ES_tradnl"/>
        </w:rPr>
        <w:t> 30B se dan diversas indicaciones sobre la precisión necesaria para los cálculos de C/I y parece indicar una exigencia de precisión de dos decimales. En su opinión, una precisión de dos decimales basta para las operaciones en cuestión y es evidentemente ilógico emplear dos programas distintos para realizar la misma operación, uno con una precisión de dos decimales y otro con una precisión de seis decimales, como parece que se ha hecho en el caso que se presenta ahora a la Junta. Es fundamental que todos los cálculos se efectúen con la misma precisión, pero no está seguro de que sea la Junta la que haya de decidir acerca de la precisión necesaria o si es, por ejemplo, el Grupo de Trabajo</w:t>
      </w:r>
      <w:bookmarkStart w:id="167" w:name="lt_pId398"/>
      <w:bookmarkEnd w:id="166"/>
      <w:r w:rsidRPr="004801D8">
        <w:rPr>
          <w:rFonts w:asciiTheme="majorBidi" w:hAnsiTheme="majorBidi" w:cstheme="majorBidi"/>
          <w:lang w:val="es-ES_tradnl"/>
        </w:rPr>
        <w:t xml:space="preserve"> 4A.</w:t>
      </w:r>
      <w:bookmarkEnd w:id="16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6.3</w:t>
      </w:r>
      <w:r w:rsidRPr="004801D8">
        <w:rPr>
          <w:rFonts w:asciiTheme="majorBidi" w:hAnsiTheme="majorBidi" w:cstheme="majorBidi"/>
          <w:lang w:val="es-ES_tradnl"/>
        </w:rPr>
        <w:tab/>
      </w:r>
      <w:bookmarkStart w:id="168" w:name="lt_pId40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el asunto que se presenta a la Junta es, por encima de todo, una cuestión política y que engloba diversos problemas. En primer lugar está el umbral que no se ha de rebasar y permitir una desviación por pequeña que sea equivale a abrir la puerta a la relajación de la reglamentación aplicable, lo que se debe evitar a cualquier precio. La solución más directa consistiría simplemente en reducir la potencia en una magnitud mínima, por ejemplo,</w:t>
      </w:r>
      <w:bookmarkStart w:id="169" w:name="lt_pId402"/>
      <w:bookmarkEnd w:id="168"/>
      <w:r w:rsidRPr="004801D8">
        <w:rPr>
          <w:rFonts w:asciiTheme="majorBidi" w:hAnsiTheme="majorBidi" w:cstheme="majorBidi"/>
          <w:lang w:val="es-ES_tradnl"/>
        </w:rPr>
        <w:t xml:space="preserve"> 0,0005 dB, en lugar de infringir el Reglamento. En segundo lugar está la cuestión del software utilizado para el cálculo y, en este sentido, simpatiza con la Administración de Malasia, pues ha sido víctima de la utilización de dos programas, siendo uno menos preciso que el otro. La Oficina debe garantizar la armonización de la precisión de los dos programas a fin de que no vuelvan a surgir problemas similares en el futuro. Mientras tanto, podrían adoptarse medidas internas para ajustar los programas a fin de que ambos lleguen al mismo grado de precisión sin infringir el Reglamento. En tercer lugar está el asunto de la </w:t>
      </w:r>
      <w:r w:rsidRPr="004801D8">
        <w:rPr>
          <w:rFonts w:asciiTheme="majorBidi" w:hAnsiTheme="majorBidi" w:cstheme="majorBidi"/>
          <w:lang w:val="es-ES_tradnl"/>
        </w:rPr>
        <w:lastRenderedPageBreak/>
        <w:t>exclusión de territorios de la zona de servicio de la red concernida. A su entender, se trata de problemas que pueden solucionarse con un diálogo entre las administraciones afectadas, sin que tengan que intervenir la Oficina o la Junta, a menos que una administración haya solicitado la asistencia de la Oficina, como se prevé en el Reglamento de Radiocomunicaciones. Parece que en este caso se han ido acumulando los malentendidos. Si se presentase a la Administración de Malasia una explicación clara, seguramente ésta entendería la situación, las opciones que se le presentan y la asistencia que podría prestarle la Oficina a la hora de resolver las dificultades de coordinación con las administraciones identificadas como afectadas</w:t>
      </w:r>
      <w:bookmarkStart w:id="170" w:name="lt_pId409"/>
      <w:bookmarkEnd w:id="169"/>
      <w:r w:rsidRPr="004801D8">
        <w:rPr>
          <w:rFonts w:asciiTheme="majorBidi" w:hAnsiTheme="majorBidi" w:cstheme="majorBidi"/>
          <w:lang w:val="es-ES_tradnl"/>
        </w:rPr>
        <w:t>.</w:t>
      </w:r>
      <w:bookmarkEnd w:id="17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6.4</w:t>
      </w:r>
      <w:r w:rsidRPr="004801D8">
        <w:rPr>
          <w:rFonts w:asciiTheme="majorBidi" w:hAnsiTheme="majorBidi" w:cstheme="majorBidi"/>
          <w:lang w:val="es-ES_tradnl"/>
        </w:rPr>
        <w:tab/>
      </w:r>
      <w:bookmarkStart w:id="171" w:name="lt_pId41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dice que el examen de acuerdo al Anexo 4 al Apéndice 30B no constituye todo el procedimiento de examen en virtud del § 6.22, sino sólo la segunda parte de ese examen. A fin de identificar a las partes afectadas, se comparan los valores calculados con los criterios específicos con una precisión de tres decimales, motivo por el que se utiliza el software de tres decimales de precisión. Eso sólo atañe a esa parte del examen. En la primera parte del examen en virtud del </w:t>
      </w:r>
      <w:bookmarkStart w:id="172" w:name="lt_pId413"/>
      <w:bookmarkEnd w:id="171"/>
      <w:r w:rsidRPr="004801D8">
        <w:rPr>
          <w:rFonts w:asciiTheme="majorBidi" w:hAnsiTheme="majorBidi" w:cstheme="majorBidi"/>
          <w:lang w:val="es-ES_tradnl"/>
        </w:rPr>
        <w:t xml:space="preserve">§ 6.22, por otra parte, que se realiza a fin de verificar el aumento de la interferencia, se comparan dos valores calculados y se emplea un software con mayor precisión, de ahí la confusión de la Administración de Malasia en cuanto a los software que se han de utilizar y sus precisiones respectivas. En cuanto a la exclusión de los territorios de la zona de servicio de una red, recuerda la Regla de Procedimiento relativa al </w:t>
      </w:r>
      <w:bookmarkStart w:id="173" w:name="lt_pId414"/>
      <w:bookmarkEnd w:id="172"/>
      <w:r w:rsidRPr="004801D8">
        <w:rPr>
          <w:rFonts w:asciiTheme="majorBidi" w:hAnsiTheme="majorBidi" w:cstheme="majorBidi"/>
          <w:lang w:val="es-ES_tradnl"/>
        </w:rPr>
        <w:t xml:space="preserve">§ 6.16 del Apéndice 30B y señala que las administraciones deben presentar explícitamente a la Oficina esas solicitudes de exclusión. En este caso, la Administración de Malasia no lo había hecho, por lo que la oficina no pudo tener en cuenta las exclusiones deseadas. No obstante, </w:t>
      </w:r>
      <w:proofErr w:type="spellStart"/>
      <w:r w:rsidRPr="004801D8">
        <w:rPr>
          <w:rFonts w:asciiTheme="majorBidi" w:hAnsiTheme="majorBidi" w:cstheme="majorBidi"/>
          <w:lang w:val="es-ES_tradnl"/>
        </w:rPr>
        <w:t>aún</w:t>
      </w:r>
      <w:proofErr w:type="spellEnd"/>
      <w:r w:rsidRPr="004801D8">
        <w:rPr>
          <w:rFonts w:asciiTheme="majorBidi" w:hAnsiTheme="majorBidi" w:cstheme="majorBidi"/>
          <w:lang w:val="es-ES_tradnl"/>
        </w:rPr>
        <w:t xml:space="preserve"> habiéndose tenido en cuenta las exclusiones, la conclusión de la Oficina habría sido la misma</w:t>
      </w:r>
      <w:bookmarkStart w:id="174" w:name="lt_pId415"/>
      <w:bookmarkEnd w:id="173"/>
      <w:r w:rsidRPr="004801D8">
        <w:rPr>
          <w:rFonts w:asciiTheme="majorBidi" w:hAnsiTheme="majorBidi" w:cstheme="majorBidi"/>
          <w:lang w:val="es-ES_tradnl"/>
        </w:rPr>
        <w:t>.</w:t>
      </w:r>
      <w:bookmarkEnd w:id="17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6.5</w:t>
      </w:r>
      <w:r w:rsidRPr="004801D8">
        <w:rPr>
          <w:rFonts w:asciiTheme="majorBidi" w:hAnsiTheme="majorBidi" w:cstheme="majorBidi"/>
          <w:lang w:val="es-ES_tradnl"/>
        </w:rPr>
        <w:tab/>
      </w:r>
      <w:bookmarkStart w:id="175" w:name="lt_pId41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insiste en que, si se impone una precisión de dos decimales para una parte del procedimiento, no tiene sentido aplicar una precisión de seis decimales para la otra parte. Por consiguiente, considera los argumentos de Malasia bastante convincentes. Parece que la Administración de Malasia solicitó la asistencia de la Oficina en relación con la notificación de</w:t>
      </w:r>
      <w:bookmarkStart w:id="176" w:name="lt_pId419"/>
      <w:bookmarkEnd w:id="175"/>
      <w:r w:rsidRPr="004801D8">
        <w:rPr>
          <w:rFonts w:asciiTheme="majorBidi" w:hAnsiTheme="majorBidi" w:cstheme="majorBidi"/>
          <w:lang w:val="es-ES_tradnl"/>
        </w:rPr>
        <w:t xml:space="preserve"> MEASAT-91.5E-30B y quizá la Oficina podría haberse mostrado más útil. La Oficina debería considerar la posibilidad de limitar la precisión de los cálculos a tres decimales para estos exámenes</w:t>
      </w:r>
      <w:bookmarkStart w:id="177" w:name="lt_pId420"/>
      <w:bookmarkEnd w:id="176"/>
      <w:r w:rsidRPr="004801D8">
        <w:rPr>
          <w:rFonts w:asciiTheme="majorBidi" w:hAnsiTheme="majorBidi" w:cstheme="majorBidi"/>
          <w:lang w:val="es-ES_tradnl"/>
        </w:rPr>
        <w:t>.</w:t>
      </w:r>
      <w:bookmarkEnd w:id="17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6.6</w:t>
      </w:r>
      <w:r w:rsidRPr="004801D8">
        <w:rPr>
          <w:rFonts w:asciiTheme="majorBidi" w:hAnsiTheme="majorBidi" w:cstheme="majorBidi"/>
          <w:lang w:val="es-ES_tradnl"/>
        </w:rPr>
        <w:tab/>
      </w:r>
      <w:bookmarkStart w:id="178" w:name="lt_pId42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está de acuerdo con las observaciones del Sr. Strelets. La solicitud presentada por Malasia atañe a la primera notificación en virtud del Apéndice</w:t>
      </w:r>
      <w:bookmarkStart w:id="179" w:name="lt_pId423"/>
      <w:bookmarkEnd w:id="178"/>
      <w:r w:rsidRPr="004801D8">
        <w:rPr>
          <w:rFonts w:asciiTheme="majorBidi" w:hAnsiTheme="majorBidi" w:cstheme="majorBidi"/>
          <w:lang w:val="es-ES_tradnl"/>
        </w:rPr>
        <w:t xml:space="preserve"> 30B y concierne a un satélite real. El examen de la notificación en virtud del Apéndice</w:t>
      </w:r>
      <w:bookmarkStart w:id="180" w:name="lt_pId424"/>
      <w:bookmarkEnd w:id="179"/>
      <w:r w:rsidRPr="004801D8">
        <w:rPr>
          <w:rFonts w:asciiTheme="majorBidi" w:hAnsiTheme="majorBidi" w:cstheme="majorBidi"/>
          <w:lang w:val="es-ES_tradnl"/>
        </w:rPr>
        <w:t xml:space="preserve"> 30B produjo resultados confusos en un proceso lejos de estar claro para muchas administraciones. Todo el asunto podría haber arrojado resultados más positivos si la Administración de Malasia hubiese recibido más ayuda en las primeras fases del proceso. Pide que la Oficina aclare los siguientes puntos. En primer lugar, si la notificación de</w:t>
      </w:r>
      <w:bookmarkStart w:id="181" w:name="lt_pId427"/>
      <w:bookmarkEnd w:id="180"/>
      <w:r w:rsidRPr="004801D8">
        <w:rPr>
          <w:rFonts w:asciiTheme="majorBidi" w:hAnsiTheme="majorBidi" w:cstheme="majorBidi"/>
          <w:lang w:val="es-ES_tradnl"/>
        </w:rPr>
        <w:t xml:space="preserve"> MEASAT-91.5E-30B se hubiese inscrito en la Lista de manera definitiva, en lugar de provisional, de haber recibido una conclusión favorable en virtud del § 6.22. En segundo lugar, si la entrada en la Lista de la red MEASAT-91.5E-30B hubiese sido definitiva en lugar de provisional si el territorio de Malasia se hubiese excluido del de las redes de esas otras administraciones. En tercer lugar, desea saber si la aplicación de una precisión de cálculo de</w:t>
      </w:r>
      <w:bookmarkStart w:id="182" w:name="lt_pId429"/>
      <w:bookmarkEnd w:id="181"/>
      <w:r w:rsidRPr="004801D8">
        <w:rPr>
          <w:rFonts w:asciiTheme="majorBidi" w:hAnsiTheme="majorBidi" w:cstheme="majorBidi"/>
          <w:lang w:val="es-ES_tradnl"/>
        </w:rPr>
        <w:t xml:space="preserve"> 0,05 dB, como se indica en la nota 16 al § 2.1 del Anexo 4 al Apéndice 30B, permite llegar a una conclusión favorable para la red MEASAT-91.5E-30B en virtud del § 6.22 del Artículo 6 del Apéndice 30B. Todavía hay muchas administraciones que no están familiarizadas con el procedimiento de examen del Apéndice</w:t>
      </w:r>
      <w:bookmarkStart w:id="183" w:name="lt_pId430"/>
      <w:bookmarkEnd w:id="182"/>
      <w:r w:rsidRPr="004801D8">
        <w:rPr>
          <w:rFonts w:asciiTheme="majorBidi" w:hAnsiTheme="majorBidi" w:cstheme="majorBidi"/>
          <w:lang w:val="es-ES_tradnl"/>
        </w:rPr>
        <w:t> 30B, revisado por la CMR-07, como parece ser el caso de Malasia. Se ha de dar a Malasia la oportunidad de reducir la potencia de la red en cuestión y de excluir su territorio de las zonas de servicio de otras redes a fin de obtener una conclusión favorable en virtud del</w:t>
      </w:r>
      <w:bookmarkStart w:id="184" w:name="lt_pId431"/>
      <w:bookmarkEnd w:id="183"/>
      <w:r w:rsidRPr="004801D8">
        <w:rPr>
          <w:rFonts w:asciiTheme="majorBidi" w:hAnsiTheme="majorBidi" w:cstheme="majorBidi"/>
          <w:lang w:val="es-ES_tradnl"/>
        </w:rPr>
        <w:t xml:space="preserve"> § 6.22.</w:t>
      </w:r>
      <w:bookmarkEnd w:id="18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6.7</w:t>
      </w:r>
      <w:r w:rsidRPr="004801D8">
        <w:rPr>
          <w:rFonts w:asciiTheme="majorBidi" w:hAnsiTheme="majorBidi" w:cstheme="majorBidi"/>
          <w:lang w:val="es-ES_tradnl"/>
        </w:rPr>
        <w:tab/>
      </w:r>
      <w:bookmarkStart w:id="185" w:name="lt_pId43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la Junta debe esforzarse por encontrar una solución para la Administración de Malasia. Es la primera vez Malasia modifica el Plan en virtud del Apéndice 30B y ha encontrado problemas comprensibles al utilizar el software facilitado por la Oficina para ese fin. La Junta no puede conceder una derogación, pues la Oficina ha aplicado el método correctamente, con una precisión de seis decimales, pues tal derogación podría menoscabar decisiones similares </w:t>
      </w:r>
      <w:r w:rsidRPr="004801D8">
        <w:rPr>
          <w:rFonts w:asciiTheme="majorBidi" w:hAnsiTheme="majorBidi" w:cstheme="majorBidi"/>
          <w:lang w:val="es-ES_tradnl"/>
        </w:rPr>
        <w:lastRenderedPageBreak/>
        <w:t>tomadas en el pasado. Dado el relativamente insignificante aumento de interferencia potencial de que se trata, no obstante, deberían celebrarse negociaciones con las administraciones adicionales identificadas como posiblemente afectadas a fin de lograr su acuerdo para el funcionamiento de la red</w:t>
      </w:r>
      <w:bookmarkStart w:id="186" w:name="lt_pId435"/>
      <w:bookmarkEnd w:id="185"/>
      <w:r w:rsidRPr="004801D8">
        <w:rPr>
          <w:rFonts w:asciiTheme="majorBidi" w:hAnsiTheme="majorBidi" w:cstheme="majorBidi"/>
          <w:lang w:val="es-ES_tradnl"/>
        </w:rPr>
        <w:t>.</w:t>
      </w:r>
      <w:bookmarkEnd w:id="18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6.8</w:t>
      </w:r>
      <w:r w:rsidRPr="004801D8">
        <w:rPr>
          <w:rFonts w:asciiTheme="majorBidi" w:hAnsiTheme="majorBidi" w:cstheme="majorBidi"/>
          <w:lang w:val="es-ES_tradnl"/>
        </w:rPr>
        <w:tab/>
      </w:r>
      <w:bookmarkStart w:id="187" w:name="lt_pId43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considera evidente que el software empleado por la Oficina y las administraciones para las notificaciones y exámenes debe ser el mismo. Además, todas las partes han de entender la misma manera los márgenes de error aplicables y la precisión de los cálculos. Parece necesario que la Comisión de Estudio del UIT-R pertinente aclare estos puntos. No obstante, los estudios necesarios llevarán un tiempo durante el cual es posible que otras administraciones se encuentren con problemas semejantes. La mejor manera de proceder podría ser solicitar a la Oficina que elabore una Regla de Procedimiento que refleje la precisión y los márgenes de error válidos en la aplicación del Artículo</w:t>
      </w:r>
      <w:bookmarkStart w:id="188" w:name="lt_pId440"/>
      <w:bookmarkEnd w:id="187"/>
      <w:r w:rsidRPr="004801D8">
        <w:rPr>
          <w:rFonts w:asciiTheme="majorBidi" w:hAnsiTheme="majorBidi" w:cstheme="majorBidi"/>
          <w:lang w:val="es-ES_tradnl"/>
        </w:rPr>
        <w:t xml:space="preserve"> 6 del Apéndice 30B en espera de los resultados de los estudios de la Comisión de Estudio del UIT-R. Cuando se disponga de ese resultado se podrá modificar convenientemente la Regla de Procedimiento. En cuanto al caso que ocupa a la Junta, Malasia no debería pagar las consecuencias de que se utilicen programas diferentes en la aplicación del Artículo 6 del Apéndice 30B. Por consiguiente, la Junta debería acceder a la solicitud y encargar a la Oficina que modifique su conclusión en virtud del</w:t>
      </w:r>
      <w:bookmarkStart w:id="189" w:name="lt_pId442"/>
      <w:bookmarkEnd w:id="188"/>
      <w:r w:rsidRPr="004801D8">
        <w:rPr>
          <w:rFonts w:asciiTheme="majorBidi" w:hAnsiTheme="majorBidi" w:cstheme="majorBidi"/>
          <w:lang w:val="es-ES_tradnl"/>
        </w:rPr>
        <w:t xml:space="preserve"> § 6.22 en consecuencia.</w:t>
      </w:r>
      <w:bookmarkEnd w:id="18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6.9</w:t>
      </w:r>
      <w:r w:rsidRPr="004801D8">
        <w:rPr>
          <w:rFonts w:asciiTheme="majorBidi" w:hAnsiTheme="majorBidi" w:cstheme="majorBidi"/>
          <w:lang w:val="es-ES_tradnl"/>
        </w:rPr>
        <w:tab/>
      </w:r>
      <w:bookmarkStart w:id="190" w:name="lt_pId444"/>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se muestra en contra de relajar la aplicación de las disposiciones del Reglamento de Radiocomunicaciones porque se han utilizado dos programas distintos. Sabiendo que pueden surgir casos similares en el futuro, se muestra proclive a la opción del Sr. Ito de dejar que Malasia reduzca la potencia de la red y así pueda realizar la coordinación necesaria con las pocas redes identificadas como afectadas</w:t>
      </w:r>
      <w:bookmarkStart w:id="191" w:name="lt_pId445"/>
      <w:bookmarkEnd w:id="190"/>
      <w:r w:rsidRPr="004801D8">
        <w:rPr>
          <w:rFonts w:asciiTheme="majorBidi" w:hAnsiTheme="majorBidi" w:cstheme="majorBidi"/>
          <w:lang w:val="es-ES_tradnl"/>
        </w:rPr>
        <w:t>.</w:t>
      </w:r>
      <w:bookmarkEnd w:id="19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6.10</w:t>
      </w:r>
      <w:r w:rsidRPr="004801D8">
        <w:rPr>
          <w:rFonts w:asciiTheme="majorBidi" w:hAnsiTheme="majorBidi" w:cstheme="majorBidi"/>
          <w:lang w:val="es-ES_tradnl"/>
        </w:rPr>
        <w:tab/>
      </w:r>
      <w:bookmarkStart w:id="192" w:name="lt_pId44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señala que la Administración de Malasia había mantenido correspondencia con las Administraciones de Países Bajos, China, Suecia y la Federación de Rusia, como se reproduce en el Documento RRB16</w:t>
      </w:r>
      <w:r w:rsidRPr="004801D8">
        <w:rPr>
          <w:rFonts w:asciiTheme="majorBidi" w:eastAsia="Normal" w:hAnsiTheme="majorBidi" w:cstheme="majorBidi"/>
          <w:lang w:val="es-ES_tradnl"/>
        </w:rPr>
        <w:t>-</w:t>
      </w:r>
      <w:r w:rsidRPr="004801D8">
        <w:rPr>
          <w:rFonts w:asciiTheme="majorBidi" w:hAnsiTheme="majorBidi" w:cstheme="majorBidi"/>
          <w:lang w:val="es-ES_tradnl"/>
        </w:rPr>
        <w:t>2/7, solicitando la exclusión del territorio de Malasia de las zonas de servicio de sus redes. Si Malasia ejerce sus derechos en este sentido, pregunta por qué la Oficina está teniendo en cuenta la interferencia potencialmente causada a esas redes</w:t>
      </w:r>
      <w:bookmarkEnd w:id="192"/>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6.11</w:t>
      </w:r>
      <w:r w:rsidRPr="004801D8">
        <w:rPr>
          <w:rFonts w:asciiTheme="majorBidi" w:hAnsiTheme="majorBidi" w:cstheme="majorBidi"/>
          <w:lang w:val="es-ES_tradnl"/>
        </w:rPr>
        <w:tab/>
      </w:r>
      <w:bookmarkStart w:id="193" w:name="lt_pId450"/>
      <w:r w:rsidRPr="004801D8">
        <w:rPr>
          <w:rFonts w:asciiTheme="majorBidi" w:hAnsiTheme="majorBidi" w:cstheme="majorBidi"/>
          <w:lang w:val="es-ES_tradnl"/>
        </w:rPr>
        <w:t xml:space="preserve">En respuesta a las diversas observaciones y cuestiones planteadas, 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recuerda, en primer lugar, que el asunto de las solicitudes de exclusión de las zonas de servicio de las redes se debatió ampliamente en la CMR-12 y el resultado fue la Regla de Procedimiento relativa al § 6.16 del Apéndice 30B, de acuerdo con el cual una administración debe solicitar explícitamente a la Oficina que tenga en cuenta su objeción a la inclusión de su territorio en la zona de servicio de otras administraciones para que es exclusión se tenga en cuenta en el examen que haga la Oficina de su propia red en virtud del § 6.17.</w:t>
      </w:r>
      <w:bookmarkEnd w:id="193"/>
      <w:r w:rsidRPr="004801D8">
        <w:rPr>
          <w:rFonts w:asciiTheme="majorBidi" w:hAnsiTheme="majorBidi" w:cstheme="majorBidi"/>
          <w:lang w:val="es-ES_tradnl"/>
        </w:rPr>
        <w:t xml:space="preserve"> </w:t>
      </w:r>
      <w:bookmarkStart w:id="194" w:name="lt_pId451"/>
      <w:r w:rsidRPr="004801D8">
        <w:rPr>
          <w:rFonts w:asciiTheme="majorBidi" w:hAnsiTheme="majorBidi" w:cstheme="majorBidi"/>
          <w:lang w:val="es-ES_tradnl"/>
        </w:rPr>
        <w:t>No obstante, se ha de distinguir entre la presentación de observaciones en virtud del § 6.6 del Apéndice 30B por un lado y, por la otra, la tramitación de la Parte B de una red. Si en la fase de la Parte B no se recibe una solicitud de exclusión, la Oficina debe concluir que tal solicitud no existe. En segundo lugar, en lo que respecta al software, la Oficina y las administraciones utilizan el mismo software con la misma precisión e idénticos resultados. El problema que tiene ante sí la Junta es que la Administración de Malasia creyó que el mismo paquete informático podía utilizarse para realizar todos los exámenes en virtud del Artículo 6 del Apéndice 30B, y no es así</w:t>
      </w:r>
      <w:bookmarkStart w:id="195" w:name="lt_pId454"/>
      <w:bookmarkEnd w:id="194"/>
      <w:r w:rsidRPr="004801D8">
        <w:rPr>
          <w:rFonts w:asciiTheme="majorBidi" w:hAnsiTheme="majorBidi" w:cstheme="majorBidi"/>
          <w:lang w:val="es-ES_tradnl"/>
        </w:rPr>
        <w:t>.</w:t>
      </w:r>
      <w:bookmarkEnd w:id="195"/>
      <w:r w:rsidRPr="004801D8">
        <w:rPr>
          <w:rFonts w:asciiTheme="majorBidi" w:hAnsiTheme="majorBidi" w:cstheme="majorBidi"/>
          <w:lang w:val="es-ES_tradnl"/>
        </w:rPr>
        <w:t xml:space="preserve"> </w:t>
      </w:r>
      <w:bookmarkStart w:id="196" w:name="lt_pId455"/>
      <w:r w:rsidRPr="004801D8">
        <w:rPr>
          <w:rFonts w:asciiTheme="majorBidi" w:hAnsiTheme="majorBidi" w:cstheme="majorBidi"/>
          <w:lang w:val="es-ES_tradnl"/>
        </w:rPr>
        <w:t>Las herramientas de información del Apéndice 30B se aplican al examen conforme al Anexo 4 al Apéndice 30B, pero no a todo el análisis de la Parte B. No hay nada nuevo en el método del examen de la Parte B que, como bien saben las administraciones, también se aplica a los Apéndices</w:t>
      </w:r>
      <w:bookmarkStart w:id="197" w:name="lt_pId456"/>
      <w:bookmarkEnd w:id="196"/>
      <w:r w:rsidRPr="004801D8">
        <w:rPr>
          <w:rFonts w:asciiTheme="majorBidi" w:hAnsiTheme="majorBidi" w:cstheme="majorBidi"/>
          <w:lang w:val="es-ES_tradnl"/>
        </w:rPr>
        <w:t xml:space="preserve"> 30 y 30A en la fase de la Parte B. En tercer lugar, cabe hacer una aclaración en cuanto al cálculo de los valores de degradación. Un valor de degradación puede ser del orden de, por ejemplo</w:t>
      </w:r>
      <w:bookmarkStart w:id="198" w:name="lt_pId458"/>
      <w:bookmarkEnd w:id="197"/>
      <w:r w:rsidRPr="004801D8">
        <w:rPr>
          <w:rFonts w:asciiTheme="majorBidi" w:hAnsiTheme="majorBidi" w:cstheme="majorBidi"/>
          <w:lang w:val="es-ES_tradnl"/>
        </w:rPr>
        <w:t xml:space="preserve">, 100 dB cuando se mide en función de criterios de interferencia posible causada por una red a otra. En el caso que ocupa a la Junta, no obstante, la conclusión desfavorable se debe a un aumento de la interferencia en la fase de la Parte B con respecto a la interferencia identificada en la fase de la Parte A y la diferencia puede ser tan pequeña que sólo pueda identificarse con precisión llegando al séptimo o el octavo decimal. En cuarto lugar, en lo tocante al trámite de una notificación </w:t>
      </w:r>
      <w:r w:rsidRPr="004801D8">
        <w:rPr>
          <w:rFonts w:asciiTheme="majorBidi" w:hAnsiTheme="majorBidi" w:cstheme="majorBidi"/>
          <w:lang w:val="es-ES_tradnl"/>
        </w:rPr>
        <w:lastRenderedPageBreak/>
        <w:t>por parte de la Oficina</w:t>
      </w:r>
      <w:bookmarkStart w:id="199" w:name="lt_pId460"/>
      <w:bookmarkEnd w:id="198"/>
      <w:r w:rsidRPr="004801D8">
        <w:rPr>
          <w:rFonts w:asciiTheme="majorBidi" w:hAnsiTheme="majorBidi" w:cstheme="majorBidi"/>
          <w:lang w:val="es-ES_tradnl"/>
        </w:rPr>
        <w:t>, si faltan datos obligatorios, faltan aclaraciones o están incompletas, las administraciones pueden modificar sus notificaciones. Sin embargo, una vez que la Oficina ha verificado que se han presentado todos los datos obligatorios, la notificación recibe una fecha oficial de recepción y a partir de ese momento no se puede modificar aunque, por ejemplo, como es el caso de Malasia, contenga una muy pequeña diferencia en lo que respecta a la interferencia. En caso de posible conclusión desfavorable, la administración tiene la opción de solicitar la aplicación del</w:t>
      </w:r>
      <w:bookmarkStart w:id="200" w:name="lt_pId462"/>
      <w:bookmarkEnd w:id="199"/>
      <w:r w:rsidRPr="004801D8">
        <w:rPr>
          <w:rFonts w:asciiTheme="majorBidi" w:hAnsiTheme="majorBidi" w:cstheme="majorBidi"/>
          <w:lang w:val="es-ES_tradnl"/>
        </w:rPr>
        <w:t xml:space="preserve"> § 6.25, como ha hecho Malasia, o de solicitar la devolución de la notificación. Por último, en lo que respecta a la aplicación del</w:t>
      </w:r>
      <w:bookmarkStart w:id="201" w:name="lt_pId463"/>
      <w:bookmarkEnd w:id="200"/>
      <w:r w:rsidRPr="004801D8">
        <w:rPr>
          <w:rFonts w:asciiTheme="majorBidi" w:hAnsiTheme="majorBidi" w:cstheme="majorBidi"/>
          <w:lang w:val="es-ES_tradnl"/>
        </w:rPr>
        <w:t xml:space="preserve"> § 6.16, el hecho de que el territorio de Malasia se haya excluido de la zona de servicio de otras redes reduce la posible interferencia causada por la red de Malasia, pero no modifica en absoluto la conclusión desfavorable. Al formular su conclusión la Oficina no tuvo en cuenta las observaciones de las administraciones en la fase de la Parte A, incluidas las objeciones a la inclusión en zonas de servicio. La Oficina tuvo en cuenta lo que se le comunicó para la fase de la Parte B, incluidas las solicitudes de exclusión y los acuerdos alcanzados con las administraciones identificadas como afectadas. Malasia no presentó las solicitudes o informaciones necesarias para la fase de la Parte B</w:t>
      </w:r>
      <w:bookmarkStart w:id="202" w:name="lt_pId465"/>
      <w:bookmarkEnd w:id="201"/>
      <w:r w:rsidRPr="004801D8">
        <w:rPr>
          <w:rFonts w:asciiTheme="majorBidi" w:hAnsiTheme="majorBidi" w:cstheme="majorBidi"/>
          <w:lang w:val="es-ES_tradnl"/>
        </w:rPr>
        <w:t>.</w:t>
      </w:r>
      <w:bookmarkEnd w:id="20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6.12</w:t>
      </w:r>
      <w:r w:rsidRPr="004801D8">
        <w:rPr>
          <w:rFonts w:asciiTheme="majorBidi" w:hAnsiTheme="majorBidi" w:cstheme="majorBidi"/>
          <w:lang w:val="es-ES_tradnl"/>
        </w:rPr>
        <w:tab/>
      </w:r>
      <w:bookmarkStart w:id="203" w:name="lt_pId46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pide aclaraciones en relación con la propuesta del Sr. Ito de que se invite a Malasia a reducir la potencia de su red. En su opinión, eso no será posible sin presentar una nueva solicitud de modificación con una nueva fecha de recepción. Considera que lo mejor será buscar el acuerdo de las otras administraciones afectadas en relación con la reducción de potencia y, en espera de que se celebren esas negociaciones, la Junta podría posponer su decisión sobre el asunto a la 73ª reunión. En cualquier caso, está claro que la aplicación de la Regla de Procedimiento relativa al </w:t>
      </w:r>
      <w:bookmarkStart w:id="204" w:name="lt_pId470"/>
      <w:bookmarkEnd w:id="203"/>
      <w:r w:rsidRPr="004801D8">
        <w:rPr>
          <w:rFonts w:asciiTheme="majorBidi" w:hAnsiTheme="majorBidi" w:cstheme="majorBidi"/>
          <w:lang w:val="es-ES_tradnl"/>
        </w:rPr>
        <w:t>§ 6.16 y sus diversas ramificaciones, incluida la solicitud de Malasia de quedar excluida de las zonas de servicio de diversas redes de otras administraciones, en nada altera que el examen de la Oficina en virtud del § 6.22 desencadenó la necesidad de establecer la coordinación con diversas administraciones cuyo acuerdo se ha de buscar.</w:t>
      </w:r>
      <w:bookmarkEnd w:id="20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6.13</w:t>
      </w:r>
      <w:r w:rsidRPr="004801D8">
        <w:rPr>
          <w:rFonts w:asciiTheme="majorBidi" w:hAnsiTheme="majorBidi" w:cstheme="majorBidi"/>
          <w:lang w:val="es-ES_tradnl"/>
        </w:rPr>
        <w:tab/>
      </w:r>
      <w:bookmarkStart w:id="205" w:name="lt_pId47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es una situación algo absurdo, pues varias administraciones quieren incluir a Malasia en las zonas de servicio de sus redes, mientras que Malasia desea quedar excluida de esas zonas de servicio, pero se ve, no obstante, obligada a coordinarse con esas administraciones. A pesar de la Regla de Procedimiento relativa al</w:t>
      </w:r>
      <w:bookmarkStart w:id="206" w:name="lt_pId473"/>
      <w:bookmarkEnd w:id="205"/>
      <w:r w:rsidRPr="004801D8">
        <w:rPr>
          <w:rFonts w:asciiTheme="majorBidi" w:hAnsiTheme="majorBidi" w:cstheme="majorBidi"/>
          <w:lang w:val="es-ES_tradnl"/>
        </w:rPr>
        <w:t xml:space="preserve"> § 6.16, la situación en que se encuentra Malasia es idéntica a la que prevaleció en la CMR-12, a saber, que un satélite en órbita y operativo llega a la fase de inscripción y se ve obligado a reducir la potencia en su propio territorio para ajustarse a los requisitos de interferencia en relación con otras redes, a pesar de haber dicho que esas redes no pueden operar en su territorio. Sería mucho más lógico que las otras redes concernidas tuviesen que coordinarse con Malasia, si desean operar en su territorio</w:t>
      </w:r>
      <w:bookmarkStart w:id="207" w:name="lt_pId474"/>
      <w:bookmarkEnd w:id="206"/>
      <w:r w:rsidRPr="004801D8">
        <w:rPr>
          <w:rFonts w:asciiTheme="majorBidi" w:hAnsiTheme="majorBidi" w:cstheme="majorBidi"/>
          <w:lang w:val="es-ES_tradnl"/>
        </w:rPr>
        <w:t>.</w:t>
      </w:r>
      <w:bookmarkEnd w:id="20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6.14</w:t>
      </w:r>
      <w:r w:rsidRPr="004801D8">
        <w:rPr>
          <w:rFonts w:asciiTheme="majorBidi" w:hAnsiTheme="majorBidi" w:cstheme="majorBidi"/>
          <w:lang w:val="es-ES_tradnl"/>
        </w:rPr>
        <w:tab/>
      </w:r>
      <w:bookmarkStart w:id="208" w:name="lt_pId47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a medida que avanza el debate, mayor es su convicción de que ha habido un malentendido entre la Administración de Malasia y la Oficina; y que la Oficina debería encontrarse con la Administración de Malasia a fin de encontrar la mejor solución posible.</w:t>
      </w:r>
      <w:bookmarkEnd w:id="20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6.15</w:t>
      </w:r>
      <w:r w:rsidRPr="004801D8">
        <w:rPr>
          <w:rFonts w:asciiTheme="majorBidi" w:hAnsiTheme="majorBidi" w:cstheme="majorBidi"/>
          <w:lang w:val="es-ES_tradnl"/>
        </w:rPr>
        <w:tab/>
      </w:r>
      <w:bookmarkStart w:id="209" w:name="lt_pId47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comenta que la red de Malasia se ha inscrito provisionalmente y puede operar con las características notificadas a condición de que otras administraciones puedan solicitar protección si la red de Malasia causa interferencia a sus redes. A pesar de que antes ha dicho que no se pueden modificar ahora los datos de la notificación de Malasia, la Junta puede considerar que conviene tratar la red</w:t>
      </w:r>
      <w:bookmarkStart w:id="210" w:name="lt_pId479"/>
      <w:bookmarkEnd w:id="209"/>
      <w:r w:rsidRPr="004801D8">
        <w:rPr>
          <w:rFonts w:asciiTheme="majorBidi" w:hAnsiTheme="majorBidi" w:cstheme="majorBidi"/>
          <w:lang w:val="es-ES_tradnl"/>
        </w:rPr>
        <w:t xml:space="preserve"> MEASAT-91.5E-30B como un caso excepcional y encargar a la Oficina que acepte una modificación menor de la potencia de la red, dejando, no obstante, claro que ninguna otra red se puede revisar.</w:t>
      </w:r>
      <w:bookmarkEnd w:id="21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6.16</w:t>
      </w:r>
      <w:r w:rsidRPr="004801D8">
        <w:rPr>
          <w:rFonts w:asciiTheme="majorBidi" w:hAnsiTheme="majorBidi" w:cstheme="majorBidi"/>
          <w:lang w:val="es-ES_tradnl"/>
        </w:rPr>
        <w:tab/>
      </w:r>
      <w:bookmarkStart w:id="211" w:name="lt_pId48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dice que la Junta parece estar olvidando el principal argumento de la solicitud de Malasia, a saber, que los resultados de los cálculos realizados no muestran ningún rebasamiento de los umbrales aplicables a tres decimales y que la Administración de Malasia no debe verse penalizada por haber utilizado el programa recomendado por la Oficina. Los expertos en coordinación de su país le han informado de que también utilizan el software recomendado por la Oficina con una </w:t>
      </w:r>
      <w:r w:rsidRPr="004801D8">
        <w:rPr>
          <w:rFonts w:asciiTheme="majorBidi" w:hAnsiTheme="majorBidi" w:cstheme="majorBidi"/>
          <w:lang w:val="es-ES_tradnl"/>
        </w:rPr>
        <w:lastRenderedPageBreak/>
        <w:t>precisión de tres decimales. Considera que la Junta debería acceder a la petición de Malasia reconociendo que su notificación es conforme con el</w:t>
      </w:r>
      <w:bookmarkStart w:id="212" w:name="lt_pId483"/>
      <w:bookmarkEnd w:id="211"/>
      <w:r w:rsidRPr="004801D8">
        <w:rPr>
          <w:rFonts w:asciiTheme="majorBidi" w:hAnsiTheme="majorBidi" w:cstheme="majorBidi"/>
          <w:lang w:val="es-ES_tradnl"/>
        </w:rPr>
        <w:t xml:space="preserve"> § 6.22 y que la Oficina debería aceptarla a su vez.</w:t>
      </w:r>
      <w:bookmarkEnd w:id="21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6.17</w:t>
      </w:r>
      <w:r w:rsidRPr="004801D8">
        <w:rPr>
          <w:rFonts w:asciiTheme="majorBidi" w:hAnsiTheme="majorBidi" w:cstheme="majorBidi"/>
          <w:lang w:val="es-ES_tradnl"/>
        </w:rPr>
        <w:tab/>
      </w:r>
      <w:bookmarkStart w:id="213" w:name="lt_pId48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dice que prefiere la solución que consiste en ayudar a la Administración de Malasia, solicitándole que reduzca la potencia de su red y encargando a la Oficina que acepte la reducción de la potencia.</w:t>
      </w:r>
      <w:bookmarkEnd w:id="21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6.18</w:t>
      </w:r>
      <w:r w:rsidRPr="004801D8">
        <w:rPr>
          <w:rFonts w:asciiTheme="majorBidi" w:hAnsiTheme="majorBidi" w:cstheme="majorBidi"/>
          <w:lang w:val="es-ES_tradnl"/>
        </w:rPr>
        <w:tab/>
      </w:r>
      <w:bookmarkStart w:id="214" w:name="lt_pId48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considera que sería raro que pudiese pensarse que la Junta toma decisiones en nombre de las administraciones. Las administraciones tienen el derecho soberano de decidir por sí mismas si deben o no reducir la potencia de sus redes. Si la Junta no puede acceder a la solicitud de Malasia, debería, al tiempo que reconoce que la notificación de</w:t>
      </w:r>
      <w:bookmarkStart w:id="215" w:name="lt_pId489"/>
      <w:bookmarkEnd w:id="214"/>
      <w:r w:rsidRPr="004801D8">
        <w:rPr>
          <w:rFonts w:asciiTheme="majorBidi" w:hAnsiTheme="majorBidi" w:cstheme="majorBidi"/>
          <w:lang w:val="es-ES_tradnl"/>
        </w:rPr>
        <w:t xml:space="preserve"> MEASAT-91.5E-30B era la primera de Malasia en virtud del Apéndice 30B, solicitar a la Oficina que procure encontrarse con la Administración malaya para identificar la mejor solución posible. Sin embargo, tal conclusión no resolverá el problema identificado por el Sr.</w:t>
      </w:r>
      <w:bookmarkStart w:id="216" w:name="lt_pId490"/>
      <w:bookmarkEnd w:id="215"/>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Khairov</w:t>
      </w:r>
      <w:proofErr w:type="spellEnd"/>
      <w:r w:rsidRPr="004801D8">
        <w:rPr>
          <w:rFonts w:asciiTheme="majorBidi" w:hAnsiTheme="majorBidi" w:cstheme="majorBidi"/>
          <w:lang w:val="es-ES_tradnl"/>
        </w:rPr>
        <w:t>. No es normal que, en virtud del Reglamento de Radiocomunicaciones, la C/I se calcule al tercer decimal con un margen de error del 5 por ciento, mientras que los cálculos para verificar si se rebasan otros valores se ajustan al sexto decimal. Si las administraciones utilizan un programa con una precisión de tres decimales, está claro que la Oficina debería hacer lo mismo. Por tanto, coincide con lo dicho por el Sr.</w:t>
      </w:r>
      <w:bookmarkStart w:id="217" w:name="lt_pId492"/>
      <w:bookmarkEnd w:id="216"/>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Khairov</w:t>
      </w:r>
      <w:proofErr w:type="spellEnd"/>
      <w:r w:rsidRPr="004801D8">
        <w:rPr>
          <w:rFonts w:asciiTheme="majorBidi" w:hAnsiTheme="majorBidi" w:cstheme="majorBidi"/>
          <w:lang w:val="es-ES_tradnl"/>
        </w:rPr>
        <w:t>. La Junta debería indicar claramente que los cálculos deben tener una precisión de tres decimales, en gran parte por los motivos indicados por la Administración de Malasia en el § 4 de su carta de 25 de abril de 2016, y que el software facilitado o recomendado por la Oficina debe tener una precisión de tres decimales.</w:t>
      </w:r>
      <w:bookmarkEnd w:id="21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6.19</w:t>
      </w:r>
      <w:r w:rsidRPr="004801D8">
        <w:rPr>
          <w:rFonts w:asciiTheme="majorBidi" w:hAnsiTheme="majorBidi" w:cstheme="majorBidi"/>
          <w:lang w:val="es-ES_tradnl"/>
        </w:rPr>
        <w:tab/>
      </w:r>
      <w:bookmarkStart w:id="218" w:name="lt_pId49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dice poder estar a favor de la propuesta de solicitar a la Oficina que se reúna con la Administración de Malasia para tratar el tema de la red MEASAT-91.5E-30B y rendir cuentas del resultado a la 73ª reunión de la Junta.</w:t>
      </w:r>
      <w:bookmarkEnd w:id="21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6.20</w:t>
      </w:r>
      <w:r w:rsidRPr="004801D8">
        <w:rPr>
          <w:rFonts w:asciiTheme="majorBidi" w:hAnsiTheme="majorBidi" w:cstheme="majorBidi"/>
          <w:lang w:val="es-ES_tradnl"/>
        </w:rPr>
        <w:tab/>
      </w:r>
      <w:bookmarkStart w:id="219" w:name="lt_pId49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con el apoyo del </w:t>
      </w:r>
      <w:r w:rsidRPr="004801D8">
        <w:rPr>
          <w:rFonts w:asciiTheme="majorBidi" w:hAnsiTheme="majorBidi" w:cstheme="majorBidi"/>
          <w:b/>
          <w:bCs/>
          <w:lang w:val="es-ES_tradnl"/>
        </w:rPr>
        <w:t>Sr. Magenta</w:t>
      </w:r>
      <w:r w:rsidRPr="004801D8">
        <w:rPr>
          <w:rFonts w:asciiTheme="majorBidi" w:hAnsiTheme="majorBidi" w:cstheme="majorBidi"/>
          <w:lang w:val="es-ES_tradnl"/>
        </w:rPr>
        <w:t>, se muestra favorable a esa propuesta, pero no con miras a volver a tratar el asunto en la 73ª reunión de la Junta.</w:t>
      </w:r>
      <w:bookmarkEnd w:id="21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6.21</w:t>
      </w:r>
      <w:r w:rsidRPr="004801D8">
        <w:rPr>
          <w:rFonts w:asciiTheme="majorBidi" w:hAnsiTheme="majorBidi" w:cstheme="majorBidi"/>
          <w:lang w:val="es-ES_tradnl"/>
        </w:rPr>
        <w:tab/>
      </w:r>
      <w:bookmarkStart w:id="220" w:name="lt_pId498"/>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señala que parece que la Junta está de acuerdo en solicitar a la Oficina que siga prestando su asistencia a la Administración de Malasia en relación con su red de satélites MEASAT</w:t>
      </w:r>
      <w:r w:rsidRPr="004801D8">
        <w:rPr>
          <w:rFonts w:asciiTheme="majorBidi" w:eastAsia="Normal" w:hAnsiTheme="majorBidi" w:cstheme="majorBidi"/>
          <w:lang w:val="es-ES_tradnl"/>
        </w:rPr>
        <w:t>-</w:t>
      </w:r>
      <w:r w:rsidRPr="004801D8">
        <w:rPr>
          <w:rFonts w:asciiTheme="majorBidi" w:hAnsiTheme="majorBidi" w:cstheme="majorBidi"/>
          <w:lang w:val="es-ES_tradnl"/>
        </w:rPr>
        <w:t>91.5E-30B a fin de encontrar una solución. En cuanto a la precisión de los cálculos, se han sugerido varias opciones, incluida la posibilidad de elaborar una Regla de Procedimiento o remitir este asunto a una Comisión de Estudio del UIT-R, y algunos miembros de la Junta han expresado su opinión sobre la precisión que se ha de aplicar</w:t>
      </w:r>
      <w:bookmarkStart w:id="221" w:name="lt_pId499"/>
      <w:bookmarkEnd w:id="220"/>
      <w:r w:rsidRPr="004801D8">
        <w:rPr>
          <w:rFonts w:asciiTheme="majorBidi" w:hAnsiTheme="majorBidi" w:cstheme="majorBidi"/>
          <w:lang w:val="es-ES_tradnl"/>
        </w:rPr>
        <w:t>.</w:t>
      </w:r>
      <w:bookmarkEnd w:id="22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6.22</w:t>
      </w:r>
      <w:r w:rsidRPr="004801D8">
        <w:rPr>
          <w:rFonts w:asciiTheme="majorBidi" w:hAnsiTheme="majorBidi" w:cstheme="majorBidi"/>
          <w:lang w:val="es-ES_tradnl"/>
        </w:rPr>
        <w:tab/>
      </w:r>
      <w:bookmarkStart w:id="222" w:name="lt_pId50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una precisión de seis decimales protegería mejor las entradas el Plan y la Lista y que todas las administraciones deben saber qué precisión se adopta. Se trata de un asunto que ha de decidir la CMR</w:t>
      </w:r>
      <w:bookmarkStart w:id="223" w:name="lt_pId502"/>
      <w:bookmarkEnd w:id="222"/>
      <w:r w:rsidRPr="004801D8">
        <w:rPr>
          <w:rFonts w:asciiTheme="majorBidi" w:hAnsiTheme="majorBidi" w:cstheme="majorBidi"/>
          <w:lang w:val="es-ES_tradnl"/>
        </w:rPr>
        <w:t>.</w:t>
      </w:r>
      <w:bookmarkEnd w:id="22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6.23</w:t>
      </w:r>
      <w:r w:rsidRPr="004801D8">
        <w:rPr>
          <w:rFonts w:asciiTheme="majorBidi" w:hAnsiTheme="majorBidi" w:cstheme="majorBidi"/>
          <w:lang w:val="es-ES_tradnl"/>
        </w:rPr>
        <w:tab/>
      </w:r>
      <w:bookmarkStart w:id="224" w:name="lt_pId50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que se trata de un tema eminentemente técnico que se ha de decidir en una CMR, donde todas las administraciones puedan expresar su opinión.</w:t>
      </w:r>
      <w:bookmarkEnd w:id="22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6.24</w:t>
      </w:r>
      <w:r w:rsidRPr="004801D8">
        <w:rPr>
          <w:rFonts w:asciiTheme="majorBidi" w:hAnsiTheme="majorBidi" w:cstheme="majorBidi"/>
          <w:lang w:val="es-ES_tradnl"/>
        </w:rPr>
        <w:tab/>
      </w:r>
      <w:bookmarkStart w:id="225" w:name="lt_pId50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considera que es un tema que debe estudiar el Grupo de Trabajo 4A.</w:t>
      </w:r>
      <w:bookmarkEnd w:id="22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6.25</w:t>
      </w:r>
      <w:r w:rsidRPr="004801D8">
        <w:rPr>
          <w:rFonts w:asciiTheme="majorBidi" w:hAnsiTheme="majorBidi" w:cstheme="majorBidi"/>
          <w:lang w:val="es-ES_tradnl"/>
        </w:rPr>
        <w:tab/>
      </w:r>
      <w:bookmarkStart w:id="226" w:name="lt_pId50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coincide con el Sr. Strelets, siendo lo más importante que todas las administraciones sepan qué precisión utiliza la Oficina. Todas las partes deben utilizar las mismas herramientas con la misma precisión</w:t>
      </w:r>
      <w:bookmarkStart w:id="227" w:name="lt_pId509"/>
      <w:bookmarkEnd w:id="226"/>
      <w:r w:rsidRPr="004801D8">
        <w:rPr>
          <w:rFonts w:asciiTheme="majorBidi" w:hAnsiTheme="majorBidi" w:cstheme="majorBidi"/>
          <w:lang w:val="es-ES_tradnl"/>
        </w:rPr>
        <w:t>.</w:t>
      </w:r>
      <w:bookmarkEnd w:id="22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6.26</w:t>
      </w:r>
      <w:r w:rsidRPr="004801D8">
        <w:rPr>
          <w:rFonts w:asciiTheme="majorBidi" w:hAnsiTheme="majorBidi" w:cstheme="majorBidi"/>
          <w:lang w:val="es-ES_tradnl"/>
        </w:rPr>
        <w:tab/>
      </w:r>
      <w:bookmarkStart w:id="228" w:name="lt_pId511"/>
      <w:r w:rsidRPr="004801D8">
        <w:rPr>
          <w:rFonts w:asciiTheme="majorBidi" w:hAnsiTheme="majorBidi" w:cstheme="majorBidi"/>
          <w:lang w:val="es-ES_tradnl"/>
        </w:rPr>
        <w:t xml:space="preserve">Interviniendo a petición de la </w:t>
      </w:r>
      <w:r w:rsidRPr="004801D8">
        <w:rPr>
          <w:rFonts w:asciiTheme="majorBidi" w:hAnsiTheme="majorBidi" w:cstheme="majorBidi"/>
          <w:b/>
          <w:bCs/>
          <w:lang w:val="es-ES_tradnl"/>
        </w:rPr>
        <w:t>Presidenta</w:t>
      </w:r>
      <w:r w:rsidRPr="004801D8">
        <w:rPr>
          <w:rFonts w:asciiTheme="majorBidi" w:hAnsiTheme="majorBidi" w:cstheme="majorBidi"/>
          <w:lang w:val="es-ES_tradnl"/>
        </w:rPr>
        <w:t>,</w:t>
      </w:r>
      <w:r w:rsidRPr="004801D8">
        <w:rPr>
          <w:rFonts w:asciiTheme="majorBidi" w:hAnsiTheme="majorBidi" w:cstheme="majorBidi"/>
          <w:b/>
          <w:bCs/>
          <w:lang w:val="es-ES_tradnl"/>
        </w:rPr>
        <w:t xml:space="preserve"> </w:t>
      </w:r>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dice que sin duda la Oficina podría hacer lo necesario para dar a las administraciones más información y orientaciones sobre el software utilizado por la Oficina. En cuanto a la precisión con que se hacen los diversos cálculos, se ha de distinguir entre las diversas comparaciones. Cuando se trata de un umbral, el grado de precisión ya se tiene en cuenta en los criterios y basta con llegar al segundo o tercer decimal. </w:t>
      </w:r>
      <w:r w:rsidRPr="004801D8">
        <w:rPr>
          <w:rFonts w:asciiTheme="majorBidi" w:hAnsiTheme="majorBidi" w:cstheme="majorBidi"/>
          <w:lang w:val="es-ES_tradnl"/>
        </w:rPr>
        <w:lastRenderedPageBreak/>
        <w:t>Cuando se trata de dos valores flotantes, podría ser útil realizar cálculos con una precisión de hasta 24 decimales, pero duda que las administraciones lo aceptasen</w:t>
      </w:r>
      <w:bookmarkStart w:id="229" w:name="lt_pId514"/>
      <w:bookmarkEnd w:id="228"/>
      <w:r w:rsidRPr="004801D8">
        <w:rPr>
          <w:rFonts w:asciiTheme="majorBidi" w:hAnsiTheme="majorBidi" w:cstheme="majorBidi"/>
          <w:lang w:val="es-ES_tradnl"/>
        </w:rPr>
        <w:t>.</w:t>
      </w:r>
      <w:bookmarkEnd w:id="22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6.27</w:t>
      </w:r>
      <w:r w:rsidRPr="004801D8">
        <w:rPr>
          <w:rFonts w:asciiTheme="majorBidi" w:hAnsiTheme="majorBidi" w:cstheme="majorBidi"/>
          <w:lang w:val="es-ES_tradnl"/>
        </w:rPr>
        <w:tab/>
      </w:r>
      <w:bookmarkStart w:id="230" w:name="lt_pId51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dice que no le parece necesaria la intervención de una Comisión de Estudio. Utilizar uno u otro grado de precisión no necesariamente implica una gran diferencia, siempre y cuando se decida claramente qué precisión utilizar y todo el mundo esté informado de esa decisión</w:t>
      </w:r>
      <w:bookmarkStart w:id="231" w:name="lt_pId517"/>
      <w:bookmarkEnd w:id="230"/>
      <w:r w:rsidRPr="004801D8">
        <w:rPr>
          <w:rFonts w:asciiTheme="majorBidi" w:hAnsiTheme="majorBidi" w:cstheme="majorBidi"/>
          <w:lang w:val="es-ES_tradnl"/>
        </w:rPr>
        <w:t>.</w:t>
      </w:r>
      <w:bookmarkEnd w:id="23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6.28</w:t>
      </w:r>
      <w:r w:rsidRPr="004801D8">
        <w:rPr>
          <w:rFonts w:asciiTheme="majorBidi" w:hAnsiTheme="majorBidi" w:cstheme="majorBidi"/>
          <w:lang w:val="es-ES_tradnl"/>
        </w:rPr>
        <w:tab/>
      </w:r>
      <w:bookmarkStart w:id="232" w:name="lt_pId51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pregunta cuándo decidió la Oficina optar por la precisión de seis decimales, en lugar de tres decimales, en sus cálculos para la Parte B.</w:t>
      </w:r>
      <w:bookmarkEnd w:id="23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6.29</w:t>
      </w:r>
      <w:r w:rsidRPr="004801D8">
        <w:rPr>
          <w:rFonts w:asciiTheme="majorBidi" w:hAnsiTheme="majorBidi" w:cstheme="majorBidi"/>
          <w:lang w:val="es-ES_tradnl"/>
        </w:rPr>
        <w:tab/>
      </w:r>
      <w:bookmarkStart w:id="233" w:name="lt_pId52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Wang (Jefe de SSD/SNP)</w:t>
      </w:r>
      <w:r w:rsidRPr="004801D8">
        <w:rPr>
          <w:rFonts w:asciiTheme="majorBidi" w:hAnsiTheme="majorBidi" w:cstheme="majorBidi"/>
          <w:lang w:val="es-ES_tradnl"/>
        </w:rPr>
        <w:t xml:space="preserve"> dice que la Oficina nunca tomó una decisión concreta para llegar a seis decimales a la hora de comparar dos valores calculados (por oposición a la comparación de valores con criterios), ni ha recibido instrucciones al respecto en disposiciones del Reglamento de Radiocomunicaciones o Reglas de Procedimiento. Al comparar dos valores calculados, simplemente verifica si la diferencia entre los dos valores es positiva o negativa, sin considerar el número de decimales que tiene en cuenta. Añade que, al intentar dar a Malasia más asistencia, la Oficina podría analizar precisamente los que Malasia modificó entre la Parte A y la Parte B y verificar si realmente supone una diferencia en términos de interferencia</w:t>
      </w:r>
      <w:bookmarkStart w:id="234" w:name="lt_pId523"/>
      <w:bookmarkEnd w:id="233"/>
      <w:r w:rsidRPr="004801D8">
        <w:rPr>
          <w:rFonts w:asciiTheme="majorBidi" w:hAnsiTheme="majorBidi" w:cstheme="majorBidi"/>
          <w:lang w:val="es-ES_tradnl"/>
        </w:rPr>
        <w:t>.</w:t>
      </w:r>
      <w:bookmarkEnd w:id="23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6.30</w:t>
      </w:r>
      <w:r w:rsidRPr="004801D8">
        <w:rPr>
          <w:rFonts w:asciiTheme="majorBidi" w:hAnsiTheme="majorBidi" w:cstheme="majorBidi"/>
          <w:b/>
          <w:bCs/>
          <w:lang w:val="es-ES_tradnl"/>
        </w:rPr>
        <w:tab/>
      </w:r>
      <w:bookmarkStart w:id="235" w:name="lt_pId52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concluye de las explicaciones facilitadas que no es necesario solicitar una decisión de una Comisión de Estudio del UIT-R sobre lo que es básicamente una política de la BR en cuanto a la magnitud de los valores y pide que la Oficina tome rápidamente una decisión.</w:t>
      </w:r>
      <w:bookmarkEnd w:id="23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6.31</w:t>
      </w:r>
      <w:r w:rsidRPr="004801D8">
        <w:rPr>
          <w:rFonts w:asciiTheme="majorBidi" w:hAnsiTheme="majorBidi" w:cstheme="majorBidi"/>
          <w:lang w:val="es-ES_tradnl"/>
        </w:rPr>
        <w:tab/>
      </w:r>
      <w:bookmarkStart w:id="236" w:name="lt_pId52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tras exponer las ventajas de los diversos grados de precisión posibles, dice que la Junta debería solicitar a la Oficina el estudio de este asunto a fin de armonizar todos los distintos valores y actualizar en consecuencia el software pertinente. En respuesta a una pregunta del</w:t>
      </w:r>
      <w:bookmarkStart w:id="237" w:name="lt_pId528"/>
      <w:bookmarkEnd w:id="236"/>
      <w:r w:rsidRPr="004801D8">
        <w:rPr>
          <w:rFonts w:asciiTheme="majorBidi" w:hAnsiTheme="majorBidi" w:cstheme="majorBidi"/>
          <w:lang w:val="es-ES_tradnl"/>
        </w:rPr>
        <w:t xml:space="preserve">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sobre el alcance de ese estudio, dice que, en su opinión, la Oficina debería centrarse en los elementos indicados en el § 4 de la carta de la Administración de Malasia de 25 de abril de 2016 (Documento RRB16-2/7) y determinar si esas afirmaciones de Malasia son o no válidas.</w:t>
      </w:r>
      <w:bookmarkEnd w:id="23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6.32</w:t>
      </w:r>
      <w:r w:rsidRPr="004801D8">
        <w:rPr>
          <w:rFonts w:asciiTheme="majorBidi" w:hAnsiTheme="majorBidi" w:cstheme="majorBidi"/>
          <w:lang w:val="es-ES_tradnl"/>
        </w:rPr>
        <w:tab/>
      </w:r>
      <w:bookmarkStart w:id="238" w:name="lt_pId530"/>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bookmarkEnd w:id="238"/>
    </w:p>
    <w:p w:rsidR="004801D8" w:rsidRPr="004801D8" w:rsidRDefault="004801D8" w:rsidP="00B51E5A">
      <w:pPr>
        <w:rPr>
          <w:rFonts w:asciiTheme="majorBidi" w:hAnsiTheme="majorBidi" w:cstheme="majorBidi"/>
          <w:highlight w:val="yellow"/>
          <w:lang w:val="es-ES_tradnl"/>
        </w:rPr>
      </w:pPr>
      <w:r w:rsidRPr="004801D8">
        <w:rPr>
          <w:rFonts w:asciiTheme="majorBidi" w:hAnsiTheme="majorBidi" w:cstheme="majorBidi"/>
          <w:lang w:val="es-ES_tradnl"/>
        </w:rPr>
        <w:t>«La Junta examinó en detalle la solicitud de la Administración de Malasia para la revisión de la conclusión relativa a la red de satélites MEASAT-91.5E-30B contenida en el Documento RRB16</w:t>
      </w:r>
      <w:r w:rsidRPr="004801D8">
        <w:rPr>
          <w:rFonts w:asciiTheme="majorBidi" w:hAnsiTheme="majorBidi" w:cstheme="majorBidi"/>
          <w:lang w:val="es-ES_tradnl"/>
        </w:rPr>
        <w:noBreakHyphen/>
        <w:t>2/7. La Oficina actuó correctamente en este caso, pero la Junta constató las dificultades con las que se encontró la Administración de Malasia en la utilización del software para el procesamiento de su red de satélites y pidió a la Oficina que siguiera prestando asistencia a la Administración de Malasia en el caso de la red de satélites MEASAT-91.5E-30B, en un esfuerzo para encontrar una solución a este caso.</w:t>
      </w:r>
    </w:p>
    <w:p w:rsidR="004801D8" w:rsidRPr="004801D8" w:rsidRDefault="004801D8" w:rsidP="00B51E5A">
      <w:pPr>
        <w:rPr>
          <w:rFonts w:asciiTheme="majorBidi" w:hAnsiTheme="majorBidi" w:cstheme="majorBidi"/>
          <w:lang w:val="es-ES_tradnl"/>
        </w:rPr>
      </w:pPr>
      <w:bookmarkStart w:id="239" w:name="lt_pId534"/>
      <w:r w:rsidRPr="004801D8">
        <w:rPr>
          <w:rFonts w:asciiTheme="majorBidi" w:hAnsiTheme="majorBidi" w:cstheme="majorBidi"/>
          <w:lang w:val="es-ES_tradnl"/>
        </w:rPr>
        <w:t xml:space="preserve">Además, la Junta encargó a la Oficina realizar los estudios necesarios para aclarar el problema de la precisión de los cálculos y preparar unas orientaciones adecuadas para las administraciones sobre la utilización del software elaborado por la Oficina para estos fines.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La Junta decidió pedir a la Oficina que informe sobre los resultados de estos temas en la siguiente reunión de la Junta.</w:t>
      </w:r>
      <w:bookmarkEnd w:id="239"/>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6.33</w:t>
      </w:r>
      <w:r w:rsidRPr="004801D8">
        <w:rPr>
          <w:rFonts w:asciiTheme="majorBidi" w:hAnsiTheme="majorBidi" w:cstheme="majorBidi"/>
          <w:lang w:val="es-ES_tradnl"/>
        </w:rPr>
        <w:tab/>
      </w:r>
      <w:bookmarkStart w:id="240" w:name="lt_pId536"/>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240"/>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7</w:t>
      </w:r>
      <w:r w:rsidRPr="004801D8">
        <w:rPr>
          <w:rFonts w:asciiTheme="majorBidi" w:hAnsiTheme="majorBidi" w:cstheme="majorBidi"/>
          <w:lang w:val="es-ES_tradnl"/>
        </w:rPr>
        <w:tab/>
      </w:r>
      <w:bookmarkStart w:id="241" w:name="lt_pId538"/>
      <w:r w:rsidRPr="004801D8">
        <w:rPr>
          <w:rFonts w:asciiTheme="majorBidi" w:hAnsiTheme="majorBidi" w:cstheme="majorBidi"/>
          <w:color w:val="000000" w:themeColor="text1"/>
          <w:lang w:val="es-ES"/>
        </w:rPr>
        <w:t xml:space="preserve">Comunicación de la Administración de Brasil relativa a la situación de la red de satélites STAR ONE D1 </w:t>
      </w:r>
      <w:r w:rsidRPr="004801D8">
        <w:rPr>
          <w:rFonts w:asciiTheme="majorBidi" w:hAnsiTheme="majorBidi" w:cstheme="majorBidi"/>
          <w:lang w:val="es-ES_tradnl"/>
        </w:rPr>
        <w:t>(Documento RRB16-2/12)</w:t>
      </w:r>
      <w:bookmarkEnd w:id="24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w:t>
      </w:r>
      <w:r w:rsidRPr="004801D8">
        <w:rPr>
          <w:rFonts w:asciiTheme="majorBidi" w:hAnsiTheme="majorBidi" w:cstheme="majorBidi"/>
          <w:lang w:val="es-ES_tradnl"/>
        </w:rPr>
        <w:tab/>
      </w:r>
      <w:bookmarkStart w:id="242" w:name="lt_pId54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Matas (Jefe de SSD/SPR)</w:t>
      </w:r>
      <w:r w:rsidRPr="004801D8">
        <w:rPr>
          <w:rFonts w:asciiTheme="majorBidi" w:hAnsiTheme="majorBidi" w:cstheme="majorBidi"/>
          <w:lang w:val="es-ES_tradnl"/>
        </w:rPr>
        <w:t xml:space="preserve"> presenta el Documento RRB16-2/12, que contiene una comunicación de la Administración de Brasil solicitando una ampliación temporal de la fecha de puesta en servicio de las asignaciones de frecuencias a la red de satélites B-SAT-2N (84°O). La </w:t>
      </w:r>
      <w:r w:rsidRPr="004801D8">
        <w:rPr>
          <w:rFonts w:asciiTheme="majorBidi" w:hAnsiTheme="majorBidi" w:cstheme="majorBidi"/>
          <w:lang w:val="es-ES_tradnl"/>
        </w:rPr>
        <w:lastRenderedPageBreak/>
        <w:t>administración indica se había previsto lanzar el satélite</w:t>
      </w:r>
      <w:bookmarkStart w:id="243" w:name="lt_pId541"/>
      <w:bookmarkEnd w:id="242"/>
      <w:r w:rsidRPr="004801D8">
        <w:rPr>
          <w:rFonts w:asciiTheme="majorBidi" w:hAnsiTheme="majorBidi" w:cstheme="majorBidi"/>
          <w:lang w:val="es-ES_tradnl"/>
        </w:rPr>
        <w:t xml:space="preserve"> STAR ONE D1, destinado a la posición 84°O, con Ariane V entre el 30 de marzo y el 30 de junio de 2016, pero que el lanzamiento se ha retrasado hasta el próximo periodo de lanzamiento, 28 de noviembre de 2016 – 28 de febrero de 2017 por retrasos en la disponibilidad del vehículo acompañante. El satélite</w:t>
      </w:r>
      <w:bookmarkStart w:id="244" w:name="lt_pId542"/>
      <w:bookmarkEnd w:id="243"/>
      <w:r w:rsidRPr="004801D8">
        <w:rPr>
          <w:rFonts w:asciiTheme="majorBidi" w:hAnsiTheme="majorBidi" w:cstheme="majorBidi"/>
          <w:lang w:val="es-ES_tradnl"/>
        </w:rPr>
        <w:t xml:space="preserve"> STAR ONE D1 formará parte de la red de satélites B-SAT-2N y el plazo límite para la puesta en servicio de las asignaciones de frecuencias asociadas se cumple el 7 de octubre de 2016.</w:t>
      </w:r>
      <w:bookmarkEnd w:id="244"/>
      <w:r w:rsidRPr="004801D8">
        <w:rPr>
          <w:rFonts w:asciiTheme="majorBidi" w:hAnsiTheme="majorBidi" w:cstheme="majorBidi"/>
          <w:lang w:val="es-ES_tradnl"/>
        </w:rPr>
        <w:t xml:space="preserve"> </w:t>
      </w:r>
      <w:bookmarkStart w:id="245" w:name="lt_pId543"/>
      <w:r w:rsidRPr="004801D8">
        <w:rPr>
          <w:rFonts w:asciiTheme="majorBidi" w:hAnsiTheme="majorBidi" w:cstheme="majorBidi"/>
          <w:lang w:val="es-ES_tradnl"/>
        </w:rPr>
        <w:t>A causa del retraso en el lanzamiento, que escapa al control de la administración, el plazo para la puesta en servicio de las asignaciones expirará antes de que el satélite entre en servicio.</w:t>
      </w:r>
      <w:bookmarkEnd w:id="24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7.2</w:t>
      </w:r>
      <w:r w:rsidRPr="004801D8">
        <w:rPr>
          <w:rFonts w:asciiTheme="majorBidi" w:hAnsiTheme="majorBidi" w:cstheme="majorBidi"/>
          <w:lang w:val="es-ES_tradnl"/>
        </w:rPr>
        <w:tab/>
      </w:r>
      <w:bookmarkStart w:id="246" w:name="lt_pId54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observa que en el § 7 de su comunicación la Administración de Brasil hace referencia a 4 cartas, que no se han facilitado a la Junta.</w:t>
      </w:r>
      <w:bookmarkEnd w:id="24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7.3</w:t>
      </w:r>
      <w:r w:rsidRPr="004801D8">
        <w:rPr>
          <w:rFonts w:asciiTheme="majorBidi" w:hAnsiTheme="majorBidi" w:cstheme="majorBidi"/>
          <w:lang w:val="es-ES_tradnl"/>
        </w:rPr>
        <w:tab/>
      </w:r>
      <w:bookmarkStart w:id="247" w:name="lt_pId547"/>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señala que en el § 8 de su comunicación la Administración solicita que la Oficina considere confidencial la información contenida en esas cartas, motivo por el cual, de conformidad con la Parte C de las Reglas de Procedimiento, no se han anexado dichas cartas.</w:t>
      </w:r>
      <w:bookmarkEnd w:id="24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7.4</w:t>
      </w:r>
      <w:r w:rsidRPr="004801D8">
        <w:rPr>
          <w:rFonts w:asciiTheme="majorBidi" w:hAnsiTheme="majorBidi" w:cstheme="majorBidi"/>
          <w:lang w:val="es-ES_tradnl"/>
        </w:rPr>
        <w:tab/>
      </w:r>
      <w:bookmarkStart w:id="248" w:name="lt_pId54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dice que si la Junta debe considerar la solicitud de la Administración de Brasil como un caso de fuerza mayor, se han de cumplir todos los criterios consignados en la orientación jurídica facilitada a la Junta. El </w:t>
      </w:r>
      <w:bookmarkStart w:id="249" w:name="lt_pId550"/>
      <w:bookmarkEnd w:id="248"/>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pregunta si puede considerarse que se trata de un retraso imprevisto en el contexto de las condiciones que se han de cumplir para la concesión de una ampliación por causa de fuerza mayor</w:t>
      </w:r>
      <w:r w:rsidRPr="004801D8">
        <w:rPr>
          <w:rFonts w:asciiTheme="majorBidi" w:hAnsiTheme="majorBidi" w:cstheme="majorBidi"/>
          <w:i/>
          <w:iCs/>
          <w:lang w:val="es-ES_tradnl"/>
        </w:rPr>
        <w:t>.</w:t>
      </w:r>
      <w:bookmarkEnd w:id="24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7.5</w:t>
      </w:r>
      <w:r w:rsidRPr="004801D8">
        <w:rPr>
          <w:rFonts w:asciiTheme="majorBidi" w:hAnsiTheme="majorBidi" w:cstheme="majorBidi"/>
          <w:lang w:val="es-ES_tradnl"/>
        </w:rPr>
        <w:tab/>
      </w:r>
      <w:bookmarkStart w:id="250" w:name="lt_pId55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aclara que la Junta puede conceder una extensión por retraso de lanzamiento colectivo o por causa de fuerza mayor. No se han de cumplir necesariamente ambas condiciones. En este caso se trata de un retraso de lanzamiento colectivo y, en su opinión, las pruebas presentadas son convincentes</w:t>
      </w:r>
      <w:bookmarkStart w:id="251" w:name="lt_pId554"/>
      <w:bookmarkEnd w:id="250"/>
      <w:r w:rsidRPr="004801D8">
        <w:rPr>
          <w:rFonts w:asciiTheme="majorBidi" w:hAnsiTheme="majorBidi" w:cstheme="majorBidi"/>
          <w:lang w:val="es-ES_tradnl"/>
        </w:rPr>
        <w:t>.</w:t>
      </w:r>
      <w:bookmarkEnd w:id="25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7.6</w:t>
      </w:r>
      <w:r w:rsidRPr="004801D8">
        <w:rPr>
          <w:rFonts w:asciiTheme="majorBidi" w:hAnsiTheme="majorBidi" w:cstheme="majorBidi"/>
          <w:lang w:val="es-ES_tradnl"/>
        </w:rPr>
        <w:tab/>
      </w:r>
      <w:bookmarkStart w:id="252" w:name="lt_pId556"/>
      <w:r w:rsidRPr="004801D8">
        <w:rPr>
          <w:rFonts w:asciiTheme="majorBidi" w:hAnsiTheme="majorBidi" w:cstheme="majorBidi"/>
          <w:lang w:val="es-ES_tradnl"/>
        </w:rPr>
        <w:t>En referencia al § 1.6</w:t>
      </w:r>
      <w:r w:rsidRPr="004801D8">
        <w:rPr>
          <w:rFonts w:asciiTheme="majorBidi" w:hAnsiTheme="majorBidi" w:cstheme="majorBidi"/>
          <w:i/>
          <w:iCs/>
          <w:lang w:val="es-ES_tradnl"/>
        </w:rPr>
        <w:t>bis</w:t>
      </w:r>
      <w:r w:rsidRPr="004801D8">
        <w:rPr>
          <w:rFonts w:asciiTheme="majorBidi" w:hAnsiTheme="majorBidi" w:cstheme="majorBidi"/>
          <w:lang w:val="es-ES_tradnl"/>
        </w:rPr>
        <w:t xml:space="preserve"> de la Parte C de las Reglas de Procedimiento y a la solicitud de Brasil de que la información se considere confidencial, el </w:t>
      </w:r>
      <w:r w:rsidRPr="004801D8">
        <w:rPr>
          <w:rFonts w:asciiTheme="majorBidi" w:hAnsiTheme="majorBidi" w:cstheme="majorBidi"/>
          <w:b/>
          <w:bCs/>
          <w:lang w:val="es-ES_tradnl"/>
        </w:rPr>
        <w:t>Sr. Kibe</w:t>
      </w:r>
      <w:r w:rsidRPr="004801D8">
        <w:rPr>
          <w:rFonts w:asciiTheme="majorBidi" w:hAnsiTheme="majorBidi" w:cstheme="majorBidi"/>
          <w:lang w:val="es-ES_tradnl"/>
        </w:rPr>
        <w:t xml:space="preserve"> dice que la Junta no puede realizar su trabajo de manera transparente si carece de las pruebas presentadas. Sugiere encargar a la Oficina que devuelva la comunicación a la Administración pidiéndole que la vuelva a presentar con pruebas documentales sin restricciones. La Junta podría entonces considerar este asunto en su próxima reunión. El </w:t>
      </w:r>
      <w:bookmarkStart w:id="253" w:name="lt_pId559"/>
      <w:bookmarkEnd w:id="252"/>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también está a favor de este proceder.</w:t>
      </w:r>
      <w:bookmarkEnd w:id="253"/>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7.7</w:t>
      </w:r>
      <w:r w:rsidRPr="004801D8">
        <w:rPr>
          <w:rFonts w:asciiTheme="majorBidi" w:hAnsiTheme="majorBidi" w:cstheme="majorBidi"/>
          <w:lang w:val="es-ES_tradnl"/>
        </w:rPr>
        <w:tab/>
      </w:r>
      <w:bookmarkStart w:id="254" w:name="lt_pId561"/>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está de acuerdo en que la petición de confidencialidad dificulta a la Junta su examen del caso, pero considera que la Junta debería tomar una decisión en la presente reunión, pues la próxima está prevista para octubre de 2016, momento en que el plazo reglamentario para la puesta en servicio de las asignaciones ya habrá expirado. De acuerdo con la información presentada en la comunicación, incluida la fecha de lanzamiento retrasada y la extensión temporal solicitada, así como con anteriores decisiones de la Junta y la respuesta de la Conferencia a esas decisiones, espera que la Junta pueda dar un trato comparable a Brasil. Sugiere que la Oficina se ponga en contacto con la Administración para saber si los documentos en cuestión pueden comunicarse a la Junta</w:t>
      </w:r>
      <w:bookmarkStart w:id="255" w:name="lt_pId563"/>
      <w:bookmarkEnd w:id="254"/>
      <w:r w:rsidRPr="004801D8">
        <w:rPr>
          <w:rFonts w:asciiTheme="majorBidi" w:hAnsiTheme="majorBidi" w:cstheme="majorBidi"/>
          <w:lang w:val="es-ES_tradnl"/>
        </w:rPr>
        <w:t>.</w:t>
      </w:r>
      <w:bookmarkEnd w:id="25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7.8</w:t>
      </w:r>
      <w:r w:rsidRPr="004801D8">
        <w:rPr>
          <w:rFonts w:asciiTheme="majorBidi" w:hAnsiTheme="majorBidi" w:cstheme="majorBidi"/>
          <w:lang w:val="es-ES_tradnl"/>
        </w:rPr>
        <w:tab/>
      </w:r>
      <w:bookmarkStart w:id="256" w:name="lt_pId565"/>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sugiere que la Oficina presente un resumen de los documentos confidenciales. El </w:t>
      </w:r>
      <w:bookmarkStart w:id="257" w:name="lt_pId566"/>
      <w:bookmarkEnd w:id="256"/>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se suma a la sugerencia.</w:t>
      </w:r>
      <w:bookmarkEnd w:id="25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7.9</w:t>
      </w:r>
      <w:r w:rsidRPr="004801D8">
        <w:rPr>
          <w:rFonts w:asciiTheme="majorBidi" w:hAnsiTheme="majorBidi" w:cstheme="majorBidi"/>
          <w:lang w:val="es-ES_tradnl"/>
        </w:rPr>
        <w:tab/>
      </w:r>
      <w:bookmarkStart w:id="258" w:name="lt_pId56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coincide con lo dicho por la Sra. Wilson y con la sugerencia de la Presidenta. En su opinión, la solicitud de la Administración de Brasil está fundamentada y corresponde a la Junta conceder una ampliación temporal del plazo reglamentario por retrasos en lanzamientos colectivos. Insiste, no obstante, en que el trabajo de la Junta debe ser transparente y entiende la dificultad que plantea la indisponibilidad de los documentos confidenciales. Quizá la Oficina podría simplemente confirmar que en los documentos confidenciales a que se hace referencia en el</w:t>
      </w:r>
      <w:bookmarkStart w:id="259" w:name="lt_pId571"/>
      <w:bookmarkEnd w:id="258"/>
      <w:r w:rsidRPr="004801D8">
        <w:rPr>
          <w:rFonts w:asciiTheme="majorBidi" w:hAnsiTheme="majorBidi" w:cstheme="majorBidi"/>
          <w:lang w:val="es-ES_tradnl"/>
        </w:rPr>
        <w:t xml:space="preserve"> § 7 de la comunicación de Brasil se dan argumentos a favor de la solicitud presentada por la Administración de Brasil.</w:t>
      </w:r>
      <w:bookmarkEnd w:id="25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7.10</w:t>
      </w:r>
      <w:r w:rsidRPr="004801D8">
        <w:rPr>
          <w:rFonts w:asciiTheme="majorBidi" w:hAnsiTheme="majorBidi" w:cstheme="majorBidi"/>
          <w:lang w:val="es-ES_tradnl"/>
        </w:rPr>
        <w:tab/>
      </w:r>
      <w:bookmarkStart w:id="260" w:name="lt_pId57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dice que la Junta ha de examinar los casos en igualdad de condiciones y se muestra reacio a sentar un precedente tomando una decisión sin ver las pruebas correspondientes. </w:t>
      </w:r>
      <w:r w:rsidRPr="004801D8">
        <w:rPr>
          <w:rFonts w:asciiTheme="majorBidi" w:hAnsiTheme="majorBidi" w:cstheme="majorBidi"/>
          <w:lang w:val="es-ES_tradnl"/>
        </w:rPr>
        <w:lastRenderedPageBreak/>
        <w:t>Pregunta si la Oficina se ha puesto en contacto con la Administración a fin de obtener los documentos que pueden presentarse a la Junta</w:t>
      </w:r>
      <w:bookmarkStart w:id="261" w:name="lt_pId574"/>
      <w:bookmarkEnd w:id="260"/>
      <w:r w:rsidRPr="004801D8">
        <w:rPr>
          <w:rFonts w:asciiTheme="majorBidi" w:hAnsiTheme="majorBidi" w:cstheme="majorBidi"/>
          <w:lang w:val="es-ES_tradnl"/>
        </w:rPr>
        <w:t>.</w:t>
      </w:r>
      <w:bookmarkEnd w:id="26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7.11</w:t>
      </w:r>
      <w:r w:rsidRPr="004801D8">
        <w:rPr>
          <w:rFonts w:asciiTheme="majorBidi" w:hAnsiTheme="majorBidi" w:cstheme="majorBidi"/>
          <w:lang w:val="es-ES_tradnl"/>
        </w:rPr>
        <w:tab/>
      </w:r>
      <w:bookmarkStart w:id="262" w:name="lt_pId57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confirma que la Oficina se ha puesto en contacto con la Administración para informarle de que, de conformidad con las Reglas de Procedimiento, los documentos confidenciales no pueden distribuirse a la Junta. La Oficina ha preguntado si la Administración dispone de documentos semejantes no confidenciales, pero no ha recibido respuesta, posiblemente porque no se ha obtenido la autorización de publicar la información. Dice haber visto los documentos confidenciales y confirma que contienen información a favor de la solicitud de la Administración. Dice que la Oficina preferiría no facilitar un resumen no confidencial de información confidencial, habida cuenta de lo sensible del asunto de la confidencialidad</w:t>
      </w:r>
      <w:bookmarkStart w:id="263" w:name="lt_pId579"/>
      <w:bookmarkEnd w:id="262"/>
      <w:r w:rsidRPr="004801D8">
        <w:rPr>
          <w:rFonts w:asciiTheme="majorBidi" w:hAnsiTheme="majorBidi" w:cstheme="majorBidi"/>
          <w:lang w:val="es-ES_tradnl"/>
        </w:rPr>
        <w:t>.</w:t>
      </w:r>
      <w:bookmarkEnd w:id="26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7.12</w:t>
      </w:r>
      <w:r w:rsidRPr="004801D8">
        <w:rPr>
          <w:rFonts w:asciiTheme="majorBidi" w:hAnsiTheme="majorBidi" w:cstheme="majorBidi"/>
          <w:lang w:val="es-ES_tradnl"/>
        </w:rPr>
        <w:tab/>
      </w:r>
      <w:bookmarkStart w:id="264" w:name="lt_pId58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la Junta podría salvar el obstáculo que supone no poder consultar la información confidencial confiando en la Oficina, que sí puede consultarla. En este caso, es posible que alguno de los fabricantes insista en la confidencialidad y la Junta debería esperar mucho tiempo antes de que la información se haga pública. La Junta debería aceptar las garantías de la oficina y acceder a la solicitud de la administración. El </w:t>
      </w:r>
      <w:bookmarkStart w:id="265" w:name="lt_pId584"/>
      <w:bookmarkEnd w:id="264"/>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se muestra a favor de esta opción.</w:t>
      </w:r>
      <w:bookmarkEnd w:id="26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7.13</w:t>
      </w:r>
      <w:r w:rsidRPr="004801D8">
        <w:rPr>
          <w:rFonts w:asciiTheme="majorBidi" w:hAnsiTheme="majorBidi" w:cstheme="majorBidi"/>
          <w:lang w:val="es-ES_tradnl"/>
        </w:rPr>
        <w:tab/>
      </w:r>
      <w:bookmarkStart w:id="266" w:name="lt_pId58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dicen que la confirmación de la Oficina basta para validar el caso como un retraso de lanzamiento colectivo. La potestad otorgada a la Junta por la CMR-12, confirmada por la CMR-15, permite a la Junta ampliar el plazo reglamentario. La Junta debe acceder a la solicitud de la Administración de Brasil</w:t>
      </w:r>
      <w:bookmarkStart w:id="267" w:name="lt_pId588"/>
      <w:bookmarkEnd w:id="266"/>
      <w:r w:rsidRPr="004801D8">
        <w:rPr>
          <w:rFonts w:asciiTheme="majorBidi" w:hAnsiTheme="majorBidi" w:cstheme="majorBidi"/>
          <w:lang w:val="es-ES_tradnl"/>
        </w:rPr>
        <w:t>.</w:t>
      </w:r>
      <w:bookmarkEnd w:id="26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7.14</w:t>
      </w:r>
      <w:r w:rsidRPr="004801D8">
        <w:rPr>
          <w:rFonts w:asciiTheme="majorBidi" w:hAnsiTheme="majorBidi" w:cstheme="majorBidi"/>
          <w:lang w:val="es-ES_tradnl"/>
        </w:rPr>
        <w:tab/>
      </w:r>
      <w:bookmarkStart w:id="268" w:name="lt_pId59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recuerda que la Junta trabaja sobre la base de la confianza en la información facilitada por las administraciones. Sólo si hay motivos para dudar de la validez de esa información, resulta necesario pedir pruebas. En aplicación del número</w:t>
      </w:r>
      <w:bookmarkStart w:id="269" w:name="lt_pId592"/>
      <w:bookmarkEnd w:id="268"/>
      <w:r w:rsidRPr="004801D8">
        <w:rPr>
          <w:rFonts w:asciiTheme="majorBidi" w:hAnsiTheme="majorBidi" w:cstheme="majorBidi"/>
          <w:lang w:val="es-ES_tradnl"/>
        </w:rPr>
        <w:t>13.6, se acepta la información presentada por las administraciones. Todos los casos se han de tratar de la misma manera. En el caso presente, se dice a favor de acceder a la solicitud de la Administración</w:t>
      </w:r>
      <w:bookmarkStart w:id="270" w:name="lt_pId594"/>
      <w:bookmarkEnd w:id="269"/>
      <w:r w:rsidRPr="004801D8">
        <w:rPr>
          <w:rFonts w:asciiTheme="majorBidi" w:hAnsiTheme="majorBidi" w:cstheme="majorBidi"/>
          <w:lang w:val="es-ES_tradnl"/>
        </w:rPr>
        <w:t>.</w:t>
      </w:r>
      <w:bookmarkEnd w:id="27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7.15</w:t>
      </w:r>
      <w:r w:rsidRPr="004801D8">
        <w:rPr>
          <w:rFonts w:asciiTheme="majorBidi" w:hAnsiTheme="majorBidi" w:cstheme="majorBidi"/>
          <w:lang w:val="es-ES_tradnl"/>
        </w:rPr>
        <w:tab/>
      </w:r>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p>
    <w:p w:rsidR="004801D8" w:rsidRPr="004801D8" w:rsidRDefault="004801D8" w:rsidP="00B51E5A">
      <w:pPr>
        <w:rPr>
          <w:rFonts w:asciiTheme="majorBidi" w:hAnsiTheme="majorBidi" w:cstheme="majorBidi"/>
          <w:highlight w:val="yellow"/>
          <w:lang w:val="es-ES_tradnl"/>
        </w:rPr>
      </w:pPr>
      <w:r w:rsidRPr="004801D8">
        <w:rPr>
          <w:rFonts w:asciiTheme="majorBidi" w:hAnsiTheme="majorBidi" w:cstheme="majorBidi"/>
          <w:lang w:val="es-ES_tradnl"/>
        </w:rPr>
        <w:t>«La Junta examinó en detalle la solicitud de la Administración de Brasil para la ampliación de la fecha de puesta en servicio de las asignaciones de frecuencias de la red de satélites B-SAT-2N (84ºW) contenida en el Documento RRB16-2/12. Teniendo en cuenta la información proporcionada y la aclaración por la Oficina de información adicional, indicada en el punto 7 del documento, la Junta decidió que el caso está en la categoría de retraso en lanzamiento colectivo y consideró que la CMR-15 había confirmado la autoridad de la Junta para atender las solicitudes de prórroga por un periodo de tiempo limitado en estos casos.</w:t>
      </w:r>
    </w:p>
    <w:p w:rsidR="004801D8" w:rsidRPr="004801D8" w:rsidRDefault="004801D8" w:rsidP="00B51E5A">
      <w:pPr>
        <w:rPr>
          <w:rFonts w:asciiTheme="majorBidi" w:hAnsiTheme="majorBidi" w:cstheme="majorBidi"/>
          <w:lang w:val="es-ES_tradnl"/>
        </w:rPr>
      </w:pPr>
      <w:bookmarkStart w:id="271" w:name="lt_pId599"/>
      <w:r w:rsidRPr="004801D8">
        <w:rPr>
          <w:rFonts w:asciiTheme="majorBidi" w:hAnsiTheme="majorBidi" w:cstheme="majorBidi"/>
          <w:lang w:val="es-ES_tradnl"/>
        </w:rPr>
        <w:t>En consecuencia, la Junta decidió conceder a la Administración de Brasil una prórroga de seis meses para el plazo de puesta en servicio las asignaciones de frecuencias de la red de satélites B</w:t>
      </w:r>
      <w:r w:rsidRPr="004801D8">
        <w:rPr>
          <w:rFonts w:asciiTheme="majorBidi" w:hAnsiTheme="majorBidi" w:cstheme="majorBidi"/>
          <w:lang w:val="es-ES_tradnl"/>
        </w:rPr>
        <w:noBreakHyphen/>
        <w:t>SAT-2N (84ºW) hasta el 7 de abril de 2017.</w:t>
      </w:r>
      <w:r w:rsidRPr="004801D8">
        <w:rPr>
          <w:rFonts w:asciiTheme="majorBidi" w:hAnsiTheme="majorBidi" w:cstheme="majorBidi"/>
          <w:cs/>
          <w:lang w:val="en-GB"/>
        </w:rPr>
        <w:t>‎</w:t>
      </w:r>
      <w:bookmarkEnd w:id="271"/>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7.16</w:t>
      </w:r>
      <w:r w:rsidRPr="004801D8">
        <w:rPr>
          <w:rFonts w:asciiTheme="majorBidi" w:hAnsiTheme="majorBidi" w:cstheme="majorBidi"/>
          <w:lang w:val="es-ES_tradnl"/>
        </w:rPr>
        <w:tab/>
      </w:r>
      <w:bookmarkStart w:id="272" w:name="lt_pId601"/>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272"/>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8</w:t>
      </w:r>
      <w:r w:rsidRPr="004801D8">
        <w:rPr>
          <w:rFonts w:asciiTheme="majorBidi" w:hAnsiTheme="majorBidi" w:cstheme="majorBidi"/>
          <w:lang w:val="es-ES_tradnl"/>
        </w:rPr>
        <w:tab/>
      </w:r>
      <w:bookmarkStart w:id="273" w:name="lt_pId603"/>
      <w:r w:rsidRPr="004801D8">
        <w:rPr>
          <w:rFonts w:asciiTheme="majorBidi" w:hAnsiTheme="majorBidi" w:cstheme="majorBidi"/>
          <w:color w:val="000000" w:themeColor="text1"/>
          <w:lang w:val="es-ES"/>
        </w:rPr>
        <w:t>Comunicación de la Administración de la Federación de Rusia relativa a la situación de las redes de satélites INTERSPUTNIK-17E, INTERSPUTNIK-17E-CK e INTERSPUTNIK-17E-B</w:t>
      </w:r>
      <w:r w:rsidRPr="004801D8">
        <w:rPr>
          <w:rFonts w:asciiTheme="majorBidi" w:hAnsiTheme="majorBidi" w:cstheme="majorBidi"/>
          <w:lang w:val="es-ES_tradnl"/>
        </w:rPr>
        <w:t xml:space="preserve"> (Documento RRB16-2/9)</w:t>
      </w:r>
      <w:bookmarkEnd w:id="27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8.1</w:t>
      </w:r>
      <w:r w:rsidRPr="004801D8">
        <w:rPr>
          <w:rFonts w:asciiTheme="majorBidi" w:hAnsiTheme="majorBidi" w:cstheme="majorBidi"/>
          <w:lang w:val="es-ES_tradnl"/>
        </w:rPr>
        <w:tab/>
      </w:r>
      <w:bookmarkStart w:id="274" w:name="lt_pId60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Matas (Jefe de SSD/SPR)</w:t>
      </w:r>
      <w:r w:rsidRPr="004801D8">
        <w:rPr>
          <w:rFonts w:asciiTheme="majorBidi" w:hAnsiTheme="majorBidi" w:cstheme="majorBidi"/>
          <w:lang w:val="es-ES_tradnl"/>
        </w:rPr>
        <w:t xml:space="preserve"> presenta el Documento RRB16-2/9, que contiene una comunicación de la Administración de la Federación de Rusia, en tanto que administración notificante en nombre de la Organización Internacional de Comunicaciones Espaciales INTERSPUTNIK, en la que solicita a la Junta que amplíe el plazo reglamentario para la puesta en servicio de las asignaciones de frecuencias a las redes de satélites INTERSPUTNIK-17E, INTERSPUTNIK-17E-CK e </w:t>
      </w:r>
      <w:r w:rsidRPr="004801D8">
        <w:rPr>
          <w:rFonts w:asciiTheme="majorBidi" w:hAnsiTheme="majorBidi" w:cstheme="majorBidi"/>
          <w:lang w:val="es-ES_tradnl"/>
        </w:rPr>
        <w:lastRenderedPageBreak/>
        <w:t>INTERSPUTNIK-17E-B en la posición orbital 17°E por causa de fuerza mayor. Como la Administración explica en su comunicación, esas redes de satélite estuvieron activas con el satélite</w:t>
      </w:r>
      <w:bookmarkStart w:id="275" w:name="lt_pId606"/>
      <w:bookmarkEnd w:id="274"/>
      <w:r w:rsidRPr="004801D8">
        <w:rPr>
          <w:rFonts w:asciiTheme="majorBidi" w:hAnsiTheme="majorBidi" w:cstheme="majorBidi"/>
          <w:lang w:val="es-ES_tradnl"/>
        </w:rPr>
        <w:t xml:space="preserve"> AMOS-5, lanzado el 11 de diciembre de 2011. </w:t>
      </w:r>
      <w:bookmarkStart w:id="276" w:name="lt_pId607"/>
      <w:bookmarkEnd w:id="275"/>
      <w:r w:rsidRPr="004801D8">
        <w:rPr>
          <w:rFonts w:asciiTheme="majorBidi" w:hAnsiTheme="majorBidi" w:cstheme="majorBidi"/>
          <w:lang w:val="es-ES_tradnl"/>
        </w:rPr>
        <w:t>Se suponía que la vida útil garantizada del satélite AMOS-5 iba a ser 15 años, pero</w:t>
      </w:r>
      <w:bookmarkEnd w:id="276"/>
      <w:r w:rsidRPr="004801D8">
        <w:rPr>
          <w:rFonts w:asciiTheme="majorBidi" w:hAnsiTheme="majorBidi" w:cstheme="majorBidi"/>
          <w:lang w:val="es-ES_tradnl"/>
        </w:rPr>
        <w:t xml:space="preserve"> el 21 de noviembre de 2015, después de poco menos de cuatro años en funcionamiento en la posición orbital 17°E, el satélite sufrió un fallo repentino, quedando totalmente averiado e inoperativo.</w:t>
      </w:r>
      <w:bookmarkStart w:id="277" w:name="lt_pId609"/>
      <w:r w:rsidRPr="004801D8">
        <w:rPr>
          <w:rFonts w:asciiTheme="majorBidi" w:hAnsiTheme="majorBidi" w:cstheme="majorBidi"/>
          <w:lang w:val="es-ES_tradnl"/>
        </w:rPr>
        <w:t xml:space="preserve"> De conformidad con el Reglamento de Radiocomunicaciones, tras el fallo del satélite AMOS-5 la Administración de la Federación de Rusia informó, el 3 de febrero de 2016, a la Oficina de la suspensión del funcionamiento de las asignaciones de frecuencias a las redes de satélites INTERSPUTNIK-17E, INTERSPUTNIK-17E-CK e INTERSPUTNIK-17E B, con fecha efectiva el 22 de noviembre de 2015. La Administración de la Federación de Rusia explica en el documento cómo se cumplen las cuatro condiciones de la fuerza mayor. La Administración indica también que, aunque los tres años previstos por el Reglamento de Radiocomunicaciones bastan para sustituir un vehículo espacial operativo según lo previsto, tal periodo no permite finalizar todas las actividades preparatorias, construir y lanzar un nuevo satélite de sustitución cuando la necesidad de sustituir un vehículo espacial operativo en órbita surge repentinamente como resultado de una causa de fuerza mayor. Por consiguiente, la Administración solicita que se amplíe en un año, hasta el 21 de noviembre de 2019, el plazo reglamentario para la reanudación del servicio de las asignaciones suspendidas</w:t>
      </w:r>
      <w:bookmarkStart w:id="278" w:name="lt_pId611"/>
      <w:bookmarkEnd w:id="277"/>
      <w:r w:rsidRPr="004801D8">
        <w:rPr>
          <w:rFonts w:asciiTheme="majorBidi" w:hAnsiTheme="majorBidi" w:cstheme="majorBidi"/>
          <w:lang w:val="es-ES_tradnl"/>
        </w:rPr>
        <w:t>.</w:t>
      </w:r>
      <w:bookmarkEnd w:id="27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8.2</w:t>
      </w:r>
      <w:r w:rsidRPr="004801D8">
        <w:rPr>
          <w:rFonts w:asciiTheme="majorBidi" w:hAnsiTheme="majorBidi" w:cstheme="majorBidi"/>
          <w:lang w:val="es-ES_tradnl"/>
        </w:rPr>
        <w:tab/>
      </w:r>
      <w:bookmarkStart w:id="279" w:name="lt_pId61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con el apoyo del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Sr. Koffi</w:t>
      </w:r>
      <w:r w:rsidRPr="004801D8">
        <w:rPr>
          <w:rFonts w:asciiTheme="majorBidi" w:hAnsiTheme="majorBidi" w:cstheme="majorBidi"/>
          <w:lang w:val="es-ES_tradnl"/>
        </w:rPr>
        <w:t>, dice que se cumplen las cuatro condiciones de la fuerza mayor y que la Junta debe acceder a la solicitud de la Administración de la Federación de Rusia de ampliar en un año el plazo reglamentario.</w:t>
      </w:r>
      <w:bookmarkEnd w:id="27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8.3</w:t>
      </w:r>
      <w:r w:rsidRPr="004801D8">
        <w:rPr>
          <w:rFonts w:asciiTheme="majorBidi" w:hAnsiTheme="majorBidi" w:cstheme="majorBidi"/>
          <w:lang w:val="es-ES_tradnl"/>
        </w:rPr>
        <w:tab/>
      </w:r>
      <w:bookmarkStart w:id="280" w:name="lt_pId61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también está a favor de ampliar el periodo de suspensión a cuatro años, como solicita la Administración de la Federación de Rusia. Observa que el plazo reglamentario original era de dos años y que posteriormente se aumentó a tres. A pesar de los avances de la tecnología, parece que la investigación de los fallos y la sustitución de los satélites ahora llevan más tiempo</w:t>
      </w:r>
      <w:bookmarkStart w:id="281" w:name="lt_pId617"/>
      <w:bookmarkEnd w:id="280"/>
      <w:r w:rsidRPr="004801D8">
        <w:rPr>
          <w:rFonts w:asciiTheme="majorBidi" w:hAnsiTheme="majorBidi" w:cstheme="majorBidi"/>
          <w:lang w:val="es-ES_tradnl"/>
        </w:rPr>
        <w:t>.</w:t>
      </w:r>
      <w:bookmarkEnd w:id="28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8.4</w:t>
      </w:r>
      <w:r w:rsidRPr="004801D8">
        <w:rPr>
          <w:rFonts w:asciiTheme="majorBidi" w:hAnsiTheme="majorBidi" w:cstheme="majorBidi"/>
          <w:lang w:val="es-ES_tradnl"/>
        </w:rPr>
        <w:tab/>
      </w:r>
      <w:bookmarkStart w:id="282" w:name="lt_pId61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la Junta siempre debe asegurarse de que las cuatro condiciones de la fuerza mayor se cumplen adecuadamente, o las administraciones contarán con que se les concederán las ampliaciones. En este caso, pregunta, en el contexto de la tercera condición, si realmente es imposible, y no sólo difícil, respetar el plazo reglamentario. Si la Junta responde automáticamente a favor de ampliar el periodo quiere decir que tres años no bastan para sustituir un satélite</w:t>
      </w:r>
      <w:bookmarkStart w:id="283" w:name="lt_pId621"/>
      <w:bookmarkEnd w:id="282"/>
      <w:r w:rsidRPr="004801D8">
        <w:rPr>
          <w:rFonts w:asciiTheme="majorBidi" w:hAnsiTheme="majorBidi" w:cstheme="majorBidi"/>
          <w:lang w:val="es-ES_tradnl"/>
        </w:rPr>
        <w:t>.</w:t>
      </w:r>
      <w:bookmarkEnd w:id="28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8.5</w:t>
      </w:r>
      <w:r w:rsidRPr="004801D8">
        <w:rPr>
          <w:rFonts w:asciiTheme="majorBidi" w:hAnsiTheme="majorBidi" w:cstheme="majorBidi"/>
          <w:lang w:val="es-ES_tradnl"/>
        </w:rPr>
        <w:tab/>
      </w:r>
      <w:bookmarkStart w:id="284" w:name="lt_pId623"/>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dice que, en este caso, dado el gran número de asignaciones de frecuencias, es muy improbable que ya haya disponible un satélite de sustitución adecuado. La única posibilidad reside en lanzar otro satélite y es imposible hacerlo dentro del plazo reglamentario de tres años. Por consiguiente, considera que se cumplen todas las condiciones de la fuerza mayor y que la Junta debe acceder a la petición de la Administración de la Federación de Rusia</w:t>
      </w:r>
      <w:bookmarkStart w:id="285" w:name="lt_pId625"/>
      <w:bookmarkEnd w:id="284"/>
      <w:r w:rsidRPr="004801D8">
        <w:rPr>
          <w:rFonts w:asciiTheme="majorBidi" w:hAnsiTheme="majorBidi" w:cstheme="majorBidi"/>
          <w:lang w:val="es-ES_tradnl"/>
        </w:rPr>
        <w:t>.</w:t>
      </w:r>
      <w:bookmarkEnd w:id="28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8.6</w:t>
      </w:r>
      <w:r w:rsidRPr="004801D8">
        <w:rPr>
          <w:rFonts w:asciiTheme="majorBidi" w:hAnsiTheme="majorBidi" w:cstheme="majorBidi"/>
          <w:lang w:val="es-ES_tradnl"/>
        </w:rPr>
        <w:tab/>
      </w:r>
      <w:bookmarkStart w:id="286" w:name="lt_pId62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está de acuerdo en que, en este caso, tres años no bastan para sustituir el satélite y en que la Junta debería conceder la ampliación solicitada.</w:t>
      </w:r>
      <w:bookmarkEnd w:id="286"/>
    </w:p>
    <w:p w:rsidR="004801D8" w:rsidRPr="004801D8" w:rsidRDefault="004801D8" w:rsidP="00866E0E">
      <w:pPr>
        <w:rPr>
          <w:rFonts w:asciiTheme="majorBidi" w:hAnsiTheme="majorBidi" w:cstheme="majorBidi"/>
          <w:lang w:val="es-ES_tradnl"/>
        </w:rPr>
      </w:pPr>
      <w:r w:rsidRPr="004801D8">
        <w:rPr>
          <w:rFonts w:asciiTheme="majorBidi" w:hAnsiTheme="majorBidi" w:cstheme="majorBidi"/>
          <w:lang w:val="es-ES_tradnl"/>
        </w:rPr>
        <w:t>8.7</w:t>
      </w:r>
      <w:r w:rsidRPr="004801D8">
        <w:rPr>
          <w:rFonts w:asciiTheme="majorBidi" w:hAnsiTheme="majorBidi" w:cstheme="majorBidi"/>
          <w:lang w:val="es-ES_tradnl"/>
        </w:rPr>
        <w:tab/>
      </w:r>
      <w:bookmarkStart w:id="287" w:name="lt_pId62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en este caso, el fallo del satélite no podía preverse, por lo que es imposible poder construir un nuevo satélite dentro del plazo reglamentario. Por consiguiente, está de acuerdo en que la Junta accede a la solicitud de la Administración de la Federación de Rusia. El</w:t>
      </w:r>
      <w:bookmarkEnd w:id="287"/>
      <w:r w:rsidRPr="004801D8">
        <w:rPr>
          <w:rFonts w:asciiTheme="majorBidi" w:hAnsiTheme="majorBidi" w:cstheme="majorBidi"/>
          <w:lang w:val="es-ES_tradnl"/>
        </w:rPr>
        <w:t xml:space="preserve"> </w:t>
      </w:r>
      <w:bookmarkStart w:id="288" w:name="lt_pId631"/>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se suma a esa opinión.</w:t>
      </w:r>
      <w:bookmarkEnd w:id="288"/>
    </w:p>
    <w:p w:rsidR="004801D8" w:rsidRPr="004801D8" w:rsidRDefault="004801D8" w:rsidP="00866E0E">
      <w:pPr>
        <w:rPr>
          <w:rFonts w:asciiTheme="majorBidi" w:hAnsiTheme="majorBidi" w:cstheme="majorBidi"/>
          <w:lang w:val="es-ES_tradnl"/>
        </w:rPr>
      </w:pPr>
      <w:r w:rsidRPr="004801D8">
        <w:rPr>
          <w:rFonts w:asciiTheme="majorBidi" w:hAnsiTheme="majorBidi" w:cstheme="majorBidi"/>
          <w:lang w:val="es-ES_tradnl"/>
        </w:rPr>
        <w:t>8.8</w:t>
      </w:r>
      <w:r w:rsidRPr="004801D8">
        <w:rPr>
          <w:rFonts w:asciiTheme="majorBidi" w:hAnsiTheme="majorBidi" w:cstheme="majorBidi"/>
          <w:lang w:val="es-ES_tradnl"/>
        </w:rPr>
        <w:tab/>
      </w:r>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p>
    <w:p w:rsidR="004801D8" w:rsidRPr="004801D8" w:rsidRDefault="004801D8" w:rsidP="00B51E5A">
      <w:pPr>
        <w:rPr>
          <w:rFonts w:asciiTheme="majorBidi" w:hAnsiTheme="majorBidi" w:cstheme="majorBidi"/>
          <w:lang w:val="es-ES_tradnl"/>
        </w:rPr>
      </w:pPr>
      <w:bookmarkStart w:id="289" w:name="lt_pId636"/>
      <w:r w:rsidRPr="004801D8">
        <w:rPr>
          <w:rFonts w:asciiTheme="majorBidi" w:hAnsiTheme="majorBidi" w:cstheme="majorBidi"/>
          <w:lang w:val="es-ES_tradnl"/>
        </w:rPr>
        <w:t xml:space="preserve">«La Junta debatió ampliamente la solicitud de la Administración de la Federación de Rusia para la ampliación de la fecha de reanudación del servicio de las asignaciones de frecuencias de la red de satélites INTERSPUTNIK-17E, INTERSPUTNIK-17E-CK y INTERSPUTNIK-17E-B, contenida en el Documento RRB16-2/9. La Junta decidió que el caso cumple con los cuatro requisitos para poder considerarlo como caso de </w:t>
      </w:r>
      <w:r w:rsidRPr="004801D8">
        <w:rPr>
          <w:rFonts w:asciiTheme="majorBidi" w:hAnsiTheme="majorBidi" w:cstheme="majorBidi"/>
          <w:i/>
          <w:iCs/>
          <w:lang w:val="es-ES_tradnl"/>
        </w:rPr>
        <w:t>fuerza mayor</w:t>
      </w:r>
      <w:r w:rsidRPr="004801D8">
        <w:rPr>
          <w:rFonts w:asciiTheme="majorBidi" w:hAnsiTheme="majorBidi" w:cstheme="majorBidi"/>
          <w:lang w:val="es-ES_tradnl"/>
        </w:rPr>
        <w:t xml:space="preserve">. Considerando también la decisión de la CMR-15 de </w:t>
      </w:r>
      <w:r w:rsidRPr="004801D8">
        <w:rPr>
          <w:rFonts w:asciiTheme="majorBidi" w:hAnsiTheme="majorBidi" w:cstheme="majorBidi"/>
          <w:lang w:val="es-ES_tradnl"/>
        </w:rPr>
        <w:lastRenderedPageBreak/>
        <w:t xml:space="preserve">otorgar a la Junta la autoridad de atender estos casos, la Junta decidió en consecuencia otorgar a la Administración de la Federación de Rusia una ampliación de un año de la fecha de reanudación del servicio de las asignaciones de frecuencias de la red de satélites INTERSPUTNIK-17E, INTERSPUTNIK-17E-CK </w:t>
      </w:r>
      <w:r w:rsidRPr="004801D8">
        <w:rPr>
          <w:rFonts w:asciiTheme="majorBidi" w:hAnsiTheme="majorBidi" w:cstheme="majorBidi"/>
          <w:cs/>
        </w:rPr>
        <w:t>‎</w:t>
      </w:r>
      <w:r w:rsidRPr="004801D8">
        <w:rPr>
          <w:rFonts w:asciiTheme="majorBidi" w:hAnsiTheme="majorBidi" w:cstheme="majorBidi"/>
          <w:lang w:val="es-ES_tradnl"/>
        </w:rPr>
        <w:t>y INTERSPUTNIK-17E-B hasta el 21 de noviembre de 2019</w:t>
      </w:r>
      <w:bookmarkEnd w:id="289"/>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8.9</w:t>
      </w:r>
      <w:r w:rsidRPr="004801D8">
        <w:rPr>
          <w:rFonts w:asciiTheme="majorBidi" w:hAnsiTheme="majorBidi" w:cstheme="majorBidi"/>
          <w:lang w:val="es-ES_tradnl"/>
        </w:rPr>
        <w:tab/>
      </w:r>
      <w:bookmarkStart w:id="290" w:name="lt_pId638"/>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290"/>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9</w:t>
      </w:r>
      <w:r w:rsidRPr="004801D8">
        <w:rPr>
          <w:rFonts w:asciiTheme="majorBidi" w:hAnsiTheme="majorBidi" w:cstheme="majorBidi"/>
          <w:lang w:val="es-ES_tradnl"/>
        </w:rPr>
        <w:tab/>
      </w:r>
      <w:bookmarkStart w:id="291" w:name="lt_pId640"/>
      <w:r w:rsidRPr="004801D8">
        <w:rPr>
          <w:rFonts w:asciiTheme="majorBidi" w:hAnsiTheme="majorBidi" w:cstheme="majorBidi"/>
          <w:color w:val="000000" w:themeColor="text1"/>
          <w:lang w:val="es-ES"/>
        </w:rPr>
        <w:t>Comunicación de la Administración de Argelia relativa a la admisibilidad de la correspondencia remitida por la Oficina de Radiocomunicaciones a las administraciones en relación con el procedimiento para la coordinación de frecuencias con arreglo a las disposiciones de los acuerdos regionales y el Reglamento de Radiocomunicaciones</w:t>
      </w:r>
      <w:r w:rsidRPr="004801D8">
        <w:rPr>
          <w:rFonts w:asciiTheme="majorBidi" w:hAnsiTheme="majorBidi" w:cstheme="majorBidi"/>
          <w:lang w:val="es-ES_tradnl"/>
        </w:rPr>
        <w:t xml:space="preserve"> (Documento RRB16-2/11)</w:t>
      </w:r>
      <w:bookmarkEnd w:id="29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w:t>
      </w:r>
      <w:r w:rsidRPr="004801D8">
        <w:rPr>
          <w:rFonts w:asciiTheme="majorBidi" w:hAnsiTheme="majorBidi" w:cstheme="majorBidi"/>
          <w:lang w:val="es-ES_tradnl"/>
        </w:rPr>
        <w:tab/>
      </w:r>
      <w:bookmarkStart w:id="292" w:name="lt_pId64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xml:space="preserve"> presenta en el Documento RRB16-2/11 una solicitud de la Administración de Argelia para que la Junta aclare la aceptabilidad de las comunicaciones dirigidas por la Oficina a los Estados Miembros de la UIT, así como la manera en que la Oficina acusa recibo de esas comunicaciones, en particular cuando atañen a solicitudes de coordinación o recordatorios sujetos a límites reglamentarios en virtud de los términos de los Acuerdos Regionales o el Reglamento de Radiocomunicaciones y, concretamente, cuando no se reciben las comunicaciones enviadas por la Oficina, incluidas las medidas correctivas necesarias y la reglamentación aplicable. La Administración de Argelia se dice víctima de la no recepción de recordatorios enviados por la Oficina a las administraciones afectadas por el proyecto de modificación de Argelia del Plan</w:t>
      </w:r>
      <w:bookmarkStart w:id="293" w:name="lt_pId643"/>
      <w:bookmarkEnd w:id="292"/>
      <w:r w:rsidRPr="004801D8">
        <w:rPr>
          <w:rFonts w:asciiTheme="majorBidi" w:hAnsiTheme="majorBidi" w:cstheme="majorBidi"/>
          <w:lang w:val="es-ES_tradnl"/>
        </w:rPr>
        <w:t xml:space="preserve"> GE06 Plan, publicado en la BR IFIC 2798 de 7 de julio de 2015.</w:t>
      </w:r>
      <w:bookmarkEnd w:id="293"/>
      <w:r w:rsidRPr="004801D8">
        <w:rPr>
          <w:rFonts w:asciiTheme="majorBidi" w:hAnsiTheme="majorBidi" w:cstheme="majorBidi"/>
          <w:lang w:val="es-ES_tradnl"/>
        </w:rPr>
        <w:t xml:space="preserve"> </w:t>
      </w:r>
      <w:bookmarkStart w:id="294" w:name="lt_pId644"/>
      <w:r w:rsidRPr="004801D8">
        <w:rPr>
          <w:rFonts w:asciiTheme="majorBidi" w:hAnsiTheme="majorBidi" w:cstheme="majorBidi"/>
          <w:lang w:val="es-ES_tradnl"/>
        </w:rPr>
        <w:t>La Administración de Argelia presenta el caso en su integridad y concluye su solicitud diciendo que es importante que la Junta elabore Reglas de Procedimiento definiendo los términos de la admisibilidad de las comunicaciones enviadas por la Oficina, habida cuenta de la sensibilidad de los plazos reglamentarios y de las consecuencias indeseadas que pueden surgir de no respetar tales plazos.</w:t>
      </w:r>
      <w:bookmarkEnd w:id="29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9.2</w:t>
      </w:r>
      <w:r w:rsidRPr="004801D8">
        <w:rPr>
          <w:rFonts w:asciiTheme="majorBidi" w:hAnsiTheme="majorBidi" w:cstheme="majorBidi"/>
          <w:lang w:val="es-ES_tradnl"/>
        </w:rPr>
        <w:tab/>
      </w:r>
      <w:bookmarkStart w:id="295" w:name="lt_pId646"/>
      <w:r w:rsidRPr="004801D8">
        <w:rPr>
          <w:rFonts w:asciiTheme="majorBidi" w:hAnsiTheme="majorBidi" w:cstheme="majorBidi"/>
          <w:lang w:val="es-ES_tradnl"/>
        </w:rPr>
        <w:t>Pasando a los detalles del caso, señala a la atención de los presentes las disposiciones pertinentes del Acuerdo GE06, a saber, los § 4.1.4.8-4.1.4.11.</w:t>
      </w:r>
      <w:bookmarkEnd w:id="295"/>
      <w:r w:rsidRPr="004801D8">
        <w:rPr>
          <w:rFonts w:asciiTheme="majorBidi" w:hAnsiTheme="majorBidi" w:cstheme="majorBidi"/>
          <w:lang w:val="es-ES_tradnl"/>
        </w:rPr>
        <w:t xml:space="preserve"> </w:t>
      </w:r>
      <w:bookmarkStart w:id="296" w:name="lt_pId64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w:t>
      </w:r>
      <w:r w:rsidRPr="004801D8">
        <w:rPr>
          <w:rFonts w:asciiTheme="majorBidi" w:hAnsiTheme="majorBidi" w:cstheme="majorBidi"/>
          <w:lang w:val="es-ES_tradnl"/>
        </w:rPr>
        <w:t xml:space="preserve"> resume a continuación cómo la Oficina tramitó la propuesta de modificación del Plan presentada por Argelia y cómo la tramitación de la modificación propuesta podría haber sido distinta del procedimiento habitual de tramitación de las propuestas de modificación. La publicación de la propuesta de modificación de Argelia dio inicio al periodo de 75 días para que las administraciones identificadas como potencialmente afectadas respondiesen. Se trata en este caso de España, Francia, Libia, Marruecos, Túnez y Reino Unido. En virtud del</w:t>
      </w:r>
      <w:bookmarkStart w:id="297" w:name="lt_pId649"/>
      <w:bookmarkEnd w:id="296"/>
      <w:r w:rsidRPr="004801D8">
        <w:rPr>
          <w:rFonts w:asciiTheme="majorBidi" w:hAnsiTheme="majorBidi" w:cstheme="majorBidi"/>
          <w:lang w:val="es-ES_tradnl"/>
        </w:rPr>
        <w:t xml:space="preserve"> § 4.1.4.10, la Administración de Argelia solicitó a la Oficina que enviase recordatorios a los países que quizá deberían responder, pero no lo habían hecho. La Oficina, por su parte, sabía perfectamente de qué países se podía esperar una respuesta, puesto que asistió a una reunión de las administraciones pertenecientes a la misma región que Argelia</w:t>
      </w:r>
      <w:bookmarkStart w:id="298" w:name="lt_pId650"/>
      <w:bookmarkEnd w:id="297"/>
      <w:r w:rsidRPr="004801D8">
        <w:rPr>
          <w:rFonts w:asciiTheme="majorBidi" w:hAnsiTheme="majorBidi" w:cstheme="majorBidi"/>
          <w:lang w:val="es-ES_tradnl"/>
        </w:rPr>
        <w:t xml:space="preserve"> (ASMG) en la que se trataron los proyectos de modificación del Plan GE06 y había quedado claro qué administraciones podrían verse afectadas. Por motivos desconocidos, no obstante, ninguno de los países a los que la Oficina había enviado el recordatorio en virtud del </w:t>
      </w:r>
      <w:bookmarkStart w:id="299" w:name="lt_pId651"/>
      <w:bookmarkEnd w:id="298"/>
      <w:r w:rsidRPr="004801D8">
        <w:rPr>
          <w:rFonts w:asciiTheme="majorBidi" w:hAnsiTheme="majorBidi" w:cstheme="majorBidi"/>
          <w:lang w:val="es-ES_tradnl"/>
        </w:rPr>
        <w:t>§ 4.1.4.10 lo había recibido. Al no recibir respuesta alguna de los países potencialmente afectados en cuestión, la Oficina se puso en contacto con ellos y se enteró de que no habían recibido el recordatorio de la Oficina. Por consiguiente, la Oficina decidió ampliar el plazo para la presentación de observaciones, como resultado de lo cual la Oficina recibió las observaciones que había previsto</w:t>
      </w:r>
      <w:bookmarkStart w:id="300" w:name="lt_pId653"/>
      <w:bookmarkEnd w:id="299"/>
      <w:r w:rsidRPr="004801D8">
        <w:rPr>
          <w:rFonts w:asciiTheme="majorBidi" w:hAnsiTheme="majorBidi" w:cstheme="majorBidi"/>
          <w:lang w:val="es-ES_tradnl"/>
        </w:rPr>
        <w:t>.</w:t>
      </w:r>
      <w:bookmarkEnd w:id="30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9.3</w:t>
      </w:r>
      <w:r w:rsidRPr="004801D8">
        <w:rPr>
          <w:rFonts w:asciiTheme="majorBidi" w:hAnsiTheme="majorBidi" w:cstheme="majorBidi"/>
          <w:lang w:val="es-ES_tradnl"/>
        </w:rPr>
        <w:tab/>
      </w:r>
      <w:bookmarkStart w:id="301" w:name="lt_pId655"/>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deduce que el punto básico de desacuerdo entre la Administración de Argelia y la Oficina reside en que la Oficina envió un recordatorio adicional a algunas administraciones y Argelia considera que tal envío no es conforme con el Acuerdo GE06 y afecta a los derechos de Argelia en virtud de dicho Acuerdo, que se basa en que el acuerdo tácito implica consentimiento.</w:t>
      </w:r>
      <w:bookmarkEnd w:id="30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9.4</w:t>
      </w:r>
      <w:r w:rsidRPr="004801D8">
        <w:rPr>
          <w:rFonts w:asciiTheme="majorBidi" w:hAnsiTheme="majorBidi" w:cstheme="majorBidi"/>
          <w:lang w:val="es-ES_tradnl"/>
        </w:rPr>
        <w:tab/>
      </w:r>
      <w:bookmarkStart w:id="302" w:name="lt_pId65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que la manera más sencilla de responder a la solicitud de Argelia sería modificar las Reglas de Procedimiento existentes para incorporar el envío de un recordatorio adicional, por ejemplo, 10 días antes de que se cumpla el plazo correspondiente.</w:t>
      </w:r>
      <w:bookmarkEnd w:id="30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9.5</w:t>
      </w:r>
      <w:r w:rsidRPr="004801D8">
        <w:rPr>
          <w:rFonts w:asciiTheme="majorBidi" w:hAnsiTheme="majorBidi" w:cstheme="majorBidi"/>
          <w:lang w:val="es-ES_tradnl"/>
        </w:rPr>
        <w:tab/>
      </w:r>
      <w:bookmarkStart w:id="303" w:name="lt_pId65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considera que la Administración de Argelia parece haber seguido a la letra las disposiciones del Acuerdo GE06 y sin embargo se ha visto injustamente afectada por hacerlo, por lo que ahora apela a la Junta en busca de algún tipo de compensación, la Junta debe examinar detalladamente la solicitud de Argelia, pues parece haber habido errores tanto en la transmisión de la correspondencia como en la aplicación del Acuerdo</w:t>
      </w:r>
      <w:bookmarkStart w:id="304" w:name="lt_pId660"/>
      <w:bookmarkEnd w:id="303"/>
      <w:r w:rsidRPr="004801D8">
        <w:rPr>
          <w:rFonts w:asciiTheme="majorBidi" w:hAnsiTheme="majorBidi" w:cstheme="majorBidi"/>
          <w:lang w:val="es-ES_tradnl"/>
        </w:rPr>
        <w:t xml:space="preserve"> GE06. Por consiguiente, se pone a modificar simplemente las Reglas de Procedimiento existentes en respuesta a la solicitud de Argelia, lo que podría considerarse como una apelación en virtud del Artículo</w:t>
      </w:r>
      <w:bookmarkStart w:id="305" w:name="lt_pId661"/>
      <w:bookmarkEnd w:id="304"/>
      <w:r w:rsidRPr="004801D8">
        <w:rPr>
          <w:rFonts w:asciiTheme="majorBidi" w:hAnsiTheme="majorBidi" w:cstheme="majorBidi"/>
          <w:lang w:val="es-ES_tradnl"/>
        </w:rPr>
        <w:t xml:space="preserve"> 14 del Reglamento de Radiocomunicaciones contra las medidas adoptadas por la Oficina. La Junta debe verificar si se han cometido errores o si la Administración de Argelia simplemente ha sido víctima de las circunstancias. El problema de la admisibilidad de la correspondencia es recurrente y hay que solucionarlo. Puede muy bien haber motivos prácticos parara los problemas experimentados en este caso, aunque del fax</w:t>
      </w:r>
      <w:bookmarkStart w:id="306" w:name="lt_pId664"/>
      <w:bookmarkEnd w:id="305"/>
      <w:r w:rsidRPr="004801D8">
        <w:rPr>
          <w:rFonts w:asciiTheme="majorBidi" w:hAnsiTheme="majorBidi" w:cstheme="majorBidi"/>
          <w:lang w:val="es-ES_tradnl"/>
        </w:rPr>
        <w:t xml:space="preserve"> </w:t>
      </w:r>
      <w:proofErr w:type="gramStart"/>
      <w:r w:rsidRPr="004801D8">
        <w:rPr>
          <w:rFonts w:asciiTheme="majorBidi" w:hAnsiTheme="majorBidi" w:cstheme="majorBidi"/>
          <w:lang w:val="es-ES_tradnl"/>
        </w:rPr>
        <w:t>31E(</w:t>
      </w:r>
      <w:proofErr w:type="gramEnd"/>
      <w:r w:rsidRPr="004801D8">
        <w:rPr>
          <w:rFonts w:asciiTheme="majorBidi" w:hAnsiTheme="majorBidi" w:cstheme="majorBidi"/>
          <w:lang w:val="es-ES_tradnl"/>
        </w:rPr>
        <w:t>BCD)O-2015-001270 (Anexo 9 al Documento RRB16-2/11) se entiende que todos los faxes enviados por la Oficina llegaron a su destino.</w:t>
      </w:r>
      <w:bookmarkEnd w:id="30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9.6</w:t>
      </w:r>
      <w:r w:rsidRPr="004801D8">
        <w:rPr>
          <w:rFonts w:asciiTheme="majorBidi" w:hAnsiTheme="majorBidi" w:cstheme="majorBidi"/>
          <w:lang w:val="es-ES_tradnl"/>
        </w:rPr>
        <w:tab/>
      </w:r>
      <w:bookmarkStart w:id="307" w:name="lt_pId66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está de acuerdo en que la Junta debe estudiar detalladamente el asunto, pues atañe al problema general de la admisibilidad de la correspondencia y a la situación en que se encuentra la Administración de Argelia.</w:t>
      </w:r>
      <w:bookmarkEnd w:id="30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9.7</w:t>
      </w:r>
      <w:r w:rsidRPr="004801D8">
        <w:rPr>
          <w:rFonts w:asciiTheme="majorBidi" w:hAnsiTheme="majorBidi" w:cstheme="majorBidi"/>
          <w:lang w:val="es-ES_tradnl"/>
        </w:rPr>
        <w:tab/>
      </w:r>
      <w:bookmarkStart w:id="308" w:name="lt_pId66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coincide con la Presidenta. La Junta debe examinar el procedimiento de correspondencia desde el punto de vista de las administraciones y de la Oficina a fin de que no se vuelvan a dar situaciones semejantes en el futuro</w:t>
      </w:r>
      <w:bookmarkStart w:id="309" w:name="lt_pId669"/>
      <w:bookmarkEnd w:id="308"/>
      <w:r w:rsidRPr="004801D8">
        <w:rPr>
          <w:rFonts w:asciiTheme="majorBidi" w:hAnsiTheme="majorBidi" w:cstheme="majorBidi"/>
          <w:lang w:val="es-ES_tradnl"/>
        </w:rPr>
        <w:t>.</w:t>
      </w:r>
      <w:bookmarkEnd w:id="30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9.8</w:t>
      </w:r>
      <w:r w:rsidRPr="004801D8">
        <w:rPr>
          <w:rFonts w:asciiTheme="majorBidi" w:hAnsiTheme="majorBidi" w:cstheme="majorBidi"/>
          <w:lang w:val="es-ES_tradnl"/>
        </w:rPr>
        <w:tab/>
      </w:r>
      <w:bookmarkStart w:id="310" w:name="lt_pId67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está de acuerdo con las observaciones de los anteriores oradores. Señala, además, que la Administración de Argelia ya ha tenido problemas con la correspondencia en el pasado. No obstante, el sistema de notificación en virtud del Acuerdo</w:t>
      </w:r>
      <w:bookmarkStart w:id="311" w:name="lt_pId673"/>
      <w:bookmarkEnd w:id="310"/>
      <w:r w:rsidRPr="004801D8">
        <w:rPr>
          <w:rFonts w:asciiTheme="majorBidi" w:hAnsiTheme="majorBidi" w:cstheme="majorBidi"/>
          <w:lang w:val="es-ES_tradnl"/>
        </w:rPr>
        <w:t xml:space="preserve"> GE06, eficiente y bien conocido, implica numerosos recordatorios que, en principio, deberían haber recibido todas las administraciones a las que fueron destinados. Pregunta si la Oficina recibió respuesta de alguna administración durante los cuarenta días estipulados en el</w:t>
      </w:r>
      <w:bookmarkStart w:id="312" w:name="lt_pId674"/>
      <w:bookmarkEnd w:id="311"/>
      <w:r w:rsidRPr="004801D8">
        <w:rPr>
          <w:rFonts w:asciiTheme="majorBidi" w:hAnsiTheme="majorBidi" w:cstheme="majorBidi"/>
          <w:lang w:val="es-ES_tradnl"/>
        </w:rPr>
        <w:t xml:space="preserve"> § 4.1.4.11 y, en tal caso, de qué país. Pregunta también por qué, si no se recibieron respuestas durante los cuarenta días previstos en el § 4.1.4.11, la Oficina no consideró que se había «completado la coordinación» de las asignaciones de Argelia al expirar dicho periodo.</w:t>
      </w:r>
      <w:bookmarkEnd w:id="31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9.9</w:t>
      </w:r>
      <w:r w:rsidRPr="004801D8">
        <w:rPr>
          <w:rFonts w:asciiTheme="majorBidi" w:hAnsiTheme="majorBidi" w:cstheme="majorBidi"/>
          <w:lang w:val="es-ES_tradnl"/>
        </w:rPr>
        <w:tab/>
      </w:r>
      <w:bookmarkStart w:id="313" w:name="lt_pId67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indica que el principal argumento de Argelia parece ser ese recordatorio extraordinario enviado por la Oficina a ciertas administraciones, dándoles así más tiempo para reaccionar cuando, de acuerdo con los términos de Acuerdo, el procedimiento debería haberse finalizado con el acuerdo tácito que evitaba a Argelia la necesidad de realizar la coordinación.</w:t>
      </w:r>
      <w:bookmarkEnd w:id="31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9.10</w:t>
      </w:r>
      <w:r w:rsidRPr="004801D8">
        <w:rPr>
          <w:rFonts w:asciiTheme="majorBidi" w:hAnsiTheme="majorBidi" w:cstheme="majorBidi"/>
          <w:lang w:val="es-ES_tradnl"/>
        </w:rPr>
        <w:tab/>
      </w:r>
      <w:bookmarkStart w:id="314" w:name="lt_pId678"/>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dice que el principal problema está en qué debe hacer la Oficina si una o más administraciones no reciben su correspondencia, ya que, independientemente de que se envíen o no otros recordatorios, la no recepción de la correspondencia conlleva una posible pérdida de derechos para las administraciones concernidas. En el caso que tiene ante sí la Junta, tres administraciones no recibieron la correspondencia, a raíz de lo cual se les enviaron correos electrónicos y se fijó un nuevo plazo límite. No le parece que el procedimiento sea inadecuado. Por lo tanto, hay que saber si, cuando varias administraciones dicen que no han recibido la correspondencia, la Oficina no debería alterar el procedimiento fijado en el Acuerdo</w:t>
      </w:r>
      <w:bookmarkEnd w:id="314"/>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9.11</w:t>
      </w:r>
      <w:r w:rsidRPr="004801D8">
        <w:rPr>
          <w:rFonts w:asciiTheme="majorBidi" w:hAnsiTheme="majorBidi" w:cstheme="majorBidi"/>
          <w:lang w:val="es-ES_tradnl"/>
        </w:rPr>
        <w:tab/>
      </w:r>
      <w:bookmarkStart w:id="315" w:name="lt_pId683"/>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señala que en la Carta Circular CR/366 efectivamente se habla de enviar correos electrónicos, si el fax falla.</w:t>
      </w:r>
      <w:bookmarkEnd w:id="31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9.12</w:t>
      </w:r>
      <w:r w:rsidRPr="004801D8">
        <w:rPr>
          <w:rFonts w:asciiTheme="majorBidi" w:hAnsiTheme="majorBidi" w:cstheme="majorBidi"/>
          <w:lang w:val="es-ES_tradnl"/>
        </w:rPr>
        <w:tab/>
      </w:r>
      <w:bookmarkStart w:id="316" w:name="lt_pId68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la no recepción de la correspondencia es un problema recurrente desde hace años. En el caso del número</w:t>
      </w:r>
      <w:bookmarkStart w:id="317" w:name="lt_pId686"/>
      <w:bookmarkEnd w:id="316"/>
      <w:r w:rsidRPr="004801D8">
        <w:rPr>
          <w:rFonts w:asciiTheme="majorBidi" w:hAnsiTheme="majorBidi" w:cstheme="majorBidi"/>
          <w:lang w:val="es-ES_tradnl"/>
        </w:rPr>
        <w:t xml:space="preserve"> 13.6, las disposiciones son claras y estrictas, la consecuencia de no </w:t>
      </w:r>
      <w:r w:rsidRPr="004801D8">
        <w:rPr>
          <w:rFonts w:asciiTheme="majorBidi" w:hAnsiTheme="majorBidi" w:cstheme="majorBidi"/>
          <w:lang w:val="es-ES_tradnl"/>
        </w:rPr>
        <w:lastRenderedPageBreak/>
        <w:t>respetar los plazos es la pérdida de derechos y parece que se trata de una disposición que todo el mundo entiende bien, pues todas las partes muestran una gran cautela a la hora de aplicarla, con otras disposiciones, no obstante, como el número</w:t>
      </w:r>
      <w:bookmarkStart w:id="318" w:name="lt_pId687"/>
      <w:bookmarkEnd w:id="317"/>
      <w:r w:rsidRPr="004801D8">
        <w:rPr>
          <w:rFonts w:asciiTheme="majorBidi" w:hAnsiTheme="majorBidi" w:cstheme="majorBidi"/>
          <w:lang w:val="es-ES_tradnl"/>
        </w:rPr>
        <w:t xml:space="preserve"> 11.49, los países son menos cuidadosos, lo que llevó a la CMR a introducir penalizaciones en caso de incumplimiento. En general, excepto cuando se trata del número</w:t>
      </w:r>
      <w:bookmarkStart w:id="319" w:name="lt_pId688"/>
      <w:bookmarkEnd w:id="318"/>
      <w:r w:rsidRPr="004801D8">
        <w:rPr>
          <w:rFonts w:asciiTheme="majorBidi" w:hAnsiTheme="majorBidi" w:cstheme="majorBidi"/>
          <w:lang w:val="es-ES_tradnl"/>
        </w:rPr>
        <w:t xml:space="preserve"> 13.6, la UIT es muy generosa con los recordatorios y prevé el envío de varios para asegurarse de que las administraciones no pierden sus derechos. En este caso, no obstante, Argelia protesta contra la medida adoptada por la Oficina, insistiendo en que ésta debería haberse atenido estrictamente a lo dispuesto en el Acuerdo</w:t>
      </w:r>
      <w:bookmarkStart w:id="320" w:name="lt_pId689"/>
      <w:bookmarkEnd w:id="319"/>
      <w:r w:rsidRPr="004801D8">
        <w:rPr>
          <w:rFonts w:asciiTheme="majorBidi" w:hAnsiTheme="majorBidi" w:cstheme="majorBidi"/>
          <w:lang w:val="es-ES_tradnl"/>
        </w:rPr>
        <w:t xml:space="preserve"> GE06 y, en ese sentido, Argelia tiene razón. Sin embargo, de haberlo hecho así diversas otras administraciones habrían perdido sus derechos. En su opinión, se trata de un problema sin solución, excepto quizá explicar la situación a todas las partes concernidas y buscar la manera de solucionarlo mediante el diálogo, quizá incluso en la próxima CMR</w:t>
      </w:r>
      <w:bookmarkStart w:id="321" w:name="lt_pId691"/>
      <w:bookmarkEnd w:id="320"/>
      <w:r w:rsidRPr="004801D8">
        <w:rPr>
          <w:rFonts w:asciiTheme="majorBidi" w:hAnsiTheme="majorBidi" w:cstheme="majorBidi"/>
          <w:lang w:val="es-ES_tradnl"/>
        </w:rPr>
        <w:t>.</w:t>
      </w:r>
      <w:bookmarkEnd w:id="32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9.13</w:t>
      </w:r>
      <w:r w:rsidRPr="004801D8">
        <w:rPr>
          <w:rFonts w:asciiTheme="majorBidi" w:hAnsiTheme="majorBidi" w:cstheme="majorBidi"/>
          <w:lang w:val="es-ES_tradnl"/>
        </w:rPr>
        <w:tab/>
      </w:r>
      <w:bookmarkStart w:id="322" w:name="lt_pId69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entiende que la Oficina ha cometido ciertos errores en su tramitación de la modificación del Plan de Argelia y que ese país tiene motivos para estar perplejo. Por ejemplo, en un momento Argelia solicitó a la Oficina, en virtud del número</w:t>
      </w:r>
      <w:bookmarkStart w:id="323" w:name="lt_pId694"/>
      <w:bookmarkEnd w:id="322"/>
      <w:r w:rsidRPr="004801D8">
        <w:rPr>
          <w:rFonts w:asciiTheme="majorBidi" w:hAnsiTheme="majorBidi" w:cstheme="majorBidi"/>
          <w:lang w:val="es-ES_tradnl"/>
        </w:rPr>
        <w:t xml:space="preserve"> § 4.1.4.11, confirmación de que se había completado la coordinación, pero tuvo que enviar más cartas antes de recibir una respuesta. Esa respuesta indicaba una conclusión favorable, excepto con respecto a una administración, pero, cuando Argelia pidió más aclaraciones en cuanto a la situación de coordinación con otras administraciones, ésta había pasado repentinamente de «completada» a «necesaria». En su opinión, una de las tareas diarias básicas de los funcionarios del servicio de frecuencias es verificar cuidadosamente la</w:t>
      </w:r>
      <w:bookmarkStart w:id="324" w:name="lt_pId696"/>
      <w:bookmarkEnd w:id="323"/>
      <w:r w:rsidRPr="004801D8">
        <w:rPr>
          <w:rFonts w:asciiTheme="majorBidi" w:hAnsiTheme="majorBidi" w:cstheme="majorBidi"/>
          <w:lang w:val="es-ES_tradnl"/>
        </w:rPr>
        <w:t xml:space="preserve"> BR IFIC sin esperar a recibir recordatorios. Como ha señalado el Sr. </w:t>
      </w:r>
      <w:proofErr w:type="spellStart"/>
      <w:r w:rsidRPr="004801D8">
        <w:rPr>
          <w:rFonts w:asciiTheme="majorBidi" w:hAnsiTheme="majorBidi" w:cstheme="majorBidi"/>
          <w:lang w:val="es-ES_tradnl"/>
        </w:rPr>
        <w:t>Khairov</w:t>
      </w:r>
      <w:proofErr w:type="spellEnd"/>
      <w:r w:rsidRPr="004801D8">
        <w:rPr>
          <w:rFonts w:asciiTheme="majorBidi" w:hAnsiTheme="majorBidi" w:cstheme="majorBidi"/>
          <w:lang w:val="es-ES_tradnl"/>
        </w:rPr>
        <w:t>, se enviaron a las administraciones varios recordatorios antes del recordatorio causante del problema. Las administraciones habían tenido más que suficientes oportunidades de recibir la información y responder. Argelia ha cumplido perfectamente con todas sus obligaciones. La culpa es de los funcionarios del servicio de frecuencias por no hacer su trabajo. Por último, las disposiciones del Acuerdo</w:t>
      </w:r>
      <w:bookmarkStart w:id="325" w:name="lt_pId699"/>
      <w:bookmarkEnd w:id="324"/>
      <w:r w:rsidRPr="004801D8">
        <w:rPr>
          <w:rFonts w:asciiTheme="majorBidi" w:hAnsiTheme="majorBidi" w:cstheme="majorBidi"/>
          <w:lang w:val="es-ES_tradnl"/>
        </w:rPr>
        <w:t xml:space="preserve"> GE06 están clarísimas en cuanto a los plazos que fijan y las consecuencias de no respetarlos. No tiene sentido elaborar una nueva Regla de Procedimiento sobre este tema, pues la situación sería la misma independientemente del número de recordatorios enviados</w:t>
      </w:r>
      <w:bookmarkStart w:id="326" w:name="lt_pId700"/>
      <w:bookmarkEnd w:id="325"/>
      <w:r w:rsidRPr="004801D8">
        <w:rPr>
          <w:rFonts w:asciiTheme="majorBidi" w:hAnsiTheme="majorBidi" w:cstheme="majorBidi"/>
          <w:lang w:val="es-ES_tradnl"/>
        </w:rPr>
        <w:t>.</w:t>
      </w:r>
      <w:bookmarkEnd w:id="32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9.14</w:t>
      </w:r>
      <w:r w:rsidRPr="004801D8">
        <w:rPr>
          <w:rFonts w:asciiTheme="majorBidi" w:hAnsiTheme="majorBidi" w:cstheme="majorBidi"/>
          <w:lang w:val="es-ES_tradnl"/>
        </w:rPr>
        <w:tab/>
      </w:r>
      <w:bookmarkStart w:id="327" w:name="lt_pId70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está de acuerdo con esas observaciones y pregunta por qué, una vez expirado el plazo del § 4.1.4.11, la situación de coordinación de las asignaciones de Argelia había cambiado de «completa» a «necesaria».</w:t>
      </w:r>
      <w:bookmarkEnd w:id="32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9.15</w:t>
      </w:r>
      <w:r w:rsidRPr="004801D8">
        <w:rPr>
          <w:rFonts w:asciiTheme="majorBidi" w:hAnsiTheme="majorBidi" w:cstheme="majorBidi"/>
          <w:lang w:val="es-ES_tradnl"/>
        </w:rPr>
        <w:tab/>
      </w:r>
      <w:bookmarkStart w:id="328" w:name="lt_pId70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xml:space="preserve"> subraya que la Oficina ha hecho todo lo posible para que la situación sea clara para todas las administraciones y se protejan sus derechos. El problema que se presenta a la Junta surge principalmente de las medidas adoptadas en aplicación del</w:t>
      </w:r>
      <w:bookmarkStart w:id="329" w:name="lt_pId705"/>
      <w:bookmarkEnd w:id="328"/>
      <w:r w:rsidRPr="004801D8">
        <w:rPr>
          <w:rFonts w:asciiTheme="majorBidi" w:hAnsiTheme="majorBidi" w:cstheme="majorBidi"/>
          <w:lang w:val="es-ES_tradnl"/>
        </w:rPr>
        <w:t xml:space="preserve"> § 4.1.4.10 y de la interpretación de esa disposición. Por motivos desconocidos, los recordatorios preparados por la Oficina se enviaron al servicio de transmisión por fax, pero nunca llegaron a las tres administraciones concernidas. Tres otras administraciones consultadas en paralelo confirmaron que tampoco habían recibido el fax de la Oficina. En particular, Túnez no gana nada confirmando no haber recibido los faxes, pues la Administración de Túnez ya había reaccionado a las asignaciones de Argelia y se había puesto en contacto con la Oficina. Así, hay diversos factores que indican que hubo un problema en la transmisión de los faxes. En respuesta a las preguntas del Sr.</w:t>
      </w:r>
      <w:bookmarkStart w:id="330" w:name="lt_pId710"/>
      <w:bookmarkEnd w:id="329"/>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Khairov</w:t>
      </w:r>
      <w:proofErr w:type="spellEnd"/>
      <w:r w:rsidRPr="004801D8">
        <w:rPr>
          <w:rFonts w:asciiTheme="majorBidi" w:hAnsiTheme="majorBidi" w:cstheme="majorBidi"/>
          <w:lang w:val="es-ES_tradnl"/>
        </w:rPr>
        <w:t>, confirma que una administración, a saber, España, recibió el fax de la Oficina y respondió dentro del periodo de cuarenta días previsto en el § 4.1.4.11, mientras que las Administraciones de Francia, Libia y Marruecos no habían recibido los faxes. También cabe señalar que las medidas adoptadas por la Oficina están motivadas por el conocimiento de la posición de Marruecos con respecto a las asignaciones de Argelia desde el primer momento, pues Marruecos reaccionó inmediatamente, el 29 de julio de 2015, a la publicación de la Sección Especial con las modificaciones del Plan de Argelia expresando su desacuerdo con ellas e indicando que todo acuerdo de Marruecos debería someterse a un acuerdo mutuo entre Argelia y Marruecos con respecto a las asignaciones marroquíes</w:t>
      </w:r>
      <w:bookmarkStart w:id="331" w:name="lt_pId711"/>
      <w:bookmarkEnd w:id="330"/>
      <w:r w:rsidRPr="004801D8">
        <w:rPr>
          <w:rFonts w:asciiTheme="majorBidi" w:hAnsiTheme="majorBidi" w:cstheme="majorBidi"/>
          <w:lang w:val="es-ES_tradnl"/>
        </w:rPr>
        <w:t>.</w:t>
      </w:r>
      <w:bookmarkEnd w:id="331"/>
      <w:r w:rsidRPr="004801D8">
        <w:rPr>
          <w:rFonts w:asciiTheme="majorBidi" w:hAnsiTheme="majorBidi" w:cstheme="majorBidi"/>
          <w:lang w:val="es-ES_tradnl"/>
        </w:rPr>
        <w:t xml:space="preserve"> </w:t>
      </w:r>
      <w:bookmarkStart w:id="332" w:name="lt_pId712"/>
      <w:r w:rsidRPr="004801D8">
        <w:rPr>
          <w:rFonts w:asciiTheme="majorBidi" w:hAnsiTheme="majorBidi" w:cstheme="majorBidi"/>
          <w:lang w:val="es-ES_tradnl"/>
        </w:rPr>
        <w:t xml:space="preserve">Del mismo modo, siguiendo con las medidas adoptadas por la oficina, observa que se ha de distinguir entre la BR IFIC, que es la publicación oficial de la Oficina, y lo que se publica en el sitio web de la BR, que </w:t>
      </w:r>
      <w:r w:rsidRPr="004801D8">
        <w:rPr>
          <w:rFonts w:asciiTheme="majorBidi" w:hAnsiTheme="majorBidi" w:cstheme="majorBidi"/>
          <w:lang w:val="es-ES_tradnl"/>
        </w:rPr>
        <w:lastRenderedPageBreak/>
        <w:t>es una herramienta automatizada no oficial a disposición de los Miembros. Fue en este último donde, apenas cumplirse el periodo de cuarenta días previsto en el</w:t>
      </w:r>
      <w:bookmarkStart w:id="333" w:name="lt_pId713"/>
      <w:bookmarkEnd w:id="332"/>
      <w:r w:rsidRPr="004801D8">
        <w:rPr>
          <w:rFonts w:asciiTheme="majorBidi" w:hAnsiTheme="majorBidi" w:cstheme="majorBidi"/>
          <w:lang w:val="es-ES_tradnl"/>
        </w:rPr>
        <w:t xml:space="preserve"> § 4.1.4.11, un operador lanzó el proceso relativo a las asignaciones de Argelia, generando automáticamente la «coordinación completa», pues no se había recibido respuesta de otras administraciones concernidas. Casi inmediatamente después, ese estado se rectificó a «coordinación necesaria» porque la Oficina sabía que se esperaban respuestas. Por tanto, el repentino cambio de estado se debe a que el sitio web está automatizado, pero puede tener que corregirse. Por último, la Oficina no respondió al primer recordatorio de Argelia tras haberse cumplido los cuarenta días previstos en el</w:t>
      </w:r>
      <w:bookmarkStart w:id="334" w:name="lt_pId716"/>
      <w:bookmarkEnd w:id="333"/>
      <w:r w:rsidRPr="004801D8">
        <w:rPr>
          <w:rFonts w:asciiTheme="majorBidi" w:hAnsiTheme="majorBidi" w:cstheme="majorBidi"/>
          <w:lang w:val="es-ES_tradnl"/>
        </w:rPr>
        <w:t xml:space="preserve"> § 4.1.4.11 porque la fecha coincidió con el último fin de semana de la CMR-15, momento en que todo el personal estaba ocupado con la Conferencia.</w:t>
      </w:r>
      <w:bookmarkEnd w:id="33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9.16</w:t>
      </w:r>
      <w:r w:rsidRPr="004801D8">
        <w:rPr>
          <w:rFonts w:asciiTheme="majorBidi" w:hAnsiTheme="majorBidi" w:cstheme="majorBidi"/>
          <w:lang w:val="es-ES_tradnl"/>
        </w:rPr>
        <w:tab/>
      </w:r>
      <w:bookmarkStart w:id="335" w:name="lt_pId71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la carga de trabajo de la CMR-15 explica algunas cosas, pero no todo. No logra entender por qué la Oficina, tras la expiración del plazo de cuarenta días y la publicación, y posterior revisión, de las conclusiones en el sitio web, y sin haber recibido correspondencia de las administraciones, decidió por su cuenta volver a escribir a las administraciones para conocer su postura en relación con las asignaciones de Argelia y fijo un plazo para responder que no se ajusta a lo dispuesto en el Acuerdo</w:t>
      </w:r>
      <w:bookmarkStart w:id="336" w:name="lt_pId719"/>
      <w:bookmarkEnd w:id="335"/>
      <w:r w:rsidRPr="004801D8">
        <w:rPr>
          <w:rFonts w:asciiTheme="majorBidi" w:hAnsiTheme="majorBidi" w:cstheme="majorBidi"/>
          <w:lang w:val="es-ES_tradnl"/>
        </w:rPr>
        <w:t xml:space="preserve"> GE06. Sigue convencido de que la queja de Argelia está justificada, de que la Oficina ha cometido ciertos errores en la tramitación de la notificación en cuestión y de que no es necesario elaborar una Regla de Procedimiento, pues las disposiciones del Acuerdo y las Reglas de Procedimiento existentes están perfectamente claras. Se ha de decir a las administraciones afectadas que su objeción a las asignaciones de Argelia no puede tenerse en cuenta por haber expirado el plazo límite de respuesta</w:t>
      </w:r>
      <w:bookmarkStart w:id="337" w:name="lt_pId721"/>
      <w:bookmarkEnd w:id="336"/>
      <w:r w:rsidRPr="004801D8">
        <w:rPr>
          <w:rFonts w:asciiTheme="majorBidi" w:hAnsiTheme="majorBidi" w:cstheme="majorBidi"/>
          <w:lang w:val="es-ES_tradnl"/>
        </w:rPr>
        <w:t>.</w:t>
      </w:r>
      <w:bookmarkEnd w:id="33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9.17</w:t>
      </w:r>
      <w:r w:rsidRPr="004801D8">
        <w:rPr>
          <w:rFonts w:asciiTheme="majorBidi" w:hAnsiTheme="majorBidi" w:cstheme="majorBidi"/>
          <w:lang w:val="es-ES_tradnl"/>
        </w:rPr>
        <w:tab/>
      </w:r>
      <w:bookmarkStart w:id="338" w:name="lt_pId72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xml:space="preserve"> dice que la Oficina, a la luz de la información de que disponía, tomó las medidas que en su opinión mejor se ajustaban a la aplicación del Acuerdo GE06. En primer lugar, había recibido una carta de la Administración de Marruecos con fecha</w:t>
      </w:r>
      <w:bookmarkStart w:id="339" w:name="lt_pId724"/>
      <w:bookmarkEnd w:id="338"/>
      <w:r w:rsidRPr="004801D8">
        <w:rPr>
          <w:rFonts w:asciiTheme="majorBidi" w:hAnsiTheme="majorBidi" w:cstheme="majorBidi"/>
          <w:lang w:val="es-ES_tradnl"/>
        </w:rPr>
        <w:t xml:space="preserve"> 29 de julio de 2015 (justo después de la publicación en la IFIC de las modificaciones del Plan de Argelia) en la que Marruecos claramente indicaba su desacuerdo con las asignaciones de Argelia. En segundo lugar, la Oficina había participado y coordinado diversas reuniones subregionales en las que se había acordado que diversas administraciones no darían su acuerdo a las modificaciones del Plan de Argelia inmediatamente, pero podrían hacerlo con posterioridad en el marco de acuerdos mutuos que aún no estaban finalizado. Por tanto, la Oficina conocía la posición de las administraciones concernidas por haber asistido e incluso ayudado a organizar las reuniones de coordinación en que se habían manifestado esas posturas. Efectivamente, quizá se cometió un error al actualizar sin supervisión la base de datos, lo que llevó a que la situación de coordinación apareciese en primer lugar como «completa» y posteriormente como «necesaria». Puede que eso hiciese que los países no contestasen indicando su desacuerdo. Por consiguiente, para rectificar la no recepción del primer fax enviado por la Oficina en virtud del</w:t>
      </w:r>
      <w:bookmarkStart w:id="340" w:name="lt_pId729"/>
      <w:bookmarkEnd w:id="339"/>
      <w:r w:rsidRPr="004801D8">
        <w:rPr>
          <w:rFonts w:asciiTheme="majorBidi" w:hAnsiTheme="majorBidi" w:cstheme="majorBidi"/>
          <w:lang w:val="es-ES_tradnl"/>
        </w:rPr>
        <w:t xml:space="preserve"> § 4.1.4.10, la Oficina envió a las administraciones concernidas una solicitud de confirmación de que habían recibido el recordatorio. Esa fue la iniciativa adoptada por la Oficina para resolver una situación para la que las disposiciones del Acuerdo GE06 no ofrecen solución alguna</w:t>
      </w:r>
      <w:bookmarkStart w:id="341" w:name="lt_pId730"/>
      <w:bookmarkEnd w:id="340"/>
      <w:r w:rsidRPr="004801D8">
        <w:rPr>
          <w:rFonts w:asciiTheme="majorBidi" w:hAnsiTheme="majorBidi" w:cstheme="majorBidi"/>
          <w:lang w:val="es-ES_tradnl"/>
        </w:rPr>
        <w:t>.</w:t>
      </w:r>
      <w:bookmarkEnd w:id="341"/>
    </w:p>
    <w:p w:rsidR="004801D8" w:rsidRPr="004801D8" w:rsidRDefault="004801D8" w:rsidP="00FB04F1">
      <w:pPr>
        <w:rPr>
          <w:rFonts w:asciiTheme="majorBidi" w:hAnsiTheme="majorBidi" w:cstheme="majorBidi"/>
          <w:lang w:val="es-ES_tradnl"/>
        </w:rPr>
      </w:pPr>
      <w:r w:rsidRPr="004801D8">
        <w:rPr>
          <w:rFonts w:asciiTheme="majorBidi" w:hAnsiTheme="majorBidi" w:cstheme="majorBidi"/>
          <w:lang w:val="es-ES_tradnl"/>
        </w:rPr>
        <w:t>9.18</w:t>
      </w:r>
      <w:r w:rsidRPr="004801D8">
        <w:rPr>
          <w:rFonts w:asciiTheme="majorBidi" w:hAnsiTheme="majorBidi" w:cstheme="majorBidi"/>
          <w:lang w:val="es-ES_tradnl"/>
        </w:rPr>
        <w:tab/>
      </w:r>
      <w:bookmarkStart w:id="342" w:name="lt_pId73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observa que la Oficina utiliza una máquina para enviar los faxes a las administraciones y que la máquina confirmó que los faxes se habían enviado y recibido. Las administraciones dicen no haber recibido los faxes. Dadas las circunstancias resulta muy difícil determinar de quién es la culpa. Hasta ahora el debate se ha centrado en la historia de la notificación de modificación del Plan de Argelia y en los distintos plazos aplicados, pero ve que en su solicitud, como queda muy claro en el último párrafo de su carta de 25 de abril de</w:t>
      </w:r>
      <w:bookmarkStart w:id="343" w:name="lt_pId735"/>
      <w:bookmarkEnd w:id="342"/>
      <w:r w:rsidRPr="004801D8">
        <w:rPr>
          <w:rFonts w:asciiTheme="majorBidi" w:hAnsiTheme="majorBidi" w:cstheme="majorBidi"/>
          <w:lang w:val="es-ES_tradnl"/>
        </w:rPr>
        <w:t xml:space="preserve"> 2016, Argelia pide a la Junta que elabore una Regla de Procedimiento donde se definan los términos de admisibilidad de las comunicaciones enviadas por la Oficina. En su opinión, la Junta debería centrarse en esa solicitud</w:t>
      </w:r>
      <w:bookmarkStart w:id="344" w:name="lt_pId736"/>
      <w:bookmarkEnd w:id="343"/>
      <w:r w:rsidRPr="004801D8">
        <w:rPr>
          <w:rFonts w:asciiTheme="majorBidi" w:hAnsiTheme="majorBidi" w:cstheme="majorBidi"/>
          <w:lang w:val="es-ES_tradnl"/>
        </w:rPr>
        <w:t>.</w:t>
      </w:r>
      <w:bookmarkEnd w:id="34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9.19</w:t>
      </w:r>
      <w:r w:rsidRPr="004801D8">
        <w:rPr>
          <w:rFonts w:asciiTheme="majorBidi" w:hAnsiTheme="majorBidi" w:cstheme="majorBidi"/>
          <w:lang w:val="es-ES_tradnl"/>
        </w:rPr>
        <w:tab/>
      </w:r>
      <w:bookmarkStart w:id="345" w:name="lt_pId74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dice que el examen de la solicitud presentada a la Junta ha llevado a la identificación de diversas anomalías en relación con el Acuerdo GE06, por lo que la Junta debe </w:t>
      </w:r>
      <w:r w:rsidRPr="004801D8">
        <w:rPr>
          <w:rFonts w:asciiTheme="majorBidi" w:hAnsiTheme="majorBidi" w:cstheme="majorBidi"/>
          <w:lang w:val="es-ES_tradnl"/>
        </w:rPr>
        <w:lastRenderedPageBreak/>
        <w:t>considerar si debe o no elaborar una Regla de Procedimiento para aclarar la cuestión, como pide Argelia.</w:t>
      </w:r>
      <w:bookmarkEnd w:id="34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9.20</w:t>
      </w:r>
      <w:r w:rsidRPr="004801D8">
        <w:rPr>
          <w:rFonts w:asciiTheme="majorBidi" w:hAnsiTheme="majorBidi" w:cstheme="majorBidi"/>
          <w:lang w:val="es-ES_tradnl"/>
        </w:rPr>
        <w:tab/>
      </w:r>
      <w:bookmarkStart w:id="346" w:name="lt_pId751"/>
      <w:r w:rsidRPr="004801D8">
        <w:rPr>
          <w:rFonts w:asciiTheme="majorBidi" w:hAnsiTheme="majorBidi" w:cstheme="majorBidi"/>
          <w:lang w:val="es-ES_tradnl"/>
        </w:rPr>
        <w:t xml:space="preserve">En respuesta a las explicaciones del Sr. Méndez, 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los detalles o resultados de las negociaciones entre grupos regionales, o cualquier hipótesis en ese sentido, no tienen cabida en el marco del Acuerdo GE06 y su procedimiento. Los plazos en él previstos y las consecuencias de su incumplimiento están claros, por lo que no ve justificado elaborar una Regla de Procedimiento al respecto. Si los, al menos, cuatro recordatorios previstos por el Acuerdo GE06 no bastan, una Regla de Procedimiento no resolverá el problema</w:t>
      </w:r>
      <w:bookmarkStart w:id="347" w:name="lt_pId753"/>
      <w:bookmarkEnd w:id="346"/>
      <w:r w:rsidRPr="004801D8">
        <w:rPr>
          <w:rFonts w:asciiTheme="majorBidi" w:hAnsiTheme="majorBidi" w:cstheme="majorBidi"/>
          <w:lang w:val="es-ES_tradnl"/>
        </w:rPr>
        <w:t>.</w:t>
      </w:r>
      <w:bookmarkEnd w:id="34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9.21</w:t>
      </w:r>
      <w:r w:rsidRPr="004801D8">
        <w:rPr>
          <w:rFonts w:asciiTheme="majorBidi" w:hAnsiTheme="majorBidi" w:cstheme="majorBidi"/>
          <w:lang w:val="es-ES_tradnl"/>
        </w:rPr>
        <w:tab/>
      </w:r>
      <w:bookmarkStart w:id="348" w:name="lt_pId75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xml:space="preserve"> reitera que la Oficina basó sus acciones en la información de que disponía. En ese sentido, lee en voz alta la carta de la Administración de Marruecos a que se había referido, con fecha</w:t>
      </w:r>
      <w:bookmarkStart w:id="349" w:name="lt_pId756"/>
      <w:bookmarkEnd w:id="348"/>
      <w:r w:rsidRPr="004801D8">
        <w:rPr>
          <w:rFonts w:asciiTheme="majorBidi" w:hAnsiTheme="majorBidi" w:cstheme="majorBidi"/>
          <w:lang w:val="es-ES_tradnl"/>
        </w:rPr>
        <w:t xml:space="preserve"> 29 de julio de 2015, dirigida al Director de la BR.</w:t>
      </w:r>
      <w:bookmarkEnd w:id="349"/>
      <w:r w:rsidRPr="004801D8">
        <w:rPr>
          <w:rFonts w:asciiTheme="majorBidi" w:hAnsiTheme="majorBidi" w:cstheme="majorBidi"/>
          <w:lang w:val="es-ES_tradnl"/>
        </w:rPr>
        <w:t xml:space="preserve"> </w:t>
      </w:r>
      <w:bookmarkStart w:id="350" w:name="lt_pId757"/>
      <w:r w:rsidRPr="004801D8">
        <w:rPr>
          <w:rFonts w:asciiTheme="majorBidi" w:hAnsiTheme="majorBidi" w:cstheme="majorBidi"/>
          <w:lang w:val="es-ES_tradnl"/>
        </w:rPr>
        <w:t>En esa carta, Marruecos pide específicamente que se elimine su nombre de la lista de países que habían dado su acuerdo a las asignaciones enumeradas en el anexo a esa carta, que incluyen las asignaciones de Argelia. La carta prosigue diciendo que, durante el ejercicio de coordinación de las frecuencias de televisión digital terrenal en la banda</w:t>
      </w:r>
      <w:bookmarkStart w:id="351" w:name="lt_pId758"/>
      <w:bookmarkEnd w:id="350"/>
      <w:r w:rsidRPr="004801D8">
        <w:rPr>
          <w:rFonts w:asciiTheme="majorBidi" w:hAnsiTheme="majorBidi" w:cstheme="majorBidi"/>
          <w:lang w:val="es-ES_tradnl"/>
        </w:rPr>
        <w:t xml:space="preserve"> 470-694 MHz, organizado por la UIT para los países Árabes, se acordó que los acuerdos mutuos alcanzados a lo largo del mismo eran de carácter provisional y sólo se considerarían definitivos una vez completada la coordinación necesaria con los países vecinos. Esa carta es una comunicación oficial de Marruecos a la Oficina y su Director y se refiere a una reunión en la que la UIT había participado directamente</w:t>
      </w:r>
      <w:bookmarkStart w:id="352" w:name="lt_pId759"/>
      <w:bookmarkEnd w:id="351"/>
      <w:r w:rsidRPr="004801D8">
        <w:rPr>
          <w:rFonts w:asciiTheme="majorBidi" w:hAnsiTheme="majorBidi" w:cstheme="majorBidi"/>
          <w:lang w:val="es-ES_tradnl"/>
        </w:rPr>
        <w:t>.</w:t>
      </w:r>
      <w:bookmarkEnd w:id="35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9.22</w:t>
      </w:r>
      <w:r w:rsidRPr="004801D8">
        <w:rPr>
          <w:rFonts w:asciiTheme="majorBidi" w:hAnsiTheme="majorBidi" w:cstheme="majorBidi"/>
          <w:lang w:val="es-ES_tradnl"/>
        </w:rPr>
        <w:tab/>
      </w:r>
      <w:bookmarkStart w:id="353" w:name="lt_pId761"/>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sugiere que, a la luz de las explicaciones presentadas sobre la situación en que se encuentran Argelia y las demás administraciones afectadas por sus modificaciones del Plan, así como del hecho que en su solicitud Argelia pide la elaboración de un proyecto de Regla de Procedimiento, la Junta concluya de la manera siguiente:</w:t>
      </w:r>
      <w:bookmarkEnd w:id="353"/>
    </w:p>
    <w:p w:rsidR="004801D8" w:rsidRPr="004801D8" w:rsidRDefault="004801D8" w:rsidP="00B51E5A">
      <w:pPr>
        <w:rPr>
          <w:rFonts w:asciiTheme="majorBidi" w:hAnsiTheme="majorBidi" w:cstheme="majorBidi"/>
          <w:color w:val="000000"/>
          <w:lang w:val="es-ES_tradnl"/>
        </w:rPr>
      </w:pPr>
      <w:bookmarkStart w:id="354" w:name="lt_pId764"/>
      <w:r w:rsidRPr="004801D8">
        <w:rPr>
          <w:rFonts w:asciiTheme="majorBidi" w:hAnsiTheme="majorBidi" w:cstheme="majorBidi"/>
          <w:lang w:val="es-ES_tradnl"/>
        </w:rPr>
        <w:t>«</w:t>
      </w:r>
      <w:r w:rsidRPr="004801D8">
        <w:rPr>
          <w:rFonts w:asciiTheme="majorBidi" w:hAnsiTheme="majorBidi" w:cstheme="majorBidi"/>
          <w:color w:val="000000"/>
          <w:lang w:val="es-ES_tradnl"/>
        </w:rPr>
        <w:t>La Junta examinó muy cuidadosamente la contribución de la Administración de Argelia presentada en el Documento RRB16-2/11 relativa a las dificultades que ha sufrido esta Administración. La Junta ha solicitado a la Oficina que siga prestando asistencia a la administración considerada en sus esfuerzos para encontrar una solución a este problema.</w:t>
      </w:r>
    </w:p>
    <w:p w:rsidR="004801D8" w:rsidRPr="004801D8" w:rsidRDefault="004801D8" w:rsidP="00B51E5A">
      <w:pPr>
        <w:rPr>
          <w:rFonts w:asciiTheme="majorBidi" w:hAnsiTheme="majorBidi" w:cstheme="majorBidi"/>
          <w:color w:val="000000"/>
          <w:lang w:val="es-ES_tradnl"/>
        </w:rPr>
      </w:pPr>
      <w:r w:rsidRPr="004801D8">
        <w:rPr>
          <w:rFonts w:asciiTheme="majorBidi" w:hAnsiTheme="majorBidi" w:cstheme="majorBidi"/>
          <w:color w:val="000000"/>
          <w:lang w:val="es-ES_tradnl"/>
        </w:rPr>
        <w:t>La Junta pidió a la Oficina elaborar, para su aprobación en la próxima reunión, una versión actualizada de la Parte A.10 de las Reglas de Procedimiento para asegurar, antes de finalizar los plazos correspondientes, que las administraciones a las cuales se envió un recordatorio de acuerdo con el § 4.1.4.10 del Acuerdo Regional GE06, han recibido estos recordatorios.</w:t>
      </w:r>
      <w:bookmarkEnd w:id="354"/>
      <w:r w:rsidRPr="004801D8">
        <w:rPr>
          <w:rFonts w:asciiTheme="majorBidi" w:hAnsiTheme="majorBidi" w:cstheme="majorBidi"/>
          <w:color w:val="000000"/>
          <w:lang w:val="es-ES_tradnl"/>
        </w:rPr>
        <w:t>»</w:t>
      </w:r>
    </w:p>
    <w:p w:rsidR="004801D8" w:rsidRPr="004801D8" w:rsidRDefault="004801D8" w:rsidP="00B51E5A">
      <w:pPr>
        <w:rPr>
          <w:rFonts w:asciiTheme="majorBidi" w:hAnsiTheme="majorBidi" w:cstheme="majorBidi"/>
          <w:color w:val="000000"/>
          <w:lang w:val="es-ES_tradnl"/>
        </w:rPr>
      </w:pPr>
      <w:r w:rsidRPr="004801D8">
        <w:rPr>
          <w:rFonts w:asciiTheme="majorBidi" w:hAnsiTheme="majorBidi" w:cstheme="majorBidi"/>
          <w:color w:val="000000"/>
          <w:lang w:val="es-ES_tradnl"/>
        </w:rPr>
        <w:t>9.23</w:t>
      </w:r>
      <w:r w:rsidRPr="004801D8">
        <w:rPr>
          <w:rFonts w:asciiTheme="majorBidi" w:hAnsiTheme="majorBidi" w:cstheme="majorBidi"/>
          <w:color w:val="000000"/>
          <w:lang w:val="es-ES_tradnl"/>
        </w:rPr>
        <w:tab/>
      </w:r>
      <w:bookmarkStart w:id="355" w:name="lt_pId766"/>
      <w:r w:rsidRPr="004801D8">
        <w:rPr>
          <w:rFonts w:asciiTheme="majorBidi" w:hAnsiTheme="majorBidi" w:cstheme="majorBidi"/>
          <w:color w:val="000000"/>
          <w:lang w:val="es-ES_tradnl"/>
        </w:rPr>
        <w:t xml:space="preserve">Así se </w:t>
      </w:r>
      <w:r w:rsidRPr="004801D8">
        <w:rPr>
          <w:rFonts w:asciiTheme="majorBidi" w:hAnsiTheme="majorBidi" w:cstheme="majorBidi"/>
          <w:b/>
          <w:bCs/>
          <w:color w:val="000000"/>
          <w:lang w:val="es-ES_tradnl"/>
        </w:rPr>
        <w:t>acuerda</w:t>
      </w:r>
      <w:bookmarkEnd w:id="355"/>
      <w:r w:rsidRPr="004801D8">
        <w:rPr>
          <w:rFonts w:asciiTheme="majorBidi" w:hAnsiTheme="majorBidi" w:cstheme="majorBidi"/>
          <w:color w:val="000000"/>
          <w:lang w:val="es-ES_tradnl"/>
        </w:rPr>
        <w:t>.</w:t>
      </w:r>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10</w:t>
      </w:r>
      <w:r w:rsidRPr="004801D8">
        <w:rPr>
          <w:rFonts w:asciiTheme="majorBidi" w:hAnsiTheme="majorBidi" w:cstheme="majorBidi"/>
          <w:lang w:val="es-ES_tradnl"/>
        </w:rPr>
        <w:tab/>
      </w:r>
      <w:bookmarkStart w:id="356" w:name="lt_pId768"/>
      <w:r w:rsidRPr="004801D8">
        <w:rPr>
          <w:rFonts w:asciiTheme="majorBidi" w:hAnsiTheme="majorBidi" w:cstheme="majorBidi"/>
          <w:color w:val="000000" w:themeColor="text1"/>
          <w:lang w:val="es-ES"/>
        </w:rPr>
        <w:t>Proyecto de Regla de Procedimiento relativa a la tramitación de las solicitudes de coordinación o de las notificaciones de redes de satélites recibidas antes de la entrada en vigor de una decisión de la CMR</w:t>
      </w:r>
      <w:r w:rsidRPr="004801D8">
        <w:rPr>
          <w:rFonts w:asciiTheme="majorBidi" w:hAnsiTheme="majorBidi" w:cstheme="majorBidi"/>
          <w:lang w:val="es-ES_tradnl"/>
        </w:rPr>
        <w:t xml:space="preserve"> (Carta Circular CCRR/55, Documentos RRB16</w:t>
      </w:r>
      <w:r w:rsidRPr="004801D8">
        <w:rPr>
          <w:rFonts w:asciiTheme="majorBidi" w:hAnsiTheme="majorBidi" w:cstheme="majorBidi"/>
          <w:lang w:val="es-ES_tradnl"/>
        </w:rPr>
        <w:noBreakHyphen/>
        <w:t>2/2 y RRB16-2/4)</w:t>
      </w:r>
      <w:bookmarkEnd w:id="35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w:t>
      </w:r>
      <w:r w:rsidRPr="004801D8">
        <w:rPr>
          <w:rFonts w:asciiTheme="majorBidi" w:hAnsiTheme="majorBidi" w:cstheme="majorBidi"/>
          <w:b/>
          <w:bCs/>
          <w:lang w:val="es-ES_tradnl"/>
        </w:rPr>
        <w:tab/>
      </w:r>
      <w:bookmarkStart w:id="357" w:name="lt_pId77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Henri (Jefe de SSD) </w:t>
      </w:r>
      <w:r w:rsidRPr="004801D8">
        <w:rPr>
          <w:rFonts w:asciiTheme="majorBidi" w:hAnsiTheme="majorBidi" w:cstheme="majorBidi"/>
          <w:lang w:val="es-ES_tradnl"/>
        </w:rPr>
        <w:t>presenta la Carta Circular CCRR/55 recordando que, en su anterior reunión, la Junta pidió a la Oficina (§ 7 del Documento RRB16-1/22 – Actas de la 71ª reunión) que elaborase un proyecto de nueva Regla de Procedimiento sobre la admisibilidad de las notificaciones presentadas a la Oficina antes de la fecha efectiva de entrada en vigor de una atribución de frecuencias y tras la adopción de una decisión por la CMR. La Regla de Procedimiento debía basarse en la práctica habitual esbozada en el Anexo</w:t>
      </w:r>
      <w:bookmarkStart w:id="358" w:name="lt_pId771"/>
      <w:bookmarkEnd w:id="357"/>
      <w:r w:rsidRPr="004801D8">
        <w:rPr>
          <w:rFonts w:asciiTheme="majorBidi" w:hAnsiTheme="majorBidi" w:cstheme="majorBidi"/>
          <w:lang w:val="es-ES_tradnl"/>
        </w:rPr>
        <w:t xml:space="preserve"> 1 al Documento RRB16</w:t>
      </w:r>
      <w:r w:rsidRPr="004801D8">
        <w:rPr>
          <w:rFonts w:asciiTheme="majorBidi" w:hAnsiTheme="majorBidi" w:cstheme="majorBidi"/>
          <w:lang w:val="es-ES_tradnl"/>
        </w:rPr>
        <w:noBreakHyphen/>
        <w:t>1/4.</w:t>
      </w:r>
      <w:bookmarkEnd w:id="358"/>
      <w:r w:rsidRPr="004801D8">
        <w:rPr>
          <w:rFonts w:asciiTheme="majorBidi" w:hAnsiTheme="majorBidi" w:cstheme="majorBidi"/>
          <w:lang w:val="es-ES_tradnl"/>
        </w:rPr>
        <w:t xml:space="preserve"> </w:t>
      </w:r>
      <w:bookmarkStart w:id="359" w:name="lt_pId772"/>
      <w:r w:rsidRPr="004801D8">
        <w:rPr>
          <w:rFonts w:asciiTheme="majorBidi" w:hAnsiTheme="majorBidi" w:cstheme="majorBidi"/>
          <w:lang w:val="es-ES_tradnl"/>
        </w:rPr>
        <w:t>La propuesta de proyecto de Regla se reproduce en el anexo a la Carta Circular CCRR/55 y su adopción hará necesaria la modificación de la actual Regla relativa al número 9.11A, cuyo § 3.3 tendrá que suprimirse, pues ya quedará abarcado por la nueva Regla. Tras la publicación de la Carta Circular</w:t>
      </w:r>
      <w:bookmarkStart w:id="360" w:name="lt_pId773"/>
      <w:bookmarkEnd w:id="359"/>
      <w:r w:rsidRPr="004801D8">
        <w:rPr>
          <w:rFonts w:asciiTheme="majorBidi" w:hAnsiTheme="majorBidi" w:cstheme="majorBidi"/>
          <w:lang w:val="es-ES_tradnl"/>
        </w:rPr>
        <w:t xml:space="preserve"> CCRR/55, la Oficina </w:t>
      </w:r>
      <w:r w:rsidRPr="004801D8">
        <w:rPr>
          <w:rFonts w:asciiTheme="majorBidi" w:hAnsiTheme="majorBidi" w:cstheme="majorBidi"/>
          <w:lang w:val="es-ES_tradnl"/>
        </w:rPr>
        <w:lastRenderedPageBreak/>
        <w:t>recibió las observaciones de las administraciones que se presentan en los anexos al Documento RRB16-2/4.</w:t>
      </w:r>
      <w:bookmarkEnd w:id="360"/>
      <w:r w:rsidRPr="004801D8">
        <w:rPr>
          <w:rFonts w:asciiTheme="majorBidi" w:hAnsiTheme="majorBidi" w:cstheme="majorBidi"/>
          <w:lang w:val="es-ES_tradnl"/>
        </w:rPr>
        <w:t xml:space="preserve"> </w:t>
      </w:r>
      <w:bookmarkStart w:id="361" w:name="lt_pId774"/>
      <w:r w:rsidRPr="004801D8">
        <w:rPr>
          <w:rFonts w:asciiTheme="majorBidi" w:hAnsiTheme="majorBidi" w:cstheme="majorBidi"/>
          <w:lang w:val="es-ES_tradnl"/>
        </w:rPr>
        <w:t>Las Administraciones de Francia (Anexo 1), Suecia (Anexo 2), Israel (Anexo 3), la Federación de Rusia (Anexo 6) y Turquía (Anexo 7) están a favor del proyecto de Regla. Las Administraciones</w:t>
      </w:r>
      <w:bookmarkStart w:id="362" w:name="lt_pId775"/>
      <w:bookmarkEnd w:id="361"/>
      <w:r w:rsidRPr="004801D8">
        <w:rPr>
          <w:rFonts w:asciiTheme="majorBidi" w:hAnsiTheme="majorBidi" w:cstheme="majorBidi"/>
          <w:lang w:val="es-ES_tradnl"/>
        </w:rPr>
        <w:t xml:space="preserve"> ASMG (Anexo 4), a saber, Argelia, Arabia, Saudita, </w:t>
      </w:r>
      <w:proofErr w:type="spellStart"/>
      <w:r w:rsidRPr="004801D8">
        <w:rPr>
          <w:rFonts w:asciiTheme="majorBidi" w:hAnsiTheme="majorBidi" w:cstheme="majorBidi"/>
          <w:lang w:val="es-ES_tradnl"/>
        </w:rPr>
        <w:t>Bahrein</w:t>
      </w:r>
      <w:proofErr w:type="spellEnd"/>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Djibouti</w:t>
      </w:r>
      <w:proofErr w:type="spellEnd"/>
      <w:r w:rsidRPr="004801D8">
        <w:rPr>
          <w:rFonts w:asciiTheme="majorBidi" w:hAnsiTheme="majorBidi" w:cstheme="majorBidi"/>
          <w:lang w:val="es-ES_tradnl"/>
        </w:rPr>
        <w:t>, Egipto, Jordania, Kuwait, Omán, Qatar y Sudán, proponen que la fecha para la nueva atribución al SFS en las bandas 13,4-13,65 GHz y 14,5-14,8 GHz sea el 1 de julio de 2016, mientras que las Administraciones de Luxemburgo y Noruega (Anexo 5) consideran que la fecha para la nueva atribución al SFS debe ser el 1 de enero de 2017. En el Documento</w:t>
      </w:r>
      <w:bookmarkStart w:id="363" w:name="lt_pId776"/>
      <w:bookmarkEnd w:id="362"/>
      <w:r w:rsidRPr="004801D8">
        <w:rPr>
          <w:rFonts w:asciiTheme="majorBidi" w:hAnsiTheme="majorBidi" w:cstheme="majorBidi"/>
          <w:lang w:val="es-ES_tradnl"/>
        </w:rPr>
        <w:t xml:space="preserve"> RRB16-2/2, la Oficina presenta con fines informativos una lista histórica detallada y refundida de las solicitudes de coordinación de redes de satélites recibidas antes de la entrada en vigor de una decisión de la CMR, que la Oficina publicó con una conclusión favorable «con reservas» (en algunos casos con una «conclusión favorable»).</w:t>
      </w:r>
      <w:bookmarkEnd w:id="363"/>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w:t>
      </w:r>
      <w:r w:rsidRPr="004801D8">
        <w:rPr>
          <w:rFonts w:asciiTheme="majorBidi" w:hAnsiTheme="majorBidi" w:cstheme="majorBidi"/>
          <w:lang w:val="es-ES_tradnl"/>
        </w:rPr>
        <w:tab/>
      </w:r>
      <w:bookmarkStart w:id="364" w:name="lt_pId77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Strelets </w:t>
      </w:r>
      <w:r w:rsidRPr="004801D8">
        <w:rPr>
          <w:rFonts w:asciiTheme="majorBidi" w:hAnsiTheme="majorBidi" w:cstheme="majorBidi"/>
          <w:lang w:val="es-ES_tradnl"/>
        </w:rPr>
        <w:t>agradece a la Oficina la rápida preparación y distribución del proyecto de Regla de Procedimiento en respuesta al encargo de la Junta. En cuanto a las observaciones de las administraciones, pregunta por qué motivo se propone como fecha el 1 de julio de 2016. Seguramente hay más motivos para optar por el 1 de enero de 2017 como fecha para la entrada en vigor de las disposiciones</w:t>
      </w:r>
      <w:bookmarkStart w:id="365" w:name="lt_pId780"/>
      <w:bookmarkEnd w:id="364"/>
      <w:r w:rsidRPr="004801D8">
        <w:rPr>
          <w:rFonts w:asciiTheme="majorBidi" w:hAnsiTheme="majorBidi" w:cstheme="majorBidi"/>
          <w:lang w:val="es-ES_tradnl"/>
        </w:rPr>
        <w:t>.</w:t>
      </w:r>
      <w:bookmarkEnd w:id="36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w:t>
      </w:r>
      <w:r w:rsidRPr="004801D8">
        <w:rPr>
          <w:rFonts w:asciiTheme="majorBidi" w:hAnsiTheme="majorBidi" w:cstheme="majorBidi"/>
          <w:lang w:val="es-ES_tradnl"/>
        </w:rPr>
        <w:tab/>
      </w:r>
      <w:bookmarkStart w:id="366" w:name="lt_pId78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Henri (Jefe de SSD) </w:t>
      </w:r>
      <w:r w:rsidRPr="004801D8">
        <w:rPr>
          <w:rFonts w:asciiTheme="majorBidi" w:hAnsiTheme="majorBidi" w:cstheme="majorBidi"/>
          <w:lang w:val="es-ES_tradnl"/>
        </w:rPr>
        <w:t>dice tener la misma duda. Durante el animado debate al respecto en la CMR-15 se barajaron como fechas para la entrada en vigor de la atribución al SFS el 1 de enero de 2017 y el 28 de noviembre de 2015, el primer día después de la Conferencia. No se llegó a un acuerdo para las fechas intermedias propuestas. Mediante su decisión adoptada en la 71ª reunión la Junta implícitamente aceptó el</w:t>
      </w:r>
      <w:bookmarkStart w:id="367" w:name="lt_pId785"/>
      <w:bookmarkEnd w:id="366"/>
      <w:r w:rsidRPr="004801D8">
        <w:rPr>
          <w:rFonts w:asciiTheme="majorBidi" w:hAnsiTheme="majorBidi" w:cstheme="majorBidi"/>
          <w:lang w:val="es-ES_tradnl"/>
        </w:rPr>
        <w:t xml:space="preserve"> 28 noviembre de 2015 para la aceptar las notificaciones relativas a las nuevas bandas de frecuencias atribuidas por la CMR-15.</w:t>
      </w:r>
      <w:bookmarkEnd w:id="367"/>
      <w:r w:rsidRPr="004801D8">
        <w:rPr>
          <w:rFonts w:asciiTheme="majorBidi" w:hAnsiTheme="majorBidi" w:cstheme="majorBidi"/>
          <w:lang w:val="es-ES_tradnl"/>
        </w:rPr>
        <w:t xml:space="preserve"> </w:t>
      </w:r>
      <w:bookmarkStart w:id="368" w:name="lt_pId786"/>
      <w:r w:rsidRPr="004801D8">
        <w:rPr>
          <w:rFonts w:asciiTheme="majorBidi" w:hAnsiTheme="majorBidi" w:cstheme="majorBidi"/>
          <w:lang w:val="es-ES_tradnl"/>
        </w:rPr>
        <w:t>Hasta la entrada en vigor de esas atribuciones el 1 de enero de 2017, las notificaciones en cuestión pueden recibir una conclusión favorable «con reservas».</w:t>
      </w:r>
      <w:bookmarkEnd w:id="36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w:t>
      </w:r>
      <w:r w:rsidRPr="004801D8">
        <w:rPr>
          <w:rFonts w:asciiTheme="majorBidi" w:hAnsiTheme="majorBidi" w:cstheme="majorBidi"/>
          <w:lang w:val="es-ES_tradnl"/>
        </w:rPr>
        <w:tab/>
      </w:r>
      <w:bookmarkStart w:id="369" w:name="lt_pId788"/>
      <w:r w:rsidRPr="004801D8">
        <w:rPr>
          <w:rFonts w:asciiTheme="majorBidi" w:hAnsiTheme="majorBidi" w:cstheme="majorBidi"/>
          <w:lang w:val="es-ES_tradnl"/>
        </w:rPr>
        <w:t xml:space="preserve">La </w:t>
      </w:r>
      <w:r w:rsidRPr="004801D8">
        <w:rPr>
          <w:rFonts w:asciiTheme="majorBidi" w:hAnsiTheme="majorBidi" w:cstheme="majorBidi"/>
          <w:b/>
          <w:bCs/>
          <w:lang w:val="es-ES_tradnl"/>
        </w:rPr>
        <w:t xml:space="preserve">Sra. Wilson </w:t>
      </w:r>
      <w:r w:rsidRPr="004801D8">
        <w:rPr>
          <w:rFonts w:asciiTheme="majorBidi" w:hAnsiTheme="majorBidi" w:cstheme="majorBidi"/>
          <w:lang w:val="es-ES_tradnl"/>
        </w:rPr>
        <w:t>señala que las observaciones presentadas en los Anexos 4 y 5 al Documento RRB16-2/4 que se oponen al proyecto de Regla de Procedimiento se refieren específicamente a la nueva atribución al SFS en las bandas 13,4-13,65 GHz y 14,5-14,8 GHz. No hay en esos anexos argumentos relativos a la Regla de Procedimiento general. No obstante, la Junta debería considerar el texto adicional propuesto por la Administración de la Federación de Rusia, que atañe a la Regla de Procedimiento general</w:t>
      </w:r>
      <w:bookmarkStart w:id="370" w:name="lt_pId790"/>
      <w:bookmarkEnd w:id="369"/>
      <w:r w:rsidRPr="004801D8">
        <w:rPr>
          <w:rFonts w:asciiTheme="majorBidi" w:hAnsiTheme="majorBidi" w:cstheme="majorBidi"/>
          <w:lang w:val="es-ES_tradnl"/>
        </w:rPr>
        <w:t>.</w:t>
      </w:r>
      <w:bookmarkEnd w:id="37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10.5</w:t>
      </w:r>
      <w:r w:rsidRPr="004801D8">
        <w:rPr>
          <w:rFonts w:asciiTheme="majorBidi" w:hAnsiTheme="majorBidi" w:cstheme="majorBidi"/>
          <w:lang w:val="es-ES_tradnl"/>
        </w:rPr>
        <w:tab/>
      </w:r>
      <w:bookmarkStart w:id="371" w:name="lt_pId792"/>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invita a la Junta a finalizar primero su debate sobre el proyecto de Regla de la Carta Circular CCRR/55 y a considerar posteriormente el texto suplementario propuesto por la Administración de la Federación de Rusia.</w:t>
      </w:r>
      <w:bookmarkEnd w:id="37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10.6</w:t>
      </w:r>
      <w:r w:rsidRPr="004801D8">
        <w:rPr>
          <w:rFonts w:asciiTheme="majorBidi" w:hAnsiTheme="majorBidi" w:cstheme="majorBidi"/>
          <w:lang w:val="es-ES_tradnl"/>
        </w:rPr>
        <w:tab/>
      </w:r>
      <w:bookmarkStart w:id="372" w:name="lt_pId79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dice haber analizado el proyecto de Regla de Procedimiento preparado por la Oficina en respuesta a la decisión adoptada por la Junta en su anterior reunión teniendo en cuenta que la fecha de entrada en vigor de la nueva atribución al SFS es el 1 de enero de 2017.</w:t>
      </w:r>
      <w:bookmarkEnd w:id="372"/>
      <w:r w:rsidRPr="004801D8">
        <w:rPr>
          <w:rFonts w:asciiTheme="majorBidi" w:hAnsiTheme="majorBidi" w:cstheme="majorBidi"/>
          <w:lang w:val="es-ES_tradnl"/>
        </w:rPr>
        <w:t xml:space="preserve"> </w:t>
      </w:r>
      <w:bookmarkStart w:id="373" w:name="lt_pId795"/>
      <w:r w:rsidRPr="004801D8">
        <w:rPr>
          <w:rFonts w:asciiTheme="majorBidi" w:hAnsiTheme="majorBidi" w:cstheme="majorBidi"/>
          <w:lang w:val="es-ES_tradnl"/>
        </w:rPr>
        <w:t>La Oficina propone el 28 de noviembre de 2015 como fecha efectiva de aplicación la Regla de Procedimiento, pero se pregunta si eso ofrece acceso equitativo a todas las administraciones, normalmente una Regla de Procedimiento entra en aplicación a partir de la fecha de su adopción, por lo que, en este caso, la Regla de aplicaría a partir del último día de la presente reunión de la Junta, no encuentra en las observaciones de las administraciones argumentos a favor del</w:t>
      </w:r>
      <w:bookmarkStart w:id="374" w:name="lt_pId797"/>
      <w:bookmarkEnd w:id="373"/>
      <w:r w:rsidRPr="004801D8">
        <w:rPr>
          <w:rFonts w:asciiTheme="majorBidi" w:hAnsiTheme="majorBidi" w:cstheme="majorBidi"/>
          <w:lang w:val="es-ES_tradnl"/>
        </w:rPr>
        <w:t xml:space="preserve"> 1 de julio de 2016 o 1 de enero de 2017 como fecha de aplicación efectiva del proyecto de Regla. El proyecto de Regla propuesto de carácter general y se aplicará en el futuro. Siguiendo la práctica habitual, propone que la regla entre en vigor a partir de la fecha de su adopción. Dice estar de acuerdo en que la Junta estudie el texto propuesto por la Administración de la Federación de Rusia</w:t>
      </w:r>
      <w:bookmarkStart w:id="375" w:name="lt_pId800"/>
      <w:bookmarkEnd w:id="374"/>
      <w:r w:rsidRPr="004801D8">
        <w:rPr>
          <w:rFonts w:asciiTheme="majorBidi" w:hAnsiTheme="majorBidi" w:cstheme="majorBidi"/>
          <w:lang w:val="es-ES_tradnl"/>
        </w:rPr>
        <w:t>.</w:t>
      </w:r>
      <w:bookmarkEnd w:id="37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10.7</w:t>
      </w:r>
      <w:r w:rsidRPr="004801D8">
        <w:rPr>
          <w:rFonts w:asciiTheme="majorBidi" w:hAnsiTheme="majorBidi" w:cstheme="majorBidi"/>
          <w:lang w:val="es-ES_tradnl"/>
        </w:rPr>
        <w:tab/>
      </w:r>
      <w:bookmarkStart w:id="376" w:name="lt_pId80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observa que los comentarios en contra de las administraciones atañen a la fecha de aplicación de la Regla propuesta con respecto a la atribución al SFS. Ninguna administración se opone al texto de la Regla de Procedimiento general en sí, cuyo objetivo es cubrir el periodo </w:t>
      </w:r>
      <w:r w:rsidRPr="004801D8">
        <w:rPr>
          <w:rFonts w:asciiTheme="majorBidi" w:hAnsiTheme="majorBidi" w:cstheme="majorBidi"/>
          <w:lang w:val="es-ES_tradnl"/>
        </w:rPr>
        <w:lastRenderedPageBreak/>
        <w:t>comprendido entre el final de la Conferencia y la fecha de entrada en vigor de las nuevas disposiciones</w:t>
      </w:r>
      <w:bookmarkStart w:id="377" w:name="lt_pId803"/>
      <w:bookmarkEnd w:id="376"/>
      <w:r w:rsidRPr="004801D8">
        <w:rPr>
          <w:rFonts w:asciiTheme="majorBidi" w:hAnsiTheme="majorBidi" w:cstheme="majorBidi"/>
          <w:lang w:val="es-ES_tradnl"/>
        </w:rPr>
        <w:t>.</w:t>
      </w:r>
      <w:bookmarkEnd w:id="37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10.8</w:t>
      </w:r>
      <w:r w:rsidRPr="004801D8">
        <w:rPr>
          <w:rFonts w:asciiTheme="majorBidi" w:hAnsiTheme="majorBidi" w:cstheme="majorBidi"/>
          <w:lang w:val="es-ES_tradnl"/>
        </w:rPr>
        <w:tab/>
      </w:r>
      <w:bookmarkStart w:id="378" w:name="lt_pId80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Ito </w:t>
      </w:r>
      <w:r w:rsidRPr="004801D8">
        <w:rPr>
          <w:rFonts w:asciiTheme="majorBidi" w:hAnsiTheme="majorBidi" w:cstheme="majorBidi"/>
          <w:lang w:val="es-ES_tradnl"/>
        </w:rPr>
        <w:t>señala que el proyecto de Regla trata de las</w:t>
      </w:r>
      <w:bookmarkEnd w:id="378"/>
      <w:r w:rsidRPr="004801D8">
        <w:rPr>
          <w:rFonts w:asciiTheme="majorBidi" w:hAnsiTheme="majorBidi" w:cstheme="majorBidi"/>
          <w:lang w:val="es-ES_tradnl"/>
        </w:rPr>
        <w:t xml:space="preserve"> solicitudes de coordinación o las notificaciones de redes de satélites recibidas antes de la entrada en vigor de una decisión de la CMR. Está a favor de mantener la coherencia y conservar la práctica actual de la Oficina, de la que numerosas administraciones se han beneficiado en años anteriores al recibir conclusiones favorable «con reservas», entre ellas algunas administraciones que ahora se oponen a esa práctica</w:t>
      </w:r>
      <w:bookmarkStart w:id="379" w:name="lt_pId806"/>
      <w:r w:rsidRPr="004801D8">
        <w:rPr>
          <w:rFonts w:asciiTheme="majorBidi" w:hAnsiTheme="majorBidi" w:cstheme="majorBidi"/>
          <w:lang w:val="es-ES_tradnl"/>
        </w:rPr>
        <w:t>.</w:t>
      </w:r>
      <w:bookmarkEnd w:id="37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10.9</w:t>
      </w:r>
      <w:r w:rsidRPr="004801D8">
        <w:rPr>
          <w:rFonts w:asciiTheme="majorBidi" w:hAnsiTheme="majorBidi" w:cstheme="majorBidi"/>
          <w:lang w:val="es-ES_tradnl"/>
        </w:rPr>
        <w:tab/>
      </w:r>
      <w:bookmarkStart w:id="380" w:name="lt_pId808"/>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señala que escoger el último día de esta reunión de la Junta como fecha de aplicación efectiva de la Regla causará confusión y obligará a la Junta a adoptar decisiones diferentes en relación con la nueva atribución al SFS en las bandas de frecuencias 13,4-13,65 GHz y 14,5-14,8 GHz para el periodo intermedio iniciado el 28 de noviembre de 2015.</w:t>
      </w:r>
      <w:bookmarkEnd w:id="38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10.10</w:t>
      </w:r>
      <w:r w:rsidRPr="004801D8">
        <w:rPr>
          <w:rFonts w:asciiTheme="majorBidi" w:hAnsiTheme="majorBidi" w:cstheme="majorBidi"/>
          <w:lang w:val="es-ES_tradnl"/>
        </w:rPr>
        <w:tab/>
      </w:r>
      <w:bookmarkStart w:id="381" w:name="lt_pId81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dice que la Junta adoptó una sabia decisión en su anterior reunión al permitir a las administraciones formular comentarios sobre el método propuesto. Espera que se formalice la práctica actual de la Oficina en una Regla de Procedimiento que se adopte en la presente reunión</w:t>
      </w:r>
      <w:bookmarkStart w:id="382" w:name="lt_pId811"/>
      <w:bookmarkEnd w:id="381"/>
      <w:r w:rsidRPr="004801D8">
        <w:rPr>
          <w:rFonts w:asciiTheme="majorBidi" w:hAnsiTheme="majorBidi" w:cstheme="majorBidi"/>
          <w:lang w:val="es-ES_tradnl"/>
        </w:rPr>
        <w:t>.</w:t>
      </w:r>
      <w:bookmarkEnd w:id="38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10.11</w:t>
      </w:r>
      <w:r w:rsidRPr="004801D8">
        <w:rPr>
          <w:rFonts w:asciiTheme="majorBidi" w:hAnsiTheme="majorBidi" w:cstheme="majorBidi"/>
          <w:lang w:val="es-ES_tradnl"/>
        </w:rPr>
        <w:tab/>
      </w:r>
      <w:bookmarkStart w:id="383" w:name="lt_pId81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percibe que todos están de acuerdo en que la Junta debe adoptar el proyecto de Regla de Procedimiento preparado por la Oficina. El único punto conflictivo es la fecha de aplicación efectiva de la Regla. En su opinión, para que todas las administraciones estén en igualdad de condiciones, la fecha de aplicación de la Regla debe ser la fecha de su adopción</w:t>
      </w:r>
      <w:bookmarkStart w:id="384" w:name="lt_pId815"/>
      <w:bookmarkEnd w:id="383"/>
      <w:r w:rsidRPr="004801D8">
        <w:rPr>
          <w:rFonts w:asciiTheme="majorBidi" w:hAnsiTheme="majorBidi" w:cstheme="majorBidi"/>
          <w:lang w:val="es-ES_tradnl"/>
        </w:rPr>
        <w:t>.</w:t>
      </w:r>
      <w:bookmarkEnd w:id="38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10.12</w:t>
      </w:r>
      <w:r w:rsidRPr="004801D8">
        <w:rPr>
          <w:rFonts w:asciiTheme="majorBidi" w:hAnsiTheme="majorBidi" w:cstheme="majorBidi"/>
          <w:lang w:val="es-ES_tradnl"/>
        </w:rPr>
        <w:tab/>
      </w:r>
      <w:bookmarkStart w:id="385" w:name="lt_pId81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recuerda que, en su anterior reunión, la Junta no se opuso a que la Oficina siguiese aplicando la práctica existente. En el hipotético caso de que la Oficina optase por la fecha de adopción de la Regla como fecha de aplicación efectiva de la misma, la práctica de la Oficina sería de hecho idéntica antes y después de esa fecha. Por mor de claridad, la fecha efectiva de aplicación de la Regla debería ser la del final de la Conferencia</w:t>
      </w:r>
      <w:bookmarkStart w:id="386" w:name="lt_pId819"/>
      <w:bookmarkEnd w:id="385"/>
      <w:r w:rsidRPr="004801D8">
        <w:rPr>
          <w:rFonts w:asciiTheme="majorBidi" w:hAnsiTheme="majorBidi" w:cstheme="majorBidi"/>
          <w:lang w:val="es-ES_tradnl"/>
        </w:rPr>
        <w:t>.</w:t>
      </w:r>
      <w:bookmarkEnd w:id="38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10.13</w:t>
      </w:r>
      <w:r w:rsidRPr="004801D8">
        <w:rPr>
          <w:rFonts w:asciiTheme="majorBidi" w:hAnsiTheme="majorBidi" w:cstheme="majorBidi"/>
          <w:lang w:val="es-ES_tradnl"/>
        </w:rPr>
        <w:tab/>
      </w:r>
      <w:bookmarkStart w:id="387" w:name="lt_pId82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coincide con el Sr. Strelets en que la fecha de aplicación efectiva del proyecto de Regla de Procedimiento debe ser la del final de la Conferencia. Recuerda que la Regla de Procedimiento relativa al número</w:t>
      </w:r>
      <w:bookmarkStart w:id="388" w:name="lt_pId822"/>
      <w:bookmarkEnd w:id="387"/>
      <w:r w:rsidRPr="004801D8">
        <w:rPr>
          <w:rFonts w:asciiTheme="majorBidi" w:hAnsiTheme="majorBidi" w:cstheme="majorBidi"/>
          <w:lang w:val="es-ES_tradnl"/>
        </w:rPr>
        <w:t xml:space="preserve"> 9.11A se elaboró para tratar una situación semejantes relacionada con las atribuciones no OSG y que la oficina ha estado recurriendo ampliamente a esa misma práctica durante más de 20 años.</w:t>
      </w:r>
      <w:bookmarkEnd w:id="38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10.14</w:t>
      </w:r>
      <w:r w:rsidRPr="004801D8">
        <w:rPr>
          <w:rFonts w:asciiTheme="majorBidi" w:hAnsiTheme="majorBidi" w:cstheme="majorBidi"/>
          <w:lang w:val="es-ES_tradnl"/>
        </w:rPr>
        <w:tab/>
      </w:r>
      <w:bookmarkStart w:id="389" w:name="lt_pId824"/>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comparte las opiniones del Sr. Strelets y el Sr. Ito de que la Regla propuesta debe ser aplicable desde el final de la CMR-15. Escoger una fecha distinta no supondría una diferencia en la práctica, pero crearía ambigüedad</w:t>
      </w:r>
      <w:bookmarkStart w:id="390" w:name="lt_pId825"/>
      <w:bookmarkEnd w:id="389"/>
      <w:r w:rsidRPr="004801D8">
        <w:rPr>
          <w:rFonts w:asciiTheme="majorBidi" w:hAnsiTheme="majorBidi" w:cstheme="majorBidi"/>
          <w:lang w:val="es-ES_tradnl"/>
        </w:rPr>
        <w:t>.</w:t>
      </w:r>
      <w:bookmarkEnd w:id="39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10.15</w:t>
      </w:r>
      <w:r w:rsidRPr="004801D8">
        <w:rPr>
          <w:rFonts w:asciiTheme="majorBidi" w:hAnsiTheme="majorBidi" w:cstheme="majorBidi"/>
          <w:lang w:val="es-ES_tradnl"/>
        </w:rPr>
        <w:tab/>
      </w:r>
      <w:bookmarkStart w:id="391" w:name="lt_pId82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recuerda el amplio debate sostenido en la CMR-15 y que la Oficina ya había recibido algunas notificaciones durante la Conferencia. No se alcanzó un consenso y la solución del problema se dejó en manos de la Junta. La Junta debe encontrar una solución justa para todas las administraciones, no una que favorezca sólo a algunas</w:t>
      </w:r>
      <w:bookmarkStart w:id="392" w:name="lt_pId829"/>
      <w:bookmarkEnd w:id="391"/>
      <w:r w:rsidRPr="004801D8">
        <w:rPr>
          <w:rFonts w:asciiTheme="majorBidi" w:hAnsiTheme="majorBidi" w:cstheme="majorBidi"/>
          <w:lang w:val="es-ES_tradnl"/>
        </w:rPr>
        <w:t>.</w:t>
      </w:r>
      <w:bookmarkEnd w:id="39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10.16</w:t>
      </w:r>
      <w:r w:rsidRPr="004801D8">
        <w:rPr>
          <w:rFonts w:asciiTheme="majorBidi" w:hAnsiTheme="majorBidi" w:cstheme="majorBidi"/>
          <w:lang w:val="es-ES_tradnl"/>
        </w:rPr>
        <w:tab/>
      </w:r>
      <w:bookmarkStart w:id="393" w:name="lt_pId83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recuerda que la Conferencia se quedó sin tiempo para resolver la cuestión y por eso la dejó para que la Junta la estudiase con tranquilidad. El proyecto de Regla, que se aplicará a gran cantidad de servicios, no parece plantear problemas. No obstante, se crearán dos dificultades si la fecha de aplicación efectiva de la Regla se fija en la fecha de su adopción. En primer lugar, como ha señalado el Sr. Strelets, se establecerá una discontinuidad entre el periodo comprendido desde el fin de la Conferencia hasta la fecha de aplicación de la Regla y el periodo comprendido entre la fecha de aplicación de la Regla y la entrada en vigor de las disposiciones. En segundo lugar, se creará una acumulación de redes con la misma fecha de recepción, lo que causará problemas de coordinación entre las administraciones. Los casos ya tratados por la Junta son buen ejemplo de las dificultades que se pueden esperar</w:t>
      </w:r>
      <w:bookmarkStart w:id="394" w:name="lt_pId836"/>
      <w:bookmarkEnd w:id="393"/>
      <w:r w:rsidRPr="004801D8">
        <w:rPr>
          <w:rFonts w:asciiTheme="majorBidi" w:hAnsiTheme="majorBidi" w:cstheme="majorBidi"/>
          <w:lang w:val="es-ES_tradnl"/>
        </w:rPr>
        <w:t>.</w:t>
      </w:r>
      <w:bookmarkEnd w:id="39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10.17</w:t>
      </w:r>
      <w:r w:rsidRPr="004801D8">
        <w:rPr>
          <w:rFonts w:asciiTheme="majorBidi" w:hAnsiTheme="majorBidi" w:cstheme="majorBidi"/>
          <w:lang w:val="es-ES_tradnl"/>
        </w:rPr>
        <w:tab/>
      </w:r>
      <w:bookmarkStart w:id="395" w:name="lt_pId83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que la Junta ha de examinar la cuestión desde el punto de vista de la legalidad y la equidad. Si la Junta decide que la fecha de aplicación efectiva del proyecto de Norma debe ser la del final de la Conferencia, se dará ventaja a las administraciones que ya han presentado notificaciones o solicitudes. Por consiguiente, se inclina por la propuesta del Sr. Bessi, coherente con la práctica de la Junta en cuanto a Reglas de Procedimiento, de que la fecha de aplicación de la Regla sea la de su adopción</w:t>
      </w:r>
      <w:bookmarkStart w:id="396" w:name="lt_pId840"/>
      <w:bookmarkEnd w:id="395"/>
      <w:r w:rsidRPr="004801D8">
        <w:rPr>
          <w:rFonts w:asciiTheme="majorBidi" w:hAnsiTheme="majorBidi" w:cstheme="majorBidi"/>
          <w:lang w:val="es-ES_tradnl"/>
        </w:rPr>
        <w:t>.</w:t>
      </w:r>
      <w:bookmarkEnd w:id="39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10.18</w:t>
      </w:r>
      <w:r w:rsidRPr="004801D8">
        <w:rPr>
          <w:rFonts w:asciiTheme="majorBidi" w:hAnsiTheme="majorBidi" w:cstheme="majorBidi"/>
          <w:lang w:val="es-ES_tradnl"/>
        </w:rPr>
        <w:tab/>
      </w:r>
      <w:bookmarkStart w:id="397" w:name="lt_pId842"/>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dice que la Conferencia pidió específicamente a la Junta que solucionase el problema de la admisibilidad y la tramitación por parte de la Oficina de las solicitudes de coordinación para la nueva atribución al SFS en las bandas de frecuencias 13,4-13,65 GHz y 14,5</w:t>
      </w:r>
      <w:r w:rsidRPr="004801D8">
        <w:rPr>
          <w:rFonts w:asciiTheme="majorBidi" w:hAnsiTheme="majorBidi" w:cstheme="majorBidi"/>
          <w:lang w:val="es-ES_tradnl"/>
        </w:rPr>
        <w:noBreakHyphen/>
        <w:t>14,8 GHz presentadas antes de la fecha de entrada en vigor de la atribución. Tras debatir el asunto en su anterior reunión, la Junta concluyó que la mejor manera de proceder era elaborar una Regla de Procedimiento general que pudiese aplicarse al caso específico. Insiste en que la Regla debe entrar en aplicación desde la fecha del final de la Conferencia</w:t>
      </w:r>
      <w:bookmarkStart w:id="398" w:name="lt_pId844"/>
      <w:bookmarkEnd w:id="397"/>
      <w:r w:rsidRPr="004801D8">
        <w:rPr>
          <w:rFonts w:asciiTheme="majorBidi" w:hAnsiTheme="majorBidi" w:cstheme="majorBidi"/>
          <w:lang w:val="es-ES_tradnl"/>
        </w:rPr>
        <w:t>.</w:t>
      </w:r>
      <w:bookmarkEnd w:id="39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10.19</w:t>
      </w:r>
      <w:r w:rsidRPr="004801D8">
        <w:rPr>
          <w:rFonts w:asciiTheme="majorBidi" w:hAnsiTheme="majorBidi" w:cstheme="majorBidi"/>
          <w:lang w:val="es-ES_tradnl"/>
        </w:rPr>
        <w:tab/>
      </w:r>
      <w:bookmarkStart w:id="399" w:name="lt_pId84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se muestra a favor de lo indicado por el Director en cuanto a la fecha de aplicación de la Regla. En relación con la preocupación del Sr.</w:t>
      </w:r>
      <w:bookmarkStart w:id="400" w:name="lt_pId847"/>
      <w:bookmarkEnd w:id="399"/>
      <w:r w:rsidRPr="004801D8">
        <w:rPr>
          <w:rFonts w:asciiTheme="majorBidi" w:hAnsiTheme="majorBidi" w:cstheme="majorBidi"/>
          <w:lang w:val="es-ES_tradnl"/>
        </w:rPr>
        <w:t xml:space="preserve"> Bessi por la igualdad, dice que hay dos tipos de igualdad: la igualdad de oportunidades y la igualdad de resultados. La Junta está tratando ahora de bandas no planificadas. Desde la RPC para la CMR-15 las administraciones sabían qué bandas específicas se iban a considerar y algunas administraciones actuaron en función de esa información y otras no. La lista presentada en el Documento</w:t>
      </w:r>
      <w:bookmarkStart w:id="401" w:name="lt_pId852"/>
      <w:bookmarkEnd w:id="400"/>
      <w:r w:rsidRPr="004801D8">
        <w:rPr>
          <w:rFonts w:asciiTheme="majorBidi" w:hAnsiTheme="majorBidi" w:cstheme="majorBidi"/>
          <w:lang w:val="es-ES_tradnl"/>
        </w:rPr>
        <w:t xml:space="preserve"> RRB16-2/2, encabezada por ARABSAT con API recibidas en 1992 y TONGASAT con API recibidas en 1993, muestra que el método del «orden de llegada» funciona satisfactoriamente. Si la Junta decide una fecha distinta de las del final de la Conferencia, privará a las administraciones de su derecho a la igualdad de oportunidades</w:t>
      </w:r>
      <w:bookmarkStart w:id="402" w:name="lt_pId853"/>
      <w:bookmarkEnd w:id="401"/>
      <w:r w:rsidRPr="004801D8">
        <w:rPr>
          <w:rFonts w:asciiTheme="majorBidi" w:hAnsiTheme="majorBidi" w:cstheme="majorBidi"/>
          <w:lang w:val="es-ES_tradnl"/>
        </w:rPr>
        <w:t>.</w:t>
      </w:r>
      <w:bookmarkEnd w:id="40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10.20</w:t>
      </w:r>
      <w:r w:rsidRPr="004801D8">
        <w:rPr>
          <w:rFonts w:asciiTheme="majorBidi" w:hAnsiTheme="majorBidi" w:cstheme="majorBidi"/>
          <w:lang w:val="es-ES_tradnl"/>
        </w:rPr>
        <w:tab/>
      </w:r>
      <w:bookmarkStart w:id="403" w:name="lt_pId85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recuerda a la Junta que se ha hablado de tres fechas distintas. Para ofrecer igualdad de oportunidades y aplicar el mismo rasero a todas las administraciones, la fecha de aplicación de la Regla de Procedimiento debe ser la de su adopción por la Junta, como proponen el Sr. Bessi y el Sr.</w:t>
      </w:r>
      <w:bookmarkStart w:id="404" w:name="lt_pId856"/>
      <w:bookmarkEnd w:id="403"/>
      <w:r w:rsidRPr="004801D8">
        <w:rPr>
          <w:rFonts w:asciiTheme="majorBidi" w:hAnsiTheme="majorBidi" w:cstheme="majorBidi"/>
          <w:lang w:val="es-ES_tradnl"/>
        </w:rPr>
        <w:t> Magenta.</w:t>
      </w:r>
      <w:bookmarkEnd w:id="40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10.21</w:t>
      </w:r>
      <w:r w:rsidRPr="004801D8">
        <w:rPr>
          <w:rFonts w:asciiTheme="majorBidi" w:hAnsiTheme="majorBidi" w:cstheme="majorBidi"/>
          <w:lang w:val="es-ES_tradnl"/>
        </w:rPr>
        <w:tab/>
      </w:r>
      <w:bookmarkStart w:id="405" w:name="lt_pId85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recuerda que, en su 71ª reunión, su opinión era que todas las solicitudes de coordinación enviadas a la Oficina antes de la entrada en vigor de la nueva atribución debían tener la misma fecha de recepción, a saber, el 1 de enero de 2017.</w:t>
      </w:r>
      <w:bookmarkEnd w:id="405"/>
      <w:r w:rsidRPr="004801D8">
        <w:rPr>
          <w:rFonts w:asciiTheme="majorBidi" w:hAnsiTheme="majorBidi" w:cstheme="majorBidi"/>
          <w:lang w:val="es-ES_tradnl"/>
        </w:rPr>
        <w:t xml:space="preserve"> </w:t>
      </w:r>
      <w:bookmarkStart w:id="406" w:name="lt_pId859"/>
      <w:r w:rsidRPr="004801D8">
        <w:rPr>
          <w:rFonts w:asciiTheme="majorBidi" w:hAnsiTheme="majorBidi" w:cstheme="majorBidi"/>
          <w:lang w:val="es-ES_tradnl"/>
        </w:rPr>
        <w:t>Dicho de otro modo, un método similar al que ahora pide el Sr. Bessi. Sin embargo, en un esfuerzo por alcanzar un compromiso y convencida por el material adicional de que la práctica actual de la Oficina está justificada, la Oficina encargó a la Oficina que elaborase un proyecto de Regla de Procedimiento basado en la práctica habitual. El proyecto de Regla general se ha distribuido a las administraciones para la presentación de observaciones y ninguna de ellas ha preguntado cuál sería su fecha de aplicación, aunque algunas han pedido modificar la fecha de la atribución al SFS específica. Siempre es posible que una Regla de Procedimiento no convenga a algunas administraciones y, en virtud del número</w:t>
      </w:r>
      <w:bookmarkStart w:id="407" w:name="lt_pId862"/>
      <w:bookmarkEnd w:id="406"/>
      <w:r w:rsidRPr="004801D8">
        <w:rPr>
          <w:rFonts w:asciiTheme="majorBidi" w:hAnsiTheme="majorBidi" w:cstheme="majorBidi"/>
          <w:lang w:val="es-ES_tradnl"/>
        </w:rPr>
        <w:t xml:space="preserve"> 13.14 del Reglamento de Radiocomunicaciones, todas las administraciones que no estén de acuerdo con una Regla de Procedimiento pueden presentar su objeción al Director para que éste la incluya en su Informe a la siguiente Conferencia.</w:t>
      </w:r>
      <w:bookmarkEnd w:id="40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10.22</w:t>
      </w:r>
      <w:r w:rsidRPr="004801D8">
        <w:rPr>
          <w:rFonts w:asciiTheme="majorBidi" w:hAnsiTheme="majorBidi" w:cstheme="majorBidi"/>
          <w:lang w:val="es-ES_tradnl"/>
        </w:rPr>
        <w:tab/>
      </w:r>
      <w:bookmarkStart w:id="408" w:name="lt_pId86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observa que la Conferencia no decidió una fecha para la admisibilidad y, aun así, algunas administraciones habían presentado decenas de notificaciones que, en la práctica, no es posible acomodar. Esa presentación masiva de notificaciones dará lugar a una situación monopólica. En la Conferencia no se llegó a un acuerdo sobre la fecha de admisibilidad y los miembros de la Junta también tienen distintas opiniones al respecto. Sin embargo, están todos de acuerdo sobre el proyecto de Regla de Procedimiento como tal. La fecha de adopción de una Regla de Procedimiento debe considerarse como su fecha de aplicación, lo que dará igualdad de oportunidades, pues las administraciones deberán coordinarse a fin de compartir el espectro de frecuencias</w:t>
      </w:r>
      <w:bookmarkStart w:id="409" w:name="lt_pId868"/>
      <w:bookmarkEnd w:id="408"/>
      <w:r w:rsidRPr="004801D8">
        <w:rPr>
          <w:rFonts w:asciiTheme="majorBidi" w:hAnsiTheme="majorBidi" w:cstheme="majorBidi"/>
          <w:lang w:val="es-ES_tradnl"/>
        </w:rPr>
        <w:t>.</w:t>
      </w:r>
      <w:bookmarkEnd w:id="40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10.23</w:t>
      </w:r>
      <w:r w:rsidRPr="004801D8">
        <w:rPr>
          <w:rFonts w:asciiTheme="majorBidi" w:hAnsiTheme="majorBidi" w:cstheme="majorBidi"/>
          <w:lang w:val="es-ES_tradnl"/>
        </w:rPr>
        <w:tab/>
      </w:r>
      <w:bookmarkStart w:id="410" w:name="lt_pId87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Hoan</w:t>
      </w:r>
      <w:proofErr w:type="spellEnd"/>
      <w:r w:rsidRPr="004801D8">
        <w:rPr>
          <w:rFonts w:asciiTheme="majorBidi" w:hAnsiTheme="majorBidi" w:cstheme="majorBidi"/>
          <w:lang w:val="es-ES_tradnl"/>
        </w:rPr>
        <w:t xml:space="preserve"> recuerda que, en la anterior reunión, la Junta decidió que se debía seguir la práctica existente y la Oficina ha preparado un proyecto de Regla de Procedimiento en ese sentido. </w:t>
      </w:r>
      <w:r w:rsidRPr="004801D8">
        <w:rPr>
          <w:rFonts w:asciiTheme="majorBidi" w:hAnsiTheme="majorBidi" w:cstheme="majorBidi"/>
          <w:lang w:val="es-ES_tradnl"/>
        </w:rPr>
        <w:lastRenderedPageBreak/>
        <w:t>Cualquier decisión que adopte la Junta debe evitar crear más dificultades, por lo que la adopción del proyecto de Regla implicaría que la fecha de admisibilidad de las solicitudes de coordinación sería la del final de la Conferencia, incluso aunque la fecha de aplicación de la Regla fuese la del final de la presente reunión de la Junta</w:t>
      </w:r>
      <w:bookmarkStart w:id="411" w:name="lt_pId871"/>
      <w:bookmarkEnd w:id="410"/>
      <w:r w:rsidRPr="004801D8">
        <w:rPr>
          <w:rFonts w:asciiTheme="majorBidi" w:hAnsiTheme="majorBidi" w:cstheme="majorBidi"/>
          <w:lang w:val="es-ES_tradnl"/>
        </w:rPr>
        <w:t>.</w:t>
      </w:r>
      <w:bookmarkEnd w:id="41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10.24</w:t>
      </w:r>
      <w:r w:rsidRPr="004801D8">
        <w:rPr>
          <w:rFonts w:asciiTheme="majorBidi" w:hAnsiTheme="majorBidi" w:cstheme="majorBidi"/>
          <w:lang w:val="es-ES_tradnl"/>
        </w:rPr>
        <w:tab/>
      </w:r>
      <w:bookmarkStart w:id="412" w:name="lt_pId873"/>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sugiere que la Junta se ocupe primero del proyecto de Regla de Procedimiento y luego de la fecha de admisibilidad.</w:t>
      </w:r>
      <w:bookmarkEnd w:id="41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10.25</w:t>
      </w:r>
      <w:r w:rsidRPr="004801D8">
        <w:rPr>
          <w:rFonts w:asciiTheme="majorBidi" w:hAnsiTheme="majorBidi" w:cstheme="majorBidi"/>
          <w:lang w:val="es-ES_tradnl"/>
        </w:rPr>
        <w:tab/>
      </w:r>
      <w:bookmarkStart w:id="413" w:name="lt_pId87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pide aclaraciones sobre la validez jurídica de una Regla de Procedimiento retroactiva.</w:t>
      </w:r>
      <w:bookmarkEnd w:id="41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10.26</w:t>
      </w:r>
      <w:r w:rsidRPr="004801D8">
        <w:rPr>
          <w:rFonts w:asciiTheme="majorBidi" w:hAnsiTheme="majorBidi" w:cstheme="majorBidi"/>
          <w:lang w:val="es-ES_tradnl"/>
        </w:rPr>
        <w:tab/>
      </w:r>
      <w:bookmarkStart w:id="414" w:name="lt_pId87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pregunta si la Junta puede de hecho adoptar una Regla de Procedimiento con carácter retroactivo. A su entender ningún texto jurídico puede tener efectos retroactivos y las decisiones de la CMR no son retroactivas</w:t>
      </w:r>
      <w:bookmarkStart w:id="415" w:name="lt_pId878"/>
      <w:bookmarkEnd w:id="414"/>
      <w:r w:rsidRPr="004801D8">
        <w:rPr>
          <w:rFonts w:asciiTheme="majorBidi" w:hAnsiTheme="majorBidi" w:cstheme="majorBidi"/>
          <w:lang w:val="es-ES_tradnl"/>
        </w:rPr>
        <w:t>.</w:t>
      </w:r>
      <w:bookmarkEnd w:id="415"/>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10.27</w:t>
      </w:r>
      <w:r w:rsidRPr="004801D8">
        <w:rPr>
          <w:rFonts w:asciiTheme="majorBidi" w:hAnsiTheme="majorBidi" w:cstheme="majorBidi"/>
          <w:lang w:val="es-ES_tradnl"/>
        </w:rPr>
        <w:tab/>
      </w:r>
      <w:bookmarkStart w:id="416" w:name="lt_pId880"/>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recuerda la información presentada a la anterior reunión de la Junta en el Documento RRB16-1/4, donde se muestra que el proyecto de Regla podría ser aplicable a varias decisiones de la Conferencia no relacionadas con la banda del SFS. Resultaría confuso y difícil para las administraciones que la Junta diese la impresión de que hay dos fechas de admisibilidad diferentes</w:t>
      </w:r>
      <w:bookmarkStart w:id="417" w:name="lt_pId881"/>
      <w:bookmarkEnd w:id="416"/>
      <w:r w:rsidRPr="004801D8">
        <w:rPr>
          <w:rFonts w:asciiTheme="majorBidi" w:hAnsiTheme="majorBidi" w:cstheme="majorBidi"/>
          <w:lang w:val="es-ES_tradnl"/>
        </w:rPr>
        <w:t>.</w:t>
      </w:r>
      <w:bookmarkEnd w:id="417"/>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10.28</w:t>
      </w:r>
      <w:r w:rsidRPr="004801D8">
        <w:rPr>
          <w:rFonts w:asciiTheme="majorBidi" w:hAnsiTheme="majorBidi" w:cstheme="majorBidi"/>
          <w:lang w:val="es-ES_tradnl"/>
        </w:rPr>
        <w:tab/>
      </w:r>
      <w:bookmarkStart w:id="418" w:name="lt_pId88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Kibe </w:t>
      </w:r>
      <w:r w:rsidRPr="004801D8">
        <w:rPr>
          <w:rFonts w:asciiTheme="majorBidi" w:hAnsiTheme="majorBidi" w:cstheme="majorBidi"/>
          <w:lang w:val="es-ES_tradnl"/>
        </w:rPr>
        <w:t>dice que la CMR-15 no encargó a la Junta que fijase una fecha de aplicación para una práctica a la que la Oficina recurre desde 1988.</w:t>
      </w:r>
      <w:bookmarkEnd w:id="418"/>
      <w:r w:rsidRPr="004801D8">
        <w:rPr>
          <w:rFonts w:asciiTheme="majorBidi" w:hAnsiTheme="majorBidi" w:cstheme="majorBidi"/>
          <w:lang w:val="es-ES_tradnl"/>
        </w:rPr>
        <w:t xml:space="preserve"> </w:t>
      </w:r>
      <w:bookmarkStart w:id="419" w:name="lt_pId885"/>
      <w:r w:rsidRPr="004801D8">
        <w:rPr>
          <w:rFonts w:asciiTheme="majorBidi" w:hAnsiTheme="majorBidi" w:cstheme="majorBidi"/>
          <w:lang w:val="es-ES_tradnl"/>
        </w:rPr>
        <w:t>La Conferencia pidió a la Junta que tomase una decisión sobre la admisibilidad en virtud del Artículo 9 de las notificaciones presentadas antes de la entrada en vigor de las atribuciones. No se han presentado objeciones al proyecto de Regla de Procedimiento en sí y no ve motivos de peso para que la fecha de aplicación no sea el 28 de noviembre de 2015</w:t>
      </w:r>
      <w:bookmarkStart w:id="420" w:name="lt_pId886"/>
      <w:bookmarkEnd w:id="419"/>
      <w:r w:rsidRPr="004801D8">
        <w:rPr>
          <w:rFonts w:asciiTheme="majorBidi" w:hAnsiTheme="majorBidi" w:cstheme="majorBidi"/>
          <w:lang w:val="es-ES_tradnl"/>
        </w:rPr>
        <w:t>.</w:t>
      </w:r>
      <w:bookmarkEnd w:id="420"/>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10.29</w:t>
      </w:r>
      <w:r w:rsidRPr="004801D8">
        <w:rPr>
          <w:rFonts w:asciiTheme="majorBidi" w:hAnsiTheme="majorBidi" w:cstheme="majorBidi"/>
          <w:lang w:val="es-ES_tradnl"/>
        </w:rPr>
        <w:tab/>
      </w:r>
      <w:bookmarkStart w:id="421" w:name="lt_pId88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se muestra proclive a conservar una práctica consolidada que no ha causado problemas, pero la Junta está compuesta por expertos que con conocimiento de causa no pueden adoptar una decisión jurídicamente sospechosa que implique la retroactividad. Solicita asesoría jurídica sobre si la Junta puede o no adoptar una Regla de Procedimiento para su aplicación retroactiva</w:t>
      </w:r>
      <w:bookmarkStart w:id="422" w:name="lt_pId890"/>
      <w:bookmarkEnd w:id="421"/>
      <w:r w:rsidRPr="004801D8">
        <w:rPr>
          <w:rFonts w:asciiTheme="majorBidi" w:hAnsiTheme="majorBidi" w:cstheme="majorBidi"/>
          <w:lang w:val="es-ES_tradnl"/>
        </w:rPr>
        <w:t>.</w:t>
      </w:r>
      <w:bookmarkEnd w:id="42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10.30</w:t>
      </w:r>
      <w:r w:rsidRPr="004801D8">
        <w:rPr>
          <w:rFonts w:asciiTheme="majorBidi" w:hAnsiTheme="majorBidi" w:cstheme="majorBidi"/>
          <w:lang w:val="es-ES_tradnl"/>
        </w:rPr>
        <w:tab/>
      </w:r>
      <w:bookmarkStart w:id="423" w:name="lt_pId89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se suma a la opinión del Sr. Kibe y la Sra. Wilson. Al haber agotado el tiempo para el debate, la CMR-15 pidió a la Junta que solucionase el problema, dándole así autoridad para fijar como fecha de aplicación de la Regla de Procedimiento la del final de la Conferencia</w:t>
      </w:r>
      <w:bookmarkStart w:id="424" w:name="lt_pId893"/>
      <w:bookmarkEnd w:id="423"/>
      <w:r w:rsidRPr="004801D8">
        <w:rPr>
          <w:rFonts w:asciiTheme="majorBidi" w:hAnsiTheme="majorBidi" w:cstheme="majorBidi"/>
          <w:lang w:val="es-ES_tradnl"/>
        </w:rPr>
        <w:t>.</w:t>
      </w:r>
      <w:bookmarkEnd w:id="42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10.31</w:t>
      </w:r>
      <w:r w:rsidRPr="004801D8">
        <w:rPr>
          <w:rFonts w:asciiTheme="majorBidi" w:hAnsiTheme="majorBidi" w:cstheme="majorBidi"/>
          <w:lang w:val="es-ES_tradnl"/>
        </w:rPr>
        <w:tab/>
      </w:r>
      <w:bookmarkStart w:id="425" w:name="lt_pId89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Koffi</w:t>
      </w:r>
      <w:r w:rsidRPr="004801D8">
        <w:rPr>
          <w:rFonts w:asciiTheme="majorBidi" w:hAnsiTheme="majorBidi" w:cstheme="majorBidi"/>
          <w:lang w:val="es-ES_tradnl"/>
        </w:rPr>
        <w:t xml:space="preserve"> también apoya al Sr. Kibe. No ve problemas con la retroactividad, puesto que la práctica de la Oficina antes y después de la adopción de la Regla de Procedimiento será la misma. No obstante, agradecería el asesoramiento jurídico</w:t>
      </w:r>
      <w:bookmarkStart w:id="426" w:name="lt_pId897"/>
      <w:bookmarkEnd w:id="425"/>
      <w:r w:rsidRPr="004801D8">
        <w:rPr>
          <w:rFonts w:asciiTheme="majorBidi" w:hAnsiTheme="majorBidi" w:cstheme="majorBidi"/>
          <w:lang w:val="es-ES_tradnl"/>
        </w:rPr>
        <w:t>.</w:t>
      </w:r>
      <w:bookmarkEnd w:id="42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10.32</w:t>
      </w:r>
      <w:r w:rsidRPr="004801D8">
        <w:rPr>
          <w:rFonts w:asciiTheme="majorBidi" w:hAnsiTheme="majorBidi" w:cstheme="majorBidi"/>
          <w:lang w:val="es-ES_tradnl"/>
        </w:rPr>
        <w:tab/>
      </w:r>
      <w:bookmarkStart w:id="427" w:name="lt_pId89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la Junta no debe adoptar una decisión con carácter retroactivo y también pide asesoramiento Jurídico. La CMR</w:t>
      </w:r>
      <w:bookmarkStart w:id="428" w:name="lt_pId900"/>
      <w:bookmarkEnd w:id="427"/>
      <w:r w:rsidRPr="004801D8">
        <w:rPr>
          <w:rFonts w:asciiTheme="majorBidi" w:hAnsiTheme="majorBidi" w:cstheme="majorBidi"/>
          <w:lang w:val="es-ES_tradnl"/>
        </w:rPr>
        <w:t>-15 pidió a la Junta que solucionase el problema de la admisibilidad con respecto a la nueva atribución al SFS antes de su entrada en vigor, no que elaborase una Regla de Procedimiento. En caso de desacuerdo entre los miembros de la Junta, ésta podría simplemente encargar a la Oficina que siga recurriendo a la práctica actual. No es necesario que la Junta tome una decisión precipitada, dado que la nueva atribución no entrará en vigor hasta el 1 de enero de</w:t>
      </w:r>
      <w:bookmarkStart w:id="429" w:name="lt_pId903"/>
      <w:bookmarkEnd w:id="428"/>
      <w:r w:rsidRPr="004801D8">
        <w:rPr>
          <w:rFonts w:asciiTheme="majorBidi" w:hAnsiTheme="majorBidi" w:cstheme="majorBidi"/>
          <w:lang w:val="es-ES_tradnl"/>
        </w:rPr>
        <w:t xml:space="preserve"> 2017.</w:t>
      </w:r>
      <w:bookmarkEnd w:id="42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10.33</w:t>
      </w:r>
      <w:r w:rsidRPr="004801D8">
        <w:rPr>
          <w:rFonts w:asciiTheme="majorBidi" w:hAnsiTheme="majorBidi" w:cstheme="majorBidi"/>
          <w:lang w:val="es-ES_tradnl"/>
        </w:rPr>
        <w:tab/>
      </w:r>
      <w:bookmarkStart w:id="430" w:name="lt_pId90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observa que, si la Junta no toma una decisión, la Oficina se limitará a seguir con la práctica existente. Las solicitudes de coordinación recibidas el 28 de noviembre de 2015 se publicarán en breve en la</w:t>
      </w:r>
      <w:bookmarkStart w:id="431" w:name="lt_pId906"/>
      <w:bookmarkEnd w:id="430"/>
      <w:r w:rsidRPr="004801D8">
        <w:rPr>
          <w:rFonts w:asciiTheme="majorBidi" w:hAnsiTheme="majorBidi" w:cstheme="majorBidi"/>
          <w:lang w:val="es-ES_tradnl"/>
        </w:rPr>
        <w:t xml:space="preserve"> BR IFIC.</w:t>
      </w:r>
      <w:bookmarkEnd w:id="431"/>
      <w:r w:rsidRPr="004801D8">
        <w:rPr>
          <w:rFonts w:asciiTheme="majorBidi" w:hAnsiTheme="majorBidi" w:cstheme="majorBidi"/>
          <w:lang w:val="es-ES_tradnl"/>
        </w:rPr>
        <w:t xml:space="preserve"> </w:t>
      </w:r>
      <w:bookmarkStart w:id="432" w:name="lt_pId907"/>
      <w:r w:rsidRPr="004801D8">
        <w:rPr>
          <w:rFonts w:asciiTheme="majorBidi" w:hAnsiTheme="majorBidi" w:cstheme="majorBidi"/>
          <w:lang w:val="es-ES_tradnl"/>
        </w:rPr>
        <w:t>Una Regla de Procedimiento aclararía la situación para todas las administraciones.</w:t>
      </w:r>
      <w:bookmarkEnd w:id="43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10.34</w:t>
      </w:r>
      <w:r w:rsidRPr="004801D8">
        <w:rPr>
          <w:rFonts w:asciiTheme="majorBidi" w:hAnsiTheme="majorBidi" w:cstheme="majorBidi"/>
          <w:lang w:val="es-ES_tradnl"/>
        </w:rPr>
        <w:tab/>
      </w:r>
      <w:bookmarkStart w:id="433" w:name="lt_pId909"/>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insta a la Junta a no tirar el grano con la paja. La CMR</w:t>
      </w:r>
      <w:bookmarkStart w:id="434" w:name="lt_pId910"/>
      <w:bookmarkEnd w:id="433"/>
      <w:r w:rsidRPr="004801D8">
        <w:rPr>
          <w:rFonts w:asciiTheme="majorBidi" w:hAnsiTheme="majorBidi" w:cstheme="majorBidi"/>
          <w:lang w:val="es-ES_tradnl"/>
        </w:rPr>
        <w:t xml:space="preserve">-15 dejó en suspenso el asunto de la nueva atribución del SFS y encargó a la Junta que tomase una decisión al respecto. La Junta vio que el procedimiento actualmente seguido por la Oficina no estaba consignado excepto para </w:t>
      </w:r>
      <w:r w:rsidRPr="004801D8">
        <w:rPr>
          <w:rFonts w:asciiTheme="majorBidi" w:hAnsiTheme="majorBidi" w:cstheme="majorBidi"/>
          <w:lang w:val="es-ES_tradnl"/>
        </w:rPr>
        <w:lastRenderedPageBreak/>
        <w:t>el número</w:t>
      </w:r>
      <w:bookmarkStart w:id="435" w:name="lt_pId911"/>
      <w:bookmarkEnd w:id="434"/>
      <w:r w:rsidRPr="004801D8">
        <w:rPr>
          <w:rFonts w:asciiTheme="majorBidi" w:hAnsiTheme="majorBidi" w:cstheme="majorBidi"/>
          <w:lang w:val="es-ES_tradnl"/>
        </w:rPr>
        <w:t xml:space="preserve"> 9.11A.</w:t>
      </w:r>
      <w:bookmarkEnd w:id="435"/>
      <w:r w:rsidRPr="004801D8">
        <w:rPr>
          <w:rFonts w:asciiTheme="majorBidi" w:hAnsiTheme="majorBidi" w:cstheme="majorBidi"/>
          <w:lang w:val="es-ES_tradnl"/>
        </w:rPr>
        <w:t xml:space="preserve"> </w:t>
      </w:r>
      <w:bookmarkStart w:id="436" w:name="lt_pId912"/>
      <w:r w:rsidRPr="004801D8">
        <w:rPr>
          <w:rFonts w:asciiTheme="majorBidi" w:hAnsiTheme="majorBidi" w:cstheme="majorBidi"/>
          <w:lang w:val="es-ES_tradnl"/>
        </w:rPr>
        <w:t>Si la Junta escoge una fecha de aplicación distinta de la del final de la Conferencia, seguirá teniendo que examinar la admisibilidad de las notificaciones del SFS presentadas entre el final de la Conferencia y esa fecha. Insta a la Junta a fijar esa fecha en el 28 de noviembre de 2015 para que la Junta pueda cumplir con el encargo de la Conferencia y no causar ambigüedad para otros servicios. La Junta debe evitar crear dificultades para las administraciones retrasando su decisión</w:t>
      </w:r>
      <w:bookmarkStart w:id="437" w:name="lt_pId914"/>
      <w:bookmarkEnd w:id="436"/>
      <w:r w:rsidRPr="004801D8">
        <w:rPr>
          <w:rFonts w:asciiTheme="majorBidi" w:hAnsiTheme="majorBidi" w:cstheme="majorBidi"/>
          <w:lang w:val="es-ES_tradnl"/>
        </w:rPr>
        <w:t>.</w:t>
      </w:r>
      <w:bookmarkEnd w:id="43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10.35</w:t>
      </w:r>
      <w:r w:rsidRPr="004801D8">
        <w:rPr>
          <w:rFonts w:asciiTheme="majorBidi" w:hAnsiTheme="majorBidi" w:cstheme="majorBidi"/>
          <w:lang w:val="es-ES_tradnl"/>
        </w:rPr>
        <w:tab/>
      </w:r>
      <w:bookmarkStart w:id="438" w:name="lt_pId91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Khairov</w:t>
      </w:r>
      <w:proofErr w:type="spellEnd"/>
      <w:r w:rsidRPr="004801D8">
        <w:rPr>
          <w:rFonts w:asciiTheme="majorBidi" w:hAnsiTheme="majorBidi" w:cstheme="majorBidi"/>
          <w:lang w:val="es-ES_tradnl"/>
        </w:rPr>
        <w:t xml:space="preserve"> no ve problemas con la retroactividad. La práctica existente, que todo el mundo está dispuesto a adoptar, sería la misma al final de la Conferencia que ahora. Sin embargo, si la Junta escogiese el final de la presente reunión como fecha de aplicación de la Regla de Procedimiento, crearía un vacío en la aplicabilidad entre el 28 de noviembre de 2015 y esa fecha y la Junta tendría que elaborar un Regla para ese periodo intermedio</w:t>
      </w:r>
      <w:bookmarkStart w:id="439" w:name="lt_pId918"/>
      <w:bookmarkEnd w:id="438"/>
      <w:r w:rsidRPr="004801D8">
        <w:rPr>
          <w:rFonts w:asciiTheme="majorBidi" w:hAnsiTheme="majorBidi" w:cstheme="majorBidi"/>
          <w:lang w:val="es-ES_tradnl"/>
        </w:rPr>
        <w:t>.</w:t>
      </w:r>
      <w:bookmarkEnd w:id="43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10.36</w:t>
      </w:r>
      <w:r w:rsidRPr="004801D8">
        <w:rPr>
          <w:rFonts w:asciiTheme="majorBidi" w:hAnsiTheme="majorBidi" w:cstheme="majorBidi"/>
          <w:lang w:val="es-ES_tradnl"/>
        </w:rPr>
        <w:tab/>
      </w:r>
      <w:bookmarkStart w:id="440" w:name="lt_pId92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 xml:space="preserve">Sr. </w:t>
      </w:r>
      <w:proofErr w:type="spellStart"/>
      <w:r w:rsidRPr="004801D8">
        <w:rPr>
          <w:rFonts w:asciiTheme="majorBidi" w:hAnsiTheme="majorBidi" w:cstheme="majorBidi"/>
          <w:b/>
          <w:bCs/>
          <w:lang w:val="es-ES_tradnl"/>
        </w:rPr>
        <w:t>Bin</w:t>
      </w:r>
      <w:proofErr w:type="spellEnd"/>
      <w:r w:rsidRPr="004801D8">
        <w:rPr>
          <w:rFonts w:asciiTheme="majorBidi" w:hAnsiTheme="majorBidi" w:cstheme="majorBidi"/>
          <w:b/>
          <w:bCs/>
          <w:lang w:val="es-ES_tradnl"/>
        </w:rPr>
        <w:t xml:space="preserve"> </w:t>
      </w:r>
      <w:proofErr w:type="spellStart"/>
      <w:r w:rsidRPr="004801D8">
        <w:rPr>
          <w:rFonts w:asciiTheme="majorBidi" w:hAnsiTheme="majorBidi" w:cstheme="majorBidi"/>
          <w:b/>
          <w:bCs/>
          <w:lang w:val="es-ES_tradnl"/>
        </w:rPr>
        <w:t>Hammad</w:t>
      </w:r>
      <w:proofErr w:type="spellEnd"/>
      <w:r w:rsidRPr="004801D8">
        <w:rPr>
          <w:rFonts w:asciiTheme="majorBidi" w:hAnsiTheme="majorBidi" w:cstheme="majorBidi"/>
          <w:lang w:val="es-ES_tradnl"/>
        </w:rPr>
        <w:t xml:space="preserve"> dice que, dada la sensibilidad del asunto, sería preferible disponer de asesoramiento jurídico, aunque algunos miembros de la Junta no vean problemas en la retroactividad.</w:t>
      </w:r>
      <w:bookmarkEnd w:id="44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10.37</w:t>
      </w:r>
      <w:r w:rsidRPr="004801D8">
        <w:rPr>
          <w:rFonts w:asciiTheme="majorBidi" w:hAnsiTheme="majorBidi" w:cstheme="majorBidi"/>
          <w:lang w:val="es-ES_tradnl"/>
        </w:rPr>
        <w:tab/>
      </w:r>
      <w:bookmarkStart w:id="441" w:name="lt_pId92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hay un acuerdo general sobre la necesidad de una Regla de Procedimiento. La Junta debería ahora centrarse en decidir la fecha de aplicación de esa Regla</w:t>
      </w:r>
      <w:bookmarkStart w:id="442" w:name="lt_pId923"/>
      <w:bookmarkEnd w:id="441"/>
      <w:r w:rsidRPr="004801D8">
        <w:rPr>
          <w:rFonts w:asciiTheme="majorBidi" w:hAnsiTheme="majorBidi" w:cstheme="majorBidi"/>
          <w:lang w:val="es-ES_tradnl"/>
        </w:rPr>
        <w:t>.</w:t>
      </w:r>
      <w:bookmarkEnd w:id="44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10.38</w:t>
      </w:r>
      <w:r w:rsidRPr="004801D8">
        <w:rPr>
          <w:rFonts w:asciiTheme="majorBidi" w:hAnsiTheme="majorBidi" w:cstheme="majorBidi"/>
          <w:lang w:val="es-ES_tradnl"/>
        </w:rPr>
        <w:tab/>
      </w:r>
      <w:bookmarkStart w:id="443" w:name="lt_pId925"/>
      <w:r w:rsidRPr="004801D8">
        <w:rPr>
          <w:rFonts w:asciiTheme="majorBidi" w:hAnsiTheme="majorBidi" w:cstheme="majorBidi"/>
          <w:lang w:val="es-ES_tradnl"/>
        </w:rPr>
        <w:t xml:space="preserve">Se </w:t>
      </w:r>
      <w:r w:rsidRPr="004801D8">
        <w:rPr>
          <w:rFonts w:asciiTheme="majorBidi" w:hAnsiTheme="majorBidi" w:cstheme="majorBidi"/>
          <w:b/>
          <w:bCs/>
          <w:lang w:val="es-ES_tradnl"/>
        </w:rPr>
        <w:t>acuerda</w:t>
      </w:r>
      <w:r w:rsidRPr="004801D8">
        <w:rPr>
          <w:rFonts w:asciiTheme="majorBidi" w:hAnsiTheme="majorBidi" w:cstheme="majorBidi"/>
          <w:lang w:val="es-ES_tradnl"/>
        </w:rPr>
        <w:t xml:space="preserve"> solicitar al Asesor Jurídico de la UIT que asista a la reunión y dé su opinión sobre si, en el marco del asunto que ahora se trata, la Junta puede adoptar una Regla de Procedimiento cuya fecha de aplicación se sitúe en el pasado.</w:t>
      </w:r>
      <w:bookmarkEnd w:id="44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10.39</w:t>
      </w:r>
      <w:r w:rsidRPr="004801D8">
        <w:rPr>
          <w:rFonts w:asciiTheme="majorBidi" w:hAnsiTheme="majorBidi" w:cstheme="majorBidi"/>
          <w:lang w:val="es-ES_tradnl"/>
        </w:rPr>
        <w:tab/>
      </w:r>
      <w:bookmarkStart w:id="444" w:name="lt_pId927"/>
      <w:r w:rsidRPr="004801D8">
        <w:rPr>
          <w:rFonts w:asciiTheme="majorBidi" w:hAnsiTheme="majorBidi" w:cstheme="majorBidi"/>
          <w:lang w:val="es-ES_tradnl"/>
        </w:rPr>
        <w:t xml:space="preserve">El </w:t>
      </w:r>
      <w:r w:rsidRPr="004801D8">
        <w:rPr>
          <w:rFonts w:asciiTheme="majorBidi" w:hAnsiTheme="majorBidi" w:cstheme="majorBidi"/>
          <w:b/>
          <w:bCs/>
          <w:lang w:val="es-ES_tradnl"/>
        </w:rPr>
        <w:t>Asesor Jurídico</w:t>
      </w:r>
      <w:r w:rsidRPr="004801D8">
        <w:rPr>
          <w:rFonts w:asciiTheme="majorBidi" w:hAnsiTheme="majorBidi" w:cstheme="majorBidi"/>
          <w:lang w:val="es-ES_tradnl"/>
        </w:rPr>
        <w:t xml:space="preserve"> explica que la no retroactividad es un principio básico del Derecho Internacional, aunque no es un principio absoluto. Establece una distinción entre la retroactividad en sentido estricto, es decir, la aplicación de una nueva medida a algo acaecido en el pasado, y una serie de circunstancias ligeramente diferentes, a saber, la aplicación de una nueva medida a algo que se inició en el pasado y sigue ocurriendo en el presente. Parece que la Junta se enfrenta a este último caso. La situación a la que se aplicaría la Regla de Procedimiento dio comienzo el 28 de noviembre de 2015 al finalizar la Conferencia y sigue vigente hoy en día. La aplicación de la Regla de Procedimiento a una situación constante vigente desde el 28 de noviembre de 2015 no es, así, una aplicación retroactiva, sino una aplicación inmediata a una situación existente y permanente. Con esta interpretación la Junta dispone de un medio jurídicamente aceptable de resolver el dilema que se le plantea</w:t>
      </w:r>
      <w:bookmarkStart w:id="445" w:name="lt_pId932"/>
      <w:bookmarkEnd w:id="444"/>
      <w:r w:rsidRPr="004801D8">
        <w:rPr>
          <w:rFonts w:asciiTheme="majorBidi" w:hAnsiTheme="majorBidi" w:cstheme="majorBidi"/>
          <w:lang w:val="es-ES_tradnl"/>
        </w:rPr>
        <w:t>.</w:t>
      </w:r>
      <w:bookmarkEnd w:id="44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10.40</w:t>
      </w:r>
      <w:r w:rsidRPr="004801D8">
        <w:rPr>
          <w:rFonts w:asciiTheme="majorBidi" w:hAnsiTheme="majorBidi" w:cstheme="majorBidi"/>
          <w:lang w:val="es-ES_tradnl"/>
        </w:rPr>
        <w:tab/>
      </w:r>
      <w:bookmarkStart w:id="446" w:name="lt_pId93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da las gracias al Asesor Jurídico por su opinión, pero dice que la condición de no retroactividad no se aplica al caso que tiene ante sí la Junta. La situación no sigue siendo la misma, porque es posible que en un principio algunas administraciones no estuvieran al corriente de la práctica utilizada por la Oficina, práctica que ha de aclarar la Regla de Procedimiento. La Oficina ha presentado una lista de unas 20 administraciones que han recurrido a esta práctica, pero puede haber otras muchas que la desconozcan. La Junta no debe adoptar decisiones con carácter retroactivo. Si la Conferencia hubiese resuelto el problema, podría haber escogido el 28 de noviembre de 2015, pero numerosas administraciones opusieron su objeción</w:t>
      </w:r>
      <w:bookmarkStart w:id="447" w:name="lt_pId938"/>
      <w:bookmarkEnd w:id="446"/>
      <w:r w:rsidRPr="004801D8">
        <w:rPr>
          <w:rFonts w:asciiTheme="majorBidi" w:hAnsiTheme="majorBidi" w:cstheme="majorBidi"/>
          <w:lang w:val="es-ES_tradnl"/>
        </w:rPr>
        <w:t>.</w:t>
      </w:r>
      <w:bookmarkEnd w:id="44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10.41</w:t>
      </w:r>
      <w:r w:rsidRPr="004801D8">
        <w:rPr>
          <w:rFonts w:asciiTheme="majorBidi" w:hAnsiTheme="majorBidi" w:cstheme="majorBidi"/>
          <w:lang w:val="es-ES_tradnl"/>
        </w:rPr>
        <w:tab/>
      </w:r>
      <w:bookmarkStart w:id="448" w:name="lt_pId94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observa que la Conferencia optó por el camino más fácil y dejó en manos de la Junta la adopción de una difícil decisión</w:t>
      </w:r>
      <w:bookmarkEnd w:id="448"/>
      <w:r w:rsidRPr="004801D8">
        <w:rPr>
          <w:rFonts w:asciiTheme="majorBidi" w:hAnsiTheme="majorBidi" w:cstheme="majorBidi"/>
          <w:lang w:val="es-ES_tradnl"/>
        </w:rPr>
        <w:t>.</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10.42</w:t>
      </w:r>
      <w:r w:rsidRPr="004801D8">
        <w:rPr>
          <w:rFonts w:asciiTheme="majorBidi" w:hAnsiTheme="majorBidi" w:cstheme="majorBidi"/>
          <w:lang w:val="es-ES_tradnl"/>
        </w:rPr>
        <w:tab/>
      </w:r>
      <w:bookmarkStart w:id="449" w:name="lt_pId94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albergar todavía dudas sobre la diferencia entre retroactividad absoluta y retroactividad relativa. Se pregunta también si la expresión «fecha de aplicación efectiva» es correcta desde el punto de vista jurídico. Espera que la Junta pueda llegar a un compromiso y sugiere adoptar una Regla de Procedimiento transitoria aplicable hasta el 1 de enero de </w:t>
      </w:r>
      <w:bookmarkStart w:id="450" w:name="lt_pId944"/>
      <w:bookmarkEnd w:id="449"/>
      <w:r w:rsidRPr="004801D8">
        <w:rPr>
          <w:rFonts w:asciiTheme="majorBidi" w:hAnsiTheme="majorBidi" w:cstheme="majorBidi"/>
          <w:lang w:val="es-ES_tradnl"/>
        </w:rPr>
        <w:t>2017.</w:t>
      </w:r>
      <w:bookmarkEnd w:id="45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10.43</w:t>
      </w:r>
      <w:r w:rsidRPr="004801D8">
        <w:rPr>
          <w:rFonts w:asciiTheme="majorBidi" w:hAnsiTheme="majorBidi" w:cstheme="majorBidi"/>
          <w:lang w:val="es-ES_tradnl"/>
        </w:rPr>
        <w:tab/>
      </w:r>
      <w:bookmarkStart w:id="451" w:name="lt_pId94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observa que la Regla de Procedimiento se utilizará con carácter general, por lo que no se le puede dar la categoría de transitoria, aunque sí lo sea para la nueva atribución al SFS.</w:t>
      </w:r>
      <w:bookmarkEnd w:id="45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10.44</w:t>
      </w:r>
      <w:r w:rsidRPr="004801D8">
        <w:rPr>
          <w:rFonts w:asciiTheme="majorBidi" w:hAnsiTheme="majorBidi" w:cstheme="majorBidi"/>
          <w:lang w:val="es-ES_tradnl"/>
        </w:rPr>
        <w:tab/>
      </w:r>
      <w:bookmarkStart w:id="452" w:name="lt_pId948"/>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no ve problemas con la «fecha de aplicación efectiva». Da las gracias al Asesor Jurídico por su pertinente asesoramiento. Si esto hubiera ocurrido en el pasado, nadie habría </w:t>
      </w:r>
      <w:r w:rsidRPr="004801D8">
        <w:rPr>
          <w:rFonts w:asciiTheme="majorBidi" w:hAnsiTheme="majorBidi" w:cstheme="majorBidi"/>
          <w:lang w:val="es-ES_tradnl"/>
        </w:rPr>
        <w:lastRenderedPageBreak/>
        <w:t>esperado una decisión de la Junta. Es evidente que la Junta está tratando de una situación que se inició en el pasado, pero se prolongará en el futuro. A su entender, la retroactividad no se aplica en ese caso</w:t>
      </w:r>
      <w:bookmarkStart w:id="453" w:name="lt_pId952"/>
      <w:bookmarkEnd w:id="452"/>
      <w:r w:rsidRPr="004801D8">
        <w:rPr>
          <w:rFonts w:asciiTheme="majorBidi" w:hAnsiTheme="majorBidi" w:cstheme="majorBidi"/>
          <w:lang w:val="es-ES_tradnl"/>
        </w:rPr>
        <w:t>.</w:t>
      </w:r>
      <w:bookmarkEnd w:id="45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10.45</w:t>
      </w:r>
      <w:r w:rsidRPr="004801D8">
        <w:rPr>
          <w:rFonts w:asciiTheme="majorBidi" w:hAnsiTheme="majorBidi" w:cstheme="majorBidi"/>
          <w:lang w:val="es-ES_tradnl"/>
        </w:rPr>
        <w:tab/>
      </w:r>
      <w:bookmarkStart w:id="454" w:name="lt_pId954"/>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dice que, de acuerdo con el Asesor Jurídico, la Junta puede adoptar la Regla de Procedimiento siendo el 28 de noviembre de 2015 su fecha de aplicación efectiva.</w:t>
      </w:r>
      <w:bookmarkEnd w:id="45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10.46</w:t>
      </w:r>
      <w:r w:rsidRPr="004801D8">
        <w:rPr>
          <w:rFonts w:asciiTheme="majorBidi" w:hAnsiTheme="majorBidi" w:cstheme="majorBidi"/>
          <w:lang w:val="es-ES_tradnl"/>
        </w:rPr>
        <w:tab/>
      </w:r>
      <w:bookmarkStart w:id="455" w:name="lt_pId956"/>
      <w:r w:rsidRPr="004801D8">
        <w:rPr>
          <w:rFonts w:asciiTheme="majorBidi" w:hAnsiTheme="majorBidi" w:cstheme="majorBidi"/>
          <w:lang w:val="es-ES_tradnl"/>
        </w:rPr>
        <w:t xml:space="preserve">en respuesta a una pregunta del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el </w:t>
      </w:r>
      <w:r w:rsidRPr="004801D8">
        <w:rPr>
          <w:rFonts w:asciiTheme="majorBidi" w:hAnsiTheme="majorBidi" w:cstheme="majorBidi"/>
          <w:b/>
          <w:bCs/>
          <w:lang w:val="es-ES_tradnl"/>
        </w:rPr>
        <w:t>Asesor Jurídico</w:t>
      </w:r>
      <w:r w:rsidRPr="004801D8">
        <w:rPr>
          <w:rFonts w:asciiTheme="majorBidi" w:hAnsiTheme="majorBidi" w:cstheme="majorBidi"/>
          <w:lang w:val="es-ES_tradnl"/>
        </w:rPr>
        <w:t xml:space="preserve"> explica que la Regla de Procedimiento se aplicará a una situación que se inició en el pasado, persiste en el presente y no habrá acabado en la fecha en que se adopte la Regla. Por consiguiente, confirma que la interpretación de la Sra. Wilson es correcta y que este caso entra en la categoría de aquéllos que difieren ligeramente de la retroactividad. Confirma asimismo la afirmación de la Presidenta</w:t>
      </w:r>
      <w:bookmarkStart w:id="456" w:name="lt_pId958"/>
      <w:bookmarkEnd w:id="455"/>
      <w:r w:rsidRPr="004801D8">
        <w:rPr>
          <w:rFonts w:asciiTheme="majorBidi" w:hAnsiTheme="majorBidi" w:cstheme="majorBidi"/>
          <w:lang w:val="es-ES_tradnl"/>
        </w:rPr>
        <w:t>.</w:t>
      </w:r>
      <w:bookmarkEnd w:id="45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10.47</w:t>
      </w:r>
      <w:r w:rsidRPr="004801D8">
        <w:rPr>
          <w:rFonts w:asciiTheme="majorBidi" w:hAnsiTheme="majorBidi" w:cstheme="majorBidi"/>
          <w:lang w:val="es-ES_tradnl"/>
        </w:rPr>
        <w:tab/>
      </w:r>
      <w:bookmarkStart w:id="457" w:name="lt_pId96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Sr. Kibe</w:t>
      </w:r>
      <w:r w:rsidRPr="004801D8">
        <w:rPr>
          <w:rFonts w:asciiTheme="majorBidi" w:hAnsiTheme="majorBidi" w:cstheme="majorBidi"/>
          <w:lang w:val="es-ES_tradnl"/>
        </w:rPr>
        <w:t xml:space="preserve"> dan las gracias al Asesor Jurídico por su útil asesoramiento y sugieren que la Junta adopte la Regla de Procedimiento fijando su fecha de aplicación efectiva en el 28 de noviembre de 2015.</w:t>
      </w:r>
      <w:bookmarkEnd w:id="457"/>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10.48</w:t>
      </w:r>
      <w:r w:rsidRPr="004801D8">
        <w:rPr>
          <w:rFonts w:asciiTheme="majorBidi" w:hAnsiTheme="majorBidi" w:cstheme="majorBidi"/>
          <w:lang w:val="es-ES_tradnl"/>
        </w:rPr>
        <w:tab/>
      </w:r>
      <w:bookmarkStart w:id="458" w:name="lt_pId96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recuerda que en la CMR-15 algunas administraciones se opusieron a que se escogiera el 28 de noviembre de 2015. La Junta no satisfará a todas las administraciones adoptando una Regla de Procedimiento en esos términos</w:t>
      </w:r>
      <w:bookmarkStart w:id="459" w:name="lt_pId963"/>
      <w:bookmarkEnd w:id="458"/>
      <w:r w:rsidRPr="004801D8">
        <w:rPr>
          <w:rFonts w:asciiTheme="majorBidi" w:hAnsiTheme="majorBidi" w:cstheme="majorBidi"/>
          <w:lang w:val="es-ES_tradnl"/>
        </w:rPr>
        <w:t>.</w:t>
      </w:r>
      <w:bookmarkEnd w:id="45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10.49</w:t>
      </w:r>
      <w:r w:rsidRPr="004801D8">
        <w:rPr>
          <w:rFonts w:asciiTheme="majorBidi" w:hAnsiTheme="majorBidi" w:cstheme="majorBidi"/>
          <w:lang w:val="es-ES_tradnl"/>
        </w:rPr>
        <w:tab/>
      </w:r>
      <w:bookmarkStart w:id="460" w:name="lt_pId965"/>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recuerda que la Junta ya reconoció en su anterior reunión que resulta imposible fusionar todas las opiniones. Tras haber consultado el Reglamento y la práctica habitual, la Junta decidió que lo mejor era adoptar una Regla de Procedimiento. La Junta debe buscar el resultado más razonable, aun cuando algunas administraciones no estén contentas con el resultado. Por consiguiente, asume que la Junta aprueba el proyecto de Regla presentado en la Carta Circular</w:t>
      </w:r>
      <w:bookmarkStart w:id="461" w:name="lt_pId968"/>
      <w:bookmarkEnd w:id="460"/>
      <w:r w:rsidRPr="004801D8">
        <w:rPr>
          <w:rFonts w:asciiTheme="majorBidi" w:hAnsiTheme="majorBidi" w:cstheme="majorBidi"/>
          <w:lang w:val="es-ES_tradnl"/>
        </w:rPr>
        <w:t xml:space="preserve"> CCRR/55.</w:t>
      </w:r>
      <w:bookmarkEnd w:id="461"/>
      <w:r w:rsidRPr="004801D8">
        <w:rPr>
          <w:rFonts w:asciiTheme="majorBidi" w:hAnsiTheme="majorBidi" w:cstheme="majorBidi"/>
          <w:lang w:val="es-ES_tradnl"/>
        </w:rPr>
        <w:t xml:space="preserve"> </w:t>
      </w:r>
      <w:bookmarkStart w:id="462" w:name="lt_pId969"/>
      <w:r w:rsidRPr="004801D8">
        <w:rPr>
          <w:rFonts w:asciiTheme="majorBidi" w:hAnsiTheme="majorBidi" w:cstheme="majorBidi"/>
          <w:lang w:val="es-ES_tradnl"/>
        </w:rPr>
        <w:t>Invita a los presentes a formular observaciones sobre el texto adicional propuesto por la Administración de la Federación de Rusia en el Anexo 6 al Documento RRB16-2/4.</w:t>
      </w:r>
      <w:bookmarkEnd w:id="46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10.50</w:t>
      </w:r>
      <w:r w:rsidRPr="004801D8">
        <w:rPr>
          <w:rFonts w:asciiTheme="majorBidi" w:hAnsiTheme="majorBidi" w:cstheme="majorBidi"/>
          <w:lang w:val="es-ES_tradnl"/>
        </w:rPr>
        <w:tab/>
      </w:r>
      <w:bookmarkStart w:id="463" w:name="lt_pId971"/>
      <w:r w:rsidRPr="004801D8">
        <w:rPr>
          <w:rFonts w:asciiTheme="majorBidi" w:hAnsiTheme="majorBidi" w:cstheme="majorBidi"/>
          <w:lang w:val="es-ES_tradnl"/>
        </w:rPr>
        <w:t xml:space="preserve">En respuesta a las observaciones del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dice que la Administración de la Federación de Rusia menciona el caso específico de las medidas adoptadas por la CMR-15 para proteger las asignaciones de frecuencias existentes y planificadas a los sistemas de satélites de retransmisión de datos (SSRD) que funcionan a título secundario para el servicio de investigación espacial (SIE) en la banda de frecuencias 13,4-13,65 GHz modificando las condiciones de atribución para aplicaciones concretas del servicio en cuestión, garantizando la igualdad de condiciones (categoría primaria) con respecto a la nueva atribución al SFS. Sin embargo, al aplicar la Regla de Procedimiento relativa al número</w:t>
      </w:r>
      <w:bookmarkStart w:id="464" w:name="lt_pId972"/>
      <w:bookmarkEnd w:id="463"/>
      <w:r w:rsidRPr="004801D8">
        <w:rPr>
          <w:rFonts w:asciiTheme="majorBidi" w:hAnsiTheme="majorBidi" w:cstheme="majorBidi"/>
          <w:lang w:val="es-ES_tradnl"/>
        </w:rPr>
        <w:t xml:space="preserve"> 11.50 para elevar la categoría de las asignaciones de frecuencias al SIE ya inscritas, podrá ser necesario repetir los procedimientos de coordinación e inscripción en el Registro internacional, lo que significa que, hasta que no estén inscritas en el Registro Internacional, esas asignaciones de frecuencias no se tendrán en cuenta al aplicar el número 9.27 con respecto a las asignaciones de frecuencias de todos los sistemas de satélites notificados para la nueva atribución al SFS. Señala que la Administración de Estados Unidos también ha planteado el mismo caso dentro de un punto del orden distinto (véase el § 11 siguiente). El texto adicional propuesto por la Administración de la Federación de Rusia es de carácter general y sugiere que se incluya en la Regla de Procedimiento relativa al número</w:t>
      </w:r>
      <w:bookmarkStart w:id="465" w:name="lt_pId974"/>
      <w:bookmarkEnd w:id="464"/>
      <w:r w:rsidRPr="004801D8">
        <w:rPr>
          <w:rFonts w:asciiTheme="majorBidi" w:hAnsiTheme="majorBidi" w:cstheme="majorBidi"/>
          <w:lang w:val="es-ES_tradnl"/>
        </w:rPr>
        <w:t xml:space="preserve"> 11.50 con las modificaciones necesarias.</w:t>
      </w:r>
      <w:bookmarkEnd w:id="46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10.51</w:t>
      </w:r>
      <w:r w:rsidRPr="004801D8">
        <w:rPr>
          <w:rFonts w:asciiTheme="majorBidi" w:hAnsiTheme="majorBidi" w:cstheme="majorBidi"/>
          <w:lang w:val="es-ES_tradnl"/>
        </w:rPr>
        <w:tab/>
      </w:r>
      <w:bookmarkStart w:id="466" w:name="lt_pId97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dice que la propuesta de la Administración de la Federación de Rusia responde a las inquietudes manifestadas en la CMR-15 y no se opone a incluir el texto en la Regla de Procedimiento relativa al número 11.50.</w:t>
      </w:r>
      <w:bookmarkEnd w:id="466"/>
    </w:p>
    <w:p w:rsidR="004801D8" w:rsidRPr="004801D8" w:rsidRDefault="004801D8" w:rsidP="00B51E5A">
      <w:pPr>
        <w:rPr>
          <w:rFonts w:asciiTheme="majorBidi" w:hAnsiTheme="majorBidi" w:cstheme="majorBidi"/>
          <w:lang w:val="es-ES"/>
        </w:rPr>
      </w:pPr>
      <w:r w:rsidRPr="004801D8">
        <w:rPr>
          <w:rFonts w:asciiTheme="majorBidi" w:hAnsiTheme="majorBidi" w:cstheme="majorBidi"/>
          <w:lang w:val="es-ES_tradnl"/>
        </w:rPr>
        <w:t>10.52</w:t>
      </w:r>
      <w:r w:rsidRPr="004801D8">
        <w:rPr>
          <w:rFonts w:asciiTheme="majorBidi" w:hAnsiTheme="majorBidi" w:cstheme="majorBidi"/>
          <w:lang w:val="es-ES_tradnl"/>
        </w:rPr>
        <w:tab/>
      </w:r>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p>
    <w:p w:rsidR="004801D8" w:rsidRPr="004801D8" w:rsidRDefault="004801D8" w:rsidP="00B51E5A">
      <w:pPr>
        <w:rPr>
          <w:rFonts w:asciiTheme="majorBidi" w:hAnsiTheme="majorBidi" w:cstheme="majorBidi"/>
          <w:color w:val="000000"/>
          <w:highlight w:val="yellow"/>
          <w:lang w:val="es-ES_tradnl"/>
        </w:rPr>
      </w:pPr>
      <w:r w:rsidRPr="004801D8">
        <w:rPr>
          <w:rFonts w:asciiTheme="majorBidi" w:hAnsiTheme="majorBidi" w:cstheme="majorBidi"/>
          <w:color w:val="000000"/>
          <w:lang w:val="es-ES_tradnl"/>
        </w:rPr>
        <w:t xml:space="preserve">«La Junta examinó en detalle el proyecto de Reglas de Procedimiento distribuido a las administraciones en la Carta Circular CCRR/55, junto con los comentarios recibidos de algunas administraciones (Documentos RRB16-2/2 y RRB16-2/4) y la opinión del Asesor Jurídico sobre la </w:t>
      </w:r>
      <w:r w:rsidRPr="004801D8">
        <w:rPr>
          <w:rFonts w:asciiTheme="majorBidi" w:hAnsiTheme="majorBidi" w:cstheme="majorBidi"/>
          <w:color w:val="000000"/>
          <w:lang w:val="es-ES_tradnl"/>
        </w:rPr>
        <w:lastRenderedPageBreak/>
        <w:t>aplicación retroactiva de una Regla de Procedimiento. La Junta aprobó el proyecto de Regla de Procedimiento sin ninguna modificación.</w:t>
      </w:r>
    </w:p>
    <w:p w:rsidR="004801D8" w:rsidRPr="004801D8" w:rsidRDefault="004801D8" w:rsidP="00B51E5A">
      <w:pPr>
        <w:rPr>
          <w:rFonts w:asciiTheme="majorBidi" w:hAnsiTheme="majorBidi" w:cstheme="majorBidi"/>
          <w:color w:val="000000"/>
          <w:highlight w:val="yellow"/>
          <w:lang w:val="es-ES_tradnl"/>
        </w:rPr>
      </w:pPr>
      <w:r w:rsidRPr="004801D8">
        <w:rPr>
          <w:rFonts w:asciiTheme="majorBidi" w:hAnsiTheme="majorBidi" w:cstheme="majorBidi"/>
          <w:color w:val="000000"/>
          <w:lang w:val="es-ES_tradnl"/>
        </w:rPr>
        <w:t xml:space="preserve">Además, la Junta encargó a la Oficina elaborar un Proyecto de enmienda de la Regla de Procedimiento actual del número </w:t>
      </w:r>
      <w:r w:rsidRPr="004801D8">
        <w:rPr>
          <w:rFonts w:asciiTheme="majorBidi" w:hAnsiTheme="majorBidi" w:cstheme="majorBidi"/>
          <w:b/>
          <w:bCs/>
          <w:color w:val="000000"/>
          <w:lang w:val="es-ES_tradnl"/>
        </w:rPr>
        <w:t>11.50</w:t>
      </w:r>
      <w:r w:rsidRPr="004801D8">
        <w:rPr>
          <w:rFonts w:asciiTheme="majorBidi" w:hAnsiTheme="majorBidi" w:cstheme="majorBidi"/>
          <w:color w:val="000000"/>
          <w:lang w:val="es-ES_tradnl"/>
        </w:rPr>
        <w:t xml:space="preserve"> del Reglamento de Radiocomunicaciones para aclarar los requisitos de coordinación en los casos donde la Conferencia aprobó una nueva atribución y el incremento de la categoría de un servicio de una atribución existente. El proyecto de enmienda de la Regla de Procedimiento del párrafo 5 del número </w:t>
      </w:r>
      <w:r w:rsidRPr="004801D8">
        <w:rPr>
          <w:rFonts w:asciiTheme="majorBidi" w:hAnsiTheme="majorBidi" w:cstheme="majorBidi"/>
          <w:b/>
          <w:bCs/>
          <w:color w:val="000000"/>
          <w:lang w:val="es-ES_tradnl"/>
        </w:rPr>
        <w:t>11.50</w:t>
      </w:r>
      <w:r w:rsidRPr="004801D8">
        <w:rPr>
          <w:rFonts w:asciiTheme="majorBidi" w:hAnsiTheme="majorBidi" w:cstheme="majorBidi"/>
          <w:color w:val="000000"/>
          <w:lang w:val="es-ES_tradnl"/>
        </w:rPr>
        <w:t xml:space="preserve"> del Reglamento de Radiocomunicaciones</w:t>
      </w:r>
      <w:r w:rsidRPr="004801D8">
        <w:rPr>
          <w:rFonts w:asciiTheme="majorBidi" w:hAnsiTheme="majorBidi" w:cstheme="majorBidi"/>
          <w:color w:val="000000"/>
          <w:cs/>
          <w:lang w:val="en-GB"/>
        </w:rPr>
        <w:t>‎</w:t>
      </w:r>
      <w:r w:rsidRPr="004801D8">
        <w:rPr>
          <w:rFonts w:asciiTheme="majorBidi" w:hAnsiTheme="majorBidi" w:cstheme="majorBidi"/>
          <w:color w:val="000000"/>
          <w:lang w:val="es-ES_tradnl"/>
        </w:rPr>
        <w:t xml:space="preserve"> debe elaborarse sobre la base de los principios siguientes:</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«Cuando un cambio en el Artículo 5 tenga como consecuencia la atribución a un nuevo servicio (S2) y el incremento de la categoría de un servicio existente (S1) en la misma banda de frecuencias, la Oficina llamará la atención de la administración que presta el servicio S1 sobre sus asignaciones para el servicio S1 inscritas previamente en el Registro o recibidas para coordinación antes de la decisión de la Conferencia y propondrá a la administración que presente una nuevas asignaciones para sustituir las anteriores. En el caso de que la Administración presente las nuevas asignaciones para sustituir las anteriores, la Oficina debe considerar que estas nuevas asignaciones no deben coordinarse con las asignaciones del nuevo servicio S2».</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10.53</w:t>
      </w:r>
      <w:r w:rsidRPr="004801D8">
        <w:rPr>
          <w:rFonts w:asciiTheme="majorBidi" w:hAnsiTheme="majorBidi" w:cstheme="majorBidi"/>
          <w:lang w:val="es-ES_tradnl"/>
        </w:rPr>
        <w:tab/>
      </w:r>
      <w:bookmarkStart w:id="467" w:name="lt_pId986"/>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467"/>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11</w:t>
      </w:r>
      <w:r w:rsidRPr="004801D8">
        <w:rPr>
          <w:rFonts w:asciiTheme="majorBidi" w:hAnsiTheme="majorBidi" w:cstheme="majorBidi"/>
          <w:lang w:val="es-ES_tradnl"/>
        </w:rPr>
        <w:tab/>
      </w:r>
      <w:bookmarkStart w:id="468" w:name="lt_pId988"/>
      <w:r w:rsidRPr="004801D8">
        <w:rPr>
          <w:rFonts w:asciiTheme="majorBidi" w:hAnsiTheme="majorBidi" w:cstheme="majorBidi"/>
          <w:color w:val="000000" w:themeColor="text1"/>
          <w:lang w:val="es-ES"/>
        </w:rPr>
        <w:t>Comunicación de la Administración de los Estados Unidos de América relativa a la prioridad de las solicitudes de coordinación de asignaciones de frecuencias existentes en el servicio de investigación espacial en las bandas de frecuencias 13,4-13,65 GHz y 14,5 14,8 GHz</w:t>
      </w:r>
      <w:r w:rsidRPr="004801D8">
        <w:rPr>
          <w:rFonts w:asciiTheme="majorBidi" w:hAnsiTheme="majorBidi" w:cstheme="majorBidi"/>
          <w:lang w:val="es-ES_tradnl"/>
        </w:rPr>
        <w:t xml:space="preserve"> (Documentos RRB16-2/13 y RRB16-2/INFO/1)</w:t>
      </w:r>
      <w:bookmarkEnd w:id="46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11.1</w:t>
      </w:r>
      <w:r w:rsidRPr="004801D8">
        <w:rPr>
          <w:rFonts w:asciiTheme="majorBidi" w:hAnsiTheme="majorBidi" w:cstheme="majorBidi"/>
          <w:lang w:val="es-ES_tradnl"/>
        </w:rPr>
        <w:tab/>
      </w:r>
      <w:bookmarkStart w:id="469" w:name="lt_pId990"/>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Sakamoto (Jefe de SSD/SSC)</w:t>
      </w:r>
      <w:r w:rsidRPr="004801D8">
        <w:rPr>
          <w:rFonts w:asciiTheme="majorBidi" w:hAnsiTheme="majorBidi" w:cstheme="majorBidi"/>
          <w:lang w:val="es-ES_tradnl"/>
        </w:rPr>
        <w:t xml:space="preserve"> presenta el Documento RRB16-2/13 en cuyo Adjunto 1 se presenta una comunicación de la Administración de Estados Unidos sobre la prioridad de las solicitudes de coordinación de las asignaciones de frecuencias existentes al servicio de investigación espacial (SIE) en las bandas de frecuencias 13,4-13,65 GHz y 14,5-14,8 GHz.</w:t>
      </w:r>
      <w:bookmarkEnd w:id="469"/>
      <w:r w:rsidRPr="004801D8">
        <w:rPr>
          <w:rFonts w:asciiTheme="majorBidi" w:hAnsiTheme="majorBidi" w:cstheme="majorBidi"/>
          <w:lang w:val="es-ES_tradnl"/>
        </w:rPr>
        <w:t xml:space="preserve"> </w:t>
      </w:r>
      <w:bookmarkStart w:id="470" w:name="lt_pId991"/>
      <w:r w:rsidRPr="004801D8">
        <w:rPr>
          <w:rFonts w:asciiTheme="majorBidi" w:hAnsiTheme="majorBidi" w:cstheme="majorBidi"/>
          <w:lang w:val="es-ES_tradnl"/>
        </w:rPr>
        <w:t>La Administración de Estados Unidos pide a la Oficina que confirme, de acuerdo con el espíritu de las decisiones de la CMR-15, que las solicitudes de coordinación para la elevación de la categoría de servicio de las asignaciones de frecuencias existentes al servicio de investigación espacial en esas bandas que recibieron como fecha de recepción el 28 de noviembre de 2015 tendrán prioridad sobre las solicitudes de coordinación a los sistemas del servicio fijo por satélite (SFS) propuestos para funcionar con la nueva atribución. En su carta de 18 de marzo de 2016 a la Administración de Estados Unidos, reproducida en el Adjunto 2 al Documento, la Oficina explica que se aplicará la Regla de Procedimiento relativa al número</w:t>
      </w:r>
      <w:bookmarkStart w:id="471" w:name="lt_pId992"/>
      <w:bookmarkEnd w:id="470"/>
      <w:r w:rsidRPr="004801D8">
        <w:rPr>
          <w:rFonts w:asciiTheme="majorBidi" w:hAnsiTheme="majorBidi" w:cstheme="majorBidi"/>
          <w:lang w:val="es-ES_tradnl"/>
        </w:rPr>
        <w:t xml:space="preserve"> 11.50, incluidos los procedimientos de coordinación pertinentes. En los dos anexos a esa carta se enumeran los sistemas de satélites que funcionan de acuerdo a los dos nuevos números</w:t>
      </w:r>
      <w:bookmarkStart w:id="472" w:name="lt_pId993"/>
      <w:bookmarkEnd w:id="471"/>
      <w:r w:rsidRPr="004801D8">
        <w:rPr>
          <w:rFonts w:asciiTheme="majorBidi" w:hAnsiTheme="majorBidi" w:cstheme="majorBidi"/>
          <w:lang w:val="es-ES_tradnl"/>
        </w:rPr>
        <w:t xml:space="preserve"> (5.499C y 5.509G) en el servicio de investigación espacial en las bandas en cuestión. Este asunto se presenta a la Junta a petición de la Administración de Estados Unidos. En respuesta a una pregunta del </w:t>
      </w:r>
      <w:bookmarkStart w:id="473" w:name="lt_pId995"/>
      <w:bookmarkEnd w:id="472"/>
      <w:r w:rsidRPr="004801D8">
        <w:rPr>
          <w:rFonts w:asciiTheme="majorBidi" w:hAnsiTheme="majorBidi" w:cstheme="majorBidi"/>
          <w:b/>
          <w:bCs/>
          <w:lang w:val="es-ES_tradnl"/>
        </w:rPr>
        <w:t>Sr. Bessi</w:t>
      </w:r>
      <w:r w:rsidRPr="004801D8">
        <w:rPr>
          <w:rFonts w:asciiTheme="majorBidi" w:hAnsiTheme="majorBidi" w:cstheme="majorBidi"/>
          <w:lang w:val="es-ES_tradnl"/>
        </w:rPr>
        <w:t>, dice que la adición a la Regla de Procedimiento relativa al número</w:t>
      </w:r>
      <w:bookmarkEnd w:id="473"/>
      <w:r w:rsidRPr="004801D8">
        <w:rPr>
          <w:rFonts w:asciiTheme="majorBidi" w:hAnsiTheme="majorBidi" w:cstheme="majorBidi"/>
          <w:lang w:val="es-ES_tradnl"/>
        </w:rPr>
        <w:t> </w:t>
      </w:r>
      <w:bookmarkStart w:id="474" w:name="lt_pId996"/>
      <w:r w:rsidRPr="004801D8">
        <w:rPr>
          <w:rFonts w:asciiTheme="majorBidi" w:hAnsiTheme="majorBidi" w:cstheme="majorBidi"/>
          <w:lang w:val="es-ES_tradnl"/>
        </w:rPr>
        <w:t>11.50 del texto propuesto por la Administración de la Federación de Rusia (tratado en el marco de otro punto del orden del día, véase el § 10 anterior) da igualdad de prioridad al SIE y el SFS, por lo que no responde favorablemente a la solicitud de la Administración de Estados Unidos.</w:t>
      </w:r>
      <w:bookmarkEnd w:id="474"/>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11.2</w:t>
      </w:r>
      <w:r w:rsidRPr="004801D8">
        <w:rPr>
          <w:rFonts w:asciiTheme="majorBidi" w:hAnsiTheme="majorBidi" w:cstheme="majorBidi"/>
          <w:lang w:val="es-ES_tradnl"/>
        </w:rPr>
        <w:tab/>
      </w:r>
      <w:bookmarkStart w:id="475" w:name="lt_pId99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subraya que el SIE se utiliza para fines científicos en interés de la Humanidad. Los actuales sistemas del SIE en las bandas de frecuencias</w:t>
      </w:r>
      <w:bookmarkStart w:id="476" w:name="lt_pId999"/>
      <w:bookmarkEnd w:id="475"/>
      <w:r w:rsidRPr="004801D8">
        <w:rPr>
          <w:rFonts w:asciiTheme="majorBidi" w:hAnsiTheme="majorBidi" w:cstheme="majorBidi"/>
          <w:lang w:val="es-ES_tradnl"/>
        </w:rPr>
        <w:t xml:space="preserve"> 13,4-13,65 GHz y 14,5</w:t>
      </w:r>
      <w:r w:rsidRPr="004801D8">
        <w:rPr>
          <w:rFonts w:asciiTheme="majorBidi" w:hAnsiTheme="majorBidi" w:cstheme="majorBidi"/>
          <w:lang w:val="es-ES_tradnl"/>
        </w:rPr>
        <w:noBreakHyphen/>
        <w:t>14,8 GHz inscritos en el Registro Internacional ya han completado la coordinación no se les debería exigir la coordinación con los nuevos sistemas del SFS en esas bandas. La Oficina no debería cobrar tasas por realizar dos veces la misma coordinación, sobre todo sabiendo que los servicios científicos suelen carecer de financiación adecuada. En relación con el Documento</w:t>
      </w:r>
      <w:bookmarkStart w:id="477" w:name="lt_pId1001"/>
      <w:bookmarkEnd w:id="476"/>
      <w:r w:rsidRPr="004801D8">
        <w:rPr>
          <w:rFonts w:asciiTheme="majorBidi" w:hAnsiTheme="majorBidi" w:cstheme="majorBidi"/>
          <w:lang w:val="es-ES_tradnl"/>
        </w:rPr>
        <w:t xml:space="preserve"> RRB16-2/INFO/1, que contiene una </w:t>
      </w:r>
      <w:r w:rsidRPr="004801D8">
        <w:rPr>
          <w:rFonts w:asciiTheme="majorBidi" w:hAnsiTheme="majorBidi" w:cstheme="majorBidi"/>
          <w:lang w:val="es-ES_tradnl"/>
        </w:rPr>
        <w:lastRenderedPageBreak/>
        <w:t>carta de la Oficina a la Administración de Estados Unidos del 2 de mayo de 2016, dice que parece haber una contradicción entre el segundo párrafo, que trata de asignaciones de frecuencias específicas con categoría primaria, y el quinto párrafo, en el que se indica su categoría secundaria.</w:t>
      </w:r>
      <w:bookmarkEnd w:id="477"/>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11.3</w:t>
      </w:r>
      <w:r w:rsidRPr="004801D8">
        <w:rPr>
          <w:rFonts w:asciiTheme="majorBidi" w:hAnsiTheme="majorBidi" w:cstheme="majorBidi"/>
          <w:lang w:val="es-ES_tradnl"/>
        </w:rPr>
        <w:tab/>
      </w:r>
      <w:bookmarkStart w:id="478" w:name="lt_pId1003"/>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toma la palabra para hablar del tema general de la interpretación de decisiones de la Conferencia que no sólo afectan a la Administración de Estados Unidos y dice que de los debates de la CMR-15 se desprende claramente que el objetivo era proteger al SIE, al tiempo que se efectúa la atribución a título primario con igualdad de derechos al SFS en esas bandas.</w:t>
      </w:r>
      <w:bookmarkEnd w:id="47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11.4</w:t>
      </w:r>
      <w:r w:rsidRPr="004801D8">
        <w:rPr>
          <w:rFonts w:asciiTheme="majorBidi" w:hAnsiTheme="majorBidi" w:cstheme="majorBidi"/>
          <w:lang w:val="es-ES_tradnl"/>
        </w:rPr>
        <w:tab/>
      </w:r>
      <w:bookmarkStart w:id="479" w:name="lt_pId100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confirma que los debates sostenidos en las Comisiones de la CMR-15 se inclinaron a favor de la protección del SIE, pero que tal deseo no se reflejó en las Actas Finales de la Conferencia ni en las Actas de las Sesiones Plenarias. En el Documento</w:t>
      </w:r>
      <w:bookmarkStart w:id="480" w:name="lt_pId1006"/>
      <w:bookmarkEnd w:id="479"/>
      <w:r w:rsidRPr="004801D8">
        <w:rPr>
          <w:rFonts w:asciiTheme="majorBidi" w:hAnsiTheme="majorBidi" w:cstheme="majorBidi"/>
          <w:lang w:val="es-ES_tradnl"/>
        </w:rPr>
        <w:t xml:space="preserve"> RRB16-2/13, la Administración de Estados Unidos pide una categoría especial para las asignaciones al SIE.</w:t>
      </w:r>
      <w:bookmarkEnd w:id="48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 xml:space="preserve">11.5 </w:t>
      </w:r>
      <w:r w:rsidRPr="004801D8">
        <w:rPr>
          <w:rFonts w:asciiTheme="majorBidi" w:hAnsiTheme="majorBidi" w:cstheme="majorBidi"/>
          <w:b/>
          <w:bCs/>
          <w:lang w:val="es-ES_tradnl"/>
        </w:rPr>
        <w:tab/>
      </w:r>
      <w:bookmarkStart w:id="481" w:name="lt_pId1008"/>
      <w:r w:rsidRPr="004801D8">
        <w:rPr>
          <w:rFonts w:asciiTheme="majorBidi" w:hAnsiTheme="majorBidi" w:cstheme="majorBidi"/>
          <w:b/>
          <w:bCs/>
          <w:lang w:val="es-ES_tradnl"/>
        </w:rPr>
        <w:t>El Sr. Sakamoto (Jefe de SSD/SSC)</w:t>
      </w:r>
      <w:r w:rsidRPr="004801D8">
        <w:rPr>
          <w:rFonts w:asciiTheme="majorBidi" w:hAnsiTheme="majorBidi" w:cstheme="majorBidi"/>
          <w:lang w:val="es-ES_tradnl"/>
        </w:rPr>
        <w:t xml:space="preserve"> dice que, de acuerdo con las Reglas de Procedimiento, la Oficina podrá elevar la categoría del SIE sólo después de haber realizado el procedimiento de coordinación previsto en la Regla de Procedimiento relativa al número 11.50.</w:t>
      </w:r>
      <w:bookmarkEnd w:id="481"/>
      <w:r w:rsidRPr="004801D8">
        <w:rPr>
          <w:rFonts w:asciiTheme="majorBidi" w:hAnsiTheme="majorBidi" w:cstheme="majorBidi"/>
          <w:lang w:val="es-ES_tradnl"/>
        </w:rPr>
        <w:t xml:space="preserve"> </w:t>
      </w:r>
      <w:bookmarkStart w:id="482" w:name="lt_pId1009"/>
      <w:r w:rsidRPr="004801D8">
        <w:rPr>
          <w:rFonts w:asciiTheme="majorBidi" w:hAnsiTheme="majorBidi" w:cstheme="majorBidi"/>
          <w:lang w:val="es-ES_tradnl"/>
        </w:rPr>
        <w:t xml:space="preserve">La Oficina no puede elevar la categoría de las asignaciones basándose en la intención de las decisiones de la Conferencia, pero la Junta sí. Señala que los sensores activos a bordo de vehículos espaciales, cuya categoría era superior a la de otros usos del SIE de conformidad con el anterior número 5.501A, ahora tienen categoría </w:t>
      </w:r>
      <w:proofErr w:type="spellStart"/>
      <w:r w:rsidRPr="004801D8">
        <w:rPr>
          <w:rFonts w:asciiTheme="majorBidi" w:hAnsiTheme="majorBidi" w:cstheme="majorBidi"/>
          <w:lang w:val="es-ES_tradnl"/>
        </w:rPr>
        <w:t>coprimaria</w:t>
      </w:r>
      <w:proofErr w:type="spellEnd"/>
      <w:r w:rsidRPr="004801D8">
        <w:rPr>
          <w:rFonts w:asciiTheme="majorBidi" w:hAnsiTheme="majorBidi" w:cstheme="majorBidi"/>
          <w:lang w:val="es-ES_tradnl"/>
        </w:rPr>
        <w:t xml:space="preserve"> de acuerdo con el nuevo número 5.499C, pero no hay ninguno inscrito en el Registro Internacional</w:t>
      </w:r>
      <w:bookmarkStart w:id="483" w:name="lt_pId1010"/>
      <w:bookmarkEnd w:id="482"/>
      <w:r w:rsidRPr="004801D8">
        <w:rPr>
          <w:rFonts w:asciiTheme="majorBidi" w:hAnsiTheme="majorBidi" w:cstheme="majorBidi"/>
          <w:lang w:val="es-ES_tradnl"/>
        </w:rPr>
        <w:t>.</w:t>
      </w:r>
      <w:bookmarkEnd w:id="483"/>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11.6</w:t>
      </w:r>
      <w:r w:rsidRPr="004801D8">
        <w:rPr>
          <w:rFonts w:asciiTheme="majorBidi" w:hAnsiTheme="majorBidi" w:cstheme="majorBidi"/>
          <w:lang w:val="es-ES_tradnl"/>
        </w:rPr>
        <w:tab/>
      </w:r>
      <w:bookmarkStart w:id="484" w:name="lt_pId101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observa que la mayoría de los miembros de la Junta parece aceptar que las asignaciones al SIE inscritas en el Registro internacional o comunicadas a la Oficina para la coordinación en virtud del Artículo 9 antes del 28 de noviembre de 2015 no han de coordinarse con las asignaciones al SFS. Además, parece que los miembros de la Junta están de acuerdo en que, cuando las asignaciones al SIE adquieran la categoría primaria, no será necesario repetir la coordinación realizada entre sistemas del SIE cuando las asignaciones tenían categoría secundaria</w:t>
      </w:r>
      <w:bookmarkStart w:id="485" w:name="lt_pId1013"/>
      <w:bookmarkEnd w:id="484"/>
      <w:r w:rsidRPr="004801D8">
        <w:rPr>
          <w:rFonts w:asciiTheme="majorBidi" w:hAnsiTheme="majorBidi" w:cstheme="majorBidi"/>
          <w:lang w:val="es-ES_tradnl"/>
        </w:rPr>
        <w:t>.</w:t>
      </w:r>
      <w:bookmarkEnd w:id="48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11.7</w:t>
      </w:r>
      <w:r w:rsidRPr="004801D8">
        <w:rPr>
          <w:rFonts w:asciiTheme="majorBidi" w:hAnsiTheme="majorBidi" w:cstheme="majorBidi"/>
          <w:lang w:val="es-ES_tradnl"/>
        </w:rPr>
        <w:tab/>
      </w:r>
      <w:bookmarkStart w:id="486" w:name="lt_pId101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señala que la Conferencia no dio al SIE prioridad sobre el SFS y pregunta sobre qué base podría la Junta adoptar una decisión que proteja al SIE contra el SFS</w:t>
      </w:r>
      <w:bookmarkStart w:id="487" w:name="lt_pId1016"/>
      <w:bookmarkEnd w:id="486"/>
      <w:r w:rsidRPr="004801D8">
        <w:rPr>
          <w:rFonts w:asciiTheme="majorBidi" w:hAnsiTheme="majorBidi" w:cstheme="majorBidi"/>
          <w:lang w:val="es-ES_tradnl"/>
        </w:rPr>
        <w:t>.</w:t>
      </w:r>
      <w:bookmarkEnd w:id="487"/>
    </w:p>
    <w:p w:rsidR="004801D8" w:rsidRPr="004801D8" w:rsidRDefault="004801D8" w:rsidP="00B51E5A">
      <w:pPr>
        <w:rPr>
          <w:rFonts w:asciiTheme="majorBidi" w:hAnsiTheme="majorBidi" w:cstheme="majorBidi"/>
          <w:b/>
          <w:bCs/>
          <w:lang w:val="es-ES_tradnl"/>
        </w:rPr>
      </w:pPr>
      <w:r w:rsidRPr="004801D8">
        <w:rPr>
          <w:rFonts w:asciiTheme="majorBidi" w:hAnsiTheme="majorBidi" w:cstheme="majorBidi"/>
          <w:lang w:val="es-ES_tradnl"/>
        </w:rPr>
        <w:t>11.8</w:t>
      </w:r>
      <w:r w:rsidRPr="004801D8">
        <w:rPr>
          <w:rFonts w:asciiTheme="majorBidi" w:hAnsiTheme="majorBidi" w:cstheme="majorBidi"/>
          <w:lang w:val="es-ES_tradnl"/>
        </w:rPr>
        <w:tab/>
      </w:r>
      <w:bookmarkStart w:id="488" w:name="lt_pId1018"/>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entiende que el objetivo de la Regla de Procedimiento relativa al número 11.50 es «proteger» del SFS a todas las redes del servicio de investigación espacial (SIE) existentes en las bandas de frecuencias 13,4-13,65 GHz y 14,5-14,8 GHz e inscritas en el Registro Internacional antes del 28 de noviembre de 2015. Dicho de otro modo, esas redes del SIE no tendrán que coordinarse con las redes del SFS. La CMR-15 no otorgó prioridad al SIE, pero la Oficina puede dar esa «protección», sabiendo que el SIE y el SFS tienen la misma categoría, considerando haber recibido las notificaciones del SIE «existentes» el 28 de noviembre de 2015 momentos antes que las notificaciones del SFS recibidas en la misma fecha. El concepto puede ampararse en un texto basado en la propuesta de la Administración de la Federación de Rusia y añadido a la Regla de Procedimiento relativa al número</w:t>
      </w:r>
      <w:bookmarkStart w:id="489" w:name="lt_pId1021"/>
      <w:bookmarkEnd w:id="488"/>
      <w:r w:rsidRPr="004801D8">
        <w:rPr>
          <w:rFonts w:asciiTheme="majorBidi" w:hAnsiTheme="majorBidi" w:cstheme="majorBidi"/>
          <w:lang w:val="es-ES_tradnl"/>
        </w:rPr>
        <w:t xml:space="preserve"> 11.50 (véase el § 10 anterior).</w:t>
      </w:r>
      <w:bookmarkEnd w:id="489"/>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11.9</w:t>
      </w:r>
      <w:r w:rsidRPr="004801D8">
        <w:rPr>
          <w:rFonts w:asciiTheme="majorBidi" w:hAnsiTheme="majorBidi" w:cstheme="majorBidi"/>
          <w:lang w:val="es-ES_tradnl"/>
        </w:rPr>
        <w:tab/>
      </w:r>
      <w:r w:rsidRPr="004801D8">
        <w:rPr>
          <w:rFonts w:asciiTheme="majorBidi" w:hAnsiTheme="majorBidi" w:cstheme="majorBidi"/>
          <w:lang w:val="es-ES"/>
        </w:rPr>
        <w:t xml:space="preserve">La </w:t>
      </w:r>
      <w:r w:rsidRPr="004801D8">
        <w:rPr>
          <w:rFonts w:asciiTheme="majorBidi" w:hAnsiTheme="majorBidi" w:cstheme="majorBidi"/>
          <w:b/>
          <w:bCs/>
          <w:lang w:val="es-ES"/>
        </w:rPr>
        <w:t>Presidenta</w:t>
      </w:r>
      <w:r w:rsidRPr="004801D8">
        <w:rPr>
          <w:rFonts w:asciiTheme="majorBidi" w:hAnsiTheme="majorBidi" w:cstheme="majorBidi"/>
          <w:lang w:val="es-ES"/>
        </w:rPr>
        <w:t xml:space="preserve"> propone que la Junta concluya de la manera siguiente:</w:t>
      </w:r>
    </w:p>
    <w:p w:rsidR="004801D8" w:rsidRPr="004801D8" w:rsidRDefault="004801D8" w:rsidP="00B51E5A">
      <w:pPr>
        <w:rPr>
          <w:rFonts w:asciiTheme="majorBidi" w:hAnsiTheme="majorBidi" w:cstheme="majorBidi"/>
          <w:color w:val="000000"/>
          <w:highlight w:val="yellow"/>
          <w:lang w:val="es-ES_tradnl"/>
        </w:rPr>
      </w:pPr>
      <w:r w:rsidRPr="004801D8">
        <w:rPr>
          <w:rFonts w:asciiTheme="majorBidi" w:hAnsiTheme="majorBidi" w:cstheme="majorBidi"/>
          <w:color w:val="000000"/>
          <w:lang w:val="es-ES_tradnl"/>
        </w:rPr>
        <w:t xml:space="preserve">«La Junta examinó la solicitud de Estados Unidos de América sobre la prioridad de las solicitudes de coordinación de asignaciones de frecuencias existentes en el servicio de investigación espacial (SIE) en las bandas de frecuencias 13,4-13,65 GHz y 14,5-14,8 GHz de acuerdo con los números </w:t>
      </w:r>
      <w:r w:rsidRPr="004801D8">
        <w:rPr>
          <w:rFonts w:asciiTheme="majorBidi" w:hAnsiTheme="majorBidi" w:cstheme="majorBidi"/>
          <w:b/>
          <w:bCs/>
          <w:color w:val="000000"/>
          <w:lang w:val="es-ES_tradnl"/>
        </w:rPr>
        <w:t>5.499C</w:t>
      </w:r>
      <w:r w:rsidRPr="004801D8">
        <w:rPr>
          <w:rFonts w:asciiTheme="majorBidi" w:hAnsiTheme="majorBidi" w:cstheme="majorBidi"/>
          <w:color w:val="000000"/>
          <w:lang w:val="es-ES_tradnl"/>
        </w:rPr>
        <w:t xml:space="preserve"> y </w:t>
      </w:r>
      <w:r w:rsidRPr="004801D8">
        <w:rPr>
          <w:rFonts w:asciiTheme="majorBidi" w:hAnsiTheme="majorBidi" w:cstheme="majorBidi"/>
          <w:b/>
          <w:bCs/>
          <w:color w:val="000000"/>
          <w:lang w:val="es-ES_tradnl"/>
        </w:rPr>
        <w:t>5.509G</w:t>
      </w:r>
      <w:r w:rsidRPr="004801D8">
        <w:rPr>
          <w:rFonts w:asciiTheme="majorBidi" w:hAnsiTheme="majorBidi" w:cstheme="majorBidi"/>
          <w:color w:val="000000"/>
          <w:lang w:val="es-ES_tradnl"/>
        </w:rPr>
        <w:t xml:space="preserve"> del Reglamento de Radiocomunicaciones presentada en los Documentos RRB16</w:t>
      </w:r>
      <w:r w:rsidRPr="004801D8">
        <w:rPr>
          <w:rFonts w:asciiTheme="majorBidi" w:hAnsiTheme="majorBidi" w:cstheme="majorBidi"/>
          <w:color w:val="000000"/>
          <w:lang w:val="es-ES_tradnl"/>
        </w:rPr>
        <w:noBreakHyphen/>
        <w:t>2/13 y RRB16-2/INFO/1. Teniendo en cuenta los debates durante la CMR-15 para proteger las asignaciones del SIE, la Junta decidió que no es necesario que las asignaciones del SIE, inscritas en el Registro o comunicadas a la Oficina a efectos de coordinación, de acuerdo con el Artículo 19, antes del 28 de noviembre de 2015, se coordinen con las asignaciones del servicio fijo por satélite (SFS).</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La Junta aprobó también que, como el estado de la categoría de servicio de todos los servicios existentes en estas bandas de frecuencias permanece inalterado, no son necesarios ningún examen reglamentario adicional o conclusiones de la Oficina para las asignaciones registradas o las solicitudes de coordinación publicadas anteriormente.»</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11.10</w:t>
      </w:r>
      <w:r w:rsidRPr="004801D8">
        <w:rPr>
          <w:rFonts w:asciiTheme="majorBidi" w:hAnsiTheme="majorBidi" w:cstheme="majorBidi"/>
          <w:lang w:val="es-ES_tradnl"/>
        </w:rPr>
        <w:tab/>
      </w:r>
      <w:bookmarkStart w:id="490" w:name="lt_pId1028"/>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bookmarkEnd w:id="490"/>
      <w:r w:rsidRPr="004801D8">
        <w:rPr>
          <w:rFonts w:asciiTheme="majorBidi" w:hAnsiTheme="majorBidi" w:cstheme="majorBidi"/>
          <w:lang w:val="es-ES_tradnl"/>
        </w:rPr>
        <w:t>.</w:t>
      </w:r>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12</w:t>
      </w:r>
      <w:r w:rsidRPr="004801D8">
        <w:rPr>
          <w:rFonts w:asciiTheme="majorBidi" w:hAnsiTheme="majorBidi" w:cstheme="majorBidi"/>
          <w:lang w:val="es-ES_tradnl"/>
        </w:rPr>
        <w:tab/>
      </w:r>
      <w:bookmarkStart w:id="491" w:name="lt_pId1030"/>
      <w:r w:rsidRPr="004801D8">
        <w:rPr>
          <w:rFonts w:asciiTheme="majorBidi" w:hAnsiTheme="majorBidi" w:cstheme="majorBidi"/>
          <w:color w:val="000000" w:themeColor="text1"/>
          <w:lang w:val="es-ES"/>
        </w:rPr>
        <w:t>Repercusión de las decisiones de la CMR-15 sobre las actuales Reglas de Procedimiento</w:t>
      </w:r>
      <w:r w:rsidRPr="004801D8">
        <w:rPr>
          <w:rFonts w:asciiTheme="majorBidi" w:hAnsiTheme="majorBidi" w:cstheme="majorBidi"/>
          <w:lang w:val="es-ES_tradnl"/>
        </w:rPr>
        <w:t xml:space="preserve"> (Documentos RRB16-2/3, RRB16-2/8 y RRB16-2/10)</w:t>
      </w:r>
      <w:bookmarkEnd w:id="491"/>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12.1</w:t>
      </w:r>
      <w:r w:rsidRPr="004801D8">
        <w:rPr>
          <w:rFonts w:asciiTheme="majorBidi" w:hAnsiTheme="majorBidi" w:cstheme="majorBidi"/>
          <w:lang w:val="es-ES_tradnl"/>
        </w:rPr>
        <w:tab/>
      </w:r>
      <w:bookmarkStart w:id="492" w:name="lt_pId1032"/>
      <w:r w:rsidRPr="004801D8">
        <w:rPr>
          <w:rFonts w:asciiTheme="majorBidi" w:hAnsiTheme="majorBidi" w:cstheme="majorBidi"/>
          <w:lang w:val="es-ES_tradnl"/>
        </w:rPr>
        <w:t xml:space="preserve">Tras sugerir 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y el </w:t>
      </w:r>
      <w:r w:rsidRPr="004801D8">
        <w:rPr>
          <w:rFonts w:asciiTheme="majorBidi" w:hAnsiTheme="majorBidi" w:cstheme="majorBidi"/>
          <w:b/>
          <w:bCs/>
          <w:lang w:val="es-ES_tradnl"/>
        </w:rPr>
        <w:t xml:space="preserve">Sr. Bessi </w:t>
      </w:r>
      <w:r w:rsidRPr="004801D8">
        <w:rPr>
          <w:rFonts w:asciiTheme="majorBidi" w:hAnsiTheme="majorBidi" w:cstheme="majorBidi"/>
          <w:lang w:val="es-ES_tradnl"/>
        </w:rPr>
        <w:t xml:space="preserve">que, dada la importancia de este punto del orden del día y de la cantidad de trabajo que conlleva, podría dejarse para la 73ª reunión de la Junta, 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dice que la Oficina espera poder publicar todo un grupo de nuevas Reglas de Procedimiento coincidiendo con la entrada en vigor del nuevo Reglamento de Radiocomunicaciones revisado por la CMR-15 el 1 de enero de 2017. Para ello se ha de determinar en la presente reunión qué Reglas de Procedimiento nuevas o revisadas se necesitan a fin de poder preparar los proyectos, distribuirlos a las administraciones para que éstas presenten sus observaciones y que la Junta los pueda considerar y aprobar en su última reunión de 2016. Por ese motivo anima a la Junta a acometer este punto del orden del día en la presente reunión</w:t>
      </w:r>
      <w:bookmarkStart w:id="493" w:name="lt_pId1034"/>
      <w:bookmarkEnd w:id="492"/>
      <w:r w:rsidRPr="004801D8">
        <w:rPr>
          <w:rFonts w:asciiTheme="majorBidi" w:hAnsiTheme="majorBidi" w:cstheme="majorBidi"/>
          <w:lang w:val="es-ES_tradnl"/>
        </w:rPr>
        <w:t>.</w:t>
      </w:r>
      <w:bookmarkEnd w:id="49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12.2</w:t>
      </w:r>
      <w:r w:rsidRPr="004801D8">
        <w:rPr>
          <w:rFonts w:asciiTheme="majorBidi" w:hAnsiTheme="majorBidi" w:cstheme="majorBidi"/>
          <w:lang w:val="es-ES_tradnl"/>
        </w:rPr>
        <w:tab/>
      </w:r>
      <w:bookmarkStart w:id="494" w:name="lt_pId103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Kibe</w:t>
      </w:r>
      <w:r w:rsidRPr="004801D8">
        <w:rPr>
          <w:rFonts w:asciiTheme="majorBidi" w:hAnsiTheme="majorBidi" w:cstheme="majorBidi"/>
          <w:lang w:val="es-ES_tradnl"/>
        </w:rPr>
        <w:t xml:space="preserve"> está de acuerdo con el Director y señala a la atención de los presentes el número 13.12A</w:t>
      </w:r>
      <w:r w:rsidRPr="004801D8">
        <w:rPr>
          <w:rFonts w:asciiTheme="majorBidi" w:hAnsiTheme="majorBidi" w:cstheme="majorBidi"/>
          <w:i/>
          <w:iCs/>
          <w:lang w:val="es-ES_tradnl"/>
        </w:rPr>
        <w:t>a)</w:t>
      </w:r>
      <w:r w:rsidRPr="004801D8">
        <w:rPr>
          <w:rFonts w:asciiTheme="majorBidi" w:hAnsiTheme="majorBidi" w:cstheme="majorBidi"/>
          <w:lang w:val="es-ES_tradnl"/>
        </w:rPr>
        <w:t xml:space="preserve"> del Reglamento de Radiocomunicaciones, donde se identifica como una de las tareas fundamentales de la Junta la publicación de una lista de futuras Reglas propuestas y el calendario para su examen por la Junta. No debe parecer que la Junta se toma demasiado tiempo después de la CMR para ponerse manos a la obra</w:t>
      </w:r>
      <w:bookmarkStart w:id="495" w:name="lt_pId1037"/>
      <w:bookmarkEnd w:id="494"/>
      <w:r w:rsidRPr="004801D8">
        <w:rPr>
          <w:rFonts w:asciiTheme="majorBidi" w:hAnsiTheme="majorBidi" w:cstheme="majorBidi"/>
          <w:lang w:val="es-ES_tradnl"/>
        </w:rPr>
        <w:t>.</w:t>
      </w:r>
      <w:bookmarkEnd w:id="49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12.3</w:t>
      </w:r>
      <w:r w:rsidRPr="004801D8">
        <w:rPr>
          <w:rFonts w:asciiTheme="majorBidi" w:hAnsiTheme="majorBidi" w:cstheme="majorBidi"/>
          <w:lang w:val="es-ES_tradnl"/>
        </w:rPr>
        <w:tab/>
      </w:r>
      <w:bookmarkStart w:id="496" w:name="lt_pId1039"/>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está de acuerdo con el Director y el Sr. Kibe.</w:t>
      </w:r>
      <w:bookmarkEnd w:id="49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12.4</w:t>
      </w:r>
      <w:r w:rsidRPr="004801D8">
        <w:rPr>
          <w:rFonts w:asciiTheme="majorBidi" w:hAnsiTheme="majorBidi" w:cstheme="majorBidi"/>
          <w:lang w:val="es-ES_tradnl"/>
        </w:rPr>
        <w:tab/>
      </w:r>
      <w:bookmarkStart w:id="497" w:name="lt_pId1041"/>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Henri (Jefe de SSD)</w:t>
      </w:r>
      <w:r w:rsidRPr="004801D8">
        <w:rPr>
          <w:rFonts w:asciiTheme="majorBidi" w:hAnsiTheme="majorBidi" w:cstheme="majorBidi"/>
          <w:lang w:val="es-ES_tradnl"/>
        </w:rPr>
        <w:t xml:space="preserve"> presenta el Documento RRB16-2/3 que recoge el ya tradicional documento preparado después de cada CMR para identificar las consecuencias de las decisiones de la Conferencia, las de la CMR-15 en este caso, sobre las actuales Reglas de Procedimiento. El documento contiene cuatro adjuntos donde se presentan, respectivamente, las decisiones de la CMR que pueden exigir una revisión de las Reglas existentes o la adición de nuevas Reglas relativas a disposiciones del RR; las decisiones de la CMR-15 que pueden necesitar nuevas Reglas; las Reglas existentes que quizá sea necesario actualizar, pero no como resultado de las decisiones de la CMR</w:t>
      </w:r>
      <w:r w:rsidRPr="004801D8">
        <w:rPr>
          <w:rFonts w:asciiTheme="majorBidi" w:hAnsiTheme="majorBidi" w:cstheme="majorBidi"/>
          <w:lang w:val="es-ES_tradnl"/>
        </w:rPr>
        <w:noBreakHyphen/>
        <w:t>15; y las decisiones reflejadas en las Actas de las Sesiones Plenarias de la CMR-15 que pueden necesitar una Regla de Procedimiento. En lo que respecta a esta última categoría, señala en particular el segundo párrafo de la portada del Documento, donde se indica que «Dado el estatus particular de esas decisiones, las correspondientes Reglas de Procedimiento no deberán presentarse a las administraciones para la formulación de observaciones</w:t>
      </w:r>
      <w:bookmarkStart w:id="498" w:name="lt_pId1043"/>
      <w:bookmarkEnd w:id="497"/>
      <w:r w:rsidRPr="004801D8">
        <w:rPr>
          <w:rFonts w:asciiTheme="majorBidi" w:hAnsiTheme="majorBidi" w:cstheme="majorBidi"/>
          <w:lang w:val="es-ES_tradnl"/>
        </w:rPr>
        <w:t>.» Señala asimismo que, a excepción de la Regla considerada por la Junta en la presente reunión, en el documento se propone que todas las Reglas se examinen en la 73ª reunión de la Junta a fin de que entren en vigor a tiempo para guiar el trabajo de la Oficina y las administraciones cuando entre en vigor el nuevo Reglamento de Radiocomunicaciones el 1 de enero de 2017.</w:t>
      </w:r>
      <w:bookmarkEnd w:id="498"/>
      <w:r w:rsidRPr="004801D8">
        <w:rPr>
          <w:rFonts w:asciiTheme="majorBidi" w:hAnsiTheme="majorBidi" w:cstheme="majorBidi"/>
          <w:lang w:val="es-ES_tradnl"/>
        </w:rPr>
        <w:t xml:space="preserve"> </w:t>
      </w:r>
      <w:bookmarkStart w:id="499" w:name="lt_pId1044"/>
      <w:r w:rsidRPr="004801D8">
        <w:rPr>
          <w:rFonts w:asciiTheme="majorBidi" w:hAnsiTheme="majorBidi" w:cstheme="majorBidi"/>
          <w:lang w:val="es-ES_tradnl"/>
        </w:rPr>
        <w:t>En el Documento RRB16-2/10 se presentan las observaciones de la Administración de Estados Unidos sobre los proyectos de Reglas enumerados en el Documento RRB16-2/3.</w:t>
      </w:r>
      <w:bookmarkEnd w:id="49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12.5</w:t>
      </w:r>
      <w:r w:rsidRPr="004801D8">
        <w:rPr>
          <w:rFonts w:asciiTheme="majorBidi" w:hAnsiTheme="majorBidi" w:cstheme="majorBidi"/>
          <w:lang w:val="es-ES_tradnl"/>
        </w:rPr>
        <w:tab/>
      </w:r>
      <w:bookmarkStart w:id="500" w:name="lt_pId1046"/>
      <w:r w:rsidRPr="004801D8">
        <w:rPr>
          <w:rFonts w:asciiTheme="majorBidi" w:hAnsiTheme="majorBidi" w:cstheme="majorBidi"/>
          <w:lang w:val="es-ES_tradnl"/>
        </w:rPr>
        <w:t>También presenta el Documento RRB16-2/8, que contiene a lista de modificaciones editoriales a las actuales Reglas de Procedimiento debidas a cambios de la CMR</w:t>
      </w:r>
      <w:r w:rsidRPr="004801D8">
        <w:rPr>
          <w:rFonts w:asciiTheme="majorBidi" w:hAnsiTheme="majorBidi" w:cstheme="majorBidi"/>
          <w:lang w:val="es-ES_tradnl"/>
        </w:rPr>
        <w:noBreakHyphen/>
        <w:t>15 en las referencias a Recomendaciones UIT-R, Resoluciones de la CMR o disposiciones del Reglamento de Radiocomunicaciones.</w:t>
      </w:r>
      <w:bookmarkEnd w:id="500"/>
      <w:r w:rsidRPr="004801D8">
        <w:rPr>
          <w:rFonts w:asciiTheme="majorBidi" w:hAnsiTheme="majorBidi" w:cstheme="majorBidi"/>
          <w:lang w:val="es-ES_tradnl"/>
        </w:rPr>
        <w:t xml:space="preserve"> </w:t>
      </w:r>
      <w:bookmarkStart w:id="501" w:name="lt_pId1047"/>
      <w:r w:rsidRPr="004801D8">
        <w:rPr>
          <w:rFonts w:asciiTheme="majorBidi" w:hAnsiTheme="majorBidi" w:cstheme="majorBidi"/>
          <w:lang w:val="es-ES_tradnl"/>
        </w:rPr>
        <w:t>Dado que esas modificaciones no alteran en modo alguno el fondo de las Reglas en cuestión, propone que la Junta autorice a la Oficina a proceder con esas modificaciones sin recabar los comentarios de las administraciones.</w:t>
      </w:r>
      <w:bookmarkEnd w:id="50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lastRenderedPageBreak/>
        <w:t>12.6</w:t>
      </w:r>
      <w:r w:rsidRPr="004801D8">
        <w:rPr>
          <w:rFonts w:asciiTheme="majorBidi" w:hAnsiTheme="majorBidi" w:cstheme="majorBidi"/>
          <w:lang w:val="es-ES_tradnl"/>
        </w:rPr>
        <w:tab/>
      </w:r>
      <w:bookmarkStart w:id="502" w:name="lt_pId1049"/>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Bessi</w:t>
      </w:r>
      <w:r w:rsidRPr="004801D8">
        <w:rPr>
          <w:rFonts w:asciiTheme="majorBidi" w:hAnsiTheme="majorBidi" w:cstheme="majorBidi"/>
          <w:lang w:val="es-ES_tradnl"/>
        </w:rPr>
        <w:t xml:space="preserve"> da las gracias a la Oficina por los muy completes documentos presentados a la Junta. No obstante, pone en tela de juicio la sugerencia, que supone un alejamiento de la práctica habitual de la Junta, de que las Reglas del Adjunto</w:t>
      </w:r>
      <w:bookmarkStart w:id="503" w:name="lt_pId1050"/>
      <w:bookmarkEnd w:id="502"/>
      <w:r w:rsidRPr="004801D8">
        <w:rPr>
          <w:rFonts w:asciiTheme="majorBidi" w:hAnsiTheme="majorBidi" w:cstheme="majorBidi"/>
          <w:lang w:val="es-ES_tradnl"/>
        </w:rPr>
        <w:t xml:space="preserve"> 4 al Documento RRB16-2/3 no se envíen a las administraciones para recabar su opinión. Podría, sin embargo, estar de acuerdo con la propuesta de que la Junta encargue a la Oficina la realización de las modificaciones editoriales presentadas en el Documento</w:t>
      </w:r>
      <w:bookmarkStart w:id="504" w:name="lt_pId1051"/>
      <w:bookmarkEnd w:id="503"/>
      <w:r w:rsidRPr="004801D8">
        <w:rPr>
          <w:rFonts w:asciiTheme="majorBidi" w:hAnsiTheme="majorBidi" w:cstheme="majorBidi"/>
          <w:lang w:val="es-ES_tradnl"/>
        </w:rPr>
        <w:t xml:space="preserve"> RRB16-2/8.</w:t>
      </w:r>
      <w:bookmarkEnd w:id="504"/>
      <w:r w:rsidRPr="004801D8">
        <w:rPr>
          <w:rFonts w:asciiTheme="majorBidi" w:hAnsiTheme="majorBidi" w:cstheme="majorBidi"/>
          <w:lang w:val="es-ES_tradnl"/>
        </w:rPr>
        <w:t xml:space="preserve"> </w:t>
      </w:r>
      <w:bookmarkStart w:id="505" w:name="lt_pId1052"/>
      <w:r w:rsidRPr="004801D8">
        <w:rPr>
          <w:rFonts w:asciiTheme="majorBidi" w:hAnsiTheme="majorBidi" w:cstheme="majorBidi"/>
          <w:lang w:val="es-ES_tradnl"/>
        </w:rPr>
        <w:t>Por último, señala que la 73ª reunión de la Junta deberá dedicarse fundamentalmente al estudio de las Reglas de Procedimiento, habida cuenta de la cantidad de trabajo que eso implica y de la conveniencia de finalizar la tarea en esa reunión.</w:t>
      </w:r>
      <w:bookmarkEnd w:id="50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12.7</w:t>
      </w:r>
      <w:r w:rsidRPr="004801D8">
        <w:rPr>
          <w:rFonts w:asciiTheme="majorBidi" w:hAnsiTheme="majorBidi" w:cstheme="majorBidi"/>
          <w:lang w:val="es-ES_tradnl"/>
        </w:rPr>
        <w:tab/>
      </w:r>
      <w:bookmarkStart w:id="506" w:name="lt_pId105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dice que, según su interpretación del número 13.12A del Reglamento de Radiocomunicaciones, todos los proyectos de Reglas de Procedimiento se han de enviar a las administraciones para la formulación de comentarios.</w:t>
      </w:r>
      <w:bookmarkEnd w:id="506"/>
      <w:r w:rsidRPr="004801D8">
        <w:rPr>
          <w:rFonts w:asciiTheme="majorBidi" w:hAnsiTheme="majorBidi" w:cstheme="majorBidi"/>
          <w:lang w:val="es-ES_tradnl"/>
        </w:rPr>
        <w:t xml:space="preserve"> </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12.8</w:t>
      </w:r>
      <w:r w:rsidRPr="004801D8">
        <w:rPr>
          <w:rFonts w:asciiTheme="majorBidi" w:hAnsiTheme="majorBidi" w:cstheme="majorBidi"/>
          <w:lang w:val="es-ES_tradnl"/>
        </w:rPr>
        <w:tab/>
      </w:r>
      <w:bookmarkStart w:id="507" w:name="lt_pId1056"/>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Ito</w:t>
      </w:r>
      <w:r w:rsidRPr="004801D8">
        <w:rPr>
          <w:rFonts w:asciiTheme="majorBidi" w:hAnsiTheme="majorBidi" w:cstheme="majorBidi"/>
          <w:lang w:val="es-ES_tradnl"/>
        </w:rPr>
        <w:t xml:space="preserve"> dice que deberán tomarse medidas prácticas para que la Junta pueda completar su trabajo sobre las Reglas de Procedimiento en la 73ª reunión. Recuerda que, tras la CMR-12, esa tarea se repartió entre varias reuniones de la Junta. La</w:t>
      </w:r>
      <w:bookmarkEnd w:id="507"/>
      <w:r w:rsidRPr="004801D8">
        <w:rPr>
          <w:rFonts w:asciiTheme="majorBidi" w:hAnsiTheme="majorBidi" w:cstheme="majorBidi"/>
          <w:lang w:val="es-ES_tradnl"/>
        </w:rPr>
        <w:t xml:space="preserve"> </w:t>
      </w:r>
      <w:bookmarkStart w:id="508" w:name="lt_pId1058"/>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sugiere, a la luz del trabajo previsto, alargar unos días la 73ª reunión de la Junta. El</w:t>
      </w:r>
      <w:bookmarkEnd w:id="508"/>
      <w:r w:rsidRPr="004801D8">
        <w:rPr>
          <w:rFonts w:asciiTheme="majorBidi" w:hAnsiTheme="majorBidi" w:cstheme="majorBidi"/>
          <w:lang w:val="es-ES_tradnl"/>
        </w:rPr>
        <w:t xml:space="preserve"> </w:t>
      </w:r>
      <w:bookmarkStart w:id="509" w:name="lt_pId1059"/>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insiste en que la Junta debe asegurarse de disponer de tiempo suficiente para realizar su tarea adecuadamente. El</w:t>
      </w:r>
      <w:bookmarkEnd w:id="509"/>
      <w:r w:rsidRPr="004801D8">
        <w:rPr>
          <w:rFonts w:asciiTheme="majorBidi" w:hAnsiTheme="majorBidi" w:cstheme="majorBidi"/>
          <w:lang w:val="es-ES_tradnl"/>
        </w:rPr>
        <w:t xml:space="preserve"> </w:t>
      </w:r>
      <w:bookmarkStart w:id="510" w:name="lt_pId1060"/>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está de acuerdo y añade que la Junta deberá establecer un orden de prioridad en cuanto a las Reglas de Procedimiento que debe examinar.</w:t>
      </w:r>
      <w:bookmarkEnd w:id="51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12.9</w:t>
      </w:r>
      <w:r w:rsidRPr="004801D8">
        <w:rPr>
          <w:rFonts w:asciiTheme="majorBidi" w:hAnsiTheme="majorBidi" w:cstheme="majorBidi"/>
          <w:lang w:val="es-ES_tradnl"/>
        </w:rPr>
        <w:tab/>
      </w:r>
      <w:bookmarkStart w:id="511" w:name="lt_pId1062"/>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propone que la Junta tome nota del Documento RRB16-2/8 y solicite a la Oficina que proceda a aportar las modificaciones que contiene.</w:t>
      </w:r>
      <w:bookmarkEnd w:id="511"/>
    </w:p>
    <w:p w:rsidR="004801D8" w:rsidRPr="004801D8" w:rsidRDefault="004801D8" w:rsidP="00B51E5A">
      <w:pPr>
        <w:rPr>
          <w:rFonts w:asciiTheme="majorBidi" w:hAnsiTheme="majorBidi" w:cstheme="majorBidi"/>
          <w:b/>
          <w:bCs/>
          <w:lang w:val="es-ES_tradnl"/>
        </w:rPr>
      </w:pPr>
      <w:r w:rsidRPr="004801D8">
        <w:rPr>
          <w:rFonts w:asciiTheme="majorBidi" w:hAnsiTheme="majorBidi" w:cstheme="majorBidi"/>
          <w:lang w:val="es-ES_tradnl"/>
        </w:rPr>
        <w:t>12.10</w:t>
      </w:r>
      <w:r w:rsidRPr="004801D8">
        <w:rPr>
          <w:rFonts w:asciiTheme="majorBidi" w:hAnsiTheme="majorBidi" w:cstheme="majorBidi"/>
          <w:lang w:val="es-ES_tradnl"/>
        </w:rPr>
        <w:tab/>
      </w:r>
      <w:bookmarkStart w:id="512" w:name="lt_pId1064"/>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51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12.11</w:t>
      </w:r>
      <w:r w:rsidRPr="004801D8">
        <w:rPr>
          <w:rFonts w:asciiTheme="majorBidi" w:hAnsiTheme="majorBidi" w:cstheme="majorBidi"/>
          <w:lang w:val="es-ES_tradnl"/>
        </w:rPr>
        <w:tab/>
      </w:r>
      <w:bookmarkStart w:id="513" w:name="lt_pId1066"/>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invita la Junta a dejar que se reúna el Grupo de Trabajo sobre las Reglas de Procedimiento del que es Presidente el Sr. Bessi y Vicepresidente el Sr. </w:t>
      </w:r>
      <w:proofErr w:type="spellStart"/>
      <w:r w:rsidRPr="004801D8">
        <w:rPr>
          <w:rFonts w:asciiTheme="majorBidi" w:hAnsiTheme="majorBidi" w:cstheme="majorBidi"/>
          <w:lang w:val="es-ES_tradnl"/>
        </w:rPr>
        <w:t>Bin</w:t>
      </w:r>
      <w:proofErr w:type="spellEnd"/>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Hammad</w:t>
      </w:r>
      <w:proofErr w:type="spellEnd"/>
      <w:r w:rsidRPr="004801D8">
        <w:rPr>
          <w:rFonts w:asciiTheme="majorBidi" w:hAnsiTheme="majorBidi" w:cstheme="majorBidi"/>
          <w:lang w:val="es-ES_tradnl"/>
        </w:rPr>
        <w:t>, para considerar el calendario según el cual la Junta estudiará las Reglas de Procedimiento consignadas en los Documentos RRB16-2/3 y RRB-16-2/10.</w:t>
      </w:r>
      <w:bookmarkEnd w:id="513"/>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12.12</w:t>
      </w:r>
      <w:r w:rsidRPr="004801D8">
        <w:rPr>
          <w:rFonts w:asciiTheme="majorBidi" w:hAnsiTheme="majorBidi" w:cstheme="majorBidi"/>
          <w:lang w:val="es-ES_tradnl"/>
        </w:rPr>
        <w:tab/>
      </w:r>
      <w:bookmarkStart w:id="514" w:name="lt_pId1068"/>
      <w:r w:rsidRPr="004801D8">
        <w:rPr>
          <w:rFonts w:asciiTheme="majorBidi" w:hAnsiTheme="majorBidi" w:cstheme="majorBidi"/>
          <w:lang w:val="es-ES_tradnl"/>
        </w:rPr>
        <w:t xml:space="preserve">Tras la reunión del Grupo de Trabajo y una vez presentado su Informe a la reunión plenaria de la Junta, la Junta </w:t>
      </w:r>
      <w:r w:rsidRPr="004801D8">
        <w:rPr>
          <w:rFonts w:asciiTheme="majorBidi" w:hAnsiTheme="majorBidi" w:cstheme="majorBidi"/>
          <w:b/>
          <w:bCs/>
          <w:lang w:val="es-ES_tradnl"/>
        </w:rPr>
        <w:t>aprueba</w:t>
      </w:r>
      <w:r w:rsidRPr="004801D8">
        <w:rPr>
          <w:rFonts w:asciiTheme="majorBidi" w:hAnsiTheme="majorBidi" w:cstheme="majorBidi"/>
          <w:lang w:val="es-ES_tradnl"/>
        </w:rPr>
        <w:t xml:space="preserve"> sus siguientes conclusiones:</w:t>
      </w:r>
      <w:bookmarkEnd w:id="514"/>
    </w:p>
    <w:p w:rsidR="004801D8" w:rsidRPr="004801D8" w:rsidRDefault="004801D8" w:rsidP="00B51E5A">
      <w:pPr>
        <w:rPr>
          <w:rFonts w:asciiTheme="majorBidi" w:hAnsiTheme="majorBidi" w:cstheme="majorBidi"/>
          <w:highlight w:val="yellow"/>
          <w:lang w:val="es-ES_tradnl"/>
        </w:rPr>
      </w:pPr>
      <w:r w:rsidRPr="004801D8">
        <w:rPr>
          <w:rFonts w:asciiTheme="majorBidi" w:hAnsiTheme="majorBidi" w:cstheme="majorBidi"/>
          <w:lang w:val="es-ES_tradnl"/>
        </w:rPr>
        <w:t>«La Junta examinó la propuesta de modificación editorial de las Reglas de Procedimiento del Documento RRB16-2/8 y encargó a la Oficina la actualización correspondiente de las Reglas de Procedimiento.</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La Junta aprobó el Informe del Grupo de Trabajo sobre el proyecto de Reglas de Procedimiento, que consideró el Documento RRB16-2/3 y los comentarios de la Administración de los Estados Unidos de América presentado en el Documento RRB16-2/10 y encargó a la Oficina la publicación del documento actualizado en el sitio web de la RRB. Además, la Junta encargó también a la Oficina la preparación de un proyecto de Reglas de Procedimiento sobre la base del informe y su distribución a las administraciones para comentarios. La Junta decidió examinar la aprobación del proyecto de Reglas de Procedimiento en su 73ª reunión.»</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12.13</w:t>
      </w:r>
      <w:r w:rsidRPr="004801D8">
        <w:rPr>
          <w:rFonts w:asciiTheme="majorBidi" w:hAnsiTheme="majorBidi" w:cstheme="majorBidi"/>
          <w:lang w:val="es-ES_tradnl"/>
        </w:rPr>
        <w:tab/>
      </w:r>
      <w:bookmarkStart w:id="515" w:name="lt_pId1074"/>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da las gracias al Sr. Bessi y el Sr. </w:t>
      </w:r>
      <w:proofErr w:type="spellStart"/>
      <w:r w:rsidRPr="004801D8">
        <w:rPr>
          <w:rFonts w:asciiTheme="majorBidi" w:hAnsiTheme="majorBidi" w:cstheme="majorBidi"/>
          <w:lang w:val="es-ES_tradnl"/>
        </w:rPr>
        <w:t>Bin</w:t>
      </w:r>
      <w:proofErr w:type="spellEnd"/>
      <w:r w:rsidRPr="004801D8">
        <w:rPr>
          <w:rFonts w:asciiTheme="majorBidi" w:hAnsiTheme="majorBidi" w:cstheme="majorBidi"/>
          <w:lang w:val="es-ES_tradnl"/>
        </w:rPr>
        <w:t xml:space="preserve"> </w:t>
      </w:r>
      <w:proofErr w:type="spellStart"/>
      <w:r w:rsidRPr="004801D8">
        <w:rPr>
          <w:rFonts w:asciiTheme="majorBidi" w:hAnsiTheme="majorBidi" w:cstheme="majorBidi"/>
          <w:lang w:val="es-ES_tradnl"/>
        </w:rPr>
        <w:t>Hammad</w:t>
      </w:r>
      <w:proofErr w:type="spellEnd"/>
      <w:r w:rsidRPr="004801D8">
        <w:rPr>
          <w:rFonts w:asciiTheme="majorBidi" w:hAnsiTheme="majorBidi" w:cstheme="majorBidi"/>
          <w:lang w:val="es-ES_tradnl"/>
        </w:rPr>
        <w:t>, respectivamente Presidente y Vicepresidente del Grupo de Trabajo, por su valiosa contribución al trabajo de la Junta sobre las Reglas de Procedimiento.</w:t>
      </w:r>
      <w:bookmarkEnd w:id="515"/>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13</w:t>
      </w:r>
      <w:r w:rsidRPr="004801D8">
        <w:rPr>
          <w:rFonts w:asciiTheme="majorBidi" w:hAnsiTheme="majorBidi" w:cstheme="majorBidi"/>
          <w:lang w:val="es-ES_tradnl"/>
        </w:rPr>
        <w:tab/>
      </w:r>
      <w:r w:rsidRPr="004801D8">
        <w:rPr>
          <w:rFonts w:asciiTheme="majorBidi" w:hAnsiTheme="majorBidi" w:cstheme="majorBidi"/>
          <w:color w:val="000000" w:themeColor="text1"/>
          <w:lang w:val="es-ES"/>
        </w:rPr>
        <w:t>Confirmación de la próxima reunión y fechas indicativas de las próximas reuniones</w:t>
      </w:r>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13.1</w:t>
      </w:r>
      <w:r w:rsidRPr="004801D8">
        <w:rPr>
          <w:rFonts w:asciiTheme="majorBidi" w:hAnsiTheme="majorBidi" w:cstheme="majorBidi"/>
          <w:lang w:val="es-ES_tradnl"/>
        </w:rPr>
        <w:tab/>
      </w:r>
      <w:bookmarkStart w:id="516" w:name="lt_pId1078"/>
      <w:r w:rsidRPr="004801D8">
        <w:rPr>
          <w:rFonts w:asciiTheme="majorBidi" w:hAnsiTheme="majorBidi" w:cstheme="majorBidi"/>
          <w:lang w:val="es-ES_tradnl"/>
        </w:rPr>
        <w:t xml:space="preserve">A lo largo de un debate sobre la posible necesidad de alargar la duración de la 73ª reunión de la Junta para considerar los proyectos de Reglas de Procedimiento preparados a partir de las listas del Documento RRB16-2/3, el </w:t>
      </w:r>
      <w:r w:rsidRPr="004801D8">
        <w:rPr>
          <w:rFonts w:asciiTheme="majorBidi" w:hAnsiTheme="majorBidi" w:cstheme="majorBidi"/>
          <w:b/>
          <w:bCs/>
          <w:lang w:val="es-ES_tradnl"/>
        </w:rPr>
        <w:t>Sr. Strelets</w:t>
      </w:r>
      <w:r w:rsidRPr="004801D8">
        <w:rPr>
          <w:rFonts w:asciiTheme="majorBidi" w:hAnsiTheme="majorBidi" w:cstheme="majorBidi"/>
          <w:lang w:val="es-ES_tradnl"/>
        </w:rPr>
        <w:t xml:space="preserve"> subraya la importancia de que las decisiones se tomen después </w:t>
      </w:r>
      <w:r w:rsidRPr="004801D8">
        <w:rPr>
          <w:rFonts w:asciiTheme="majorBidi" w:hAnsiTheme="majorBidi" w:cstheme="majorBidi"/>
          <w:lang w:val="es-ES_tradnl"/>
        </w:rPr>
        <w:lastRenderedPageBreak/>
        <w:t>de un largo y meditado debate sobre todos los puntos tratados. En caso contrario, solicitará que se vuelvan a considerar en la reunión siguiente.</w:t>
      </w:r>
      <w:bookmarkEnd w:id="516"/>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13.2</w:t>
      </w:r>
      <w:r w:rsidRPr="004801D8">
        <w:rPr>
          <w:rFonts w:asciiTheme="majorBidi" w:hAnsiTheme="majorBidi" w:cstheme="majorBidi"/>
          <w:lang w:val="es-ES_tradnl"/>
        </w:rPr>
        <w:tab/>
      </w:r>
      <w:bookmarkStart w:id="517" w:name="lt_pId1080"/>
      <w:r w:rsidRPr="004801D8">
        <w:rPr>
          <w:rFonts w:asciiTheme="majorBidi" w:hAnsiTheme="majorBidi" w:cstheme="majorBidi"/>
          <w:lang w:val="es-ES_tradnl"/>
        </w:rPr>
        <w:t xml:space="preserve">La </w:t>
      </w:r>
      <w:r w:rsidRPr="004801D8">
        <w:rPr>
          <w:rFonts w:asciiTheme="majorBidi" w:hAnsiTheme="majorBidi" w:cstheme="majorBidi"/>
          <w:b/>
          <w:bCs/>
          <w:lang w:val="es-ES_tradnl"/>
        </w:rPr>
        <w:t>Sra. Wilson</w:t>
      </w:r>
      <w:r w:rsidRPr="004801D8">
        <w:rPr>
          <w:rFonts w:asciiTheme="majorBidi" w:hAnsiTheme="majorBidi" w:cstheme="majorBidi"/>
          <w:lang w:val="es-ES_tradnl"/>
        </w:rPr>
        <w:t xml:space="preserve"> señala que es fundamental que la Junta finalice su examen de las Reglas identificadas en los Adjuntos 1 y 2 en su 73ª reunión y que, en caso necesario, podrá dejar para la siguiente reunión el examen de las de los Adjuntos 3 y 4.</w:t>
      </w:r>
      <w:bookmarkEnd w:id="51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13.3</w:t>
      </w:r>
      <w:r w:rsidRPr="004801D8">
        <w:rPr>
          <w:rFonts w:asciiTheme="majorBidi" w:hAnsiTheme="majorBidi" w:cstheme="majorBidi"/>
          <w:lang w:val="es-ES_tradnl"/>
        </w:rPr>
        <w:tab/>
      </w:r>
      <w:bookmarkStart w:id="518" w:name="lt_pId108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Director</w:t>
      </w:r>
      <w:r w:rsidRPr="004801D8">
        <w:rPr>
          <w:rFonts w:asciiTheme="majorBidi" w:hAnsiTheme="majorBidi" w:cstheme="majorBidi"/>
          <w:lang w:val="es-ES_tradnl"/>
        </w:rPr>
        <w:t xml:space="preserve"> coincide con la Sra. Wilson y reitera la necesidad de disponer de un sólido marco reglamentario formado por el Reglamento de Radiocomunicaciones y las Reglas de Procedimiento correspondientes a riesgo de crear un clima de incertidumbre en el que la Oficina será objeto de críticas por su aplicación de las decisiones de la CMR.</w:t>
      </w:r>
      <w:bookmarkEnd w:id="518"/>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13.4</w:t>
      </w:r>
      <w:r w:rsidRPr="004801D8">
        <w:rPr>
          <w:rFonts w:asciiTheme="majorBidi" w:hAnsiTheme="majorBidi" w:cstheme="majorBidi"/>
          <w:lang w:val="es-ES_tradnl"/>
        </w:rPr>
        <w:tab/>
      </w:r>
      <w:bookmarkStart w:id="519" w:name="lt_pId1084"/>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dice que la 73ª reunión de la Junta debe seguir celebrándose del 17 al 21 de octubre de 2016, empezando a las 09.00 horas del lunes y acabando a las 17.30 del Viernes y, según sea necesario, decidir en esa reunión si se ha de alargar la 74ª reunión (días de reunión suplementarios).</w:t>
      </w:r>
      <w:bookmarkEnd w:id="51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13.5</w:t>
      </w:r>
      <w:r w:rsidRPr="004801D8">
        <w:rPr>
          <w:rFonts w:asciiTheme="majorBidi" w:hAnsiTheme="majorBidi" w:cstheme="majorBidi"/>
          <w:lang w:val="es-ES_tradnl"/>
        </w:rPr>
        <w:tab/>
      </w:r>
      <w:bookmarkStart w:id="520" w:name="lt_pId1086"/>
      <w:r w:rsidRPr="004801D8">
        <w:rPr>
          <w:rFonts w:asciiTheme="majorBidi" w:hAnsiTheme="majorBidi" w:cstheme="majorBidi"/>
          <w:lang w:val="es-ES_tradnl"/>
        </w:rPr>
        <w:t xml:space="preserve">Así se </w:t>
      </w:r>
      <w:r w:rsidRPr="004801D8">
        <w:rPr>
          <w:rFonts w:asciiTheme="majorBidi" w:hAnsiTheme="majorBidi" w:cstheme="majorBidi"/>
          <w:b/>
          <w:bCs/>
          <w:lang w:val="es-ES_tradnl"/>
        </w:rPr>
        <w:t>acuerda</w:t>
      </w:r>
      <w:r w:rsidRPr="004801D8">
        <w:rPr>
          <w:rFonts w:asciiTheme="majorBidi" w:hAnsiTheme="majorBidi" w:cstheme="majorBidi"/>
          <w:lang w:val="es-ES_tradnl"/>
        </w:rPr>
        <w:t>.</w:t>
      </w:r>
      <w:bookmarkEnd w:id="520"/>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13.6</w:t>
      </w:r>
      <w:r w:rsidRPr="004801D8">
        <w:rPr>
          <w:rFonts w:asciiTheme="majorBidi" w:hAnsiTheme="majorBidi" w:cstheme="majorBidi"/>
          <w:lang w:val="es-ES_tradnl"/>
        </w:rPr>
        <w:tab/>
      </w:r>
      <w:bookmarkStart w:id="521" w:name="lt_pId1088"/>
      <w:r w:rsidRPr="004801D8">
        <w:rPr>
          <w:rFonts w:asciiTheme="majorBidi" w:hAnsiTheme="majorBidi" w:cstheme="majorBidi"/>
          <w:lang w:val="es-ES_tradnl"/>
        </w:rPr>
        <w:t xml:space="preserve">La Junta </w:t>
      </w:r>
      <w:r w:rsidRPr="004801D8">
        <w:rPr>
          <w:rFonts w:asciiTheme="majorBidi" w:hAnsiTheme="majorBidi" w:cstheme="majorBidi"/>
          <w:b/>
          <w:bCs/>
          <w:lang w:val="es-ES_tradnl"/>
        </w:rPr>
        <w:t>acuerda</w:t>
      </w:r>
      <w:r w:rsidRPr="004801D8">
        <w:rPr>
          <w:rFonts w:asciiTheme="majorBidi" w:hAnsiTheme="majorBidi" w:cstheme="majorBidi"/>
          <w:lang w:val="es-ES_tradnl"/>
        </w:rPr>
        <w:t xml:space="preserve"> confirmar la fecha de la 73ª reunión, que se celebrará del 17 al 21 de octubre de 2016 y confirmar provisionalmente las siguientes fechas para las reuniones de 2017:</w:t>
      </w:r>
      <w:bookmarkEnd w:id="521"/>
    </w:p>
    <w:p w:rsidR="004801D8" w:rsidRPr="004801D8" w:rsidRDefault="004801D8" w:rsidP="00B51E5A">
      <w:pPr>
        <w:rPr>
          <w:rFonts w:asciiTheme="majorBidi" w:hAnsiTheme="majorBidi" w:cstheme="majorBidi"/>
          <w:lang w:val="es-ES_tradnl"/>
        </w:rPr>
      </w:pPr>
      <w:bookmarkStart w:id="522" w:name="lt_pId1089"/>
      <w:r w:rsidRPr="004801D8">
        <w:rPr>
          <w:rFonts w:asciiTheme="majorBidi" w:hAnsiTheme="majorBidi" w:cstheme="majorBidi"/>
          <w:lang w:val="es-ES_tradnl"/>
        </w:rPr>
        <w:t>74ª reunión: 20-24 de febrero de 2017</w:t>
      </w:r>
      <w:bookmarkEnd w:id="522"/>
    </w:p>
    <w:p w:rsidR="004801D8" w:rsidRPr="004801D8" w:rsidRDefault="004801D8" w:rsidP="00B51E5A">
      <w:pPr>
        <w:rPr>
          <w:rFonts w:asciiTheme="majorBidi" w:hAnsiTheme="majorBidi" w:cstheme="majorBidi"/>
          <w:lang w:val="es-ES_tradnl"/>
        </w:rPr>
      </w:pPr>
      <w:bookmarkStart w:id="523" w:name="lt_pId1090"/>
      <w:r w:rsidRPr="004801D8">
        <w:rPr>
          <w:rFonts w:asciiTheme="majorBidi" w:hAnsiTheme="majorBidi" w:cstheme="majorBidi"/>
          <w:lang w:val="es-ES_tradnl"/>
        </w:rPr>
        <w:t>75ª reunión: 17-21 de julio de 2017</w:t>
      </w:r>
      <w:bookmarkEnd w:id="523"/>
    </w:p>
    <w:p w:rsidR="004801D8" w:rsidRPr="004801D8" w:rsidRDefault="004801D8" w:rsidP="00B51E5A">
      <w:pPr>
        <w:rPr>
          <w:rFonts w:asciiTheme="majorBidi" w:hAnsiTheme="majorBidi" w:cstheme="majorBidi"/>
          <w:lang w:val="es-ES_tradnl"/>
        </w:rPr>
      </w:pPr>
      <w:bookmarkStart w:id="524" w:name="lt_pId1091"/>
      <w:r w:rsidRPr="004801D8">
        <w:rPr>
          <w:rFonts w:asciiTheme="majorBidi" w:hAnsiTheme="majorBidi" w:cstheme="majorBidi"/>
          <w:lang w:val="es-ES_tradnl"/>
        </w:rPr>
        <w:t>76ª reunión: 6-10 de noviembre de 2017.</w:t>
      </w:r>
      <w:bookmarkEnd w:id="524"/>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14</w:t>
      </w:r>
      <w:r w:rsidRPr="004801D8">
        <w:rPr>
          <w:rFonts w:asciiTheme="majorBidi" w:hAnsiTheme="majorBidi" w:cstheme="majorBidi"/>
          <w:lang w:val="es-ES_tradnl"/>
        </w:rPr>
        <w:tab/>
      </w:r>
      <w:bookmarkStart w:id="525" w:name="lt_pId1093"/>
      <w:r w:rsidRPr="004801D8">
        <w:rPr>
          <w:rFonts w:asciiTheme="majorBidi" w:hAnsiTheme="majorBidi" w:cstheme="majorBidi"/>
          <w:lang w:val="es-ES_tradnl"/>
        </w:rPr>
        <w:t>Aprobación del Resumen de Decisiones (Documento RRB16-2/14)</w:t>
      </w:r>
      <w:bookmarkEnd w:id="525"/>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14.1</w:t>
      </w:r>
      <w:r w:rsidRPr="004801D8">
        <w:rPr>
          <w:rFonts w:asciiTheme="majorBidi" w:hAnsiTheme="majorBidi" w:cstheme="majorBidi"/>
          <w:lang w:val="es-ES_tradnl"/>
        </w:rPr>
        <w:tab/>
      </w:r>
      <w:bookmarkStart w:id="526" w:name="lt_pId1095"/>
      <w:r w:rsidRPr="004801D8">
        <w:rPr>
          <w:rFonts w:asciiTheme="majorBidi" w:hAnsiTheme="majorBidi" w:cstheme="majorBidi"/>
          <w:lang w:val="es-ES_tradnl"/>
        </w:rPr>
        <w:t xml:space="preserve">Se </w:t>
      </w:r>
      <w:r w:rsidRPr="004801D8">
        <w:rPr>
          <w:rFonts w:asciiTheme="majorBidi" w:hAnsiTheme="majorBidi" w:cstheme="majorBidi"/>
          <w:b/>
          <w:bCs/>
          <w:lang w:val="es-ES_tradnl"/>
        </w:rPr>
        <w:t>aprueba</w:t>
      </w:r>
      <w:r w:rsidRPr="004801D8">
        <w:rPr>
          <w:rFonts w:asciiTheme="majorBidi" w:hAnsiTheme="majorBidi" w:cstheme="majorBidi"/>
          <w:lang w:val="es-ES_tradnl"/>
        </w:rPr>
        <w:t xml:space="preserve"> el Resumen de Decisiones (Documento RRB16-2/14).</w:t>
      </w:r>
      <w:bookmarkEnd w:id="526"/>
    </w:p>
    <w:p w:rsidR="004801D8" w:rsidRPr="004801D8" w:rsidRDefault="004801D8" w:rsidP="00B51E5A">
      <w:pPr>
        <w:pStyle w:val="Heading1"/>
        <w:rPr>
          <w:rFonts w:asciiTheme="majorBidi" w:hAnsiTheme="majorBidi" w:cstheme="majorBidi"/>
          <w:lang w:val="es-ES_tradnl"/>
        </w:rPr>
      </w:pPr>
      <w:r w:rsidRPr="004801D8">
        <w:rPr>
          <w:rFonts w:asciiTheme="majorBidi" w:hAnsiTheme="majorBidi" w:cstheme="majorBidi"/>
          <w:lang w:val="es-ES_tradnl"/>
        </w:rPr>
        <w:t>15</w:t>
      </w:r>
      <w:r w:rsidRPr="004801D8">
        <w:rPr>
          <w:rFonts w:asciiTheme="majorBidi" w:hAnsiTheme="majorBidi" w:cstheme="majorBidi"/>
          <w:lang w:val="es-ES_tradnl"/>
        </w:rPr>
        <w:tab/>
      </w:r>
      <w:bookmarkStart w:id="527" w:name="lt_pId1097"/>
      <w:r w:rsidRPr="004801D8">
        <w:rPr>
          <w:rFonts w:asciiTheme="majorBidi" w:hAnsiTheme="majorBidi" w:cstheme="majorBidi"/>
          <w:lang w:val="es-ES_tradnl"/>
        </w:rPr>
        <w:t>Clausura de la reunión</w:t>
      </w:r>
      <w:bookmarkEnd w:id="527"/>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15.1</w:t>
      </w:r>
      <w:r w:rsidRPr="004801D8">
        <w:rPr>
          <w:rFonts w:asciiTheme="majorBidi" w:hAnsiTheme="majorBidi" w:cstheme="majorBidi"/>
          <w:lang w:val="es-ES_tradnl"/>
        </w:rPr>
        <w:tab/>
      </w:r>
      <w:bookmarkStart w:id="528" w:name="lt_pId1099"/>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dice lamentar que el Sr. Méndez se jubilará de la UIT antes de que se celebre la 73ª reunión. Le agradece su considerable contribución a los trabajos del UIT-R y de la Junta, en particular, durante todos estos años</w:t>
      </w:r>
      <w:bookmarkStart w:id="529" w:name="lt_pId1100"/>
      <w:bookmarkEnd w:id="528"/>
      <w:r w:rsidRPr="004801D8">
        <w:rPr>
          <w:rFonts w:asciiTheme="majorBidi" w:hAnsiTheme="majorBidi" w:cstheme="majorBidi"/>
          <w:lang w:val="es-ES_tradnl"/>
        </w:rPr>
        <w:t>.</w:t>
      </w:r>
      <w:bookmarkEnd w:id="529"/>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15.2</w:t>
      </w:r>
      <w:r w:rsidRPr="004801D8">
        <w:rPr>
          <w:rFonts w:asciiTheme="majorBidi" w:hAnsiTheme="majorBidi" w:cstheme="majorBidi"/>
          <w:lang w:val="es-ES_tradnl"/>
        </w:rPr>
        <w:tab/>
      </w:r>
      <w:bookmarkStart w:id="530" w:name="lt_pId1102"/>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Méndez (Jefe de TSD)</w:t>
      </w:r>
      <w:r w:rsidRPr="004801D8">
        <w:rPr>
          <w:rFonts w:asciiTheme="majorBidi" w:hAnsiTheme="majorBidi" w:cstheme="majorBidi"/>
          <w:lang w:val="es-ES_tradnl"/>
        </w:rPr>
        <w:t xml:space="preserve"> da las gracias a la Presidenta por sus amables palabras y dice que ha sido un placer y un honor trabajar con la Junta desde 1995. Dice haber aprendido enormemente de los miembros de la Junta a lo largo de los años y espera que sus caminos se crucen de alguna manera en el futuro</w:t>
      </w:r>
      <w:bookmarkStart w:id="531" w:name="lt_pId1103"/>
      <w:bookmarkEnd w:id="530"/>
      <w:r w:rsidRPr="004801D8">
        <w:rPr>
          <w:rFonts w:asciiTheme="majorBidi" w:hAnsiTheme="majorBidi" w:cstheme="majorBidi"/>
          <w:lang w:val="es-ES_tradnl"/>
        </w:rPr>
        <w:t>.</w:t>
      </w:r>
      <w:bookmarkEnd w:id="531"/>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15.3</w:t>
      </w:r>
      <w:r w:rsidRPr="004801D8">
        <w:rPr>
          <w:rFonts w:asciiTheme="majorBidi" w:hAnsiTheme="majorBidi" w:cstheme="majorBidi"/>
          <w:lang w:val="es-ES_tradnl"/>
        </w:rPr>
        <w:tab/>
      </w:r>
      <w:bookmarkStart w:id="532" w:name="lt_pId1105"/>
      <w:r w:rsidRPr="004801D8">
        <w:rPr>
          <w:rFonts w:asciiTheme="majorBidi" w:hAnsiTheme="majorBidi" w:cstheme="majorBidi"/>
          <w:lang w:val="es-ES_tradnl"/>
        </w:rPr>
        <w:t xml:space="preserve">El </w:t>
      </w:r>
      <w:r w:rsidRPr="004801D8">
        <w:rPr>
          <w:rFonts w:asciiTheme="majorBidi" w:hAnsiTheme="majorBidi" w:cstheme="majorBidi"/>
          <w:b/>
          <w:bCs/>
          <w:lang w:val="es-ES_tradnl"/>
        </w:rPr>
        <w:t>Sr. Magenta</w:t>
      </w:r>
      <w:r w:rsidRPr="004801D8">
        <w:rPr>
          <w:rFonts w:asciiTheme="majorBidi" w:hAnsiTheme="majorBidi" w:cstheme="majorBidi"/>
          <w:lang w:val="es-ES_tradnl"/>
        </w:rPr>
        <w:t xml:space="preserve"> felicita a la Presidenta por su hábil dirección de la reunión en la que la Junta ha examinado temas extremadamente sensibles.</w:t>
      </w:r>
      <w:bookmarkEnd w:id="532"/>
    </w:p>
    <w:p w:rsidR="004801D8" w:rsidRPr="004801D8" w:rsidRDefault="004801D8" w:rsidP="00B51E5A">
      <w:pPr>
        <w:rPr>
          <w:rFonts w:asciiTheme="majorBidi" w:hAnsiTheme="majorBidi" w:cstheme="majorBidi"/>
          <w:lang w:val="es-ES_tradnl"/>
        </w:rPr>
      </w:pPr>
      <w:r w:rsidRPr="004801D8">
        <w:rPr>
          <w:rFonts w:asciiTheme="majorBidi" w:hAnsiTheme="majorBidi" w:cstheme="majorBidi"/>
          <w:lang w:val="es-ES_tradnl"/>
        </w:rPr>
        <w:t>15.4</w:t>
      </w:r>
      <w:r w:rsidRPr="004801D8">
        <w:rPr>
          <w:rFonts w:asciiTheme="majorBidi" w:hAnsiTheme="majorBidi" w:cstheme="majorBidi"/>
          <w:lang w:val="es-ES_tradnl"/>
        </w:rPr>
        <w:tab/>
      </w:r>
      <w:bookmarkStart w:id="533" w:name="lt_pId1107"/>
      <w:r w:rsidRPr="004801D8">
        <w:rPr>
          <w:rFonts w:asciiTheme="majorBidi" w:hAnsiTheme="majorBidi" w:cstheme="majorBidi"/>
          <w:lang w:val="es-ES_tradnl"/>
        </w:rPr>
        <w:t xml:space="preserve">La </w:t>
      </w:r>
      <w:r w:rsidRPr="004801D8">
        <w:rPr>
          <w:rFonts w:asciiTheme="majorBidi" w:hAnsiTheme="majorBidi" w:cstheme="majorBidi"/>
          <w:b/>
          <w:bCs/>
          <w:lang w:val="es-ES_tradnl"/>
        </w:rPr>
        <w:t>Presidenta</w:t>
      </w:r>
      <w:r w:rsidRPr="004801D8">
        <w:rPr>
          <w:rFonts w:asciiTheme="majorBidi" w:hAnsiTheme="majorBidi" w:cstheme="majorBidi"/>
          <w:lang w:val="es-ES_tradnl"/>
        </w:rPr>
        <w:t xml:space="preserve"> da las gracias a todos los que han contribuido al éxito de la reunión y declara clausurada la reunión a las</w:t>
      </w:r>
      <w:bookmarkStart w:id="534" w:name="lt_pId1108"/>
      <w:bookmarkEnd w:id="533"/>
      <w:r w:rsidRPr="004801D8">
        <w:rPr>
          <w:rFonts w:asciiTheme="majorBidi" w:hAnsiTheme="majorBidi" w:cstheme="majorBidi"/>
          <w:lang w:val="es-ES_tradnl"/>
        </w:rPr>
        <w:t xml:space="preserve"> 17.40 horas del viernes 20 de mayo de 2016.</w:t>
      </w:r>
      <w:bookmarkEnd w:id="534"/>
    </w:p>
    <w:p w:rsidR="004801D8" w:rsidRPr="004801D8" w:rsidRDefault="004801D8" w:rsidP="004801D8">
      <w:pPr>
        <w:spacing w:before="1000"/>
        <w:jc w:val="left"/>
        <w:rPr>
          <w:rFonts w:asciiTheme="majorBidi" w:hAnsiTheme="majorBidi" w:cstheme="majorBidi"/>
          <w:lang w:val="es-ES_tradnl"/>
        </w:rPr>
      </w:pPr>
      <w:bookmarkStart w:id="535" w:name="lt_pId1109"/>
      <w:r w:rsidRPr="004801D8">
        <w:rPr>
          <w:rFonts w:asciiTheme="majorBidi" w:hAnsiTheme="majorBidi" w:cstheme="majorBidi"/>
          <w:lang w:val="es-ES_tradnl"/>
        </w:rPr>
        <w:t>El Secretario Ejecutivo:</w:t>
      </w:r>
      <w:bookmarkEnd w:id="535"/>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bookmarkStart w:id="536" w:name="lt_pId1115"/>
      <w:r w:rsidRPr="004801D8">
        <w:rPr>
          <w:rFonts w:asciiTheme="majorBidi" w:hAnsiTheme="majorBidi" w:cstheme="majorBidi"/>
          <w:lang w:val="es-ES_tradnl"/>
        </w:rPr>
        <w:t>La</w:t>
      </w:r>
      <w:bookmarkStart w:id="537" w:name="_GoBack"/>
      <w:bookmarkEnd w:id="537"/>
      <w:r w:rsidRPr="004801D8">
        <w:rPr>
          <w:rFonts w:asciiTheme="majorBidi" w:hAnsiTheme="majorBidi" w:cstheme="majorBidi"/>
          <w:lang w:val="es-ES_tradnl"/>
        </w:rPr>
        <w:t xml:space="preserve"> Presidenta:</w:t>
      </w:r>
      <w:bookmarkEnd w:id="536"/>
      <w:r w:rsidRPr="004801D8">
        <w:rPr>
          <w:rFonts w:asciiTheme="majorBidi" w:hAnsiTheme="majorBidi" w:cstheme="majorBidi"/>
          <w:lang w:val="es-ES_tradnl"/>
        </w:rPr>
        <w:br/>
      </w:r>
      <w:bookmarkStart w:id="538" w:name="lt_pId1116"/>
      <w:r w:rsidRPr="004801D8">
        <w:rPr>
          <w:rFonts w:asciiTheme="majorBidi" w:hAnsiTheme="majorBidi" w:cstheme="majorBidi"/>
          <w:lang w:val="es-ES_tradnl"/>
        </w:rPr>
        <w:t>F. RANCY</w:t>
      </w:r>
      <w:bookmarkEnd w:id="538"/>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r>
      <w:r w:rsidRPr="004801D8">
        <w:rPr>
          <w:rFonts w:asciiTheme="majorBidi" w:hAnsiTheme="majorBidi" w:cstheme="majorBidi"/>
          <w:lang w:val="es-ES_tradnl"/>
        </w:rPr>
        <w:tab/>
        <w:t xml:space="preserve">L. </w:t>
      </w:r>
      <w:bookmarkStart w:id="539" w:name="lt_pId1127"/>
      <w:r w:rsidRPr="004801D8">
        <w:rPr>
          <w:rFonts w:asciiTheme="majorBidi" w:hAnsiTheme="majorBidi" w:cstheme="majorBidi"/>
          <w:lang w:val="es-ES_tradnl"/>
        </w:rPr>
        <w:t>JEANTY</w:t>
      </w:r>
      <w:bookmarkEnd w:id="539"/>
    </w:p>
    <w:p w:rsidR="004A2D4D" w:rsidRPr="004801D8" w:rsidRDefault="004A2D4D" w:rsidP="0062209F">
      <w:pPr>
        <w:pStyle w:val="enumlev1"/>
        <w:tabs>
          <w:tab w:val="clear" w:pos="794"/>
          <w:tab w:val="left" w:pos="284"/>
        </w:tabs>
        <w:spacing w:before="0"/>
        <w:jc w:val="center"/>
        <w:rPr>
          <w:rFonts w:asciiTheme="majorBidi" w:hAnsiTheme="majorBidi" w:cstheme="majorBidi"/>
          <w:b/>
          <w:bCs/>
          <w:lang w:val="es-ES_tradnl"/>
        </w:rPr>
      </w:pPr>
    </w:p>
    <w:sectPr w:rsidR="004A2D4D" w:rsidRPr="004801D8" w:rsidSect="0062209F">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62209F" w:rsidRDefault="0062209F" w:rsidP="0062209F">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 w:id="1">
    <w:p w:rsidR="004801D8" w:rsidRPr="004801D8" w:rsidRDefault="004801D8" w:rsidP="00AA41FB">
      <w:pPr>
        <w:pStyle w:val="FootnoteText"/>
        <w:rPr>
          <w:rFonts w:ascii="Times New Roman" w:hAnsi="Times New Roman" w:cs="Times New Roman"/>
          <w:lang w:val="es-ES_tradnl"/>
        </w:rPr>
      </w:pPr>
      <w:r w:rsidRPr="004801D8">
        <w:rPr>
          <w:rStyle w:val="FootnoteReference"/>
          <w:rFonts w:ascii="Times New Roman" w:hAnsi="Times New Roman" w:cs="Times New Roman"/>
        </w:rPr>
        <w:footnoteRef/>
      </w:r>
      <w:r w:rsidRPr="004801D8">
        <w:rPr>
          <w:rFonts w:ascii="Times New Roman" w:hAnsi="Times New Roman" w:cs="Times New Roman"/>
          <w:lang w:val="es-ES_tradnl"/>
        </w:rPr>
        <w:tab/>
        <w:t>En las Actas de la reunión se consignan las deliberaciones detalladas y completas de los miembros de la Junta del Reglamento de Radiocomunicaciones sobre los puntos abordados en el orden del día de la 72ª reunión de la Junta. Las decisiones oficiales tomadas por la 72ª reunión de la Junta del Reglamento de Radiocomunicaciones figuran en el Documento RRB16-2/14.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4801D8">
      <w:rPr>
        <w:i/>
        <w:noProof/>
        <w:sz w:val="18"/>
        <w:szCs w:val="18"/>
      </w:rPr>
      <w:t>19</w:t>
    </w:r>
    <w:r w:rsidR="001B42C9" w:rsidRPr="0062209F">
      <w:rPr>
        <w:i/>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CB50D9">
    <w:pPr>
      <w:pStyle w:val="Header"/>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5584B"/>
    <w:rsid w:val="00070258"/>
    <w:rsid w:val="0007323C"/>
    <w:rsid w:val="00086D03"/>
    <w:rsid w:val="00093FE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1D8"/>
    <w:rsid w:val="00480F51"/>
    <w:rsid w:val="00481124"/>
    <w:rsid w:val="004815EB"/>
    <w:rsid w:val="00487569"/>
    <w:rsid w:val="00496864"/>
    <w:rsid w:val="00496920"/>
    <w:rsid w:val="004A2D4D"/>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424D"/>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91F76"/>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9898-9EEF-409D-90EE-1C43C93B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TotalTime>
  <Pages>36</Pages>
  <Words>23449</Words>
  <Characters>117452</Characters>
  <Application>Microsoft Office Word</Application>
  <DocSecurity>0</DocSecurity>
  <Lines>978</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140620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3</cp:revision>
  <cp:lastPrinted>2016-04-15T06:41:00Z</cp:lastPrinted>
  <dcterms:created xsi:type="dcterms:W3CDTF">2016-07-19T11:08:00Z</dcterms:created>
  <dcterms:modified xsi:type="dcterms:W3CDTF">2016-07-20T07:40:00Z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