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7D3C32" w:rsidRDefault="007D3C32" w:rsidP="001921A1">
            <w:pPr>
              <w:tabs>
                <w:tab w:val="right" w:pos="8647"/>
              </w:tabs>
              <w:spacing w:before="240"/>
              <w:rPr>
                <w:rFonts w:ascii="SimSun"/>
                <w:sz w:val="36"/>
                <w:szCs w:val="36"/>
              </w:rPr>
            </w:pPr>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D35752" w:rsidRPr="00D35752" w:rsidRDefault="00D35752" w:rsidP="001921A1">
            <w:pPr>
              <w:spacing w:before="0"/>
            </w:pPr>
          </w:p>
        </w:tc>
        <w:tc>
          <w:tcPr>
            <w:tcW w:w="1667" w:type="dxa"/>
          </w:tcPr>
          <w:p w:rsidR="00D35752" w:rsidRPr="00D35752" w:rsidRDefault="00A4630C" w:rsidP="001921A1">
            <w:pPr>
              <w:spacing w:before="0"/>
              <w:jc w:val="right"/>
            </w:pPr>
            <w:r>
              <w:rPr>
                <w:noProof/>
                <w:lang w:val="en-US" w:eastAsia="zh-CN"/>
              </w:rPr>
              <w:drawing>
                <wp:inline distT="0" distB="0" distL="0" distR="0" wp14:anchorId="309385B8" wp14:editId="267DA63B">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7D3C32" w:rsidRDefault="007D3C32" w:rsidP="001921A1">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rsidP="001921A1">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rsidP="001921A1">
      <w:pPr>
        <w:tabs>
          <w:tab w:val="left" w:pos="7513"/>
        </w:tabs>
        <w:rPr>
          <w:lang w:eastAsia="zh-CN"/>
        </w:rPr>
      </w:pPr>
    </w:p>
    <w:p w:rsidR="00D35752" w:rsidRDefault="00D35752" w:rsidP="001921A1">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B87E04" w:rsidRPr="00147E21" w:rsidRDefault="00147E21" w:rsidP="001921A1">
            <w:pPr>
              <w:tabs>
                <w:tab w:val="left" w:pos="7513"/>
              </w:tabs>
              <w:jc w:val="center"/>
              <w:rPr>
                <w:rFonts w:ascii="SimSun" w:eastAsia="SimSun" w:hAnsi="SimSun"/>
                <w:lang w:eastAsia="zh-CN"/>
              </w:rPr>
            </w:pPr>
            <w:bookmarkStart w:id="0" w:name="dletter"/>
            <w:bookmarkEnd w:id="0"/>
            <w:r w:rsidRPr="00147E21">
              <w:rPr>
                <w:rFonts w:ascii="SimSun" w:eastAsia="SimSun" w:hAnsi="SimSun" w:hint="eastAsia"/>
                <w:lang w:eastAsia="zh-CN"/>
              </w:rPr>
              <w:t>通函</w:t>
            </w:r>
          </w:p>
          <w:p w:rsidR="0071106C" w:rsidRPr="00BA76C9" w:rsidRDefault="00BA76C9" w:rsidP="001921A1">
            <w:pPr>
              <w:tabs>
                <w:tab w:val="clear" w:pos="794"/>
                <w:tab w:val="clear" w:pos="1191"/>
                <w:tab w:val="clear" w:pos="1588"/>
              </w:tabs>
              <w:spacing w:before="0"/>
              <w:jc w:val="center"/>
              <w:rPr>
                <w:b/>
                <w:bCs/>
                <w:lang w:eastAsia="zh-CN"/>
              </w:rPr>
            </w:pPr>
            <w:bookmarkStart w:id="1" w:name="dnum"/>
            <w:bookmarkEnd w:id="1"/>
            <w:r>
              <w:rPr>
                <w:b/>
                <w:bCs/>
                <w:lang w:eastAsia="zh-CN"/>
              </w:rPr>
              <w:t>CR/336</w:t>
            </w:r>
          </w:p>
        </w:tc>
        <w:tc>
          <w:tcPr>
            <w:tcW w:w="7502" w:type="dxa"/>
          </w:tcPr>
          <w:p w:rsidR="00B87E04" w:rsidRPr="002C159A" w:rsidRDefault="00147E21" w:rsidP="009F715A">
            <w:pPr>
              <w:tabs>
                <w:tab w:val="left" w:pos="7513"/>
              </w:tabs>
              <w:jc w:val="right"/>
              <w:rPr>
                <w:lang w:eastAsia="zh-CN"/>
              </w:rPr>
            </w:pPr>
            <w:bookmarkStart w:id="2" w:name="ddate"/>
            <w:bookmarkEnd w:id="2"/>
            <w:r>
              <w:rPr>
                <w:lang w:eastAsia="zh-CN"/>
              </w:rPr>
              <w:t>20</w:t>
            </w:r>
            <w:r w:rsidR="002C159A">
              <w:rPr>
                <w:rFonts w:hint="eastAsia"/>
                <w:lang w:eastAsia="zh-CN"/>
              </w:rPr>
              <w:t>12</w:t>
            </w:r>
            <w:r w:rsidR="002C159A">
              <w:rPr>
                <w:rFonts w:hint="eastAsia"/>
                <w:lang w:eastAsia="zh-CN"/>
              </w:rPr>
              <w:t>年</w:t>
            </w:r>
            <w:r w:rsidR="002C159A">
              <w:rPr>
                <w:rFonts w:hint="eastAsia"/>
                <w:lang w:eastAsia="zh-CN"/>
              </w:rPr>
              <w:t>7</w:t>
            </w:r>
            <w:r w:rsidR="002C159A">
              <w:rPr>
                <w:rFonts w:hint="eastAsia"/>
                <w:lang w:eastAsia="zh-CN"/>
              </w:rPr>
              <w:t>月</w:t>
            </w:r>
            <w:r w:rsidR="002C159A">
              <w:rPr>
                <w:rFonts w:hint="eastAsia"/>
                <w:lang w:eastAsia="zh-CN"/>
              </w:rPr>
              <w:t>1</w:t>
            </w:r>
            <w:r w:rsidR="009F715A">
              <w:rPr>
                <w:rFonts w:hint="eastAsia"/>
                <w:lang w:eastAsia="zh-CN"/>
              </w:rPr>
              <w:t>7</w:t>
            </w:r>
            <w:r w:rsidR="002C159A">
              <w:rPr>
                <w:rFonts w:hint="eastAsia"/>
                <w:lang w:eastAsia="zh-CN"/>
              </w:rPr>
              <w:t>日</w:t>
            </w:r>
          </w:p>
        </w:tc>
      </w:tr>
    </w:tbl>
    <w:p w:rsidR="00B87E04" w:rsidRPr="00147E21" w:rsidRDefault="007D3C32" w:rsidP="001921A1">
      <w:pPr>
        <w:tabs>
          <w:tab w:val="left" w:pos="7513"/>
        </w:tabs>
        <w:spacing w:before="480"/>
        <w:jc w:val="center"/>
        <w:rPr>
          <w:rFonts w:ascii="SimSun" w:eastAsia="SimSun" w:hAnsi="SimSun"/>
          <w:b/>
          <w:bCs/>
          <w:lang w:eastAsia="zh-CN"/>
        </w:rPr>
      </w:pPr>
      <w:r w:rsidRPr="00147E21">
        <w:rPr>
          <w:rFonts w:ascii="SimSun" w:eastAsia="SimSun" w:hAnsi="SimSun" w:hint="eastAsia"/>
          <w:b/>
          <w:bCs/>
          <w:lang w:eastAsia="zh-CN"/>
        </w:rPr>
        <w:t>致国际电联成员国主管部门</w:t>
      </w:r>
    </w:p>
    <w:p w:rsidR="00B87E04" w:rsidRPr="002C159A" w:rsidRDefault="007D3C32" w:rsidP="00462D6E">
      <w:pPr>
        <w:tabs>
          <w:tab w:val="clear" w:pos="794"/>
          <w:tab w:val="clear" w:pos="1191"/>
          <w:tab w:val="clear" w:pos="1588"/>
          <w:tab w:val="clear" w:pos="1985"/>
          <w:tab w:val="left" w:pos="1414"/>
        </w:tabs>
        <w:spacing w:before="720"/>
        <w:ind w:left="1418" w:hanging="1418"/>
        <w:rPr>
          <w:rFonts w:eastAsia="SimSun"/>
          <w:lang w:eastAsia="zh-CN"/>
        </w:rPr>
      </w:pPr>
      <w:r w:rsidRPr="00147E21">
        <w:rPr>
          <w:rFonts w:ascii="SimSun" w:eastAsia="SimSun" w:hAnsi="SimSun" w:hint="eastAsia"/>
          <w:b/>
          <w:bCs/>
          <w:szCs w:val="24"/>
          <w:lang w:eastAsia="zh-CN"/>
        </w:rPr>
        <w:t>事由：</w:t>
      </w:r>
      <w:r w:rsidR="00B87E04" w:rsidRPr="00147E21">
        <w:rPr>
          <w:rFonts w:ascii="SimSun" w:eastAsia="SimSun" w:hAnsi="SimSun"/>
          <w:b/>
          <w:bCs/>
          <w:lang w:eastAsia="zh-CN"/>
        </w:rPr>
        <w:tab/>
      </w:r>
      <w:bookmarkStart w:id="3" w:name="dtitle1"/>
      <w:bookmarkEnd w:id="3"/>
      <w:r w:rsidR="002C159A" w:rsidRPr="002C159A">
        <w:rPr>
          <w:rFonts w:eastAsia="SimSun" w:hint="eastAsia"/>
          <w:lang w:eastAsia="zh-CN"/>
        </w:rPr>
        <w:t>落实</w:t>
      </w:r>
      <w:r w:rsidR="00462D6E" w:rsidRPr="002C159A">
        <w:rPr>
          <w:rFonts w:eastAsia="SimSun" w:hint="eastAsia"/>
          <w:lang w:eastAsia="zh-CN"/>
        </w:rPr>
        <w:t>世界无线电通信大会（</w:t>
      </w:r>
      <w:r w:rsidR="00462D6E" w:rsidRPr="002C159A">
        <w:rPr>
          <w:rFonts w:eastAsia="SimSun" w:hint="eastAsia"/>
          <w:lang w:eastAsia="zh-CN"/>
        </w:rPr>
        <w:t>WRC-12</w:t>
      </w:r>
      <w:r w:rsidR="00462D6E">
        <w:rPr>
          <w:rFonts w:eastAsia="SimSun" w:hint="eastAsia"/>
          <w:lang w:eastAsia="zh-CN"/>
        </w:rPr>
        <w:t>，</w:t>
      </w:r>
      <w:r w:rsidR="00462D6E">
        <w:rPr>
          <w:rFonts w:eastAsia="SimSun" w:hint="eastAsia"/>
          <w:lang w:eastAsia="zh-CN"/>
        </w:rPr>
        <w:t>2012</w:t>
      </w:r>
      <w:r w:rsidR="00462D6E">
        <w:rPr>
          <w:rFonts w:eastAsia="SimSun" w:hint="eastAsia"/>
          <w:lang w:eastAsia="zh-CN"/>
        </w:rPr>
        <w:t>年，日内瓦）的决定及已</w:t>
      </w:r>
      <w:r w:rsidR="002C159A" w:rsidRPr="002C159A">
        <w:rPr>
          <w:rFonts w:eastAsia="SimSun" w:hint="eastAsia"/>
          <w:lang w:eastAsia="zh-CN"/>
        </w:rPr>
        <w:t>于</w:t>
      </w:r>
      <w:r w:rsidR="002C159A" w:rsidRPr="002C159A">
        <w:rPr>
          <w:rFonts w:eastAsia="SimSun" w:hint="eastAsia"/>
          <w:lang w:eastAsia="zh-CN"/>
        </w:rPr>
        <w:t>2012</w:t>
      </w:r>
      <w:r w:rsidR="002C159A" w:rsidRPr="002C159A">
        <w:rPr>
          <w:rFonts w:eastAsia="SimSun" w:hint="eastAsia"/>
          <w:lang w:eastAsia="zh-CN"/>
        </w:rPr>
        <w:t>年</w:t>
      </w:r>
      <w:r w:rsidR="002C159A" w:rsidRPr="002C159A">
        <w:rPr>
          <w:rFonts w:eastAsia="SimSun" w:hint="eastAsia"/>
          <w:lang w:eastAsia="zh-CN"/>
        </w:rPr>
        <w:t>2</w:t>
      </w:r>
      <w:r w:rsidR="002C159A" w:rsidRPr="002C159A">
        <w:rPr>
          <w:rFonts w:eastAsia="SimSun" w:hint="eastAsia"/>
          <w:lang w:eastAsia="zh-CN"/>
        </w:rPr>
        <w:t>月</w:t>
      </w:r>
      <w:r w:rsidR="002C159A" w:rsidRPr="002C159A">
        <w:rPr>
          <w:rFonts w:eastAsia="SimSun" w:hint="eastAsia"/>
          <w:lang w:eastAsia="zh-CN"/>
        </w:rPr>
        <w:t>18</w:t>
      </w:r>
      <w:r w:rsidR="002C159A" w:rsidRPr="002C159A">
        <w:rPr>
          <w:rFonts w:eastAsia="SimSun" w:hint="eastAsia"/>
          <w:lang w:eastAsia="zh-CN"/>
        </w:rPr>
        <w:t>日生效的</w:t>
      </w:r>
      <w:r w:rsidR="00462D6E">
        <w:rPr>
          <w:rFonts w:eastAsia="SimSun" w:hint="eastAsia"/>
          <w:lang w:eastAsia="zh-CN"/>
        </w:rPr>
        <w:t>相关</w:t>
      </w:r>
      <w:r w:rsidR="002C159A">
        <w:rPr>
          <w:rFonts w:eastAsia="SimSun" w:hint="eastAsia"/>
          <w:lang w:eastAsia="zh-CN"/>
        </w:rPr>
        <w:t>过渡安排</w:t>
      </w:r>
    </w:p>
    <w:p w:rsidR="001E15AA" w:rsidRPr="007D3C32" w:rsidRDefault="007D3C32" w:rsidP="001921A1">
      <w:pPr>
        <w:tabs>
          <w:tab w:val="clear" w:pos="794"/>
          <w:tab w:val="clear" w:pos="1191"/>
          <w:tab w:val="clear" w:pos="1588"/>
          <w:tab w:val="clear" w:pos="1985"/>
          <w:tab w:val="left" w:pos="709"/>
        </w:tabs>
        <w:spacing w:before="480"/>
        <w:ind w:left="709" w:hanging="709"/>
        <w:rPr>
          <w:rFonts w:ascii="SimSun" w:eastAsia="SimSun" w:hAnsi="SimSun"/>
          <w:b/>
          <w:bCs/>
          <w:lang w:eastAsia="zh-CN"/>
        </w:rPr>
      </w:pPr>
      <w:r w:rsidRPr="007D3C32">
        <w:rPr>
          <w:rFonts w:ascii="SimSun" w:eastAsia="SimSun" w:hAnsi="SimSun" w:hint="eastAsia"/>
          <w:b/>
          <w:bCs/>
          <w:lang w:eastAsia="zh-CN"/>
        </w:rPr>
        <w:t>致总局长</w:t>
      </w:r>
    </w:p>
    <w:p w:rsidR="001E15AA" w:rsidRPr="00AD1163" w:rsidRDefault="007D3C32" w:rsidP="001921A1">
      <w:pPr>
        <w:tabs>
          <w:tab w:val="clear" w:pos="794"/>
          <w:tab w:val="clear" w:pos="1191"/>
          <w:tab w:val="clear" w:pos="1588"/>
          <w:tab w:val="clear" w:pos="1985"/>
          <w:tab w:val="left" w:pos="709"/>
        </w:tabs>
        <w:spacing w:before="480"/>
        <w:ind w:left="709" w:hanging="709"/>
        <w:rPr>
          <w:rFonts w:eastAsia="SimSun"/>
          <w:lang w:eastAsia="zh-CN"/>
        </w:rPr>
      </w:pPr>
      <w:r w:rsidRPr="00AD1163">
        <w:rPr>
          <w:rFonts w:eastAsia="SimSun"/>
          <w:lang w:eastAsia="zh-CN"/>
        </w:rPr>
        <w:t>尊敬的</w:t>
      </w:r>
      <w:r w:rsidR="002C159A" w:rsidRPr="00AD1163">
        <w:rPr>
          <w:rFonts w:eastAsia="SimSun"/>
          <w:lang w:eastAsia="zh-CN"/>
        </w:rPr>
        <w:t>先生</w:t>
      </w:r>
      <w:r w:rsidR="002C159A" w:rsidRPr="00AD1163">
        <w:rPr>
          <w:rFonts w:eastAsia="SimSun"/>
          <w:lang w:eastAsia="zh-CN"/>
        </w:rPr>
        <w:t>/</w:t>
      </w:r>
      <w:r w:rsidRPr="00AD1163">
        <w:rPr>
          <w:rFonts w:eastAsia="SimSun"/>
          <w:lang w:eastAsia="zh-CN"/>
        </w:rPr>
        <w:t>女士：</w:t>
      </w:r>
    </w:p>
    <w:p w:rsidR="002C159A" w:rsidRPr="00AD1163" w:rsidRDefault="002C159A" w:rsidP="001921A1">
      <w:pPr>
        <w:rPr>
          <w:lang w:eastAsia="zh-CN"/>
        </w:rPr>
      </w:pPr>
      <w:r w:rsidRPr="00AD1163">
        <w:rPr>
          <w:lang w:eastAsia="zh-CN"/>
        </w:rPr>
        <w:t>1</w:t>
      </w:r>
      <w:r w:rsidRPr="00AD1163">
        <w:rPr>
          <w:lang w:eastAsia="zh-CN"/>
        </w:rPr>
        <w:tab/>
      </w:r>
      <w:r w:rsidRPr="00AD1163">
        <w:rPr>
          <w:lang w:eastAsia="zh-CN"/>
        </w:rPr>
        <w:t>在日内瓦举行的</w:t>
      </w:r>
      <w:r w:rsidRPr="00AD1163">
        <w:rPr>
          <w:lang w:eastAsia="zh-CN"/>
        </w:rPr>
        <w:t>2012</w:t>
      </w:r>
      <w:r w:rsidRPr="00AD1163">
        <w:rPr>
          <w:lang w:eastAsia="zh-CN"/>
        </w:rPr>
        <w:t>年世界无线电通信大会（</w:t>
      </w:r>
      <w:r w:rsidRPr="00AD1163">
        <w:rPr>
          <w:lang w:eastAsia="zh-CN"/>
        </w:rPr>
        <w:t>WRC-12</w:t>
      </w:r>
      <w:r w:rsidR="00462D6E">
        <w:rPr>
          <w:lang w:eastAsia="zh-CN"/>
        </w:rPr>
        <w:t>）通过了对《无线电规则》所做的部分修订，并决定经修订的条款</w:t>
      </w:r>
      <w:r w:rsidR="00462D6E">
        <w:rPr>
          <w:rFonts w:hint="eastAsia"/>
          <w:lang w:eastAsia="zh-CN"/>
        </w:rPr>
        <w:t>须</w:t>
      </w:r>
      <w:r w:rsidRPr="00AD1163">
        <w:rPr>
          <w:lang w:eastAsia="zh-CN"/>
        </w:rPr>
        <w:t>于</w:t>
      </w:r>
      <w:r w:rsidRPr="00AD1163">
        <w:rPr>
          <w:lang w:eastAsia="zh-CN"/>
        </w:rPr>
        <w:t>2013</w:t>
      </w:r>
      <w:r w:rsidRPr="00AD1163">
        <w:rPr>
          <w:lang w:eastAsia="zh-CN"/>
        </w:rPr>
        <w:t>年</w:t>
      </w:r>
      <w:r w:rsidRPr="00AD1163">
        <w:rPr>
          <w:lang w:eastAsia="zh-CN"/>
        </w:rPr>
        <w:t>1</w:t>
      </w:r>
      <w:r w:rsidRPr="00AD1163">
        <w:rPr>
          <w:lang w:eastAsia="zh-CN"/>
        </w:rPr>
        <w:t>月</w:t>
      </w:r>
      <w:r w:rsidRPr="00AD1163">
        <w:rPr>
          <w:lang w:eastAsia="zh-CN"/>
        </w:rPr>
        <w:t>1</w:t>
      </w:r>
      <w:r w:rsidRPr="00AD1163">
        <w:rPr>
          <w:lang w:eastAsia="zh-CN"/>
        </w:rPr>
        <w:t>日生效，但其中不包括生效日期另行确定的条款。本通函的目的是重点强调上述大会最为具有相关性的决定，以便促进这些决定的实施，同时首先牢记已于</w:t>
      </w:r>
      <w:r w:rsidRPr="00AD1163">
        <w:rPr>
          <w:lang w:eastAsia="zh-CN"/>
        </w:rPr>
        <w:t>2012</w:t>
      </w:r>
      <w:r w:rsidRPr="00AD1163">
        <w:rPr>
          <w:lang w:eastAsia="zh-CN"/>
        </w:rPr>
        <w:t>年</w:t>
      </w:r>
      <w:r w:rsidRPr="00AD1163">
        <w:rPr>
          <w:lang w:eastAsia="zh-CN"/>
        </w:rPr>
        <w:t>2</w:t>
      </w:r>
      <w:r w:rsidRPr="00AD1163">
        <w:rPr>
          <w:lang w:eastAsia="zh-CN"/>
        </w:rPr>
        <w:t>月</w:t>
      </w:r>
      <w:r w:rsidRPr="00AD1163">
        <w:rPr>
          <w:lang w:eastAsia="zh-CN"/>
        </w:rPr>
        <w:t>18</w:t>
      </w:r>
      <w:r w:rsidRPr="00AD1163">
        <w:rPr>
          <w:lang w:eastAsia="zh-CN"/>
        </w:rPr>
        <w:t>日生效的过渡安排和其它决定。有关决定完整清单，请参见上述大会《最后文件》。应将本通函与</w:t>
      </w:r>
      <w:r w:rsidRPr="00AD1163">
        <w:rPr>
          <w:lang w:eastAsia="zh-CN"/>
        </w:rPr>
        <w:t>2012</w:t>
      </w:r>
      <w:r w:rsidRPr="00AD1163">
        <w:rPr>
          <w:lang w:eastAsia="zh-CN"/>
        </w:rPr>
        <w:t>年</w:t>
      </w:r>
      <w:r w:rsidRPr="00AD1163">
        <w:rPr>
          <w:lang w:eastAsia="zh-CN"/>
        </w:rPr>
        <w:t>3</w:t>
      </w:r>
      <w:r w:rsidRPr="00AD1163">
        <w:rPr>
          <w:lang w:eastAsia="zh-CN"/>
        </w:rPr>
        <w:t>月</w:t>
      </w:r>
      <w:r w:rsidRPr="00AD1163">
        <w:rPr>
          <w:lang w:eastAsia="zh-CN"/>
        </w:rPr>
        <w:t>16</w:t>
      </w:r>
      <w:r w:rsidRPr="00AD1163">
        <w:rPr>
          <w:lang w:eastAsia="zh-CN"/>
        </w:rPr>
        <w:t>日发出的</w:t>
      </w:r>
      <w:r w:rsidRPr="00AD1163">
        <w:rPr>
          <w:lang w:eastAsia="zh-CN"/>
        </w:rPr>
        <w:t>CR/331</w:t>
      </w:r>
      <w:r w:rsidRPr="00AD1163">
        <w:rPr>
          <w:lang w:eastAsia="zh-CN"/>
        </w:rPr>
        <w:t>号通函、</w:t>
      </w:r>
      <w:r w:rsidRPr="00AD1163">
        <w:rPr>
          <w:lang w:eastAsia="zh-CN"/>
        </w:rPr>
        <w:t>2012</w:t>
      </w:r>
      <w:r w:rsidRPr="00AD1163">
        <w:rPr>
          <w:lang w:eastAsia="zh-CN"/>
        </w:rPr>
        <w:t>年</w:t>
      </w:r>
      <w:r w:rsidRPr="00AD1163">
        <w:rPr>
          <w:lang w:eastAsia="zh-CN"/>
        </w:rPr>
        <w:t>5</w:t>
      </w:r>
      <w:r w:rsidRPr="00AD1163">
        <w:rPr>
          <w:lang w:eastAsia="zh-CN"/>
        </w:rPr>
        <w:t>月</w:t>
      </w:r>
      <w:r w:rsidRPr="00AD1163">
        <w:rPr>
          <w:lang w:eastAsia="zh-CN"/>
        </w:rPr>
        <w:t>2</w:t>
      </w:r>
      <w:r w:rsidRPr="00AD1163">
        <w:rPr>
          <w:lang w:eastAsia="zh-CN"/>
        </w:rPr>
        <w:t>日发出的</w:t>
      </w:r>
      <w:r w:rsidRPr="00AD1163">
        <w:rPr>
          <w:lang w:eastAsia="zh-CN"/>
        </w:rPr>
        <w:t>CR/333</w:t>
      </w:r>
      <w:r w:rsidRPr="00AD1163">
        <w:rPr>
          <w:lang w:eastAsia="zh-CN"/>
        </w:rPr>
        <w:t>号通函和</w:t>
      </w:r>
      <w:r w:rsidRPr="00AD1163">
        <w:rPr>
          <w:lang w:eastAsia="zh-CN"/>
        </w:rPr>
        <w:t>2012</w:t>
      </w:r>
      <w:r w:rsidRPr="00AD1163">
        <w:rPr>
          <w:lang w:eastAsia="zh-CN"/>
        </w:rPr>
        <w:t>年</w:t>
      </w:r>
      <w:r w:rsidRPr="00AD1163">
        <w:rPr>
          <w:lang w:eastAsia="zh-CN"/>
        </w:rPr>
        <w:t>5</w:t>
      </w:r>
      <w:r w:rsidRPr="00AD1163">
        <w:rPr>
          <w:lang w:eastAsia="zh-CN"/>
        </w:rPr>
        <w:t>月</w:t>
      </w:r>
      <w:r w:rsidRPr="00AD1163">
        <w:rPr>
          <w:lang w:eastAsia="zh-CN"/>
        </w:rPr>
        <w:t>18</w:t>
      </w:r>
      <w:r w:rsidRPr="00AD1163">
        <w:rPr>
          <w:lang w:eastAsia="zh-CN"/>
        </w:rPr>
        <w:t>日发出的</w:t>
      </w:r>
      <w:r w:rsidRPr="00AD1163">
        <w:rPr>
          <w:lang w:eastAsia="zh-CN"/>
        </w:rPr>
        <w:t>CR/334</w:t>
      </w:r>
      <w:r w:rsidRPr="00AD1163">
        <w:rPr>
          <w:lang w:eastAsia="zh-CN"/>
        </w:rPr>
        <w:t>号通函结合阅读。</w:t>
      </w:r>
    </w:p>
    <w:p w:rsidR="002C159A" w:rsidRPr="00AD1163" w:rsidRDefault="002C159A" w:rsidP="001921A1">
      <w:pPr>
        <w:rPr>
          <w:lang w:eastAsia="zh-CN"/>
        </w:rPr>
      </w:pPr>
      <w:r w:rsidRPr="00AD1163">
        <w:rPr>
          <w:lang w:eastAsia="zh-CN"/>
        </w:rPr>
        <w:t>2</w:t>
      </w:r>
      <w:r w:rsidRPr="00AD1163">
        <w:rPr>
          <w:lang w:eastAsia="zh-CN"/>
        </w:rPr>
        <w:tab/>
      </w:r>
      <w:r w:rsidRPr="00AD1163">
        <w:rPr>
          <w:lang w:eastAsia="zh-CN"/>
        </w:rPr>
        <w:t>上述大会决定，自</w:t>
      </w:r>
      <w:r w:rsidRPr="00AD1163">
        <w:rPr>
          <w:lang w:eastAsia="zh-CN"/>
        </w:rPr>
        <w:t>2012</w:t>
      </w:r>
      <w:r w:rsidRPr="00AD1163">
        <w:rPr>
          <w:lang w:eastAsia="zh-CN"/>
        </w:rPr>
        <w:t>年</w:t>
      </w:r>
      <w:r w:rsidRPr="00AD1163">
        <w:rPr>
          <w:lang w:eastAsia="zh-CN"/>
        </w:rPr>
        <w:t>2</w:t>
      </w:r>
      <w:r w:rsidRPr="00AD1163">
        <w:rPr>
          <w:lang w:eastAsia="zh-CN"/>
        </w:rPr>
        <w:t>月</w:t>
      </w:r>
      <w:r w:rsidRPr="00AD1163">
        <w:rPr>
          <w:lang w:eastAsia="zh-CN"/>
        </w:rPr>
        <w:t>18</w:t>
      </w:r>
      <w:r w:rsidRPr="00AD1163">
        <w:rPr>
          <w:lang w:eastAsia="zh-CN"/>
        </w:rPr>
        <w:t>日起</w:t>
      </w:r>
      <w:r w:rsidR="00B96978">
        <w:rPr>
          <w:lang w:eastAsia="zh-CN"/>
        </w:rPr>
        <w:t>，下述经修改的划分须生效，与之一道生效的还包括在下述频段运行的</w:t>
      </w:r>
      <w:r w:rsidR="00B96978">
        <w:rPr>
          <w:rFonts w:hint="eastAsia"/>
          <w:lang w:eastAsia="zh-CN"/>
        </w:rPr>
        <w:t>有</w:t>
      </w:r>
      <w:r w:rsidRPr="00AD1163">
        <w:rPr>
          <w:lang w:eastAsia="zh-CN"/>
        </w:rPr>
        <w:t>关业务的相关条件：</w:t>
      </w:r>
    </w:p>
    <w:p w:rsidR="002C159A" w:rsidRPr="00AD1163" w:rsidRDefault="002C159A" w:rsidP="009F715A">
      <w:pPr>
        <w:pStyle w:val="enumlev1"/>
        <w:rPr>
          <w:lang w:eastAsia="zh-CN"/>
        </w:rPr>
      </w:pPr>
      <w:r w:rsidRPr="00AD1163">
        <w:rPr>
          <w:lang w:eastAsia="zh-CN"/>
        </w:rPr>
        <w:t>•</w:t>
      </w:r>
      <w:r w:rsidRPr="00AD1163">
        <w:rPr>
          <w:lang w:eastAsia="zh-CN"/>
        </w:rPr>
        <w:tab/>
        <w:t>2 483.5-2 500 MHz</w:t>
      </w:r>
      <w:r w:rsidRPr="00AD1163">
        <w:rPr>
          <w:lang w:eastAsia="zh-CN"/>
        </w:rPr>
        <w:t>频段内经修改的划分，该经修改的划分包括按照第</w:t>
      </w:r>
      <w:r w:rsidRPr="00AD1163">
        <w:rPr>
          <w:b/>
          <w:bCs/>
          <w:lang w:eastAsia="zh-CN"/>
        </w:rPr>
        <w:t>5.401</w:t>
      </w:r>
      <w:r w:rsidRPr="00AD1163">
        <w:rPr>
          <w:lang w:eastAsia="zh-CN"/>
        </w:rPr>
        <w:t>、</w:t>
      </w:r>
      <w:r w:rsidRPr="00AD1163">
        <w:rPr>
          <w:b/>
          <w:bCs/>
          <w:lang w:eastAsia="zh-CN"/>
        </w:rPr>
        <w:t>5.371</w:t>
      </w:r>
      <w:r w:rsidRPr="00AD1163">
        <w:rPr>
          <w:lang w:eastAsia="zh-CN"/>
        </w:rPr>
        <w:t>、</w:t>
      </w:r>
      <w:r w:rsidRPr="00AD1163">
        <w:rPr>
          <w:b/>
          <w:bCs/>
          <w:lang w:eastAsia="zh-CN"/>
        </w:rPr>
        <w:t>5.399</w:t>
      </w:r>
      <w:r w:rsidRPr="00AD1163">
        <w:rPr>
          <w:lang w:eastAsia="zh-CN"/>
        </w:rPr>
        <w:t>和</w:t>
      </w:r>
      <w:r w:rsidRPr="00AD1163">
        <w:rPr>
          <w:b/>
          <w:bCs/>
          <w:lang w:eastAsia="zh-CN"/>
        </w:rPr>
        <w:t>5.446</w:t>
      </w:r>
      <w:r w:rsidRPr="00AD1163">
        <w:rPr>
          <w:lang w:eastAsia="zh-CN"/>
        </w:rPr>
        <w:t>款</w:t>
      </w:r>
      <w:r w:rsidR="00B96978">
        <w:rPr>
          <w:rFonts w:hint="eastAsia"/>
          <w:lang w:eastAsia="zh-CN"/>
        </w:rPr>
        <w:t>以及</w:t>
      </w:r>
      <w:r w:rsidR="00B96978" w:rsidRPr="00AD1163">
        <w:rPr>
          <w:lang w:eastAsia="zh-CN"/>
        </w:rPr>
        <w:t>附录</w:t>
      </w:r>
      <w:r w:rsidR="00B96978">
        <w:rPr>
          <w:rFonts w:hint="eastAsia"/>
          <w:lang w:eastAsia="zh-CN"/>
        </w:rPr>
        <w:t>5</w:t>
      </w:r>
      <w:r w:rsidR="00B96978" w:rsidRPr="00AD1163">
        <w:rPr>
          <w:lang w:eastAsia="zh-CN"/>
        </w:rPr>
        <w:t>附件</w:t>
      </w:r>
      <w:r w:rsidR="00B96978" w:rsidRPr="00AD1163">
        <w:rPr>
          <w:lang w:eastAsia="zh-CN"/>
        </w:rPr>
        <w:t>1</w:t>
      </w:r>
      <w:r w:rsidRPr="00AD1163">
        <w:rPr>
          <w:lang w:eastAsia="zh-CN"/>
        </w:rPr>
        <w:t>规定</w:t>
      </w:r>
      <w:r w:rsidR="00B96978">
        <w:rPr>
          <w:lang w:eastAsia="zh-CN"/>
        </w:rPr>
        <w:t>的条件</w:t>
      </w:r>
      <w:r w:rsidR="00B96978">
        <w:rPr>
          <w:rFonts w:hint="eastAsia"/>
          <w:lang w:eastAsia="zh-CN"/>
        </w:rPr>
        <w:t>引</w:t>
      </w:r>
      <w:r w:rsidR="00BB5D7B">
        <w:rPr>
          <w:lang w:eastAsia="zh-CN"/>
        </w:rPr>
        <w:t>入卫星无线电测定业务的主要业务划分，</w:t>
      </w:r>
      <w:r w:rsidR="000F195F" w:rsidRPr="00AD1163">
        <w:rPr>
          <w:lang w:eastAsia="zh-CN"/>
        </w:rPr>
        <w:t>并将第</w:t>
      </w:r>
      <w:r w:rsidR="000F195F" w:rsidRPr="00AD1163">
        <w:rPr>
          <w:b/>
          <w:bCs/>
          <w:lang w:eastAsia="zh-CN"/>
        </w:rPr>
        <w:t>5.398A</w:t>
      </w:r>
      <w:r w:rsidR="00B96978">
        <w:rPr>
          <w:lang w:eastAsia="zh-CN"/>
        </w:rPr>
        <w:t>款中所列国家的无线电定位业务予以升级，但</w:t>
      </w:r>
      <w:r w:rsidR="00B96978">
        <w:rPr>
          <w:rFonts w:hint="eastAsia"/>
          <w:lang w:eastAsia="zh-CN"/>
        </w:rPr>
        <w:t>须</w:t>
      </w:r>
      <w:r w:rsidR="000F195F" w:rsidRPr="00AD1163">
        <w:rPr>
          <w:lang w:eastAsia="zh-CN"/>
        </w:rPr>
        <w:t>遵守本款规定的一些限制。</w:t>
      </w:r>
    </w:p>
    <w:p w:rsidR="000F195F" w:rsidRDefault="000F195F" w:rsidP="000263A5">
      <w:pPr>
        <w:pStyle w:val="enumlev1"/>
        <w:rPr>
          <w:lang w:val="en-US" w:eastAsia="zh-CN"/>
        </w:rPr>
      </w:pPr>
      <w:r w:rsidRPr="00AD1163">
        <w:rPr>
          <w:lang w:eastAsia="zh-CN"/>
        </w:rPr>
        <w:t>•</w:t>
      </w:r>
      <w:r w:rsidRPr="00AD1163">
        <w:rPr>
          <w:lang w:eastAsia="zh-CN"/>
        </w:rPr>
        <w:tab/>
      </w:r>
      <w:r w:rsidRPr="00AD1163">
        <w:rPr>
          <w:lang w:eastAsia="zh-CN"/>
        </w:rPr>
        <w:t>按照第</w:t>
      </w:r>
      <w:r w:rsidRPr="00AD1163">
        <w:rPr>
          <w:b/>
          <w:bCs/>
          <w:lang w:eastAsia="zh-CN"/>
        </w:rPr>
        <w:t>5.530B</w:t>
      </w:r>
      <w:r w:rsidRPr="00AD1163">
        <w:rPr>
          <w:lang w:eastAsia="zh-CN"/>
        </w:rPr>
        <w:t>、</w:t>
      </w:r>
      <w:r w:rsidRPr="00AD1163">
        <w:rPr>
          <w:b/>
          <w:bCs/>
          <w:lang w:val="en-US" w:eastAsia="zh-CN"/>
        </w:rPr>
        <w:t>5.530C</w:t>
      </w:r>
      <w:r w:rsidRPr="00AD1163">
        <w:rPr>
          <w:lang w:val="en-US" w:eastAsia="zh-CN"/>
        </w:rPr>
        <w:t>、</w:t>
      </w:r>
      <w:r w:rsidRPr="00AD1163">
        <w:rPr>
          <w:b/>
          <w:bCs/>
          <w:lang w:val="en-US" w:eastAsia="zh-CN"/>
        </w:rPr>
        <w:t>5.530A</w:t>
      </w:r>
      <w:r w:rsidRPr="00AD1163">
        <w:rPr>
          <w:lang w:val="en-US" w:eastAsia="zh-CN"/>
        </w:rPr>
        <w:t>、</w:t>
      </w:r>
      <w:r w:rsidRPr="00AD1163">
        <w:rPr>
          <w:b/>
          <w:bCs/>
          <w:lang w:val="en-US" w:eastAsia="zh-CN"/>
        </w:rPr>
        <w:t>5.530D</w:t>
      </w:r>
      <w:r w:rsidRPr="00AD1163">
        <w:rPr>
          <w:lang w:val="en-US" w:eastAsia="zh-CN"/>
        </w:rPr>
        <w:t>、</w:t>
      </w:r>
      <w:r w:rsidRPr="00AD1163">
        <w:rPr>
          <w:b/>
          <w:bCs/>
          <w:lang w:val="en-US" w:eastAsia="zh-CN"/>
        </w:rPr>
        <w:t>A.9.8</w:t>
      </w:r>
      <w:r w:rsidRPr="00AD1163">
        <w:rPr>
          <w:b/>
          <w:bCs/>
          <w:lang w:val="en-US" w:eastAsia="zh-CN"/>
        </w:rPr>
        <w:t>、</w:t>
      </w:r>
      <w:r w:rsidRPr="00AD1163">
        <w:rPr>
          <w:b/>
          <w:bCs/>
          <w:lang w:val="en-US" w:eastAsia="zh-CN"/>
        </w:rPr>
        <w:t>A.11.7</w:t>
      </w:r>
      <w:r w:rsidRPr="00AD1163">
        <w:rPr>
          <w:b/>
          <w:bCs/>
          <w:lang w:val="en-US" w:eastAsia="zh-CN"/>
        </w:rPr>
        <w:t>、</w:t>
      </w:r>
      <w:r w:rsidRPr="00AD1163">
        <w:rPr>
          <w:b/>
          <w:bCs/>
          <w:lang w:val="en-US" w:eastAsia="zh-CN"/>
        </w:rPr>
        <w:t>11.37</w:t>
      </w:r>
      <w:r w:rsidRPr="00AD1163">
        <w:rPr>
          <w:b/>
          <w:bCs/>
          <w:lang w:val="en-US" w:eastAsia="zh-CN"/>
        </w:rPr>
        <w:t>、</w:t>
      </w:r>
      <w:r w:rsidRPr="00AD1163">
        <w:rPr>
          <w:b/>
          <w:bCs/>
          <w:lang w:val="en-US" w:eastAsia="zh-CN"/>
        </w:rPr>
        <w:t>11.37.2</w:t>
      </w:r>
      <w:r w:rsidRPr="00AD1163">
        <w:rPr>
          <w:b/>
          <w:bCs/>
          <w:lang w:val="en-US" w:eastAsia="zh-CN"/>
        </w:rPr>
        <w:t>、</w:t>
      </w:r>
      <w:r w:rsidRPr="00AD1163">
        <w:rPr>
          <w:b/>
          <w:bCs/>
          <w:lang w:val="en-US" w:eastAsia="zh-CN"/>
        </w:rPr>
        <w:t>21.2</w:t>
      </w:r>
      <w:r w:rsidRPr="00AD1163">
        <w:rPr>
          <w:b/>
          <w:bCs/>
          <w:lang w:val="en-US" w:eastAsia="zh-CN"/>
        </w:rPr>
        <w:t>、</w:t>
      </w:r>
      <w:r w:rsidRPr="00AD1163">
        <w:rPr>
          <w:b/>
          <w:bCs/>
          <w:lang w:val="en-US" w:eastAsia="zh-CN"/>
        </w:rPr>
        <w:t>21.2.1</w:t>
      </w:r>
      <w:r w:rsidRPr="00AD1163">
        <w:rPr>
          <w:b/>
          <w:bCs/>
          <w:lang w:val="en-US" w:eastAsia="zh-CN"/>
        </w:rPr>
        <w:t>、表</w:t>
      </w:r>
      <w:r w:rsidRPr="00AD1163">
        <w:rPr>
          <w:b/>
          <w:bCs/>
          <w:lang w:val="en-US" w:eastAsia="zh-CN"/>
        </w:rPr>
        <w:t>21-4</w:t>
      </w:r>
      <w:r w:rsidRPr="00AD1163">
        <w:rPr>
          <w:b/>
          <w:bCs/>
          <w:lang w:val="en-US" w:eastAsia="zh-CN"/>
        </w:rPr>
        <w:t>（</w:t>
      </w:r>
      <w:r w:rsidRPr="00AD1163">
        <w:rPr>
          <w:b/>
          <w:bCs/>
          <w:lang w:val="en-US" w:eastAsia="zh-CN"/>
        </w:rPr>
        <w:t>WRC-12</w:t>
      </w:r>
      <w:r w:rsidRPr="00AD1163">
        <w:rPr>
          <w:b/>
          <w:bCs/>
          <w:lang w:val="en-US" w:eastAsia="zh-CN"/>
        </w:rPr>
        <w:t>，修订版）</w:t>
      </w:r>
      <w:r w:rsidRPr="00AD1163">
        <w:rPr>
          <w:lang w:val="en-US" w:eastAsia="zh-CN"/>
        </w:rPr>
        <w:t>、附录</w:t>
      </w:r>
      <w:r w:rsidRPr="00BB5D7B">
        <w:rPr>
          <w:b/>
          <w:bCs/>
          <w:lang w:val="en-US" w:eastAsia="zh-CN"/>
        </w:rPr>
        <w:t>5</w:t>
      </w:r>
      <w:r w:rsidRPr="00AD1163">
        <w:rPr>
          <w:lang w:val="en-US" w:eastAsia="zh-CN"/>
        </w:rPr>
        <w:t>表</w:t>
      </w:r>
      <w:r w:rsidRPr="00AD1163">
        <w:rPr>
          <w:lang w:val="en-US" w:eastAsia="zh-CN"/>
        </w:rPr>
        <w:t>5-1</w:t>
      </w:r>
      <w:r w:rsidRPr="00AD1163">
        <w:rPr>
          <w:lang w:val="en-US" w:eastAsia="zh-CN"/>
        </w:rPr>
        <w:t>第</w:t>
      </w:r>
      <w:r w:rsidRPr="00AD1163">
        <w:rPr>
          <w:lang w:val="en-US" w:eastAsia="zh-CN"/>
        </w:rPr>
        <w:t>6</w:t>
      </w:r>
      <w:r w:rsidRPr="00AD1163">
        <w:rPr>
          <w:lang w:val="en-US" w:eastAsia="zh-CN"/>
        </w:rPr>
        <w:t>之二、</w:t>
      </w:r>
      <w:r w:rsidRPr="00AD1163">
        <w:rPr>
          <w:lang w:val="en-US" w:eastAsia="zh-CN"/>
        </w:rPr>
        <w:t>8</w:t>
      </w:r>
      <w:r w:rsidRPr="00AD1163">
        <w:rPr>
          <w:lang w:val="en-US" w:eastAsia="zh-CN"/>
        </w:rPr>
        <w:t>和</w:t>
      </w:r>
      <w:r w:rsidRPr="00AD1163">
        <w:rPr>
          <w:lang w:val="en-US" w:eastAsia="zh-CN"/>
        </w:rPr>
        <w:t>9</w:t>
      </w:r>
      <w:r w:rsidRPr="00AD1163">
        <w:rPr>
          <w:lang w:val="en-US" w:eastAsia="zh-CN"/>
        </w:rPr>
        <w:t>段以及第</w:t>
      </w:r>
      <w:r w:rsidRPr="00AD1163">
        <w:rPr>
          <w:b/>
          <w:bCs/>
          <w:lang w:val="en-US" w:eastAsia="zh-CN"/>
        </w:rPr>
        <w:t>755</w:t>
      </w:r>
      <w:r w:rsidRPr="00AD1163">
        <w:rPr>
          <w:lang w:val="en-US" w:eastAsia="zh-CN"/>
        </w:rPr>
        <w:t>号决议、第</w:t>
      </w:r>
      <w:r w:rsidRPr="00AD1163">
        <w:rPr>
          <w:b/>
          <w:bCs/>
          <w:lang w:val="en-US" w:eastAsia="zh-CN"/>
        </w:rPr>
        <w:t>553</w:t>
      </w:r>
      <w:r w:rsidRPr="00AD1163">
        <w:rPr>
          <w:lang w:val="en-US" w:eastAsia="zh-CN"/>
        </w:rPr>
        <w:t>号决议、第</w:t>
      </w:r>
      <w:r w:rsidRPr="00AD1163">
        <w:rPr>
          <w:b/>
          <w:bCs/>
          <w:lang w:val="en-US" w:eastAsia="zh-CN"/>
        </w:rPr>
        <w:t>554</w:t>
      </w:r>
      <w:r w:rsidRPr="00AD1163">
        <w:rPr>
          <w:lang w:val="en-US" w:eastAsia="zh-CN"/>
        </w:rPr>
        <w:t>号决议和第</w:t>
      </w:r>
      <w:r w:rsidRPr="00AD1163">
        <w:rPr>
          <w:b/>
          <w:bCs/>
          <w:lang w:val="en-US" w:eastAsia="zh-CN"/>
        </w:rPr>
        <w:t>555</w:t>
      </w:r>
      <w:r w:rsidRPr="00AD1163">
        <w:rPr>
          <w:lang w:val="en-US" w:eastAsia="zh-CN"/>
        </w:rPr>
        <w:t>号决议的规定，在</w:t>
      </w:r>
      <w:r w:rsidRPr="00AD1163">
        <w:rPr>
          <w:lang w:val="en-US" w:eastAsia="zh-CN"/>
        </w:rPr>
        <w:t>21.4-22 GHz</w:t>
      </w:r>
      <w:r w:rsidRPr="00AD1163">
        <w:rPr>
          <w:lang w:val="en-US" w:eastAsia="zh-CN"/>
        </w:rPr>
        <w:t>频段内引入</w:t>
      </w:r>
      <w:r w:rsidR="00B96978">
        <w:rPr>
          <w:rFonts w:hint="eastAsia"/>
          <w:lang w:val="en-US" w:eastAsia="zh-CN"/>
        </w:rPr>
        <w:t>在此拥有划分的</w:t>
      </w:r>
      <w:r w:rsidR="00B96978">
        <w:rPr>
          <w:lang w:val="en-US" w:eastAsia="zh-CN"/>
        </w:rPr>
        <w:t>卫星广播业务</w:t>
      </w:r>
      <w:r w:rsidR="00B96978">
        <w:rPr>
          <w:rFonts w:hint="eastAsia"/>
          <w:lang w:val="en-US" w:eastAsia="zh-CN"/>
        </w:rPr>
        <w:t>与</w:t>
      </w:r>
      <w:r w:rsidR="00B96978">
        <w:rPr>
          <w:lang w:val="en-US" w:eastAsia="zh-CN"/>
        </w:rPr>
        <w:t>固定</w:t>
      </w:r>
      <w:r w:rsidR="00B96978">
        <w:rPr>
          <w:rFonts w:hint="eastAsia"/>
          <w:lang w:val="en-US" w:eastAsia="zh-CN"/>
        </w:rPr>
        <w:t>和</w:t>
      </w:r>
      <w:r w:rsidRPr="00AD1163">
        <w:rPr>
          <w:lang w:val="en-US" w:eastAsia="zh-CN"/>
        </w:rPr>
        <w:t>移动业务之间的新的共用条件。应当指出，由于已废止第</w:t>
      </w:r>
      <w:r w:rsidRPr="00AD1163">
        <w:rPr>
          <w:b/>
          <w:bCs/>
          <w:lang w:val="en-US" w:eastAsia="zh-CN"/>
        </w:rPr>
        <w:t>525</w:t>
      </w:r>
      <w:r w:rsidRPr="00AD1163">
        <w:rPr>
          <w:lang w:val="en-US" w:eastAsia="zh-CN"/>
        </w:rPr>
        <w:t>号决议</w:t>
      </w:r>
      <w:r w:rsidRPr="00AD1163">
        <w:rPr>
          <w:b/>
          <w:bCs/>
          <w:lang w:val="en-US" w:eastAsia="zh-CN"/>
        </w:rPr>
        <w:t>（</w:t>
      </w:r>
      <w:r w:rsidRPr="00AD1163">
        <w:rPr>
          <w:b/>
          <w:bCs/>
          <w:lang w:val="en-US" w:eastAsia="zh-CN"/>
        </w:rPr>
        <w:t>WRC-07</w:t>
      </w:r>
      <w:r w:rsidRPr="00AD1163">
        <w:rPr>
          <w:b/>
          <w:bCs/>
          <w:lang w:val="en-US" w:eastAsia="zh-CN"/>
        </w:rPr>
        <w:t>，修订版）</w:t>
      </w:r>
      <w:r w:rsidRPr="00AD1163">
        <w:rPr>
          <w:lang w:val="en-US" w:eastAsia="zh-CN"/>
        </w:rPr>
        <w:t>并删除了第</w:t>
      </w:r>
      <w:r w:rsidRPr="00AD1163">
        <w:rPr>
          <w:b/>
          <w:bCs/>
          <w:lang w:val="en-US" w:eastAsia="zh-CN"/>
        </w:rPr>
        <w:t>5.530</w:t>
      </w:r>
      <w:r w:rsidRPr="00AD1163">
        <w:rPr>
          <w:lang w:val="en-US" w:eastAsia="zh-CN"/>
        </w:rPr>
        <w:t>款，因此，</w:t>
      </w:r>
      <w:r w:rsidRPr="00AD1163">
        <w:rPr>
          <w:lang w:val="en-US" w:eastAsia="zh-CN"/>
        </w:rPr>
        <w:t>1</w:t>
      </w:r>
      <w:r w:rsidRPr="00AD1163">
        <w:rPr>
          <w:lang w:val="en-US" w:eastAsia="zh-CN"/>
        </w:rPr>
        <w:t>区和</w:t>
      </w:r>
      <w:r w:rsidRPr="00AD1163">
        <w:rPr>
          <w:lang w:val="en-US" w:eastAsia="zh-CN"/>
        </w:rPr>
        <w:t>3</w:t>
      </w:r>
      <w:r w:rsidRPr="00AD1163">
        <w:rPr>
          <w:lang w:val="en-US" w:eastAsia="zh-CN"/>
        </w:rPr>
        <w:t>区固定和移动业务与卫星广播业务之间的无干扰无保护地位由遵守第</w:t>
      </w:r>
      <w:r w:rsidRPr="00AD1163">
        <w:rPr>
          <w:b/>
          <w:bCs/>
          <w:lang w:val="en-US" w:eastAsia="zh-CN"/>
        </w:rPr>
        <w:t>5.530A</w:t>
      </w:r>
      <w:r w:rsidRPr="00AD1163">
        <w:rPr>
          <w:lang w:val="en-US" w:eastAsia="zh-CN"/>
        </w:rPr>
        <w:t>款规定的功率通量密度限值取代。</w:t>
      </w:r>
    </w:p>
    <w:p w:rsidR="009F715A" w:rsidRPr="009F715A" w:rsidRDefault="009F715A" w:rsidP="009F715A">
      <w:pPr>
        <w:pStyle w:val="enumlev1"/>
        <w:rPr>
          <w:lang w:val="en-US" w:eastAsia="zh-CN"/>
        </w:rPr>
      </w:pPr>
    </w:p>
    <w:p w:rsidR="000F195F" w:rsidRPr="00AD1163" w:rsidRDefault="000F195F" w:rsidP="004E2B5C">
      <w:pPr>
        <w:pStyle w:val="enumlev1"/>
        <w:rPr>
          <w:lang w:val="en-US" w:eastAsia="zh-CN"/>
        </w:rPr>
      </w:pPr>
      <w:r w:rsidRPr="00AD1163">
        <w:rPr>
          <w:lang w:val="en-US" w:eastAsia="zh-CN"/>
        </w:rPr>
        <w:lastRenderedPageBreak/>
        <w:t>•</w:t>
      </w:r>
      <w:r w:rsidRPr="00AD1163">
        <w:rPr>
          <w:lang w:val="en-US" w:eastAsia="zh-CN"/>
        </w:rPr>
        <w:tab/>
      </w:r>
      <w:r w:rsidRPr="00AD1163">
        <w:rPr>
          <w:lang w:val="en-US" w:eastAsia="zh-CN"/>
        </w:rPr>
        <w:t>按照第</w:t>
      </w:r>
      <w:r w:rsidRPr="00AD1163">
        <w:rPr>
          <w:b/>
          <w:bCs/>
          <w:lang w:val="en-US" w:eastAsia="zh-CN"/>
        </w:rPr>
        <w:t>A.9.4</w:t>
      </w:r>
      <w:r w:rsidRPr="00AD1163">
        <w:rPr>
          <w:b/>
          <w:bCs/>
          <w:lang w:val="en-US" w:eastAsia="zh-CN"/>
        </w:rPr>
        <w:t>、</w:t>
      </w:r>
      <w:r w:rsidRPr="00AD1163">
        <w:rPr>
          <w:b/>
          <w:bCs/>
          <w:lang w:val="en-US" w:eastAsia="zh-CN"/>
        </w:rPr>
        <w:t>A.11.2</w:t>
      </w:r>
      <w:r w:rsidRPr="00AD1163">
        <w:rPr>
          <w:b/>
          <w:bCs/>
          <w:lang w:val="en-US" w:eastAsia="zh-CN"/>
        </w:rPr>
        <w:t>、</w:t>
      </w:r>
      <w:r w:rsidRPr="00AD1163">
        <w:rPr>
          <w:b/>
          <w:bCs/>
          <w:lang w:val="en-US" w:eastAsia="zh-CN"/>
        </w:rPr>
        <w:t>11.</w:t>
      </w:r>
      <w:bookmarkStart w:id="4" w:name="_GoBack"/>
      <w:bookmarkEnd w:id="4"/>
      <w:r w:rsidRPr="00AD1163">
        <w:rPr>
          <w:b/>
          <w:bCs/>
          <w:lang w:val="en-US" w:eastAsia="zh-CN"/>
        </w:rPr>
        <w:t>44.1</w:t>
      </w:r>
      <w:r w:rsidRPr="00AD1163">
        <w:rPr>
          <w:lang w:val="en-US" w:eastAsia="zh-CN"/>
        </w:rPr>
        <w:t>和</w:t>
      </w:r>
      <w:r w:rsidRPr="00AD1163">
        <w:rPr>
          <w:b/>
          <w:bCs/>
          <w:lang w:val="en-US" w:eastAsia="zh-CN"/>
        </w:rPr>
        <w:t>11.48</w:t>
      </w:r>
      <w:r w:rsidR="00B96978">
        <w:rPr>
          <w:rFonts w:hint="eastAsia"/>
          <w:b/>
          <w:bCs/>
          <w:lang w:val="en-US" w:eastAsia="zh-CN"/>
        </w:rPr>
        <w:t>款</w:t>
      </w:r>
      <w:r w:rsidRPr="00AD1163">
        <w:rPr>
          <w:lang w:val="en-US" w:eastAsia="zh-CN"/>
        </w:rPr>
        <w:t>以及第</w:t>
      </w:r>
      <w:r w:rsidRPr="00AD1163">
        <w:rPr>
          <w:b/>
          <w:bCs/>
          <w:lang w:val="en-US" w:eastAsia="zh-CN"/>
        </w:rPr>
        <w:t>552</w:t>
      </w:r>
      <w:r w:rsidRPr="00AD1163">
        <w:rPr>
          <w:lang w:val="en-US" w:eastAsia="zh-CN"/>
        </w:rPr>
        <w:t>号决议的规定，需为</w:t>
      </w:r>
      <w:r w:rsidRPr="00AD1163">
        <w:rPr>
          <w:lang w:val="en-US" w:eastAsia="zh-CN"/>
        </w:rPr>
        <w:t>21.4-22 GHZ</w:t>
      </w:r>
      <w:r w:rsidRPr="00AD1163">
        <w:rPr>
          <w:lang w:val="en-US" w:eastAsia="zh-CN"/>
        </w:rPr>
        <w:t>频段内的所有</w:t>
      </w:r>
      <w:r w:rsidRPr="00AD1163">
        <w:rPr>
          <w:lang w:val="en-US" w:eastAsia="zh-CN"/>
        </w:rPr>
        <w:t>BSS</w:t>
      </w:r>
      <w:r w:rsidRPr="00AD1163">
        <w:rPr>
          <w:lang w:val="en-US" w:eastAsia="zh-CN"/>
        </w:rPr>
        <w:t>对地静止卫星网络提交新的行政应付努力资料。</w:t>
      </w:r>
    </w:p>
    <w:p w:rsidR="000F195F" w:rsidRPr="00AD1163" w:rsidRDefault="000F195F" w:rsidP="009F715A">
      <w:pPr>
        <w:pStyle w:val="enumlev1"/>
        <w:rPr>
          <w:lang w:val="en-US" w:eastAsia="zh-CN"/>
        </w:rPr>
      </w:pPr>
      <w:r w:rsidRPr="00AD1163">
        <w:rPr>
          <w:lang w:val="en-US" w:eastAsia="zh-CN"/>
        </w:rPr>
        <w:t>•</w:t>
      </w:r>
      <w:r w:rsidRPr="00AD1163">
        <w:rPr>
          <w:lang w:val="en-US" w:eastAsia="zh-CN"/>
        </w:rPr>
        <w:tab/>
        <w:t>24.65-24.75 MHz</w:t>
      </w:r>
      <w:r w:rsidRPr="00AD1163">
        <w:rPr>
          <w:lang w:val="en-US" w:eastAsia="zh-CN"/>
        </w:rPr>
        <w:t>频段内经修改的划分，该划分包括引入</w:t>
      </w:r>
      <w:r w:rsidRPr="00AD1163">
        <w:rPr>
          <w:lang w:val="en-US" w:eastAsia="zh-CN"/>
        </w:rPr>
        <w:t>FSS</w:t>
      </w:r>
      <w:r w:rsidRPr="00AD1163">
        <w:rPr>
          <w:lang w:val="en-US" w:eastAsia="zh-CN"/>
        </w:rPr>
        <w:t>（地对空）的主要业务划分（此频段仅划分给</w:t>
      </w:r>
      <w:r w:rsidRPr="00AD1163">
        <w:rPr>
          <w:lang w:val="en-US" w:eastAsia="zh-CN"/>
        </w:rPr>
        <w:t>1</w:t>
      </w:r>
      <w:r w:rsidRPr="00AD1163">
        <w:rPr>
          <w:lang w:val="en-US" w:eastAsia="zh-CN"/>
        </w:rPr>
        <w:t>区和</w:t>
      </w:r>
      <w:r w:rsidRPr="00AD1163">
        <w:rPr>
          <w:lang w:val="en-US" w:eastAsia="zh-CN"/>
        </w:rPr>
        <w:t>3</w:t>
      </w:r>
      <w:r w:rsidRPr="00AD1163">
        <w:rPr>
          <w:lang w:val="en-US" w:eastAsia="zh-CN"/>
        </w:rPr>
        <w:t>区），</w:t>
      </w:r>
      <w:r w:rsidRPr="00AD1163">
        <w:rPr>
          <w:lang w:val="en-US" w:eastAsia="zh-CN"/>
        </w:rPr>
        <w:t>24.75-25.25 MHz</w:t>
      </w:r>
      <w:r w:rsidRPr="00AD1163">
        <w:rPr>
          <w:lang w:val="en-US" w:eastAsia="zh-CN"/>
        </w:rPr>
        <w:t>频段内经修改的划分，该划分包括引入</w:t>
      </w:r>
      <w:r w:rsidRPr="00AD1163">
        <w:rPr>
          <w:lang w:val="en-US" w:eastAsia="zh-CN"/>
        </w:rPr>
        <w:t>FSS</w:t>
      </w:r>
      <w:r w:rsidRPr="00AD1163">
        <w:rPr>
          <w:lang w:val="en-US" w:eastAsia="zh-CN"/>
        </w:rPr>
        <w:t>（地对空）的主要业务划分（该频段仅划分给</w:t>
      </w:r>
      <w:r w:rsidRPr="00AD1163">
        <w:rPr>
          <w:lang w:val="en-US" w:eastAsia="zh-CN"/>
        </w:rPr>
        <w:t>1</w:t>
      </w:r>
      <w:r w:rsidRPr="00AD1163">
        <w:rPr>
          <w:lang w:val="en-US" w:eastAsia="zh-CN"/>
        </w:rPr>
        <w:t>区），并按照</w:t>
      </w:r>
      <w:r w:rsidRPr="00AD1163">
        <w:rPr>
          <w:b/>
          <w:bCs/>
          <w:lang w:val="en-US" w:eastAsia="zh-CN"/>
        </w:rPr>
        <w:t>5.532B</w:t>
      </w:r>
      <w:r w:rsidR="00B36493" w:rsidRPr="00AD1163">
        <w:rPr>
          <w:lang w:val="en-US" w:eastAsia="zh-CN"/>
        </w:rPr>
        <w:t>款和附录</w:t>
      </w:r>
      <w:r w:rsidR="00B36493" w:rsidRPr="00BB5D7B">
        <w:rPr>
          <w:b/>
          <w:bCs/>
          <w:lang w:val="en-US" w:eastAsia="zh-CN"/>
        </w:rPr>
        <w:t>7</w:t>
      </w:r>
      <w:r w:rsidR="00B36493" w:rsidRPr="00BB5D7B">
        <w:rPr>
          <w:b/>
          <w:bCs/>
          <w:lang w:val="en-US" w:eastAsia="zh-CN"/>
        </w:rPr>
        <w:t>（</w:t>
      </w:r>
      <w:r w:rsidR="00B36493" w:rsidRPr="00BB5D7B">
        <w:rPr>
          <w:b/>
          <w:bCs/>
          <w:lang w:val="en-US" w:eastAsia="zh-CN"/>
        </w:rPr>
        <w:t>WRC-12</w:t>
      </w:r>
      <w:r w:rsidR="00B36493" w:rsidRPr="00BB5D7B">
        <w:rPr>
          <w:b/>
          <w:bCs/>
          <w:lang w:val="en-US" w:eastAsia="zh-CN"/>
        </w:rPr>
        <w:t>，修订版）</w:t>
      </w:r>
      <w:r w:rsidR="00B36493" w:rsidRPr="00AD1163">
        <w:rPr>
          <w:lang w:val="en-US" w:eastAsia="zh-CN"/>
        </w:rPr>
        <w:t>附件</w:t>
      </w:r>
      <w:r w:rsidR="00B36493" w:rsidRPr="00AD1163">
        <w:rPr>
          <w:lang w:val="en-US" w:eastAsia="zh-CN"/>
        </w:rPr>
        <w:t>7</w:t>
      </w:r>
      <w:r w:rsidR="00B36493" w:rsidRPr="00AD1163">
        <w:rPr>
          <w:lang w:val="en-US" w:eastAsia="zh-CN"/>
        </w:rPr>
        <w:t>表</w:t>
      </w:r>
      <w:r w:rsidR="00B36493" w:rsidRPr="00AD1163">
        <w:rPr>
          <w:lang w:val="en-US" w:eastAsia="zh-CN"/>
        </w:rPr>
        <w:t>7c</w:t>
      </w:r>
      <w:r w:rsidR="00B36493" w:rsidRPr="00AD1163">
        <w:rPr>
          <w:lang w:val="en-US" w:eastAsia="zh-CN"/>
        </w:rPr>
        <w:t>的规定澄清</w:t>
      </w:r>
      <w:r w:rsidR="00B36493" w:rsidRPr="00AD1163">
        <w:rPr>
          <w:lang w:val="en-US" w:eastAsia="zh-CN"/>
        </w:rPr>
        <w:t>1</w:t>
      </w:r>
      <w:r w:rsidR="00B36493" w:rsidRPr="00AD1163">
        <w:rPr>
          <w:lang w:val="en-US" w:eastAsia="zh-CN"/>
        </w:rPr>
        <w:t>区和</w:t>
      </w:r>
      <w:r w:rsidR="00B36493" w:rsidRPr="00AD1163">
        <w:rPr>
          <w:lang w:val="en-US" w:eastAsia="zh-CN"/>
        </w:rPr>
        <w:t>3</w:t>
      </w:r>
      <w:r w:rsidR="00B36493" w:rsidRPr="00AD1163">
        <w:rPr>
          <w:lang w:val="en-US" w:eastAsia="zh-CN"/>
        </w:rPr>
        <w:t>区</w:t>
      </w:r>
      <w:r w:rsidR="00B36493" w:rsidRPr="00AD1163">
        <w:rPr>
          <w:lang w:val="en-US" w:eastAsia="zh-CN"/>
        </w:rPr>
        <w:t>FSS</w:t>
      </w:r>
      <w:r w:rsidR="00B36493" w:rsidRPr="00AD1163">
        <w:rPr>
          <w:lang w:val="en-US" w:eastAsia="zh-CN"/>
        </w:rPr>
        <w:t>使用这些频段的条件（即，澄清为确保与固定和移动业务的共用而需的最小天线尺寸）；</w:t>
      </w:r>
    </w:p>
    <w:p w:rsidR="00B36493" w:rsidRPr="00AD1163" w:rsidRDefault="00B36493" w:rsidP="009F715A">
      <w:pPr>
        <w:pStyle w:val="enumlev1"/>
        <w:rPr>
          <w:lang w:val="en-US" w:eastAsia="zh-CN"/>
        </w:rPr>
      </w:pPr>
      <w:r w:rsidRPr="00AD1163">
        <w:rPr>
          <w:lang w:val="en-US" w:eastAsia="zh-CN"/>
        </w:rPr>
        <w:t>•</w:t>
      </w:r>
      <w:r w:rsidRPr="00AD1163">
        <w:rPr>
          <w:lang w:val="en-US" w:eastAsia="zh-CN"/>
        </w:rPr>
        <w:tab/>
        <w:t>22.55-23.15 GHz</w:t>
      </w:r>
      <w:r w:rsidRPr="00AD1163">
        <w:rPr>
          <w:lang w:val="en-US" w:eastAsia="zh-CN"/>
        </w:rPr>
        <w:t>频段内经修改的划分，该经修改的划分包括按照第</w:t>
      </w:r>
      <w:r w:rsidRPr="00AD1163">
        <w:rPr>
          <w:b/>
          <w:bCs/>
          <w:lang w:val="en-US" w:eastAsia="zh-CN"/>
        </w:rPr>
        <w:t>5.532A</w:t>
      </w:r>
      <w:r w:rsidRPr="00AD1163">
        <w:rPr>
          <w:lang w:val="en-US" w:eastAsia="zh-CN"/>
        </w:rPr>
        <w:t>款和</w:t>
      </w:r>
      <w:r w:rsidRPr="00AD1163">
        <w:rPr>
          <w:b/>
          <w:bCs/>
          <w:lang w:val="en-US" w:eastAsia="zh-CN"/>
        </w:rPr>
        <w:t>表</w:t>
      </w:r>
      <w:r w:rsidRPr="00AD1163">
        <w:rPr>
          <w:b/>
          <w:bCs/>
          <w:lang w:val="en-US" w:eastAsia="zh-CN"/>
        </w:rPr>
        <w:t>21-3</w:t>
      </w:r>
      <w:r w:rsidRPr="00AD1163">
        <w:rPr>
          <w:lang w:val="en-US" w:eastAsia="zh-CN"/>
        </w:rPr>
        <w:t>规定的条件，在该频段引入空间研究业务的主要业务划分（即，澄清与固定和移动业务进行共用的条件）；</w:t>
      </w:r>
    </w:p>
    <w:p w:rsidR="000F195F" w:rsidRPr="00AD1163" w:rsidRDefault="00F031B9" w:rsidP="001921A1">
      <w:pPr>
        <w:rPr>
          <w:lang w:val="en-US" w:eastAsia="zh-CN"/>
        </w:rPr>
      </w:pPr>
      <w:r w:rsidRPr="00AD1163">
        <w:rPr>
          <w:lang w:val="en-US" w:eastAsia="zh-CN"/>
        </w:rPr>
        <w:t>3</w:t>
      </w:r>
      <w:r w:rsidRPr="00AD1163">
        <w:rPr>
          <w:lang w:val="en-US" w:eastAsia="zh-CN"/>
        </w:rPr>
        <w:tab/>
      </w:r>
      <w:r w:rsidRPr="00AD1163">
        <w:rPr>
          <w:lang w:val="en-US" w:eastAsia="zh-CN"/>
        </w:rPr>
        <w:t>上述大会决定，自</w:t>
      </w:r>
      <w:r w:rsidRPr="00AD1163">
        <w:rPr>
          <w:lang w:val="en-US" w:eastAsia="zh-CN"/>
        </w:rPr>
        <w:t>2012</w:t>
      </w:r>
      <w:r w:rsidRPr="00AD1163">
        <w:rPr>
          <w:lang w:val="en-US" w:eastAsia="zh-CN"/>
        </w:rPr>
        <w:t>年</w:t>
      </w:r>
      <w:r w:rsidRPr="00AD1163">
        <w:rPr>
          <w:lang w:val="en-US" w:eastAsia="zh-CN"/>
        </w:rPr>
        <w:t>2</w:t>
      </w:r>
      <w:r w:rsidRPr="00AD1163">
        <w:rPr>
          <w:lang w:val="en-US" w:eastAsia="zh-CN"/>
        </w:rPr>
        <w:t>月</w:t>
      </w:r>
      <w:r w:rsidRPr="00AD1163">
        <w:rPr>
          <w:lang w:val="en-US" w:eastAsia="zh-CN"/>
        </w:rPr>
        <w:t>18</w:t>
      </w:r>
      <w:r w:rsidRPr="00AD1163">
        <w:rPr>
          <w:lang w:val="en-US" w:eastAsia="zh-CN"/>
        </w:rPr>
        <w:t>日起，《无线电规则》下列</w:t>
      </w:r>
      <w:r w:rsidR="00B96978">
        <w:rPr>
          <w:lang w:val="en-US" w:eastAsia="zh-CN"/>
        </w:rPr>
        <w:t>条款</w:t>
      </w:r>
      <w:r w:rsidR="00B96978">
        <w:rPr>
          <w:rFonts w:hint="eastAsia"/>
          <w:lang w:val="en-US" w:eastAsia="zh-CN"/>
        </w:rPr>
        <w:t>须</w:t>
      </w:r>
      <w:r w:rsidRPr="00AD1163">
        <w:rPr>
          <w:lang w:val="en-US" w:eastAsia="zh-CN"/>
        </w:rPr>
        <w:t>废止：第</w:t>
      </w:r>
      <w:r w:rsidRPr="00AD1163">
        <w:rPr>
          <w:b/>
          <w:bCs/>
          <w:lang w:val="en-US" w:eastAsia="zh-CN"/>
        </w:rPr>
        <w:t>5.397</w:t>
      </w:r>
      <w:r w:rsidRPr="00AD1163">
        <w:rPr>
          <w:lang w:val="en-US" w:eastAsia="zh-CN"/>
        </w:rPr>
        <w:t>、</w:t>
      </w:r>
      <w:r w:rsidRPr="00AD1163">
        <w:rPr>
          <w:b/>
          <w:bCs/>
          <w:lang w:val="en-US" w:eastAsia="zh-CN"/>
        </w:rPr>
        <w:t>5.400</w:t>
      </w:r>
      <w:r w:rsidRPr="00AD1163">
        <w:rPr>
          <w:lang w:val="en-US" w:eastAsia="zh-CN"/>
        </w:rPr>
        <w:t>和</w:t>
      </w:r>
      <w:r w:rsidRPr="00AD1163">
        <w:rPr>
          <w:b/>
          <w:bCs/>
          <w:lang w:val="en-US" w:eastAsia="zh-CN"/>
        </w:rPr>
        <w:t>5.530</w:t>
      </w:r>
      <w:r w:rsidRPr="00AD1163">
        <w:rPr>
          <w:lang w:val="en-US" w:eastAsia="zh-CN"/>
        </w:rPr>
        <w:t>款。</w:t>
      </w:r>
    </w:p>
    <w:p w:rsidR="009F715A" w:rsidRDefault="00F031B9" w:rsidP="001921A1">
      <w:pPr>
        <w:rPr>
          <w:lang w:val="en-US" w:eastAsia="zh-CN"/>
        </w:rPr>
      </w:pPr>
      <w:r w:rsidRPr="00AD1163">
        <w:rPr>
          <w:lang w:val="en-US" w:eastAsia="zh-CN"/>
        </w:rPr>
        <w:t>4</w:t>
      </w:r>
      <w:r w:rsidRPr="00AD1163">
        <w:rPr>
          <w:lang w:val="en-US" w:eastAsia="zh-CN"/>
        </w:rPr>
        <w:tab/>
      </w:r>
      <w:r w:rsidR="009F715A">
        <w:rPr>
          <w:rFonts w:hint="eastAsia"/>
          <w:lang w:val="en-US" w:eastAsia="zh-CN"/>
        </w:rPr>
        <w:t>大会还决定将</w:t>
      </w:r>
      <w:r w:rsidR="009F715A">
        <w:rPr>
          <w:rFonts w:hint="eastAsia"/>
          <w:lang w:val="en-US" w:eastAsia="zh-CN"/>
        </w:rPr>
        <w:t>1</w:t>
      </w:r>
      <w:r w:rsidR="009F715A">
        <w:rPr>
          <w:rFonts w:hint="eastAsia"/>
          <w:lang w:val="en-US" w:eastAsia="zh-CN"/>
        </w:rPr>
        <w:t>区的</w:t>
      </w:r>
      <w:r w:rsidR="009F715A">
        <w:rPr>
          <w:rFonts w:hint="eastAsia"/>
          <w:lang w:val="en-US" w:eastAsia="zh-CN"/>
        </w:rPr>
        <w:t>694-790 MHz</w:t>
      </w:r>
      <w:r w:rsidR="009F715A">
        <w:rPr>
          <w:rFonts w:hint="eastAsia"/>
          <w:lang w:val="en-US" w:eastAsia="zh-CN"/>
        </w:rPr>
        <w:t>频段划分给移动业务（航空移动除外），与在该频段获得主要业务划分的业务共同作为主要业务并将其用于</w:t>
      </w:r>
      <w:r w:rsidR="009F715A">
        <w:rPr>
          <w:rFonts w:hint="eastAsia"/>
          <w:lang w:val="en-US" w:eastAsia="zh-CN"/>
        </w:rPr>
        <w:t>IMT</w:t>
      </w:r>
      <w:r w:rsidR="009F715A">
        <w:rPr>
          <w:rFonts w:hint="eastAsia"/>
          <w:lang w:val="en-US" w:eastAsia="zh-CN"/>
        </w:rPr>
        <w:t>。该决定在</w:t>
      </w:r>
      <w:r w:rsidR="009F715A">
        <w:rPr>
          <w:rFonts w:hint="eastAsia"/>
          <w:lang w:val="en-US" w:eastAsia="zh-CN"/>
        </w:rPr>
        <w:t>WRC-15</w:t>
      </w:r>
      <w:r w:rsidR="009F715A">
        <w:rPr>
          <w:rFonts w:hint="eastAsia"/>
          <w:lang w:val="en-US" w:eastAsia="zh-CN"/>
        </w:rPr>
        <w:t>之后立即生效并须遵守第</w:t>
      </w:r>
      <w:r w:rsidR="009F715A">
        <w:rPr>
          <w:rFonts w:hint="eastAsia"/>
          <w:lang w:val="en-US" w:eastAsia="zh-CN"/>
        </w:rPr>
        <w:t>232</w:t>
      </w:r>
      <w:r w:rsidR="009F715A">
        <w:rPr>
          <w:rFonts w:hint="eastAsia"/>
          <w:lang w:val="en-US" w:eastAsia="zh-CN"/>
        </w:rPr>
        <w:t>号决议（</w:t>
      </w:r>
      <w:r w:rsidR="009F715A">
        <w:rPr>
          <w:rFonts w:hint="eastAsia"/>
          <w:lang w:val="en-US" w:eastAsia="zh-CN"/>
        </w:rPr>
        <w:t>WRC-12</w:t>
      </w:r>
      <w:r w:rsidR="009F715A">
        <w:rPr>
          <w:rFonts w:hint="eastAsia"/>
          <w:lang w:val="en-US" w:eastAsia="zh-CN"/>
        </w:rPr>
        <w:t>）（亦见第</w:t>
      </w:r>
      <w:r w:rsidR="009F715A">
        <w:rPr>
          <w:rFonts w:hint="eastAsia"/>
          <w:lang w:val="en-US" w:eastAsia="zh-CN"/>
        </w:rPr>
        <w:t>224</w:t>
      </w:r>
      <w:r w:rsidR="009F715A">
        <w:rPr>
          <w:rFonts w:hint="eastAsia"/>
          <w:lang w:val="en-US" w:eastAsia="zh-CN"/>
        </w:rPr>
        <w:t>号决议（</w:t>
      </w:r>
      <w:r w:rsidR="009F715A">
        <w:rPr>
          <w:rFonts w:hint="eastAsia"/>
          <w:lang w:val="en-US" w:eastAsia="zh-CN"/>
        </w:rPr>
        <w:t>WRC-12</w:t>
      </w:r>
      <w:r w:rsidR="009F715A">
        <w:rPr>
          <w:rFonts w:hint="eastAsia"/>
          <w:lang w:val="en-US" w:eastAsia="zh-CN"/>
        </w:rPr>
        <w:t>））。</w:t>
      </w:r>
    </w:p>
    <w:p w:rsidR="00F031B9" w:rsidRPr="00AD1163" w:rsidRDefault="009F715A" w:rsidP="001921A1">
      <w:pPr>
        <w:rPr>
          <w:lang w:val="en-US" w:eastAsia="zh-CN"/>
        </w:rPr>
      </w:pPr>
      <w:r>
        <w:rPr>
          <w:rFonts w:hint="eastAsia"/>
          <w:lang w:val="en-US" w:eastAsia="zh-CN"/>
        </w:rPr>
        <w:t>5</w:t>
      </w:r>
      <w:r>
        <w:rPr>
          <w:rFonts w:hint="eastAsia"/>
          <w:lang w:val="en-US" w:eastAsia="zh-CN"/>
        </w:rPr>
        <w:tab/>
      </w:r>
      <w:r w:rsidR="00F031B9" w:rsidRPr="00AD1163">
        <w:rPr>
          <w:lang w:val="en-US" w:eastAsia="zh-CN"/>
        </w:rPr>
        <w:t>上述大会对第</w:t>
      </w:r>
      <w:r w:rsidR="00F031B9" w:rsidRPr="00AD1163">
        <w:rPr>
          <w:b/>
          <w:bCs/>
          <w:lang w:val="en-US" w:eastAsia="zh-CN"/>
        </w:rPr>
        <w:t>11.44.1</w:t>
      </w:r>
      <w:r w:rsidR="00F031B9" w:rsidRPr="00AD1163">
        <w:rPr>
          <w:lang w:val="en-US" w:eastAsia="zh-CN"/>
        </w:rPr>
        <w:t>和</w:t>
      </w:r>
      <w:r w:rsidR="00F031B9" w:rsidRPr="00AD1163">
        <w:rPr>
          <w:b/>
          <w:bCs/>
          <w:lang w:val="en-US" w:eastAsia="zh-CN"/>
        </w:rPr>
        <w:t>11.48</w:t>
      </w:r>
      <w:r w:rsidR="00F031B9" w:rsidRPr="00AD1163">
        <w:rPr>
          <w:lang w:val="en-US" w:eastAsia="zh-CN"/>
        </w:rPr>
        <w:t>款做出了若干修改，并已于</w:t>
      </w:r>
      <w:r w:rsidR="00F031B9" w:rsidRPr="00AD1163">
        <w:rPr>
          <w:lang w:val="en-US" w:eastAsia="zh-CN"/>
        </w:rPr>
        <w:t>2012</w:t>
      </w:r>
      <w:r w:rsidR="00F031B9" w:rsidRPr="00AD1163">
        <w:rPr>
          <w:lang w:val="en-US" w:eastAsia="zh-CN"/>
        </w:rPr>
        <w:t>年</w:t>
      </w:r>
      <w:r w:rsidR="00F031B9" w:rsidRPr="00AD1163">
        <w:rPr>
          <w:lang w:val="en-US" w:eastAsia="zh-CN"/>
        </w:rPr>
        <w:t>2</w:t>
      </w:r>
      <w:r w:rsidR="00F031B9" w:rsidRPr="00AD1163">
        <w:rPr>
          <w:lang w:val="en-US" w:eastAsia="zh-CN"/>
        </w:rPr>
        <w:t>月</w:t>
      </w:r>
      <w:r w:rsidR="00F031B9" w:rsidRPr="00AD1163">
        <w:rPr>
          <w:lang w:val="en-US" w:eastAsia="zh-CN"/>
        </w:rPr>
        <w:t>18</w:t>
      </w:r>
      <w:r w:rsidR="00B96978">
        <w:rPr>
          <w:lang w:val="en-US" w:eastAsia="zh-CN"/>
        </w:rPr>
        <w:t>日生效，这些修改涉及</w:t>
      </w:r>
      <w:r w:rsidR="00B96978">
        <w:rPr>
          <w:rFonts w:hint="eastAsia"/>
          <w:lang w:val="en-US" w:eastAsia="zh-CN"/>
        </w:rPr>
        <w:t>未</w:t>
      </w:r>
      <w:r w:rsidR="00B96978">
        <w:rPr>
          <w:lang w:val="en-US" w:eastAsia="zh-CN"/>
        </w:rPr>
        <w:t>按照《无线电规则》规定的时限提交通知或行政应付努力资料、因此所</w:t>
      </w:r>
      <w:r w:rsidR="00B96978">
        <w:rPr>
          <w:rFonts w:hint="eastAsia"/>
          <w:lang w:val="en-US" w:eastAsia="zh-CN"/>
        </w:rPr>
        <w:t>涉</w:t>
      </w:r>
      <w:r w:rsidR="00F031B9" w:rsidRPr="00AD1163">
        <w:rPr>
          <w:lang w:val="en-US" w:eastAsia="zh-CN"/>
        </w:rPr>
        <w:t>《特节》被删除。</w:t>
      </w:r>
    </w:p>
    <w:p w:rsidR="00F031B9" w:rsidRPr="00AD1163" w:rsidRDefault="009F715A" w:rsidP="001921A1">
      <w:pPr>
        <w:rPr>
          <w:lang w:val="en-US" w:eastAsia="zh-CN"/>
        </w:rPr>
      </w:pPr>
      <w:r>
        <w:rPr>
          <w:rFonts w:hint="eastAsia"/>
          <w:lang w:val="en-US" w:eastAsia="zh-CN"/>
        </w:rPr>
        <w:t>6</w:t>
      </w:r>
      <w:r w:rsidR="00F031B9" w:rsidRPr="00AD1163">
        <w:rPr>
          <w:lang w:val="en-US" w:eastAsia="zh-CN"/>
        </w:rPr>
        <w:tab/>
        <w:t>WRC-12</w:t>
      </w:r>
      <w:r w:rsidR="00F031B9" w:rsidRPr="00AD1163">
        <w:rPr>
          <w:lang w:val="en-US" w:eastAsia="zh-CN"/>
        </w:rPr>
        <w:t>修订了此前若干大会通过的一些决议和建议，并通过了若干新的决议和建议。作为总体规则，新的和经修订的决议和建议在签署大会《最后文件》之际生效。在已于</w:t>
      </w:r>
      <w:r w:rsidR="00F031B9" w:rsidRPr="00AD1163">
        <w:rPr>
          <w:lang w:val="en-US" w:eastAsia="zh-CN"/>
        </w:rPr>
        <w:t>2012</w:t>
      </w:r>
      <w:r w:rsidR="00F031B9" w:rsidRPr="00AD1163">
        <w:rPr>
          <w:lang w:val="en-US" w:eastAsia="zh-CN"/>
        </w:rPr>
        <w:t>年</w:t>
      </w:r>
      <w:r w:rsidR="00F031B9" w:rsidRPr="00AD1163">
        <w:rPr>
          <w:lang w:val="en-US" w:eastAsia="zh-CN"/>
        </w:rPr>
        <w:t>2</w:t>
      </w:r>
      <w:r w:rsidR="00F031B9" w:rsidRPr="00AD1163">
        <w:rPr>
          <w:lang w:val="en-US" w:eastAsia="zh-CN"/>
        </w:rPr>
        <w:t>月</w:t>
      </w:r>
      <w:r w:rsidR="00F031B9" w:rsidRPr="00AD1163">
        <w:rPr>
          <w:lang w:val="en-US" w:eastAsia="zh-CN"/>
        </w:rPr>
        <w:t>18</w:t>
      </w:r>
      <w:r w:rsidR="00F031B9" w:rsidRPr="00AD1163">
        <w:rPr>
          <w:lang w:val="en-US" w:eastAsia="zh-CN"/>
        </w:rPr>
        <w:t>日生效的决议和建议中，特别需要提到下列几项：</w:t>
      </w:r>
    </w:p>
    <w:p w:rsidR="00F031B9" w:rsidRPr="00AD1163" w:rsidRDefault="009F715A" w:rsidP="00B96978">
      <w:pPr>
        <w:rPr>
          <w:lang w:val="en-US" w:eastAsia="zh-CN"/>
        </w:rPr>
      </w:pPr>
      <w:r>
        <w:rPr>
          <w:rFonts w:hint="eastAsia"/>
          <w:lang w:val="en-US" w:eastAsia="zh-CN"/>
        </w:rPr>
        <w:t>6</w:t>
      </w:r>
      <w:r w:rsidR="00F031B9" w:rsidRPr="00AD1163">
        <w:rPr>
          <w:lang w:val="en-US" w:eastAsia="zh-CN"/>
        </w:rPr>
        <w:t>.1</w:t>
      </w:r>
      <w:r w:rsidR="00F031B9" w:rsidRPr="00AD1163">
        <w:rPr>
          <w:lang w:val="en-US" w:eastAsia="zh-CN"/>
        </w:rPr>
        <w:tab/>
      </w:r>
      <w:r w:rsidR="00F031B9" w:rsidRPr="00AD1163">
        <w:rPr>
          <w:rFonts w:eastAsia="STKaiti"/>
          <w:lang w:val="en-US" w:eastAsia="zh-CN"/>
        </w:rPr>
        <w:t>第</w:t>
      </w:r>
      <w:r w:rsidR="00F031B9" w:rsidRPr="00AD1163">
        <w:rPr>
          <w:rFonts w:eastAsia="STKaiti"/>
          <w:b/>
          <w:bCs/>
          <w:lang w:val="en-US" w:eastAsia="zh-CN"/>
        </w:rPr>
        <w:t>55</w:t>
      </w:r>
      <w:r w:rsidR="00F031B9" w:rsidRPr="00AD1163">
        <w:rPr>
          <w:rFonts w:eastAsia="STKaiti"/>
          <w:lang w:val="en-US" w:eastAsia="zh-CN"/>
        </w:rPr>
        <w:t>号决议</w:t>
      </w:r>
      <w:r w:rsidR="00F031B9" w:rsidRPr="00BB5D7B">
        <w:rPr>
          <w:rFonts w:eastAsia="STKaiti"/>
          <w:b/>
          <w:bCs/>
          <w:lang w:val="en-US" w:eastAsia="zh-CN"/>
        </w:rPr>
        <w:t>（</w:t>
      </w:r>
      <w:r w:rsidR="00F031B9" w:rsidRPr="00BB5D7B">
        <w:rPr>
          <w:rFonts w:eastAsia="STKaiti"/>
          <w:b/>
          <w:bCs/>
          <w:lang w:val="en-US" w:eastAsia="zh-CN"/>
        </w:rPr>
        <w:t>WRC-12</w:t>
      </w:r>
      <w:r w:rsidR="00F031B9" w:rsidRPr="00BB5D7B">
        <w:rPr>
          <w:rFonts w:eastAsia="STKaiti"/>
          <w:b/>
          <w:bCs/>
          <w:lang w:val="en-US" w:eastAsia="zh-CN"/>
        </w:rPr>
        <w:t>，修订版）</w:t>
      </w:r>
      <w:r w:rsidR="00F031B9" w:rsidRPr="00AD1163">
        <w:rPr>
          <w:rFonts w:eastAsia="STKaiti"/>
          <w:lang w:val="en-US" w:eastAsia="zh-CN"/>
        </w:rPr>
        <w:t>涉及以电子方式提交卫星网络、地球站和射电天文电台的通知单</w:t>
      </w:r>
      <w:r w:rsidR="00F031B9" w:rsidRPr="00AD1163">
        <w:rPr>
          <w:lang w:val="en-US" w:eastAsia="zh-CN"/>
        </w:rPr>
        <w:t>：除根据第</w:t>
      </w:r>
      <w:r w:rsidR="00F031B9" w:rsidRPr="00AD1163">
        <w:rPr>
          <w:b/>
          <w:bCs/>
          <w:lang w:val="en-US" w:eastAsia="zh-CN"/>
        </w:rPr>
        <w:t>9.3</w:t>
      </w:r>
      <w:r w:rsidR="00F031B9" w:rsidRPr="00AD1163">
        <w:rPr>
          <w:lang w:val="en-US" w:eastAsia="zh-CN"/>
        </w:rPr>
        <w:t>和</w:t>
      </w:r>
      <w:r w:rsidR="00F031B9" w:rsidRPr="00AD1163">
        <w:rPr>
          <w:b/>
          <w:bCs/>
          <w:lang w:val="en-US" w:eastAsia="zh-CN"/>
        </w:rPr>
        <w:t>9.52</w:t>
      </w:r>
      <w:r w:rsidR="00F031B9" w:rsidRPr="00AD1163">
        <w:rPr>
          <w:lang w:val="en-US" w:eastAsia="zh-CN"/>
        </w:rPr>
        <w:t>款，就第</w:t>
      </w:r>
      <w:r w:rsidR="00F031B9" w:rsidRPr="00BB5D7B">
        <w:rPr>
          <w:b/>
          <w:bCs/>
          <w:lang w:val="en-US" w:eastAsia="zh-CN"/>
        </w:rPr>
        <w:t>9</w:t>
      </w:r>
      <w:r w:rsidR="00F031B9" w:rsidRPr="00AD1163">
        <w:rPr>
          <w:lang w:val="en-US" w:eastAsia="zh-CN"/>
        </w:rPr>
        <w:t>条第</w:t>
      </w:r>
      <w:r w:rsidR="00F031B9" w:rsidRPr="00AD1163">
        <w:rPr>
          <w:b/>
          <w:bCs/>
          <w:lang w:val="en-US" w:eastAsia="zh-CN"/>
        </w:rPr>
        <w:t>9.11</w:t>
      </w:r>
      <w:r w:rsidR="00F031B9" w:rsidRPr="00AD1163">
        <w:rPr>
          <w:lang w:val="en-US" w:eastAsia="zh-CN"/>
        </w:rPr>
        <w:t>至</w:t>
      </w:r>
      <w:r w:rsidR="00F031B9" w:rsidRPr="00AD1163">
        <w:rPr>
          <w:b/>
          <w:bCs/>
          <w:lang w:val="en-US" w:eastAsia="zh-CN"/>
        </w:rPr>
        <w:t>9.14</w:t>
      </w:r>
      <w:r w:rsidR="00F031B9" w:rsidRPr="00AD1163">
        <w:rPr>
          <w:lang w:val="en-US" w:eastAsia="zh-CN"/>
        </w:rPr>
        <w:t>和</w:t>
      </w:r>
      <w:r w:rsidR="00F031B9" w:rsidRPr="00AD1163">
        <w:rPr>
          <w:b/>
          <w:bCs/>
          <w:lang w:val="en-US" w:eastAsia="zh-CN"/>
        </w:rPr>
        <w:t>9.21</w:t>
      </w:r>
      <w:r w:rsidR="00F031B9" w:rsidRPr="00AD1163">
        <w:rPr>
          <w:lang w:val="en-US" w:eastAsia="zh-CN"/>
        </w:rPr>
        <w:t>款或根据附录</w:t>
      </w:r>
      <w:r w:rsidR="00F031B9" w:rsidRPr="00AD1163">
        <w:rPr>
          <w:b/>
          <w:bCs/>
          <w:lang w:val="en-US" w:eastAsia="zh-CN"/>
        </w:rPr>
        <w:t>30</w:t>
      </w:r>
      <w:r w:rsidR="00F031B9" w:rsidRPr="00AD1163">
        <w:rPr>
          <w:lang w:val="en-US" w:eastAsia="zh-CN"/>
        </w:rPr>
        <w:t>和</w:t>
      </w:r>
      <w:r w:rsidR="00F031B9" w:rsidRPr="00AD1163">
        <w:rPr>
          <w:b/>
          <w:bCs/>
          <w:lang w:val="en-US" w:eastAsia="zh-CN"/>
        </w:rPr>
        <w:t>30A</w:t>
      </w:r>
      <w:r w:rsidR="00F031B9" w:rsidRPr="00AD1163">
        <w:rPr>
          <w:lang w:val="en-US" w:eastAsia="zh-CN"/>
        </w:rPr>
        <w:t>第</w:t>
      </w:r>
      <w:r w:rsidR="00F031B9" w:rsidRPr="00AD1163">
        <w:rPr>
          <w:lang w:val="en-US" w:eastAsia="zh-CN"/>
        </w:rPr>
        <w:t>4.1.7</w:t>
      </w:r>
      <w:r w:rsidR="00F031B9" w:rsidRPr="00AD1163">
        <w:rPr>
          <w:lang w:val="en-US" w:eastAsia="zh-CN"/>
        </w:rPr>
        <w:t>、</w:t>
      </w:r>
      <w:r w:rsidR="00F031B9" w:rsidRPr="00AD1163">
        <w:rPr>
          <w:lang w:val="en-US" w:eastAsia="zh-CN"/>
        </w:rPr>
        <w:t>4.1.9</w:t>
      </w:r>
      <w:r w:rsidR="00F031B9" w:rsidRPr="00AD1163">
        <w:rPr>
          <w:lang w:val="en-US" w:eastAsia="zh-CN"/>
        </w:rPr>
        <w:t>、</w:t>
      </w:r>
      <w:r w:rsidR="00F031B9" w:rsidRPr="00AD1163">
        <w:rPr>
          <w:lang w:val="en-US" w:eastAsia="zh-CN"/>
        </w:rPr>
        <w:t>4.1.10</w:t>
      </w:r>
      <w:r w:rsidR="00F031B9" w:rsidRPr="00AD1163">
        <w:rPr>
          <w:lang w:val="en-US" w:eastAsia="zh-CN"/>
        </w:rPr>
        <w:t>、</w:t>
      </w:r>
      <w:r w:rsidR="00F031B9" w:rsidRPr="00AD1163">
        <w:rPr>
          <w:lang w:val="en-US" w:eastAsia="zh-CN"/>
        </w:rPr>
        <w:t>4.2.10</w:t>
      </w:r>
      <w:r w:rsidR="00F031B9" w:rsidRPr="00AD1163">
        <w:rPr>
          <w:lang w:val="en-US" w:eastAsia="zh-CN"/>
        </w:rPr>
        <w:t>、</w:t>
      </w:r>
      <w:r w:rsidR="00F031B9" w:rsidRPr="00AD1163">
        <w:rPr>
          <w:lang w:val="en-US" w:eastAsia="zh-CN"/>
        </w:rPr>
        <w:t>4.2.13</w:t>
      </w:r>
      <w:r w:rsidR="00F031B9" w:rsidRPr="00AD1163">
        <w:rPr>
          <w:lang w:val="en-US" w:eastAsia="zh-CN"/>
        </w:rPr>
        <w:t>或</w:t>
      </w:r>
      <w:r w:rsidR="00F031B9" w:rsidRPr="00AD1163">
        <w:rPr>
          <w:lang w:val="en-US" w:eastAsia="zh-CN"/>
        </w:rPr>
        <w:t>4.2.14</w:t>
      </w:r>
      <w:r w:rsidR="00F031B9" w:rsidRPr="00AD1163">
        <w:rPr>
          <w:lang w:val="en-US" w:eastAsia="zh-CN"/>
        </w:rPr>
        <w:t>段依照第</w:t>
      </w:r>
      <w:r w:rsidR="00F031B9" w:rsidRPr="00AD1163">
        <w:rPr>
          <w:lang w:val="en-US" w:eastAsia="zh-CN"/>
        </w:rPr>
        <w:t>4</w:t>
      </w:r>
      <w:r w:rsidR="00F031B9" w:rsidRPr="00AD1163">
        <w:rPr>
          <w:lang w:val="en-US" w:eastAsia="zh-CN"/>
        </w:rPr>
        <w:t>条</w:t>
      </w:r>
      <w:r w:rsidR="00CE11D3" w:rsidRPr="00AD1163">
        <w:rPr>
          <w:lang w:val="en-US" w:eastAsia="zh-CN"/>
        </w:rPr>
        <w:t>修改</w:t>
      </w:r>
      <w:r w:rsidR="00CE11D3" w:rsidRPr="00AD1163">
        <w:rPr>
          <w:lang w:val="en-US" w:eastAsia="zh-CN"/>
        </w:rPr>
        <w:t>2</w:t>
      </w:r>
      <w:r w:rsidR="00CE11D3" w:rsidRPr="00AD1163">
        <w:rPr>
          <w:lang w:val="en-US" w:eastAsia="zh-CN"/>
        </w:rPr>
        <w:t>区规划或</w:t>
      </w:r>
      <w:r w:rsidR="00CE11D3" w:rsidRPr="00AD1163">
        <w:rPr>
          <w:lang w:val="en-US" w:eastAsia="zh-CN"/>
        </w:rPr>
        <w:t>1</w:t>
      </w:r>
      <w:r w:rsidR="00CE11D3" w:rsidRPr="00AD1163">
        <w:rPr>
          <w:lang w:val="en-US" w:eastAsia="zh-CN"/>
        </w:rPr>
        <w:t>区和</w:t>
      </w:r>
      <w:r w:rsidR="00CE11D3" w:rsidRPr="00AD1163">
        <w:rPr>
          <w:lang w:val="en-US" w:eastAsia="zh-CN"/>
        </w:rPr>
        <w:t>3</w:t>
      </w:r>
      <w:r w:rsidR="00CE11D3" w:rsidRPr="00AD1163">
        <w:rPr>
          <w:lang w:val="en-US" w:eastAsia="zh-CN"/>
        </w:rPr>
        <w:t>区的附加使用以及依据这些附录第</w:t>
      </w:r>
      <w:r w:rsidR="00CE11D3" w:rsidRPr="00AD1163">
        <w:rPr>
          <w:lang w:val="en-US" w:eastAsia="zh-CN"/>
        </w:rPr>
        <w:t>2A</w:t>
      </w:r>
      <w:r w:rsidR="00CE11D3" w:rsidRPr="00AD1163">
        <w:rPr>
          <w:lang w:val="en-US" w:eastAsia="zh-CN"/>
        </w:rPr>
        <w:t>条的规定使用保护带，向无线电通信局提交</w:t>
      </w:r>
      <w:r w:rsidR="00B96978">
        <w:rPr>
          <w:rFonts w:hint="eastAsia"/>
          <w:lang w:val="en-US" w:eastAsia="zh-CN"/>
        </w:rPr>
        <w:t>的所有卫星网络通知和</w:t>
      </w:r>
      <w:r w:rsidR="00CE11D3" w:rsidRPr="00AD1163">
        <w:rPr>
          <w:lang w:val="en-US" w:eastAsia="zh-CN"/>
        </w:rPr>
        <w:t>意见</w:t>
      </w:r>
      <w:r w:rsidR="00CE11D3" w:rsidRPr="00AD1163">
        <w:rPr>
          <w:lang w:val="en-US" w:eastAsia="zh-CN"/>
        </w:rPr>
        <w:t>/</w:t>
      </w:r>
      <w:r w:rsidR="00CE11D3" w:rsidRPr="00AD1163">
        <w:rPr>
          <w:lang w:val="en-US" w:eastAsia="zh-CN"/>
        </w:rPr>
        <w:t>反对意见外，自</w:t>
      </w:r>
      <w:r w:rsidR="00CE11D3" w:rsidRPr="00AD1163">
        <w:rPr>
          <w:lang w:val="en-US" w:eastAsia="zh-CN"/>
        </w:rPr>
        <w:t>2012</w:t>
      </w:r>
      <w:r w:rsidR="00CE11D3" w:rsidRPr="00AD1163">
        <w:rPr>
          <w:lang w:val="en-US" w:eastAsia="zh-CN"/>
        </w:rPr>
        <w:t>年</w:t>
      </w:r>
      <w:r w:rsidR="00CE11D3" w:rsidRPr="00AD1163">
        <w:rPr>
          <w:lang w:val="en-US" w:eastAsia="zh-CN"/>
        </w:rPr>
        <w:t>2</w:t>
      </w:r>
      <w:r w:rsidR="00CE11D3" w:rsidRPr="00AD1163">
        <w:rPr>
          <w:lang w:val="en-US" w:eastAsia="zh-CN"/>
        </w:rPr>
        <w:t>月</w:t>
      </w:r>
      <w:r w:rsidR="00CE11D3" w:rsidRPr="00AD1163">
        <w:rPr>
          <w:lang w:val="en-US" w:eastAsia="zh-CN"/>
        </w:rPr>
        <w:t>18</w:t>
      </w:r>
      <w:r w:rsidR="00CE11D3" w:rsidRPr="00AD1163">
        <w:rPr>
          <w:lang w:val="en-US" w:eastAsia="zh-CN"/>
        </w:rPr>
        <w:t>日起，所有根据第</w:t>
      </w:r>
      <w:r w:rsidR="00CE11D3" w:rsidRPr="00BB5D7B">
        <w:rPr>
          <w:b/>
          <w:bCs/>
          <w:lang w:val="en-US" w:eastAsia="zh-CN"/>
        </w:rPr>
        <w:t>9</w:t>
      </w:r>
      <w:r w:rsidR="00CE11D3" w:rsidRPr="00AD1163">
        <w:rPr>
          <w:lang w:val="en-US" w:eastAsia="zh-CN"/>
        </w:rPr>
        <w:t>条第</w:t>
      </w:r>
      <w:r w:rsidR="00CE11D3" w:rsidRPr="00BB5D7B">
        <w:rPr>
          <w:b/>
          <w:bCs/>
          <w:lang w:val="en-US" w:eastAsia="zh-CN"/>
        </w:rPr>
        <w:t>9.41</w:t>
      </w:r>
      <w:r w:rsidR="00B96978">
        <w:rPr>
          <w:lang w:val="en-US" w:eastAsia="zh-CN"/>
        </w:rPr>
        <w:t>款向无线电通信局提交的列入或排除请求，均</w:t>
      </w:r>
      <w:r w:rsidR="00B96978">
        <w:rPr>
          <w:rFonts w:hint="eastAsia"/>
          <w:lang w:val="en-US" w:eastAsia="zh-CN"/>
        </w:rPr>
        <w:t>亦须</w:t>
      </w:r>
      <w:r w:rsidR="00CE11D3" w:rsidRPr="00AD1163">
        <w:rPr>
          <w:lang w:val="en-US" w:eastAsia="zh-CN"/>
        </w:rPr>
        <w:t>以符合无线电通信局电子通知单生成软件的电子格式提交；</w:t>
      </w:r>
    </w:p>
    <w:p w:rsidR="00CE11D3" w:rsidRPr="00AD1163" w:rsidRDefault="009F715A" w:rsidP="009E55EB">
      <w:pPr>
        <w:rPr>
          <w:lang w:val="en-US" w:eastAsia="zh-CN"/>
        </w:rPr>
      </w:pPr>
      <w:r>
        <w:rPr>
          <w:rFonts w:hint="eastAsia"/>
          <w:lang w:val="en-US" w:eastAsia="zh-CN"/>
        </w:rPr>
        <w:t>6</w:t>
      </w:r>
      <w:r w:rsidR="00CE11D3" w:rsidRPr="00AD1163">
        <w:rPr>
          <w:lang w:val="en-US" w:eastAsia="zh-CN"/>
        </w:rPr>
        <w:t>.2</w:t>
      </w:r>
      <w:r w:rsidR="00CE11D3" w:rsidRPr="00AD1163">
        <w:rPr>
          <w:lang w:val="en-US" w:eastAsia="zh-CN"/>
        </w:rPr>
        <w:tab/>
      </w:r>
      <w:r w:rsidR="00CE11D3" w:rsidRPr="00AD1163">
        <w:rPr>
          <w:rFonts w:eastAsia="STKaiti"/>
          <w:lang w:val="en-US" w:eastAsia="zh-CN"/>
        </w:rPr>
        <w:t>第</w:t>
      </w:r>
      <w:r w:rsidR="00CE11D3" w:rsidRPr="00AD1163">
        <w:rPr>
          <w:rFonts w:eastAsia="STKaiti"/>
          <w:b/>
          <w:bCs/>
          <w:lang w:val="en-US" w:eastAsia="zh-CN"/>
        </w:rPr>
        <w:t>150</w:t>
      </w:r>
      <w:r w:rsidR="00CE11D3" w:rsidRPr="00AD1163">
        <w:rPr>
          <w:rFonts w:eastAsia="STKaiti"/>
          <w:lang w:val="en-US" w:eastAsia="zh-CN"/>
        </w:rPr>
        <w:t>号决议</w:t>
      </w:r>
      <w:r w:rsidR="00CE11D3" w:rsidRPr="00AD1163">
        <w:rPr>
          <w:rFonts w:eastAsia="STKaiti"/>
          <w:b/>
          <w:bCs/>
          <w:lang w:val="en-US" w:eastAsia="zh-CN"/>
        </w:rPr>
        <w:t>（</w:t>
      </w:r>
      <w:r w:rsidR="00CE11D3" w:rsidRPr="00AD1163">
        <w:rPr>
          <w:rFonts w:eastAsia="STKaiti"/>
          <w:b/>
          <w:bCs/>
          <w:lang w:val="en-US" w:eastAsia="zh-CN"/>
        </w:rPr>
        <w:t>WRC-12</w:t>
      </w:r>
      <w:r w:rsidR="00CE11D3" w:rsidRPr="00AD1163">
        <w:rPr>
          <w:rFonts w:eastAsia="STKaiti"/>
          <w:b/>
          <w:bCs/>
          <w:lang w:val="en-US" w:eastAsia="zh-CN"/>
        </w:rPr>
        <w:t>）</w:t>
      </w:r>
      <w:r w:rsidR="00CE11D3" w:rsidRPr="00AD1163">
        <w:rPr>
          <w:rFonts w:eastAsia="STKaiti"/>
          <w:lang w:val="en-US" w:eastAsia="zh-CN"/>
        </w:rPr>
        <w:t>涉及固定业务高空平台电台（</w:t>
      </w:r>
      <w:r w:rsidR="00CE11D3" w:rsidRPr="00AD1163">
        <w:rPr>
          <w:rFonts w:eastAsia="STKaiti"/>
          <w:lang w:val="en-US" w:eastAsia="zh-CN"/>
        </w:rPr>
        <w:t>HAPS</w:t>
      </w:r>
      <w:r w:rsidR="00CE11D3" w:rsidRPr="00AD1163">
        <w:rPr>
          <w:rFonts w:eastAsia="STKaiti"/>
          <w:lang w:val="en-US" w:eastAsia="zh-CN"/>
        </w:rPr>
        <w:t>）的关口站链路对</w:t>
      </w:r>
      <w:r w:rsidR="00CE11D3" w:rsidRPr="00AD1163">
        <w:rPr>
          <w:rFonts w:eastAsia="STKaiti"/>
          <w:lang w:val="en-US" w:eastAsia="zh-CN"/>
        </w:rPr>
        <w:t>6 440-6 520 MHz</w:t>
      </w:r>
      <w:r w:rsidR="00CE11D3" w:rsidRPr="00AD1163">
        <w:rPr>
          <w:rFonts w:eastAsia="STKaiti"/>
          <w:lang w:val="en-US" w:eastAsia="zh-CN"/>
        </w:rPr>
        <w:t>和</w:t>
      </w:r>
      <w:r w:rsidR="00CE11D3" w:rsidRPr="00AD1163">
        <w:rPr>
          <w:rFonts w:eastAsia="STKaiti"/>
          <w:lang w:val="en-US" w:eastAsia="zh-CN"/>
        </w:rPr>
        <w:t>6 560-6 640 MHZ</w:t>
      </w:r>
      <w:r w:rsidR="00CE11D3" w:rsidRPr="00AD1163">
        <w:rPr>
          <w:rFonts w:eastAsia="STKaiti"/>
          <w:lang w:val="en-US" w:eastAsia="zh-CN"/>
        </w:rPr>
        <w:t>频段的使用</w:t>
      </w:r>
      <w:r w:rsidR="00CE11D3" w:rsidRPr="00AD1163">
        <w:rPr>
          <w:lang w:val="en-US" w:eastAsia="zh-CN"/>
        </w:rPr>
        <w:t>：</w:t>
      </w:r>
      <w:r w:rsidR="00CE11D3" w:rsidRPr="00AD1163">
        <w:rPr>
          <w:lang w:val="en-US" w:eastAsia="zh-CN"/>
        </w:rPr>
        <w:t>WRC-12</w:t>
      </w:r>
      <w:r w:rsidR="00CE11D3" w:rsidRPr="00AD1163">
        <w:rPr>
          <w:lang w:val="en-US" w:eastAsia="zh-CN"/>
        </w:rPr>
        <w:t>对这些系统施加了若干限制，使其通知和在《国际频率登记总表》（</w:t>
      </w:r>
      <w:r w:rsidR="00CE11D3" w:rsidRPr="00AD1163">
        <w:rPr>
          <w:lang w:val="en-US" w:eastAsia="zh-CN"/>
        </w:rPr>
        <w:t>MIFR</w:t>
      </w:r>
      <w:r w:rsidR="00CE11D3" w:rsidRPr="00AD1163">
        <w:rPr>
          <w:lang w:val="en-US" w:eastAsia="zh-CN"/>
        </w:rPr>
        <w:t>）中的登记变为强制性，并请各主管部门和无线电通信局确定通知和审查</w:t>
      </w:r>
      <w:r w:rsidR="00CE11D3" w:rsidRPr="00AD1163">
        <w:rPr>
          <w:lang w:val="en-US" w:eastAsia="zh-CN"/>
        </w:rPr>
        <w:t>HAPS</w:t>
      </w:r>
      <w:r w:rsidR="00CE11D3" w:rsidRPr="00AD1163">
        <w:rPr>
          <w:lang w:val="en-US" w:eastAsia="zh-CN"/>
        </w:rPr>
        <w:t>频率指配所需的数据项目。无线电通信局希望告知国际电联成员，目前该局正在审议通知所需的相关数据项目。一旦完成这一活动，将按照该决议要求与相关主管部门进行协调；</w:t>
      </w:r>
    </w:p>
    <w:p w:rsidR="00CE11D3" w:rsidRPr="00AD1163" w:rsidRDefault="009F715A" w:rsidP="00BB5D7B">
      <w:pPr>
        <w:rPr>
          <w:lang w:val="en-US" w:eastAsia="zh-CN"/>
        </w:rPr>
      </w:pPr>
      <w:r>
        <w:rPr>
          <w:rFonts w:hint="eastAsia"/>
          <w:lang w:val="en-US" w:eastAsia="zh-CN"/>
        </w:rPr>
        <w:t>6</w:t>
      </w:r>
      <w:r w:rsidR="00CE11D3" w:rsidRPr="00AD1163">
        <w:rPr>
          <w:lang w:val="en-US" w:eastAsia="zh-CN"/>
        </w:rPr>
        <w:t>.3</w:t>
      </w:r>
      <w:r w:rsidR="00CE11D3" w:rsidRPr="00AD1163">
        <w:rPr>
          <w:lang w:val="en-US" w:eastAsia="zh-CN"/>
        </w:rPr>
        <w:tab/>
      </w:r>
      <w:r w:rsidR="00CE11D3" w:rsidRPr="00AD1163">
        <w:rPr>
          <w:rFonts w:eastAsia="STKaiti"/>
          <w:lang w:val="en-US" w:eastAsia="zh-CN"/>
        </w:rPr>
        <w:t>第</w:t>
      </w:r>
      <w:r w:rsidR="00CE11D3" w:rsidRPr="00AD1163">
        <w:rPr>
          <w:rFonts w:eastAsia="STKaiti"/>
          <w:b/>
          <w:bCs/>
          <w:lang w:val="en-US" w:eastAsia="zh-CN"/>
        </w:rPr>
        <w:t>417</w:t>
      </w:r>
      <w:r w:rsidR="00CE11D3" w:rsidRPr="00AD1163">
        <w:rPr>
          <w:rFonts w:eastAsia="STKaiti"/>
          <w:lang w:val="en-US" w:eastAsia="zh-CN"/>
        </w:rPr>
        <w:t>号决议</w:t>
      </w:r>
      <w:r w:rsidR="00CE11D3" w:rsidRPr="00AD1163">
        <w:rPr>
          <w:rFonts w:eastAsia="STKaiti"/>
          <w:b/>
          <w:bCs/>
          <w:lang w:val="en-US" w:eastAsia="zh-CN"/>
        </w:rPr>
        <w:t>（</w:t>
      </w:r>
      <w:r w:rsidR="00CE11D3" w:rsidRPr="00AD1163">
        <w:rPr>
          <w:rFonts w:eastAsia="STKaiti"/>
          <w:b/>
          <w:bCs/>
          <w:lang w:val="en-US" w:eastAsia="zh-CN"/>
        </w:rPr>
        <w:t>WRC-12</w:t>
      </w:r>
      <w:r w:rsidR="00CE11D3" w:rsidRPr="00AD1163">
        <w:rPr>
          <w:rFonts w:eastAsia="STKaiti"/>
          <w:b/>
          <w:bCs/>
          <w:lang w:val="en-US" w:eastAsia="zh-CN"/>
        </w:rPr>
        <w:t>，修订版）</w:t>
      </w:r>
      <w:r w:rsidR="00D973CB" w:rsidRPr="00E11D5F">
        <w:rPr>
          <w:rFonts w:eastAsia="STKaiti" w:hint="eastAsia"/>
          <w:lang w:val="en-US" w:eastAsia="zh-CN"/>
        </w:rPr>
        <w:t>涉及</w:t>
      </w:r>
      <w:r w:rsidR="00CE11D3" w:rsidRPr="00AD1163">
        <w:rPr>
          <w:rFonts w:eastAsia="STKaiti"/>
          <w:lang w:val="en-US" w:eastAsia="zh-CN"/>
        </w:rPr>
        <w:t>航空移动（</w:t>
      </w:r>
      <w:r w:rsidR="00CE11D3" w:rsidRPr="00AD1163">
        <w:rPr>
          <w:rFonts w:eastAsia="STKaiti"/>
          <w:lang w:val="en-US" w:eastAsia="zh-CN"/>
        </w:rPr>
        <w:t>R</w:t>
      </w:r>
      <w:r w:rsidR="00CE11D3" w:rsidRPr="00AD1163">
        <w:rPr>
          <w:rFonts w:eastAsia="STKaiti"/>
          <w:lang w:val="en-US" w:eastAsia="zh-CN"/>
        </w:rPr>
        <w:t>）业务对</w:t>
      </w:r>
      <w:r w:rsidR="00CE11D3" w:rsidRPr="00AD1163">
        <w:rPr>
          <w:rFonts w:eastAsia="STKaiti"/>
          <w:lang w:val="en-US" w:eastAsia="zh-CN"/>
        </w:rPr>
        <w:t>960-1 164 MHz</w:t>
      </w:r>
      <w:r w:rsidR="00CE11D3" w:rsidRPr="00AD1163">
        <w:rPr>
          <w:rFonts w:eastAsia="STKaiti"/>
          <w:lang w:val="en-US" w:eastAsia="zh-CN"/>
        </w:rPr>
        <w:t>频段的使用</w:t>
      </w:r>
      <w:r w:rsidR="00CE11D3" w:rsidRPr="00AD1163">
        <w:rPr>
          <w:lang w:val="en-US" w:eastAsia="zh-CN"/>
        </w:rPr>
        <w:t>：</w:t>
      </w:r>
      <w:r w:rsidR="00CE11D3" w:rsidRPr="00AD1163">
        <w:rPr>
          <w:lang w:val="en-US" w:eastAsia="zh-CN"/>
        </w:rPr>
        <w:t>WRC-12</w:t>
      </w:r>
      <w:r w:rsidR="00CE11D3" w:rsidRPr="00AD1163">
        <w:rPr>
          <w:lang w:val="en-US" w:eastAsia="zh-CN"/>
        </w:rPr>
        <w:t>对使用航空移动（</w:t>
      </w:r>
      <w:r w:rsidR="00CE11D3" w:rsidRPr="00AD1163">
        <w:rPr>
          <w:lang w:val="en-US" w:eastAsia="zh-CN"/>
        </w:rPr>
        <w:t>R</w:t>
      </w:r>
      <w:r w:rsidR="00CE11D3" w:rsidRPr="00AD1163">
        <w:rPr>
          <w:lang w:val="en-US" w:eastAsia="zh-CN"/>
        </w:rPr>
        <w:t>）业务规定了若干新条件，其中包括要求与</w:t>
      </w:r>
      <w:r w:rsidR="00CE11D3" w:rsidRPr="00AD1163">
        <w:rPr>
          <w:rFonts w:eastAsia="STKaiti"/>
          <w:lang w:val="en-US" w:eastAsia="zh-CN"/>
        </w:rPr>
        <w:t>做出决议</w:t>
      </w:r>
      <w:r w:rsidR="00CE11D3" w:rsidRPr="00AD1163">
        <w:rPr>
          <w:lang w:val="en-US" w:eastAsia="zh-CN"/>
        </w:rPr>
        <w:t>2</w:t>
      </w:r>
      <w:r w:rsidR="00CE11D3" w:rsidRPr="00AD1163">
        <w:rPr>
          <w:lang w:val="en-US" w:eastAsia="zh-CN"/>
        </w:rPr>
        <w:t>段落中列出的国家的</w:t>
      </w:r>
      <w:r w:rsidR="00CE11D3" w:rsidRPr="00AD1163">
        <w:rPr>
          <w:lang w:val="en-US" w:eastAsia="zh-CN"/>
        </w:rPr>
        <w:t>ARNS</w:t>
      </w:r>
      <w:r w:rsidR="00CE11D3" w:rsidRPr="00AD1163">
        <w:rPr>
          <w:lang w:val="en-US" w:eastAsia="zh-CN"/>
        </w:rPr>
        <w:t>系统进行协调，并在</w:t>
      </w:r>
      <w:r w:rsidR="00CE11D3" w:rsidRPr="00AD1163">
        <w:rPr>
          <w:rFonts w:eastAsia="STKaiti"/>
          <w:lang w:val="en-US" w:eastAsia="zh-CN"/>
        </w:rPr>
        <w:t>做出决议</w:t>
      </w:r>
      <w:r w:rsidR="00CE11D3" w:rsidRPr="00AD1163">
        <w:rPr>
          <w:lang w:val="en-US" w:eastAsia="zh-CN"/>
        </w:rPr>
        <w:t>6</w:t>
      </w:r>
      <w:r w:rsidR="00CE11D3" w:rsidRPr="00AD1163">
        <w:rPr>
          <w:lang w:val="en-US" w:eastAsia="zh-CN"/>
        </w:rPr>
        <w:t>一段规定了新的功率限值，以保护在相邻较高频段运行的</w:t>
      </w:r>
      <w:r w:rsidR="00CE11D3" w:rsidRPr="00AD1163">
        <w:rPr>
          <w:lang w:val="en-US" w:eastAsia="zh-CN"/>
        </w:rPr>
        <w:t>RNSS</w:t>
      </w:r>
      <w:r w:rsidR="00CE11D3" w:rsidRPr="00AD1163">
        <w:rPr>
          <w:lang w:val="en-US" w:eastAsia="zh-CN"/>
        </w:rPr>
        <w:t>系统。这些新要求将于</w:t>
      </w:r>
      <w:r w:rsidR="00CE11D3" w:rsidRPr="00AD1163">
        <w:rPr>
          <w:lang w:val="en-US" w:eastAsia="zh-CN"/>
        </w:rPr>
        <w:t>2013</w:t>
      </w:r>
      <w:r w:rsidR="00CE11D3" w:rsidRPr="00AD1163">
        <w:rPr>
          <w:lang w:val="en-US" w:eastAsia="zh-CN"/>
        </w:rPr>
        <w:t>年</w:t>
      </w:r>
      <w:r w:rsidR="00CE11D3" w:rsidRPr="00AD1163">
        <w:rPr>
          <w:lang w:val="en-US" w:eastAsia="zh-CN"/>
        </w:rPr>
        <w:t>1</w:t>
      </w:r>
      <w:r w:rsidR="00CE11D3" w:rsidRPr="00AD1163">
        <w:rPr>
          <w:lang w:val="en-US" w:eastAsia="zh-CN"/>
        </w:rPr>
        <w:t>月</w:t>
      </w:r>
      <w:r w:rsidR="00CE11D3" w:rsidRPr="00AD1163">
        <w:rPr>
          <w:lang w:val="en-US" w:eastAsia="zh-CN"/>
        </w:rPr>
        <w:t>1</w:t>
      </w:r>
      <w:r w:rsidR="00CE11D3" w:rsidRPr="00AD1163">
        <w:rPr>
          <w:lang w:val="en-US" w:eastAsia="zh-CN"/>
        </w:rPr>
        <w:t>日生效，因为使该决议成为必须强制实施决议的第</w:t>
      </w:r>
      <w:r w:rsidR="00CE11D3" w:rsidRPr="00AD1163">
        <w:rPr>
          <w:b/>
          <w:bCs/>
          <w:lang w:val="en-US" w:eastAsia="zh-CN"/>
        </w:rPr>
        <w:t>5.327A</w:t>
      </w:r>
      <w:r w:rsidR="00CE11D3" w:rsidRPr="00AD1163">
        <w:rPr>
          <w:lang w:val="en-US" w:eastAsia="zh-CN"/>
        </w:rPr>
        <w:t>款将于上述日期生效。现提请各主管部门注意这样一个事实，即，按照该决议</w:t>
      </w:r>
      <w:r w:rsidR="00CE11D3" w:rsidRPr="00AD1163">
        <w:rPr>
          <w:rFonts w:eastAsia="STKaiti"/>
          <w:lang w:val="en-US" w:eastAsia="zh-CN"/>
        </w:rPr>
        <w:t>做出决议</w:t>
      </w:r>
      <w:r w:rsidR="00CE11D3" w:rsidRPr="00AD1163">
        <w:rPr>
          <w:lang w:val="en-US" w:eastAsia="zh-CN"/>
        </w:rPr>
        <w:t>2</w:t>
      </w:r>
      <w:r w:rsidR="00CE11D3" w:rsidRPr="00AD1163">
        <w:rPr>
          <w:lang w:val="en-US" w:eastAsia="zh-CN"/>
        </w:rPr>
        <w:t>段落进行的协调应由主管部门在双边基础上进行，无线电通信局不予参加。在该决议</w:t>
      </w:r>
      <w:r w:rsidR="00CE11D3" w:rsidRPr="00AD1163">
        <w:rPr>
          <w:rFonts w:eastAsia="STKaiti"/>
          <w:lang w:val="en-US" w:eastAsia="zh-CN"/>
        </w:rPr>
        <w:t>做出决议</w:t>
      </w:r>
      <w:r w:rsidR="00CE11D3" w:rsidRPr="00AD1163">
        <w:rPr>
          <w:lang w:val="en-US" w:eastAsia="zh-CN"/>
        </w:rPr>
        <w:t>6</w:t>
      </w:r>
      <w:r w:rsidR="00CE11D3" w:rsidRPr="00AD1163">
        <w:rPr>
          <w:lang w:val="en-US" w:eastAsia="zh-CN"/>
        </w:rPr>
        <w:t>段落规定的</w:t>
      </w:r>
      <w:r w:rsidR="00195539" w:rsidRPr="00AD1163">
        <w:rPr>
          <w:lang w:val="en-US" w:eastAsia="zh-CN"/>
        </w:rPr>
        <w:t>功率限值方面，无线电通信局将仅检查</w:t>
      </w:r>
      <w:r w:rsidR="00195539" w:rsidRPr="00AD1163">
        <w:rPr>
          <w:lang w:val="en-US" w:eastAsia="zh-CN"/>
        </w:rPr>
        <w:t>960</w:t>
      </w:r>
      <w:r w:rsidR="00BB5D7B">
        <w:rPr>
          <w:rFonts w:hint="eastAsia"/>
          <w:lang w:val="en-US" w:eastAsia="zh-CN"/>
        </w:rPr>
        <w:noBreakHyphen/>
      </w:r>
      <w:r w:rsidR="00BB5D7B">
        <w:rPr>
          <w:lang w:val="en-US" w:eastAsia="zh-CN"/>
        </w:rPr>
        <w:br/>
      </w:r>
      <w:r w:rsidR="00195539" w:rsidRPr="00AD1163">
        <w:rPr>
          <w:lang w:val="en-US" w:eastAsia="zh-CN"/>
        </w:rPr>
        <w:lastRenderedPageBreak/>
        <w:t>1 164</w:t>
      </w:r>
      <w:r w:rsidR="00BB5D7B">
        <w:rPr>
          <w:lang w:val="en-US" w:eastAsia="zh-CN"/>
        </w:rPr>
        <w:t> </w:t>
      </w:r>
      <w:r w:rsidR="00195539" w:rsidRPr="00AD1163">
        <w:rPr>
          <w:lang w:val="en-US" w:eastAsia="zh-CN"/>
        </w:rPr>
        <w:t>MHz</w:t>
      </w:r>
      <w:r w:rsidR="00195539" w:rsidRPr="00AD1163">
        <w:rPr>
          <w:lang w:val="en-US" w:eastAsia="zh-CN"/>
        </w:rPr>
        <w:t>频段内的限值，不检查</w:t>
      </w:r>
      <w:r w:rsidR="00195539" w:rsidRPr="00AD1163">
        <w:rPr>
          <w:lang w:val="en-US" w:eastAsia="zh-CN"/>
        </w:rPr>
        <w:t>1 164-1 215 MHz</w:t>
      </w:r>
      <w:r w:rsidR="00195539" w:rsidRPr="00AD1163">
        <w:rPr>
          <w:lang w:val="en-US" w:eastAsia="zh-CN"/>
        </w:rPr>
        <w:t>频段的限值，因为由于在附录</w:t>
      </w:r>
      <w:r w:rsidR="00195539" w:rsidRPr="00BB5D7B">
        <w:rPr>
          <w:b/>
          <w:bCs/>
          <w:lang w:val="en-US" w:eastAsia="zh-CN"/>
        </w:rPr>
        <w:t>4</w:t>
      </w:r>
      <w:r w:rsidR="00195539" w:rsidRPr="00AD1163">
        <w:rPr>
          <w:lang w:val="en-US" w:eastAsia="zh-CN"/>
        </w:rPr>
        <w:t>中缺乏相应的数据项目，因此进入</w:t>
      </w:r>
      <w:r w:rsidR="00195539" w:rsidRPr="00AD1163">
        <w:rPr>
          <w:lang w:val="en-US" w:eastAsia="zh-CN"/>
        </w:rPr>
        <w:t>1 164-1 215 MHz</w:t>
      </w:r>
      <w:r w:rsidR="00D973CB">
        <w:rPr>
          <w:lang w:val="en-US" w:eastAsia="zh-CN"/>
        </w:rPr>
        <w:t>频段的带外发射并不</w:t>
      </w:r>
      <w:r w:rsidR="00D973CB">
        <w:rPr>
          <w:rFonts w:hint="eastAsia"/>
          <w:lang w:val="en-US" w:eastAsia="zh-CN"/>
        </w:rPr>
        <w:t>向</w:t>
      </w:r>
      <w:r w:rsidR="00195539" w:rsidRPr="00AD1163">
        <w:rPr>
          <w:lang w:val="en-US" w:eastAsia="zh-CN"/>
        </w:rPr>
        <w:t>无线电通信局进行通知；</w:t>
      </w:r>
    </w:p>
    <w:p w:rsidR="00195539" w:rsidRPr="00AD1163" w:rsidRDefault="009F715A" w:rsidP="009F715A">
      <w:pPr>
        <w:rPr>
          <w:lang w:val="en-US" w:eastAsia="zh-CN"/>
        </w:rPr>
      </w:pPr>
      <w:r>
        <w:rPr>
          <w:rFonts w:hint="eastAsia"/>
          <w:lang w:val="en-US" w:eastAsia="zh-CN"/>
        </w:rPr>
        <w:t>6</w:t>
      </w:r>
      <w:r w:rsidR="00195539" w:rsidRPr="00AD1163">
        <w:rPr>
          <w:lang w:val="en-US" w:eastAsia="zh-CN"/>
        </w:rPr>
        <w:t>.4</w:t>
      </w:r>
      <w:r w:rsidR="00195539" w:rsidRPr="00AD1163">
        <w:rPr>
          <w:lang w:val="en-US" w:eastAsia="zh-CN"/>
        </w:rPr>
        <w:tab/>
      </w:r>
      <w:r w:rsidR="00195539" w:rsidRPr="00AD1163">
        <w:rPr>
          <w:rFonts w:eastAsia="STKaiti"/>
          <w:lang w:val="en-US" w:eastAsia="zh-CN"/>
        </w:rPr>
        <w:t>第</w:t>
      </w:r>
      <w:r w:rsidR="00195539" w:rsidRPr="00AD1163">
        <w:rPr>
          <w:rFonts w:eastAsia="STKaiti"/>
          <w:b/>
          <w:bCs/>
          <w:lang w:val="en-US" w:eastAsia="zh-CN"/>
        </w:rPr>
        <w:t>755</w:t>
      </w:r>
      <w:r w:rsidR="00195539" w:rsidRPr="00AD1163">
        <w:rPr>
          <w:rFonts w:eastAsia="STKaiti"/>
          <w:lang w:val="en-US" w:eastAsia="zh-CN"/>
        </w:rPr>
        <w:t>号决议</w:t>
      </w:r>
      <w:r w:rsidR="00195539" w:rsidRPr="00AD1163">
        <w:rPr>
          <w:rFonts w:eastAsia="STKaiti"/>
          <w:b/>
          <w:bCs/>
          <w:lang w:val="en-US" w:eastAsia="zh-CN"/>
        </w:rPr>
        <w:t>（</w:t>
      </w:r>
      <w:r w:rsidR="00195539" w:rsidRPr="00AD1163">
        <w:rPr>
          <w:rFonts w:eastAsia="STKaiti"/>
          <w:b/>
          <w:bCs/>
          <w:lang w:val="en-US" w:eastAsia="zh-CN"/>
        </w:rPr>
        <w:t>WRC-12</w:t>
      </w:r>
      <w:r w:rsidR="00195539" w:rsidRPr="00AD1163">
        <w:rPr>
          <w:rFonts w:eastAsia="STKaiti"/>
          <w:b/>
          <w:bCs/>
          <w:lang w:val="en-US" w:eastAsia="zh-CN"/>
        </w:rPr>
        <w:t>）</w:t>
      </w:r>
      <w:r w:rsidR="00195539" w:rsidRPr="00AD1163">
        <w:rPr>
          <w:rFonts w:eastAsia="STKaiti"/>
          <w:lang w:val="en-US" w:eastAsia="zh-CN"/>
        </w:rPr>
        <w:t>涉及</w:t>
      </w:r>
      <w:r w:rsidR="00195539" w:rsidRPr="00AD1163">
        <w:rPr>
          <w:rFonts w:eastAsia="STKaiti"/>
          <w:lang w:val="en-US" w:eastAsia="zh-CN"/>
        </w:rPr>
        <w:t>21.4-22 GHz</w:t>
      </w:r>
      <w:r w:rsidR="00195539" w:rsidRPr="00AD1163">
        <w:rPr>
          <w:rFonts w:eastAsia="STKaiti"/>
          <w:lang w:val="en-US" w:eastAsia="zh-CN"/>
        </w:rPr>
        <w:t>频段内发射台站的功率通量密度限值</w:t>
      </w:r>
      <w:r w:rsidR="00D973CB">
        <w:rPr>
          <w:lang w:val="en-US" w:eastAsia="zh-CN"/>
        </w:rPr>
        <w:t>：无线电通信局</w:t>
      </w:r>
      <w:r w:rsidR="00D973CB">
        <w:rPr>
          <w:rFonts w:hint="eastAsia"/>
          <w:lang w:val="en-US" w:eastAsia="zh-CN"/>
        </w:rPr>
        <w:t>已</w:t>
      </w:r>
      <w:r w:rsidR="00195539" w:rsidRPr="00AD1163">
        <w:rPr>
          <w:lang w:val="en-US" w:eastAsia="zh-CN"/>
        </w:rPr>
        <w:t>通过</w:t>
      </w:r>
      <w:r w:rsidR="00195539" w:rsidRPr="00AD1163">
        <w:rPr>
          <w:lang w:val="en-US" w:eastAsia="zh-CN"/>
        </w:rPr>
        <w:t>2012</w:t>
      </w:r>
      <w:r w:rsidR="00195539" w:rsidRPr="00AD1163">
        <w:rPr>
          <w:lang w:val="en-US" w:eastAsia="zh-CN"/>
        </w:rPr>
        <w:t>年</w:t>
      </w:r>
      <w:r w:rsidR="00195539" w:rsidRPr="00AD1163">
        <w:rPr>
          <w:lang w:val="en-US" w:eastAsia="zh-CN"/>
        </w:rPr>
        <w:t>5</w:t>
      </w:r>
      <w:r w:rsidR="00195539" w:rsidRPr="00AD1163">
        <w:rPr>
          <w:lang w:val="en-US" w:eastAsia="zh-CN"/>
        </w:rPr>
        <w:t>月</w:t>
      </w:r>
      <w:r w:rsidR="00195539" w:rsidRPr="00AD1163">
        <w:rPr>
          <w:lang w:val="en-US" w:eastAsia="zh-CN"/>
        </w:rPr>
        <w:t>18</w:t>
      </w:r>
      <w:r w:rsidR="00195539" w:rsidRPr="00AD1163">
        <w:rPr>
          <w:lang w:val="en-US" w:eastAsia="zh-CN"/>
        </w:rPr>
        <w:t>日的</w:t>
      </w:r>
      <w:r w:rsidR="00195539" w:rsidRPr="00AD1163">
        <w:rPr>
          <w:lang w:val="en-US" w:eastAsia="zh-CN"/>
        </w:rPr>
        <w:t>CR/334</w:t>
      </w:r>
      <w:r w:rsidR="00195539" w:rsidRPr="00AD1163">
        <w:rPr>
          <w:lang w:val="en-US" w:eastAsia="zh-CN"/>
        </w:rPr>
        <w:t>号通函提请各主管部门注意大会通过第</w:t>
      </w:r>
      <w:r w:rsidR="00195539" w:rsidRPr="00AD1163">
        <w:rPr>
          <w:b/>
          <w:bCs/>
          <w:lang w:val="en-US" w:eastAsia="zh-CN"/>
        </w:rPr>
        <w:t>755</w:t>
      </w:r>
      <w:r w:rsidR="00195539" w:rsidRPr="00AD1163">
        <w:rPr>
          <w:lang w:val="en-US" w:eastAsia="zh-CN"/>
        </w:rPr>
        <w:t>号决议</w:t>
      </w:r>
      <w:r w:rsidR="00195539" w:rsidRPr="00AD1163">
        <w:rPr>
          <w:b/>
          <w:bCs/>
          <w:lang w:val="en-US" w:eastAsia="zh-CN"/>
        </w:rPr>
        <w:t>（</w:t>
      </w:r>
      <w:r w:rsidR="00195539" w:rsidRPr="00AD1163">
        <w:rPr>
          <w:b/>
          <w:bCs/>
          <w:lang w:val="en-US" w:eastAsia="zh-CN"/>
        </w:rPr>
        <w:t>WRC-12</w:t>
      </w:r>
      <w:r w:rsidR="00195539" w:rsidRPr="00AD1163">
        <w:rPr>
          <w:b/>
          <w:bCs/>
          <w:lang w:val="en-US" w:eastAsia="zh-CN"/>
        </w:rPr>
        <w:t>）</w:t>
      </w:r>
      <w:r w:rsidR="00195539" w:rsidRPr="00AD1163">
        <w:rPr>
          <w:lang w:val="en-US" w:eastAsia="zh-CN"/>
        </w:rPr>
        <w:t>做出的决定，特别是</w:t>
      </w:r>
      <w:r w:rsidR="00195539" w:rsidRPr="00AD1163">
        <w:rPr>
          <w:lang w:val="en-US" w:eastAsia="zh-CN"/>
        </w:rPr>
        <w:t>1</w:t>
      </w:r>
      <w:r w:rsidR="00195539" w:rsidRPr="00AD1163">
        <w:rPr>
          <w:lang w:val="en-US" w:eastAsia="zh-CN"/>
        </w:rPr>
        <w:t>区和</w:t>
      </w:r>
      <w:r w:rsidR="00195539" w:rsidRPr="00AD1163">
        <w:rPr>
          <w:lang w:val="en-US" w:eastAsia="zh-CN"/>
        </w:rPr>
        <w:t>3</w:t>
      </w:r>
      <w:r w:rsidR="00195539" w:rsidRPr="00AD1163">
        <w:rPr>
          <w:lang w:val="en-US" w:eastAsia="zh-CN"/>
        </w:rPr>
        <w:t>区</w:t>
      </w:r>
      <w:r w:rsidR="00195539" w:rsidRPr="00AD1163">
        <w:rPr>
          <w:lang w:val="en-US" w:eastAsia="zh-CN"/>
        </w:rPr>
        <w:t>BSS</w:t>
      </w:r>
      <w:r w:rsidR="00195539" w:rsidRPr="00AD1163">
        <w:rPr>
          <w:lang w:val="en-US" w:eastAsia="zh-CN"/>
        </w:rPr>
        <w:t>频率指配将适用的第</w:t>
      </w:r>
      <w:r w:rsidR="00195539" w:rsidRPr="00AD1163">
        <w:rPr>
          <w:b/>
          <w:bCs/>
          <w:lang w:val="en-US" w:eastAsia="zh-CN"/>
        </w:rPr>
        <w:t>21</w:t>
      </w:r>
      <w:r w:rsidR="00195539" w:rsidRPr="00AD1163">
        <w:rPr>
          <w:lang w:val="en-US" w:eastAsia="zh-CN"/>
        </w:rPr>
        <w:t>条表</w:t>
      </w:r>
      <w:r w:rsidR="00195539" w:rsidRPr="00AD1163">
        <w:rPr>
          <w:lang w:val="en-US" w:eastAsia="zh-CN"/>
        </w:rPr>
        <w:t>21-4</w:t>
      </w:r>
      <w:r w:rsidR="00195539" w:rsidRPr="00AD1163">
        <w:rPr>
          <w:lang w:val="en-US" w:eastAsia="zh-CN"/>
        </w:rPr>
        <w:t>规定的</w:t>
      </w:r>
      <w:proofErr w:type="spellStart"/>
      <w:r w:rsidR="00195539" w:rsidRPr="00AD1163">
        <w:rPr>
          <w:lang w:val="en-US" w:eastAsia="zh-CN"/>
        </w:rPr>
        <w:t>pfd</w:t>
      </w:r>
      <w:proofErr w:type="spellEnd"/>
      <w:r w:rsidR="00195539" w:rsidRPr="00AD1163">
        <w:rPr>
          <w:lang w:val="en-US" w:eastAsia="zh-CN"/>
        </w:rPr>
        <w:t>限值。此外，自</w:t>
      </w:r>
      <w:r w:rsidR="00195539" w:rsidRPr="00AD1163">
        <w:rPr>
          <w:lang w:val="en-US" w:eastAsia="zh-CN"/>
        </w:rPr>
        <w:t>2012</w:t>
      </w:r>
      <w:r w:rsidR="00195539" w:rsidRPr="00AD1163">
        <w:rPr>
          <w:lang w:val="en-US" w:eastAsia="zh-CN"/>
        </w:rPr>
        <w:t>年</w:t>
      </w:r>
      <w:r w:rsidR="00195539" w:rsidRPr="00AD1163">
        <w:rPr>
          <w:lang w:val="en-US" w:eastAsia="zh-CN"/>
        </w:rPr>
        <w:t>2</w:t>
      </w:r>
      <w:r w:rsidR="00195539" w:rsidRPr="00AD1163">
        <w:rPr>
          <w:lang w:val="en-US" w:eastAsia="zh-CN"/>
        </w:rPr>
        <w:t>月</w:t>
      </w:r>
      <w:r w:rsidR="00195539" w:rsidRPr="00AD1163">
        <w:rPr>
          <w:lang w:val="en-US" w:eastAsia="zh-CN"/>
        </w:rPr>
        <w:t>18</w:t>
      </w:r>
      <w:r w:rsidR="00195539" w:rsidRPr="00AD1163">
        <w:rPr>
          <w:lang w:val="en-US" w:eastAsia="zh-CN"/>
        </w:rPr>
        <w:t>日起，第</w:t>
      </w:r>
      <w:r w:rsidR="00195539" w:rsidRPr="00AD1163">
        <w:rPr>
          <w:b/>
          <w:bCs/>
          <w:lang w:val="en-US" w:eastAsia="zh-CN"/>
        </w:rPr>
        <w:t>5.530A</w:t>
      </w:r>
      <w:r w:rsidR="00195539" w:rsidRPr="00AD1163">
        <w:rPr>
          <w:lang w:val="en-US" w:eastAsia="zh-CN"/>
        </w:rPr>
        <w:t>款规定的</w:t>
      </w:r>
      <w:proofErr w:type="spellStart"/>
      <w:r w:rsidR="00195539" w:rsidRPr="00AD1163">
        <w:rPr>
          <w:lang w:val="en-US" w:eastAsia="zh-CN"/>
        </w:rPr>
        <w:t>pfd</w:t>
      </w:r>
      <w:proofErr w:type="spellEnd"/>
      <w:r w:rsidR="00195539" w:rsidRPr="00AD1163">
        <w:rPr>
          <w:lang w:val="en-US" w:eastAsia="zh-CN"/>
        </w:rPr>
        <w:t>限值将适用于所有得到通知的新的固定和移动业务台站。已在《登记总表》中登记的固定和移动业务台站的频率指配须在</w:t>
      </w:r>
      <w:r w:rsidR="00195539" w:rsidRPr="00AD1163">
        <w:rPr>
          <w:lang w:val="en-US" w:eastAsia="zh-CN"/>
        </w:rPr>
        <w:t>2015</w:t>
      </w:r>
      <w:r w:rsidR="00195539" w:rsidRPr="00AD1163">
        <w:rPr>
          <w:lang w:val="en-US" w:eastAsia="zh-CN"/>
        </w:rPr>
        <w:t>年</w:t>
      </w:r>
      <w:r w:rsidR="00195539" w:rsidRPr="00AD1163">
        <w:rPr>
          <w:lang w:val="en-US" w:eastAsia="zh-CN"/>
        </w:rPr>
        <w:t>12</w:t>
      </w:r>
      <w:r w:rsidR="00195539" w:rsidRPr="00AD1163">
        <w:rPr>
          <w:lang w:val="en-US" w:eastAsia="zh-CN"/>
        </w:rPr>
        <w:t>月</w:t>
      </w:r>
      <w:r w:rsidR="00195539" w:rsidRPr="00AD1163">
        <w:rPr>
          <w:lang w:val="en-US" w:eastAsia="zh-CN"/>
        </w:rPr>
        <w:t>31</w:t>
      </w:r>
      <w:r w:rsidR="00195539" w:rsidRPr="00AD1163">
        <w:rPr>
          <w:lang w:val="en-US" w:eastAsia="zh-CN"/>
        </w:rPr>
        <w:t>日</w:t>
      </w:r>
      <w:r w:rsidR="00D973CB">
        <w:rPr>
          <w:rFonts w:hint="eastAsia"/>
          <w:lang w:val="en-US" w:eastAsia="zh-CN"/>
        </w:rPr>
        <w:t>前</w:t>
      </w:r>
      <w:r w:rsidR="00195539" w:rsidRPr="00AD1163">
        <w:rPr>
          <w:lang w:val="en-US" w:eastAsia="zh-CN"/>
        </w:rPr>
        <w:t>或下届</w:t>
      </w:r>
      <w:r w:rsidR="00195539" w:rsidRPr="00AD1163">
        <w:rPr>
          <w:lang w:val="en-US" w:eastAsia="zh-CN"/>
        </w:rPr>
        <w:t>WRC</w:t>
      </w:r>
      <w:r w:rsidR="00195539" w:rsidRPr="00AD1163">
        <w:rPr>
          <w:lang w:val="en-US" w:eastAsia="zh-CN"/>
        </w:rPr>
        <w:t>的第一天（二者</w:t>
      </w:r>
      <w:r w:rsidR="00D973CB">
        <w:rPr>
          <w:rFonts w:hint="eastAsia"/>
          <w:lang w:val="en-US" w:eastAsia="zh-CN"/>
        </w:rPr>
        <w:t>中较早之日</w:t>
      </w:r>
      <w:r w:rsidR="00195539" w:rsidRPr="00AD1163">
        <w:rPr>
          <w:lang w:val="en-US" w:eastAsia="zh-CN"/>
        </w:rPr>
        <w:t>）遵守这一限值。无线电通信局已单独提请在</w:t>
      </w:r>
      <w:r w:rsidR="00195539" w:rsidRPr="00AD1163">
        <w:rPr>
          <w:lang w:val="en-US" w:eastAsia="zh-CN"/>
        </w:rPr>
        <w:t>MIFR</w:t>
      </w:r>
      <w:r w:rsidR="00195539" w:rsidRPr="00AD1163">
        <w:rPr>
          <w:lang w:val="en-US" w:eastAsia="zh-CN"/>
        </w:rPr>
        <w:t>中已登记频率指配的主管部门注意这一遵守上述限值的要求；</w:t>
      </w:r>
    </w:p>
    <w:p w:rsidR="00195539" w:rsidRPr="00AD1163" w:rsidRDefault="009F715A" w:rsidP="001921A1">
      <w:pPr>
        <w:rPr>
          <w:lang w:val="en-US" w:eastAsia="zh-CN"/>
        </w:rPr>
      </w:pPr>
      <w:r>
        <w:rPr>
          <w:rFonts w:hint="eastAsia"/>
          <w:lang w:val="en-US" w:eastAsia="zh-CN"/>
        </w:rPr>
        <w:t>6</w:t>
      </w:r>
      <w:r w:rsidR="00195539" w:rsidRPr="00AD1163">
        <w:rPr>
          <w:lang w:val="en-US" w:eastAsia="zh-CN"/>
        </w:rPr>
        <w:t>.5</w:t>
      </w:r>
      <w:r w:rsidR="00195539" w:rsidRPr="00AD1163">
        <w:rPr>
          <w:lang w:val="en-US" w:eastAsia="zh-CN"/>
        </w:rPr>
        <w:tab/>
      </w:r>
      <w:r w:rsidR="00195539" w:rsidRPr="00AD1163">
        <w:rPr>
          <w:rFonts w:eastAsia="STKaiti"/>
          <w:lang w:val="en-US" w:eastAsia="zh-CN"/>
        </w:rPr>
        <w:t>第</w:t>
      </w:r>
      <w:r w:rsidR="00195539" w:rsidRPr="00AD1163">
        <w:rPr>
          <w:rFonts w:eastAsia="STKaiti"/>
          <w:b/>
          <w:bCs/>
          <w:lang w:val="en-US" w:eastAsia="zh-CN"/>
        </w:rPr>
        <w:t>552</w:t>
      </w:r>
      <w:r w:rsidR="00195539" w:rsidRPr="00AD1163">
        <w:rPr>
          <w:rFonts w:eastAsia="STKaiti"/>
          <w:lang w:val="en-US" w:eastAsia="zh-CN"/>
        </w:rPr>
        <w:t>号决议</w:t>
      </w:r>
      <w:r w:rsidR="00195539" w:rsidRPr="00AD1163">
        <w:rPr>
          <w:rFonts w:eastAsia="STKaiti"/>
          <w:b/>
          <w:bCs/>
          <w:lang w:val="en-US" w:eastAsia="zh-CN"/>
        </w:rPr>
        <w:t>（</w:t>
      </w:r>
      <w:r w:rsidR="00195539" w:rsidRPr="00AD1163">
        <w:rPr>
          <w:rFonts w:eastAsia="STKaiti"/>
          <w:b/>
          <w:bCs/>
          <w:lang w:val="en-US" w:eastAsia="zh-CN"/>
        </w:rPr>
        <w:t>WRC-12</w:t>
      </w:r>
      <w:r w:rsidR="00195539" w:rsidRPr="00AD1163">
        <w:rPr>
          <w:rFonts w:eastAsia="STKaiti"/>
          <w:b/>
          <w:bCs/>
          <w:lang w:val="en-US" w:eastAsia="zh-CN"/>
        </w:rPr>
        <w:t>）</w:t>
      </w:r>
      <w:r w:rsidR="00195539" w:rsidRPr="00AD1163">
        <w:rPr>
          <w:rFonts w:eastAsia="STKaiti"/>
          <w:lang w:val="en-US" w:eastAsia="zh-CN"/>
        </w:rPr>
        <w:t>涉及</w:t>
      </w:r>
      <w:r w:rsidR="00195539" w:rsidRPr="00AD1163">
        <w:rPr>
          <w:rFonts w:eastAsia="STKaiti"/>
          <w:lang w:val="en-US" w:eastAsia="zh-CN"/>
        </w:rPr>
        <w:t>1</w:t>
      </w:r>
      <w:r w:rsidR="00195539" w:rsidRPr="00AD1163">
        <w:rPr>
          <w:rFonts w:eastAsia="STKaiti"/>
          <w:lang w:val="en-US" w:eastAsia="zh-CN"/>
        </w:rPr>
        <w:t>区和</w:t>
      </w:r>
      <w:r w:rsidR="00195539" w:rsidRPr="00AD1163">
        <w:rPr>
          <w:rFonts w:eastAsia="STKaiti"/>
          <w:lang w:val="en-US" w:eastAsia="zh-CN"/>
        </w:rPr>
        <w:t>3</w:t>
      </w:r>
      <w:r w:rsidR="00195539" w:rsidRPr="00AD1163">
        <w:rPr>
          <w:rFonts w:eastAsia="STKaiti"/>
          <w:lang w:val="en-US" w:eastAsia="zh-CN"/>
        </w:rPr>
        <w:t>区对</w:t>
      </w:r>
      <w:r w:rsidR="00195539" w:rsidRPr="00AD1163">
        <w:rPr>
          <w:rFonts w:eastAsia="STKaiti"/>
          <w:lang w:val="en-US" w:eastAsia="zh-CN"/>
        </w:rPr>
        <w:t>21.4-22 GHz</w:t>
      </w:r>
      <w:r w:rsidR="00195539" w:rsidRPr="00AD1163">
        <w:rPr>
          <w:rFonts w:eastAsia="STKaiti"/>
          <w:lang w:val="en-US" w:eastAsia="zh-CN"/>
        </w:rPr>
        <w:t>频段的长期使用及该频段的发展</w:t>
      </w:r>
      <w:r w:rsidR="00195539" w:rsidRPr="00AD1163">
        <w:rPr>
          <w:lang w:val="en-US" w:eastAsia="zh-CN"/>
        </w:rPr>
        <w:t>：按照该决议</w:t>
      </w:r>
      <w:r w:rsidR="00195539" w:rsidRPr="00AD1163">
        <w:rPr>
          <w:rFonts w:eastAsia="STKaiti"/>
          <w:lang w:val="en-US" w:eastAsia="zh-CN"/>
        </w:rPr>
        <w:t>做出决议</w:t>
      </w:r>
      <w:r w:rsidR="00195539" w:rsidRPr="00AD1163">
        <w:rPr>
          <w:lang w:val="en-US" w:eastAsia="zh-CN"/>
        </w:rPr>
        <w:t>1</w:t>
      </w:r>
      <w:r w:rsidR="00195539" w:rsidRPr="00AD1163">
        <w:rPr>
          <w:lang w:val="en-US" w:eastAsia="zh-CN"/>
        </w:rPr>
        <w:t>、</w:t>
      </w:r>
      <w:r w:rsidR="00195539" w:rsidRPr="00AD1163">
        <w:rPr>
          <w:lang w:val="en-US" w:eastAsia="zh-CN"/>
        </w:rPr>
        <w:t>2</w:t>
      </w:r>
      <w:r w:rsidR="00195539" w:rsidRPr="00AD1163">
        <w:rPr>
          <w:lang w:val="en-US" w:eastAsia="zh-CN"/>
        </w:rPr>
        <w:t>和</w:t>
      </w:r>
      <w:r w:rsidR="00195539" w:rsidRPr="00AD1163">
        <w:rPr>
          <w:lang w:val="en-US" w:eastAsia="zh-CN"/>
        </w:rPr>
        <w:t>3</w:t>
      </w:r>
      <w:r w:rsidR="00195539" w:rsidRPr="00AD1163">
        <w:rPr>
          <w:lang w:val="en-US" w:eastAsia="zh-CN"/>
        </w:rPr>
        <w:t>段，自</w:t>
      </w:r>
      <w:r w:rsidR="00195539" w:rsidRPr="00AD1163">
        <w:rPr>
          <w:lang w:val="en-US" w:eastAsia="zh-CN"/>
        </w:rPr>
        <w:t>2012</w:t>
      </w:r>
      <w:r w:rsidR="00195539" w:rsidRPr="00AD1163">
        <w:rPr>
          <w:lang w:val="en-US" w:eastAsia="zh-CN"/>
        </w:rPr>
        <w:t>年</w:t>
      </w:r>
      <w:r w:rsidR="00195539" w:rsidRPr="00AD1163">
        <w:rPr>
          <w:lang w:val="en-US" w:eastAsia="zh-CN"/>
        </w:rPr>
        <w:t>2</w:t>
      </w:r>
      <w:r w:rsidR="00195539" w:rsidRPr="00AD1163">
        <w:rPr>
          <w:lang w:val="en-US" w:eastAsia="zh-CN"/>
        </w:rPr>
        <w:t>月</w:t>
      </w:r>
      <w:r w:rsidR="00195539" w:rsidRPr="00AD1163">
        <w:rPr>
          <w:lang w:val="en-US" w:eastAsia="zh-CN"/>
        </w:rPr>
        <w:t>18</w:t>
      </w:r>
      <w:r w:rsidR="005F315A">
        <w:rPr>
          <w:lang w:val="en-US" w:eastAsia="zh-CN"/>
        </w:rPr>
        <w:t>日起，该决议</w:t>
      </w:r>
      <w:r w:rsidR="005F315A">
        <w:rPr>
          <w:rFonts w:hint="eastAsia"/>
          <w:lang w:val="en-US" w:eastAsia="zh-CN"/>
        </w:rPr>
        <w:t>须</w:t>
      </w:r>
      <w:r w:rsidR="00195539" w:rsidRPr="00AD1163">
        <w:rPr>
          <w:lang w:val="en-US" w:eastAsia="zh-CN"/>
        </w:rPr>
        <w:t>适用于</w:t>
      </w:r>
      <w:r w:rsidR="00195539" w:rsidRPr="00AD1163">
        <w:rPr>
          <w:lang w:val="en-US" w:eastAsia="zh-CN"/>
        </w:rPr>
        <w:t>21.4-22 GHz</w:t>
      </w:r>
      <w:r w:rsidR="00195539" w:rsidRPr="00AD1163">
        <w:rPr>
          <w:lang w:val="en-US" w:eastAsia="zh-CN"/>
        </w:rPr>
        <w:t>频段内</w:t>
      </w:r>
      <w:r w:rsidR="00195539" w:rsidRPr="00AD1163">
        <w:rPr>
          <w:lang w:val="en-US" w:eastAsia="zh-CN"/>
        </w:rPr>
        <w:t>BSS</w:t>
      </w:r>
      <w:r w:rsidR="00195539" w:rsidRPr="00AD1163">
        <w:rPr>
          <w:lang w:val="en-US" w:eastAsia="zh-CN"/>
        </w:rPr>
        <w:t>的所有对地静止卫星网络，特别是：</w:t>
      </w:r>
    </w:p>
    <w:p w:rsidR="00195539" w:rsidRPr="00AD1163" w:rsidRDefault="00195539" w:rsidP="001921A1">
      <w:pPr>
        <w:pStyle w:val="enumlev1"/>
        <w:rPr>
          <w:lang w:val="en-US" w:eastAsia="zh-CN"/>
        </w:rPr>
      </w:pPr>
      <w:r w:rsidRPr="00AD1163">
        <w:rPr>
          <w:lang w:val="en-US" w:eastAsia="zh-CN"/>
        </w:rPr>
        <w:t>–</w:t>
      </w:r>
      <w:r w:rsidRPr="00AD1163">
        <w:rPr>
          <w:lang w:val="en-US" w:eastAsia="zh-CN"/>
        </w:rPr>
        <w:tab/>
      </w:r>
      <w:r w:rsidRPr="00AD1163">
        <w:rPr>
          <w:lang w:val="en-US" w:eastAsia="zh-CN"/>
        </w:rPr>
        <w:t>对于无线电通信局在</w:t>
      </w:r>
      <w:r w:rsidRPr="00AD1163">
        <w:rPr>
          <w:lang w:val="en-US" w:eastAsia="zh-CN"/>
        </w:rPr>
        <w:t>2012</w:t>
      </w:r>
      <w:r w:rsidRPr="00AD1163">
        <w:rPr>
          <w:lang w:val="en-US" w:eastAsia="zh-CN"/>
        </w:rPr>
        <w:t>年</w:t>
      </w:r>
      <w:r w:rsidRPr="00AD1163">
        <w:rPr>
          <w:lang w:val="en-US" w:eastAsia="zh-CN"/>
        </w:rPr>
        <w:t>2</w:t>
      </w:r>
      <w:r w:rsidRPr="00AD1163">
        <w:rPr>
          <w:lang w:val="en-US" w:eastAsia="zh-CN"/>
        </w:rPr>
        <w:t>月</w:t>
      </w:r>
      <w:r w:rsidRPr="00AD1163">
        <w:rPr>
          <w:lang w:val="en-US" w:eastAsia="zh-CN"/>
        </w:rPr>
        <w:t>18</w:t>
      </w:r>
      <w:r w:rsidRPr="00AD1163">
        <w:rPr>
          <w:lang w:val="en-US" w:eastAsia="zh-CN"/>
        </w:rPr>
        <w:t>日前未收到按照第</w:t>
      </w:r>
      <w:r w:rsidRPr="00AD1163">
        <w:rPr>
          <w:b/>
          <w:bCs/>
          <w:lang w:val="en-US" w:eastAsia="zh-CN"/>
        </w:rPr>
        <w:t>11</w:t>
      </w:r>
      <w:r w:rsidRPr="00AD1163">
        <w:rPr>
          <w:lang w:val="en-US" w:eastAsia="zh-CN"/>
        </w:rPr>
        <w:t>条提交的启用日期确认或在此日期</w:t>
      </w:r>
      <w:r w:rsidR="004E6C34" w:rsidRPr="00AD1163">
        <w:rPr>
          <w:lang w:val="en-US" w:eastAsia="zh-CN"/>
        </w:rPr>
        <w:t>按照第</w:t>
      </w:r>
      <w:r w:rsidR="004E6C34" w:rsidRPr="00AD1163">
        <w:rPr>
          <w:b/>
          <w:bCs/>
          <w:lang w:val="en-US" w:eastAsia="zh-CN"/>
        </w:rPr>
        <w:t>11.49</w:t>
      </w:r>
      <w:r w:rsidR="004E6C34" w:rsidRPr="00AD1163">
        <w:rPr>
          <w:lang w:val="en-US" w:eastAsia="zh-CN"/>
        </w:rPr>
        <w:t>款被暂停的卫星网络频率指配，本决议附件</w:t>
      </w:r>
      <w:r w:rsidR="004E6C34" w:rsidRPr="00AD1163">
        <w:rPr>
          <w:lang w:val="en-US" w:eastAsia="zh-CN"/>
        </w:rPr>
        <w:t>1</w:t>
      </w:r>
      <w:r w:rsidR="005F315A">
        <w:rPr>
          <w:lang w:val="en-US" w:eastAsia="zh-CN"/>
        </w:rPr>
        <w:t>所含程序</w:t>
      </w:r>
      <w:r w:rsidR="005F315A">
        <w:rPr>
          <w:rFonts w:hint="eastAsia"/>
          <w:lang w:val="en-US" w:eastAsia="zh-CN"/>
        </w:rPr>
        <w:t>须</w:t>
      </w:r>
      <w:r w:rsidR="004E6C34" w:rsidRPr="00AD1163">
        <w:rPr>
          <w:lang w:val="en-US" w:eastAsia="zh-CN"/>
        </w:rPr>
        <w:t>酌情在首次启用时或被暂停恢复使用时适用；</w:t>
      </w:r>
    </w:p>
    <w:p w:rsidR="004E6C34" w:rsidRPr="00AD1163" w:rsidRDefault="004E6C34" w:rsidP="005F315A">
      <w:pPr>
        <w:pStyle w:val="enumlev1"/>
        <w:rPr>
          <w:lang w:val="en-US" w:eastAsia="zh-CN"/>
        </w:rPr>
      </w:pPr>
      <w:r w:rsidRPr="00AD1163">
        <w:rPr>
          <w:lang w:val="en-US" w:eastAsia="zh-CN"/>
        </w:rPr>
        <w:t>–</w:t>
      </w:r>
      <w:r w:rsidRPr="00AD1163">
        <w:rPr>
          <w:lang w:val="en-US" w:eastAsia="zh-CN"/>
        </w:rPr>
        <w:tab/>
      </w:r>
      <w:r w:rsidRPr="00AD1163">
        <w:rPr>
          <w:lang w:val="en-US" w:eastAsia="zh-CN"/>
        </w:rPr>
        <w:t>对于无线电通信局已于</w:t>
      </w:r>
      <w:r w:rsidRPr="00AD1163">
        <w:rPr>
          <w:lang w:val="en-US" w:eastAsia="zh-CN"/>
        </w:rPr>
        <w:t>2012</w:t>
      </w:r>
      <w:r w:rsidRPr="00AD1163">
        <w:rPr>
          <w:lang w:val="en-US" w:eastAsia="zh-CN"/>
        </w:rPr>
        <w:t>年</w:t>
      </w:r>
      <w:r w:rsidRPr="00AD1163">
        <w:rPr>
          <w:lang w:val="en-US" w:eastAsia="zh-CN"/>
        </w:rPr>
        <w:t>2</w:t>
      </w:r>
      <w:r w:rsidRPr="00AD1163">
        <w:rPr>
          <w:lang w:val="en-US" w:eastAsia="zh-CN"/>
        </w:rPr>
        <w:t>月</w:t>
      </w:r>
      <w:r w:rsidRPr="00AD1163">
        <w:rPr>
          <w:lang w:val="en-US" w:eastAsia="zh-CN"/>
        </w:rPr>
        <w:t>18</w:t>
      </w:r>
      <w:r w:rsidRPr="00AD1163">
        <w:rPr>
          <w:lang w:val="en-US" w:eastAsia="zh-CN"/>
        </w:rPr>
        <w:t>日前收到其按照第</w:t>
      </w:r>
      <w:r w:rsidRPr="00AD1163">
        <w:rPr>
          <w:b/>
          <w:bCs/>
          <w:lang w:val="en-US" w:eastAsia="zh-CN"/>
        </w:rPr>
        <w:t>11</w:t>
      </w:r>
      <w:r w:rsidR="005F315A">
        <w:rPr>
          <w:lang w:val="en-US" w:eastAsia="zh-CN"/>
        </w:rPr>
        <w:t>条提交的启用日期确认的卫星网络频率指配，</w:t>
      </w:r>
      <w:r w:rsidR="005F315A">
        <w:rPr>
          <w:rFonts w:hint="eastAsia"/>
          <w:lang w:val="en-US" w:eastAsia="zh-CN"/>
        </w:rPr>
        <w:t>须</w:t>
      </w:r>
      <w:r w:rsidRPr="00AD1163">
        <w:rPr>
          <w:lang w:val="en-US" w:eastAsia="zh-CN"/>
        </w:rPr>
        <w:t>酌情适用本决议附件</w:t>
      </w:r>
      <w:r w:rsidRPr="00AD1163">
        <w:rPr>
          <w:lang w:val="en-US" w:eastAsia="zh-CN"/>
        </w:rPr>
        <w:t>1</w:t>
      </w:r>
      <w:r w:rsidRPr="00AD1163">
        <w:rPr>
          <w:lang w:val="en-US" w:eastAsia="zh-CN"/>
        </w:rPr>
        <w:t>第</w:t>
      </w:r>
      <w:r w:rsidRPr="00AD1163">
        <w:rPr>
          <w:lang w:val="en-US" w:eastAsia="zh-CN"/>
        </w:rPr>
        <w:t>5</w:t>
      </w:r>
      <w:r w:rsidRPr="00AD1163">
        <w:rPr>
          <w:lang w:val="en-US" w:eastAsia="zh-CN"/>
        </w:rPr>
        <w:t>至</w:t>
      </w:r>
      <w:r w:rsidRPr="00AD1163">
        <w:rPr>
          <w:lang w:val="en-US" w:eastAsia="zh-CN"/>
        </w:rPr>
        <w:t>8</w:t>
      </w:r>
      <w:r w:rsidRPr="00AD1163">
        <w:rPr>
          <w:lang w:val="en-US" w:eastAsia="zh-CN"/>
        </w:rPr>
        <w:t>段的规定以及本决议附件</w:t>
      </w:r>
      <w:r w:rsidRPr="00AD1163">
        <w:rPr>
          <w:lang w:val="en-US" w:eastAsia="zh-CN"/>
        </w:rPr>
        <w:t>3</w:t>
      </w:r>
      <w:r w:rsidRPr="00AD1163">
        <w:rPr>
          <w:lang w:val="en-US" w:eastAsia="zh-CN"/>
        </w:rPr>
        <w:t>所含程序。附件</w:t>
      </w:r>
      <w:r w:rsidRPr="00AD1163">
        <w:rPr>
          <w:lang w:val="en-US" w:eastAsia="zh-CN"/>
        </w:rPr>
        <w:t>3</w:t>
      </w:r>
      <w:r w:rsidRPr="00AD1163">
        <w:rPr>
          <w:lang w:val="en-US" w:eastAsia="zh-CN"/>
        </w:rPr>
        <w:t>包含的过渡措施适用于这样的情形，即，主管部门在</w:t>
      </w:r>
      <w:r w:rsidRPr="00AD1163">
        <w:rPr>
          <w:lang w:val="en-US" w:eastAsia="zh-CN"/>
        </w:rPr>
        <w:t>2012</w:t>
      </w:r>
      <w:r w:rsidRPr="00AD1163">
        <w:rPr>
          <w:lang w:val="en-US" w:eastAsia="zh-CN"/>
        </w:rPr>
        <w:t>年</w:t>
      </w:r>
      <w:r w:rsidRPr="00AD1163">
        <w:rPr>
          <w:lang w:val="en-US" w:eastAsia="zh-CN"/>
        </w:rPr>
        <w:t>8</w:t>
      </w:r>
      <w:r w:rsidRPr="00AD1163">
        <w:rPr>
          <w:lang w:val="en-US" w:eastAsia="zh-CN"/>
        </w:rPr>
        <w:t>月</w:t>
      </w:r>
      <w:r w:rsidRPr="00AD1163">
        <w:rPr>
          <w:lang w:val="en-US" w:eastAsia="zh-CN"/>
        </w:rPr>
        <w:t>17</w:t>
      </w:r>
      <w:r w:rsidR="005F315A">
        <w:rPr>
          <w:lang w:val="en-US" w:eastAsia="zh-CN"/>
        </w:rPr>
        <w:t>日之前</w:t>
      </w:r>
      <w:r w:rsidR="005F315A">
        <w:rPr>
          <w:rFonts w:hint="eastAsia"/>
          <w:lang w:val="en-US" w:eastAsia="zh-CN"/>
        </w:rPr>
        <w:t>未</w:t>
      </w:r>
      <w:r w:rsidRPr="00AD1163">
        <w:rPr>
          <w:lang w:val="en-US" w:eastAsia="zh-CN"/>
        </w:rPr>
        <w:t>按照本决议附件</w:t>
      </w:r>
      <w:r w:rsidRPr="00AD1163">
        <w:rPr>
          <w:lang w:val="en-US" w:eastAsia="zh-CN"/>
        </w:rPr>
        <w:t>2</w:t>
      </w:r>
      <w:r w:rsidRPr="00AD1163">
        <w:rPr>
          <w:lang w:val="en-US" w:eastAsia="zh-CN"/>
        </w:rPr>
        <w:t>向无线电通信局提交自</w:t>
      </w:r>
      <w:r w:rsidRPr="00AD1163">
        <w:rPr>
          <w:lang w:val="en-US" w:eastAsia="zh-CN"/>
        </w:rPr>
        <w:t>2012</w:t>
      </w:r>
      <w:r w:rsidRPr="00AD1163">
        <w:rPr>
          <w:lang w:val="en-US" w:eastAsia="zh-CN"/>
        </w:rPr>
        <w:t>年</w:t>
      </w:r>
      <w:r w:rsidRPr="00AD1163">
        <w:rPr>
          <w:lang w:val="en-US" w:eastAsia="zh-CN"/>
        </w:rPr>
        <w:t>2</w:t>
      </w:r>
      <w:r w:rsidRPr="00AD1163">
        <w:rPr>
          <w:lang w:val="en-US" w:eastAsia="zh-CN"/>
        </w:rPr>
        <w:t>月</w:t>
      </w:r>
      <w:r w:rsidRPr="00AD1163">
        <w:rPr>
          <w:lang w:val="en-US" w:eastAsia="zh-CN"/>
        </w:rPr>
        <w:t>18</w:t>
      </w:r>
      <w:r w:rsidRPr="00AD1163">
        <w:rPr>
          <w:lang w:val="en-US" w:eastAsia="zh-CN"/>
        </w:rPr>
        <w:t>日起</w:t>
      </w:r>
      <w:r w:rsidR="005F315A">
        <w:rPr>
          <w:rFonts w:hint="eastAsia"/>
          <w:lang w:val="en-US" w:eastAsia="zh-CN"/>
        </w:rPr>
        <w:t>的</w:t>
      </w:r>
      <w:r w:rsidRPr="00AD1163">
        <w:rPr>
          <w:lang w:val="en-US" w:eastAsia="zh-CN"/>
        </w:rPr>
        <w:t>操作情况的完整资料。无线电通信局已单独提请相关主管部门注意</w:t>
      </w:r>
      <w:r w:rsidR="005F315A">
        <w:rPr>
          <w:rFonts w:hint="eastAsia"/>
          <w:lang w:val="en-US" w:eastAsia="zh-CN"/>
        </w:rPr>
        <w:t>有关</w:t>
      </w:r>
      <w:r w:rsidRPr="00AD1163">
        <w:rPr>
          <w:lang w:val="en-US" w:eastAsia="zh-CN"/>
        </w:rPr>
        <w:t>在</w:t>
      </w:r>
      <w:r w:rsidRPr="00AD1163">
        <w:rPr>
          <w:lang w:val="en-US" w:eastAsia="zh-CN"/>
        </w:rPr>
        <w:t>2012</w:t>
      </w:r>
      <w:r w:rsidRPr="00AD1163">
        <w:rPr>
          <w:lang w:val="en-US" w:eastAsia="zh-CN"/>
        </w:rPr>
        <w:t>年</w:t>
      </w:r>
      <w:r w:rsidRPr="00AD1163">
        <w:rPr>
          <w:lang w:val="en-US" w:eastAsia="zh-CN"/>
        </w:rPr>
        <w:t>8</w:t>
      </w:r>
      <w:r w:rsidRPr="00AD1163">
        <w:rPr>
          <w:lang w:val="en-US" w:eastAsia="zh-CN"/>
        </w:rPr>
        <w:t>月</w:t>
      </w:r>
      <w:r w:rsidRPr="00AD1163">
        <w:rPr>
          <w:lang w:val="en-US" w:eastAsia="zh-CN"/>
        </w:rPr>
        <w:t>17</w:t>
      </w:r>
      <w:r w:rsidRPr="00AD1163">
        <w:rPr>
          <w:lang w:val="en-US" w:eastAsia="zh-CN"/>
        </w:rPr>
        <w:t>日之前向无线电通信局提交资料</w:t>
      </w:r>
      <w:r w:rsidR="005F315A" w:rsidRPr="00AD1163">
        <w:rPr>
          <w:lang w:val="en-US" w:eastAsia="zh-CN"/>
        </w:rPr>
        <w:t>的</w:t>
      </w:r>
      <w:r w:rsidRPr="00AD1163">
        <w:rPr>
          <w:lang w:val="en-US" w:eastAsia="zh-CN"/>
        </w:rPr>
        <w:t>要求。</w:t>
      </w:r>
    </w:p>
    <w:p w:rsidR="00EC7A77" w:rsidRPr="00AD1163" w:rsidRDefault="009F715A" w:rsidP="000445E4">
      <w:pPr>
        <w:rPr>
          <w:lang w:eastAsia="zh-CN"/>
        </w:rPr>
      </w:pPr>
      <w:r>
        <w:rPr>
          <w:rFonts w:hint="eastAsia"/>
          <w:lang w:eastAsia="zh-CN"/>
        </w:rPr>
        <w:t>6</w:t>
      </w:r>
      <w:r w:rsidR="00EC7A77" w:rsidRPr="00AD1163">
        <w:rPr>
          <w:lang w:eastAsia="zh-CN"/>
        </w:rPr>
        <w:t>.6</w:t>
      </w:r>
      <w:r w:rsidR="00EC7A77" w:rsidRPr="00AD1163">
        <w:rPr>
          <w:lang w:eastAsia="zh-CN"/>
        </w:rPr>
        <w:tab/>
      </w:r>
      <w:r w:rsidR="00EC7A77" w:rsidRPr="00AD1163">
        <w:rPr>
          <w:rFonts w:eastAsia="STKaiti"/>
          <w:lang w:eastAsia="zh-CN"/>
        </w:rPr>
        <w:t>第</w:t>
      </w:r>
      <w:r w:rsidR="00EC7A77" w:rsidRPr="00AD1163">
        <w:rPr>
          <w:rFonts w:eastAsia="STKaiti"/>
          <w:b/>
          <w:bCs/>
          <w:lang w:eastAsia="zh-CN"/>
        </w:rPr>
        <w:t>553</w:t>
      </w:r>
      <w:r w:rsidR="00EC7A77" w:rsidRPr="00C35C61">
        <w:rPr>
          <w:rFonts w:eastAsia="STKaiti"/>
          <w:lang w:eastAsia="zh-CN"/>
        </w:rPr>
        <w:t>号</w:t>
      </w:r>
      <w:r w:rsidR="00EC7A77" w:rsidRPr="00AD1163">
        <w:rPr>
          <w:rFonts w:eastAsia="STKaiti"/>
          <w:lang w:eastAsia="zh-CN"/>
        </w:rPr>
        <w:t>决议</w:t>
      </w:r>
      <w:r w:rsidR="00EC7A77" w:rsidRPr="00AD1163">
        <w:rPr>
          <w:rFonts w:eastAsia="STKaiti"/>
          <w:b/>
          <w:bCs/>
          <w:lang w:eastAsia="zh-CN"/>
        </w:rPr>
        <w:t>（</w:t>
      </w:r>
      <w:r w:rsidR="00EC7A77" w:rsidRPr="00AD1163">
        <w:rPr>
          <w:rFonts w:eastAsia="STKaiti"/>
          <w:b/>
          <w:bCs/>
          <w:lang w:eastAsia="zh-CN"/>
        </w:rPr>
        <w:t>WRC-12</w:t>
      </w:r>
      <w:r w:rsidR="00EC7A77" w:rsidRPr="00AD1163">
        <w:rPr>
          <w:rFonts w:eastAsia="STKaiti"/>
          <w:b/>
          <w:bCs/>
          <w:lang w:eastAsia="zh-CN"/>
        </w:rPr>
        <w:t>）</w:t>
      </w:r>
      <w:r w:rsidR="00EC7A77" w:rsidRPr="00AD1163">
        <w:rPr>
          <w:lang w:eastAsia="zh-CN"/>
        </w:rPr>
        <w:t xml:space="preserve"> – </w:t>
      </w:r>
      <w:r w:rsidR="00EC7A77" w:rsidRPr="00AD1163">
        <w:rPr>
          <w:rFonts w:eastAsia="STKaiti"/>
          <w:lang w:eastAsia="zh-CN"/>
        </w:rPr>
        <w:t>增强有关</w:t>
      </w:r>
      <w:r w:rsidR="00EC7A77" w:rsidRPr="00AD1163">
        <w:rPr>
          <w:rFonts w:eastAsia="STKaiti"/>
          <w:lang w:eastAsia="zh-CN"/>
        </w:rPr>
        <w:t>1</w:t>
      </w:r>
      <w:r w:rsidR="00EC7A77" w:rsidRPr="00AD1163">
        <w:rPr>
          <w:rFonts w:eastAsia="STKaiti"/>
          <w:lang w:eastAsia="zh-CN"/>
        </w:rPr>
        <w:t>、</w:t>
      </w:r>
      <w:r w:rsidR="00EC7A77" w:rsidRPr="00AD1163">
        <w:rPr>
          <w:rFonts w:eastAsia="STKaiti"/>
          <w:lang w:eastAsia="zh-CN"/>
        </w:rPr>
        <w:t>3</w:t>
      </w:r>
      <w:r w:rsidR="00EC7A77" w:rsidRPr="00AD1163">
        <w:rPr>
          <w:rFonts w:eastAsia="STKaiti"/>
          <w:lang w:eastAsia="zh-CN"/>
        </w:rPr>
        <w:t>区</w:t>
      </w:r>
      <w:r w:rsidR="00EC7A77" w:rsidRPr="00AD1163">
        <w:rPr>
          <w:rFonts w:eastAsia="STKaiti"/>
          <w:lang w:eastAsia="zh-CN"/>
        </w:rPr>
        <w:t>21.4-22GHz</w:t>
      </w:r>
      <w:r w:rsidR="00EC7A77" w:rsidRPr="00AD1163">
        <w:rPr>
          <w:rFonts w:eastAsia="STKaiti"/>
          <w:lang w:eastAsia="zh-CN"/>
        </w:rPr>
        <w:t>频段内卫星广播业务网络的规则措施以改善对此频段的公平接入：</w:t>
      </w:r>
      <w:r w:rsidR="00EC7A77" w:rsidRPr="00AD1163">
        <w:rPr>
          <w:lang w:eastAsia="zh-CN"/>
        </w:rPr>
        <w:t>按照该决议的</w:t>
      </w:r>
      <w:r w:rsidR="00EC7A77" w:rsidRPr="00AD1163">
        <w:rPr>
          <w:rFonts w:eastAsia="STKaiti"/>
          <w:lang w:eastAsia="zh-CN"/>
        </w:rPr>
        <w:t>做出决议</w:t>
      </w:r>
      <w:r w:rsidR="00EC7A77" w:rsidRPr="00AD1163">
        <w:rPr>
          <w:lang w:eastAsia="zh-CN"/>
        </w:rPr>
        <w:t>段落，自</w:t>
      </w:r>
      <w:r w:rsidR="00EC7A77" w:rsidRPr="00AD1163">
        <w:rPr>
          <w:lang w:eastAsia="zh-CN"/>
        </w:rPr>
        <w:t>2012</w:t>
      </w:r>
      <w:r w:rsidR="00EC7A77" w:rsidRPr="00AD1163">
        <w:rPr>
          <w:lang w:eastAsia="zh-CN"/>
        </w:rPr>
        <w:t>年</w:t>
      </w:r>
      <w:r w:rsidR="00EC7A77" w:rsidRPr="00AD1163">
        <w:rPr>
          <w:lang w:eastAsia="zh-CN"/>
        </w:rPr>
        <w:t>2</w:t>
      </w:r>
      <w:r w:rsidR="00EC7A77" w:rsidRPr="00AD1163">
        <w:rPr>
          <w:lang w:eastAsia="zh-CN"/>
        </w:rPr>
        <w:t>月</w:t>
      </w:r>
      <w:r w:rsidR="00EC7A77" w:rsidRPr="00AD1163">
        <w:rPr>
          <w:lang w:eastAsia="zh-CN"/>
        </w:rPr>
        <w:t>18</w:t>
      </w:r>
      <w:r w:rsidR="00EC7A77" w:rsidRPr="00AD1163">
        <w:rPr>
          <w:lang w:eastAsia="zh-CN"/>
        </w:rPr>
        <w:t>日起，本决议后附资料提出的关于处理</w:t>
      </w:r>
      <w:r w:rsidR="00EC7A77" w:rsidRPr="00AD1163">
        <w:rPr>
          <w:lang w:eastAsia="zh-CN"/>
        </w:rPr>
        <w:t>1</w:t>
      </w:r>
      <w:r w:rsidR="00EC7A77" w:rsidRPr="00AD1163">
        <w:rPr>
          <w:lang w:eastAsia="zh-CN"/>
        </w:rPr>
        <w:t>区和</w:t>
      </w:r>
      <w:r w:rsidR="00EC7A77" w:rsidRPr="00AD1163">
        <w:rPr>
          <w:lang w:eastAsia="zh-CN"/>
        </w:rPr>
        <w:t>3</w:t>
      </w:r>
      <w:r w:rsidR="00057E68" w:rsidRPr="00AD1163">
        <w:rPr>
          <w:lang w:eastAsia="zh-CN"/>
        </w:rPr>
        <w:t>区</w:t>
      </w:r>
      <w:r w:rsidR="00EC7A77" w:rsidRPr="00AD1163">
        <w:rPr>
          <w:lang w:eastAsia="zh-CN"/>
        </w:rPr>
        <w:t>21.4-22 GHz</w:t>
      </w:r>
      <w:r w:rsidR="00057E68" w:rsidRPr="00AD1163">
        <w:rPr>
          <w:lang w:eastAsia="zh-CN"/>
        </w:rPr>
        <w:t>频段内</w:t>
      </w:r>
      <w:r w:rsidR="00057E68" w:rsidRPr="00AD1163">
        <w:rPr>
          <w:lang w:eastAsia="zh-CN"/>
        </w:rPr>
        <w:t>BSS</w:t>
      </w:r>
      <w:r w:rsidR="00A11441">
        <w:rPr>
          <w:lang w:eastAsia="zh-CN"/>
        </w:rPr>
        <w:t>频率协调</w:t>
      </w:r>
      <w:r w:rsidR="00057E68" w:rsidRPr="00AD1163">
        <w:rPr>
          <w:lang w:eastAsia="zh-CN"/>
        </w:rPr>
        <w:t>请</w:t>
      </w:r>
      <w:r w:rsidR="00A11441">
        <w:rPr>
          <w:rFonts w:hint="eastAsia"/>
          <w:lang w:eastAsia="zh-CN"/>
        </w:rPr>
        <w:t>求</w:t>
      </w:r>
      <w:r w:rsidR="00057E68" w:rsidRPr="00AD1163">
        <w:rPr>
          <w:lang w:eastAsia="zh-CN"/>
        </w:rPr>
        <w:t>的特别程序须适用于符合该决议后附资料中规定要求的主管部门的资料申报。</w:t>
      </w:r>
    </w:p>
    <w:p w:rsidR="00EC7A77" w:rsidRPr="00AD1163" w:rsidRDefault="00A11441" w:rsidP="000445E4">
      <w:pPr>
        <w:ind w:firstLineChars="200" w:firstLine="480"/>
        <w:rPr>
          <w:lang w:eastAsia="zh-CN"/>
        </w:rPr>
      </w:pPr>
      <w:r>
        <w:rPr>
          <w:lang w:eastAsia="zh-CN"/>
        </w:rPr>
        <w:t>因此，</w:t>
      </w:r>
      <w:r>
        <w:rPr>
          <w:rFonts w:hint="eastAsia"/>
          <w:lang w:eastAsia="zh-CN"/>
        </w:rPr>
        <w:t>对于</w:t>
      </w:r>
      <w:r w:rsidR="00EC7A77" w:rsidRPr="00AD1163">
        <w:rPr>
          <w:lang w:eastAsia="zh-CN"/>
        </w:rPr>
        <w:t>21.4-22 GHz</w:t>
      </w:r>
      <w:r>
        <w:rPr>
          <w:lang w:eastAsia="zh-CN"/>
        </w:rPr>
        <w:t>频段，</w:t>
      </w:r>
      <w:r w:rsidR="00057E68" w:rsidRPr="00AD1163">
        <w:rPr>
          <w:lang w:eastAsia="zh-CN"/>
        </w:rPr>
        <w:t>一个主管部门或一个代表</w:t>
      </w:r>
      <w:r>
        <w:rPr>
          <w:rFonts w:hint="eastAsia"/>
          <w:lang w:eastAsia="zh-CN"/>
        </w:rPr>
        <w:t>一组</w:t>
      </w:r>
      <w:r w:rsidR="00057E68" w:rsidRPr="00AD1163">
        <w:rPr>
          <w:lang w:eastAsia="zh-CN"/>
        </w:rPr>
        <w:t>在</w:t>
      </w:r>
      <w:r w:rsidR="00057E68" w:rsidRPr="00AD1163">
        <w:rPr>
          <w:lang w:eastAsia="zh-CN"/>
        </w:rPr>
        <w:t>MIFR</w:t>
      </w:r>
      <w:r>
        <w:rPr>
          <w:lang w:eastAsia="zh-CN"/>
        </w:rPr>
        <w:t>中</w:t>
      </w:r>
      <w:r w:rsidR="00057E68" w:rsidRPr="00AD1163">
        <w:rPr>
          <w:lang w:eastAsia="zh-CN"/>
        </w:rPr>
        <w:t>没有按照第</w:t>
      </w:r>
      <w:r w:rsidR="00057E68" w:rsidRPr="00BB5D7B">
        <w:rPr>
          <w:b/>
          <w:bCs/>
          <w:lang w:eastAsia="zh-CN"/>
        </w:rPr>
        <w:t>11</w:t>
      </w:r>
      <w:r w:rsidR="00DE1238">
        <w:rPr>
          <w:lang w:eastAsia="zh-CN"/>
        </w:rPr>
        <w:t>条通知</w:t>
      </w:r>
      <w:r w:rsidR="00DE1238">
        <w:rPr>
          <w:rFonts w:hint="eastAsia"/>
          <w:lang w:eastAsia="zh-CN"/>
        </w:rPr>
        <w:t>或</w:t>
      </w:r>
      <w:r w:rsidR="00057E68" w:rsidRPr="00AD1163">
        <w:rPr>
          <w:lang w:eastAsia="zh-CN"/>
        </w:rPr>
        <w:t>没有</w:t>
      </w:r>
      <w:r w:rsidR="00DE1238">
        <w:rPr>
          <w:rFonts w:hint="eastAsia"/>
          <w:lang w:eastAsia="zh-CN"/>
        </w:rPr>
        <w:t>按照</w:t>
      </w:r>
      <w:r w:rsidR="00057E68" w:rsidRPr="00AD1163">
        <w:rPr>
          <w:lang w:eastAsia="zh-CN"/>
        </w:rPr>
        <w:t>第</w:t>
      </w:r>
      <w:r w:rsidR="00EC7A77" w:rsidRPr="00AD1163">
        <w:rPr>
          <w:b/>
          <w:bCs/>
          <w:lang w:eastAsia="zh-CN"/>
        </w:rPr>
        <w:t>9.34</w:t>
      </w:r>
      <w:r w:rsidR="00057E68" w:rsidRPr="00AD1163">
        <w:rPr>
          <w:lang w:eastAsia="zh-CN"/>
        </w:rPr>
        <w:t>款审查合格并根据第</w:t>
      </w:r>
      <w:r w:rsidR="00057E68" w:rsidRPr="00AD1163">
        <w:rPr>
          <w:b/>
          <w:bCs/>
          <w:lang w:eastAsia="zh-CN"/>
        </w:rPr>
        <w:t>9.38</w:t>
      </w:r>
      <w:r w:rsidR="00DE1238">
        <w:rPr>
          <w:lang w:eastAsia="zh-CN"/>
        </w:rPr>
        <w:t>款公布的网络</w:t>
      </w:r>
      <w:r w:rsidR="00DE1238">
        <w:rPr>
          <w:rFonts w:hint="eastAsia"/>
          <w:lang w:eastAsia="zh-CN"/>
        </w:rPr>
        <w:t>的主管部门的主管部门</w:t>
      </w:r>
      <w:r w:rsidR="00057E68" w:rsidRPr="00AD1163">
        <w:rPr>
          <w:lang w:eastAsia="zh-CN"/>
        </w:rPr>
        <w:t>，</w:t>
      </w:r>
      <w:r w:rsidR="00DE1238" w:rsidRPr="00AD1163">
        <w:rPr>
          <w:lang w:eastAsia="zh-CN"/>
        </w:rPr>
        <w:t>只能应用一次</w:t>
      </w:r>
      <w:r w:rsidR="00057E68" w:rsidRPr="00AD1163">
        <w:rPr>
          <w:lang w:eastAsia="zh-CN"/>
        </w:rPr>
        <w:t>特别程序</w:t>
      </w:r>
      <w:r w:rsidR="00DE1238">
        <w:rPr>
          <w:lang w:eastAsia="zh-CN"/>
        </w:rPr>
        <w:t>（本决议第</w:t>
      </w:r>
      <w:r w:rsidR="00DE1238">
        <w:rPr>
          <w:rFonts w:hint="eastAsia"/>
          <w:lang w:eastAsia="zh-CN"/>
        </w:rPr>
        <w:t>3</w:t>
      </w:r>
      <w:r w:rsidR="00057E68" w:rsidRPr="00AD1163">
        <w:rPr>
          <w:lang w:eastAsia="zh-CN"/>
        </w:rPr>
        <w:t>段所述的情</w:t>
      </w:r>
      <w:r w:rsidR="00DE1238">
        <w:rPr>
          <w:lang w:eastAsia="zh-CN"/>
        </w:rPr>
        <w:t>况除外）。该决议的后附资料进一步说明如何寻求无线电通信局的帮助</w:t>
      </w:r>
      <w:r w:rsidR="00DE1238">
        <w:rPr>
          <w:rFonts w:hint="eastAsia"/>
          <w:lang w:eastAsia="zh-CN"/>
        </w:rPr>
        <w:t>和</w:t>
      </w:r>
      <w:r w:rsidR="00057E68" w:rsidRPr="00AD1163">
        <w:rPr>
          <w:lang w:eastAsia="zh-CN"/>
        </w:rPr>
        <w:t>提交特别请求、网络将使用的特性、确定受影响网络</w:t>
      </w:r>
      <w:r w:rsidR="00057E68" w:rsidRPr="00AD1163">
        <w:rPr>
          <w:lang w:eastAsia="zh-CN"/>
        </w:rPr>
        <w:t>/</w:t>
      </w:r>
      <w:r w:rsidR="00057E68" w:rsidRPr="00AD1163">
        <w:rPr>
          <w:lang w:eastAsia="zh-CN"/>
        </w:rPr>
        <w:t>主管部门时应采取的标准，以及无线电通信局将如何</w:t>
      </w:r>
      <w:r w:rsidR="00DE1238">
        <w:rPr>
          <w:rFonts w:hint="eastAsia"/>
          <w:lang w:eastAsia="zh-CN"/>
        </w:rPr>
        <w:t>在</w:t>
      </w:r>
      <w:r w:rsidR="00057E68" w:rsidRPr="00AD1163">
        <w:rPr>
          <w:lang w:eastAsia="zh-CN"/>
        </w:rPr>
        <w:t>尚未按照第</w:t>
      </w:r>
      <w:r w:rsidR="00057E68" w:rsidRPr="00AD1163">
        <w:rPr>
          <w:b/>
          <w:bCs/>
          <w:lang w:eastAsia="zh-CN"/>
        </w:rPr>
        <w:t>9.34</w:t>
      </w:r>
      <w:r w:rsidR="00057E68" w:rsidRPr="00AD1163">
        <w:rPr>
          <w:lang w:eastAsia="zh-CN"/>
        </w:rPr>
        <w:t>款处理提交资料前处理这种特别程序案例。</w:t>
      </w:r>
    </w:p>
    <w:p w:rsidR="00EC7A77" w:rsidRPr="00AD1163" w:rsidRDefault="00DE1238" w:rsidP="000445E4">
      <w:pPr>
        <w:ind w:firstLineChars="200" w:firstLine="480"/>
        <w:rPr>
          <w:lang w:eastAsia="zh-CN"/>
        </w:rPr>
      </w:pPr>
      <w:r>
        <w:rPr>
          <w:rFonts w:hint="eastAsia"/>
          <w:lang w:eastAsia="zh-CN"/>
        </w:rPr>
        <w:t>由</w:t>
      </w:r>
      <w:r>
        <w:rPr>
          <w:lang w:eastAsia="zh-CN"/>
        </w:rPr>
        <w:t>此，无线电通信局</w:t>
      </w:r>
      <w:r>
        <w:rPr>
          <w:rFonts w:hint="eastAsia"/>
          <w:lang w:eastAsia="zh-CN"/>
        </w:rPr>
        <w:t>将</w:t>
      </w:r>
      <w:r w:rsidRPr="00AD1163">
        <w:rPr>
          <w:lang w:eastAsia="zh-CN"/>
        </w:rPr>
        <w:t>按照大会在其第</w:t>
      </w:r>
      <w:r w:rsidRPr="00AD1163">
        <w:rPr>
          <w:lang w:eastAsia="zh-CN"/>
        </w:rPr>
        <w:t>13</w:t>
      </w:r>
      <w:r w:rsidRPr="00AD1163">
        <w:rPr>
          <w:lang w:eastAsia="zh-CN"/>
        </w:rPr>
        <w:t>次全体会议上的确认，</w:t>
      </w:r>
      <w:r w:rsidR="00057E68" w:rsidRPr="00AD1163">
        <w:rPr>
          <w:lang w:eastAsia="zh-CN"/>
        </w:rPr>
        <w:t>结合第</w:t>
      </w:r>
      <w:r w:rsidR="00057E68" w:rsidRPr="009F715A">
        <w:rPr>
          <w:b/>
          <w:bCs/>
          <w:lang w:eastAsia="zh-CN"/>
        </w:rPr>
        <w:t>554</w:t>
      </w:r>
      <w:r w:rsidR="00057E68" w:rsidRPr="00AD1163">
        <w:rPr>
          <w:lang w:eastAsia="zh-CN"/>
        </w:rPr>
        <w:t>号决议</w:t>
      </w:r>
      <w:r>
        <w:rPr>
          <w:rFonts w:hint="eastAsia"/>
          <w:lang w:eastAsia="zh-CN"/>
        </w:rPr>
        <w:t>所含程序，</w:t>
      </w:r>
      <w:r w:rsidR="00057E68" w:rsidRPr="00AD1163">
        <w:rPr>
          <w:lang w:eastAsia="zh-CN"/>
        </w:rPr>
        <w:t>对</w:t>
      </w:r>
      <w:r w:rsidR="00EC7A77" w:rsidRPr="00AD1163">
        <w:rPr>
          <w:lang w:eastAsia="zh-CN"/>
        </w:rPr>
        <w:t>21.4-22 GHz</w:t>
      </w:r>
      <w:r w:rsidR="00057E68" w:rsidRPr="00AD1163">
        <w:rPr>
          <w:lang w:eastAsia="zh-CN"/>
        </w:rPr>
        <w:t>频段内的所有下列协调案例应用本决议的这些程序：根据第</w:t>
      </w:r>
      <w:r w:rsidR="00057E68" w:rsidRPr="009F715A">
        <w:rPr>
          <w:b/>
          <w:bCs/>
          <w:lang w:eastAsia="zh-CN"/>
        </w:rPr>
        <w:t>553</w:t>
      </w:r>
      <w:r w:rsidR="00057E68" w:rsidRPr="00AD1163">
        <w:rPr>
          <w:lang w:eastAsia="zh-CN"/>
        </w:rPr>
        <w:t>号决议，在收到特别程序</w:t>
      </w:r>
      <w:r>
        <w:rPr>
          <w:lang w:eastAsia="zh-CN"/>
        </w:rPr>
        <w:t>案例完整协调请求资料之日尚未</w:t>
      </w:r>
      <w:r w:rsidR="00942C7F" w:rsidRPr="00AD1163">
        <w:rPr>
          <w:lang w:eastAsia="zh-CN"/>
        </w:rPr>
        <w:t>按照第</w:t>
      </w:r>
      <w:r w:rsidR="00942C7F" w:rsidRPr="00AD1163">
        <w:rPr>
          <w:b/>
          <w:bCs/>
          <w:lang w:eastAsia="zh-CN"/>
        </w:rPr>
        <w:t>9.34</w:t>
      </w:r>
      <w:r w:rsidR="00942C7F" w:rsidRPr="00AD1163">
        <w:rPr>
          <w:lang w:eastAsia="zh-CN"/>
        </w:rPr>
        <w:t>款</w:t>
      </w:r>
      <w:r>
        <w:rPr>
          <w:rFonts w:hint="eastAsia"/>
          <w:lang w:eastAsia="zh-CN"/>
        </w:rPr>
        <w:t>得到</w:t>
      </w:r>
      <w:r w:rsidR="00942C7F" w:rsidRPr="00AD1163">
        <w:rPr>
          <w:lang w:eastAsia="zh-CN"/>
        </w:rPr>
        <w:t>审查的</w:t>
      </w:r>
      <w:r>
        <w:rPr>
          <w:rFonts w:hint="eastAsia"/>
          <w:lang w:eastAsia="zh-CN"/>
        </w:rPr>
        <w:t>请求（无论</w:t>
      </w:r>
      <w:r w:rsidR="00942C7F" w:rsidRPr="00AD1163">
        <w:rPr>
          <w:lang w:eastAsia="zh-CN"/>
        </w:rPr>
        <w:t>收到日期</w:t>
      </w:r>
      <w:r>
        <w:rPr>
          <w:rFonts w:hint="eastAsia"/>
          <w:lang w:eastAsia="zh-CN"/>
        </w:rPr>
        <w:t>为何）</w:t>
      </w:r>
      <w:r w:rsidR="00942C7F" w:rsidRPr="00AD1163">
        <w:rPr>
          <w:lang w:eastAsia="zh-CN"/>
        </w:rPr>
        <w:t>。一旦无线电通信局收到特别程序案例，则为了优先</w:t>
      </w:r>
      <w:r>
        <w:rPr>
          <w:rFonts w:hint="eastAsia"/>
          <w:lang w:eastAsia="zh-CN"/>
        </w:rPr>
        <w:t>对其予以</w:t>
      </w:r>
      <w:r>
        <w:rPr>
          <w:lang w:eastAsia="zh-CN"/>
        </w:rPr>
        <w:t>处理</w:t>
      </w:r>
      <w:r w:rsidR="00942C7F" w:rsidRPr="00AD1163">
        <w:rPr>
          <w:lang w:eastAsia="zh-CN"/>
        </w:rPr>
        <w:t>，包括</w:t>
      </w:r>
      <w:r w:rsidR="00EC7A77" w:rsidRPr="00AD1163">
        <w:rPr>
          <w:lang w:eastAsia="zh-CN"/>
        </w:rPr>
        <w:t>21.4-22 GHz</w:t>
      </w:r>
      <w:r w:rsidR="00942C7F" w:rsidRPr="00AD1163">
        <w:rPr>
          <w:lang w:eastAsia="zh-CN"/>
        </w:rPr>
        <w:t>频段内</w:t>
      </w:r>
      <w:r w:rsidR="00942C7F" w:rsidRPr="00AD1163">
        <w:rPr>
          <w:lang w:eastAsia="zh-CN"/>
        </w:rPr>
        <w:t>BSS</w:t>
      </w:r>
      <w:r w:rsidR="00942C7F" w:rsidRPr="00AD1163">
        <w:rPr>
          <w:lang w:eastAsia="zh-CN"/>
        </w:rPr>
        <w:t>频率指配的尚未被审查的所有协调请求都将被分为两个卫星网络申报，并将为</w:t>
      </w:r>
      <w:r w:rsidR="00EC7A77" w:rsidRPr="00AD1163">
        <w:rPr>
          <w:lang w:eastAsia="zh-CN"/>
        </w:rPr>
        <w:t>21.4-22 GHz</w:t>
      </w:r>
      <w:r w:rsidR="00942C7F" w:rsidRPr="00AD1163">
        <w:rPr>
          <w:lang w:eastAsia="zh-CN"/>
        </w:rPr>
        <w:t>频段内的此类</w:t>
      </w:r>
      <w:r w:rsidR="00942C7F" w:rsidRPr="00AD1163">
        <w:rPr>
          <w:lang w:eastAsia="zh-CN"/>
        </w:rPr>
        <w:t>BSS</w:t>
      </w:r>
      <w:r w:rsidR="00942C7F" w:rsidRPr="00AD1163">
        <w:rPr>
          <w:lang w:eastAsia="zh-CN"/>
        </w:rPr>
        <w:t>协调请求设立单独的通知系列，且将单独向这些系列收取成本回收费用。因此，将要求主管部门对</w:t>
      </w:r>
      <w:r w:rsidR="00EC7A77" w:rsidRPr="00AD1163">
        <w:rPr>
          <w:lang w:eastAsia="zh-CN"/>
        </w:rPr>
        <w:t>21.4-22 GHz</w:t>
      </w:r>
      <w:r w:rsidR="00942C7F" w:rsidRPr="00AD1163">
        <w:rPr>
          <w:lang w:eastAsia="zh-CN"/>
        </w:rPr>
        <w:t>频段内的</w:t>
      </w:r>
      <w:r w:rsidR="00942C7F" w:rsidRPr="00AD1163">
        <w:rPr>
          <w:lang w:eastAsia="zh-CN"/>
        </w:rPr>
        <w:t>BSS</w:t>
      </w:r>
      <w:r>
        <w:rPr>
          <w:lang w:eastAsia="zh-CN"/>
        </w:rPr>
        <w:t>和相应馈线链路提交单独卫星网络申报，如若不然，无线电通信局</w:t>
      </w:r>
      <w:r>
        <w:rPr>
          <w:rFonts w:hint="eastAsia"/>
          <w:lang w:eastAsia="zh-CN"/>
        </w:rPr>
        <w:t>会</w:t>
      </w:r>
      <w:r w:rsidR="00942C7F" w:rsidRPr="00AD1163">
        <w:rPr>
          <w:lang w:eastAsia="zh-CN"/>
        </w:rPr>
        <w:t>将申报</w:t>
      </w:r>
      <w:r>
        <w:rPr>
          <w:rFonts w:hint="eastAsia"/>
          <w:lang w:eastAsia="zh-CN"/>
        </w:rPr>
        <w:t>一</w:t>
      </w:r>
      <w:r w:rsidR="00942C7F" w:rsidRPr="00AD1163">
        <w:rPr>
          <w:lang w:eastAsia="zh-CN"/>
        </w:rPr>
        <w:t>分</w:t>
      </w:r>
      <w:r>
        <w:rPr>
          <w:rFonts w:hint="eastAsia"/>
          <w:lang w:eastAsia="zh-CN"/>
        </w:rPr>
        <w:t>为二</w:t>
      </w:r>
      <w:r w:rsidR="00942C7F" w:rsidRPr="00AD1163">
        <w:rPr>
          <w:lang w:eastAsia="zh-CN"/>
        </w:rPr>
        <w:t>。</w:t>
      </w:r>
    </w:p>
    <w:p w:rsidR="00D73D34" w:rsidRDefault="00D73D34">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EC7A77" w:rsidRPr="00AD1163" w:rsidRDefault="009F715A" w:rsidP="000445E4">
      <w:pPr>
        <w:rPr>
          <w:lang w:eastAsia="zh-CN"/>
        </w:rPr>
      </w:pPr>
      <w:r>
        <w:rPr>
          <w:rFonts w:hint="eastAsia"/>
          <w:lang w:eastAsia="zh-CN"/>
        </w:rPr>
        <w:lastRenderedPageBreak/>
        <w:t>6</w:t>
      </w:r>
      <w:r w:rsidR="00EC7A77" w:rsidRPr="00AD1163">
        <w:rPr>
          <w:lang w:eastAsia="zh-CN"/>
        </w:rPr>
        <w:t>.7</w:t>
      </w:r>
      <w:r w:rsidR="00EC7A77" w:rsidRPr="00AD1163">
        <w:rPr>
          <w:lang w:eastAsia="zh-CN"/>
        </w:rPr>
        <w:tab/>
      </w:r>
      <w:r w:rsidR="00942C7F" w:rsidRPr="00AD1163">
        <w:rPr>
          <w:rFonts w:eastAsia="STKaiti"/>
          <w:lang w:eastAsia="zh-CN"/>
        </w:rPr>
        <w:t>第</w:t>
      </w:r>
      <w:r w:rsidR="00EC7A77" w:rsidRPr="00AD1163">
        <w:rPr>
          <w:rFonts w:eastAsia="STKaiti"/>
          <w:b/>
          <w:bCs/>
          <w:lang w:eastAsia="zh-CN"/>
        </w:rPr>
        <w:t>554</w:t>
      </w:r>
      <w:r w:rsidR="00942C7F" w:rsidRPr="00AD1163">
        <w:rPr>
          <w:rFonts w:eastAsia="STKaiti"/>
          <w:lang w:eastAsia="zh-CN"/>
        </w:rPr>
        <w:t>号决议</w:t>
      </w:r>
      <w:r w:rsidR="00942C7F" w:rsidRPr="00AD1163">
        <w:rPr>
          <w:rFonts w:eastAsia="STKaiti"/>
          <w:b/>
          <w:bCs/>
          <w:lang w:eastAsia="zh-CN"/>
        </w:rPr>
        <w:t>（</w:t>
      </w:r>
      <w:r w:rsidR="00EC7A77" w:rsidRPr="00AD1163">
        <w:rPr>
          <w:rFonts w:eastAsia="STKaiti"/>
          <w:b/>
          <w:bCs/>
          <w:lang w:eastAsia="zh-CN"/>
        </w:rPr>
        <w:t>WRC-12</w:t>
      </w:r>
      <w:r w:rsidR="00942C7F" w:rsidRPr="00AD1163">
        <w:rPr>
          <w:rFonts w:eastAsia="STKaiti"/>
          <w:b/>
          <w:bCs/>
          <w:lang w:eastAsia="zh-CN"/>
        </w:rPr>
        <w:t>）</w:t>
      </w:r>
      <w:r w:rsidR="00942C7F" w:rsidRPr="00AD1163">
        <w:rPr>
          <w:rFonts w:eastAsia="STKaiti"/>
          <w:lang w:eastAsia="zh-CN"/>
        </w:rPr>
        <w:t>涉及应用</w:t>
      </w:r>
      <w:proofErr w:type="spellStart"/>
      <w:r w:rsidR="00942C7F" w:rsidRPr="00AD1163">
        <w:rPr>
          <w:rFonts w:eastAsia="STKaiti"/>
          <w:lang w:eastAsia="zh-CN"/>
        </w:rPr>
        <w:t>pfd</w:t>
      </w:r>
      <w:proofErr w:type="spellEnd"/>
      <w:r w:rsidR="00942C7F" w:rsidRPr="00AD1163">
        <w:rPr>
          <w:rFonts w:eastAsia="STKaiti"/>
          <w:lang w:eastAsia="zh-CN"/>
        </w:rPr>
        <w:t>掩模对</w:t>
      </w:r>
      <w:r w:rsidR="00942C7F" w:rsidRPr="00AD1163">
        <w:rPr>
          <w:rFonts w:eastAsia="STKaiti"/>
          <w:lang w:eastAsia="zh-CN"/>
        </w:rPr>
        <w:t>1</w:t>
      </w:r>
      <w:r w:rsidR="00942C7F" w:rsidRPr="00AD1163">
        <w:rPr>
          <w:rFonts w:eastAsia="STKaiti"/>
          <w:lang w:eastAsia="zh-CN"/>
        </w:rPr>
        <w:t>区和</w:t>
      </w:r>
      <w:r w:rsidR="00942C7F" w:rsidRPr="00AD1163">
        <w:rPr>
          <w:rFonts w:eastAsia="STKaiti"/>
          <w:lang w:eastAsia="zh-CN"/>
        </w:rPr>
        <w:t>3</w:t>
      </w:r>
      <w:r w:rsidR="00942C7F" w:rsidRPr="00AD1163">
        <w:rPr>
          <w:rFonts w:eastAsia="STKaiti"/>
          <w:lang w:eastAsia="zh-CN"/>
        </w:rPr>
        <w:t>区</w:t>
      </w:r>
      <w:r w:rsidR="00EC7A77" w:rsidRPr="00AD1163">
        <w:rPr>
          <w:rFonts w:eastAsia="STKaiti"/>
          <w:lang w:eastAsia="zh-CN"/>
        </w:rPr>
        <w:t>21.4-22 GHz</w:t>
      </w:r>
      <w:r w:rsidR="00942C7F" w:rsidRPr="00AD1163">
        <w:rPr>
          <w:rFonts w:eastAsia="STKaiti"/>
          <w:lang w:eastAsia="zh-CN"/>
        </w:rPr>
        <w:t>频段内卫星广播业务网络进行协调：</w:t>
      </w:r>
      <w:r w:rsidR="00942C7F" w:rsidRPr="00AD1163">
        <w:rPr>
          <w:lang w:eastAsia="zh-CN"/>
        </w:rPr>
        <w:t>根据本决议</w:t>
      </w:r>
      <w:r w:rsidR="00942C7F" w:rsidRPr="00AD1163">
        <w:rPr>
          <w:rFonts w:eastAsia="STKaiti"/>
          <w:lang w:eastAsia="zh-CN"/>
        </w:rPr>
        <w:t>做出决议</w:t>
      </w:r>
      <w:r w:rsidR="00942C7F" w:rsidRPr="00AD1163">
        <w:rPr>
          <w:lang w:eastAsia="zh-CN"/>
        </w:rPr>
        <w:t>1</w:t>
      </w:r>
      <w:r w:rsidR="00942C7F" w:rsidRPr="00AD1163">
        <w:rPr>
          <w:lang w:eastAsia="zh-CN"/>
        </w:rPr>
        <w:t>段落，自</w:t>
      </w:r>
      <w:r w:rsidR="00942C7F" w:rsidRPr="00AD1163">
        <w:rPr>
          <w:lang w:eastAsia="zh-CN"/>
        </w:rPr>
        <w:t>2012</w:t>
      </w:r>
      <w:r w:rsidR="00942C7F" w:rsidRPr="00AD1163">
        <w:rPr>
          <w:lang w:eastAsia="zh-CN"/>
        </w:rPr>
        <w:t>年</w:t>
      </w:r>
      <w:r w:rsidR="00942C7F" w:rsidRPr="00AD1163">
        <w:rPr>
          <w:lang w:eastAsia="zh-CN"/>
        </w:rPr>
        <w:t>2</w:t>
      </w:r>
      <w:r w:rsidR="00942C7F" w:rsidRPr="00AD1163">
        <w:rPr>
          <w:lang w:eastAsia="zh-CN"/>
        </w:rPr>
        <w:t>月</w:t>
      </w:r>
      <w:r w:rsidR="00942C7F" w:rsidRPr="00AD1163">
        <w:rPr>
          <w:lang w:eastAsia="zh-CN"/>
        </w:rPr>
        <w:t>18</w:t>
      </w:r>
      <w:r w:rsidR="00DE1238">
        <w:rPr>
          <w:lang w:eastAsia="zh-CN"/>
        </w:rPr>
        <w:t>日起，除了</w:t>
      </w:r>
      <w:r w:rsidR="00EC7A77" w:rsidRPr="00AD1163">
        <w:rPr>
          <w:lang w:eastAsia="zh-CN"/>
        </w:rPr>
        <w:t>+/-12</w:t>
      </w:r>
      <w:r w:rsidR="00942C7F" w:rsidRPr="00AD1163">
        <w:rPr>
          <w:lang w:eastAsia="zh-CN"/>
        </w:rPr>
        <w:t>度的新协调弧外，</w:t>
      </w:r>
      <w:r w:rsidR="00942C7F" w:rsidRPr="00AD1163">
        <w:rPr>
          <w:lang w:eastAsia="zh-CN"/>
        </w:rPr>
        <w:t>WRC-12</w:t>
      </w:r>
      <w:r w:rsidR="00942C7F" w:rsidRPr="00AD1163">
        <w:rPr>
          <w:lang w:eastAsia="zh-CN"/>
        </w:rPr>
        <w:t>还引入了新的</w:t>
      </w:r>
      <w:proofErr w:type="spellStart"/>
      <w:r w:rsidR="00942C7F" w:rsidRPr="00AD1163">
        <w:rPr>
          <w:lang w:eastAsia="zh-CN"/>
        </w:rPr>
        <w:t>pfd</w:t>
      </w:r>
      <w:proofErr w:type="spellEnd"/>
      <w:r w:rsidR="00942C7F" w:rsidRPr="00AD1163">
        <w:rPr>
          <w:lang w:eastAsia="zh-CN"/>
        </w:rPr>
        <w:t>门限值来确定按照第</w:t>
      </w:r>
      <w:r w:rsidR="00942C7F" w:rsidRPr="00AD1163">
        <w:rPr>
          <w:b/>
          <w:bCs/>
          <w:lang w:eastAsia="zh-CN"/>
        </w:rPr>
        <w:t>9.7</w:t>
      </w:r>
      <w:r w:rsidR="00942C7F" w:rsidRPr="00AD1163">
        <w:rPr>
          <w:lang w:eastAsia="zh-CN"/>
        </w:rPr>
        <w:t>款，</w:t>
      </w:r>
      <w:r w:rsidR="00942C7F" w:rsidRPr="00AD1163">
        <w:rPr>
          <w:lang w:eastAsia="zh-CN"/>
        </w:rPr>
        <w:t>1</w:t>
      </w:r>
      <w:r w:rsidR="00942C7F" w:rsidRPr="00AD1163">
        <w:rPr>
          <w:lang w:eastAsia="zh-CN"/>
        </w:rPr>
        <w:t>区和</w:t>
      </w:r>
      <w:r w:rsidR="00942C7F" w:rsidRPr="00AD1163">
        <w:rPr>
          <w:lang w:eastAsia="zh-CN"/>
        </w:rPr>
        <w:t>3</w:t>
      </w:r>
      <w:r w:rsidR="00942C7F" w:rsidRPr="00AD1163">
        <w:rPr>
          <w:lang w:eastAsia="zh-CN"/>
        </w:rPr>
        <w:t>区</w:t>
      </w:r>
      <w:r w:rsidR="00EC7A77" w:rsidRPr="00AD1163">
        <w:rPr>
          <w:lang w:eastAsia="zh-CN"/>
        </w:rPr>
        <w:t>21.4-22 GHz</w:t>
      </w:r>
      <w:r w:rsidR="00942C7F" w:rsidRPr="00AD1163">
        <w:rPr>
          <w:lang w:eastAsia="zh-CN"/>
        </w:rPr>
        <w:t>频段内</w:t>
      </w:r>
      <w:r w:rsidR="00942C7F" w:rsidRPr="00AD1163">
        <w:rPr>
          <w:lang w:eastAsia="zh-CN"/>
        </w:rPr>
        <w:t>BSS</w:t>
      </w:r>
      <w:r w:rsidR="00942C7F" w:rsidRPr="00AD1163">
        <w:rPr>
          <w:lang w:eastAsia="zh-CN"/>
        </w:rPr>
        <w:t>网络需与之协调的主管部门和卫星网络。此外，该决议</w:t>
      </w:r>
      <w:r w:rsidR="00942C7F" w:rsidRPr="00AD1163">
        <w:rPr>
          <w:rFonts w:eastAsia="STKaiti"/>
          <w:lang w:eastAsia="zh-CN"/>
        </w:rPr>
        <w:t>做出决议</w:t>
      </w:r>
      <w:r w:rsidR="00942C7F" w:rsidRPr="00AD1163">
        <w:rPr>
          <w:lang w:eastAsia="zh-CN"/>
        </w:rPr>
        <w:t>2</w:t>
      </w:r>
      <w:r w:rsidR="00942C7F" w:rsidRPr="00AD1163">
        <w:rPr>
          <w:lang w:eastAsia="zh-CN"/>
        </w:rPr>
        <w:t>段落要求，</w:t>
      </w:r>
      <w:r w:rsidR="00942C7F" w:rsidRPr="00AD1163">
        <w:rPr>
          <w:lang w:eastAsia="zh-CN"/>
        </w:rPr>
        <w:t>“</w:t>
      </w:r>
      <w:r w:rsidR="00942C7F" w:rsidRPr="00AD1163">
        <w:rPr>
          <w:lang w:eastAsia="zh-CN"/>
        </w:rPr>
        <w:t>无线电通信局根据第</w:t>
      </w:r>
      <w:r w:rsidR="00942C7F" w:rsidRPr="00AD1163">
        <w:rPr>
          <w:b/>
          <w:bCs/>
          <w:lang w:eastAsia="zh-CN"/>
        </w:rPr>
        <w:t>11.32</w:t>
      </w:r>
      <w:r w:rsidR="00DE1238">
        <w:rPr>
          <w:lang w:eastAsia="zh-CN"/>
        </w:rPr>
        <w:t>款审查卫星网络通知是否符合协调程序时，其审查结果的依据</w:t>
      </w:r>
      <w:r w:rsidR="00DE1238">
        <w:rPr>
          <w:rFonts w:hint="eastAsia"/>
          <w:lang w:eastAsia="zh-CN"/>
        </w:rPr>
        <w:t>须</w:t>
      </w:r>
      <w:r w:rsidR="00942C7F" w:rsidRPr="00AD1163">
        <w:rPr>
          <w:lang w:eastAsia="zh-CN"/>
        </w:rPr>
        <w:t>是</w:t>
      </w:r>
      <w:r w:rsidR="00942C7F" w:rsidRPr="00AD1163">
        <w:rPr>
          <w:lang w:eastAsia="zh-CN"/>
        </w:rPr>
        <w:t>WRC-12</w:t>
      </w:r>
      <w:r w:rsidR="00942C7F" w:rsidRPr="00AD1163">
        <w:rPr>
          <w:lang w:eastAsia="zh-CN"/>
        </w:rPr>
        <w:t>修订的附录</w:t>
      </w:r>
      <w:r w:rsidR="00942C7F" w:rsidRPr="00AD1163">
        <w:rPr>
          <w:lang w:eastAsia="zh-CN"/>
        </w:rPr>
        <w:t>5</w:t>
      </w:r>
      <w:r w:rsidR="00942C7F" w:rsidRPr="00AD1163">
        <w:rPr>
          <w:lang w:eastAsia="zh-CN"/>
        </w:rPr>
        <w:t>表</w:t>
      </w:r>
      <w:r w:rsidR="00EC7A77" w:rsidRPr="00AD1163">
        <w:rPr>
          <w:lang w:eastAsia="zh-CN"/>
        </w:rPr>
        <w:t>5-1</w:t>
      </w:r>
      <w:r w:rsidR="00942C7F" w:rsidRPr="00AD1163">
        <w:rPr>
          <w:lang w:eastAsia="zh-CN"/>
        </w:rPr>
        <w:t>第</w:t>
      </w:r>
      <w:r w:rsidR="00942C7F" w:rsidRPr="00AD1163">
        <w:rPr>
          <w:b/>
          <w:bCs/>
          <w:lang w:eastAsia="zh-CN"/>
        </w:rPr>
        <w:t>9.7</w:t>
      </w:r>
      <w:r w:rsidR="00942C7F" w:rsidRPr="00AD1163">
        <w:rPr>
          <w:lang w:eastAsia="zh-CN"/>
        </w:rPr>
        <w:t>款的协调要求（针对按照第</w:t>
      </w:r>
      <w:r w:rsidR="00942C7F" w:rsidRPr="00AD1163">
        <w:rPr>
          <w:b/>
          <w:bCs/>
          <w:lang w:eastAsia="zh-CN"/>
        </w:rPr>
        <w:t>9.30</w:t>
      </w:r>
      <w:r w:rsidR="00942C7F" w:rsidRPr="00AD1163">
        <w:rPr>
          <w:lang w:eastAsia="zh-CN"/>
        </w:rPr>
        <w:t>款在</w:t>
      </w:r>
      <w:r w:rsidR="00942C7F" w:rsidRPr="00AD1163">
        <w:rPr>
          <w:lang w:eastAsia="zh-CN"/>
        </w:rPr>
        <w:t>2012</w:t>
      </w:r>
      <w:r w:rsidR="00942C7F" w:rsidRPr="00AD1163">
        <w:rPr>
          <w:lang w:eastAsia="zh-CN"/>
        </w:rPr>
        <w:t>年</w:t>
      </w:r>
      <w:r w:rsidR="00942C7F" w:rsidRPr="00AD1163">
        <w:rPr>
          <w:lang w:eastAsia="zh-CN"/>
        </w:rPr>
        <w:t>2</w:t>
      </w:r>
      <w:r w:rsidR="00942C7F" w:rsidRPr="00AD1163">
        <w:rPr>
          <w:lang w:eastAsia="zh-CN"/>
        </w:rPr>
        <w:t>月</w:t>
      </w:r>
      <w:r w:rsidR="00942C7F" w:rsidRPr="00AD1163">
        <w:rPr>
          <w:lang w:eastAsia="zh-CN"/>
        </w:rPr>
        <w:t>18</w:t>
      </w:r>
      <w:r w:rsidR="00942C7F" w:rsidRPr="00AD1163">
        <w:rPr>
          <w:lang w:eastAsia="zh-CN"/>
        </w:rPr>
        <w:t>日之前收到的网络</w:t>
      </w:r>
      <w:r w:rsidR="00DE1238">
        <w:rPr>
          <w:rFonts w:hint="eastAsia"/>
          <w:lang w:eastAsia="zh-CN"/>
        </w:rPr>
        <w:t>）</w:t>
      </w:r>
      <w:r w:rsidR="00942C7F" w:rsidRPr="00AD1163">
        <w:rPr>
          <w:lang w:eastAsia="zh-CN"/>
        </w:rPr>
        <w:t>”</w:t>
      </w:r>
      <w:r w:rsidR="00942C7F" w:rsidRPr="00AD1163">
        <w:rPr>
          <w:lang w:eastAsia="zh-CN"/>
        </w:rPr>
        <w:t>。</w:t>
      </w:r>
    </w:p>
    <w:p w:rsidR="00EC7A77" w:rsidRPr="00AD1163" w:rsidRDefault="009F715A" w:rsidP="009F715A">
      <w:pPr>
        <w:rPr>
          <w:lang w:eastAsia="zh-CN"/>
        </w:rPr>
      </w:pPr>
      <w:r>
        <w:rPr>
          <w:rFonts w:hint="eastAsia"/>
          <w:lang w:eastAsia="zh-CN"/>
        </w:rPr>
        <w:t>6</w:t>
      </w:r>
      <w:r w:rsidR="00EC7A77" w:rsidRPr="00AD1163">
        <w:rPr>
          <w:lang w:eastAsia="zh-CN"/>
        </w:rPr>
        <w:t>.8</w:t>
      </w:r>
      <w:r w:rsidR="00EC7A77" w:rsidRPr="00AD1163">
        <w:rPr>
          <w:lang w:eastAsia="zh-CN"/>
        </w:rPr>
        <w:tab/>
      </w:r>
      <w:r w:rsidR="00942C7F" w:rsidRPr="00AD1163">
        <w:rPr>
          <w:rFonts w:eastAsia="STKaiti"/>
          <w:lang w:eastAsia="zh-CN"/>
        </w:rPr>
        <w:t>第</w:t>
      </w:r>
      <w:r w:rsidR="00EC7A77" w:rsidRPr="00AD1163">
        <w:rPr>
          <w:rFonts w:eastAsia="STKaiti"/>
          <w:b/>
          <w:bCs/>
          <w:lang w:eastAsia="zh-CN"/>
        </w:rPr>
        <w:t>555</w:t>
      </w:r>
      <w:r w:rsidR="00942C7F" w:rsidRPr="00AD1163">
        <w:rPr>
          <w:rFonts w:eastAsia="STKaiti"/>
          <w:lang w:eastAsia="zh-CN"/>
        </w:rPr>
        <w:t>号决议</w:t>
      </w:r>
      <w:r w:rsidR="00942C7F" w:rsidRPr="00AD1163">
        <w:rPr>
          <w:rFonts w:eastAsia="STKaiti"/>
          <w:b/>
          <w:bCs/>
          <w:lang w:eastAsia="zh-CN"/>
        </w:rPr>
        <w:t>（</w:t>
      </w:r>
      <w:r w:rsidR="00EC7A77" w:rsidRPr="00AD1163">
        <w:rPr>
          <w:rFonts w:eastAsia="STKaiti"/>
          <w:b/>
          <w:bCs/>
          <w:lang w:eastAsia="zh-CN"/>
        </w:rPr>
        <w:t>WRC-12</w:t>
      </w:r>
      <w:r w:rsidR="00942C7F" w:rsidRPr="00AD1163">
        <w:rPr>
          <w:rFonts w:eastAsia="STKaiti"/>
          <w:b/>
          <w:bCs/>
          <w:lang w:eastAsia="zh-CN"/>
        </w:rPr>
        <w:t>）</w:t>
      </w:r>
      <w:r w:rsidR="00942C7F" w:rsidRPr="00AD1163">
        <w:rPr>
          <w:rFonts w:ascii="STKaiti" w:eastAsia="STKaiti" w:hAnsi="STKaiti"/>
          <w:lang w:eastAsia="zh-CN"/>
        </w:rPr>
        <w:t>涉及在应用《组织法》体现的原则方面所做的行政应付努力：</w:t>
      </w:r>
      <w:r w:rsidR="00942C7F" w:rsidRPr="00AD1163">
        <w:rPr>
          <w:lang w:eastAsia="zh-CN"/>
        </w:rPr>
        <w:t>已通过</w:t>
      </w:r>
      <w:r w:rsidR="00942C7F" w:rsidRPr="00AD1163">
        <w:rPr>
          <w:lang w:eastAsia="zh-CN"/>
        </w:rPr>
        <w:t>201</w:t>
      </w:r>
      <w:r w:rsidR="00DE1238">
        <w:rPr>
          <w:rFonts w:hint="eastAsia"/>
          <w:lang w:eastAsia="zh-CN"/>
        </w:rPr>
        <w:t>2</w:t>
      </w:r>
      <w:r w:rsidR="00942C7F" w:rsidRPr="00AD1163">
        <w:rPr>
          <w:lang w:eastAsia="zh-CN"/>
        </w:rPr>
        <w:t>年</w:t>
      </w:r>
      <w:r w:rsidR="00942C7F" w:rsidRPr="00AD1163">
        <w:rPr>
          <w:lang w:eastAsia="zh-CN"/>
        </w:rPr>
        <w:t>3</w:t>
      </w:r>
      <w:r w:rsidR="00942C7F" w:rsidRPr="00AD1163">
        <w:rPr>
          <w:lang w:eastAsia="zh-CN"/>
        </w:rPr>
        <w:t>月</w:t>
      </w:r>
      <w:r w:rsidR="00942C7F" w:rsidRPr="00AD1163">
        <w:rPr>
          <w:lang w:eastAsia="zh-CN"/>
        </w:rPr>
        <w:t>16</w:t>
      </w:r>
      <w:r w:rsidR="00942C7F" w:rsidRPr="00AD1163">
        <w:rPr>
          <w:lang w:eastAsia="zh-CN"/>
        </w:rPr>
        <w:t>日的</w:t>
      </w:r>
      <w:r w:rsidR="00942C7F" w:rsidRPr="00AD1163">
        <w:rPr>
          <w:lang w:eastAsia="zh-CN"/>
        </w:rPr>
        <w:t>CR/331</w:t>
      </w:r>
      <w:r w:rsidR="00942C7F" w:rsidRPr="00AD1163">
        <w:rPr>
          <w:lang w:eastAsia="zh-CN"/>
        </w:rPr>
        <w:t>号通函提请各主管部门注意上述大会通过第</w:t>
      </w:r>
      <w:r w:rsidR="00EC7A77" w:rsidRPr="00AD1163">
        <w:rPr>
          <w:b/>
          <w:bCs/>
          <w:lang w:eastAsia="zh-CN"/>
        </w:rPr>
        <w:t>555</w:t>
      </w:r>
      <w:r w:rsidR="00942C7F" w:rsidRPr="00AD1163">
        <w:rPr>
          <w:lang w:eastAsia="zh-CN"/>
        </w:rPr>
        <w:t>号决议</w:t>
      </w:r>
      <w:r w:rsidR="00942C7F" w:rsidRPr="00AD1163">
        <w:rPr>
          <w:b/>
          <w:bCs/>
          <w:lang w:eastAsia="zh-CN"/>
        </w:rPr>
        <w:t>（</w:t>
      </w:r>
      <w:r w:rsidR="00EC7A77" w:rsidRPr="00AD1163">
        <w:rPr>
          <w:b/>
          <w:bCs/>
          <w:lang w:eastAsia="zh-CN"/>
        </w:rPr>
        <w:t>WRC-12</w:t>
      </w:r>
      <w:r w:rsidR="00942C7F" w:rsidRPr="00AD1163">
        <w:rPr>
          <w:b/>
          <w:bCs/>
          <w:lang w:eastAsia="zh-CN"/>
        </w:rPr>
        <w:t>）</w:t>
      </w:r>
      <w:r w:rsidR="00942C7F" w:rsidRPr="00AD1163">
        <w:rPr>
          <w:lang w:eastAsia="zh-CN"/>
        </w:rPr>
        <w:t>所做的决定，特别是</w:t>
      </w:r>
      <w:r w:rsidR="00942C7F" w:rsidRPr="00AD1163">
        <w:rPr>
          <w:lang w:eastAsia="zh-CN"/>
        </w:rPr>
        <w:t>2012</w:t>
      </w:r>
      <w:r w:rsidR="00942C7F" w:rsidRPr="00AD1163">
        <w:rPr>
          <w:lang w:eastAsia="zh-CN"/>
        </w:rPr>
        <w:t>年</w:t>
      </w:r>
      <w:r w:rsidR="00942C7F" w:rsidRPr="00AD1163">
        <w:rPr>
          <w:lang w:eastAsia="zh-CN"/>
        </w:rPr>
        <w:t>2</w:t>
      </w:r>
      <w:r w:rsidR="00942C7F" w:rsidRPr="00AD1163">
        <w:rPr>
          <w:lang w:eastAsia="zh-CN"/>
        </w:rPr>
        <w:t>月</w:t>
      </w:r>
      <w:r w:rsidR="00942C7F" w:rsidRPr="00AD1163">
        <w:rPr>
          <w:lang w:eastAsia="zh-CN"/>
        </w:rPr>
        <w:t>18</w:t>
      </w:r>
      <w:r w:rsidR="00942C7F" w:rsidRPr="00AD1163">
        <w:rPr>
          <w:lang w:eastAsia="zh-CN"/>
        </w:rPr>
        <w:t>日之前提交的</w:t>
      </w:r>
      <w:r w:rsidR="00942C7F" w:rsidRPr="00AD1163">
        <w:rPr>
          <w:lang w:eastAsia="zh-CN"/>
        </w:rPr>
        <w:t>21.4-22 GHz</w:t>
      </w:r>
      <w:r w:rsidR="00942C7F" w:rsidRPr="00AD1163">
        <w:rPr>
          <w:lang w:eastAsia="zh-CN"/>
        </w:rPr>
        <w:t>频段内的资料的可能审议，这些资料可能被修改，或如果不再需要则被撤回。</w:t>
      </w:r>
    </w:p>
    <w:p w:rsidR="00EC7A77" w:rsidRPr="00AD1163" w:rsidRDefault="009F715A" w:rsidP="000445E4">
      <w:pPr>
        <w:rPr>
          <w:lang w:eastAsia="zh-CN"/>
        </w:rPr>
      </w:pPr>
      <w:r>
        <w:rPr>
          <w:rFonts w:hint="eastAsia"/>
          <w:lang w:eastAsia="zh-CN"/>
        </w:rPr>
        <w:t>6</w:t>
      </w:r>
      <w:r w:rsidR="00EC7A77" w:rsidRPr="00AD1163">
        <w:rPr>
          <w:lang w:eastAsia="zh-CN"/>
        </w:rPr>
        <w:t>.9</w:t>
      </w:r>
      <w:r w:rsidR="00EC7A77" w:rsidRPr="00AD1163">
        <w:rPr>
          <w:lang w:eastAsia="zh-CN"/>
        </w:rPr>
        <w:tab/>
      </w:r>
      <w:r w:rsidR="00942C7F" w:rsidRPr="00AD1163">
        <w:rPr>
          <w:rFonts w:eastAsia="STKaiti"/>
          <w:lang w:eastAsia="zh-CN"/>
        </w:rPr>
        <w:t>第</w:t>
      </w:r>
      <w:r w:rsidR="00EC7A77" w:rsidRPr="00AD1163">
        <w:rPr>
          <w:rFonts w:eastAsia="STKaiti"/>
          <w:b/>
          <w:bCs/>
          <w:lang w:eastAsia="zh-CN"/>
        </w:rPr>
        <w:t>222</w:t>
      </w:r>
      <w:r w:rsidR="00942C7F" w:rsidRPr="00AD1163">
        <w:rPr>
          <w:rFonts w:eastAsia="STKaiti"/>
          <w:lang w:eastAsia="zh-CN"/>
        </w:rPr>
        <w:t>号决议</w:t>
      </w:r>
      <w:r w:rsidR="00942C7F" w:rsidRPr="00AD1163">
        <w:rPr>
          <w:rFonts w:eastAsia="STKaiti"/>
          <w:b/>
          <w:bCs/>
          <w:lang w:eastAsia="zh-CN"/>
        </w:rPr>
        <w:t>（</w:t>
      </w:r>
      <w:r w:rsidR="00EC7A77" w:rsidRPr="00AD1163">
        <w:rPr>
          <w:rFonts w:eastAsia="STKaiti"/>
          <w:b/>
          <w:bCs/>
          <w:lang w:eastAsia="zh-CN"/>
        </w:rPr>
        <w:t>WRC-12</w:t>
      </w:r>
      <w:r w:rsidR="00942C7F" w:rsidRPr="00AD1163">
        <w:rPr>
          <w:rFonts w:eastAsia="STKaiti"/>
          <w:b/>
          <w:bCs/>
          <w:lang w:eastAsia="zh-CN"/>
        </w:rPr>
        <w:t>，修订版）</w:t>
      </w:r>
      <w:r w:rsidR="00942C7F" w:rsidRPr="00AD1163">
        <w:rPr>
          <w:rFonts w:eastAsia="STKaiti"/>
          <w:lang w:eastAsia="zh-CN"/>
        </w:rPr>
        <w:t>涉及</w:t>
      </w:r>
      <w:r w:rsidR="00DE1238">
        <w:rPr>
          <w:rFonts w:eastAsia="STKaiti" w:hint="eastAsia"/>
          <w:lang w:eastAsia="zh-CN"/>
        </w:rPr>
        <w:t>“</w:t>
      </w:r>
      <w:r w:rsidR="00942C7F" w:rsidRPr="00AD1163">
        <w:rPr>
          <w:rFonts w:eastAsia="STKaiti"/>
          <w:lang w:eastAsia="zh-CN"/>
        </w:rPr>
        <w:t>卫星移动业务对</w:t>
      </w:r>
      <w:r w:rsidR="00EC7A77" w:rsidRPr="00AD1163">
        <w:rPr>
          <w:rFonts w:eastAsia="STKaiti"/>
          <w:lang w:eastAsia="zh-CN"/>
        </w:rPr>
        <w:t>1 525-1 559 MHz</w:t>
      </w:r>
      <w:r w:rsidR="00942C7F" w:rsidRPr="00AD1163">
        <w:rPr>
          <w:rFonts w:eastAsia="STKaiti"/>
          <w:lang w:eastAsia="zh-CN"/>
        </w:rPr>
        <w:t>和</w:t>
      </w:r>
      <w:r w:rsidR="00EC7A77" w:rsidRPr="00AD1163">
        <w:rPr>
          <w:rFonts w:eastAsia="STKaiti"/>
          <w:lang w:eastAsia="zh-CN"/>
        </w:rPr>
        <w:t>1 626.5-1 660.5 MHz</w:t>
      </w:r>
      <w:r w:rsidR="00942C7F" w:rsidRPr="00AD1163">
        <w:rPr>
          <w:rFonts w:eastAsia="STKaiti"/>
          <w:lang w:eastAsia="zh-CN"/>
        </w:rPr>
        <w:t>频段的使用及确保卫星航空移动（</w:t>
      </w:r>
      <w:r w:rsidR="00EC7A77" w:rsidRPr="00AD1163">
        <w:rPr>
          <w:rFonts w:eastAsia="STKaiti"/>
          <w:lang w:eastAsia="zh-CN"/>
        </w:rPr>
        <w:t>R</w:t>
      </w:r>
      <w:r w:rsidR="00942C7F" w:rsidRPr="00AD1163">
        <w:rPr>
          <w:rFonts w:eastAsia="STKaiti"/>
          <w:lang w:eastAsia="zh-CN"/>
        </w:rPr>
        <w:t>）业务长期获得频谱的程序</w:t>
      </w:r>
      <w:r w:rsidR="00DE1238">
        <w:rPr>
          <w:rFonts w:eastAsia="STKaiti" w:hint="eastAsia"/>
          <w:lang w:eastAsia="zh-CN"/>
        </w:rPr>
        <w:t>”</w:t>
      </w:r>
      <w:r w:rsidR="000D3923" w:rsidRPr="00AD1163">
        <w:rPr>
          <w:lang w:eastAsia="zh-CN"/>
        </w:rPr>
        <w:t>。</w:t>
      </w:r>
    </w:p>
    <w:p w:rsidR="00EC7A77" w:rsidRPr="00AD1163" w:rsidRDefault="000D3923" w:rsidP="000445E4">
      <w:pPr>
        <w:ind w:firstLineChars="200" w:firstLine="480"/>
        <w:rPr>
          <w:lang w:eastAsia="zh-CN"/>
        </w:rPr>
      </w:pPr>
      <w:r w:rsidRPr="00AD1163">
        <w:rPr>
          <w:lang w:eastAsia="zh-CN"/>
        </w:rPr>
        <w:t>现提请各主管部门注意本决议附件，该附件说明实施第</w:t>
      </w:r>
      <w:r w:rsidR="00EC7A77" w:rsidRPr="00AD1163">
        <w:rPr>
          <w:b/>
          <w:bCs/>
          <w:lang w:eastAsia="zh-CN"/>
        </w:rPr>
        <w:t>5.537A</w:t>
      </w:r>
      <w:r w:rsidRPr="00AD1163">
        <w:rPr>
          <w:lang w:eastAsia="zh-CN"/>
        </w:rPr>
        <w:t>款和方便开展</w:t>
      </w:r>
      <w:r w:rsidRPr="00AD1163">
        <w:rPr>
          <w:lang w:eastAsia="zh-CN"/>
        </w:rPr>
        <w:t>MSS</w:t>
      </w:r>
      <w:r w:rsidRPr="00AD1163">
        <w:rPr>
          <w:lang w:eastAsia="zh-CN"/>
        </w:rPr>
        <w:t>，包括</w:t>
      </w:r>
      <w:r w:rsidRPr="00AD1163">
        <w:rPr>
          <w:lang w:eastAsia="zh-CN"/>
        </w:rPr>
        <w:t>1 525-1 559 MHz</w:t>
      </w:r>
      <w:r w:rsidRPr="00AD1163">
        <w:rPr>
          <w:lang w:eastAsia="zh-CN"/>
        </w:rPr>
        <w:t>和</w:t>
      </w:r>
      <w:r w:rsidRPr="00AD1163">
        <w:rPr>
          <w:lang w:eastAsia="zh-CN"/>
        </w:rPr>
        <w:t>1 626.5-1 660.5 MHz</w:t>
      </w:r>
      <w:r w:rsidRPr="00AD1163">
        <w:rPr>
          <w:lang w:eastAsia="zh-CN"/>
        </w:rPr>
        <w:t>频段内</w:t>
      </w:r>
      <w:r w:rsidR="00EC7A77" w:rsidRPr="00AD1163">
        <w:rPr>
          <w:lang w:eastAsia="zh-CN"/>
        </w:rPr>
        <w:t>AMS(R)S</w:t>
      </w:r>
      <w:r w:rsidRPr="00AD1163">
        <w:rPr>
          <w:lang w:eastAsia="zh-CN"/>
        </w:rPr>
        <w:t>卫星网络频率协调的程序。这包括参加协调程序的主管部门需履行特定义务，向无线电通信局通报相关情况，以公布频率协调和再评估会议的结果。</w:t>
      </w:r>
    </w:p>
    <w:p w:rsidR="00EC7A77" w:rsidRPr="00AD1163" w:rsidRDefault="000D3923" w:rsidP="000445E4">
      <w:pPr>
        <w:ind w:firstLineChars="200" w:firstLine="480"/>
        <w:rPr>
          <w:lang w:eastAsia="zh-CN"/>
        </w:rPr>
      </w:pPr>
      <w:r w:rsidRPr="00AD1163">
        <w:rPr>
          <w:lang w:eastAsia="zh-CN"/>
        </w:rPr>
        <w:t>协调程序依然是在主管部门之间通过双边</w:t>
      </w:r>
      <w:r w:rsidRPr="00AD1163">
        <w:rPr>
          <w:lang w:eastAsia="zh-CN"/>
        </w:rPr>
        <w:t>/</w:t>
      </w:r>
      <w:r w:rsidRPr="00AD1163">
        <w:rPr>
          <w:lang w:eastAsia="zh-CN"/>
        </w:rPr>
        <w:t>多边形式进行，但是，如该决议规定，在主管部门持续出现意见分歧时，可能要求无线电通信局予以协助，并请无线电通信局参加再评估会议。</w:t>
      </w:r>
    </w:p>
    <w:p w:rsidR="00EC7A77" w:rsidRPr="00AD1163" w:rsidRDefault="009F715A" w:rsidP="009F715A">
      <w:pPr>
        <w:rPr>
          <w:lang w:eastAsia="zh-CN"/>
        </w:rPr>
      </w:pPr>
      <w:r>
        <w:rPr>
          <w:rFonts w:hint="eastAsia"/>
          <w:lang w:eastAsia="zh-CN"/>
        </w:rPr>
        <w:t>6</w:t>
      </w:r>
      <w:r w:rsidR="00EC7A77" w:rsidRPr="00AD1163">
        <w:rPr>
          <w:lang w:eastAsia="zh-CN"/>
        </w:rPr>
        <w:t>.10</w:t>
      </w:r>
      <w:r w:rsidR="00EC7A77" w:rsidRPr="00AD1163">
        <w:rPr>
          <w:lang w:eastAsia="zh-CN"/>
        </w:rPr>
        <w:tab/>
      </w:r>
      <w:r w:rsidR="000D3923" w:rsidRPr="00AD1163">
        <w:rPr>
          <w:rFonts w:eastAsia="STKaiti"/>
          <w:lang w:eastAsia="zh-CN"/>
        </w:rPr>
        <w:t>第</w:t>
      </w:r>
      <w:r w:rsidR="00EC7A77" w:rsidRPr="00AD1163">
        <w:rPr>
          <w:rFonts w:eastAsia="STKaiti"/>
          <w:b/>
          <w:bCs/>
          <w:lang w:eastAsia="zh-CN"/>
        </w:rPr>
        <w:t>807</w:t>
      </w:r>
      <w:r w:rsidR="000D3923" w:rsidRPr="00AD1163">
        <w:rPr>
          <w:rFonts w:eastAsia="STKaiti"/>
          <w:lang w:eastAsia="zh-CN"/>
        </w:rPr>
        <w:t>号决议</w:t>
      </w:r>
      <w:r w:rsidR="000D3923" w:rsidRPr="00AD1163">
        <w:rPr>
          <w:rFonts w:eastAsia="STKaiti"/>
          <w:b/>
          <w:bCs/>
          <w:lang w:eastAsia="zh-CN"/>
        </w:rPr>
        <w:t>（</w:t>
      </w:r>
      <w:r w:rsidR="00EC7A77" w:rsidRPr="00AD1163">
        <w:rPr>
          <w:rFonts w:eastAsia="STKaiti"/>
          <w:b/>
          <w:bCs/>
          <w:lang w:eastAsia="zh-CN"/>
        </w:rPr>
        <w:t>WRC-12</w:t>
      </w:r>
      <w:r w:rsidR="000D3923" w:rsidRPr="00AD1163">
        <w:rPr>
          <w:rFonts w:eastAsia="STKaiti"/>
          <w:b/>
          <w:bCs/>
          <w:lang w:eastAsia="zh-CN"/>
        </w:rPr>
        <w:t>）</w:t>
      </w:r>
      <w:r w:rsidR="000D3923" w:rsidRPr="00AD1163">
        <w:rPr>
          <w:rFonts w:eastAsia="STKaiti"/>
          <w:lang w:eastAsia="zh-CN"/>
        </w:rPr>
        <w:t>涉及</w:t>
      </w:r>
      <w:r w:rsidR="000D3923" w:rsidRPr="00AD1163">
        <w:rPr>
          <w:rFonts w:eastAsia="STKaiti"/>
          <w:lang w:eastAsia="zh-CN"/>
        </w:rPr>
        <w:t>2015</w:t>
      </w:r>
      <w:r w:rsidR="00814258">
        <w:rPr>
          <w:rFonts w:eastAsia="STKaiti"/>
          <w:lang w:eastAsia="zh-CN"/>
        </w:rPr>
        <w:t>年世界无线电通信大会的议程</w:t>
      </w:r>
      <w:r w:rsidR="00814258">
        <w:rPr>
          <w:rFonts w:eastAsia="STKaiti" w:hint="eastAsia"/>
          <w:lang w:eastAsia="zh-CN"/>
        </w:rPr>
        <w:t>；</w:t>
      </w:r>
      <w:r w:rsidR="000D3923" w:rsidRPr="00AD1163">
        <w:rPr>
          <w:rFonts w:eastAsia="STKaiti"/>
          <w:lang w:eastAsia="zh-CN"/>
        </w:rPr>
        <w:t>第</w:t>
      </w:r>
      <w:r w:rsidR="00EC7A77" w:rsidRPr="00AD1163">
        <w:rPr>
          <w:rFonts w:eastAsia="STKaiti"/>
          <w:lang w:eastAsia="zh-CN"/>
        </w:rPr>
        <w:t>808</w:t>
      </w:r>
      <w:r w:rsidR="000D3923" w:rsidRPr="00AD1163">
        <w:rPr>
          <w:rFonts w:eastAsia="STKaiti"/>
          <w:lang w:eastAsia="zh-CN"/>
        </w:rPr>
        <w:t>号决议（</w:t>
      </w:r>
      <w:r w:rsidR="00EC7A77" w:rsidRPr="00AD1163">
        <w:rPr>
          <w:rFonts w:eastAsia="STKaiti"/>
          <w:lang w:eastAsia="zh-CN"/>
        </w:rPr>
        <w:t>WRC-12</w:t>
      </w:r>
      <w:r w:rsidR="000D3923" w:rsidRPr="00AD1163">
        <w:rPr>
          <w:rFonts w:eastAsia="STKaiti"/>
          <w:lang w:eastAsia="zh-CN"/>
        </w:rPr>
        <w:t>）涉及</w:t>
      </w:r>
      <w:r w:rsidR="000D3923" w:rsidRPr="00AD1163">
        <w:rPr>
          <w:rFonts w:eastAsia="STKaiti"/>
          <w:lang w:eastAsia="zh-CN"/>
        </w:rPr>
        <w:t>2018</w:t>
      </w:r>
      <w:r w:rsidR="000D3923" w:rsidRPr="00AD1163">
        <w:rPr>
          <w:rFonts w:eastAsia="STKaiti"/>
          <w:lang w:eastAsia="zh-CN"/>
        </w:rPr>
        <w:t>年世界无线电通信大会的初步议程：</w:t>
      </w:r>
      <w:r w:rsidR="000D3923" w:rsidRPr="00AD1163">
        <w:rPr>
          <w:lang w:eastAsia="zh-CN"/>
        </w:rPr>
        <w:t>按照惯例，已启动了必要的筹备行动，且</w:t>
      </w:r>
      <w:r w:rsidR="000D3923" w:rsidRPr="00AD1163">
        <w:rPr>
          <w:lang w:eastAsia="zh-CN"/>
        </w:rPr>
        <w:t>2015</w:t>
      </w:r>
      <w:r w:rsidR="000D3923" w:rsidRPr="00AD1163">
        <w:rPr>
          <w:lang w:eastAsia="zh-CN"/>
        </w:rPr>
        <w:t>年大会筹备会议第一次会议（</w:t>
      </w:r>
      <w:r w:rsidR="00EC7A77" w:rsidRPr="00AD1163">
        <w:rPr>
          <w:lang w:eastAsia="zh-CN"/>
        </w:rPr>
        <w:t>CPM15-1</w:t>
      </w:r>
      <w:r w:rsidR="00814258">
        <w:rPr>
          <w:lang w:eastAsia="zh-CN"/>
        </w:rPr>
        <w:t>）的成果已发</w:t>
      </w:r>
      <w:r w:rsidR="000D3923" w:rsidRPr="00AD1163">
        <w:rPr>
          <w:lang w:eastAsia="zh-CN"/>
        </w:rPr>
        <w:t>至成员（见</w:t>
      </w:r>
      <w:r w:rsidR="000D3923" w:rsidRPr="00AD1163">
        <w:rPr>
          <w:lang w:eastAsia="zh-CN"/>
        </w:rPr>
        <w:t>2012</w:t>
      </w:r>
      <w:r w:rsidR="000D3923" w:rsidRPr="00AD1163">
        <w:rPr>
          <w:lang w:eastAsia="zh-CN"/>
        </w:rPr>
        <w:t>年</w:t>
      </w:r>
      <w:r w:rsidR="000D3923" w:rsidRPr="00AD1163">
        <w:rPr>
          <w:lang w:eastAsia="zh-CN"/>
        </w:rPr>
        <w:t>3</w:t>
      </w:r>
      <w:r w:rsidR="000D3923" w:rsidRPr="00AD1163">
        <w:rPr>
          <w:lang w:eastAsia="zh-CN"/>
        </w:rPr>
        <w:t>月</w:t>
      </w:r>
      <w:r w:rsidR="000D3923" w:rsidRPr="00AD1163">
        <w:rPr>
          <w:lang w:eastAsia="zh-CN"/>
        </w:rPr>
        <w:t>19</w:t>
      </w:r>
      <w:r w:rsidR="000D3923" w:rsidRPr="00AD1163">
        <w:rPr>
          <w:lang w:eastAsia="zh-CN"/>
        </w:rPr>
        <w:t>日的</w:t>
      </w:r>
      <w:r w:rsidR="00EC7A77" w:rsidRPr="00AD1163">
        <w:rPr>
          <w:lang w:eastAsia="zh-CN"/>
        </w:rPr>
        <w:t>CA/201</w:t>
      </w:r>
      <w:r w:rsidR="000D3923" w:rsidRPr="00AD1163">
        <w:rPr>
          <w:lang w:eastAsia="zh-CN"/>
        </w:rPr>
        <w:t>号行政通函以及下列网站提供的</w:t>
      </w:r>
      <w:r w:rsidR="00EC7A77" w:rsidRPr="00AD1163">
        <w:rPr>
          <w:lang w:eastAsia="zh-CN"/>
        </w:rPr>
        <w:t>WRC-15</w:t>
      </w:r>
      <w:r w:rsidR="000D3923" w:rsidRPr="00AD1163">
        <w:rPr>
          <w:lang w:eastAsia="zh-CN"/>
        </w:rPr>
        <w:t xml:space="preserve"> ITU-R</w:t>
      </w:r>
      <w:r w:rsidR="000D3923" w:rsidRPr="00AD1163">
        <w:rPr>
          <w:lang w:eastAsia="zh-CN"/>
        </w:rPr>
        <w:t>筹备研究更新网页：</w:t>
      </w:r>
      <w:hyperlink r:id="rId9" w:history="1">
        <w:r w:rsidR="00EC7A77" w:rsidRPr="00AD1163">
          <w:rPr>
            <w:rStyle w:val="Hyperlink"/>
            <w:lang w:eastAsia="zh-CN"/>
          </w:rPr>
          <w:t>http://www.itu.int/ITU-R/go/rcpm-wrc-15-studies</w:t>
        </w:r>
      </w:hyperlink>
      <w:r w:rsidR="000D3923" w:rsidRPr="00AD1163">
        <w:rPr>
          <w:lang w:eastAsia="zh-CN"/>
        </w:rPr>
        <w:t>）。</w:t>
      </w:r>
    </w:p>
    <w:p w:rsidR="00EC7A77" w:rsidRPr="00AD1163" w:rsidRDefault="009F715A" w:rsidP="000445E4">
      <w:pPr>
        <w:rPr>
          <w:lang w:eastAsia="zh-CN"/>
        </w:rPr>
      </w:pPr>
      <w:r>
        <w:rPr>
          <w:rFonts w:hint="eastAsia"/>
          <w:lang w:eastAsia="zh-CN"/>
        </w:rPr>
        <w:t>7</w:t>
      </w:r>
      <w:r w:rsidR="00EC7A77" w:rsidRPr="00AD1163">
        <w:rPr>
          <w:lang w:eastAsia="zh-CN"/>
        </w:rPr>
        <w:tab/>
      </w:r>
      <w:r w:rsidR="000D3923" w:rsidRPr="00AD1163">
        <w:rPr>
          <w:lang w:eastAsia="zh-CN"/>
        </w:rPr>
        <w:t>最后，我希望提请贵方注意《组织法》第</w:t>
      </w:r>
      <w:r w:rsidR="000D3923" w:rsidRPr="00AD1163">
        <w:rPr>
          <w:b/>
          <w:bCs/>
          <w:lang w:eastAsia="zh-CN"/>
        </w:rPr>
        <w:t>54</w:t>
      </w:r>
      <w:r w:rsidR="000D3923" w:rsidRPr="00AD1163">
        <w:rPr>
          <w:lang w:eastAsia="zh-CN"/>
        </w:rPr>
        <w:t>条的规定，该条请成员国通知秘书长他们同意受《无线电规则》修订案的约束。</w:t>
      </w:r>
    </w:p>
    <w:p w:rsidR="00EC7A77" w:rsidRPr="00AD1163" w:rsidRDefault="009F715A" w:rsidP="000445E4">
      <w:pPr>
        <w:rPr>
          <w:lang w:eastAsia="zh-CN"/>
        </w:rPr>
      </w:pPr>
      <w:r>
        <w:rPr>
          <w:rFonts w:hint="eastAsia"/>
          <w:lang w:eastAsia="zh-CN"/>
        </w:rPr>
        <w:t>8</w:t>
      </w:r>
      <w:r w:rsidR="00EC7A77" w:rsidRPr="00AD1163">
        <w:rPr>
          <w:lang w:eastAsia="zh-CN"/>
        </w:rPr>
        <w:tab/>
      </w:r>
      <w:r w:rsidR="00814258">
        <w:rPr>
          <w:lang w:eastAsia="zh-CN"/>
        </w:rPr>
        <w:t>如贵主管部门需</w:t>
      </w:r>
      <w:r w:rsidR="00814258" w:rsidRPr="00AD1163">
        <w:rPr>
          <w:lang w:eastAsia="zh-CN"/>
        </w:rPr>
        <w:t>澄清</w:t>
      </w:r>
      <w:r w:rsidR="000D3923" w:rsidRPr="00AD1163">
        <w:rPr>
          <w:lang w:eastAsia="zh-CN"/>
        </w:rPr>
        <w:t>本通函涉及的议题，请随时与无线电通信局联系。</w:t>
      </w:r>
    </w:p>
    <w:p w:rsidR="00EC7A77" w:rsidRPr="00AD1163" w:rsidRDefault="00EC7A77" w:rsidP="000445E4">
      <w:pPr>
        <w:rPr>
          <w:lang w:eastAsia="zh-CN"/>
        </w:rPr>
      </w:pPr>
    </w:p>
    <w:p w:rsidR="00EC7A77" w:rsidRPr="00AD1163" w:rsidRDefault="000D3923" w:rsidP="009F715A">
      <w:pPr>
        <w:ind w:firstLineChars="200" w:firstLine="480"/>
        <w:rPr>
          <w:lang w:eastAsia="zh-CN"/>
        </w:rPr>
      </w:pPr>
      <w:r w:rsidRPr="00AD1163">
        <w:rPr>
          <w:lang w:eastAsia="zh-CN"/>
        </w:rPr>
        <w:t>顺致敬意</w:t>
      </w:r>
      <w:r w:rsidR="009F715A">
        <w:rPr>
          <w:rFonts w:hint="eastAsia"/>
          <w:lang w:eastAsia="zh-CN"/>
        </w:rPr>
        <w:t>！</w:t>
      </w:r>
      <w:r w:rsidR="00EC7A77" w:rsidRPr="00AD1163">
        <w:rPr>
          <w:lang w:eastAsia="zh-CN"/>
        </w:rPr>
        <w:br/>
      </w:r>
    </w:p>
    <w:p w:rsidR="00EC7A77" w:rsidRPr="00AD1163" w:rsidRDefault="000D3923" w:rsidP="000445E4">
      <w:pPr>
        <w:ind w:left="5670"/>
        <w:jc w:val="center"/>
        <w:rPr>
          <w:lang w:eastAsia="zh-CN"/>
        </w:rPr>
      </w:pPr>
      <w:r w:rsidRPr="00AD1163">
        <w:rPr>
          <w:lang w:eastAsia="zh-CN"/>
        </w:rPr>
        <w:t>无线电通信局主任</w:t>
      </w:r>
      <w:r w:rsidRPr="00AD1163">
        <w:rPr>
          <w:lang w:eastAsia="zh-CN"/>
        </w:rPr>
        <w:br/>
      </w:r>
      <w:r w:rsidRPr="00AD1163">
        <w:rPr>
          <w:lang w:eastAsia="zh-CN"/>
        </w:rPr>
        <w:t>弗朗索瓦</w:t>
      </w:r>
      <w:r w:rsidRPr="00823D3B">
        <w:rPr>
          <w:b/>
          <w:bCs/>
          <w:lang w:eastAsia="zh-CN"/>
        </w:rPr>
        <w:t>∙</w:t>
      </w:r>
      <w:r w:rsidRPr="00AD1163">
        <w:rPr>
          <w:lang w:eastAsia="zh-CN"/>
        </w:rPr>
        <w:t>朗西</w:t>
      </w:r>
    </w:p>
    <w:p w:rsidR="00EC7A77" w:rsidRPr="00AD1163" w:rsidRDefault="00EC7A77" w:rsidP="000445E4">
      <w:pPr>
        <w:rPr>
          <w:lang w:eastAsia="zh-CN"/>
        </w:rPr>
      </w:pPr>
    </w:p>
    <w:p w:rsidR="00EC7A77" w:rsidRDefault="009F715A" w:rsidP="000445E4">
      <w:pPr>
        <w:rPr>
          <w:lang w:eastAsia="zh-CN"/>
        </w:rPr>
      </w:pPr>
      <w:r w:rsidRPr="009F715A">
        <w:rPr>
          <w:rFonts w:hint="eastAsia"/>
          <w:b/>
          <w:bCs/>
          <w:lang w:eastAsia="zh-CN"/>
        </w:rPr>
        <w:t>附件：</w:t>
      </w:r>
      <w:r>
        <w:rPr>
          <w:rFonts w:hint="eastAsia"/>
          <w:lang w:eastAsia="zh-CN"/>
        </w:rPr>
        <w:t>2</w:t>
      </w:r>
      <w:r>
        <w:rPr>
          <w:rFonts w:hint="eastAsia"/>
          <w:lang w:eastAsia="zh-CN"/>
        </w:rPr>
        <w:t>件</w:t>
      </w:r>
    </w:p>
    <w:p w:rsidR="009F715A" w:rsidRDefault="009F715A" w:rsidP="000445E4">
      <w:pPr>
        <w:rPr>
          <w:lang w:eastAsia="zh-CN"/>
        </w:rPr>
      </w:pPr>
    </w:p>
    <w:p w:rsidR="00EC7A77" w:rsidRPr="00AD1163" w:rsidRDefault="000D3923" w:rsidP="000445E4">
      <w:pPr>
        <w:rPr>
          <w:b/>
          <w:bCs/>
          <w:lang w:eastAsia="zh-CN"/>
        </w:rPr>
      </w:pPr>
      <w:bookmarkStart w:id="5" w:name="ddistribution"/>
      <w:bookmarkEnd w:id="5"/>
      <w:r w:rsidRPr="00AD1163">
        <w:rPr>
          <w:b/>
          <w:bCs/>
          <w:lang w:eastAsia="zh-CN"/>
        </w:rPr>
        <w:t>分发：</w:t>
      </w:r>
    </w:p>
    <w:p w:rsidR="00EC7A77" w:rsidRPr="00AD1163" w:rsidRDefault="00EC7A77" w:rsidP="000445E4">
      <w:pPr>
        <w:spacing w:before="0"/>
        <w:rPr>
          <w:sz w:val="20"/>
          <w:lang w:eastAsia="zh-CN"/>
        </w:rPr>
      </w:pPr>
      <w:r w:rsidRPr="00AD1163">
        <w:rPr>
          <w:sz w:val="20"/>
          <w:lang w:eastAsia="zh-CN"/>
        </w:rPr>
        <w:t>–</w:t>
      </w:r>
      <w:r w:rsidRPr="00AD1163">
        <w:rPr>
          <w:sz w:val="20"/>
          <w:lang w:eastAsia="zh-CN"/>
        </w:rPr>
        <w:tab/>
      </w:r>
      <w:r w:rsidR="000D3923" w:rsidRPr="00AD1163">
        <w:rPr>
          <w:sz w:val="20"/>
          <w:lang w:eastAsia="zh-CN"/>
        </w:rPr>
        <w:t>国际电联成员国主管部门</w:t>
      </w:r>
    </w:p>
    <w:p w:rsidR="009F715A" w:rsidRDefault="00EC7A77" w:rsidP="000445E4">
      <w:pPr>
        <w:pStyle w:val="Normalaftertitle"/>
        <w:spacing w:before="0"/>
        <w:rPr>
          <w:sz w:val="20"/>
          <w:lang w:eastAsia="zh-CN"/>
        </w:rPr>
      </w:pPr>
      <w:r w:rsidRPr="00AD1163">
        <w:rPr>
          <w:sz w:val="20"/>
        </w:rPr>
        <w:t>–</w:t>
      </w:r>
      <w:r w:rsidRPr="00AD1163">
        <w:rPr>
          <w:sz w:val="20"/>
        </w:rPr>
        <w:tab/>
      </w:r>
      <w:r w:rsidR="000D3923" w:rsidRPr="00AD1163">
        <w:rPr>
          <w:sz w:val="20"/>
          <w:lang w:eastAsia="zh-CN"/>
        </w:rPr>
        <w:t>无线电规则委员会委员</w:t>
      </w:r>
    </w:p>
    <w:p w:rsidR="009F715A" w:rsidRDefault="009F715A" w:rsidP="009F715A">
      <w:pPr>
        <w:pStyle w:val="AnnexNotitle"/>
        <w:spacing w:after="80"/>
      </w:pPr>
      <w:r>
        <w:rPr>
          <w:rFonts w:hint="eastAsia"/>
          <w:b w:val="0"/>
          <w:bCs/>
          <w:lang w:eastAsia="zh-CN"/>
        </w:rPr>
        <w:lastRenderedPageBreak/>
        <w:t>附件</w:t>
      </w:r>
      <w:r>
        <w:rPr>
          <w:b w:val="0"/>
          <w:bCs/>
        </w:rPr>
        <w:t xml:space="preserve"> 1</w:t>
      </w:r>
    </w:p>
    <w:p w:rsidR="009F715A" w:rsidRPr="00DB7697" w:rsidRDefault="009F715A" w:rsidP="009F715A">
      <w:pPr>
        <w:pStyle w:val="AnnexNotitle"/>
        <w:spacing w:before="240"/>
      </w:pPr>
      <w:r>
        <w:t>WRC-12</w:t>
      </w:r>
      <w:r>
        <w:rPr>
          <w:rFonts w:hint="eastAsia"/>
          <w:lang w:eastAsia="zh-CN"/>
        </w:rPr>
        <w:t>新决议和建议临时与最后编号对应表</w:t>
      </w:r>
      <w:r>
        <w:br/>
      </w:r>
    </w:p>
    <w:tbl>
      <w:tblPr>
        <w:tblStyle w:val="TableGrid"/>
        <w:tblW w:w="0" w:type="auto"/>
        <w:jc w:val="center"/>
        <w:tblLook w:val="04A0" w:firstRow="1" w:lastRow="0" w:firstColumn="1" w:lastColumn="0" w:noHBand="0" w:noVBand="1"/>
      </w:tblPr>
      <w:tblGrid>
        <w:gridCol w:w="1134"/>
        <w:gridCol w:w="1767"/>
        <w:gridCol w:w="1781"/>
        <w:gridCol w:w="1134"/>
        <w:gridCol w:w="1686"/>
      </w:tblGrid>
      <w:tr w:rsidR="009F715A" w:rsidTr="00AE4C48">
        <w:trPr>
          <w:jc w:val="center"/>
        </w:trPr>
        <w:tc>
          <w:tcPr>
            <w:tcW w:w="2901" w:type="dxa"/>
            <w:gridSpan w:val="2"/>
            <w:shd w:val="clear" w:color="auto" w:fill="D9D9D9" w:themeFill="background1" w:themeFillShade="D9"/>
          </w:tcPr>
          <w:p w:rsidR="009F715A" w:rsidRDefault="009F715A" w:rsidP="00AE4C48">
            <w:pPr>
              <w:pStyle w:val="Tablehead"/>
              <w:tabs>
                <w:tab w:val="left" w:pos="1588"/>
              </w:tabs>
              <w:rPr>
                <w:lang w:eastAsia="zh-CN"/>
              </w:rPr>
            </w:pPr>
            <w:r>
              <w:rPr>
                <w:rFonts w:hint="eastAsia"/>
                <w:lang w:eastAsia="zh-CN"/>
              </w:rPr>
              <w:t>决议</w:t>
            </w:r>
          </w:p>
        </w:tc>
        <w:tc>
          <w:tcPr>
            <w:tcW w:w="1781" w:type="dxa"/>
            <w:tcBorders>
              <w:top w:val="nil"/>
              <w:bottom w:val="nil"/>
            </w:tcBorders>
            <w:vAlign w:val="center"/>
          </w:tcPr>
          <w:p w:rsidR="009F715A" w:rsidRDefault="009F715A" w:rsidP="00AE4C48">
            <w:pPr>
              <w:spacing w:after="120"/>
              <w:jc w:val="center"/>
            </w:pPr>
          </w:p>
        </w:tc>
        <w:tc>
          <w:tcPr>
            <w:tcW w:w="2820" w:type="dxa"/>
            <w:gridSpan w:val="2"/>
            <w:shd w:val="clear" w:color="auto" w:fill="D9D9D9" w:themeFill="background1" w:themeFillShade="D9"/>
          </w:tcPr>
          <w:p w:rsidR="009F715A" w:rsidRDefault="009F715A" w:rsidP="00AE4C48">
            <w:pPr>
              <w:pStyle w:val="Tablehead"/>
              <w:tabs>
                <w:tab w:val="left" w:pos="1588"/>
              </w:tabs>
              <w:rPr>
                <w:lang w:eastAsia="zh-CN"/>
              </w:rPr>
            </w:pPr>
            <w:r>
              <w:rPr>
                <w:rFonts w:hint="eastAsia"/>
                <w:lang w:eastAsia="zh-CN"/>
              </w:rPr>
              <w:t>建议</w:t>
            </w:r>
          </w:p>
        </w:tc>
      </w:tr>
      <w:tr w:rsidR="009F715A" w:rsidTr="00AE4C48">
        <w:trPr>
          <w:jc w:val="center"/>
        </w:trPr>
        <w:tc>
          <w:tcPr>
            <w:tcW w:w="1134" w:type="dxa"/>
            <w:shd w:val="clear" w:color="auto" w:fill="D9D9D9" w:themeFill="background1" w:themeFillShade="D9"/>
          </w:tcPr>
          <w:p w:rsidR="009F715A" w:rsidRPr="00DB7697" w:rsidRDefault="009F715A" w:rsidP="00AE4C48">
            <w:pPr>
              <w:pStyle w:val="Tablehead"/>
              <w:tabs>
                <w:tab w:val="left" w:pos="1588"/>
              </w:tabs>
              <w:rPr>
                <w:lang w:eastAsia="zh-CN"/>
              </w:rPr>
            </w:pPr>
            <w:r>
              <w:rPr>
                <w:rFonts w:hint="eastAsia"/>
                <w:lang w:eastAsia="zh-CN"/>
              </w:rPr>
              <w:t>最后编号</w:t>
            </w:r>
          </w:p>
        </w:tc>
        <w:tc>
          <w:tcPr>
            <w:tcW w:w="1767" w:type="dxa"/>
            <w:shd w:val="clear" w:color="auto" w:fill="D9D9D9" w:themeFill="background1" w:themeFillShade="D9"/>
          </w:tcPr>
          <w:p w:rsidR="009F715A" w:rsidRPr="00DB7697" w:rsidRDefault="009F715A" w:rsidP="00AE4C48">
            <w:pPr>
              <w:pStyle w:val="Tablehead"/>
              <w:tabs>
                <w:tab w:val="left" w:pos="1588"/>
              </w:tabs>
              <w:rPr>
                <w:lang w:eastAsia="zh-CN"/>
              </w:rPr>
            </w:pPr>
            <w:r>
              <w:rPr>
                <w:rFonts w:hint="eastAsia"/>
                <w:lang w:eastAsia="zh-CN"/>
              </w:rPr>
              <w:t>临时编号</w:t>
            </w:r>
          </w:p>
        </w:tc>
        <w:tc>
          <w:tcPr>
            <w:tcW w:w="1781" w:type="dxa"/>
            <w:tcBorders>
              <w:top w:val="nil"/>
              <w:bottom w:val="nil"/>
            </w:tcBorders>
            <w:vAlign w:val="center"/>
          </w:tcPr>
          <w:p w:rsidR="009F715A" w:rsidRDefault="009F715A" w:rsidP="00AE4C48">
            <w:pPr>
              <w:spacing w:after="120"/>
              <w:jc w:val="center"/>
            </w:pPr>
          </w:p>
        </w:tc>
        <w:tc>
          <w:tcPr>
            <w:tcW w:w="1134" w:type="dxa"/>
            <w:shd w:val="clear" w:color="auto" w:fill="D9D9D9" w:themeFill="background1" w:themeFillShade="D9"/>
          </w:tcPr>
          <w:p w:rsidR="009F715A" w:rsidRPr="00DB7697" w:rsidRDefault="009F715A" w:rsidP="00AE4C48">
            <w:pPr>
              <w:pStyle w:val="Tablehead"/>
              <w:tabs>
                <w:tab w:val="left" w:pos="1588"/>
              </w:tabs>
              <w:rPr>
                <w:lang w:eastAsia="zh-CN"/>
              </w:rPr>
            </w:pPr>
            <w:r>
              <w:rPr>
                <w:rFonts w:hint="eastAsia"/>
                <w:lang w:eastAsia="zh-CN"/>
              </w:rPr>
              <w:t>最后编号</w:t>
            </w:r>
          </w:p>
        </w:tc>
        <w:tc>
          <w:tcPr>
            <w:tcW w:w="1686" w:type="dxa"/>
            <w:shd w:val="clear" w:color="auto" w:fill="D9D9D9" w:themeFill="background1" w:themeFillShade="D9"/>
          </w:tcPr>
          <w:p w:rsidR="009F715A" w:rsidRPr="00DB7697" w:rsidRDefault="009F715A" w:rsidP="00AE4C48">
            <w:pPr>
              <w:pStyle w:val="Tablehead"/>
              <w:tabs>
                <w:tab w:val="left" w:pos="1588"/>
              </w:tabs>
              <w:rPr>
                <w:lang w:eastAsia="zh-CN"/>
              </w:rPr>
            </w:pPr>
            <w:r>
              <w:rPr>
                <w:rFonts w:hint="eastAsia"/>
                <w:lang w:eastAsia="zh-CN"/>
              </w:rPr>
              <w:t>临时编号</w:t>
            </w:r>
          </w:p>
        </w:tc>
      </w:tr>
      <w:tr w:rsidR="009F715A" w:rsidRPr="00417209" w:rsidTr="00AE4C48">
        <w:trPr>
          <w:jc w:val="center"/>
        </w:trPr>
        <w:tc>
          <w:tcPr>
            <w:tcW w:w="1134" w:type="dxa"/>
            <w:vAlign w:val="center"/>
          </w:tcPr>
          <w:p w:rsidR="009F715A" w:rsidRPr="00417209" w:rsidRDefault="009F715A" w:rsidP="00AE4C48">
            <w:pPr>
              <w:spacing w:before="0"/>
              <w:jc w:val="center"/>
              <w:rPr>
                <w:szCs w:val="22"/>
              </w:rPr>
            </w:pPr>
            <w:r w:rsidRPr="00417209">
              <w:rPr>
                <w:szCs w:val="22"/>
              </w:rPr>
              <w:t>11</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COM5/11</w:t>
            </w:r>
          </w:p>
        </w:tc>
        <w:tc>
          <w:tcPr>
            <w:tcW w:w="1781" w:type="dxa"/>
            <w:tcBorders>
              <w:top w:val="nil"/>
              <w:bottom w:val="nil"/>
            </w:tcBorders>
            <w:vAlign w:val="center"/>
          </w:tcPr>
          <w:p w:rsidR="009F715A" w:rsidRPr="00417209" w:rsidRDefault="009F715A" w:rsidP="00AE4C48">
            <w:pPr>
              <w:spacing w:before="0"/>
              <w:jc w:val="center"/>
              <w:rPr>
                <w:szCs w:val="22"/>
              </w:rPr>
            </w:pPr>
          </w:p>
        </w:tc>
        <w:tc>
          <w:tcPr>
            <w:tcW w:w="1134" w:type="dxa"/>
            <w:vAlign w:val="center"/>
          </w:tcPr>
          <w:p w:rsidR="009F715A" w:rsidRPr="00417209" w:rsidRDefault="009F715A" w:rsidP="00AE4C48">
            <w:pPr>
              <w:spacing w:before="0"/>
              <w:jc w:val="center"/>
              <w:rPr>
                <w:szCs w:val="22"/>
              </w:rPr>
            </w:pPr>
            <w:r w:rsidRPr="00417209">
              <w:rPr>
                <w:szCs w:val="22"/>
              </w:rPr>
              <w:t>16</w:t>
            </w:r>
          </w:p>
        </w:tc>
        <w:tc>
          <w:tcPr>
            <w:tcW w:w="1686" w:type="dxa"/>
            <w:vAlign w:val="center"/>
          </w:tcPr>
          <w:p w:rsidR="009F715A" w:rsidRPr="00417209" w:rsidRDefault="009F715A" w:rsidP="00AE4C48">
            <w:pPr>
              <w:spacing w:before="0"/>
              <w:jc w:val="center"/>
              <w:rPr>
                <w:szCs w:val="22"/>
              </w:rPr>
            </w:pPr>
            <w:r w:rsidRPr="00417209">
              <w:rPr>
                <w:szCs w:val="22"/>
              </w:rPr>
              <w:t>COM6/2</w:t>
            </w:r>
          </w:p>
        </w:tc>
      </w:tr>
      <w:tr w:rsidR="009F715A" w:rsidRPr="00417209" w:rsidTr="00AE4C48">
        <w:trPr>
          <w:jc w:val="center"/>
        </w:trPr>
        <w:tc>
          <w:tcPr>
            <w:tcW w:w="1134" w:type="dxa"/>
            <w:vAlign w:val="center"/>
          </w:tcPr>
          <w:p w:rsidR="009F715A" w:rsidRPr="00417209" w:rsidRDefault="009F715A" w:rsidP="00AE4C48">
            <w:pPr>
              <w:spacing w:before="0"/>
              <w:jc w:val="center"/>
              <w:rPr>
                <w:szCs w:val="22"/>
              </w:rPr>
            </w:pPr>
            <w:r w:rsidRPr="00417209">
              <w:rPr>
                <w:szCs w:val="22"/>
              </w:rPr>
              <w:t>12</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PLEN/2</w:t>
            </w:r>
          </w:p>
        </w:tc>
        <w:tc>
          <w:tcPr>
            <w:tcW w:w="1781" w:type="dxa"/>
            <w:tcBorders>
              <w:top w:val="nil"/>
              <w:bottom w:val="nil"/>
            </w:tcBorders>
            <w:vAlign w:val="center"/>
          </w:tcPr>
          <w:p w:rsidR="009F715A" w:rsidRPr="00417209" w:rsidRDefault="009F715A" w:rsidP="00AE4C48">
            <w:pPr>
              <w:spacing w:before="0"/>
              <w:jc w:val="center"/>
              <w:rPr>
                <w:szCs w:val="22"/>
              </w:rPr>
            </w:pPr>
          </w:p>
        </w:tc>
        <w:tc>
          <w:tcPr>
            <w:tcW w:w="1134" w:type="dxa"/>
            <w:vAlign w:val="center"/>
          </w:tcPr>
          <w:p w:rsidR="009F715A" w:rsidRPr="00417209" w:rsidRDefault="009F715A" w:rsidP="00AE4C48">
            <w:pPr>
              <w:spacing w:before="0"/>
              <w:jc w:val="center"/>
              <w:rPr>
                <w:szCs w:val="22"/>
              </w:rPr>
            </w:pPr>
            <w:r w:rsidRPr="00417209">
              <w:rPr>
                <w:szCs w:val="22"/>
              </w:rPr>
              <w:t>76</w:t>
            </w:r>
          </w:p>
        </w:tc>
        <w:tc>
          <w:tcPr>
            <w:tcW w:w="1686" w:type="dxa"/>
            <w:vAlign w:val="center"/>
          </w:tcPr>
          <w:p w:rsidR="009F715A" w:rsidRPr="00417209" w:rsidRDefault="009F715A" w:rsidP="00AE4C48">
            <w:pPr>
              <w:spacing w:before="0"/>
              <w:jc w:val="center"/>
              <w:rPr>
                <w:szCs w:val="22"/>
              </w:rPr>
            </w:pPr>
            <w:r w:rsidRPr="00417209">
              <w:rPr>
                <w:szCs w:val="22"/>
              </w:rPr>
              <w:t>COM6/1</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67</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COM6/2</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98</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COM6/1</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150</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COM5/3</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151</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COM6/4</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152</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COM6/5</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153</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COM6/13</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154</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COM6/24</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232</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COM5/10</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233</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COM6/8</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234</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COM6/16</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358</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COM6/3</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359</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COM6/9</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360</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COM6/21</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422</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COM4/1</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423</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COM6/22</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552</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COM5/6</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553</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COM5/7</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554</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COM5/8</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555</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COM5/9</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648</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COM6/11</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649</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COM6/12</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650</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COM6/17</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651</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COM6/18</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652</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COM6/19</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653</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COM6/20</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654</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COM6/23</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755</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COM5/4</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756</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COM5/5</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757</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COM6/10</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758</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COM6/15</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807</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COM6/6</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808</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COM6/7</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907</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COM5/1</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908</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COM5/2</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909</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COM6/14</w:t>
            </w:r>
          </w:p>
        </w:tc>
      </w:tr>
      <w:tr w:rsidR="009F715A" w:rsidRPr="00417209" w:rsidTr="00AE4C48">
        <w:trPr>
          <w:gridAfter w:val="3"/>
          <w:wAfter w:w="4601" w:type="dxa"/>
          <w:jc w:val="center"/>
        </w:trPr>
        <w:tc>
          <w:tcPr>
            <w:tcW w:w="1134" w:type="dxa"/>
            <w:vAlign w:val="center"/>
          </w:tcPr>
          <w:p w:rsidR="009F715A" w:rsidRPr="00417209" w:rsidRDefault="009F715A" w:rsidP="00AE4C48">
            <w:pPr>
              <w:spacing w:before="0"/>
              <w:jc w:val="center"/>
              <w:rPr>
                <w:szCs w:val="22"/>
              </w:rPr>
            </w:pPr>
            <w:r w:rsidRPr="00417209">
              <w:rPr>
                <w:szCs w:val="22"/>
              </w:rPr>
              <w:t>957</w:t>
            </w:r>
          </w:p>
        </w:tc>
        <w:tc>
          <w:tcPr>
            <w:tcW w:w="1767" w:type="dxa"/>
            <w:vAlign w:val="center"/>
          </w:tcPr>
          <w:p w:rsidR="009F715A" w:rsidRPr="00417209" w:rsidRDefault="009F715A" w:rsidP="00AE4C48">
            <w:pPr>
              <w:tabs>
                <w:tab w:val="left" w:pos="242"/>
              </w:tabs>
              <w:spacing w:before="0"/>
              <w:rPr>
                <w:szCs w:val="22"/>
              </w:rPr>
            </w:pPr>
            <w:r>
              <w:rPr>
                <w:szCs w:val="22"/>
              </w:rPr>
              <w:tab/>
            </w:r>
            <w:r w:rsidRPr="00417209">
              <w:rPr>
                <w:szCs w:val="22"/>
              </w:rPr>
              <w:t>PLEN/1</w:t>
            </w:r>
          </w:p>
        </w:tc>
      </w:tr>
    </w:tbl>
    <w:p w:rsidR="009F715A" w:rsidRDefault="009F715A" w:rsidP="009F715A"/>
    <w:p w:rsidR="009F715A" w:rsidRDefault="009F715A" w:rsidP="009F715A">
      <w:pPr>
        <w:pStyle w:val="AnnexNotitle"/>
        <w:spacing w:after="80"/>
      </w:pPr>
      <w:r>
        <w:rPr>
          <w:rFonts w:hint="eastAsia"/>
          <w:b w:val="0"/>
          <w:bCs/>
          <w:lang w:eastAsia="zh-CN"/>
        </w:rPr>
        <w:lastRenderedPageBreak/>
        <w:t>附件</w:t>
      </w:r>
      <w:r>
        <w:rPr>
          <w:b w:val="0"/>
          <w:bCs/>
        </w:rPr>
        <w:t xml:space="preserve"> 2</w:t>
      </w:r>
    </w:p>
    <w:p w:rsidR="009F715A" w:rsidRPr="00BF498A" w:rsidRDefault="009F715A" w:rsidP="009F715A">
      <w:pPr>
        <w:pStyle w:val="AnnexNotitle"/>
        <w:spacing w:before="240"/>
        <w:rPr>
          <w:szCs w:val="28"/>
          <w:lang w:eastAsia="zh-CN"/>
        </w:rPr>
      </w:pPr>
      <w:r>
        <w:rPr>
          <w:lang w:eastAsia="zh-CN"/>
        </w:rPr>
        <w:t>WRC-12</w:t>
      </w:r>
      <w:r>
        <w:rPr>
          <w:rFonts w:hint="eastAsia"/>
          <w:lang w:eastAsia="zh-CN"/>
        </w:rPr>
        <w:t>批准第</w:t>
      </w:r>
      <w:r>
        <w:rPr>
          <w:rFonts w:hint="eastAsia"/>
          <w:lang w:eastAsia="zh-CN"/>
        </w:rPr>
        <w:t>5</w:t>
      </w:r>
      <w:r>
        <w:rPr>
          <w:rFonts w:hint="eastAsia"/>
          <w:lang w:eastAsia="zh-CN"/>
        </w:rPr>
        <w:t>条脚注临时与最后编号对应表</w:t>
      </w:r>
      <w:r>
        <w:rPr>
          <w:lang w:eastAsia="zh-CN"/>
        </w:rPr>
        <w:br/>
      </w:r>
    </w:p>
    <w:tbl>
      <w:tblPr>
        <w:tblW w:w="5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552"/>
      </w:tblGrid>
      <w:tr w:rsidR="009F715A" w:rsidRPr="00AA4B91" w:rsidTr="00AE4C48">
        <w:trPr>
          <w:jc w:val="center"/>
        </w:trPr>
        <w:tc>
          <w:tcPr>
            <w:tcW w:w="2552" w:type="dxa"/>
            <w:shd w:val="clear" w:color="auto" w:fill="D9D9D9" w:themeFill="background1" w:themeFillShade="D9"/>
          </w:tcPr>
          <w:p w:rsidR="009F715A" w:rsidRPr="00DB7697" w:rsidRDefault="009F715A" w:rsidP="00AE4C48">
            <w:pPr>
              <w:pStyle w:val="Tablehead"/>
              <w:tabs>
                <w:tab w:val="left" w:pos="1588"/>
              </w:tabs>
              <w:rPr>
                <w:lang w:eastAsia="zh-CN"/>
              </w:rPr>
            </w:pPr>
            <w:r>
              <w:rPr>
                <w:rFonts w:hint="eastAsia"/>
                <w:lang w:eastAsia="zh-CN"/>
              </w:rPr>
              <w:t>最后编号</w:t>
            </w:r>
          </w:p>
        </w:tc>
        <w:tc>
          <w:tcPr>
            <w:tcW w:w="2552" w:type="dxa"/>
            <w:shd w:val="clear" w:color="auto" w:fill="D9D9D9" w:themeFill="background1" w:themeFillShade="D9"/>
          </w:tcPr>
          <w:p w:rsidR="009F715A" w:rsidRPr="00DB7697" w:rsidRDefault="009F715A" w:rsidP="00AE4C48">
            <w:pPr>
              <w:pStyle w:val="Tablehead"/>
              <w:tabs>
                <w:tab w:val="left" w:pos="1588"/>
              </w:tabs>
              <w:rPr>
                <w:lang w:eastAsia="zh-CN"/>
              </w:rPr>
            </w:pPr>
            <w:r>
              <w:rPr>
                <w:rFonts w:hint="eastAsia"/>
                <w:lang w:eastAsia="zh-CN"/>
              </w:rPr>
              <w:t>临时编号</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5.54A</w:t>
            </w:r>
          </w:p>
        </w:tc>
        <w:tc>
          <w:tcPr>
            <w:tcW w:w="2552" w:type="dxa"/>
          </w:tcPr>
          <w:p w:rsidR="009F715A" w:rsidRPr="006B01EE" w:rsidRDefault="009F715A" w:rsidP="00AE4C48">
            <w:pPr>
              <w:spacing w:before="20" w:after="20"/>
              <w:jc w:val="center"/>
              <w:rPr>
                <w:szCs w:val="22"/>
              </w:rPr>
            </w:pPr>
            <w:r w:rsidRPr="006B01EE">
              <w:rPr>
                <w:sz w:val="22"/>
                <w:szCs w:val="22"/>
              </w:rPr>
              <w:t>5.A116</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5.54B</w:t>
            </w:r>
          </w:p>
        </w:tc>
        <w:tc>
          <w:tcPr>
            <w:tcW w:w="2552" w:type="dxa"/>
          </w:tcPr>
          <w:p w:rsidR="009F715A" w:rsidRPr="006B01EE" w:rsidRDefault="009F715A" w:rsidP="00AE4C48">
            <w:pPr>
              <w:spacing w:before="20" w:after="20"/>
              <w:jc w:val="center"/>
              <w:rPr>
                <w:szCs w:val="22"/>
              </w:rPr>
            </w:pPr>
            <w:r w:rsidRPr="006B01EE">
              <w:rPr>
                <w:sz w:val="22"/>
                <w:szCs w:val="22"/>
              </w:rPr>
              <w:t>5.B116</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5.54C</w:t>
            </w:r>
          </w:p>
        </w:tc>
        <w:tc>
          <w:tcPr>
            <w:tcW w:w="2552" w:type="dxa"/>
          </w:tcPr>
          <w:p w:rsidR="009F715A" w:rsidRPr="006B01EE" w:rsidRDefault="009F715A" w:rsidP="00AE4C48">
            <w:pPr>
              <w:spacing w:before="20" w:after="20"/>
              <w:jc w:val="center"/>
              <w:rPr>
                <w:szCs w:val="22"/>
              </w:rPr>
            </w:pPr>
            <w:r w:rsidRPr="006B01EE">
              <w:rPr>
                <w:sz w:val="22"/>
                <w:szCs w:val="22"/>
              </w:rPr>
              <w:t>5.C116</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5.80A</w:t>
            </w:r>
          </w:p>
        </w:tc>
        <w:tc>
          <w:tcPr>
            <w:tcW w:w="2552" w:type="dxa"/>
          </w:tcPr>
          <w:p w:rsidR="009F715A" w:rsidRPr="006B01EE" w:rsidRDefault="009F715A" w:rsidP="00AE4C48">
            <w:pPr>
              <w:spacing w:before="20" w:after="20"/>
              <w:jc w:val="center"/>
              <w:rPr>
                <w:szCs w:val="22"/>
              </w:rPr>
            </w:pPr>
            <w:r w:rsidRPr="006B01EE">
              <w:rPr>
                <w:sz w:val="22"/>
                <w:szCs w:val="22"/>
              </w:rPr>
              <w:t>5.A123</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5.80B</w:t>
            </w:r>
          </w:p>
        </w:tc>
        <w:tc>
          <w:tcPr>
            <w:tcW w:w="2552" w:type="dxa"/>
          </w:tcPr>
          <w:p w:rsidR="009F715A" w:rsidRPr="006B01EE" w:rsidRDefault="009F715A" w:rsidP="00AE4C48">
            <w:pPr>
              <w:spacing w:before="20" w:after="20"/>
              <w:jc w:val="center"/>
              <w:rPr>
                <w:szCs w:val="22"/>
              </w:rPr>
            </w:pPr>
            <w:r w:rsidRPr="006B01EE">
              <w:rPr>
                <w:sz w:val="22"/>
                <w:szCs w:val="22"/>
              </w:rPr>
              <w:t>5.B123</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5.132A</w:t>
            </w:r>
          </w:p>
        </w:tc>
        <w:tc>
          <w:tcPr>
            <w:tcW w:w="2552" w:type="dxa"/>
          </w:tcPr>
          <w:p w:rsidR="009F715A" w:rsidRPr="006B01EE" w:rsidRDefault="009F715A" w:rsidP="00AE4C48">
            <w:pPr>
              <w:spacing w:before="20" w:after="20"/>
              <w:jc w:val="center"/>
              <w:rPr>
                <w:szCs w:val="22"/>
              </w:rPr>
            </w:pPr>
            <w:r w:rsidRPr="006B01EE">
              <w:rPr>
                <w:sz w:val="22"/>
                <w:szCs w:val="22"/>
              </w:rPr>
              <w:t>5.</w:t>
            </w:r>
            <w:bookmarkStart w:id="6" w:name="OLE_LINK1"/>
            <w:bookmarkStart w:id="7" w:name="OLE_LINK2"/>
            <w:r w:rsidRPr="006B01EE">
              <w:rPr>
                <w:sz w:val="22"/>
                <w:szCs w:val="22"/>
              </w:rPr>
              <w:t>A115</w:t>
            </w:r>
            <w:bookmarkEnd w:id="6"/>
            <w:bookmarkEnd w:id="7"/>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5.132B</w:t>
            </w:r>
          </w:p>
        </w:tc>
        <w:tc>
          <w:tcPr>
            <w:tcW w:w="2552" w:type="dxa"/>
          </w:tcPr>
          <w:p w:rsidR="009F715A" w:rsidRPr="006B01EE" w:rsidRDefault="009F715A" w:rsidP="00AE4C48">
            <w:pPr>
              <w:spacing w:before="20" w:after="20"/>
              <w:jc w:val="center"/>
              <w:rPr>
                <w:szCs w:val="22"/>
              </w:rPr>
            </w:pPr>
            <w:r w:rsidRPr="006B01EE">
              <w:rPr>
                <w:sz w:val="22"/>
                <w:szCs w:val="22"/>
              </w:rPr>
              <w:t>5.B115</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5.133A</w:t>
            </w:r>
          </w:p>
        </w:tc>
        <w:tc>
          <w:tcPr>
            <w:tcW w:w="2552" w:type="dxa"/>
          </w:tcPr>
          <w:p w:rsidR="009F715A" w:rsidRPr="006B01EE" w:rsidRDefault="009F715A" w:rsidP="00AE4C48">
            <w:pPr>
              <w:spacing w:before="20" w:after="20"/>
              <w:jc w:val="center"/>
              <w:rPr>
                <w:szCs w:val="22"/>
              </w:rPr>
            </w:pPr>
            <w:r w:rsidRPr="006B01EE">
              <w:rPr>
                <w:sz w:val="22"/>
                <w:szCs w:val="22"/>
              </w:rPr>
              <w:t>5.C115</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5.145B</w:t>
            </w:r>
          </w:p>
        </w:tc>
        <w:tc>
          <w:tcPr>
            <w:tcW w:w="2552" w:type="dxa"/>
          </w:tcPr>
          <w:p w:rsidR="009F715A" w:rsidRPr="006B01EE" w:rsidRDefault="009F715A" w:rsidP="00AE4C48">
            <w:pPr>
              <w:spacing w:before="20" w:after="20"/>
              <w:jc w:val="center"/>
              <w:rPr>
                <w:szCs w:val="22"/>
              </w:rPr>
            </w:pPr>
            <w:r w:rsidRPr="006B01EE">
              <w:rPr>
                <w:sz w:val="22"/>
                <w:szCs w:val="22"/>
              </w:rPr>
              <w:t>5.D115</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5.145A</w:t>
            </w:r>
          </w:p>
        </w:tc>
        <w:tc>
          <w:tcPr>
            <w:tcW w:w="2552" w:type="dxa"/>
          </w:tcPr>
          <w:p w:rsidR="009F715A" w:rsidRPr="006B01EE" w:rsidRDefault="009F715A" w:rsidP="00AE4C48">
            <w:pPr>
              <w:spacing w:before="20" w:after="20"/>
              <w:jc w:val="center"/>
              <w:rPr>
                <w:szCs w:val="22"/>
              </w:rPr>
            </w:pPr>
            <w:r w:rsidRPr="006B01EE">
              <w:rPr>
                <w:sz w:val="22"/>
                <w:szCs w:val="22"/>
              </w:rPr>
              <w:t>5.F115</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5.149A</w:t>
            </w:r>
          </w:p>
        </w:tc>
        <w:tc>
          <w:tcPr>
            <w:tcW w:w="2552" w:type="dxa"/>
          </w:tcPr>
          <w:p w:rsidR="009F715A" w:rsidRPr="006B01EE" w:rsidRDefault="009F715A" w:rsidP="00AE4C48">
            <w:pPr>
              <w:spacing w:before="20" w:after="20"/>
              <w:jc w:val="center"/>
              <w:rPr>
                <w:szCs w:val="22"/>
              </w:rPr>
            </w:pPr>
            <w:r w:rsidRPr="006B01EE">
              <w:rPr>
                <w:sz w:val="22"/>
                <w:szCs w:val="22"/>
              </w:rPr>
              <w:t>5.E115</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5.158</w:t>
            </w:r>
          </w:p>
        </w:tc>
        <w:tc>
          <w:tcPr>
            <w:tcW w:w="2552" w:type="dxa"/>
          </w:tcPr>
          <w:p w:rsidR="009F715A" w:rsidRPr="006B01EE" w:rsidRDefault="009F715A" w:rsidP="00AE4C48">
            <w:pPr>
              <w:spacing w:before="20" w:after="20"/>
              <w:jc w:val="center"/>
              <w:rPr>
                <w:szCs w:val="22"/>
              </w:rPr>
            </w:pPr>
            <w:r w:rsidRPr="006B01EE">
              <w:rPr>
                <w:sz w:val="22"/>
                <w:szCs w:val="22"/>
              </w:rPr>
              <w:t>5.G115</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5.159</w:t>
            </w:r>
          </w:p>
        </w:tc>
        <w:tc>
          <w:tcPr>
            <w:tcW w:w="2552" w:type="dxa"/>
          </w:tcPr>
          <w:p w:rsidR="009F715A" w:rsidRPr="006B01EE" w:rsidRDefault="009F715A" w:rsidP="00AE4C48">
            <w:pPr>
              <w:spacing w:before="20" w:after="20"/>
              <w:jc w:val="center"/>
              <w:rPr>
                <w:szCs w:val="22"/>
              </w:rPr>
            </w:pPr>
            <w:r w:rsidRPr="006B01EE">
              <w:rPr>
                <w:sz w:val="22"/>
                <w:szCs w:val="22"/>
              </w:rPr>
              <w:t>5.H115</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5.161A</w:t>
            </w:r>
          </w:p>
        </w:tc>
        <w:tc>
          <w:tcPr>
            <w:tcW w:w="2552" w:type="dxa"/>
          </w:tcPr>
          <w:p w:rsidR="009F715A" w:rsidRPr="006B01EE" w:rsidRDefault="009F715A" w:rsidP="00AE4C48">
            <w:pPr>
              <w:spacing w:before="20" w:after="20"/>
              <w:jc w:val="center"/>
              <w:rPr>
                <w:szCs w:val="22"/>
              </w:rPr>
            </w:pPr>
            <w:r w:rsidRPr="006B01EE">
              <w:rPr>
                <w:sz w:val="22"/>
                <w:szCs w:val="22"/>
              </w:rPr>
              <w:t>5.I115</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5.161B</w:t>
            </w:r>
          </w:p>
        </w:tc>
        <w:tc>
          <w:tcPr>
            <w:tcW w:w="2552" w:type="dxa"/>
          </w:tcPr>
          <w:p w:rsidR="009F715A" w:rsidRPr="006B01EE" w:rsidRDefault="009F715A" w:rsidP="00AE4C48">
            <w:pPr>
              <w:spacing w:before="20" w:after="20"/>
              <w:jc w:val="center"/>
              <w:rPr>
                <w:szCs w:val="22"/>
              </w:rPr>
            </w:pPr>
            <w:r w:rsidRPr="006B01EE">
              <w:rPr>
                <w:sz w:val="22"/>
                <w:szCs w:val="22"/>
              </w:rPr>
              <w:t>5.J115</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5.225A</w:t>
            </w:r>
          </w:p>
        </w:tc>
        <w:tc>
          <w:tcPr>
            <w:tcW w:w="2552" w:type="dxa"/>
          </w:tcPr>
          <w:p w:rsidR="009F715A" w:rsidRPr="006B01EE" w:rsidRDefault="009F715A" w:rsidP="00AE4C48">
            <w:pPr>
              <w:spacing w:before="20" w:after="20"/>
              <w:jc w:val="center"/>
              <w:rPr>
                <w:szCs w:val="22"/>
              </w:rPr>
            </w:pPr>
            <w:r w:rsidRPr="006B01EE">
              <w:rPr>
                <w:sz w:val="22"/>
                <w:szCs w:val="22"/>
              </w:rPr>
              <w:t>5.A114</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rFonts w:asciiTheme="majorBidi" w:hAnsiTheme="majorBidi" w:cstheme="majorBidi"/>
                <w:sz w:val="22"/>
                <w:szCs w:val="22"/>
              </w:rPr>
              <w:t>5.228</w:t>
            </w:r>
          </w:p>
        </w:tc>
        <w:tc>
          <w:tcPr>
            <w:tcW w:w="2552" w:type="dxa"/>
          </w:tcPr>
          <w:p w:rsidR="009F715A" w:rsidRPr="006B01EE" w:rsidRDefault="009F715A" w:rsidP="00AE4C48">
            <w:pPr>
              <w:spacing w:before="20" w:after="20"/>
              <w:jc w:val="center"/>
              <w:rPr>
                <w:szCs w:val="22"/>
              </w:rPr>
            </w:pPr>
            <w:r w:rsidRPr="006B01EE">
              <w:rPr>
                <w:sz w:val="22"/>
                <w:szCs w:val="22"/>
              </w:rPr>
              <w:t>5.G110</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5.228A</w:t>
            </w:r>
          </w:p>
        </w:tc>
        <w:tc>
          <w:tcPr>
            <w:tcW w:w="2552" w:type="dxa"/>
          </w:tcPr>
          <w:p w:rsidR="009F715A" w:rsidRPr="006B01EE" w:rsidRDefault="009F715A" w:rsidP="00AE4C48">
            <w:pPr>
              <w:spacing w:before="20" w:after="20"/>
              <w:jc w:val="center"/>
              <w:rPr>
                <w:szCs w:val="22"/>
              </w:rPr>
            </w:pPr>
            <w:r w:rsidRPr="006B01EE">
              <w:rPr>
                <w:sz w:val="22"/>
                <w:szCs w:val="22"/>
              </w:rPr>
              <w:t>5.A110</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5.228B</w:t>
            </w:r>
          </w:p>
        </w:tc>
        <w:tc>
          <w:tcPr>
            <w:tcW w:w="2552" w:type="dxa"/>
          </w:tcPr>
          <w:p w:rsidR="009F715A" w:rsidRPr="006B01EE" w:rsidRDefault="009F715A" w:rsidP="00AE4C48">
            <w:pPr>
              <w:spacing w:before="20" w:after="20"/>
              <w:jc w:val="center"/>
              <w:rPr>
                <w:szCs w:val="22"/>
              </w:rPr>
            </w:pPr>
            <w:r w:rsidRPr="006B01EE">
              <w:rPr>
                <w:sz w:val="22"/>
                <w:szCs w:val="22"/>
              </w:rPr>
              <w:t>5.B110</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5.228C</w:t>
            </w:r>
          </w:p>
        </w:tc>
        <w:tc>
          <w:tcPr>
            <w:tcW w:w="2552" w:type="dxa"/>
          </w:tcPr>
          <w:p w:rsidR="009F715A" w:rsidRPr="006B01EE" w:rsidRDefault="009F715A" w:rsidP="00AE4C48">
            <w:pPr>
              <w:spacing w:before="20" w:after="20"/>
              <w:jc w:val="center"/>
              <w:rPr>
                <w:szCs w:val="22"/>
              </w:rPr>
            </w:pPr>
            <w:r w:rsidRPr="006B01EE">
              <w:rPr>
                <w:sz w:val="22"/>
                <w:szCs w:val="22"/>
              </w:rPr>
              <w:t>5.C110</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5.228D</w:t>
            </w:r>
          </w:p>
        </w:tc>
        <w:tc>
          <w:tcPr>
            <w:tcW w:w="2552" w:type="dxa"/>
          </w:tcPr>
          <w:p w:rsidR="009F715A" w:rsidRPr="006B01EE" w:rsidRDefault="009F715A" w:rsidP="00AE4C48">
            <w:pPr>
              <w:spacing w:before="20" w:after="20"/>
              <w:jc w:val="center"/>
              <w:rPr>
                <w:szCs w:val="22"/>
              </w:rPr>
            </w:pPr>
            <w:r w:rsidRPr="006B01EE">
              <w:rPr>
                <w:sz w:val="22"/>
                <w:szCs w:val="22"/>
              </w:rPr>
              <w:t>5.D110</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5.228E</w:t>
            </w:r>
          </w:p>
        </w:tc>
        <w:tc>
          <w:tcPr>
            <w:tcW w:w="2552" w:type="dxa"/>
          </w:tcPr>
          <w:p w:rsidR="009F715A" w:rsidRPr="006B01EE" w:rsidRDefault="009F715A" w:rsidP="00AE4C48">
            <w:pPr>
              <w:spacing w:before="20" w:after="20"/>
              <w:jc w:val="center"/>
              <w:rPr>
                <w:szCs w:val="22"/>
              </w:rPr>
            </w:pPr>
            <w:r w:rsidRPr="006B01EE">
              <w:rPr>
                <w:sz w:val="22"/>
                <w:szCs w:val="22"/>
              </w:rPr>
              <w:t>5.E110</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rFonts w:asciiTheme="majorBidi" w:hAnsiTheme="majorBidi" w:cstheme="majorBidi"/>
                <w:sz w:val="22"/>
                <w:szCs w:val="22"/>
              </w:rPr>
              <w:t>5.228F</w:t>
            </w:r>
          </w:p>
        </w:tc>
        <w:tc>
          <w:tcPr>
            <w:tcW w:w="2552" w:type="dxa"/>
          </w:tcPr>
          <w:p w:rsidR="009F715A" w:rsidRPr="006B01EE" w:rsidRDefault="009F715A" w:rsidP="00AE4C48">
            <w:pPr>
              <w:spacing w:before="20" w:after="20"/>
              <w:jc w:val="center"/>
              <w:rPr>
                <w:szCs w:val="22"/>
              </w:rPr>
            </w:pPr>
            <w:r w:rsidRPr="006B01EE">
              <w:rPr>
                <w:sz w:val="22"/>
                <w:szCs w:val="22"/>
              </w:rPr>
              <w:t>5.F110</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5.312A</w:t>
            </w:r>
          </w:p>
        </w:tc>
        <w:tc>
          <w:tcPr>
            <w:tcW w:w="2552" w:type="dxa"/>
          </w:tcPr>
          <w:p w:rsidR="009F715A" w:rsidRPr="006B01EE" w:rsidRDefault="009F715A" w:rsidP="00AE4C48">
            <w:pPr>
              <w:spacing w:before="20" w:after="20"/>
              <w:jc w:val="center"/>
              <w:rPr>
                <w:szCs w:val="22"/>
              </w:rPr>
            </w:pPr>
            <w:r w:rsidRPr="006B01EE">
              <w:rPr>
                <w:sz w:val="22"/>
                <w:szCs w:val="22"/>
              </w:rPr>
              <w:t>5.3XX</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5.398A</w:t>
            </w:r>
          </w:p>
        </w:tc>
        <w:tc>
          <w:tcPr>
            <w:tcW w:w="2552" w:type="dxa"/>
          </w:tcPr>
          <w:p w:rsidR="009F715A" w:rsidRPr="006B01EE" w:rsidRDefault="009F715A" w:rsidP="00AE4C48">
            <w:pPr>
              <w:spacing w:before="20" w:after="20"/>
              <w:jc w:val="center"/>
              <w:rPr>
                <w:szCs w:val="22"/>
              </w:rPr>
            </w:pPr>
            <w:r w:rsidRPr="006B01EE">
              <w:rPr>
                <w:sz w:val="22"/>
                <w:szCs w:val="22"/>
              </w:rPr>
              <w:t>5.A118</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5.401</w:t>
            </w:r>
          </w:p>
        </w:tc>
        <w:tc>
          <w:tcPr>
            <w:tcW w:w="2552" w:type="dxa"/>
          </w:tcPr>
          <w:p w:rsidR="009F715A" w:rsidRPr="006B01EE" w:rsidRDefault="009F715A" w:rsidP="00AE4C48">
            <w:pPr>
              <w:spacing w:before="20" w:after="20"/>
              <w:jc w:val="center"/>
              <w:rPr>
                <w:szCs w:val="22"/>
              </w:rPr>
            </w:pPr>
            <w:r w:rsidRPr="006B01EE">
              <w:rPr>
                <w:sz w:val="22"/>
                <w:szCs w:val="22"/>
              </w:rPr>
              <w:t>5.B118</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5.443AA</w:t>
            </w:r>
          </w:p>
        </w:tc>
        <w:tc>
          <w:tcPr>
            <w:tcW w:w="2552" w:type="dxa"/>
          </w:tcPr>
          <w:p w:rsidR="009F715A" w:rsidRPr="006B01EE" w:rsidRDefault="009F715A" w:rsidP="00AE4C48">
            <w:pPr>
              <w:spacing w:before="20" w:after="20"/>
              <w:jc w:val="center"/>
              <w:rPr>
                <w:szCs w:val="22"/>
              </w:rPr>
            </w:pPr>
            <w:r w:rsidRPr="006B01EE">
              <w:rPr>
                <w:sz w:val="22"/>
                <w:szCs w:val="22"/>
              </w:rPr>
              <w:t>5.B103</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5.443C</w:t>
            </w:r>
          </w:p>
        </w:tc>
        <w:tc>
          <w:tcPr>
            <w:tcW w:w="2552" w:type="dxa"/>
          </w:tcPr>
          <w:p w:rsidR="009F715A" w:rsidRPr="006B01EE" w:rsidRDefault="009F715A" w:rsidP="00AE4C48">
            <w:pPr>
              <w:spacing w:before="20" w:after="20"/>
              <w:jc w:val="center"/>
              <w:rPr>
                <w:szCs w:val="22"/>
              </w:rPr>
            </w:pPr>
            <w:r w:rsidRPr="006B01EE">
              <w:rPr>
                <w:sz w:val="22"/>
                <w:szCs w:val="22"/>
              </w:rPr>
              <w:t>5.C103</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5.443D</w:t>
            </w:r>
          </w:p>
        </w:tc>
        <w:tc>
          <w:tcPr>
            <w:tcW w:w="2552" w:type="dxa"/>
          </w:tcPr>
          <w:p w:rsidR="009F715A" w:rsidRPr="006B01EE" w:rsidRDefault="009F715A" w:rsidP="00AE4C48">
            <w:pPr>
              <w:spacing w:before="20" w:after="20"/>
              <w:jc w:val="center"/>
              <w:rPr>
                <w:szCs w:val="22"/>
              </w:rPr>
            </w:pPr>
            <w:r w:rsidRPr="006B01EE">
              <w:rPr>
                <w:sz w:val="22"/>
                <w:szCs w:val="22"/>
              </w:rPr>
              <w:t>5.D103</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5.457</w:t>
            </w:r>
          </w:p>
        </w:tc>
        <w:tc>
          <w:tcPr>
            <w:tcW w:w="2552" w:type="dxa"/>
          </w:tcPr>
          <w:p w:rsidR="009F715A" w:rsidRPr="006B01EE" w:rsidRDefault="009F715A" w:rsidP="00AE4C48">
            <w:pPr>
              <w:spacing w:before="20" w:after="20"/>
              <w:jc w:val="center"/>
              <w:rPr>
                <w:szCs w:val="22"/>
              </w:rPr>
            </w:pPr>
            <w:r w:rsidRPr="006B01EE">
              <w:rPr>
                <w:sz w:val="22"/>
                <w:szCs w:val="22"/>
              </w:rPr>
              <w:t>5.A120</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5.511E</w:t>
            </w:r>
          </w:p>
        </w:tc>
        <w:tc>
          <w:tcPr>
            <w:tcW w:w="2552" w:type="dxa"/>
          </w:tcPr>
          <w:p w:rsidR="009F715A" w:rsidRPr="006B01EE" w:rsidRDefault="009F715A" w:rsidP="00AE4C48">
            <w:pPr>
              <w:spacing w:before="20" w:after="20"/>
              <w:jc w:val="center"/>
              <w:rPr>
                <w:szCs w:val="22"/>
              </w:rPr>
            </w:pPr>
            <w:r w:rsidRPr="006B01EE">
              <w:rPr>
                <w:sz w:val="22"/>
                <w:szCs w:val="22"/>
              </w:rPr>
              <w:t>5.A121</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5.511F</w:t>
            </w:r>
          </w:p>
        </w:tc>
        <w:tc>
          <w:tcPr>
            <w:tcW w:w="2552" w:type="dxa"/>
          </w:tcPr>
          <w:p w:rsidR="009F715A" w:rsidRPr="006B01EE" w:rsidRDefault="009F715A" w:rsidP="00AE4C48">
            <w:pPr>
              <w:spacing w:before="20" w:after="20"/>
              <w:jc w:val="center"/>
              <w:rPr>
                <w:szCs w:val="22"/>
              </w:rPr>
            </w:pPr>
            <w:r w:rsidRPr="006B01EE">
              <w:rPr>
                <w:sz w:val="22"/>
                <w:szCs w:val="22"/>
              </w:rPr>
              <w:t>5.B121</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5.530A</w:t>
            </w:r>
          </w:p>
        </w:tc>
        <w:tc>
          <w:tcPr>
            <w:tcW w:w="2552" w:type="dxa"/>
          </w:tcPr>
          <w:p w:rsidR="009F715A" w:rsidRPr="006B01EE" w:rsidRDefault="009F715A" w:rsidP="00AE4C48">
            <w:pPr>
              <w:spacing w:before="20" w:after="20"/>
              <w:jc w:val="center"/>
              <w:rPr>
                <w:szCs w:val="22"/>
              </w:rPr>
            </w:pPr>
            <w:r w:rsidRPr="006B01EE">
              <w:rPr>
                <w:sz w:val="22"/>
                <w:szCs w:val="22"/>
              </w:rPr>
              <w:t>5.D113</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5.530B</w:t>
            </w:r>
          </w:p>
        </w:tc>
        <w:tc>
          <w:tcPr>
            <w:tcW w:w="2552" w:type="dxa"/>
          </w:tcPr>
          <w:p w:rsidR="009F715A" w:rsidRPr="006B01EE" w:rsidRDefault="009F715A" w:rsidP="00AE4C48">
            <w:pPr>
              <w:spacing w:before="20" w:after="20"/>
              <w:jc w:val="center"/>
              <w:rPr>
                <w:szCs w:val="22"/>
              </w:rPr>
            </w:pPr>
            <w:r w:rsidRPr="006B01EE">
              <w:rPr>
                <w:sz w:val="22"/>
                <w:szCs w:val="22"/>
              </w:rPr>
              <w:t>5.B113</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5.530C</w:t>
            </w:r>
          </w:p>
        </w:tc>
        <w:tc>
          <w:tcPr>
            <w:tcW w:w="2552" w:type="dxa"/>
          </w:tcPr>
          <w:p w:rsidR="009F715A" w:rsidRPr="006B01EE" w:rsidRDefault="009F715A" w:rsidP="00AE4C48">
            <w:pPr>
              <w:spacing w:before="20" w:after="20"/>
              <w:jc w:val="center"/>
              <w:rPr>
                <w:szCs w:val="22"/>
              </w:rPr>
            </w:pPr>
            <w:r w:rsidRPr="006B01EE">
              <w:rPr>
                <w:sz w:val="22"/>
                <w:szCs w:val="22"/>
              </w:rPr>
              <w:t>5.C113</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5.530D</w:t>
            </w:r>
          </w:p>
        </w:tc>
        <w:tc>
          <w:tcPr>
            <w:tcW w:w="2552" w:type="dxa"/>
          </w:tcPr>
          <w:p w:rsidR="009F715A" w:rsidRPr="006B01EE" w:rsidRDefault="009F715A" w:rsidP="00AE4C48">
            <w:pPr>
              <w:spacing w:before="20" w:after="20"/>
              <w:jc w:val="center"/>
              <w:rPr>
                <w:szCs w:val="22"/>
              </w:rPr>
            </w:pPr>
            <w:r w:rsidRPr="006B01EE">
              <w:rPr>
                <w:sz w:val="22"/>
                <w:szCs w:val="22"/>
              </w:rPr>
              <w:t>5.F113</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5.532A</w:t>
            </w:r>
          </w:p>
        </w:tc>
        <w:tc>
          <w:tcPr>
            <w:tcW w:w="2552" w:type="dxa"/>
          </w:tcPr>
          <w:p w:rsidR="009F715A" w:rsidRPr="006B01EE" w:rsidRDefault="009F715A" w:rsidP="00AE4C48">
            <w:pPr>
              <w:spacing w:before="20" w:after="20"/>
              <w:jc w:val="center"/>
              <w:rPr>
                <w:szCs w:val="22"/>
              </w:rPr>
            </w:pPr>
            <w:r w:rsidRPr="006B01EE">
              <w:rPr>
                <w:sz w:val="22"/>
                <w:szCs w:val="22"/>
              </w:rPr>
              <w:t>5.A111</w:t>
            </w:r>
          </w:p>
        </w:tc>
      </w:tr>
      <w:tr w:rsidR="009F715A" w:rsidRPr="006B01EE" w:rsidTr="00AE4C48">
        <w:trPr>
          <w:jc w:val="center"/>
        </w:trPr>
        <w:tc>
          <w:tcPr>
            <w:tcW w:w="2552" w:type="dxa"/>
          </w:tcPr>
          <w:p w:rsidR="009F715A" w:rsidRPr="006B01EE" w:rsidRDefault="009F715A" w:rsidP="00AE4C48">
            <w:pPr>
              <w:spacing w:before="20" w:after="20"/>
              <w:jc w:val="center"/>
              <w:rPr>
                <w:szCs w:val="22"/>
              </w:rPr>
            </w:pPr>
            <w:r w:rsidRPr="006B01EE">
              <w:rPr>
                <w:sz w:val="22"/>
                <w:szCs w:val="22"/>
              </w:rPr>
              <w:t>5.532B</w:t>
            </w:r>
          </w:p>
        </w:tc>
        <w:tc>
          <w:tcPr>
            <w:tcW w:w="2552" w:type="dxa"/>
          </w:tcPr>
          <w:p w:rsidR="009F715A" w:rsidRPr="006B01EE" w:rsidRDefault="009F715A" w:rsidP="00AE4C48">
            <w:pPr>
              <w:spacing w:before="20" w:after="20"/>
              <w:jc w:val="center"/>
              <w:rPr>
                <w:szCs w:val="22"/>
              </w:rPr>
            </w:pPr>
            <w:r w:rsidRPr="006B01EE">
              <w:rPr>
                <w:sz w:val="22"/>
                <w:szCs w:val="22"/>
              </w:rPr>
              <w:t>5.A113</w:t>
            </w:r>
          </w:p>
        </w:tc>
      </w:tr>
    </w:tbl>
    <w:p w:rsidR="001E15AA" w:rsidRPr="000D3923" w:rsidRDefault="009F715A" w:rsidP="009F715A">
      <w:pPr>
        <w:tabs>
          <w:tab w:val="clear" w:pos="794"/>
          <w:tab w:val="clear" w:pos="1191"/>
          <w:tab w:val="clear" w:pos="1588"/>
          <w:tab w:val="clear" w:pos="1985"/>
        </w:tabs>
        <w:overflowPunct/>
        <w:autoSpaceDE/>
        <w:autoSpaceDN/>
        <w:adjustRightInd/>
        <w:spacing w:before="240"/>
        <w:jc w:val="center"/>
        <w:textAlignment w:val="auto"/>
        <w:rPr>
          <w:rFonts w:ascii="SimSun" w:eastAsia="SimSun" w:hAnsi="SimSun"/>
          <w:sz w:val="20"/>
          <w:lang w:eastAsia="zh-CN"/>
        </w:rPr>
      </w:pPr>
      <w:r>
        <w:t>_______________</w:t>
      </w:r>
    </w:p>
    <w:sectPr w:rsidR="001E15AA" w:rsidRPr="000D3923" w:rsidSect="009F715A">
      <w:headerReference w:type="default" r:id="rId10"/>
      <w:footerReference w:type="default" r:id="rId11"/>
      <w:footerReference w:type="first" r:id="rId12"/>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EB" w:rsidRDefault="009E55EB">
      <w:r>
        <w:separator/>
      </w:r>
    </w:p>
  </w:endnote>
  <w:endnote w:type="continuationSeparator" w:id="0">
    <w:p w:rsidR="009E55EB" w:rsidRDefault="009E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STKaiti">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EB" w:rsidRDefault="004E2B5C">
    <w:pPr>
      <w:pStyle w:val="Footer"/>
    </w:pPr>
    <w:r>
      <w:fldChar w:fldCharType="begin"/>
    </w:r>
    <w:r>
      <w:instrText xml:space="preserve"> FILENAME \p  \* MERGEFORMAT </w:instrText>
    </w:r>
    <w:r>
      <w:fldChar w:fldCharType="separate"/>
    </w:r>
    <w:r w:rsidR="00F37794">
      <w:t>P:\CHI\ITU-R\BR\DIR\CR\300\336V2C.DOCX</w:t>
    </w:r>
    <w:r>
      <w:fldChar w:fldCharType="end"/>
    </w:r>
    <w:r w:rsidR="009E55EB">
      <w:rPr>
        <w:rFonts w:hint="eastAsia"/>
        <w:lang w:eastAsia="zh-CN"/>
      </w:rPr>
      <w:t>(329893)</w:t>
    </w:r>
    <w:r w:rsidR="009E55EB">
      <w:tab/>
    </w:r>
    <w:r w:rsidR="009E55EB">
      <w:fldChar w:fldCharType="begin"/>
    </w:r>
    <w:r w:rsidR="009E55EB">
      <w:instrText xml:space="preserve"> SAVEDATE \@ DD.MM.YY </w:instrText>
    </w:r>
    <w:r w:rsidR="009E55EB">
      <w:fldChar w:fldCharType="separate"/>
    </w:r>
    <w:r>
      <w:t>16.07.12</w:t>
    </w:r>
    <w:r w:rsidR="009E55EB">
      <w:fldChar w:fldCharType="end"/>
    </w:r>
    <w:r w:rsidR="009E55EB">
      <w:tab/>
    </w:r>
    <w:r w:rsidR="009E55EB">
      <w:fldChar w:fldCharType="begin"/>
    </w:r>
    <w:r w:rsidR="009E55EB">
      <w:instrText xml:space="preserve"> PRINTDATE \@ DD.MM.YY </w:instrText>
    </w:r>
    <w:r w:rsidR="009E55EB">
      <w:fldChar w:fldCharType="separate"/>
    </w:r>
    <w:r w:rsidR="00F37794">
      <w:t>16.07.12</w:t>
    </w:r>
    <w:r w:rsidR="009E55E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1994"/>
      <w:gridCol w:w="3020"/>
      <w:gridCol w:w="2313"/>
      <w:gridCol w:w="2526"/>
    </w:tblGrid>
    <w:tr w:rsidR="009E55EB">
      <w:trPr>
        <w:cantSplit/>
      </w:trPr>
      <w:tc>
        <w:tcPr>
          <w:tcW w:w="1062" w:type="pct"/>
          <w:tcBorders>
            <w:top w:val="single" w:sz="6" w:space="0" w:color="auto"/>
          </w:tcBorders>
          <w:tcMar>
            <w:top w:w="57" w:type="dxa"/>
          </w:tcMar>
        </w:tcPr>
        <w:p w:rsidR="009E55EB" w:rsidRDefault="009E55EB">
          <w:pPr>
            <w:pStyle w:val="itu"/>
          </w:pPr>
          <w:r>
            <w:t>Place des Nations</w:t>
          </w:r>
        </w:p>
      </w:tc>
      <w:tc>
        <w:tcPr>
          <w:tcW w:w="1583" w:type="pct"/>
          <w:tcBorders>
            <w:top w:val="single" w:sz="6" w:space="0" w:color="auto"/>
          </w:tcBorders>
          <w:tcMar>
            <w:top w:w="57" w:type="dxa"/>
          </w:tcMar>
        </w:tcPr>
        <w:p w:rsidR="009E55EB" w:rsidRDefault="009E55EB">
          <w:pPr>
            <w:pStyle w:val="itu"/>
          </w:pPr>
          <w:r>
            <w:t>Telephone</w:t>
          </w:r>
          <w:r>
            <w:tab/>
            <w:t>+41 22 730 51 11</w:t>
          </w:r>
        </w:p>
      </w:tc>
      <w:tc>
        <w:tcPr>
          <w:tcW w:w="1224" w:type="pct"/>
          <w:tcBorders>
            <w:top w:val="single" w:sz="6" w:space="0" w:color="auto"/>
          </w:tcBorders>
          <w:tcMar>
            <w:top w:w="57" w:type="dxa"/>
          </w:tcMar>
        </w:tcPr>
        <w:p w:rsidR="009E55EB" w:rsidRDefault="009E55EB">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9E55EB" w:rsidRDefault="009E55EB">
          <w:pPr>
            <w:pStyle w:val="itu"/>
          </w:pPr>
          <w:r>
            <w:t>E-mail:</w:t>
          </w:r>
          <w:r>
            <w:tab/>
            <w:t>itumail@itu.int</w:t>
          </w:r>
        </w:p>
      </w:tc>
    </w:tr>
    <w:tr w:rsidR="009E55EB">
      <w:trPr>
        <w:cantSplit/>
      </w:trPr>
      <w:tc>
        <w:tcPr>
          <w:tcW w:w="1062" w:type="pct"/>
        </w:tcPr>
        <w:p w:rsidR="009E55EB" w:rsidRDefault="009E55EB">
          <w:pPr>
            <w:pStyle w:val="itu"/>
          </w:pPr>
          <w:r>
            <w:t>CH-1211 Geneva 20</w:t>
          </w:r>
        </w:p>
      </w:tc>
      <w:tc>
        <w:tcPr>
          <w:tcW w:w="1583" w:type="pct"/>
        </w:tcPr>
        <w:p w:rsidR="009E55EB" w:rsidRDefault="009E55EB">
          <w:pPr>
            <w:pStyle w:val="itu"/>
          </w:pPr>
          <w:r>
            <w:t>Telefax</w:t>
          </w:r>
          <w:r>
            <w:tab/>
            <w:t>Gr3:</w:t>
          </w:r>
          <w:r>
            <w:tab/>
            <w:t>+41 22 733 72 56</w:t>
          </w:r>
        </w:p>
      </w:tc>
      <w:tc>
        <w:tcPr>
          <w:tcW w:w="1224" w:type="pct"/>
        </w:tcPr>
        <w:p w:rsidR="009E55EB" w:rsidRDefault="009E55EB">
          <w:pPr>
            <w:pStyle w:val="itu"/>
          </w:pPr>
          <w:r>
            <w:t>Telegram ITU GENEVE</w:t>
          </w:r>
        </w:p>
      </w:tc>
      <w:tc>
        <w:tcPr>
          <w:tcW w:w="1131" w:type="pct"/>
        </w:tcPr>
        <w:p w:rsidR="009E55EB" w:rsidRDefault="009E55EB">
          <w:pPr>
            <w:pStyle w:val="itu"/>
          </w:pPr>
          <w:r>
            <w:tab/>
          </w:r>
          <w:hyperlink r:id="rId1" w:history="1">
            <w:r>
              <w:t>http://www.itu.int/</w:t>
            </w:r>
          </w:hyperlink>
        </w:p>
      </w:tc>
    </w:tr>
    <w:tr w:rsidR="009E55EB">
      <w:trPr>
        <w:cantSplit/>
      </w:trPr>
      <w:tc>
        <w:tcPr>
          <w:tcW w:w="1062" w:type="pct"/>
        </w:tcPr>
        <w:p w:rsidR="009E55EB" w:rsidRDefault="009E55EB">
          <w:pPr>
            <w:pStyle w:val="itu"/>
          </w:pPr>
          <w:r>
            <w:t>Switzerland</w:t>
          </w:r>
        </w:p>
      </w:tc>
      <w:tc>
        <w:tcPr>
          <w:tcW w:w="1583" w:type="pct"/>
        </w:tcPr>
        <w:p w:rsidR="009E55EB" w:rsidRDefault="009E55EB">
          <w:pPr>
            <w:pStyle w:val="itu"/>
          </w:pPr>
          <w:r>
            <w:tab/>
            <w:t>Gr4:</w:t>
          </w:r>
          <w:r>
            <w:tab/>
            <w:t>+41 22 730 65 00</w:t>
          </w:r>
        </w:p>
      </w:tc>
      <w:tc>
        <w:tcPr>
          <w:tcW w:w="1224" w:type="pct"/>
        </w:tcPr>
        <w:p w:rsidR="009E55EB" w:rsidRDefault="009E55EB">
          <w:pPr>
            <w:pStyle w:val="itu"/>
          </w:pPr>
        </w:p>
      </w:tc>
      <w:tc>
        <w:tcPr>
          <w:tcW w:w="1131" w:type="pct"/>
        </w:tcPr>
        <w:p w:rsidR="009E55EB" w:rsidRDefault="009E55EB">
          <w:pPr>
            <w:pStyle w:val="itu"/>
          </w:pPr>
        </w:p>
      </w:tc>
    </w:tr>
  </w:tbl>
  <w:p w:rsidR="009E55EB" w:rsidRPr="009E1957" w:rsidRDefault="009E55EB"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EB" w:rsidRDefault="009E55EB">
      <w:r>
        <w:t>____________________</w:t>
      </w:r>
    </w:p>
  </w:footnote>
  <w:footnote w:type="continuationSeparator" w:id="0">
    <w:p w:rsidR="009E55EB" w:rsidRDefault="009E5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EB" w:rsidRPr="001E15AA" w:rsidRDefault="009E55EB" w:rsidP="00094982">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E2B5C">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C9"/>
    <w:rsid w:val="00016557"/>
    <w:rsid w:val="000263A5"/>
    <w:rsid w:val="000445E4"/>
    <w:rsid w:val="00057E68"/>
    <w:rsid w:val="00094982"/>
    <w:rsid w:val="000D3923"/>
    <w:rsid w:val="000E15C1"/>
    <w:rsid w:val="000E17DD"/>
    <w:rsid w:val="000E64DA"/>
    <w:rsid w:val="000F195F"/>
    <w:rsid w:val="000F527D"/>
    <w:rsid w:val="00147E21"/>
    <w:rsid w:val="001921A1"/>
    <w:rsid w:val="00195539"/>
    <w:rsid w:val="001E15AA"/>
    <w:rsid w:val="00210B45"/>
    <w:rsid w:val="00227F65"/>
    <w:rsid w:val="002C159A"/>
    <w:rsid w:val="00392A49"/>
    <w:rsid w:val="003D3993"/>
    <w:rsid w:val="0044634B"/>
    <w:rsid w:val="00462D6E"/>
    <w:rsid w:val="00467463"/>
    <w:rsid w:val="004A5AB1"/>
    <w:rsid w:val="004C1881"/>
    <w:rsid w:val="004C7EA1"/>
    <w:rsid w:val="004E2B5C"/>
    <w:rsid w:val="004E6C34"/>
    <w:rsid w:val="004F26AE"/>
    <w:rsid w:val="00533AD4"/>
    <w:rsid w:val="00595800"/>
    <w:rsid w:val="005F130D"/>
    <w:rsid w:val="005F315A"/>
    <w:rsid w:val="005F7F4C"/>
    <w:rsid w:val="006136BC"/>
    <w:rsid w:val="006B3F95"/>
    <w:rsid w:val="006E221C"/>
    <w:rsid w:val="0071106C"/>
    <w:rsid w:val="00746900"/>
    <w:rsid w:val="007D3C32"/>
    <w:rsid w:val="00811467"/>
    <w:rsid w:val="00814258"/>
    <w:rsid w:val="00823D3B"/>
    <w:rsid w:val="00881D43"/>
    <w:rsid w:val="008D4874"/>
    <w:rsid w:val="008E01AD"/>
    <w:rsid w:val="008F428B"/>
    <w:rsid w:val="00924D12"/>
    <w:rsid w:val="0093776F"/>
    <w:rsid w:val="00942C7F"/>
    <w:rsid w:val="009676DC"/>
    <w:rsid w:val="009746CA"/>
    <w:rsid w:val="009846D5"/>
    <w:rsid w:val="009966B9"/>
    <w:rsid w:val="009E14F3"/>
    <w:rsid w:val="009E1957"/>
    <w:rsid w:val="009E55EB"/>
    <w:rsid w:val="009F715A"/>
    <w:rsid w:val="009F7313"/>
    <w:rsid w:val="00A06093"/>
    <w:rsid w:val="00A11441"/>
    <w:rsid w:val="00A4630C"/>
    <w:rsid w:val="00AB07C5"/>
    <w:rsid w:val="00AD1163"/>
    <w:rsid w:val="00AE4C48"/>
    <w:rsid w:val="00B36493"/>
    <w:rsid w:val="00B57344"/>
    <w:rsid w:val="00B87E04"/>
    <w:rsid w:val="00B96978"/>
    <w:rsid w:val="00BA76C9"/>
    <w:rsid w:val="00BB5D7B"/>
    <w:rsid w:val="00C35C61"/>
    <w:rsid w:val="00C93673"/>
    <w:rsid w:val="00CE11D3"/>
    <w:rsid w:val="00D35752"/>
    <w:rsid w:val="00D463D0"/>
    <w:rsid w:val="00D61395"/>
    <w:rsid w:val="00D73D34"/>
    <w:rsid w:val="00D744B4"/>
    <w:rsid w:val="00D973CB"/>
    <w:rsid w:val="00DC7F4D"/>
    <w:rsid w:val="00DE1238"/>
    <w:rsid w:val="00E11D5F"/>
    <w:rsid w:val="00EC710F"/>
    <w:rsid w:val="00EC7A77"/>
    <w:rsid w:val="00F031B9"/>
    <w:rsid w:val="00F16528"/>
    <w:rsid w:val="00F37794"/>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95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uiPriority w:val="99"/>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uiPriority w:val="59"/>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7A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95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uiPriority w:val="99"/>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uiPriority w:val="59"/>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7A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R/go/rcpm-wrc-15-studi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PC_BRcirc</Template>
  <TotalTime>71</TotalTime>
  <Pages>6</Pages>
  <Words>4357</Words>
  <Characters>2197</Characters>
  <Application>Microsoft Office Word</Application>
  <DocSecurity>0</DocSecurity>
  <Lines>18</Lines>
  <Paragraphs>13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6541</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mchen</dc:creator>
  <cp:keywords/>
  <dc:description/>
  <cp:lastModifiedBy>Gimenez</cp:lastModifiedBy>
  <cp:revision>8</cp:revision>
  <cp:lastPrinted>2012-07-16T13:51:00Z</cp:lastPrinted>
  <dcterms:created xsi:type="dcterms:W3CDTF">2012-07-16T12:26:00Z</dcterms:created>
  <dcterms:modified xsi:type="dcterms:W3CDTF">2012-07-17T09:35:00Z</dcterms:modified>
</cp:coreProperties>
</file>