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1645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16458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716458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716458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B1F8A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16458" w:rsidRDefault="00A96D3A" w:rsidP="00DB1F8A">
            <w:pPr>
              <w:spacing w:before="0"/>
              <w:jc w:val="left"/>
              <w:rPr>
                <w:szCs w:val="24"/>
                <w:lang w:val="es-ES_tradnl"/>
              </w:rPr>
            </w:pPr>
            <w:r w:rsidRPr="00716458">
              <w:rPr>
                <w:szCs w:val="24"/>
                <w:lang w:val="es-ES_tradnl"/>
              </w:rPr>
              <w:t>C</w:t>
            </w:r>
            <w:r w:rsidR="00DB1F8A">
              <w:rPr>
                <w:szCs w:val="24"/>
                <w:lang w:val="es-ES_tradnl"/>
              </w:rPr>
              <w:t>arta C</w:t>
            </w:r>
            <w:r w:rsidRPr="00716458">
              <w:rPr>
                <w:szCs w:val="24"/>
                <w:lang w:val="es-ES_tradnl"/>
              </w:rPr>
              <w:t>ircular</w:t>
            </w:r>
          </w:p>
          <w:p w:rsidR="00E53DCE" w:rsidRPr="00716458" w:rsidRDefault="00E53DCE" w:rsidP="00DB1F8A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16458">
              <w:rPr>
                <w:b/>
                <w:bCs/>
                <w:szCs w:val="24"/>
                <w:lang w:val="es-ES_tradnl"/>
              </w:rPr>
              <w:t>C</w:t>
            </w:r>
            <w:r w:rsidR="00DB1F8A">
              <w:rPr>
                <w:b/>
                <w:bCs/>
                <w:szCs w:val="24"/>
                <w:lang w:val="es-ES_tradnl"/>
              </w:rPr>
              <w:t>CRR</w:t>
            </w:r>
            <w:r w:rsidRPr="00716458">
              <w:rPr>
                <w:b/>
                <w:bCs/>
                <w:szCs w:val="24"/>
                <w:lang w:val="es-ES_tradnl"/>
              </w:rPr>
              <w:t>/</w:t>
            </w:r>
            <w:r w:rsidR="00310A89" w:rsidRPr="00716458">
              <w:rPr>
                <w:b/>
                <w:bCs/>
                <w:szCs w:val="24"/>
                <w:lang w:val="es-ES_tradnl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E53DCE" w:rsidRPr="00716458" w:rsidRDefault="00310A89" w:rsidP="00014785">
            <w:pPr>
              <w:spacing w:before="0"/>
              <w:jc w:val="right"/>
              <w:rPr>
                <w:szCs w:val="24"/>
                <w:lang w:val="es-ES_tradnl"/>
              </w:rPr>
            </w:pPr>
            <w:r w:rsidRPr="00716458">
              <w:rPr>
                <w:bCs/>
                <w:szCs w:val="24"/>
                <w:lang w:val="es-ES_tradnl"/>
              </w:rPr>
              <w:t>4</w:t>
            </w:r>
            <w:r w:rsidR="00A96D3A" w:rsidRPr="00716458">
              <w:rPr>
                <w:bCs/>
                <w:szCs w:val="24"/>
                <w:lang w:val="es-ES_tradnl"/>
              </w:rPr>
              <w:t xml:space="preserve"> </w:t>
            </w:r>
            <w:r w:rsidRPr="00716458">
              <w:rPr>
                <w:szCs w:val="24"/>
                <w:lang w:val="es-ES_tradnl"/>
              </w:rPr>
              <w:t>de ju</w:t>
            </w:r>
            <w:r w:rsidR="00014785">
              <w:rPr>
                <w:szCs w:val="24"/>
                <w:lang w:val="es-ES_tradnl"/>
              </w:rPr>
              <w:t>l</w:t>
            </w:r>
            <w:r w:rsidRPr="00716458">
              <w:rPr>
                <w:szCs w:val="24"/>
                <w:lang w:val="es-ES_tradnl"/>
              </w:rPr>
              <w:t>io de 2016</w:t>
            </w:r>
          </w:p>
        </w:tc>
      </w:tr>
      <w:tr w:rsidR="00E53DCE" w:rsidRPr="00DB1F8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B1F8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F9437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16458">
              <w:rPr>
                <w:b/>
                <w:szCs w:val="24"/>
                <w:lang w:val="es-ES_tradnl"/>
              </w:rPr>
              <w:t>A las Administraciones de los Estados Miembros de la UIT</w:t>
            </w:r>
          </w:p>
          <w:p w:rsidR="00E53DCE" w:rsidRPr="00716458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9437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F9437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F9437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16458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716458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716458" w:rsidRDefault="00310A89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716458">
              <w:rPr>
                <w:rFonts w:asciiTheme="minorHAnsi" w:hAnsiTheme="minorHAnsi"/>
                <w:b/>
                <w:bCs/>
                <w:szCs w:val="24"/>
                <w:lang w:val="es-ES_tradnl"/>
              </w:rPr>
              <w:t>Proyecto de Regla de Procedimiento relativa al Acuerdo Regional GE06</w:t>
            </w:r>
            <w:r w:rsidR="00716458" w:rsidRPr="00716458">
              <w:rPr>
                <w:rFonts w:ascii="Trebuchet MS" w:hAnsi="Trebuchet MS"/>
                <w:b/>
                <w:bCs/>
                <w:sz w:val="15"/>
                <w:szCs w:val="15"/>
                <w:lang w:val="es-ES_tradnl"/>
              </w:rPr>
              <w:t xml:space="preserve"> </w:t>
            </w:r>
          </w:p>
        </w:tc>
      </w:tr>
      <w:tr w:rsidR="00E53DCE" w:rsidRPr="00F9437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1645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1645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9437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1645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1645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9437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F9437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16458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310A89" w:rsidRPr="00716458" w:rsidRDefault="00310A89" w:rsidP="00DB1F8A">
      <w:pPr>
        <w:pStyle w:val="Normalaftertitle"/>
        <w:rPr>
          <w:lang w:val="es-ES_tradnl"/>
        </w:rPr>
      </w:pPr>
      <w:r w:rsidRPr="00716458">
        <w:rPr>
          <w:lang w:val="es-ES_tradnl"/>
        </w:rPr>
        <w:t>Se adjunta un proyecto de Regla de Procedimiento destinad</w:t>
      </w:r>
      <w:r w:rsidR="00DB1F8A">
        <w:rPr>
          <w:lang w:val="es-ES_tradnl"/>
        </w:rPr>
        <w:t>o</w:t>
      </w:r>
      <w:r w:rsidRPr="00716458">
        <w:rPr>
          <w:lang w:val="es-ES_tradnl"/>
        </w:rPr>
        <w:t xml:space="preserve"> a apoyar la aplicación del Acuerdo Regional GE06. </w:t>
      </w:r>
    </w:p>
    <w:p w:rsidR="00310A89" w:rsidRPr="00716458" w:rsidRDefault="00310A89" w:rsidP="00014785">
      <w:pPr>
        <w:rPr>
          <w:lang w:val="es-ES_tradnl"/>
        </w:rPr>
      </w:pPr>
      <w:r w:rsidRPr="00716458">
        <w:rPr>
          <w:szCs w:val="24"/>
          <w:lang w:val="es-ES_tradnl"/>
        </w:rPr>
        <w:t xml:space="preserve">De acuerdo con lo dispuesto en el número </w:t>
      </w:r>
      <w:r w:rsidRPr="00716458">
        <w:rPr>
          <w:b/>
          <w:bCs/>
          <w:szCs w:val="24"/>
          <w:lang w:val="es-ES_tradnl"/>
        </w:rPr>
        <w:t>13.17</w:t>
      </w:r>
      <w:r w:rsidRPr="00716458">
        <w:rPr>
          <w:szCs w:val="24"/>
          <w:lang w:val="es-ES_tradnl"/>
        </w:rPr>
        <w:t xml:space="preserve"> del Reglamento de Radiocomunicaciones, este proyecto de Regla de Procedimiento se pone a disposición de las </w:t>
      </w:r>
      <w:r w:rsidR="00DB1F8A" w:rsidRPr="00716458">
        <w:rPr>
          <w:szCs w:val="24"/>
          <w:lang w:val="es-ES_tradnl"/>
        </w:rPr>
        <w:t xml:space="preserve">administraciones </w:t>
      </w:r>
      <w:r w:rsidRPr="00716458">
        <w:rPr>
          <w:szCs w:val="24"/>
          <w:lang w:val="es-ES_tradnl"/>
        </w:rPr>
        <w:t>para que ésta</w:t>
      </w:r>
      <w:r w:rsidR="00DB1F8A">
        <w:rPr>
          <w:szCs w:val="24"/>
          <w:lang w:val="es-ES_tradnl"/>
        </w:rPr>
        <w:t>s</w:t>
      </w:r>
      <w:r w:rsidRPr="00716458">
        <w:rPr>
          <w:szCs w:val="24"/>
          <w:lang w:val="es-ES_tradnl"/>
        </w:rPr>
        <w:t xml:space="preserve"> presenten sus comentarios antes de que el proyecto se someta a la Junta del Reglamento de Radiocomunicaciones</w:t>
      </w:r>
      <w:r w:rsidR="00E46449">
        <w:rPr>
          <w:szCs w:val="24"/>
          <w:lang w:val="es-ES_tradnl"/>
        </w:rPr>
        <w:t xml:space="preserve"> (RRB)</w:t>
      </w:r>
      <w:r w:rsidRPr="00716458">
        <w:rPr>
          <w:szCs w:val="24"/>
          <w:lang w:val="es-ES_tradnl"/>
        </w:rPr>
        <w:t xml:space="preserve"> en aplicación del número </w:t>
      </w:r>
      <w:r w:rsidRPr="00716458">
        <w:rPr>
          <w:b/>
          <w:bCs/>
          <w:szCs w:val="24"/>
          <w:lang w:val="es-ES_tradnl"/>
        </w:rPr>
        <w:t>13.14</w:t>
      </w:r>
      <w:r w:rsidRPr="00716458">
        <w:rPr>
          <w:szCs w:val="24"/>
          <w:lang w:val="es-ES_tradnl"/>
        </w:rPr>
        <w:t xml:space="preserve">. Tal y como se indica en el número </w:t>
      </w:r>
      <w:r w:rsidRPr="00716458">
        <w:rPr>
          <w:b/>
          <w:bCs/>
          <w:szCs w:val="24"/>
          <w:lang w:val="es-ES_tradnl"/>
        </w:rPr>
        <w:t>13.12A</w:t>
      </w:r>
      <w:r w:rsidRPr="00716458">
        <w:rPr>
          <w:szCs w:val="24"/>
          <w:lang w:val="es-ES_tradnl"/>
        </w:rPr>
        <w:t xml:space="preserve"> </w:t>
      </w:r>
      <w:r w:rsidRPr="00716458">
        <w:rPr>
          <w:i/>
          <w:iCs/>
          <w:szCs w:val="24"/>
          <w:lang w:val="es-ES_tradnl"/>
        </w:rPr>
        <w:t>d)</w:t>
      </w:r>
      <w:r w:rsidRPr="00716458">
        <w:rPr>
          <w:szCs w:val="24"/>
          <w:lang w:val="es-ES_tradnl"/>
        </w:rPr>
        <w:t xml:space="preserve"> del Reglamento de Radiocomunicaciones, todo comentario que desee someter debe obrar en poder de la Oficina a más tardar el </w:t>
      </w:r>
      <w:r w:rsidR="00014785">
        <w:rPr>
          <w:b/>
          <w:bCs/>
          <w:szCs w:val="24"/>
          <w:lang w:val="es-ES_tradnl"/>
        </w:rPr>
        <w:t>19</w:t>
      </w:r>
      <w:r w:rsidRPr="00716458">
        <w:rPr>
          <w:b/>
          <w:bCs/>
          <w:szCs w:val="24"/>
          <w:lang w:val="es-ES_tradnl"/>
        </w:rPr>
        <w:t xml:space="preserve"> de septiembre de 2016,</w:t>
      </w:r>
      <w:r w:rsidRPr="00716458">
        <w:rPr>
          <w:szCs w:val="24"/>
          <w:lang w:val="es-ES_tradnl"/>
        </w:rPr>
        <w:t xml:space="preserve"> de modo que pueda examinarse en la 73ª reunión de la RRB, prevista del 17 al 21 de octubre de 2016. Los comentarios deben enviarse por fax al número +41 22 730 5785 o por correo-e a la dirección </w:t>
      </w:r>
      <w:hyperlink r:id="rId8" w:history="1">
        <w:r w:rsidRPr="00716458">
          <w:rPr>
            <w:color w:val="0000FF"/>
            <w:szCs w:val="24"/>
            <w:u w:val="single"/>
            <w:lang w:val="es-ES_tradnl"/>
          </w:rPr>
          <w:t>brmail@itu.int</w:t>
        </w:r>
      </w:hyperlink>
      <w:r w:rsidRPr="00716458">
        <w:rPr>
          <w:szCs w:val="24"/>
          <w:lang w:val="es-ES_tradnl"/>
        </w:rPr>
        <w:t>.</w:t>
      </w:r>
    </w:p>
    <w:p w:rsidR="00310A89" w:rsidRPr="00716458" w:rsidRDefault="00310A89" w:rsidP="00310A89">
      <w:pPr>
        <w:spacing w:before="1080"/>
        <w:jc w:val="left"/>
        <w:rPr>
          <w:lang w:val="es-ES_tradnl"/>
        </w:rPr>
      </w:pPr>
      <w:r w:rsidRPr="00716458">
        <w:rPr>
          <w:lang w:val="es-ES_tradnl"/>
        </w:rPr>
        <w:t>François Rancy</w:t>
      </w:r>
      <w:r w:rsidRPr="00716458">
        <w:rPr>
          <w:lang w:val="es-ES_tradnl"/>
        </w:rPr>
        <w:br/>
        <w:t xml:space="preserve">Director </w:t>
      </w:r>
    </w:p>
    <w:p w:rsidR="00310A89" w:rsidRPr="00716458" w:rsidRDefault="00310A89" w:rsidP="00DB1F8A">
      <w:pPr>
        <w:spacing w:before="1200" w:line="240" w:lineRule="auto"/>
        <w:rPr>
          <w:szCs w:val="24"/>
          <w:lang w:val="es-ES_tradnl"/>
        </w:rPr>
      </w:pPr>
      <w:r w:rsidRPr="00716458">
        <w:rPr>
          <w:b/>
          <w:bCs/>
          <w:szCs w:val="24"/>
          <w:lang w:val="es-ES_tradnl"/>
        </w:rPr>
        <w:t xml:space="preserve">Anexo: </w:t>
      </w:r>
      <w:r w:rsidRPr="00716458">
        <w:rPr>
          <w:szCs w:val="24"/>
          <w:lang w:val="es-ES_tradnl"/>
        </w:rPr>
        <w:t>1</w:t>
      </w:r>
    </w:p>
    <w:p w:rsidR="00310A89" w:rsidRPr="00716458" w:rsidRDefault="00310A89" w:rsidP="00DB1F8A">
      <w:pPr>
        <w:keepNext/>
        <w:keepLines/>
        <w:tabs>
          <w:tab w:val="clear" w:pos="794"/>
          <w:tab w:val="left" w:pos="284"/>
        </w:tabs>
        <w:spacing w:before="1320" w:line="240" w:lineRule="auto"/>
        <w:jc w:val="left"/>
        <w:rPr>
          <w:bCs/>
          <w:sz w:val="18"/>
          <w:szCs w:val="18"/>
          <w:lang w:val="es-ES_tradnl"/>
        </w:rPr>
      </w:pPr>
      <w:r w:rsidRPr="00716458">
        <w:rPr>
          <w:b/>
          <w:bCs/>
          <w:sz w:val="18"/>
          <w:szCs w:val="18"/>
          <w:lang w:val="es-ES_tradnl"/>
        </w:rPr>
        <w:t xml:space="preserve">Distribución: </w:t>
      </w:r>
      <w:r w:rsidRPr="00716458">
        <w:rPr>
          <w:b/>
          <w:bCs/>
          <w:sz w:val="18"/>
          <w:szCs w:val="18"/>
          <w:lang w:val="es-ES_tradnl"/>
        </w:rPr>
        <w:br/>
      </w:r>
      <w:r w:rsidRPr="00716458">
        <w:rPr>
          <w:bCs/>
          <w:sz w:val="18"/>
          <w:szCs w:val="18"/>
          <w:lang w:val="es-ES_tradnl"/>
        </w:rPr>
        <w:t>–</w:t>
      </w:r>
      <w:r w:rsidRPr="00716458">
        <w:rPr>
          <w:bCs/>
          <w:sz w:val="18"/>
          <w:szCs w:val="18"/>
          <w:lang w:val="es-ES_tradnl"/>
        </w:rPr>
        <w:tab/>
      </w:r>
      <w:r w:rsidRPr="00716458">
        <w:rPr>
          <w:rFonts w:asciiTheme="minorHAnsi" w:hAnsiTheme="minorHAnsi" w:cstheme="minorHAnsi"/>
          <w:bCs/>
          <w:sz w:val="18"/>
          <w:szCs w:val="18"/>
          <w:lang w:val="es-ES_tradnl"/>
        </w:rPr>
        <w:t>Administrac</w:t>
      </w:r>
      <w:r w:rsidR="00716458">
        <w:rPr>
          <w:rFonts w:asciiTheme="minorHAnsi" w:hAnsiTheme="minorHAnsi" w:cstheme="minorHAnsi"/>
          <w:bCs/>
          <w:sz w:val="18"/>
          <w:szCs w:val="18"/>
          <w:lang w:val="es-ES_tradnl"/>
        </w:rPr>
        <w:t>iones de los Estados Miembros d</w:t>
      </w:r>
      <w:r w:rsidRPr="00716458">
        <w:rPr>
          <w:rFonts w:asciiTheme="minorHAnsi" w:hAnsiTheme="minorHAnsi" w:cstheme="minorHAnsi"/>
          <w:bCs/>
          <w:sz w:val="18"/>
          <w:szCs w:val="18"/>
          <w:lang w:val="es-ES_tradnl"/>
        </w:rPr>
        <w:t>e</w:t>
      </w:r>
      <w:r w:rsidR="00716458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 </w:t>
      </w:r>
      <w:r w:rsidRPr="00716458">
        <w:rPr>
          <w:rFonts w:asciiTheme="minorHAnsi" w:hAnsiTheme="minorHAnsi" w:cstheme="minorHAnsi"/>
          <w:bCs/>
          <w:sz w:val="18"/>
          <w:szCs w:val="18"/>
          <w:lang w:val="es-ES_tradnl"/>
        </w:rPr>
        <w:t>la UIT</w:t>
      </w:r>
      <w:r w:rsidRPr="00716458">
        <w:rPr>
          <w:bCs/>
          <w:sz w:val="18"/>
          <w:szCs w:val="18"/>
          <w:lang w:val="es-ES_tradnl"/>
        </w:rPr>
        <w:br/>
        <w:t>–</w:t>
      </w:r>
      <w:r w:rsidRPr="00716458">
        <w:rPr>
          <w:bCs/>
          <w:sz w:val="18"/>
          <w:szCs w:val="18"/>
          <w:lang w:val="es-ES_tradnl"/>
        </w:rPr>
        <w:tab/>
      </w:r>
      <w:r w:rsidRPr="00716458">
        <w:rPr>
          <w:rFonts w:asciiTheme="minorHAnsi" w:hAnsiTheme="minorHAnsi" w:cstheme="minorHAnsi"/>
          <w:bCs/>
          <w:sz w:val="18"/>
          <w:szCs w:val="18"/>
          <w:lang w:val="es-ES_tradnl"/>
        </w:rPr>
        <w:t>Miembros de la Junta del Reglamento de Radiocomunicaciones</w:t>
      </w:r>
    </w:p>
    <w:p w:rsidR="00310A89" w:rsidRPr="00716458" w:rsidRDefault="00310A89" w:rsidP="00310A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es-ES_tradnl"/>
        </w:rPr>
      </w:pPr>
      <w:r w:rsidRPr="00716458">
        <w:rPr>
          <w:rFonts w:asciiTheme="minorHAnsi" w:hAnsiTheme="minorHAnsi" w:cstheme="minorHAnsi"/>
          <w:szCs w:val="24"/>
          <w:lang w:val="es-ES_tradnl"/>
        </w:rPr>
        <w:br w:type="page"/>
      </w:r>
    </w:p>
    <w:p w:rsidR="00310A89" w:rsidRPr="00716458" w:rsidRDefault="00F94376" w:rsidP="00310A89">
      <w:pPr>
        <w:pStyle w:val="AnnexNo"/>
        <w:spacing w:before="0"/>
        <w:rPr>
          <w:rFonts w:ascii="Calibri" w:hAnsi="Calibri"/>
          <w:lang w:val="es-ES_tradnl"/>
        </w:rPr>
      </w:pPr>
      <w:r w:rsidRPr="00716458">
        <w:rPr>
          <w:rFonts w:ascii="Calibri" w:hAnsi="Calibri"/>
          <w:caps w:val="0"/>
          <w:lang w:val="es-ES_tradnl"/>
        </w:rPr>
        <w:lastRenderedPageBreak/>
        <w:t>Anexo</w:t>
      </w:r>
      <w:bookmarkStart w:id="0" w:name="_GoBack"/>
      <w:bookmarkEnd w:id="0"/>
    </w:p>
    <w:p w:rsidR="00310A89" w:rsidRPr="00716458" w:rsidRDefault="00310A89" w:rsidP="00310A89">
      <w:pPr>
        <w:keepNext/>
        <w:keepLines/>
        <w:tabs>
          <w:tab w:val="left" w:pos="1134"/>
          <w:tab w:val="left" w:pos="1871"/>
        </w:tabs>
        <w:spacing w:before="300"/>
        <w:ind w:left="1134" w:hanging="1134"/>
        <w:jc w:val="center"/>
        <w:outlineLvl w:val="0"/>
        <w:rPr>
          <w:b/>
          <w:sz w:val="28"/>
          <w:szCs w:val="20"/>
          <w:lang w:val="es-ES_tradnl"/>
        </w:rPr>
      </w:pPr>
      <w:r w:rsidRPr="00716458">
        <w:rPr>
          <w:b/>
          <w:sz w:val="28"/>
          <w:szCs w:val="20"/>
          <w:lang w:val="es-ES_tradnl"/>
        </w:rPr>
        <w:t>PARTE A10</w:t>
      </w:r>
    </w:p>
    <w:p w:rsidR="00310A89" w:rsidRPr="00716458" w:rsidRDefault="00310A89" w:rsidP="00310A89">
      <w:pPr>
        <w:keepNext/>
        <w:keepLines/>
        <w:tabs>
          <w:tab w:val="left" w:pos="1134"/>
          <w:tab w:val="left" w:pos="1871"/>
        </w:tabs>
        <w:spacing w:before="600"/>
        <w:jc w:val="center"/>
        <w:outlineLvl w:val="0"/>
        <w:rPr>
          <w:b/>
          <w:sz w:val="28"/>
          <w:szCs w:val="20"/>
          <w:lang w:val="es-ES_tradnl"/>
        </w:rPr>
      </w:pPr>
      <w:r w:rsidRPr="00716458">
        <w:rPr>
          <w:b/>
          <w:sz w:val="28"/>
          <w:szCs w:val="20"/>
          <w:lang w:val="es-ES_tradnl"/>
        </w:rPr>
        <w:t>Reglas relativas al Acuerdo Regional sobre planificación del servicio de radiodifusión digital terrenal en partes de las Regiones 1 y 3, en</w:t>
      </w:r>
      <w:r w:rsidRPr="00716458">
        <w:rPr>
          <w:b/>
          <w:sz w:val="28"/>
          <w:szCs w:val="20"/>
          <w:lang w:val="es-ES_tradnl"/>
        </w:rPr>
        <w:br/>
        <w:t>las bandas de frecuencia 174-230 MHz y 470-862 MHz</w:t>
      </w:r>
      <w:r w:rsidRPr="00716458">
        <w:rPr>
          <w:b/>
          <w:sz w:val="28"/>
          <w:szCs w:val="20"/>
          <w:lang w:val="es-ES_tradnl"/>
        </w:rPr>
        <w:br/>
        <w:t>(Ginebra, 2006) (GE06)</w:t>
      </w:r>
    </w:p>
    <w:p w:rsidR="00310A89" w:rsidRPr="00716458" w:rsidRDefault="00310A89" w:rsidP="00310A89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134"/>
          <w:tab w:val="left" w:pos="1871"/>
        </w:tabs>
        <w:spacing w:before="400"/>
        <w:ind w:left="85" w:right="7938"/>
        <w:outlineLvl w:val="7"/>
        <w:rPr>
          <w:b/>
          <w:szCs w:val="20"/>
          <w:lang w:val="es-ES_tradnl"/>
        </w:rPr>
      </w:pPr>
      <w:r w:rsidRPr="00716458">
        <w:rPr>
          <w:b/>
          <w:szCs w:val="20"/>
          <w:lang w:val="es-ES_tradnl"/>
        </w:rPr>
        <w:t>Art. 4</w:t>
      </w:r>
    </w:p>
    <w:p w:rsidR="00310A89" w:rsidRPr="00716458" w:rsidRDefault="00310A89" w:rsidP="00310A89">
      <w:pPr>
        <w:pStyle w:val="Heading2"/>
        <w:jc w:val="center"/>
        <w:rPr>
          <w:rFonts w:asciiTheme="minorHAnsi" w:hAnsiTheme="minorHAnsi"/>
          <w:bCs/>
          <w:sz w:val="28"/>
          <w:szCs w:val="28"/>
          <w:lang w:val="es-ES_tradnl"/>
        </w:rPr>
      </w:pPr>
      <w:r w:rsidRPr="00716458">
        <w:rPr>
          <w:rFonts w:asciiTheme="minorHAnsi" w:hAnsiTheme="minorHAnsi"/>
          <w:bCs/>
          <w:sz w:val="28"/>
          <w:szCs w:val="28"/>
          <w:lang w:val="es-ES_tradnl"/>
        </w:rPr>
        <w:t>Procedimientos de modificación de los Planes</w:t>
      </w:r>
      <w:r w:rsidRPr="00716458">
        <w:rPr>
          <w:rFonts w:asciiTheme="minorHAnsi" w:hAnsiTheme="minorHAnsi"/>
          <w:bCs/>
          <w:sz w:val="28"/>
          <w:szCs w:val="28"/>
          <w:lang w:val="es-ES_tradnl"/>
        </w:rPr>
        <w:br/>
        <w:t>y de coordinación de otros servicios terrenales primarios</w:t>
      </w:r>
    </w:p>
    <w:p w:rsidR="00310A89" w:rsidRPr="00716458" w:rsidRDefault="00310A89" w:rsidP="00310A89">
      <w:pPr>
        <w:keepNext/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871"/>
        </w:tabs>
        <w:spacing w:before="280"/>
        <w:ind w:left="85" w:right="7258"/>
        <w:outlineLvl w:val="8"/>
        <w:rPr>
          <w:b/>
          <w:szCs w:val="20"/>
          <w:lang w:val="es-ES_tradnl"/>
        </w:rPr>
      </w:pPr>
      <w:r w:rsidRPr="00716458">
        <w:rPr>
          <w:b/>
          <w:szCs w:val="20"/>
          <w:lang w:val="es-ES_tradnl"/>
        </w:rPr>
        <w:t>4.1.4/4.2.4</w:t>
      </w:r>
    </w:p>
    <w:p w:rsidR="00310A89" w:rsidRPr="00716458" w:rsidRDefault="00310A89" w:rsidP="00310A89">
      <w:pPr>
        <w:keepNext/>
        <w:keepLines/>
        <w:tabs>
          <w:tab w:val="left" w:pos="1134"/>
          <w:tab w:val="left" w:pos="1871"/>
        </w:tabs>
        <w:spacing w:before="480"/>
        <w:outlineLvl w:val="1"/>
        <w:rPr>
          <w:b/>
          <w:sz w:val="26"/>
          <w:szCs w:val="20"/>
          <w:lang w:val="es-ES_tradnl"/>
        </w:rPr>
      </w:pPr>
      <w:r w:rsidRPr="00716458">
        <w:rPr>
          <w:b/>
          <w:sz w:val="26"/>
          <w:szCs w:val="20"/>
          <w:lang w:val="es-ES_tradnl"/>
        </w:rPr>
        <w:t>ADD</w:t>
      </w:r>
    </w:p>
    <w:tbl>
      <w:tblPr>
        <w:tblW w:w="0" w:type="auto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576"/>
      </w:tblGrid>
      <w:tr w:rsidR="00310A89" w:rsidRPr="00F94376" w:rsidTr="00BC653E">
        <w:tc>
          <w:tcPr>
            <w:tcW w:w="9576" w:type="dxa"/>
          </w:tcPr>
          <w:p w:rsidR="00310A89" w:rsidRPr="00716458" w:rsidRDefault="00310A89" w:rsidP="00BC653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</w:pPr>
            <w:r w:rsidRPr="00716458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 xml:space="preserve">Proyecto de Regla de Procedimiento </w:t>
            </w:r>
          </w:p>
          <w:p w:rsidR="00310A89" w:rsidRPr="00716458" w:rsidRDefault="00310A89" w:rsidP="00BC653E">
            <w:pPr>
              <w:jc w:val="center"/>
              <w:rPr>
                <w:rFonts w:asciiTheme="minorHAnsi" w:hAnsiTheme="minorHAnsi"/>
                <w:szCs w:val="24"/>
                <w:lang w:val="es-ES_tradnl"/>
              </w:rPr>
            </w:pPr>
          </w:p>
          <w:p w:rsidR="00310A89" w:rsidRPr="00716458" w:rsidRDefault="00310A89" w:rsidP="00BC653E">
            <w:pPr>
              <w:rPr>
                <w:rFonts w:asciiTheme="minorHAnsi" w:hAnsiTheme="minorHAnsi"/>
                <w:szCs w:val="24"/>
                <w:lang w:val="es-ES_tradnl"/>
              </w:rPr>
            </w:pPr>
            <w:r w:rsidRPr="00716458">
              <w:rPr>
                <w:rFonts w:asciiTheme="minorHAnsi" w:hAnsiTheme="minorHAnsi"/>
                <w:szCs w:val="24"/>
                <w:lang w:val="es-ES_tradnl"/>
              </w:rPr>
              <w:t xml:space="preserve">En las secciones 4.1.4 y 4.2.4 del Acuerdo Regional GE06 se describen los procedimientos que han de seguir las administraciones y la Oficina para obtener el acuerdo de las administraciones consideradas afectadas y cuyo acuerdo se ha de obtener. </w:t>
            </w:r>
          </w:p>
          <w:p w:rsidR="00310A89" w:rsidRPr="00716458" w:rsidRDefault="00310A89" w:rsidP="00BC653E">
            <w:pPr>
              <w:rPr>
                <w:rFonts w:asciiTheme="minorHAnsi" w:hAnsiTheme="minorHAnsi"/>
                <w:szCs w:val="24"/>
                <w:lang w:val="es-ES_tradnl"/>
              </w:rPr>
            </w:pPr>
            <w:r w:rsidRPr="00716458">
              <w:rPr>
                <w:rFonts w:asciiTheme="minorHAnsi" w:hAnsiTheme="minorHAnsi"/>
                <w:szCs w:val="24"/>
                <w:lang w:val="es-ES_tradnl"/>
              </w:rPr>
              <w:t xml:space="preserve">Concretamente, en las cláusulas 4.1.4.10 y 4.2.4.9 se encarga a la Oficina que envíe, previa solicitud de una administración, un recordatorio solicitando a las administraciones que no hayan contestado en el plazo de 75 días a partir de la fecha de publicación de la BR IFIC correspondiente que comuniquen su decisión. </w:t>
            </w:r>
          </w:p>
          <w:p w:rsidR="00310A89" w:rsidRPr="00716458" w:rsidRDefault="00310A89" w:rsidP="00BC653E">
            <w:pPr>
              <w:rPr>
                <w:rFonts w:asciiTheme="minorHAnsi" w:hAnsiTheme="minorHAnsi"/>
                <w:szCs w:val="24"/>
                <w:lang w:val="es-ES_tradnl"/>
              </w:rPr>
            </w:pPr>
            <w:r w:rsidRPr="00716458">
              <w:rPr>
                <w:rFonts w:asciiTheme="minorHAnsi" w:hAnsiTheme="minorHAnsi"/>
                <w:szCs w:val="24"/>
                <w:lang w:val="es-ES_tradnl"/>
              </w:rPr>
              <w:t>En las cláusulas 4.1.4.11 y 4.2.4.10 se estipula que, si no se comunica a la Oficina decisión alguna pasados 40 días del envío del recordatorio, se considerará que la administración está de acuerdo con la modificación propuesta.</w:t>
            </w:r>
          </w:p>
          <w:p w:rsidR="00310A89" w:rsidRPr="00716458" w:rsidRDefault="00310A89" w:rsidP="00DB1F8A">
            <w:pPr>
              <w:rPr>
                <w:rFonts w:asciiTheme="minorHAnsi" w:hAnsiTheme="minorHAnsi"/>
                <w:szCs w:val="24"/>
                <w:lang w:val="es-ES_tradnl"/>
              </w:rPr>
            </w:pPr>
            <w:r w:rsidRPr="00716458">
              <w:rPr>
                <w:rFonts w:asciiTheme="minorHAnsi" w:hAnsiTheme="minorHAnsi"/>
                <w:szCs w:val="24"/>
                <w:lang w:val="es-ES_tradnl"/>
              </w:rPr>
              <w:t xml:space="preserve">Además de enviar los recordatorios indicados en las cláusulas 4.1.4.10 </w:t>
            </w:r>
            <w:proofErr w:type="spellStart"/>
            <w:r w:rsidR="00DB1F8A">
              <w:rPr>
                <w:rFonts w:asciiTheme="minorHAnsi" w:hAnsiTheme="minorHAnsi"/>
                <w:szCs w:val="24"/>
                <w:lang w:val="es-ES_tradnl"/>
              </w:rPr>
              <w:t>ó</w:t>
            </w:r>
            <w:proofErr w:type="spellEnd"/>
            <w:r w:rsidRPr="00716458">
              <w:rPr>
                <w:rFonts w:asciiTheme="minorHAnsi" w:hAnsiTheme="minorHAnsi"/>
                <w:szCs w:val="24"/>
                <w:lang w:val="es-ES_tradnl"/>
              </w:rPr>
              <w:t xml:space="preserve"> 4.2.4.9 de</w:t>
            </w:r>
            <w:r w:rsidR="00DB1F8A">
              <w:rPr>
                <w:rFonts w:asciiTheme="minorHAnsi" w:hAnsiTheme="minorHAnsi"/>
                <w:szCs w:val="24"/>
                <w:lang w:val="es-ES_tradnl"/>
              </w:rPr>
              <w:t>l</w:t>
            </w:r>
            <w:r w:rsidRPr="00716458">
              <w:rPr>
                <w:rFonts w:asciiTheme="minorHAnsi" w:hAnsiTheme="minorHAnsi"/>
                <w:szCs w:val="24"/>
                <w:lang w:val="es-ES_tradnl"/>
              </w:rPr>
              <w:t xml:space="preserve"> Acuerdo Regional GE06, la Oficina los comunicará igualmente a las administraciones concernidas utilizando otros medios electrónicos de comunicación</w:t>
            </w:r>
            <w:r w:rsidRPr="00716458">
              <w:rPr>
                <w:szCs w:val="24"/>
                <w:lang w:val="es-ES_tradnl"/>
              </w:rPr>
              <w:t>.</w:t>
            </w:r>
          </w:p>
          <w:p w:rsidR="00310A89" w:rsidRPr="00716458" w:rsidRDefault="00310A89" w:rsidP="00BC653E">
            <w:pPr>
              <w:rPr>
                <w:rFonts w:asciiTheme="minorHAnsi" w:hAnsiTheme="minorHAnsi"/>
                <w:szCs w:val="24"/>
                <w:lang w:val="es-ES_tradnl"/>
              </w:rPr>
            </w:pPr>
            <w:r w:rsidRPr="00716458">
              <w:rPr>
                <w:rFonts w:asciiTheme="minorHAnsi" w:hAnsiTheme="minorHAnsi"/>
                <w:szCs w:val="24"/>
                <w:lang w:val="es-ES_tradnl"/>
              </w:rPr>
              <w:t>Fecha efectiva de aplicación de esta Regla: inmediatamente después de su aprobación.</w:t>
            </w:r>
          </w:p>
        </w:tc>
      </w:tr>
    </w:tbl>
    <w:p w:rsidR="00310A89" w:rsidRPr="00716458" w:rsidRDefault="00310A89" w:rsidP="00310A89">
      <w:pPr>
        <w:spacing w:line="240" w:lineRule="auto"/>
        <w:ind w:left="142"/>
        <w:rPr>
          <w:rFonts w:asciiTheme="minorHAnsi" w:hAnsiTheme="minorHAnsi"/>
          <w:b/>
          <w:bCs/>
          <w:szCs w:val="24"/>
          <w:lang w:val="es-ES_tradnl"/>
        </w:rPr>
      </w:pPr>
    </w:p>
    <w:p w:rsidR="00310A89" w:rsidRPr="00716458" w:rsidRDefault="00310A89" w:rsidP="00310A89">
      <w:pPr>
        <w:spacing w:line="240" w:lineRule="auto"/>
        <w:ind w:left="142"/>
        <w:rPr>
          <w:rFonts w:asciiTheme="minorHAnsi" w:hAnsiTheme="minorHAnsi"/>
          <w:b/>
          <w:bCs/>
          <w:szCs w:val="24"/>
          <w:lang w:val="es-ES_tradnl"/>
        </w:rPr>
      </w:pPr>
    </w:p>
    <w:p w:rsidR="00310A89" w:rsidRPr="00716458" w:rsidRDefault="00310A89" w:rsidP="00310A89">
      <w:pPr>
        <w:spacing w:line="240" w:lineRule="auto"/>
        <w:ind w:left="142"/>
        <w:rPr>
          <w:rFonts w:ascii="Times New Roman" w:hAnsi="Times New Roman"/>
          <w:i/>
          <w:iCs/>
          <w:lang w:val="es-ES_tradnl"/>
        </w:rPr>
      </w:pPr>
      <w:r w:rsidRPr="00716458">
        <w:rPr>
          <w:rFonts w:asciiTheme="minorHAnsi" w:hAnsiTheme="minorHAnsi"/>
          <w:b/>
          <w:bCs/>
          <w:szCs w:val="24"/>
          <w:lang w:val="es-ES_tradnl"/>
        </w:rPr>
        <w:t>Motivos:</w:t>
      </w:r>
      <w:r w:rsidRPr="00716458">
        <w:rPr>
          <w:rFonts w:asciiTheme="minorHAnsi" w:hAnsiTheme="minorHAnsi"/>
          <w:szCs w:val="24"/>
          <w:lang w:val="es-ES_tradnl"/>
        </w:rPr>
        <w:t xml:space="preserve"> Esta Regla de Procedimiento se ha preparado a raíz de la </w:t>
      </w:r>
      <w:r w:rsidRPr="00716458">
        <w:rPr>
          <w:rFonts w:asciiTheme="minorHAnsi" w:hAnsiTheme="minorHAnsi"/>
          <w:i/>
          <w:iCs/>
          <w:szCs w:val="24"/>
          <w:lang w:val="es-ES_tradnl"/>
        </w:rPr>
        <w:t>decisión adoptada por la RRB</w:t>
      </w:r>
      <w:r w:rsidRPr="00716458">
        <w:rPr>
          <w:rFonts w:asciiTheme="minorHAnsi" w:hAnsiTheme="minorHAnsi"/>
          <w:i/>
          <w:iCs/>
          <w:szCs w:val="24"/>
          <w:lang w:val="es-ES_tradnl"/>
        </w:rPr>
        <w:noBreakHyphen/>
        <w:t xml:space="preserve">72 en el </w:t>
      </w:r>
      <w:r w:rsidRPr="00A57755">
        <w:rPr>
          <w:rFonts w:asciiTheme="minorHAnsi" w:hAnsiTheme="minorHAnsi"/>
          <w:i/>
          <w:iCs/>
          <w:szCs w:val="24"/>
          <w:lang w:val="es-ES_tradnl"/>
        </w:rPr>
        <w:t>Documento</w:t>
      </w:r>
      <w:r w:rsidRPr="00A57755">
        <w:rPr>
          <w:rFonts w:asciiTheme="minorHAnsi" w:hAnsiTheme="minorHAnsi"/>
          <w:i/>
          <w:iCs/>
          <w:lang w:val="es-ES_tradnl"/>
        </w:rPr>
        <w:t xml:space="preserve"> RRB16-2/14.</w:t>
      </w:r>
    </w:p>
    <w:p w:rsidR="00310A89" w:rsidRPr="00716458" w:rsidRDefault="00310A89" w:rsidP="0032202E">
      <w:pPr>
        <w:pStyle w:val="Reasons"/>
        <w:rPr>
          <w:lang w:val="es-ES_tradnl"/>
        </w:rPr>
      </w:pPr>
    </w:p>
    <w:p w:rsidR="00310A89" w:rsidRPr="00716458" w:rsidRDefault="00310A89">
      <w:pPr>
        <w:jc w:val="center"/>
        <w:rPr>
          <w:lang w:val="es-ES_tradnl"/>
        </w:rPr>
      </w:pPr>
      <w:r w:rsidRPr="00716458">
        <w:rPr>
          <w:lang w:val="es-ES_tradnl"/>
        </w:rPr>
        <w:t>______________</w:t>
      </w:r>
    </w:p>
    <w:sectPr w:rsidR="00310A89" w:rsidRPr="00716458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75" w:rsidRDefault="009A3875">
      <w:r>
        <w:separator/>
      </w:r>
    </w:p>
  </w:endnote>
  <w:endnote w:type="continuationSeparator" w:id="0">
    <w:p w:rsidR="009A3875" w:rsidRDefault="009A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 xml:space="preserve">de Telecomunicaciones • Place des </w:t>
    </w:r>
    <w:proofErr w:type="spellStart"/>
    <w:r w:rsidRPr="00311970">
      <w:rPr>
        <w:color w:val="3E8EDE"/>
        <w:sz w:val="18"/>
        <w:szCs w:val="18"/>
        <w:lang w:val="es-ES"/>
      </w:rPr>
      <w:t>Nations</w:t>
    </w:r>
    <w:proofErr w:type="spellEnd"/>
    <w:r w:rsidRPr="00311970">
      <w:rPr>
        <w:color w:val="3E8EDE"/>
        <w:sz w:val="18"/>
        <w:szCs w:val="18"/>
        <w:lang w:val="es-ES"/>
      </w:rPr>
      <w:t xml:space="preserve">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 xml:space="preserve">Tel: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75" w:rsidRDefault="009A3875">
      <w:r>
        <w:t>____________________</w:t>
      </w:r>
    </w:p>
  </w:footnote>
  <w:footnote w:type="continuationSeparator" w:id="0">
    <w:p w:rsidR="009A3875" w:rsidRDefault="009A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446EE7" w:rsidP="00855C21">
    <w:pPr>
      <w:pStyle w:val="Header"/>
      <w:jc w:val="center"/>
      <w:rPr>
        <w:rStyle w:val="PageNumber"/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F94376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  <w:r w:rsidR="00855C21">
      <w:rPr>
        <w:rStyle w:val="PageNumber"/>
        <w:sz w:val="18"/>
        <w:szCs w:val="16"/>
      </w:rPr>
      <w:br/>
      <w:t>CCRR/56-S</w:t>
    </w:r>
  </w:p>
  <w:p w:rsidR="00855C21" w:rsidRPr="00D239B4" w:rsidRDefault="00855C21" w:rsidP="00855C21">
    <w:pPr>
      <w:pStyle w:val="Header"/>
      <w:jc w:val="center"/>
      <w:rPr>
        <w:sz w:val="18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DB1F8A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A3875"/>
    <w:rsid w:val="00006A31"/>
    <w:rsid w:val="00006C82"/>
    <w:rsid w:val="00010E30"/>
    <w:rsid w:val="00014785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0A89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6EE7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6458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5C8E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5C2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13D6"/>
    <w:rsid w:val="009A3875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7755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A6664"/>
    <w:rsid w:val="00DB1F8A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449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94376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B16FDE0-409D-4C36-BEE2-0414B90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310A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AnnexNo">
    <w:name w:val="Annex_No"/>
    <w:basedOn w:val="Normal"/>
    <w:next w:val="Normal"/>
    <w:rsid w:val="00310A8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Heading2Char">
    <w:name w:val="Heading 2 Char"/>
    <w:link w:val="Heading2"/>
    <w:rsid w:val="00310A89"/>
    <w:rPr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4711-8480-44E2-81E3-3641124F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</TotalTime>
  <Pages>2</Pages>
  <Words>451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Gimenez, Christine</cp:lastModifiedBy>
  <cp:revision>8</cp:revision>
  <cp:lastPrinted>2016-06-27T13:55:00Z</cp:lastPrinted>
  <dcterms:created xsi:type="dcterms:W3CDTF">2016-06-22T09:21:00Z</dcterms:created>
  <dcterms:modified xsi:type="dcterms:W3CDTF">2016-06-29T07:53:00Z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