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8021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802160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802160" w:rsidTr="00F11740">
        <w:tc>
          <w:tcPr>
            <w:tcW w:w="7054" w:type="dxa"/>
            <w:gridSpan w:val="2"/>
            <w:shd w:val="clear" w:color="auto" w:fill="auto"/>
          </w:tcPr>
          <w:p w:rsidR="00E53DCE" w:rsidRPr="00802160" w:rsidRDefault="00B65478" w:rsidP="003C48C0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802160">
              <w:rPr>
                <w:lang w:val="ru-RU"/>
              </w:rPr>
              <w:t>Циркулярное письмо</w:t>
            </w:r>
            <w:r w:rsidR="00D92B90" w:rsidRPr="00802160">
              <w:rPr>
                <w:lang w:val="ru-RU"/>
              </w:rPr>
              <w:br/>
            </w:r>
            <w:r w:rsidR="00A8069B" w:rsidRPr="00802160">
              <w:rPr>
                <w:rFonts w:asciiTheme="minorHAnsi" w:hAnsiTheme="minorHAnsi"/>
                <w:b/>
                <w:bCs/>
                <w:lang w:val="ru-RU"/>
              </w:rPr>
              <w:t>CCRR/55</w:t>
            </w:r>
          </w:p>
        </w:tc>
        <w:tc>
          <w:tcPr>
            <w:tcW w:w="2835" w:type="dxa"/>
            <w:shd w:val="clear" w:color="auto" w:fill="auto"/>
          </w:tcPr>
          <w:p w:rsidR="00E53DCE" w:rsidRPr="00802160" w:rsidRDefault="006B711E" w:rsidP="0026132A">
            <w:pPr>
              <w:spacing w:before="0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6132A">
                  <w:rPr>
                    <w:rFonts w:cs="Arial"/>
                    <w:lang w:val="ru-RU"/>
                  </w:rPr>
                  <w:t>7 марта</w:t>
                </w:r>
                <w:r w:rsidR="009F1F35" w:rsidRPr="00802160">
                  <w:rPr>
                    <w:rFonts w:cs="Arial"/>
                    <w:lang w:val="ru-RU"/>
                  </w:rPr>
                  <w:t xml:space="preserve"> 201</w:t>
                </w:r>
                <w:r w:rsidR="00F11740" w:rsidRPr="00802160">
                  <w:rPr>
                    <w:rFonts w:cs="Arial"/>
                    <w:lang w:val="ru-RU"/>
                  </w:rPr>
                  <w:t>6</w:t>
                </w:r>
                <w:r w:rsidR="009F1F35" w:rsidRPr="00802160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802160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802160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802160" w:rsidTr="00F11740">
        <w:tc>
          <w:tcPr>
            <w:tcW w:w="9889" w:type="dxa"/>
            <w:gridSpan w:val="3"/>
            <w:shd w:val="clear" w:color="auto" w:fill="auto"/>
          </w:tcPr>
          <w:p w:rsidR="00E53DCE" w:rsidRPr="0080216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5975B4" w:rsidTr="003C48C0">
        <w:tc>
          <w:tcPr>
            <w:tcW w:w="1526" w:type="dxa"/>
            <w:shd w:val="clear" w:color="auto" w:fill="auto"/>
          </w:tcPr>
          <w:p w:rsidR="003C48C0" w:rsidRPr="00802160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8021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802160" w:rsidRDefault="00A8069B" w:rsidP="00793C0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802160">
              <w:rPr>
                <w:b/>
                <w:bCs/>
                <w:lang w:val="ru-RU"/>
              </w:rPr>
              <w:t>Проект Правила процедуры, касающегося рассмотрения запроса о координации или информации для заявления спутниковых сетей, полученных до вступления в силу решения ВКР</w:t>
            </w:r>
          </w:p>
        </w:tc>
      </w:tr>
    </w:tbl>
    <w:p w:rsidR="00A8069B" w:rsidRPr="00802160" w:rsidRDefault="00A8069B" w:rsidP="00802160">
      <w:pPr>
        <w:spacing w:before="720"/>
        <w:jc w:val="both"/>
        <w:rPr>
          <w:rFonts w:asciiTheme="minorHAnsi" w:hAnsiTheme="minorHAnsi"/>
          <w:lang w:val="ru-RU"/>
        </w:rPr>
      </w:pPr>
      <w:bookmarkStart w:id="0" w:name="ddistribution"/>
      <w:bookmarkStart w:id="1" w:name="lt_pId009"/>
      <w:bookmarkEnd w:id="0"/>
      <w:r w:rsidRPr="00802160">
        <w:rPr>
          <w:lang w:val="ru-RU"/>
        </w:rPr>
        <w:t>Направляю в приложении проект Правила процедуры, касающегося рассмотрения Бюро радиосвязи запросов о координации согласно Статье </w:t>
      </w:r>
      <w:r w:rsidRPr="00802160">
        <w:rPr>
          <w:b/>
          <w:bCs/>
          <w:lang w:val="ru-RU"/>
        </w:rPr>
        <w:t>9</w:t>
      </w:r>
      <w:r w:rsidRPr="00802160">
        <w:rPr>
          <w:lang w:val="ru-RU"/>
        </w:rPr>
        <w:t xml:space="preserve"> или информации для заявления согласно Статье </w:t>
      </w:r>
      <w:r w:rsidRPr="00802160">
        <w:rPr>
          <w:b/>
          <w:bCs/>
          <w:lang w:val="ru-RU"/>
        </w:rPr>
        <w:t>11</w:t>
      </w:r>
      <w:r w:rsidRPr="00802160">
        <w:rPr>
          <w:lang w:val="ru-RU"/>
        </w:rPr>
        <w:t xml:space="preserve"> Регламента радиосвязи, представленных в Бюро начиная с первого дня после </w:t>
      </w:r>
      <w:r w:rsidR="00CF6CDB">
        <w:rPr>
          <w:lang w:val="ru-RU"/>
        </w:rPr>
        <w:t>Всемирной конференции радиосвязи (</w:t>
      </w:r>
      <w:r w:rsidRPr="00802160">
        <w:rPr>
          <w:lang w:val="ru-RU"/>
        </w:rPr>
        <w:t>ВКР</w:t>
      </w:r>
      <w:r w:rsidR="00CF6CDB">
        <w:rPr>
          <w:lang w:val="ru-RU"/>
        </w:rPr>
        <w:t>)</w:t>
      </w:r>
      <w:r w:rsidRPr="00802160">
        <w:rPr>
          <w:lang w:val="ru-RU"/>
        </w:rPr>
        <w:t>, но до даты вступления в силу новых или обновленных распределений частот, которые осуществила ВКР.</w:t>
      </w:r>
      <w:bookmarkEnd w:id="1"/>
    </w:p>
    <w:p w:rsidR="00A8069B" w:rsidRPr="00802160" w:rsidRDefault="00A8069B" w:rsidP="00802160">
      <w:pPr>
        <w:jc w:val="both"/>
        <w:rPr>
          <w:rFonts w:asciiTheme="minorHAnsi" w:hAnsiTheme="minorHAnsi"/>
          <w:lang w:val="ru-RU" w:eastAsia="zh-CN"/>
        </w:rPr>
      </w:pPr>
      <w:r w:rsidRPr="00802160">
        <w:rPr>
          <w:rFonts w:asciiTheme="minorHAnsi" w:hAnsiTheme="minorHAnsi"/>
          <w:lang w:val="ru-RU"/>
        </w:rPr>
        <w:t xml:space="preserve">Этот проект нового Правила процедуры был разработан в соответствии с поручениями, данными Радиорегламентарным комитетом </w:t>
      </w:r>
      <w:r w:rsidR="00CF6CDB">
        <w:rPr>
          <w:rFonts w:asciiTheme="minorHAnsi" w:hAnsiTheme="minorHAnsi"/>
          <w:lang w:val="ru-RU"/>
        </w:rPr>
        <w:t xml:space="preserve">(РРК) </w:t>
      </w:r>
      <w:r w:rsidRPr="00802160">
        <w:rPr>
          <w:rFonts w:asciiTheme="minorHAnsi" w:hAnsiTheme="minorHAnsi"/>
          <w:lang w:val="ru-RU"/>
        </w:rPr>
        <w:t>на его 71-м собрании (см. Документ </w:t>
      </w:r>
      <w:hyperlink r:id="rId8" w:history="1">
        <w:r w:rsidR="007C42A0" w:rsidRPr="00802160">
          <w:rPr>
            <w:rStyle w:val="Hyperlink"/>
            <w:lang w:val="ru-RU"/>
          </w:rPr>
          <w:t>RRB16-1/21</w:t>
        </w:r>
      </w:hyperlink>
      <w:r w:rsidRPr="00802160">
        <w:rPr>
          <w:rFonts w:asciiTheme="minorHAnsi" w:hAnsiTheme="minorHAnsi"/>
          <w:lang w:val="ru-RU"/>
        </w:rPr>
        <w:t>).</w:t>
      </w:r>
    </w:p>
    <w:p w:rsidR="00A8069B" w:rsidRPr="00802160" w:rsidRDefault="00A8069B" w:rsidP="00802160">
      <w:pPr>
        <w:jc w:val="both"/>
        <w:rPr>
          <w:rFonts w:asciiTheme="minorHAnsi" w:hAnsiTheme="minorHAnsi"/>
          <w:lang w:val="ru-RU"/>
        </w:rPr>
      </w:pPr>
      <w:r w:rsidRPr="00802160">
        <w:rPr>
          <w:rFonts w:asciiTheme="minorHAnsi" w:hAnsiTheme="minorHAnsi"/>
          <w:lang w:val="ru-RU"/>
        </w:rPr>
        <w:t>В соответствии с п. </w:t>
      </w:r>
      <w:r w:rsidRPr="00802160">
        <w:rPr>
          <w:rFonts w:asciiTheme="minorHAnsi" w:hAnsiTheme="minorHAnsi"/>
          <w:b/>
          <w:bCs/>
          <w:lang w:val="ru-RU"/>
        </w:rPr>
        <w:t>13.17</w:t>
      </w:r>
      <w:r w:rsidRPr="00802160">
        <w:rPr>
          <w:rFonts w:asciiTheme="minorHAnsi" w:hAnsiTheme="minorHAnsi"/>
          <w:lang w:val="ru-RU"/>
        </w:rPr>
        <w:t xml:space="preserve"> Регламента радиосвязи, перед тем как проект этого Правила процедуры будет представлен в РРК согласно п. </w:t>
      </w:r>
      <w:r w:rsidRPr="00802160">
        <w:rPr>
          <w:rFonts w:asciiTheme="minorHAnsi" w:hAnsiTheme="minorHAnsi"/>
          <w:b/>
          <w:bCs/>
          <w:lang w:val="ru-RU"/>
        </w:rPr>
        <w:t>13.14</w:t>
      </w:r>
      <w:r w:rsidRPr="00802160">
        <w:rPr>
          <w:rFonts w:asciiTheme="minorHAnsi" w:hAnsiTheme="minorHAnsi"/>
          <w:lang w:val="ru-RU"/>
        </w:rPr>
        <w:t>, он предоставляется в распоряжение администраций для направления замечаний. Как указано в п. </w:t>
      </w:r>
      <w:r w:rsidRPr="00802160">
        <w:rPr>
          <w:rFonts w:asciiTheme="minorHAnsi" w:hAnsiTheme="minorHAnsi"/>
          <w:b/>
          <w:bCs/>
          <w:lang w:val="ru-RU"/>
        </w:rPr>
        <w:t>13.12A</w:t>
      </w:r>
      <w:r w:rsidRPr="00802160">
        <w:rPr>
          <w:rFonts w:asciiTheme="minorHAnsi" w:hAnsiTheme="minorHAnsi"/>
          <w:lang w:val="ru-RU"/>
        </w:rPr>
        <w:t xml:space="preserve"> </w:t>
      </w:r>
      <w:r w:rsidRPr="00802160">
        <w:rPr>
          <w:rFonts w:asciiTheme="minorHAnsi" w:hAnsiTheme="minorHAnsi"/>
          <w:i/>
          <w:iCs/>
          <w:lang w:val="ru-RU"/>
        </w:rPr>
        <w:t>d)</w:t>
      </w:r>
      <w:r w:rsidRPr="00802160">
        <w:rPr>
          <w:rFonts w:asciiTheme="minorHAnsi" w:hAnsiTheme="minorHAnsi"/>
          <w:lang w:val="ru-RU"/>
        </w:rPr>
        <w:t xml:space="preserve"> Регламента радиосвязи, любые замечания, которые вы пожелаете представить, должны быть получены Бюро не позднее </w:t>
      </w:r>
      <w:r w:rsidRPr="00802160">
        <w:rPr>
          <w:rFonts w:asciiTheme="minorHAnsi" w:hAnsiTheme="minorHAnsi"/>
          <w:b/>
          <w:bCs/>
          <w:lang w:val="ru-RU"/>
        </w:rPr>
        <w:t>18 апреля 2016 года</w:t>
      </w:r>
      <w:r w:rsidRPr="00802160">
        <w:rPr>
          <w:rFonts w:asciiTheme="minorHAnsi" w:hAnsiTheme="minorHAnsi"/>
          <w:lang w:val="ru-RU"/>
        </w:rPr>
        <w:t>, для того чтобы они были рассмотрены на 72-м собрании РРК, запланированном на 16–20 ма</w:t>
      </w:r>
      <w:r w:rsidR="00802160" w:rsidRPr="00802160">
        <w:rPr>
          <w:rFonts w:asciiTheme="minorHAnsi" w:hAnsiTheme="minorHAnsi"/>
          <w:lang w:val="ru-RU"/>
        </w:rPr>
        <w:t>я</w:t>
      </w:r>
      <w:r w:rsidRPr="00802160">
        <w:rPr>
          <w:rFonts w:asciiTheme="minorHAnsi" w:hAnsiTheme="minorHAnsi"/>
          <w:lang w:val="ru-RU"/>
        </w:rPr>
        <w:t xml:space="preserve"> 2016 года. Замечания следует направлять по телефаксу: +41 22 730 5785 или электронной почтой по адресу: </w:t>
      </w:r>
      <w:hyperlink r:id="rId9" w:history="1">
        <w:r w:rsidRPr="00802160">
          <w:rPr>
            <w:rFonts w:asciiTheme="minorHAnsi" w:hAnsiTheme="minorHAnsi"/>
            <w:color w:val="0000FF"/>
            <w:u w:val="single"/>
            <w:lang w:val="ru-RU"/>
          </w:rPr>
          <w:t>brmail@itu.int</w:t>
        </w:r>
      </w:hyperlink>
      <w:r w:rsidRPr="00802160">
        <w:rPr>
          <w:rFonts w:asciiTheme="minorHAnsi" w:hAnsiTheme="minorHAnsi"/>
          <w:lang w:val="ru-RU"/>
        </w:rPr>
        <w:t>.</w:t>
      </w:r>
    </w:p>
    <w:p w:rsidR="00B65478" w:rsidRPr="00802160" w:rsidRDefault="00A8069B" w:rsidP="005975B4">
      <w:pPr>
        <w:spacing w:before="1080"/>
        <w:rPr>
          <w:lang w:val="ru-RU"/>
        </w:rPr>
      </w:pPr>
      <w:r w:rsidRPr="00802160">
        <w:rPr>
          <w:lang w:val="ru-RU"/>
        </w:rPr>
        <w:t>Франсуа Ранси</w:t>
      </w:r>
      <w:r w:rsidRPr="00802160">
        <w:rPr>
          <w:lang w:val="ru-RU"/>
        </w:rPr>
        <w:br/>
        <w:t>Директор</w:t>
      </w:r>
    </w:p>
    <w:p w:rsidR="007C42A0" w:rsidRPr="00802160" w:rsidRDefault="007C42A0" w:rsidP="005975B4">
      <w:pPr>
        <w:spacing w:before="600"/>
        <w:rPr>
          <w:lang w:val="ru-RU"/>
        </w:rPr>
      </w:pPr>
      <w:r w:rsidRPr="00802160">
        <w:rPr>
          <w:b/>
          <w:bCs/>
          <w:lang w:val="ru-RU"/>
        </w:rPr>
        <w:t>Приложение</w:t>
      </w:r>
      <w:r w:rsidRPr="00802160">
        <w:rPr>
          <w:lang w:val="ru-RU"/>
        </w:rPr>
        <w:t>: 1</w:t>
      </w:r>
    </w:p>
    <w:p w:rsidR="00B65478" w:rsidRPr="00802160" w:rsidRDefault="00B65478" w:rsidP="005975B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720"/>
        <w:jc w:val="both"/>
        <w:rPr>
          <w:sz w:val="18"/>
          <w:szCs w:val="18"/>
          <w:lang w:val="ru-RU"/>
        </w:rPr>
      </w:pPr>
      <w:r w:rsidRPr="00802160">
        <w:rPr>
          <w:bCs/>
          <w:sz w:val="18"/>
          <w:szCs w:val="18"/>
          <w:lang w:val="ru-RU"/>
        </w:rPr>
        <w:t>Рассылка</w:t>
      </w:r>
      <w:r w:rsidRPr="00802160">
        <w:rPr>
          <w:b w:val="0"/>
          <w:bCs/>
          <w:sz w:val="18"/>
          <w:szCs w:val="18"/>
          <w:lang w:val="ru-RU"/>
        </w:rPr>
        <w:t>:</w:t>
      </w:r>
    </w:p>
    <w:p w:rsidR="00B65478" w:rsidRPr="00802160" w:rsidRDefault="00B65478" w:rsidP="00A8069B">
      <w:pPr>
        <w:tabs>
          <w:tab w:val="num" w:pos="284"/>
          <w:tab w:val="num" w:pos="2160"/>
        </w:tabs>
        <w:overflowPunct/>
        <w:autoSpaceDE/>
        <w:adjustRightInd/>
        <w:spacing w:before="60"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802160">
        <w:rPr>
          <w:sz w:val="18"/>
          <w:szCs w:val="18"/>
          <w:lang w:val="ru-RU"/>
        </w:rPr>
        <w:t>–</w:t>
      </w:r>
      <w:r w:rsidRPr="00802160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802160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802160">
        <w:rPr>
          <w:sz w:val="18"/>
          <w:szCs w:val="18"/>
          <w:lang w:val="ru-RU"/>
        </w:rPr>
        <w:t>–</w:t>
      </w:r>
      <w:r w:rsidRPr="00802160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8069B" w:rsidRPr="00802160" w:rsidRDefault="00A806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val="ru-RU"/>
        </w:rPr>
      </w:pPr>
      <w:r w:rsidRPr="00802160">
        <w:rPr>
          <w:sz w:val="18"/>
          <w:szCs w:val="18"/>
          <w:lang w:val="ru-RU"/>
        </w:rPr>
        <w:br w:type="page"/>
      </w:r>
    </w:p>
    <w:p w:rsidR="00A8069B" w:rsidRPr="00802160" w:rsidRDefault="00A8069B" w:rsidP="000E5267">
      <w:pPr>
        <w:pStyle w:val="AnnexNo"/>
        <w:rPr>
          <w:lang w:val="ru-RU"/>
        </w:rPr>
      </w:pPr>
      <w:r w:rsidRPr="00802160">
        <w:rPr>
          <w:lang w:val="ru-RU"/>
        </w:rPr>
        <w:lastRenderedPageBreak/>
        <w:t>ПРИЛОЖЕНИЕ</w:t>
      </w:r>
    </w:p>
    <w:p w:rsidR="00A8069B" w:rsidRPr="00802160" w:rsidRDefault="00A8069B" w:rsidP="0026132A">
      <w:pPr>
        <w:pStyle w:val="Annextitle"/>
        <w:spacing w:after="0"/>
        <w:rPr>
          <w:lang w:val="ru-RU"/>
        </w:rPr>
      </w:pPr>
      <w:r w:rsidRPr="00802160">
        <w:rPr>
          <w:lang w:val="ru-RU"/>
        </w:rPr>
        <w:t>Правила</w:t>
      </w:r>
      <w:r w:rsidR="00D61F81">
        <w:rPr>
          <w:lang w:val="ru-RU"/>
        </w:rPr>
        <w:t>, касающиеся</w:t>
      </w:r>
    </w:p>
    <w:p w:rsidR="00A8069B" w:rsidRPr="00802160" w:rsidRDefault="0026132A" w:rsidP="0026132A">
      <w:pPr>
        <w:pStyle w:val="Annextitle"/>
        <w:spacing w:after="0"/>
        <w:rPr>
          <w:lang w:val="ru-RU"/>
        </w:rPr>
      </w:pPr>
      <w:r>
        <w:rPr>
          <w:sz w:val="24"/>
          <w:szCs w:val="24"/>
          <w:lang w:val="ru-RU"/>
        </w:rPr>
        <w:t>р</w:t>
      </w:r>
      <w:r w:rsidR="00A8069B" w:rsidRPr="00802160">
        <w:rPr>
          <w:sz w:val="24"/>
          <w:szCs w:val="24"/>
          <w:lang w:val="ru-RU"/>
        </w:rPr>
        <w:t>ассмотрени</w:t>
      </w:r>
      <w:r>
        <w:rPr>
          <w:sz w:val="24"/>
          <w:szCs w:val="24"/>
          <w:lang w:val="ru-RU"/>
        </w:rPr>
        <w:t>я</w:t>
      </w:r>
      <w:r w:rsidR="00A8069B" w:rsidRPr="00802160">
        <w:rPr>
          <w:sz w:val="24"/>
          <w:szCs w:val="24"/>
          <w:lang w:val="ru-RU"/>
        </w:rPr>
        <w:t xml:space="preserve"> Бюро радиосвязи запросов о координации согласно Статье 9 или информации для заявления согласно Статье 11 Регламента радиосвязи, представленных в Бюро начиная с первого дня после ВКР, но до даты вступления в силу новых или обновленных распределений частот, которые осуществила ВКР</w:t>
      </w:r>
    </w:p>
    <w:p w:rsidR="00A8069B" w:rsidRPr="00802160" w:rsidRDefault="00A8069B" w:rsidP="00802160">
      <w:pPr>
        <w:pStyle w:val="Normalaftertitle"/>
        <w:jc w:val="both"/>
        <w:rPr>
          <w:lang w:val="ru-RU"/>
        </w:rPr>
      </w:pPr>
      <w:r w:rsidRPr="00802160">
        <w:rPr>
          <w:lang w:val="ru-RU"/>
        </w:rPr>
        <w:t>Что касается запросов о координации или информации для заявления, которые включают частотное присвоение в рамках принятого на ВКР нового или обновленного распределения и получены Бюро начиная с первого дня после Конференции, вопрос о соответствии частотных присвоений Таблице распределения частот будет решается путем рассмотрения согласно п. </w:t>
      </w:r>
      <w:r w:rsidRPr="00802160">
        <w:rPr>
          <w:b/>
          <w:bCs/>
          <w:lang w:val="ru-RU"/>
        </w:rPr>
        <w:t>9.35</w:t>
      </w:r>
      <w:r w:rsidRPr="00802160">
        <w:rPr>
          <w:lang w:val="ru-RU"/>
        </w:rPr>
        <w:t xml:space="preserve"> (на предмет соблюдения п. </w:t>
      </w:r>
      <w:r w:rsidRPr="00802160">
        <w:rPr>
          <w:b/>
          <w:bCs/>
          <w:lang w:val="ru-RU"/>
        </w:rPr>
        <w:t>11.31</w:t>
      </w:r>
      <w:r w:rsidRPr="00802160">
        <w:rPr>
          <w:lang w:val="ru-RU"/>
        </w:rPr>
        <w:t>) или п. </w:t>
      </w:r>
      <w:r w:rsidRPr="00802160">
        <w:rPr>
          <w:b/>
          <w:bCs/>
          <w:lang w:val="ru-RU"/>
        </w:rPr>
        <w:t>11.31</w:t>
      </w:r>
      <w:r w:rsidRPr="00802160">
        <w:rPr>
          <w:lang w:val="ru-RU"/>
        </w:rPr>
        <w:t>, в зависимости от случая, а заключения Бюро будут отражать статус частотного присвоения в части соответствия Таблице распределения частот. Комитет принял решение, что будут существовать следующие категории заключений согласно п. </w:t>
      </w:r>
      <w:r w:rsidRPr="00802160">
        <w:rPr>
          <w:b/>
          <w:bCs/>
          <w:lang w:val="ru-RU"/>
        </w:rPr>
        <w:t>11.31</w:t>
      </w:r>
      <w:r w:rsidRPr="00802160">
        <w:rPr>
          <w:lang w:val="ru-RU"/>
        </w:rPr>
        <w:t xml:space="preserve"> – в зависимости от даты получения соответствующего запроса о координации или информации для заявления и даты ввода в действие частотного присвоения: </w:t>
      </w:r>
    </w:p>
    <w:p w:rsidR="00A8069B" w:rsidRPr="00802160" w:rsidRDefault="00A8069B" w:rsidP="00802160">
      <w:pPr>
        <w:pStyle w:val="enumlev1"/>
        <w:jc w:val="both"/>
        <w:rPr>
          <w:lang w:val="ru-RU"/>
        </w:rPr>
      </w:pPr>
      <w:r w:rsidRPr="00802160">
        <w:rPr>
          <w:lang w:val="ru-RU"/>
        </w:rPr>
        <w:t>a)</w:t>
      </w:r>
      <w:r w:rsidRPr="00802160">
        <w:rPr>
          <w:lang w:val="ru-RU"/>
        </w:rPr>
        <w:tab/>
        <w:t>заключение будет благоприятным, если на дату получения Бюро запроса о координации или информации для заявления соответствующее частотное распределение является действующим;</w:t>
      </w:r>
    </w:p>
    <w:p w:rsidR="00A8069B" w:rsidRPr="00802160" w:rsidRDefault="00A8069B" w:rsidP="00802160">
      <w:pPr>
        <w:pStyle w:val="enumlev1"/>
        <w:jc w:val="both"/>
        <w:rPr>
          <w:lang w:val="ru-RU"/>
        </w:rPr>
      </w:pPr>
      <w:r w:rsidRPr="00802160">
        <w:rPr>
          <w:lang w:val="ru-RU"/>
        </w:rPr>
        <w:t>b)</w:t>
      </w:r>
      <w:r w:rsidRPr="00802160">
        <w:rPr>
          <w:lang w:val="ru-RU"/>
        </w:rPr>
        <w:tab/>
        <w:t>заключение будет неблагоприятным, если на дату получения Бюро запроса о координации или информации для заявления соответствующее частотное распределение еще не было принято конференцией;</w:t>
      </w:r>
    </w:p>
    <w:p w:rsidR="00A8069B" w:rsidRPr="00802160" w:rsidRDefault="00A8069B" w:rsidP="00802160">
      <w:pPr>
        <w:pStyle w:val="enumlev1"/>
        <w:jc w:val="both"/>
        <w:rPr>
          <w:lang w:val="ru-RU"/>
        </w:rPr>
      </w:pPr>
      <w:r w:rsidRPr="00802160">
        <w:rPr>
          <w:lang w:val="ru-RU"/>
        </w:rPr>
        <w:t>c)</w:t>
      </w:r>
      <w:r w:rsidRPr="00802160">
        <w:rPr>
          <w:lang w:val="ru-RU"/>
        </w:rPr>
        <w:tab/>
        <w:t>заключение будет "условно благоприятным", если на дату получения Бюро запроса о координации или информации для заявления соответствующее частотное распределение было принято конференцией, но еще не вступило в силу. Такое заключение позволит осуществлять координацию присвоений сети, к которой применяется процедура координации согласно разделу II Статьи 9, и учитывать эту сеть при применении п. </w:t>
      </w:r>
      <w:r w:rsidRPr="00802160">
        <w:rPr>
          <w:b/>
          <w:bCs/>
          <w:lang w:val="ru-RU"/>
        </w:rPr>
        <w:t>9.27</w:t>
      </w:r>
      <w:r w:rsidR="000E5267" w:rsidRPr="00802160">
        <w:rPr>
          <w:lang w:val="ru-RU"/>
        </w:rPr>
        <w:t>, а </w:t>
      </w:r>
      <w:r w:rsidRPr="00802160">
        <w:rPr>
          <w:lang w:val="ru-RU"/>
        </w:rPr>
        <w:t>также позволит обрабатывать в соответствии с п. </w:t>
      </w:r>
      <w:r w:rsidRPr="00802160">
        <w:rPr>
          <w:b/>
          <w:bCs/>
          <w:lang w:val="ru-RU"/>
        </w:rPr>
        <w:t xml:space="preserve">11.36 </w:t>
      </w:r>
      <w:r w:rsidRPr="00802160">
        <w:rPr>
          <w:lang w:val="ru-RU"/>
        </w:rPr>
        <w:t>сеть, к которой не применяется раздел II Статьи 9.</w:t>
      </w:r>
    </w:p>
    <w:p w:rsidR="00A8069B" w:rsidRPr="00802160" w:rsidRDefault="00A8069B" w:rsidP="00802160">
      <w:pPr>
        <w:tabs>
          <w:tab w:val="clear" w:pos="794"/>
        </w:tabs>
        <w:ind w:left="851" w:hanging="851"/>
        <w:jc w:val="both"/>
        <w:rPr>
          <w:lang w:val="ru-RU"/>
        </w:rPr>
      </w:pPr>
      <w:r w:rsidRPr="00802160">
        <w:rPr>
          <w:lang w:val="ru-RU"/>
        </w:rPr>
        <w:t>d)</w:t>
      </w:r>
      <w:r w:rsidRPr="00802160">
        <w:rPr>
          <w:lang w:val="ru-RU"/>
        </w:rPr>
        <w:tab/>
      </w:r>
      <w:bookmarkStart w:id="2" w:name="lt_pId033"/>
      <w:r w:rsidRPr="00802160">
        <w:rPr>
          <w:lang w:val="ru-RU"/>
        </w:rPr>
        <w:t>"условно благоприятное" заключение станет благоприятным после даты вступления в силу частотного распределения и при подтверждении того, что дата ввода в действие частотного присвоения действительно следует после даты вступления в силу соответствующего частотного распределения.</w:t>
      </w:r>
      <w:bookmarkEnd w:id="2"/>
      <w:r w:rsidRPr="00802160">
        <w:rPr>
          <w:lang w:val="ru-RU"/>
        </w:rPr>
        <w:t xml:space="preserve"> </w:t>
      </w:r>
      <w:bookmarkStart w:id="3" w:name="lt_pId034"/>
      <w:r w:rsidRPr="00802160">
        <w:rPr>
          <w:lang w:val="ru-RU"/>
        </w:rPr>
        <w:t>В противном случае это заключение станет неблагоприятным.</w:t>
      </w:r>
      <w:bookmarkEnd w:id="3"/>
    </w:p>
    <w:p w:rsidR="00A8069B" w:rsidRPr="00802160" w:rsidRDefault="00A8069B" w:rsidP="00802160">
      <w:pPr>
        <w:jc w:val="both"/>
        <w:rPr>
          <w:lang w:val="ru-RU"/>
        </w:rPr>
      </w:pPr>
      <w:bookmarkStart w:id="4" w:name="lt_pId035"/>
      <w:r w:rsidRPr="00802160">
        <w:rPr>
          <w:lang w:val="ru-RU"/>
        </w:rPr>
        <w:t>Наряду с упомянутым выше рассмотрением соответствия частотному распределению рассматриваемые запросы о координации и информация для заявления должны рассматриваться в соответствии с п. </w:t>
      </w:r>
      <w:r w:rsidRPr="00802160">
        <w:rPr>
          <w:b/>
          <w:bCs/>
          <w:lang w:val="ru-RU"/>
        </w:rPr>
        <w:t>9.36</w:t>
      </w:r>
      <w:r w:rsidRPr="00802160">
        <w:rPr>
          <w:lang w:val="ru-RU"/>
        </w:rPr>
        <w:t xml:space="preserve"> и на предмет соответствия п. </w:t>
      </w:r>
      <w:r w:rsidRPr="00802160">
        <w:rPr>
          <w:b/>
          <w:bCs/>
          <w:lang w:val="ru-RU"/>
        </w:rPr>
        <w:t>11.31</w:t>
      </w:r>
      <w:r w:rsidRPr="00802160">
        <w:rPr>
          <w:lang w:val="ru-RU"/>
        </w:rPr>
        <w:t xml:space="preserve"> и п. </w:t>
      </w:r>
      <w:r w:rsidRPr="00802160">
        <w:rPr>
          <w:b/>
          <w:bCs/>
          <w:lang w:val="ru-RU"/>
        </w:rPr>
        <w:t>11.32</w:t>
      </w:r>
      <w:r w:rsidRPr="00802160">
        <w:rPr>
          <w:lang w:val="ru-RU"/>
        </w:rPr>
        <w:t xml:space="preserve">, используя условия, применяемые к новому или обновленному частотному распределению на дату </w:t>
      </w:r>
      <w:r w:rsidRPr="00802160">
        <w:rPr>
          <w:lang w:val="ru-RU"/>
        </w:rPr>
        <w:lastRenderedPageBreak/>
        <w:t>вступления в силу данного распределения, принятого ВКР (например, ограничения мощности, критерии координации и т. д.).</w:t>
      </w:r>
      <w:bookmarkEnd w:id="4"/>
    </w:p>
    <w:p w:rsidR="00A8069B" w:rsidRPr="00802160" w:rsidRDefault="00A8069B" w:rsidP="00802160">
      <w:pPr>
        <w:spacing w:after="120"/>
        <w:jc w:val="both"/>
        <w:rPr>
          <w:i/>
          <w:iCs/>
          <w:lang w:val="ru-RU"/>
        </w:rPr>
      </w:pPr>
      <w:r w:rsidRPr="00802160">
        <w:rPr>
          <w:b/>
          <w:bCs/>
          <w:i/>
          <w:iCs/>
          <w:lang w:val="ru-RU"/>
        </w:rPr>
        <w:t>Основание</w:t>
      </w:r>
      <w:r w:rsidRPr="00802160">
        <w:rPr>
          <w:i/>
          <w:iCs/>
          <w:lang w:val="ru-RU"/>
        </w:rPr>
        <w:t xml:space="preserve">: </w:t>
      </w:r>
      <w:bookmarkStart w:id="5" w:name="lt_pId037"/>
      <w:r w:rsidR="000E5267" w:rsidRPr="00802160">
        <w:rPr>
          <w:i/>
          <w:iCs/>
          <w:lang w:val="ru-RU"/>
        </w:rPr>
        <w:t xml:space="preserve">На </w:t>
      </w:r>
      <w:r w:rsidRPr="00802160">
        <w:rPr>
          <w:i/>
          <w:iCs/>
          <w:lang w:val="ru-RU"/>
        </w:rPr>
        <w:t>своем 71-м собрании Комитет принял решение поручить БР разработать проект нового ПрП, касающегося приемлемости заявок, представленных БР до даты вступления в силу частотного распределения после принятия решения ВКР; это Правило должно базироваться на текущей практике, описанной в Приложении 1 к Документу RRB16-1/4, и будет рассмотрено для принятия на 72-м собрании Комитета</w:t>
      </w:r>
      <w:r w:rsidRPr="00802160">
        <w:rPr>
          <w:rFonts w:cstheme="majorBidi"/>
          <w:i/>
          <w:iCs/>
          <w:color w:val="000000"/>
          <w:lang w:val="ru-RU"/>
        </w:rPr>
        <w:t>.</w:t>
      </w:r>
      <w:bookmarkEnd w:id="5"/>
    </w:p>
    <w:p w:rsidR="00A8069B" w:rsidRDefault="00A8069B" w:rsidP="00802160">
      <w:pPr>
        <w:spacing w:after="120"/>
        <w:jc w:val="both"/>
        <w:rPr>
          <w:rFonts w:asciiTheme="minorHAnsi" w:hAnsiTheme="minorHAnsi"/>
          <w:bCs/>
          <w:i/>
          <w:iCs/>
          <w:lang w:val="ru-RU" w:eastAsia="zh-CN"/>
        </w:rPr>
      </w:pPr>
      <w:bookmarkStart w:id="6" w:name="lt_pId038"/>
      <w:r w:rsidRPr="00802160">
        <w:rPr>
          <w:rFonts w:asciiTheme="minorHAnsi" w:hAnsiTheme="minorHAnsi"/>
          <w:bCs/>
          <w:i/>
          <w:iCs/>
          <w:lang w:val="ru-RU" w:eastAsia="zh-CN"/>
        </w:rPr>
        <w:t>Дат</w:t>
      </w:r>
      <w:r w:rsidR="0026132A">
        <w:rPr>
          <w:rFonts w:asciiTheme="minorHAnsi" w:hAnsiTheme="minorHAnsi"/>
          <w:bCs/>
          <w:i/>
          <w:iCs/>
          <w:lang w:val="ru-RU" w:eastAsia="zh-CN"/>
        </w:rPr>
        <w:t>а начала применения настоящего П</w:t>
      </w:r>
      <w:r w:rsidRPr="00802160">
        <w:rPr>
          <w:rFonts w:asciiTheme="minorHAnsi" w:hAnsiTheme="minorHAnsi"/>
          <w:bCs/>
          <w:i/>
          <w:iCs/>
          <w:lang w:val="ru-RU" w:eastAsia="zh-CN"/>
        </w:rPr>
        <w:t>равила:</w:t>
      </w:r>
      <w:bookmarkEnd w:id="6"/>
      <w:r w:rsidRPr="00802160">
        <w:rPr>
          <w:rFonts w:asciiTheme="minorHAnsi" w:hAnsiTheme="minorHAnsi"/>
          <w:bCs/>
          <w:i/>
          <w:iCs/>
          <w:lang w:val="ru-RU" w:eastAsia="zh-CN"/>
        </w:rPr>
        <w:t xml:space="preserve"> </w:t>
      </w:r>
      <w:bookmarkStart w:id="7" w:name="lt_pId039"/>
      <w:r w:rsidRPr="00802160">
        <w:rPr>
          <w:rFonts w:asciiTheme="minorHAnsi" w:hAnsiTheme="minorHAnsi"/>
          <w:bCs/>
          <w:i/>
          <w:iCs/>
          <w:lang w:val="ru-RU" w:eastAsia="zh-CN"/>
        </w:rPr>
        <w:t>28 ноября 2015 года.</w:t>
      </w:r>
      <w:bookmarkEnd w:id="7"/>
    </w:p>
    <w:p w:rsidR="0026132A" w:rsidRDefault="002613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  <w:i/>
          <w:iCs/>
          <w:lang w:val="ru-RU" w:eastAsia="zh-CN"/>
        </w:rPr>
      </w:pPr>
      <w:bookmarkStart w:id="8" w:name="_GoBack"/>
      <w:r>
        <w:rPr>
          <w:rFonts w:asciiTheme="minorHAnsi" w:hAnsiTheme="minorHAnsi"/>
          <w:bCs/>
          <w:i/>
          <w:iCs/>
          <w:lang w:val="ru-RU" w:eastAsia="zh-CN"/>
        </w:rPr>
        <w:br w:type="page"/>
      </w:r>
    </w:p>
    <w:bookmarkEnd w:id="8"/>
    <w:p w:rsidR="0026132A" w:rsidRPr="0026132A" w:rsidRDefault="0026132A" w:rsidP="0026132A">
      <w:pPr>
        <w:pStyle w:val="Heading1"/>
        <w:spacing w:before="300"/>
        <w:jc w:val="center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lastRenderedPageBreak/>
        <w:t>Правила, касающиеся</w:t>
      </w:r>
    </w:p>
    <w:p w:rsidR="0026132A" w:rsidRPr="0026132A" w:rsidRDefault="0026132A" w:rsidP="0026132A">
      <w:pPr>
        <w:pStyle w:val="Heading2"/>
        <w:jc w:val="center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t>СТАТЬИ</w:t>
      </w:r>
      <w:r w:rsidRPr="0026132A">
        <w:rPr>
          <w:rFonts w:asciiTheme="minorHAnsi" w:hAnsiTheme="minorHAnsi"/>
          <w:color w:val="000000"/>
          <w:szCs w:val="24"/>
          <w:lang w:val="ru-RU"/>
        </w:rPr>
        <w:t xml:space="preserve"> 9 </w:t>
      </w:r>
      <w:r>
        <w:rPr>
          <w:rFonts w:asciiTheme="minorHAnsi" w:hAnsiTheme="minorHAnsi"/>
          <w:color w:val="000000"/>
          <w:szCs w:val="24"/>
          <w:lang w:val="ru-RU"/>
        </w:rPr>
        <w:t>РР</w:t>
      </w:r>
    </w:p>
    <w:p w:rsidR="0026132A" w:rsidRPr="0026132A" w:rsidRDefault="0026132A" w:rsidP="0026132A">
      <w:pPr>
        <w:pStyle w:val="Heading8"/>
        <w:spacing w:before="0"/>
        <w:ind w:left="0" w:firstLine="0"/>
        <w:rPr>
          <w:rFonts w:asciiTheme="minorHAnsi" w:hAnsiTheme="minorHAnsi"/>
          <w:szCs w:val="24"/>
          <w:lang w:val="ru-RU" w:eastAsia="zh-CN"/>
        </w:rPr>
      </w:pPr>
    </w:p>
    <w:p w:rsidR="0026132A" w:rsidRPr="00583402" w:rsidRDefault="0026132A" w:rsidP="0026132A">
      <w:pPr>
        <w:pStyle w:val="enumlev1"/>
        <w:keepNext/>
        <w:spacing w:before="200" w:after="200"/>
        <w:ind w:left="0" w:firstLine="0"/>
        <w:rPr>
          <w:rFonts w:asciiTheme="minorHAnsi" w:hAnsiTheme="minorHAnsi"/>
          <w:b/>
          <w:bCs/>
          <w:sz w:val="24"/>
          <w:szCs w:val="24"/>
        </w:rPr>
      </w:pPr>
      <w:r w:rsidRPr="00583402">
        <w:rPr>
          <w:rFonts w:asciiTheme="minorHAnsi" w:hAnsiTheme="minorHAnsi"/>
          <w:b/>
          <w:bCs/>
          <w:sz w:val="24"/>
          <w:szCs w:val="24"/>
        </w:rPr>
        <w:t>MOD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26132A" w:rsidRPr="00583402" w:rsidTr="0026132A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132A" w:rsidRPr="00583402" w:rsidRDefault="0026132A" w:rsidP="0026132A">
            <w:pPr>
              <w:pStyle w:val="Heading8"/>
              <w:spacing w:before="0"/>
              <w:ind w:left="0" w:right="-108" w:firstLine="0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583402">
              <w:rPr>
                <w:rFonts w:asciiTheme="minorHAnsi" w:hAnsiTheme="minorHAnsi"/>
                <w:color w:val="000000"/>
                <w:szCs w:val="24"/>
              </w:rPr>
              <w:t>9.11A</w:t>
            </w:r>
          </w:p>
        </w:tc>
      </w:tr>
    </w:tbl>
    <w:p w:rsidR="0026132A" w:rsidRPr="00583402" w:rsidRDefault="0026132A" w:rsidP="0026132A">
      <w:pPr>
        <w:tabs>
          <w:tab w:val="left" w:pos="708"/>
        </w:tabs>
        <w:overflowPunct/>
        <w:spacing w:before="0"/>
        <w:rPr>
          <w:rFonts w:asciiTheme="minorHAnsi" w:hAnsiTheme="minorHAnsi"/>
          <w:sz w:val="24"/>
          <w:szCs w:val="24"/>
          <w:lang w:eastAsia="zh-CN"/>
        </w:rPr>
      </w:pPr>
    </w:p>
    <w:p w:rsidR="0026132A" w:rsidRPr="00583402" w:rsidRDefault="0026132A" w:rsidP="0026132A">
      <w:pPr>
        <w:rPr>
          <w:sz w:val="24"/>
          <w:szCs w:val="24"/>
          <w:lang w:eastAsia="zh-CN"/>
        </w:rPr>
      </w:pPr>
      <w:r w:rsidRPr="00583402">
        <w:rPr>
          <w:sz w:val="24"/>
          <w:szCs w:val="24"/>
          <w:lang w:eastAsia="zh-CN"/>
        </w:rPr>
        <w:t>SUP 3.3</w:t>
      </w:r>
    </w:p>
    <w:p w:rsidR="0026132A" w:rsidRPr="0059679A" w:rsidRDefault="0026132A" w:rsidP="008E3A44">
      <w:pPr>
        <w:spacing w:after="120"/>
        <w:jc w:val="both"/>
        <w:rPr>
          <w:rFonts w:asciiTheme="minorHAnsi" w:hAnsiTheme="minorHAnsi"/>
          <w:i/>
          <w:iCs/>
          <w:lang w:val="ru-RU" w:eastAsia="zh-CN"/>
        </w:rPr>
      </w:pPr>
      <w:r>
        <w:rPr>
          <w:rFonts w:asciiTheme="minorHAnsi" w:hAnsiTheme="minorHAnsi"/>
          <w:b/>
          <w:bCs/>
          <w:i/>
          <w:iCs/>
          <w:lang w:val="ru-RU" w:eastAsia="zh-CN"/>
        </w:rPr>
        <w:t>Основание</w:t>
      </w:r>
      <w:r w:rsidRPr="0059679A">
        <w:rPr>
          <w:rFonts w:asciiTheme="minorHAnsi" w:hAnsiTheme="minorHAnsi"/>
          <w:i/>
          <w:iCs/>
          <w:lang w:val="ru-RU" w:eastAsia="zh-CN"/>
        </w:rPr>
        <w:t xml:space="preserve">: </w:t>
      </w:r>
      <w:r>
        <w:rPr>
          <w:rFonts w:asciiTheme="minorHAnsi" w:hAnsiTheme="minorHAnsi"/>
          <w:i/>
          <w:iCs/>
          <w:lang w:val="ru-RU" w:eastAsia="zh-CN"/>
        </w:rPr>
        <w:t>Следствие</w:t>
      </w:r>
      <w:r w:rsidRPr="0059679A">
        <w:rPr>
          <w:rFonts w:asciiTheme="minorHAnsi" w:hAnsiTheme="minorHAnsi"/>
          <w:i/>
          <w:iCs/>
          <w:lang w:val="ru-RU" w:eastAsia="zh-CN"/>
        </w:rPr>
        <w:t xml:space="preserve"> </w:t>
      </w:r>
      <w:r>
        <w:rPr>
          <w:rFonts w:asciiTheme="minorHAnsi" w:hAnsiTheme="minorHAnsi"/>
          <w:i/>
          <w:iCs/>
          <w:lang w:val="ru-RU" w:eastAsia="zh-CN"/>
        </w:rPr>
        <w:t>принятия</w:t>
      </w:r>
      <w:r w:rsidRPr="0059679A">
        <w:rPr>
          <w:rFonts w:asciiTheme="minorHAnsi" w:hAnsiTheme="minorHAnsi"/>
          <w:i/>
          <w:iCs/>
          <w:lang w:val="ru-RU" w:eastAsia="zh-CN"/>
        </w:rPr>
        <w:t xml:space="preserve"> </w:t>
      </w:r>
      <w:r>
        <w:rPr>
          <w:rFonts w:asciiTheme="minorHAnsi" w:hAnsiTheme="minorHAnsi"/>
          <w:i/>
          <w:iCs/>
          <w:lang w:val="ru-RU" w:eastAsia="zh-CN"/>
        </w:rPr>
        <w:t>Правила</w:t>
      </w:r>
      <w:r w:rsidRPr="0059679A">
        <w:rPr>
          <w:rFonts w:asciiTheme="minorHAnsi" w:hAnsiTheme="minorHAnsi"/>
          <w:i/>
          <w:iCs/>
          <w:lang w:val="ru-RU" w:eastAsia="zh-CN"/>
        </w:rPr>
        <w:t xml:space="preserve"> </w:t>
      </w:r>
      <w:r>
        <w:rPr>
          <w:rFonts w:asciiTheme="minorHAnsi" w:hAnsiTheme="minorHAnsi"/>
          <w:i/>
          <w:iCs/>
          <w:lang w:val="ru-RU" w:eastAsia="zh-CN"/>
        </w:rPr>
        <w:t>процедуры</w:t>
      </w:r>
      <w:r w:rsidRPr="0059679A">
        <w:rPr>
          <w:rFonts w:asciiTheme="minorHAnsi" w:hAnsiTheme="minorHAnsi"/>
          <w:i/>
          <w:iCs/>
          <w:lang w:val="ru-RU" w:eastAsia="zh-CN"/>
        </w:rPr>
        <w:t xml:space="preserve">, </w:t>
      </w:r>
      <w:r>
        <w:rPr>
          <w:rFonts w:asciiTheme="minorHAnsi" w:hAnsiTheme="minorHAnsi"/>
          <w:i/>
          <w:iCs/>
          <w:lang w:val="ru-RU" w:eastAsia="zh-CN"/>
        </w:rPr>
        <w:t>касающегося</w:t>
      </w:r>
      <w:r w:rsidRPr="0059679A">
        <w:rPr>
          <w:rFonts w:asciiTheme="minorHAnsi" w:hAnsiTheme="minorHAnsi"/>
          <w:i/>
          <w:iCs/>
          <w:lang w:val="ru-RU" w:eastAsia="zh-CN"/>
        </w:rPr>
        <w:t xml:space="preserve"> </w:t>
      </w:r>
      <w:r w:rsidRPr="0026132A">
        <w:rPr>
          <w:i/>
          <w:iCs/>
          <w:lang w:val="ru-RU"/>
        </w:rPr>
        <w:t>рассмотрения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Бюро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радиосвязи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запросов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координации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согласно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Статье</w:t>
      </w:r>
      <w:r w:rsidRPr="0026132A">
        <w:rPr>
          <w:i/>
          <w:iCs/>
        </w:rPr>
        <w:t> </w:t>
      </w:r>
      <w:r w:rsidRPr="0059679A">
        <w:rPr>
          <w:i/>
          <w:iCs/>
          <w:lang w:val="ru-RU"/>
        </w:rPr>
        <w:t xml:space="preserve">9 </w:t>
      </w:r>
      <w:r w:rsidRPr="0026132A">
        <w:rPr>
          <w:i/>
          <w:iCs/>
          <w:lang w:val="ru-RU"/>
        </w:rPr>
        <w:t>или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заявления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согласно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Статье</w:t>
      </w:r>
      <w:r w:rsidRPr="0026132A">
        <w:rPr>
          <w:i/>
          <w:iCs/>
        </w:rPr>
        <w:t> </w:t>
      </w:r>
      <w:r w:rsidRPr="0059679A">
        <w:rPr>
          <w:i/>
          <w:iCs/>
          <w:lang w:val="ru-RU"/>
        </w:rPr>
        <w:t xml:space="preserve">11 </w:t>
      </w:r>
      <w:r w:rsidRPr="0026132A">
        <w:rPr>
          <w:i/>
          <w:iCs/>
          <w:lang w:val="ru-RU"/>
        </w:rPr>
        <w:t>Регламента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радиосвязи</w:t>
      </w:r>
      <w:r w:rsidRPr="0059679A">
        <w:rPr>
          <w:i/>
          <w:iCs/>
          <w:lang w:val="ru-RU"/>
        </w:rPr>
        <w:t xml:space="preserve">, </w:t>
      </w:r>
      <w:r w:rsidRPr="0026132A">
        <w:rPr>
          <w:i/>
          <w:iCs/>
          <w:lang w:val="ru-RU"/>
        </w:rPr>
        <w:t>представленных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в</w:t>
      </w:r>
      <w:r w:rsidRPr="0026132A">
        <w:rPr>
          <w:i/>
          <w:iCs/>
        </w:rPr>
        <w:t> </w:t>
      </w:r>
      <w:r w:rsidRPr="0026132A">
        <w:rPr>
          <w:i/>
          <w:iCs/>
          <w:lang w:val="ru-RU"/>
        </w:rPr>
        <w:t>Бюро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начиная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с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первого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дня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после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ВКР</w:t>
      </w:r>
      <w:r w:rsidRPr="0059679A">
        <w:rPr>
          <w:i/>
          <w:iCs/>
          <w:lang w:val="ru-RU"/>
        </w:rPr>
        <w:t xml:space="preserve">, </w:t>
      </w:r>
      <w:r w:rsidRPr="0026132A">
        <w:rPr>
          <w:i/>
          <w:iCs/>
          <w:lang w:val="ru-RU"/>
        </w:rPr>
        <w:t>но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до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даты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вступления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в</w:t>
      </w:r>
      <w:r w:rsidRPr="0026132A">
        <w:rPr>
          <w:i/>
          <w:iCs/>
        </w:rPr>
        <w:t> </w:t>
      </w:r>
      <w:r w:rsidRPr="0026132A">
        <w:rPr>
          <w:i/>
          <w:iCs/>
          <w:lang w:val="ru-RU"/>
        </w:rPr>
        <w:t>силу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новых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или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обновленных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распределений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частот</w:t>
      </w:r>
      <w:r w:rsidRPr="0059679A">
        <w:rPr>
          <w:i/>
          <w:iCs/>
          <w:lang w:val="ru-RU"/>
        </w:rPr>
        <w:t xml:space="preserve">, </w:t>
      </w:r>
      <w:r w:rsidRPr="0026132A">
        <w:rPr>
          <w:i/>
          <w:iCs/>
          <w:lang w:val="ru-RU"/>
        </w:rPr>
        <w:t>которые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осуществила</w:t>
      </w:r>
      <w:r w:rsidRPr="0059679A">
        <w:rPr>
          <w:i/>
          <w:iCs/>
          <w:lang w:val="ru-RU"/>
        </w:rPr>
        <w:t xml:space="preserve"> </w:t>
      </w:r>
      <w:r w:rsidRPr="0026132A">
        <w:rPr>
          <w:i/>
          <w:iCs/>
          <w:lang w:val="ru-RU"/>
        </w:rPr>
        <w:t>ВКР</w:t>
      </w:r>
      <w:r w:rsidR="00B478E2" w:rsidRPr="0059679A">
        <w:rPr>
          <w:i/>
          <w:iCs/>
          <w:lang w:val="ru-RU"/>
        </w:rPr>
        <w:t xml:space="preserve">. </w:t>
      </w:r>
    </w:p>
    <w:p w:rsidR="0026132A" w:rsidRPr="0059679A" w:rsidRDefault="0026132A" w:rsidP="0026132A">
      <w:pPr>
        <w:pStyle w:val="Heading8"/>
        <w:spacing w:before="0"/>
        <w:ind w:left="0" w:firstLine="0"/>
        <w:rPr>
          <w:rFonts w:asciiTheme="minorHAnsi" w:hAnsiTheme="minorHAnsi"/>
          <w:b w:val="0"/>
          <w:bCs/>
          <w:i/>
          <w:iCs/>
          <w:sz w:val="22"/>
          <w:lang w:val="ru-RU" w:eastAsia="zh-CN"/>
        </w:rPr>
      </w:pP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Дата</w:t>
      </w:r>
      <w:r w:rsidRPr="0059679A">
        <w:rPr>
          <w:rFonts w:asciiTheme="minorHAnsi" w:hAnsiTheme="minorHAnsi"/>
          <w:b w:val="0"/>
          <w:i/>
          <w:iCs/>
          <w:sz w:val="22"/>
          <w:lang w:val="ru-RU" w:eastAsia="zh-CN"/>
        </w:rPr>
        <w:t xml:space="preserve"> </w:t>
      </w: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начала</w:t>
      </w:r>
      <w:r w:rsidRPr="0059679A">
        <w:rPr>
          <w:rFonts w:asciiTheme="minorHAnsi" w:hAnsiTheme="minorHAnsi"/>
          <w:b w:val="0"/>
          <w:i/>
          <w:iCs/>
          <w:sz w:val="22"/>
          <w:lang w:val="ru-RU" w:eastAsia="zh-CN"/>
        </w:rPr>
        <w:t xml:space="preserve"> </w:t>
      </w: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применения</w:t>
      </w:r>
      <w:r w:rsidRPr="0059679A">
        <w:rPr>
          <w:rFonts w:asciiTheme="minorHAnsi" w:hAnsiTheme="minorHAnsi"/>
          <w:b w:val="0"/>
          <w:i/>
          <w:iCs/>
          <w:sz w:val="22"/>
          <w:lang w:val="ru-RU" w:eastAsia="zh-CN"/>
        </w:rPr>
        <w:t xml:space="preserve"> </w:t>
      </w: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настоящего</w:t>
      </w:r>
      <w:r w:rsidRPr="0059679A">
        <w:rPr>
          <w:rFonts w:asciiTheme="minorHAnsi" w:hAnsiTheme="minorHAnsi"/>
          <w:b w:val="0"/>
          <w:i/>
          <w:iCs/>
          <w:sz w:val="22"/>
          <w:lang w:val="ru-RU" w:eastAsia="zh-CN"/>
        </w:rPr>
        <w:t xml:space="preserve"> </w:t>
      </w: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Правила</w:t>
      </w:r>
      <w:r w:rsidRPr="0059679A">
        <w:rPr>
          <w:rFonts w:asciiTheme="minorHAnsi" w:hAnsiTheme="minorHAnsi"/>
          <w:b w:val="0"/>
          <w:i/>
          <w:iCs/>
          <w:sz w:val="22"/>
          <w:lang w:val="ru-RU" w:eastAsia="zh-CN"/>
        </w:rPr>
        <w:t xml:space="preserve">: 28 </w:t>
      </w: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ноября</w:t>
      </w:r>
      <w:r w:rsidRPr="0059679A">
        <w:rPr>
          <w:rFonts w:asciiTheme="minorHAnsi" w:hAnsiTheme="minorHAnsi"/>
          <w:b w:val="0"/>
          <w:i/>
          <w:iCs/>
          <w:sz w:val="22"/>
          <w:lang w:val="ru-RU" w:eastAsia="zh-CN"/>
        </w:rPr>
        <w:t xml:space="preserve"> 2015 </w:t>
      </w:r>
      <w:r w:rsidRPr="0026132A">
        <w:rPr>
          <w:rFonts w:asciiTheme="minorHAnsi" w:hAnsiTheme="minorHAnsi"/>
          <w:b w:val="0"/>
          <w:i/>
          <w:iCs/>
          <w:sz w:val="22"/>
          <w:lang w:val="ru-RU" w:eastAsia="zh-CN"/>
        </w:rPr>
        <w:t>года</w:t>
      </w:r>
      <w:r w:rsidRPr="0059679A">
        <w:rPr>
          <w:rFonts w:asciiTheme="minorHAnsi" w:hAnsiTheme="minorHAnsi"/>
          <w:b w:val="0"/>
          <w:bCs/>
          <w:i/>
          <w:iCs/>
          <w:sz w:val="22"/>
          <w:lang w:val="ru-RU" w:eastAsia="zh-CN"/>
        </w:rPr>
        <w:t>.</w:t>
      </w:r>
    </w:p>
    <w:p w:rsidR="00BA2AE3" w:rsidRDefault="00BA2AE3" w:rsidP="00C91D70">
      <w:pPr>
        <w:spacing w:before="720"/>
        <w:jc w:val="center"/>
      </w:pPr>
      <w:r>
        <w:t>______________</w:t>
      </w:r>
    </w:p>
    <w:sectPr w:rsidR="00BA2AE3" w:rsidSect="000E5267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2A" w:rsidRDefault="0026132A">
      <w:r>
        <w:separator/>
      </w:r>
    </w:p>
  </w:endnote>
  <w:endnote w:type="continuationSeparator" w:id="0">
    <w:p w:rsidR="0026132A" w:rsidRDefault="002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2A" w:rsidRPr="003C48C0" w:rsidRDefault="0026132A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proofErr w:type="gramStart"/>
    <w:r w:rsidRPr="00780C0B">
      <w:rPr>
        <w:rFonts w:eastAsiaTheme="minorEastAsia"/>
        <w:color w:val="3E8EDE"/>
        <w:sz w:val="18"/>
        <w:szCs w:val="18"/>
      </w:rPr>
      <w:t>Тел</w:t>
    </w:r>
    <w:proofErr w:type="spellEnd"/>
    <w:r w:rsidRPr="00780C0B">
      <w:rPr>
        <w:rFonts w:eastAsiaTheme="minorEastAsia"/>
        <w:color w:val="3E8EDE"/>
        <w:sz w:val="18"/>
        <w:szCs w:val="18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780C0B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proofErr w:type="spellStart"/>
    <w:r w:rsidRPr="00780C0B">
      <w:rPr>
        <w:rFonts w:eastAsiaTheme="minorEastAsia"/>
        <w:color w:val="3E8EDE"/>
        <w:sz w:val="18"/>
        <w:szCs w:val="18"/>
      </w:rPr>
      <w:t>Факс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r w:rsidRPr="000421CA">
      <w:rPr>
        <w:color w:val="3E8EDE"/>
        <w:sz w:val="18"/>
        <w:szCs w:val="18"/>
      </w:rPr>
      <w:t>Эл</w:t>
    </w:r>
    <w:proofErr w:type="spellEnd"/>
    <w:r w:rsidRPr="000421CA">
      <w:rPr>
        <w:color w:val="3E8EDE"/>
        <w:sz w:val="18"/>
        <w:szCs w:val="18"/>
      </w:rPr>
      <w:t xml:space="preserve">. </w:t>
    </w:r>
    <w:proofErr w:type="spellStart"/>
    <w:r w:rsidRPr="000421CA">
      <w:rPr>
        <w:color w:val="3E8EDE"/>
        <w:sz w:val="18"/>
        <w:szCs w:val="18"/>
      </w:rPr>
      <w:t>почта</w:t>
    </w:r>
    <w:proofErr w:type="spellEnd"/>
    <w:r w:rsidRPr="000421CA">
      <w:rPr>
        <w:color w:val="3E8EDE"/>
        <w:sz w:val="18"/>
        <w:szCs w:val="18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2A" w:rsidRDefault="0026132A">
      <w:r>
        <w:t>____________________</w:t>
      </w:r>
    </w:p>
  </w:footnote>
  <w:footnote w:type="continuationSeparator" w:id="0">
    <w:p w:rsidR="0026132A" w:rsidRDefault="0026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2A" w:rsidRPr="00490DF9" w:rsidRDefault="0026132A" w:rsidP="005975B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6B711E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2A" w:rsidRPr="00C91D70" w:rsidRDefault="00C91D70" w:rsidP="005975B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6B711E">
      <w:rPr>
        <w:rStyle w:val="PageNumber"/>
        <w:noProof/>
        <w:sz w:val="18"/>
        <w:szCs w:val="18"/>
      </w:rPr>
      <w:t>3</w:t>
    </w:r>
    <w:r w:rsidRPr="00B65478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6132A" w:rsidTr="000E5267">
      <w:tc>
        <w:tcPr>
          <w:tcW w:w="4889" w:type="dxa"/>
        </w:tcPr>
        <w:p w:rsidR="0026132A" w:rsidRDefault="0026132A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26132A" w:rsidRDefault="0026132A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132A" w:rsidRPr="00EA15B3" w:rsidRDefault="0026132A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5267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44DFB"/>
    <w:rsid w:val="00156955"/>
    <w:rsid w:val="001605D7"/>
    <w:rsid w:val="001670DE"/>
    <w:rsid w:val="00171288"/>
    <w:rsid w:val="00187CA3"/>
    <w:rsid w:val="00196710"/>
    <w:rsid w:val="00196770"/>
    <w:rsid w:val="00197324"/>
    <w:rsid w:val="001B09E6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B68"/>
    <w:rsid w:val="002302B3"/>
    <w:rsid w:val="00230C66"/>
    <w:rsid w:val="00235A29"/>
    <w:rsid w:val="002407BE"/>
    <w:rsid w:val="00241526"/>
    <w:rsid w:val="002443A2"/>
    <w:rsid w:val="0024656D"/>
    <w:rsid w:val="0026132A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986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3F5A9D"/>
    <w:rsid w:val="00400573"/>
    <w:rsid w:val="004007A3"/>
    <w:rsid w:val="00406D71"/>
    <w:rsid w:val="004107BC"/>
    <w:rsid w:val="004326DB"/>
    <w:rsid w:val="0043682E"/>
    <w:rsid w:val="004448C2"/>
    <w:rsid w:val="00447ECB"/>
    <w:rsid w:val="00454E7A"/>
    <w:rsid w:val="004576E8"/>
    <w:rsid w:val="004623F7"/>
    <w:rsid w:val="004674AC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656"/>
    <w:rsid w:val="00514F73"/>
    <w:rsid w:val="005224A1"/>
    <w:rsid w:val="00534372"/>
    <w:rsid w:val="00543DF8"/>
    <w:rsid w:val="00546101"/>
    <w:rsid w:val="00553DD7"/>
    <w:rsid w:val="005603AF"/>
    <w:rsid w:val="00561F4A"/>
    <w:rsid w:val="005638CF"/>
    <w:rsid w:val="0056741E"/>
    <w:rsid w:val="0057325A"/>
    <w:rsid w:val="0057469A"/>
    <w:rsid w:val="00580814"/>
    <w:rsid w:val="00580EAC"/>
    <w:rsid w:val="00583A0B"/>
    <w:rsid w:val="0059679A"/>
    <w:rsid w:val="00596846"/>
    <w:rsid w:val="005975B4"/>
    <w:rsid w:val="005A03A3"/>
    <w:rsid w:val="005A2B92"/>
    <w:rsid w:val="005A3F66"/>
    <w:rsid w:val="005A79E9"/>
    <w:rsid w:val="005B214C"/>
    <w:rsid w:val="005B4CDA"/>
    <w:rsid w:val="005D3669"/>
    <w:rsid w:val="005D57BE"/>
    <w:rsid w:val="005E5EB3"/>
    <w:rsid w:val="005F3CB6"/>
    <w:rsid w:val="005F657C"/>
    <w:rsid w:val="00602D53"/>
    <w:rsid w:val="006047E5"/>
    <w:rsid w:val="006147FE"/>
    <w:rsid w:val="006148A4"/>
    <w:rsid w:val="0064371D"/>
    <w:rsid w:val="00650543"/>
    <w:rsid w:val="00650B2A"/>
    <w:rsid w:val="00651777"/>
    <w:rsid w:val="006550F8"/>
    <w:rsid w:val="00677F79"/>
    <w:rsid w:val="006829F3"/>
    <w:rsid w:val="00685674"/>
    <w:rsid w:val="006A518B"/>
    <w:rsid w:val="006B0590"/>
    <w:rsid w:val="006B49DA"/>
    <w:rsid w:val="006B711E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93C0E"/>
    <w:rsid w:val="007B3DB1"/>
    <w:rsid w:val="007C42A0"/>
    <w:rsid w:val="007D183E"/>
    <w:rsid w:val="007D43D0"/>
    <w:rsid w:val="007E1833"/>
    <w:rsid w:val="007E3F13"/>
    <w:rsid w:val="007F751A"/>
    <w:rsid w:val="00800012"/>
    <w:rsid w:val="00802160"/>
    <w:rsid w:val="0080261F"/>
    <w:rsid w:val="00806160"/>
    <w:rsid w:val="008143A4"/>
    <w:rsid w:val="0081513E"/>
    <w:rsid w:val="00854131"/>
    <w:rsid w:val="0085652D"/>
    <w:rsid w:val="0087694B"/>
    <w:rsid w:val="00880F4D"/>
    <w:rsid w:val="008854DA"/>
    <w:rsid w:val="008B35A3"/>
    <w:rsid w:val="008B37E1"/>
    <w:rsid w:val="008B45F8"/>
    <w:rsid w:val="008C2E74"/>
    <w:rsid w:val="008D5409"/>
    <w:rsid w:val="008E006D"/>
    <w:rsid w:val="008E38B4"/>
    <w:rsid w:val="008E3A44"/>
    <w:rsid w:val="008F0809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1BAB"/>
    <w:rsid w:val="009E4AEC"/>
    <w:rsid w:val="009E5BD8"/>
    <w:rsid w:val="009E681E"/>
    <w:rsid w:val="009F143D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8069B"/>
    <w:rsid w:val="00A928C0"/>
    <w:rsid w:val="00A963DF"/>
    <w:rsid w:val="00AC0C22"/>
    <w:rsid w:val="00AC3896"/>
    <w:rsid w:val="00AD2CF2"/>
    <w:rsid w:val="00AD5DD3"/>
    <w:rsid w:val="00AE2D88"/>
    <w:rsid w:val="00AE4BC3"/>
    <w:rsid w:val="00AE6F6F"/>
    <w:rsid w:val="00AF3325"/>
    <w:rsid w:val="00AF34D9"/>
    <w:rsid w:val="00AF70DA"/>
    <w:rsid w:val="00B00547"/>
    <w:rsid w:val="00B019D3"/>
    <w:rsid w:val="00B02BDE"/>
    <w:rsid w:val="00B34346"/>
    <w:rsid w:val="00B34CF9"/>
    <w:rsid w:val="00B37559"/>
    <w:rsid w:val="00B4054B"/>
    <w:rsid w:val="00B46C64"/>
    <w:rsid w:val="00B478E2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A2AE3"/>
    <w:rsid w:val="00BC68C3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5D0A"/>
    <w:rsid w:val="00C76D7F"/>
    <w:rsid w:val="00C813AA"/>
    <w:rsid w:val="00C91D70"/>
    <w:rsid w:val="00C9291E"/>
    <w:rsid w:val="00CA3F44"/>
    <w:rsid w:val="00CA4E58"/>
    <w:rsid w:val="00CB3771"/>
    <w:rsid w:val="00CB44BF"/>
    <w:rsid w:val="00CB5153"/>
    <w:rsid w:val="00CE076A"/>
    <w:rsid w:val="00CE463D"/>
    <w:rsid w:val="00CF6CDB"/>
    <w:rsid w:val="00D10BA0"/>
    <w:rsid w:val="00D14D17"/>
    <w:rsid w:val="00D21694"/>
    <w:rsid w:val="00D24EB5"/>
    <w:rsid w:val="00D35AB9"/>
    <w:rsid w:val="00D37242"/>
    <w:rsid w:val="00D41571"/>
    <w:rsid w:val="00D416A0"/>
    <w:rsid w:val="00D47672"/>
    <w:rsid w:val="00D5123C"/>
    <w:rsid w:val="00D55560"/>
    <w:rsid w:val="00D60782"/>
    <w:rsid w:val="00D61C5A"/>
    <w:rsid w:val="00D61F81"/>
    <w:rsid w:val="00D6790C"/>
    <w:rsid w:val="00D73277"/>
    <w:rsid w:val="00D76586"/>
    <w:rsid w:val="00D82657"/>
    <w:rsid w:val="00D87E20"/>
    <w:rsid w:val="00D92B90"/>
    <w:rsid w:val="00DA4037"/>
    <w:rsid w:val="00DE1E1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2507"/>
    <w:rsid w:val="00E64254"/>
    <w:rsid w:val="00E67928"/>
    <w:rsid w:val="00E70FB5"/>
    <w:rsid w:val="00E915AF"/>
    <w:rsid w:val="00E9175C"/>
    <w:rsid w:val="00E94CA9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EE5FB8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86F4D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">
    <w:name w:val="Annex_title"/>
    <w:basedOn w:val="Normal"/>
    <w:next w:val="Normalaftertitle0"/>
    <w:link w:val="AnnextitleChar1"/>
    <w:rsid w:val="000E52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A8069B"/>
    <w:rPr>
      <w:sz w:val="22"/>
      <w:szCs w:val="22"/>
      <w:lang w:val="en-US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0E5267"/>
    <w:rPr>
      <w:rFonts w:cs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6-RRB16.1-C-002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4610A2"/>
    <w:rsid w:val="00707B8D"/>
    <w:rsid w:val="00790036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CE1E-2514-409A-B738-8E38ECC6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3</Pages>
  <Words>697</Words>
  <Characters>4663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2</cp:revision>
  <cp:lastPrinted>2016-03-10T09:22:00Z</cp:lastPrinted>
  <dcterms:created xsi:type="dcterms:W3CDTF">2016-03-10T09:23:00Z</dcterms:created>
  <dcterms:modified xsi:type="dcterms:W3CDTF">2016-03-10T09:23:00Z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