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0A30FD" w:rsidTr="00383F97">
        <w:tc>
          <w:tcPr>
            <w:tcW w:w="7054" w:type="dxa"/>
            <w:gridSpan w:val="2"/>
            <w:shd w:val="clear" w:color="auto" w:fill="auto"/>
          </w:tcPr>
          <w:p w:rsidR="00E53DCE" w:rsidRPr="000A30FD" w:rsidRDefault="00A32A40" w:rsidP="000A30FD">
            <w:pPr>
              <w:spacing w:before="480" w:line="240" w:lineRule="auto"/>
              <w:jc w:val="left"/>
              <w:rPr>
                <w:sz w:val="28"/>
                <w:szCs w:val="28"/>
                <w:lang w:val="fr-CH"/>
              </w:rPr>
            </w:pPr>
            <w:r w:rsidRPr="000A30FD">
              <w:rPr>
                <w:szCs w:val="24"/>
              </w:rPr>
              <w:t>Lettre circulaire</w:t>
            </w:r>
          </w:p>
          <w:p w:rsidR="00E53DCE" w:rsidRPr="00995BF2" w:rsidRDefault="00A32A40" w:rsidP="000A30FD">
            <w:pPr>
              <w:spacing w:before="0" w:line="240" w:lineRule="auto"/>
              <w:jc w:val="left"/>
              <w:rPr>
                <w:b/>
                <w:bCs/>
                <w:sz w:val="22"/>
                <w:lang w:val="fr-CH"/>
              </w:rPr>
            </w:pPr>
            <w:r w:rsidRPr="00995BF2">
              <w:rPr>
                <w:b/>
                <w:bCs/>
                <w:sz w:val="22"/>
                <w:lang w:val="fr-CH"/>
              </w:rPr>
              <w:t>CCRR/54</w:t>
            </w:r>
          </w:p>
        </w:tc>
        <w:tc>
          <w:tcPr>
            <w:tcW w:w="2835" w:type="dxa"/>
            <w:shd w:val="clear" w:color="auto" w:fill="auto"/>
          </w:tcPr>
          <w:p w:rsidR="00E53DCE" w:rsidRPr="000A30FD" w:rsidRDefault="00383F97" w:rsidP="00F52F90">
            <w:pPr>
              <w:spacing w:before="480" w:line="240" w:lineRule="auto"/>
              <w:jc w:val="left"/>
              <w:rPr>
                <w:sz w:val="28"/>
                <w:szCs w:val="28"/>
                <w:lang w:val="en-GB"/>
              </w:rPr>
            </w:pPr>
            <w:r>
              <w:rPr>
                <w:szCs w:val="24"/>
              </w:rPr>
              <w:t>L</w:t>
            </w:r>
            <w:r w:rsidR="00A32A40" w:rsidRPr="000A30FD">
              <w:rPr>
                <w:szCs w:val="24"/>
              </w:rPr>
              <w:t>e 2</w:t>
            </w:r>
            <w:r w:rsidR="00F52F90">
              <w:rPr>
                <w:szCs w:val="24"/>
              </w:rPr>
              <w:t>3</w:t>
            </w:r>
            <w:r w:rsidR="00A32A40" w:rsidRPr="000A30FD">
              <w:rPr>
                <w:szCs w:val="24"/>
              </w:rPr>
              <w:t xml:space="preserve"> novembre 2015</w:t>
            </w:r>
          </w:p>
        </w:tc>
      </w:tr>
      <w:tr w:rsidR="00E53DCE" w:rsidRPr="000A30FD" w:rsidTr="00383F97">
        <w:tc>
          <w:tcPr>
            <w:tcW w:w="9889" w:type="dxa"/>
            <w:gridSpan w:val="3"/>
            <w:shd w:val="clear" w:color="auto" w:fill="auto"/>
          </w:tcPr>
          <w:p w:rsidR="00E53DCE" w:rsidRPr="000A30FD" w:rsidRDefault="00E53DCE" w:rsidP="000A30FD">
            <w:pPr>
              <w:spacing w:before="0" w:line="240" w:lineRule="auto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0A30FD" w:rsidTr="00383F97">
        <w:tc>
          <w:tcPr>
            <w:tcW w:w="9889" w:type="dxa"/>
            <w:gridSpan w:val="3"/>
            <w:shd w:val="clear" w:color="auto" w:fill="auto"/>
          </w:tcPr>
          <w:p w:rsidR="00E53DCE" w:rsidRPr="000A30FD" w:rsidRDefault="00E53DCE" w:rsidP="000A30FD">
            <w:pPr>
              <w:spacing w:before="0" w:line="240" w:lineRule="auto"/>
              <w:jc w:val="left"/>
              <w:rPr>
                <w:szCs w:val="24"/>
              </w:rPr>
            </w:pPr>
          </w:p>
        </w:tc>
      </w:tr>
      <w:tr w:rsidR="00E53DCE" w:rsidRPr="00F22974" w:rsidTr="00383F97">
        <w:tc>
          <w:tcPr>
            <w:tcW w:w="9889" w:type="dxa"/>
            <w:gridSpan w:val="3"/>
            <w:shd w:val="clear" w:color="auto" w:fill="auto"/>
          </w:tcPr>
          <w:p w:rsidR="00E53DCE" w:rsidRPr="000A30FD" w:rsidRDefault="00EE1A57" w:rsidP="000841C3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0A30FD">
              <w:rPr>
                <w:b/>
                <w:bCs/>
                <w:szCs w:val="24"/>
                <w:lang w:val="fr-CH"/>
              </w:rPr>
              <w:t>Aux Administrations des Etats Membres de l</w:t>
            </w:r>
            <w:r w:rsidR="00383F97">
              <w:rPr>
                <w:b/>
                <w:bCs/>
                <w:szCs w:val="24"/>
                <w:lang w:val="fr-CH"/>
              </w:rPr>
              <w:t>'</w:t>
            </w:r>
            <w:r w:rsidRPr="000A30FD">
              <w:rPr>
                <w:b/>
                <w:bCs/>
                <w:szCs w:val="24"/>
                <w:lang w:val="fr-CH"/>
              </w:rPr>
              <w:t>UIT</w:t>
            </w:r>
          </w:p>
          <w:p w:rsidR="00E53DCE" w:rsidRDefault="00E53DCE" w:rsidP="000A30FD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  <w:p w:rsidR="00995BF2" w:rsidRPr="000A30FD" w:rsidRDefault="00995BF2" w:rsidP="000A30FD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F22974" w:rsidTr="00383F97">
        <w:tc>
          <w:tcPr>
            <w:tcW w:w="9889" w:type="dxa"/>
            <w:gridSpan w:val="3"/>
            <w:shd w:val="clear" w:color="auto" w:fill="auto"/>
          </w:tcPr>
          <w:p w:rsidR="00E53DCE" w:rsidRPr="000A30FD" w:rsidRDefault="00E53DCE" w:rsidP="000A30FD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F22974" w:rsidTr="00383F97">
        <w:tc>
          <w:tcPr>
            <w:tcW w:w="9889" w:type="dxa"/>
            <w:gridSpan w:val="3"/>
            <w:shd w:val="clear" w:color="auto" w:fill="auto"/>
          </w:tcPr>
          <w:p w:rsidR="00E53DCE" w:rsidRPr="000A30FD" w:rsidRDefault="00E53DCE" w:rsidP="000A30FD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F22974" w:rsidTr="00383F97">
        <w:tc>
          <w:tcPr>
            <w:tcW w:w="1526" w:type="dxa"/>
            <w:shd w:val="clear" w:color="auto" w:fill="auto"/>
          </w:tcPr>
          <w:p w:rsidR="00E53DCE" w:rsidRPr="000A30FD" w:rsidRDefault="003471C9" w:rsidP="000A30F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</w:rPr>
            </w:pPr>
            <w:r w:rsidRPr="000A30FD">
              <w:rPr>
                <w:lang w:val="fr-CH"/>
              </w:rPr>
              <w:t>Objet</w:t>
            </w:r>
            <w:r w:rsidR="00E53DCE" w:rsidRPr="000A30FD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0A30FD" w:rsidRDefault="000A30FD" w:rsidP="000A30FD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  <w:r w:rsidRPr="000A30FD">
              <w:rPr>
                <w:b/>
                <w:bCs/>
                <w:szCs w:val="24"/>
                <w:lang w:val="fr-CH"/>
              </w:rPr>
              <w:t>Projet de Règle de procédure relative à l</w:t>
            </w:r>
            <w:r w:rsidR="00383F97">
              <w:rPr>
                <w:b/>
                <w:bCs/>
                <w:szCs w:val="24"/>
                <w:lang w:val="fr-CH"/>
              </w:rPr>
              <w:t>'</w:t>
            </w:r>
            <w:r w:rsidRPr="000A30FD">
              <w:rPr>
                <w:b/>
                <w:bCs/>
                <w:szCs w:val="24"/>
                <w:lang w:val="fr-CH"/>
              </w:rPr>
              <w:t>Accord régional GE06</w:t>
            </w:r>
          </w:p>
        </w:tc>
      </w:tr>
      <w:tr w:rsidR="00E53DCE" w:rsidRPr="00F22974" w:rsidTr="00383F97">
        <w:tc>
          <w:tcPr>
            <w:tcW w:w="1526" w:type="dxa"/>
            <w:shd w:val="clear" w:color="auto" w:fill="auto"/>
          </w:tcPr>
          <w:p w:rsidR="00E53DCE" w:rsidRPr="000A30FD" w:rsidRDefault="00E53DCE" w:rsidP="000A30F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A30FD" w:rsidRDefault="00E53DCE" w:rsidP="000A30FD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F22974" w:rsidTr="00383F97">
        <w:tc>
          <w:tcPr>
            <w:tcW w:w="1526" w:type="dxa"/>
            <w:shd w:val="clear" w:color="auto" w:fill="auto"/>
          </w:tcPr>
          <w:p w:rsidR="00E53DCE" w:rsidRPr="000A30FD" w:rsidRDefault="00E53DCE" w:rsidP="000A30F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0A30FD" w:rsidRDefault="00E53DCE" w:rsidP="000A30FD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F22974" w:rsidTr="00383F97">
        <w:tc>
          <w:tcPr>
            <w:tcW w:w="9889" w:type="dxa"/>
            <w:gridSpan w:val="3"/>
            <w:shd w:val="clear" w:color="auto" w:fill="auto"/>
          </w:tcPr>
          <w:p w:rsidR="00E53DCE" w:rsidRPr="000A30FD" w:rsidRDefault="00E53DCE" w:rsidP="000A30FD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</w:tbl>
    <w:p w:rsidR="000A30FD" w:rsidRPr="000A30FD" w:rsidRDefault="000A30FD" w:rsidP="00F22974">
      <w:pPr>
        <w:spacing w:before="360" w:line="240" w:lineRule="auto"/>
        <w:ind w:left="142"/>
        <w:rPr>
          <w:lang w:val="fr-CH"/>
        </w:rPr>
      </w:pPr>
      <w:r w:rsidRPr="000A30FD">
        <w:rPr>
          <w:lang w:val="fr-CH"/>
        </w:rPr>
        <w:t>Je vous prie de trouver ci-joint un projet de Règle de procédure relative à l</w:t>
      </w:r>
      <w:r w:rsidR="00383F97">
        <w:rPr>
          <w:lang w:val="fr-CH"/>
        </w:rPr>
        <w:t>'</w:t>
      </w:r>
      <w:r w:rsidRPr="000A30FD">
        <w:rPr>
          <w:lang w:val="fr-CH"/>
        </w:rPr>
        <w:t>Accord régional GE06, qui vise à en faciliter l</w:t>
      </w:r>
      <w:r w:rsidR="00383F97">
        <w:rPr>
          <w:lang w:val="fr-CH"/>
        </w:rPr>
        <w:t>'</w:t>
      </w:r>
      <w:r w:rsidRPr="000A30FD">
        <w:rPr>
          <w:lang w:val="fr-CH"/>
        </w:rPr>
        <w:t>application.</w:t>
      </w:r>
    </w:p>
    <w:p w:rsidR="000A30FD" w:rsidRDefault="000A30FD" w:rsidP="00F22974">
      <w:pPr>
        <w:spacing w:line="240" w:lineRule="auto"/>
        <w:ind w:left="142"/>
        <w:rPr>
          <w:lang w:val="fr-CH"/>
        </w:rPr>
      </w:pPr>
      <w:r>
        <w:rPr>
          <w:lang w:val="fr-CH"/>
        </w:rPr>
        <w:t>Le projet de Règle de procédure, qui clarifie certains éléments de l</w:t>
      </w:r>
      <w:r w:rsidR="00383F97">
        <w:rPr>
          <w:lang w:val="fr-CH"/>
        </w:rPr>
        <w:t>'</w:t>
      </w:r>
      <w:r>
        <w:rPr>
          <w:lang w:val="fr-CH"/>
        </w:rPr>
        <w:t xml:space="preserve">Accord GE06, a été élaboré à la demande du Comité du Règlement des radiocommunications à sa </w:t>
      </w:r>
      <w:r w:rsidRPr="000841C3">
        <w:rPr>
          <w:lang w:val="fr-CH"/>
        </w:rPr>
        <w:t>70ème</w:t>
      </w:r>
      <w:r>
        <w:rPr>
          <w:lang w:val="fr-CH"/>
        </w:rPr>
        <w:t xml:space="preserve"> réunion.</w:t>
      </w:r>
    </w:p>
    <w:p w:rsidR="000A30FD" w:rsidRPr="000A30FD" w:rsidRDefault="000A30FD" w:rsidP="00F22974">
      <w:pPr>
        <w:spacing w:line="240" w:lineRule="auto"/>
        <w:ind w:left="142"/>
        <w:rPr>
          <w:lang w:val="fr-CH"/>
        </w:rPr>
      </w:pPr>
      <w:r w:rsidRPr="000A30FD">
        <w:rPr>
          <w:lang w:val="fr-CH"/>
        </w:rPr>
        <w:t xml:space="preserve">Conformément au numéro </w:t>
      </w:r>
      <w:r w:rsidRPr="000A30FD">
        <w:rPr>
          <w:b/>
          <w:bCs/>
          <w:lang w:val="fr-CH"/>
        </w:rPr>
        <w:t>13.17</w:t>
      </w:r>
      <w:r w:rsidRPr="000A30FD">
        <w:rPr>
          <w:lang w:val="fr-CH"/>
        </w:rPr>
        <w:t xml:space="preserve"> du Règlement des radiocommunications, ce projet de Règle de procédure est soumis aux administrations pour </w:t>
      </w:r>
      <w:r w:rsidR="00F22974">
        <w:rPr>
          <w:lang w:val="fr-CH"/>
        </w:rPr>
        <w:t xml:space="preserve">commentaires </w:t>
      </w:r>
      <w:bookmarkStart w:id="0" w:name="_GoBack"/>
      <w:bookmarkEnd w:id="0"/>
      <w:r w:rsidRPr="000A30FD">
        <w:rPr>
          <w:lang w:val="fr-CH"/>
        </w:rPr>
        <w:t>avant d</w:t>
      </w:r>
      <w:r w:rsidR="00383F97">
        <w:rPr>
          <w:lang w:val="fr-CH"/>
        </w:rPr>
        <w:t>'</w:t>
      </w:r>
      <w:r w:rsidRPr="000A30FD">
        <w:rPr>
          <w:lang w:val="fr-CH"/>
        </w:rPr>
        <w:t xml:space="preserve">être communiqué au RRB au titre du numéro </w:t>
      </w:r>
      <w:r w:rsidRPr="000A30FD">
        <w:rPr>
          <w:b/>
          <w:bCs/>
          <w:lang w:val="fr-CH"/>
        </w:rPr>
        <w:t>13.14</w:t>
      </w:r>
      <w:r w:rsidRPr="000A30FD">
        <w:rPr>
          <w:lang w:val="fr-CH"/>
        </w:rPr>
        <w:t xml:space="preserve">. Comme indiqué au point </w:t>
      </w:r>
      <w:r w:rsidRPr="000A30FD">
        <w:rPr>
          <w:i/>
          <w:lang w:val="fr-CH"/>
        </w:rPr>
        <w:t>d)</w:t>
      </w:r>
      <w:r w:rsidRPr="000A30FD">
        <w:rPr>
          <w:lang w:val="fr-CH"/>
        </w:rPr>
        <w:t xml:space="preserve"> du numéro </w:t>
      </w:r>
      <w:r w:rsidRPr="000A30FD">
        <w:rPr>
          <w:b/>
          <w:bCs/>
          <w:lang w:val="fr-CH"/>
        </w:rPr>
        <w:t>13.12A</w:t>
      </w:r>
      <w:r w:rsidRPr="000A30FD">
        <w:rPr>
          <w:lang w:val="fr-CH"/>
        </w:rPr>
        <w:t xml:space="preserve"> du Règlement des radiocommunications, les observations éventuelles que vous souhaiteriez formuler doivent être soumises au Bureau au plus tard le </w:t>
      </w:r>
      <w:r w:rsidRPr="000A30FD">
        <w:rPr>
          <w:b/>
          <w:bCs/>
          <w:lang w:val="fr-CH"/>
        </w:rPr>
        <w:t>4 janvier 2016</w:t>
      </w:r>
      <w:r w:rsidRPr="000A30FD">
        <w:rPr>
          <w:lang w:val="fr-CH"/>
        </w:rPr>
        <w:t>, de façon à ce que le RRB puisse les examiner à sa 71ème réunion qui doit se tenir du 1</w:t>
      </w:r>
      <w:r w:rsidRPr="00F52F90">
        <w:rPr>
          <w:lang w:val="fr-CH"/>
        </w:rPr>
        <w:t>er</w:t>
      </w:r>
      <w:r w:rsidRPr="000A30FD">
        <w:rPr>
          <w:lang w:val="fr-CH"/>
        </w:rPr>
        <w:t xml:space="preserve"> au 5 février 2016. Les observations devraient être envoyées par télé</w:t>
      </w:r>
      <w:r w:rsidR="007A483A">
        <w:rPr>
          <w:lang w:val="fr-CH"/>
        </w:rPr>
        <w:t>copie au numéro +41 22 730 5785</w:t>
      </w:r>
      <w:r w:rsidRPr="000A30FD">
        <w:rPr>
          <w:lang w:val="fr-CH"/>
        </w:rPr>
        <w:t xml:space="preserve"> ou par courrier électronique à l</w:t>
      </w:r>
      <w:r w:rsidR="00383F97">
        <w:rPr>
          <w:lang w:val="fr-CH"/>
        </w:rPr>
        <w:t>'</w:t>
      </w:r>
      <w:r w:rsidRPr="000A30FD">
        <w:rPr>
          <w:lang w:val="fr-CH"/>
        </w:rPr>
        <w:t>adresse suivante:</w:t>
      </w:r>
      <w:r>
        <w:rPr>
          <w:lang w:val="fr-CH"/>
        </w:rPr>
        <w:t> </w:t>
      </w:r>
      <w:hyperlink r:id="rId8" w:history="1">
        <w:r w:rsidRPr="000A30FD">
          <w:rPr>
            <w:rStyle w:val="Hyperlink"/>
            <w:lang w:val="fr-CH"/>
          </w:rPr>
          <w:t>brmail@itu.int</w:t>
        </w:r>
      </w:hyperlink>
      <w:r w:rsidRPr="000A30FD">
        <w:rPr>
          <w:lang w:val="fr-CH"/>
        </w:rPr>
        <w:t>.</w:t>
      </w:r>
    </w:p>
    <w:p w:rsidR="000A30FD" w:rsidRPr="000A30FD" w:rsidRDefault="000A30FD" w:rsidP="006739B4">
      <w:pPr>
        <w:spacing w:before="840" w:line="240" w:lineRule="auto"/>
        <w:ind w:left="142"/>
        <w:jc w:val="left"/>
        <w:rPr>
          <w:lang w:val="fr-CH"/>
        </w:rPr>
      </w:pPr>
      <w:r w:rsidRPr="000A30FD">
        <w:rPr>
          <w:lang w:val="fr-CH"/>
        </w:rPr>
        <w:t>François Rancy</w:t>
      </w:r>
    </w:p>
    <w:p w:rsidR="000A30FD" w:rsidRPr="000A30FD" w:rsidRDefault="000A30FD" w:rsidP="006739B4">
      <w:pPr>
        <w:spacing w:before="0" w:line="240" w:lineRule="auto"/>
        <w:ind w:left="142"/>
        <w:jc w:val="left"/>
        <w:rPr>
          <w:lang w:val="fr-CH"/>
        </w:rPr>
      </w:pPr>
      <w:r w:rsidRPr="000A30FD">
        <w:rPr>
          <w:lang w:val="fr-CH"/>
        </w:rPr>
        <w:t>Directeur</w:t>
      </w:r>
    </w:p>
    <w:p w:rsidR="000A30FD" w:rsidRPr="00682FAD" w:rsidRDefault="000A30FD" w:rsidP="00133CD9">
      <w:pPr>
        <w:spacing w:before="960" w:line="240" w:lineRule="auto"/>
        <w:ind w:left="142"/>
        <w:jc w:val="left"/>
        <w:rPr>
          <w:b/>
          <w:bCs/>
          <w:lang w:val="fr-CH"/>
        </w:rPr>
      </w:pPr>
      <w:r w:rsidRPr="00682FAD">
        <w:rPr>
          <w:b/>
          <w:bCs/>
          <w:lang w:val="fr-CH"/>
        </w:rPr>
        <w:t>Annexe</w:t>
      </w:r>
      <w:r w:rsidRPr="00383F97">
        <w:rPr>
          <w:lang w:val="fr-CH"/>
        </w:rPr>
        <w:t>:</w:t>
      </w:r>
      <w:r w:rsidR="00682FAD" w:rsidRPr="00383F97">
        <w:rPr>
          <w:lang w:val="fr-CH"/>
        </w:rPr>
        <w:t xml:space="preserve"> </w:t>
      </w:r>
      <w:r w:rsidRPr="00383F97">
        <w:rPr>
          <w:lang w:val="fr-CH"/>
        </w:rPr>
        <w:t>1</w:t>
      </w:r>
    </w:p>
    <w:p w:rsidR="000A30FD" w:rsidRPr="00682FAD" w:rsidRDefault="000A30FD" w:rsidP="006739B4">
      <w:pPr>
        <w:tabs>
          <w:tab w:val="left" w:pos="284"/>
          <w:tab w:val="left" w:pos="568"/>
        </w:tabs>
        <w:spacing w:before="360" w:line="240" w:lineRule="auto"/>
        <w:ind w:left="142"/>
        <w:jc w:val="left"/>
        <w:rPr>
          <w:rFonts w:asciiTheme="minorHAnsi" w:hAnsiTheme="minorHAnsi"/>
          <w:b/>
          <w:bCs/>
          <w:sz w:val="18"/>
          <w:szCs w:val="18"/>
          <w:lang w:val="fr-CH"/>
        </w:rPr>
      </w:pPr>
      <w:r w:rsidRPr="00682FAD">
        <w:rPr>
          <w:rFonts w:asciiTheme="minorHAnsi" w:hAnsiTheme="minorHAnsi"/>
          <w:b/>
          <w:bCs/>
          <w:sz w:val="18"/>
          <w:szCs w:val="18"/>
          <w:lang w:val="fr-CH"/>
        </w:rPr>
        <w:t>Distribution:</w:t>
      </w:r>
    </w:p>
    <w:p w:rsidR="000A30FD" w:rsidRDefault="00133CD9" w:rsidP="00133CD9">
      <w:pPr>
        <w:tabs>
          <w:tab w:val="left" w:pos="0"/>
          <w:tab w:val="left" w:pos="142"/>
          <w:tab w:val="left" w:pos="426"/>
        </w:tabs>
        <w:spacing w:before="0" w:line="240" w:lineRule="auto"/>
        <w:ind w:left="142"/>
        <w:jc w:val="left"/>
        <w:rPr>
          <w:b/>
          <w:bCs/>
          <w:szCs w:val="24"/>
          <w:lang w:val="fr-CH"/>
        </w:rPr>
      </w:pPr>
      <w:r>
        <w:rPr>
          <w:rFonts w:asciiTheme="minorHAnsi" w:hAnsiTheme="minorHAnsi"/>
          <w:sz w:val="18"/>
          <w:szCs w:val="18"/>
          <w:lang w:val="fr-CH"/>
        </w:rPr>
        <w:t>–</w:t>
      </w:r>
      <w:r>
        <w:rPr>
          <w:rFonts w:asciiTheme="minorHAnsi" w:hAnsiTheme="minorHAnsi"/>
          <w:sz w:val="18"/>
          <w:szCs w:val="18"/>
          <w:lang w:val="fr-CH"/>
        </w:rPr>
        <w:tab/>
      </w:r>
      <w:r w:rsidR="000A30FD" w:rsidRPr="00682FAD">
        <w:rPr>
          <w:rFonts w:asciiTheme="minorHAnsi" w:hAnsiTheme="minorHAnsi"/>
          <w:sz w:val="18"/>
          <w:szCs w:val="18"/>
          <w:lang w:val="fr-CH"/>
        </w:rPr>
        <w:t>Administrations des Etats Membres de l</w:t>
      </w:r>
      <w:r w:rsidR="00383F97">
        <w:rPr>
          <w:rFonts w:asciiTheme="minorHAnsi" w:hAnsiTheme="minorHAnsi"/>
          <w:sz w:val="18"/>
          <w:szCs w:val="18"/>
          <w:lang w:val="fr-CH"/>
        </w:rPr>
        <w:t>'</w:t>
      </w:r>
      <w:r w:rsidR="000A30FD" w:rsidRPr="00682FAD">
        <w:rPr>
          <w:rFonts w:asciiTheme="minorHAnsi" w:hAnsiTheme="minorHAnsi"/>
          <w:sz w:val="18"/>
          <w:szCs w:val="18"/>
          <w:lang w:val="fr-CH"/>
        </w:rPr>
        <w:t>UIT</w:t>
      </w:r>
      <w:r w:rsidR="000A30FD" w:rsidRPr="00682FAD">
        <w:rPr>
          <w:rFonts w:asciiTheme="minorHAnsi" w:hAnsiTheme="minorHAnsi"/>
          <w:b/>
          <w:bCs/>
          <w:sz w:val="18"/>
          <w:szCs w:val="18"/>
          <w:lang w:val="fr-CH"/>
        </w:rPr>
        <w:br/>
      </w:r>
      <w:r>
        <w:rPr>
          <w:rFonts w:asciiTheme="minorHAnsi" w:hAnsiTheme="minorHAnsi"/>
          <w:sz w:val="18"/>
          <w:szCs w:val="18"/>
          <w:lang w:val="fr-CH"/>
        </w:rPr>
        <w:t>–</w:t>
      </w:r>
      <w:r>
        <w:rPr>
          <w:rFonts w:asciiTheme="minorHAnsi" w:hAnsiTheme="minorHAnsi"/>
          <w:sz w:val="18"/>
          <w:szCs w:val="18"/>
          <w:lang w:val="fr-CH"/>
        </w:rPr>
        <w:tab/>
      </w:r>
      <w:r w:rsidR="000A30FD" w:rsidRPr="00682FAD">
        <w:rPr>
          <w:rFonts w:asciiTheme="minorHAnsi" w:hAnsiTheme="minorHAnsi"/>
          <w:sz w:val="18"/>
          <w:szCs w:val="18"/>
          <w:lang w:val="fr-CH"/>
        </w:rPr>
        <w:t>Membres du Comité du Règlement des radiocommunications</w:t>
      </w:r>
    </w:p>
    <w:p w:rsidR="000841C3" w:rsidRDefault="000841C3" w:rsidP="000841C3">
      <w:pPr>
        <w:pStyle w:val="AnnexNoTitle"/>
        <w:rPr>
          <w:sz w:val="28"/>
          <w:szCs w:val="28"/>
          <w:lang w:val="fr-CH"/>
        </w:rPr>
      </w:pPr>
      <w:r w:rsidRPr="000841C3">
        <w:rPr>
          <w:sz w:val="28"/>
          <w:szCs w:val="28"/>
          <w:lang w:val="fr-CH"/>
        </w:rPr>
        <w:lastRenderedPageBreak/>
        <w:t>ANNEXE</w:t>
      </w:r>
    </w:p>
    <w:p w:rsidR="000841C3" w:rsidRPr="00E84F4C" w:rsidRDefault="000841C3" w:rsidP="00E84F4C">
      <w:pPr>
        <w:pStyle w:val="AnnexNoTitle"/>
        <w:spacing w:before="600" w:line="240" w:lineRule="auto"/>
        <w:rPr>
          <w:sz w:val="28"/>
          <w:szCs w:val="28"/>
          <w:u w:val="single"/>
          <w:lang w:val="fr-CH"/>
        </w:rPr>
      </w:pPr>
      <w:r w:rsidRPr="00E84F4C">
        <w:rPr>
          <w:sz w:val="28"/>
          <w:szCs w:val="28"/>
          <w:u w:val="single"/>
          <w:lang w:val="fr-CH"/>
        </w:rPr>
        <w:t>Projet de Règle de procédure (Partie A</w:t>
      </w:r>
      <w:r w:rsidR="00E84F4C">
        <w:rPr>
          <w:sz w:val="28"/>
          <w:szCs w:val="28"/>
          <w:u w:val="single"/>
          <w:lang w:val="fr-CH"/>
        </w:rPr>
        <w:t>10</w:t>
      </w:r>
      <w:r w:rsidRPr="00E84F4C">
        <w:rPr>
          <w:sz w:val="28"/>
          <w:szCs w:val="28"/>
          <w:u w:val="single"/>
          <w:lang w:val="fr-CH"/>
        </w:rPr>
        <w:t>-GE06)</w:t>
      </w:r>
    </w:p>
    <w:p w:rsidR="000A30FD" w:rsidRPr="000841C3" w:rsidRDefault="000A30FD" w:rsidP="00E84F4C">
      <w:pPr>
        <w:tabs>
          <w:tab w:val="left" w:pos="0"/>
        </w:tabs>
        <w:spacing w:line="240" w:lineRule="auto"/>
        <w:jc w:val="center"/>
        <w:rPr>
          <w:b/>
          <w:bCs/>
          <w:sz w:val="28"/>
          <w:szCs w:val="28"/>
          <w:lang w:val="fr-CH"/>
        </w:rPr>
      </w:pPr>
      <w:r w:rsidRPr="000841C3">
        <w:rPr>
          <w:b/>
          <w:bCs/>
          <w:sz w:val="28"/>
          <w:szCs w:val="28"/>
          <w:lang w:val="fr-CH"/>
        </w:rPr>
        <w:t>Protection d</w:t>
      </w:r>
      <w:r w:rsidR="00383F97">
        <w:rPr>
          <w:b/>
          <w:bCs/>
          <w:sz w:val="28"/>
          <w:szCs w:val="28"/>
          <w:lang w:val="fr-CH"/>
        </w:rPr>
        <w:t>'</w:t>
      </w:r>
      <w:r w:rsidRPr="000841C3">
        <w:rPr>
          <w:b/>
          <w:bCs/>
          <w:sz w:val="28"/>
          <w:szCs w:val="28"/>
          <w:lang w:val="fr-CH"/>
        </w:rPr>
        <w:t>une inscription du Plan contre</w:t>
      </w:r>
      <w:r w:rsidR="00E84F4C">
        <w:rPr>
          <w:b/>
          <w:bCs/>
          <w:sz w:val="28"/>
          <w:szCs w:val="28"/>
          <w:lang w:val="fr-CH"/>
        </w:rPr>
        <w:t xml:space="preserve"> les brouillages causés par une </w:t>
      </w:r>
      <w:r w:rsidRPr="000841C3">
        <w:rPr>
          <w:b/>
          <w:bCs/>
          <w:sz w:val="28"/>
          <w:szCs w:val="28"/>
          <w:lang w:val="fr-CH"/>
        </w:rPr>
        <w:t>inscription du Plan d</w:t>
      </w:r>
      <w:r w:rsidR="00383F97">
        <w:rPr>
          <w:b/>
          <w:bCs/>
          <w:sz w:val="28"/>
          <w:szCs w:val="28"/>
          <w:lang w:val="fr-CH"/>
        </w:rPr>
        <w:t>'</w:t>
      </w:r>
      <w:r w:rsidRPr="000841C3">
        <w:rPr>
          <w:b/>
          <w:bCs/>
          <w:sz w:val="28"/>
          <w:szCs w:val="28"/>
          <w:lang w:val="fr-CH"/>
        </w:rPr>
        <w:t>une autre administratio</w:t>
      </w:r>
      <w:r w:rsidR="00E84F4C">
        <w:rPr>
          <w:b/>
          <w:bCs/>
          <w:sz w:val="28"/>
          <w:szCs w:val="28"/>
          <w:lang w:val="fr-CH"/>
        </w:rPr>
        <w:t xml:space="preserve">n avec laquelle </w:t>
      </w:r>
      <w:r w:rsidR="00E84F4C">
        <w:rPr>
          <w:b/>
          <w:bCs/>
          <w:sz w:val="28"/>
          <w:szCs w:val="28"/>
          <w:lang w:val="fr-CH"/>
        </w:rPr>
        <w:br/>
        <w:t>la procédure de </w:t>
      </w:r>
      <w:r w:rsidRPr="000841C3">
        <w:rPr>
          <w:b/>
          <w:bCs/>
          <w:sz w:val="28"/>
          <w:szCs w:val="28"/>
          <w:lang w:val="fr-CH"/>
        </w:rPr>
        <w:t>coordination n</w:t>
      </w:r>
      <w:r w:rsidR="00383F97">
        <w:rPr>
          <w:b/>
          <w:bCs/>
          <w:sz w:val="28"/>
          <w:szCs w:val="28"/>
          <w:lang w:val="fr-CH"/>
        </w:rPr>
        <w:t>'</w:t>
      </w:r>
      <w:r w:rsidRPr="000841C3">
        <w:rPr>
          <w:b/>
          <w:bCs/>
          <w:sz w:val="28"/>
          <w:szCs w:val="28"/>
          <w:lang w:val="fr-CH"/>
        </w:rPr>
        <w:t xml:space="preserve">a pas été déclenchée </w:t>
      </w:r>
      <w:r w:rsidR="00E84F4C">
        <w:rPr>
          <w:b/>
          <w:bCs/>
          <w:sz w:val="28"/>
          <w:szCs w:val="28"/>
          <w:lang w:val="fr-CH"/>
        </w:rPr>
        <w:br/>
      </w:r>
      <w:r w:rsidRPr="000841C3">
        <w:rPr>
          <w:b/>
          <w:bCs/>
          <w:sz w:val="28"/>
          <w:szCs w:val="28"/>
          <w:lang w:val="fr-CH"/>
        </w:rPr>
        <w:t>en application de l</w:t>
      </w:r>
      <w:r w:rsidR="00383F97">
        <w:rPr>
          <w:b/>
          <w:bCs/>
          <w:sz w:val="28"/>
          <w:szCs w:val="28"/>
          <w:lang w:val="fr-CH"/>
        </w:rPr>
        <w:t>'</w:t>
      </w:r>
      <w:r w:rsidRPr="000841C3">
        <w:rPr>
          <w:b/>
          <w:bCs/>
          <w:sz w:val="28"/>
          <w:szCs w:val="28"/>
          <w:lang w:val="fr-CH"/>
        </w:rPr>
        <w:t>Article 4 de l</w:t>
      </w:r>
      <w:r w:rsidR="00383F97">
        <w:rPr>
          <w:b/>
          <w:bCs/>
          <w:sz w:val="28"/>
          <w:szCs w:val="28"/>
          <w:lang w:val="fr-CH"/>
        </w:rPr>
        <w:t>'</w:t>
      </w:r>
      <w:r w:rsidRPr="000841C3">
        <w:rPr>
          <w:b/>
          <w:bCs/>
          <w:sz w:val="28"/>
          <w:szCs w:val="28"/>
          <w:lang w:val="fr-CH"/>
        </w:rPr>
        <w:t xml:space="preserve">Accord GE06 </w:t>
      </w:r>
    </w:p>
    <w:p w:rsidR="000A30FD" w:rsidRPr="000A30FD" w:rsidRDefault="000A30FD" w:rsidP="006739B4">
      <w:pPr>
        <w:spacing w:line="240" w:lineRule="auto"/>
        <w:jc w:val="left"/>
        <w:rPr>
          <w:lang w:val="fr-CH"/>
        </w:rPr>
      </w:pPr>
      <w:r w:rsidRPr="000A30FD">
        <w:rPr>
          <w:lang w:val="fr-CH"/>
        </w:rPr>
        <w:t>X.1</w:t>
      </w:r>
      <w:r w:rsidRPr="000A30FD">
        <w:rPr>
          <w:lang w:val="fr-CH"/>
        </w:rPr>
        <w:tab/>
        <w:t>Pendant la CRR-06, une analyse de compatibilité a été menée pour tous les besoins (allotissements et assignations) dans les deux sens de transmission (émission et réception). Lorsque les besoins n</w:t>
      </w:r>
      <w:r w:rsidR="00383F97">
        <w:rPr>
          <w:lang w:val="fr-CH"/>
        </w:rPr>
        <w:t>'</w:t>
      </w:r>
      <w:r w:rsidRPr="000A30FD">
        <w:rPr>
          <w:lang w:val="fr-CH"/>
        </w:rPr>
        <w:t>étaient pas compatibles entre eux dans un sens de transmission ou dans les deux sens de transmission, les administrations concernées devaient résoudre le problème d</w:t>
      </w:r>
      <w:r w:rsidR="00383F97">
        <w:rPr>
          <w:lang w:val="fr-CH"/>
        </w:rPr>
        <w:t>'</w:t>
      </w:r>
      <w:r w:rsidRPr="000A30FD">
        <w:rPr>
          <w:lang w:val="fr-CH"/>
        </w:rPr>
        <w:t>incompatibilité. On avait ainsi l</w:t>
      </w:r>
      <w:r w:rsidR="00383F97">
        <w:rPr>
          <w:lang w:val="fr-CH"/>
        </w:rPr>
        <w:t>'</w:t>
      </w:r>
      <w:r w:rsidRPr="000A30FD">
        <w:rPr>
          <w:lang w:val="fr-CH"/>
        </w:rPr>
        <w:t>assurance que toutes les inscriptions du Plan, tel qu</w:t>
      </w:r>
      <w:r w:rsidR="00383F97">
        <w:rPr>
          <w:lang w:val="fr-CH"/>
        </w:rPr>
        <w:t>'</w:t>
      </w:r>
      <w:r w:rsidRPr="000A30FD">
        <w:rPr>
          <w:lang w:val="fr-CH"/>
        </w:rPr>
        <w:t>il a été adopté par la CRR-06, avaient été évaluées et jugées compatibles par les administrations concernées.</w:t>
      </w:r>
    </w:p>
    <w:p w:rsidR="000A30FD" w:rsidRPr="000A30FD" w:rsidRDefault="000A30FD" w:rsidP="006739B4">
      <w:pPr>
        <w:spacing w:line="240" w:lineRule="auto"/>
        <w:jc w:val="left"/>
        <w:rPr>
          <w:lang w:val="fr-CH"/>
        </w:rPr>
      </w:pPr>
      <w:r w:rsidRPr="000A30FD">
        <w:rPr>
          <w:lang w:val="fr-CH"/>
        </w:rPr>
        <w:t>X.2</w:t>
      </w:r>
      <w:r w:rsidRPr="000A30FD">
        <w:rPr>
          <w:lang w:val="fr-CH"/>
        </w:rPr>
        <w:tab/>
        <w:t>Depuis lors, des assignations/allotissements nouveaux ou modifiés ont été inclus dans le Plan après l</w:t>
      </w:r>
      <w:r w:rsidR="00383F97">
        <w:rPr>
          <w:lang w:val="fr-CH"/>
        </w:rPr>
        <w:t>'</w:t>
      </w:r>
      <w:r w:rsidRPr="000A30FD">
        <w:rPr>
          <w:lang w:val="fr-CH"/>
        </w:rPr>
        <w:t>application réussie de la procédure prévue à l</w:t>
      </w:r>
      <w:r w:rsidR="00383F97">
        <w:rPr>
          <w:lang w:val="fr-CH"/>
        </w:rPr>
        <w:t>'</w:t>
      </w:r>
      <w:r w:rsidRPr="000A30FD">
        <w:rPr>
          <w:lang w:val="fr-CH"/>
        </w:rPr>
        <w:t>Article 4 de l</w:t>
      </w:r>
      <w:r w:rsidR="00383F97">
        <w:rPr>
          <w:lang w:val="fr-CH"/>
        </w:rPr>
        <w:t>'</w:t>
      </w:r>
      <w:r w:rsidR="00133CD9">
        <w:rPr>
          <w:lang w:val="fr-CH"/>
        </w:rPr>
        <w:t>Accord GE</w:t>
      </w:r>
      <w:r w:rsidRPr="000A30FD">
        <w:rPr>
          <w:lang w:val="fr-CH"/>
        </w:rPr>
        <w:t>06. Toutefois, selon cette procédure, les administrations sont considérées comme affectées par un projet de modification uniquement lorsque les limites indiquées dans la Section I de l</w:t>
      </w:r>
      <w:r w:rsidR="00383F97">
        <w:rPr>
          <w:lang w:val="fr-CH"/>
        </w:rPr>
        <w:t>'</w:t>
      </w:r>
      <w:r w:rsidR="00682FAD">
        <w:rPr>
          <w:lang w:val="fr-CH"/>
        </w:rPr>
        <w:t>An</w:t>
      </w:r>
      <w:r w:rsidRPr="000A30FD">
        <w:rPr>
          <w:lang w:val="fr-CH"/>
        </w:rPr>
        <w:t>nexe 4 de l</w:t>
      </w:r>
      <w:r w:rsidR="00383F97">
        <w:rPr>
          <w:lang w:val="fr-CH"/>
        </w:rPr>
        <w:t>'</w:t>
      </w:r>
      <w:r w:rsidRPr="000A30FD">
        <w:rPr>
          <w:lang w:val="fr-CH"/>
        </w:rPr>
        <w:t>Accord sont dépassées. Cette approche était destinée à déclencher la nécessité de la coordination avec la ou les administrations susceptibles d</w:t>
      </w:r>
      <w:r w:rsidR="00383F97">
        <w:rPr>
          <w:lang w:val="fr-CH"/>
        </w:rPr>
        <w:t>'</w:t>
      </w:r>
      <w:r w:rsidRPr="000A30FD">
        <w:rPr>
          <w:lang w:val="fr-CH"/>
        </w:rPr>
        <w:t>être affectées, afin de faire en sorte que le projet de modification ne limite pas la possibilité pour d</w:t>
      </w:r>
      <w:r w:rsidR="00383F97">
        <w:rPr>
          <w:lang w:val="fr-CH"/>
        </w:rPr>
        <w:t>'</w:t>
      </w:r>
      <w:r w:rsidRPr="000A30FD">
        <w:rPr>
          <w:lang w:val="fr-CH"/>
        </w:rPr>
        <w:t>autres administrations de recevoir des émissions de radiodiffusion sur n</w:t>
      </w:r>
      <w:r w:rsidR="00383F97">
        <w:rPr>
          <w:lang w:val="fr-CH"/>
        </w:rPr>
        <w:t>'</w:t>
      </w:r>
      <w:r w:rsidRPr="000A30FD">
        <w:rPr>
          <w:lang w:val="fr-CH"/>
        </w:rPr>
        <w:t>importe quel canal sur leur territoire. Toutefois, l</w:t>
      </w:r>
      <w:r w:rsidR="00383F97">
        <w:rPr>
          <w:lang w:val="fr-CH"/>
        </w:rPr>
        <w:t>'</w:t>
      </w:r>
      <w:r w:rsidRPr="000A30FD">
        <w:rPr>
          <w:lang w:val="fr-CH"/>
        </w:rPr>
        <w:t>Accord ne traite pas des brouillages qu</w:t>
      </w:r>
      <w:r w:rsidR="00383F97">
        <w:rPr>
          <w:lang w:val="fr-CH"/>
        </w:rPr>
        <w:t>'</w:t>
      </w:r>
      <w:r w:rsidRPr="000A30FD">
        <w:rPr>
          <w:lang w:val="fr-CH"/>
        </w:rPr>
        <w:t>un projet de modification subira de la part d</w:t>
      </w:r>
      <w:r w:rsidR="00383F97">
        <w:rPr>
          <w:lang w:val="fr-CH"/>
        </w:rPr>
        <w:t>'</w:t>
      </w:r>
      <w:r w:rsidRPr="000A30FD">
        <w:rPr>
          <w:lang w:val="fr-CH"/>
        </w:rPr>
        <w:t>assignations inscrites antérieurement dans le Plan.</w:t>
      </w:r>
    </w:p>
    <w:p w:rsidR="000A30FD" w:rsidRPr="000A30FD" w:rsidRDefault="000A30FD" w:rsidP="006739B4">
      <w:pPr>
        <w:spacing w:line="240" w:lineRule="auto"/>
        <w:jc w:val="left"/>
        <w:rPr>
          <w:lang w:val="fr-CH"/>
        </w:rPr>
      </w:pPr>
      <w:r w:rsidRPr="000A30FD">
        <w:rPr>
          <w:lang w:val="fr-CH"/>
        </w:rPr>
        <w:t>X.3</w:t>
      </w:r>
      <w:r w:rsidRPr="000A30FD">
        <w:rPr>
          <w:lang w:val="fr-CH"/>
        </w:rPr>
        <w:tab/>
        <w:t>En application de l</w:t>
      </w:r>
      <w:r w:rsidR="00383F97">
        <w:rPr>
          <w:lang w:val="fr-CH"/>
        </w:rPr>
        <w:t>'</w:t>
      </w:r>
      <w:r w:rsidRPr="000A30FD">
        <w:rPr>
          <w:lang w:val="fr-CH"/>
        </w:rPr>
        <w:t>Article 4 de l</w:t>
      </w:r>
      <w:r w:rsidR="00383F97">
        <w:rPr>
          <w:lang w:val="fr-CH"/>
        </w:rPr>
        <w:t>'</w:t>
      </w:r>
      <w:r w:rsidRPr="000A30FD">
        <w:rPr>
          <w:lang w:val="fr-CH"/>
        </w:rPr>
        <w:t>Accord GE06, le Bureau a reçu d</w:t>
      </w:r>
      <w:r w:rsidR="00383F97">
        <w:rPr>
          <w:lang w:val="fr-CH"/>
        </w:rPr>
        <w:t>'</w:t>
      </w:r>
      <w:r w:rsidRPr="000A30FD">
        <w:rPr>
          <w:lang w:val="fr-CH"/>
        </w:rPr>
        <w:t>une administration une demande en vue de figurer dans la liste des administrations affectées par un projet de modification du Plan</w:t>
      </w:r>
      <w:r w:rsidR="00E84F4C">
        <w:rPr>
          <w:lang w:val="fr-CH"/>
        </w:rPr>
        <w:t>,</w:t>
      </w:r>
      <w:r w:rsidRPr="000A30FD">
        <w:rPr>
          <w:lang w:val="fr-CH"/>
        </w:rPr>
        <w:t xml:space="preserve"> étant donné ce projet de modification risque d</w:t>
      </w:r>
      <w:r w:rsidR="00383F97">
        <w:rPr>
          <w:lang w:val="fr-CH"/>
        </w:rPr>
        <w:t>'</w:t>
      </w:r>
      <w:r w:rsidRPr="000A30FD">
        <w:rPr>
          <w:lang w:val="fr-CH"/>
        </w:rPr>
        <w:t>être affecté par les propres inscriptions dans le Plan de cette administration. Toutefois, étant donné que le projet de modification ne dépassait pas les limites indiquées dans l</w:t>
      </w:r>
      <w:r w:rsidR="00383F97">
        <w:rPr>
          <w:lang w:val="fr-CH"/>
        </w:rPr>
        <w:t>'</w:t>
      </w:r>
      <w:r w:rsidRPr="000A30FD">
        <w:rPr>
          <w:lang w:val="fr-CH"/>
        </w:rPr>
        <w:t>Annexe 4 de l</w:t>
      </w:r>
      <w:r w:rsidR="00383F97">
        <w:rPr>
          <w:lang w:val="fr-CH"/>
        </w:rPr>
        <w:t>'</w:t>
      </w:r>
      <w:r w:rsidR="00133CD9">
        <w:rPr>
          <w:lang w:val="fr-CH"/>
        </w:rPr>
        <w:t>Accord GE</w:t>
      </w:r>
      <w:r w:rsidRPr="000A30FD">
        <w:rPr>
          <w:lang w:val="fr-CH"/>
        </w:rPr>
        <w:t>06, le Bureau n</w:t>
      </w:r>
      <w:r w:rsidR="00383F97">
        <w:rPr>
          <w:lang w:val="fr-CH"/>
        </w:rPr>
        <w:t>'</w:t>
      </w:r>
      <w:r w:rsidRPr="000A30FD">
        <w:rPr>
          <w:lang w:val="fr-CH"/>
        </w:rPr>
        <w:t>a pu accéder à cette demande.</w:t>
      </w:r>
    </w:p>
    <w:p w:rsidR="000A30FD" w:rsidRPr="000A30FD" w:rsidRDefault="000A30FD" w:rsidP="006739B4">
      <w:pPr>
        <w:spacing w:line="240" w:lineRule="auto"/>
        <w:jc w:val="left"/>
        <w:rPr>
          <w:lang w:val="fr-CH"/>
        </w:rPr>
      </w:pPr>
      <w:r w:rsidRPr="000A30FD">
        <w:rPr>
          <w:lang w:val="fr-CH"/>
        </w:rPr>
        <w:t>X.4</w:t>
      </w:r>
      <w:r w:rsidRPr="000A30FD">
        <w:rPr>
          <w:lang w:val="fr-CH"/>
        </w:rPr>
        <w:tab/>
        <w:t>Cette situation met en lumière le fait que les procédures de l</w:t>
      </w:r>
      <w:r w:rsidR="00383F97">
        <w:rPr>
          <w:lang w:val="fr-CH"/>
        </w:rPr>
        <w:t>'</w:t>
      </w:r>
      <w:r w:rsidR="00133CD9">
        <w:rPr>
          <w:lang w:val="fr-CH"/>
        </w:rPr>
        <w:t>Accord GE</w:t>
      </w:r>
      <w:r w:rsidRPr="000A30FD">
        <w:rPr>
          <w:lang w:val="fr-CH"/>
        </w:rPr>
        <w:t>06 n</w:t>
      </w:r>
      <w:r w:rsidR="00383F97">
        <w:rPr>
          <w:lang w:val="fr-CH"/>
        </w:rPr>
        <w:t>'</w:t>
      </w:r>
      <w:r w:rsidRPr="000A30FD">
        <w:rPr>
          <w:lang w:val="fr-CH"/>
        </w:rPr>
        <w:t>exigent pas de coordonner la protection d</w:t>
      </w:r>
      <w:r w:rsidR="00383F97">
        <w:rPr>
          <w:lang w:val="fr-CH"/>
        </w:rPr>
        <w:t>'</w:t>
      </w:r>
      <w:r w:rsidRPr="000A30FD">
        <w:rPr>
          <w:lang w:val="fr-CH"/>
        </w:rPr>
        <w:t>un projet de modification du Plan contre les brouillages qu</w:t>
      </w:r>
      <w:r w:rsidR="00383F97">
        <w:rPr>
          <w:lang w:val="fr-CH"/>
        </w:rPr>
        <w:t>'</w:t>
      </w:r>
      <w:r w:rsidRPr="000A30FD">
        <w:rPr>
          <w:lang w:val="fr-CH"/>
        </w:rPr>
        <w:t>il pourrait subir de la part d</w:t>
      </w:r>
      <w:r w:rsidR="00383F97">
        <w:rPr>
          <w:lang w:val="fr-CH"/>
        </w:rPr>
        <w:t>'</w:t>
      </w:r>
      <w:r w:rsidRPr="000A30FD">
        <w:rPr>
          <w:lang w:val="fr-CH"/>
        </w:rPr>
        <w:t>inscriptions déjà inscrites dans le Plan avant d</w:t>
      </w:r>
      <w:r w:rsidR="00383F97">
        <w:rPr>
          <w:lang w:val="fr-CH"/>
        </w:rPr>
        <w:t>'</w:t>
      </w:r>
      <w:r w:rsidRPr="000A30FD">
        <w:rPr>
          <w:lang w:val="fr-CH"/>
        </w:rPr>
        <w:t xml:space="preserve">inclure ce projet de modification dans le Plan. </w:t>
      </w:r>
    </w:p>
    <w:p w:rsidR="000A30FD" w:rsidRPr="000A30FD" w:rsidRDefault="000A30FD" w:rsidP="006739B4">
      <w:pPr>
        <w:spacing w:line="240" w:lineRule="auto"/>
        <w:jc w:val="left"/>
        <w:rPr>
          <w:lang w:val="fr-CH"/>
        </w:rPr>
      </w:pPr>
      <w:r w:rsidRPr="000A30FD">
        <w:rPr>
          <w:lang w:val="fr-CH"/>
        </w:rPr>
        <w:t>X.5</w:t>
      </w:r>
      <w:r w:rsidRPr="000A30FD">
        <w:rPr>
          <w:lang w:val="fr-CH"/>
        </w:rPr>
        <w:tab/>
        <w:t>Le Comité a considéré que, en vertu d</w:t>
      </w:r>
      <w:r w:rsidR="00383F97">
        <w:rPr>
          <w:lang w:val="fr-CH"/>
        </w:rPr>
        <w:t>'</w:t>
      </w:r>
      <w:r w:rsidRPr="000A30FD">
        <w:rPr>
          <w:lang w:val="fr-CH"/>
        </w:rPr>
        <w:t>un principe général du Règlement des radiocommunications, le statut, c</w:t>
      </w:r>
      <w:r w:rsidR="00383F97">
        <w:rPr>
          <w:lang w:val="fr-CH"/>
        </w:rPr>
        <w:t>'</w:t>
      </w:r>
      <w:r w:rsidRPr="000A30FD">
        <w:rPr>
          <w:lang w:val="fr-CH"/>
        </w:rPr>
        <w:t>est-à-dire les droits de transmission ou les droits de protection de nouvelles assignations</w:t>
      </w:r>
      <w:r w:rsidR="000841C3">
        <w:rPr>
          <w:lang w:val="fr-CH"/>
        </w:rPr>
        <w:t>, découle</w:t>
      </w:r>
      <w:r w:rsidRPr="000A30FD">
        <w:rPr>
          <w:lang w:val="fr-CH"/>
        </w:rPr>
        <w:t xml:space="preserve"> de l</w:t>
      </w:r>
      <w:r w:rsidR="00383F97">
        <w:rPr>
          <w:lang w:val="fr-CH"/>
        </w:rPr>
        <w:t>'</w:t>
      </w:r>
      <w:r w:rsidRPr="000A30FD">
        <w:rPr>
          <w:lang w:val="fr-CH"/>
        </w:rPr>
        <w:t>application réussie des procédures</w:t>
      </w:r>
      <w:r w:rsidR="00383F97">
        <w:rPr>
          <w:lang w:val="fr-CH"/>
        </w:rPr>
        <w:t xml:space="preserve"> pertinentes (voir le numéro 8.</w:t>
      </w:r>
      <w:r w:rsidRPr="000A30FD">
        <w:rPr>
          <w:lang w:val="fr-CH"/>
        </w:rPr>
        <w:t xml:space="preserve">3 du RR). </w:t>
      </w:r>
    </w:p>
    <w:p w:rsidR="000A30FD" w:rsidRPr="000A30FD" w:rsidRDefault="000A30FD" w:rsidP="006739B4">
      <w:pPr>
        <w:spacing w:line="240" w:lineRule="auto"/>
        <w:jc w:val="left"/>
        <w:rPr>
          <w:lang w:val="fr-CH"/>
        </w:rPr>
      </w:pPr>
      <w:r w:rsidRPr="000A30FD">
        <w:rPr>
          <w:lang w:val="fr-CH"/>
        </w:rPr>
        <w:t>X.6</w:t>
      </w:r>
      <w:r w:rsidRPr="000A30FD">
        <w:rPr>
          <w:lang w:val="fr-CH"/>
        </w:rPr>
        <w:tab/>
        <w:t>En l</w:t>
      </w:r>
      <w:r w:rsidR="00383F97">
        <w:rPr>
          <w:lang w:val="fr-CH"/>
        </w:rPr>
        <w:t>'</w:t>
      </w:r>
      <w:r w:rsidRPr="000A30FD">
        <w:rPr>
          <w:lang w:val="fr-CH"/>
        </w:rPr>
        <w:t>absence de procédure pertinente dans l</w:t>
      </w:r>
      <w:r w:rsidR="00383F97">
        <w:rPr>
          <w:lang w:val="fr-CH"/>
        </w:rPr>
        <w:t>'</w:t>
      </w:r>
      <w:r w:rsidR="00133CD9">
        <w:rPr>
          <w:lang w:val="fr-CH"/>
        </w:rPr>
        <w:t>Accord GE</w:t>
      </w:r>
      <w:r w:rsidRPr="000A30FD">
        <w:rPr>
          <w:lang w:val="fr-CH"/>
        </w:rPr>
        <w:t>06 concernant l</w:t>
      </w:r>
      <w:r w:rsidR="00383F97">
        <w:rPr>
          <w:lang w:val="fr-CH"/>
        </w:rPr>
        <w:t>'</w:t>
      </w:r>
      <w:r w:rsidRPr="000A30FD">
        <w:rPr>
          <w:lang w:val="fr-CH"/>
        </w:rPr>
        <w:t>acquisition de ces droits, le Comité a estimé que, sauf si les administrations concernées en conviennent autrement, une assignation conforme au Plan et inscrite dans le Fichier de référence ne peut prétendre à une protection vis-à-vis des assignations conformes au Plan correspondant à une inscription qui a été inscrite dans le Plan avant l</w:t>
      </w:r>
      <w:r w:rsidR="00383F97">
        <w:rPr>
          <w:lang w:val="fr-CH"/>
        </w:rPr>
        <w:t>'</w:t>
      </w:r>
      <w:r w:rsidRPr="000A30FD">
        <w:rPr>
          <w:lang w:val="fr-CH"/>
        </w:rPr>
        <w:t>inscription correspondant à l</w:t>
      </w:r>
      <w:r w:rsidR="00383F97">
        <w:rPr>
          <w:lang w:val="fr-CH"/>
        </w:rPr>
        <w:t>'</w:t>
      </w:r>
      <w:r w:rsidRPr="000A30FD">
        <w:rPr>
          <w:lang w:val="fr-CH"/>
        </w:rPr>
        <w:t>assignation pour laquelle une protection est demandée.</w:t>
      </w:r>
    </w:p>
    <w:p w:rsidR="000A30FD" w:rsidRPr="000A30FD" w:rsidRDefault="000A30FD" w:rsidP="00133CD9">
      <w:pPr>
        <w:keepNext/>
        <w:keepLines/>
        <w:spacing w:line="240" w:lineRule="auto"/>
        <w:jc w:val="left"/>
        <w:rPr>
          <w:lang w:val="fr-CH"/>
        </w:rPr>
      </w:pPr>
      <w:r w:rsidRPr="000A30FD">
        <w:rPr>
          <w:lang w:val="fr-CH"/>
        </w:rPr>
        <w:lastRenderedPageBreak/>
        <w:t>X.7</w:t>
      </w:r>
      <w:r w:rsidRPr="000A30FD">
        <w:rPr>
          <w:lang w:val="fr-CH"/>
        </w:rPr>
        <w:tab/>
        <w:t>Le Comité a noté que plusieurs dispositions de l</w:t>
      </w:r>
      <w:r w:rsidR="00383F97">
        <w:rPr>
          <w:lang w:val="fr-CH"/>
        </w:rPr>
        <w:t>'Accord GE</w:t>
      </w:r>
      <w:r w:rsidRPr="000A30FD">
        <w:rPr>
          <w:lang w:val="fr-CH"/>
        </w:rPr>
        <w:t>06 indiquent que, après l</w:t>
      </w:r>
      <w:r w:rsidR="00383F97">
        <w:rPr>
          <w:lang w:val="fr-CH"/>
        </w:rPr>
        <w:t>'</w:t>
      </w:r>
      <w:r w:rsidRPr="000A30FD">
        <w:rPr>
          <w:lang w:val="fr-CH"/>
        </w:rPr>
        <w:t>application réussie de la procédure, la nouvelle inscription aura le même statut que les autres inscriptions figurant dans le Plan. Au vu de ce qui précède, le Comité est d</w:t>
      </w:r>
      <w:r w:rsidR="00383F97">
        <w:rPr>
          <w:lang w:val="fr-CH"/>
        </w:rPr>
        <w:t>'</w:t>
      </w:r>
      <w:r w:rsidRPr="000A30FD">
        <w:rPr>
          <w:lang w:val="fr-CH"/>
        </w:rPr>
        <w:t>avis que toutes les inscriptions dans le Plan supposent un droit de transmission pour les assignations correspondantes et un droit de protection de ces assignations vis-à-vis d</w:t>
      </w:r>
      <w:r w:rsidR="00383F97">
        <w:rPr>
          <w:lang w:val="fr-CH"/>
        </w:rPr>
        <w:t>'</w:t>
      </w:r>
      <w:r w:rsidRPr="000A30FD">
        <w:rPr>
          <w:lang w:val="fr-CH"/>
        </w:rPr>
        <w:t xml:space="preserve">inscriptions </w:t>
      </w:r>
      <w:r w:rsidR="000841C3">
        <w:rPr>
          <w:lang w:val="fr-CH"/>
        </w:rPr>
        <w:t>ultérieures</w:t>
      </w:r>
      <w:r w:rsidRPr="000A30FD">
        <w:rPr>
          <w:lang w:val="fr-CH"/>
        </w:rPr>
        <w:t xml:space="preserve"> dans le Plan. La conformité au Plan ne signifie pas qu</w:t>
      </w:r>
      <w:r w:rsidR="00383F97">
        <w:rPr>
          <w:lang w:val="fr-CH"/>
        </w:rPr>
        <w:t>'</w:t>
      </w:r>
      <w:r w:rsidRPr="000A30FD">
        <w:rPr>
          <w:lang w:val="fr-CH"/>
        </w:rPr>
        <w:t>il y a un droit à une protection vis-à-vis d</w:t>
      </w:r>
      <w:r w:rsidR="00383F97">
        <w:rPr>
          <w:lang w:val="fr-CH"/>
        </w:rPr>
        <w:t>'</w:t>
      </w:r>
      <w:r w:rsidRPr="000A30FD">
        <w:rPr>
          <w:lang w:val="fr-CH"/>
        </w:rPr>
        <w:t>inscri</w:t>
      </w:r>
      <w:r w:rsidR="002B0EFF">
        <w:rPr>
          <w:lang w:val="fr-CH"/>
        </w:rPr>
        <w:t>ptions antérieures dans le Plan.</w:t>
      </w:r>
    </w:p>
    <w:p w:rsidR="000A30FD" w:rsidRPr="000A30FD" w:rsidRDefault="000A30FD" w:rsidP="00133CD9">
      <w:pPr>
        <w:spacing w:line="240" w:lineRule="auto"/>
        <w:jc w:val="left"/>
        <w:rPr>
          <w:lang w:val="fr-CH"/>
        </w:rPr>
      </w:pPr>
      <w:r w:rsidRPr="000A30FD">
        <w:rPr>
          <w:lang w:val="fr-CH"/>
        </w:rPr>
        <w:t>X.8</w:t>
      </w:r>
      <w:r w:rsidRPr="000A30FD">
        <w:rPr>
          <w:lang w:val="fr-CH"/>
        </w:rPr>
        <w:tab/>
        <w:t>Le Comité a également noté que plusieurs administrations avaient communiqué au Bureau des projets de modification du Plan GE06 sur la base de stations de faible puissance situées à proximité de la frontière de leur territoire de façon à ne pas déclencher le</w:t>
      </w:r>
      <w:r w:rsidR="000841C3">
        <w:rPr>
          <w:lang w:val="fr-CH"/>
        </w:rPr>
        <w:t>s</w:t>
      </w:r>
      <w:r w:rsidRPr="000A30FD">
        <w:rPr>
          <w:lang w:val="fr-CH"/>
        </w:rPr>
        <w:t xml:space="preserve"> limites de l</w:t>
      </w:r>
      <w:r w:rsidR="00383F97">
        <w:rPr>
          <w:lang w:val="fr-CH"/>
        </w:rPr>
        <w:t>'</w:t>
      </w:r>
      <w:r w:rsidRPr="000A30FD">
        <w:rPr>
          <w:lang w:val="fr-CH"/>
        </w:rPr>
        <w:t>Annexe 4 de l</w:t>
      </w:r>
      <w:r w:rsidR="00383F97">
        <w:rPr>
          <w:lang w:val="fr-CH"/>
        </w:rPr>
        <w:t>'Accord GE</w:t>
      </w:r>
      <w:r w:rsidRPr="000A30FD">
        <w:rPr>
          <w:lang w:val="fr-CH"/>
        </w:rPr>
        <w:t>06. Au vu de ce qui précède, le Comité est d</w:t>
      </w:r>
      <w:r w:rsidR="00383F97">
        <w:rPr>
          <w:lang w:val="fr-CH"/>
        </w:rPr>
        <w:t>'</w:t>
      </w:r>
      <w:r w:rsidRPr="000A30FD">
        <w:rPr>
          <w:lang w:val="fr-CH"/>
        </w:rPr>
        <w:t>avis que l</w:t>
      </w:r>
      <w:r w:rsidR="00383F97">
        <w:rPr>
          <w:lang w:val="fr-CH"/>
        </w:rPr>
        <w:t>'</w:t>
      </w:r>
      <w:r w:rsidRPr="000A30FD">
        <w:rPr>
          <w:lang w:val="fr-CH"/>
        </w:rPr>
        <w:t>inclusion dans le Plan et/ou le Fichier de référence international des fréquences des assignations correspondantes ne confère aucun droit additionnel à une protection de ces assignations vis-à-vis d</w:t>
      </w:r>
      <w:r w:rsidR="00383F97">
        <w:rPr>
          <w:lang w:val="fr-CH"/>
        </w:rPr>
        <w:t>'</w:t>
      </w:r>
      <w:r w:rsidRPr="000A30FD">
        <w:rPr>
          <w:lang w:val="fr-CH"/>
        </w:rPr>
        <w:t xml:space="preserve">assignations inscrites antérieurement ou ultérieurement dans le Plan, </w:t>
      </w:r>
      <w:r w:rsidR="000841C3">
        <w:rPr>
          <w:lang w:val="fr-CH"/>
        </w:rPr>
        <w:t xml:space="preserve">et ce </w:t>
      </w:r>
      <w:r w:rsidRPr="000A30FD">
        <w:rPr>
          <w:lang w:val="fr-CH"/>
        </w:rPr>
        <w:t>pour les raisons suivantes:</w:t>
      </w:r>
    </w:p>
    <w:p w:rsidR="000A30FD" w:rsidRPr="000A30FD" w:rsidRDefault="006739B4" w:rsidP="006739B4">
      <w:pPr>
        <w:pStyle w:val="enumlev1"/>
        <w:jc w:val="left"/>
        <w:rPr>
          <w:lang w:val="fr-CH"/>
        </w:rPr>
      </w:pPr>
      <w:r w:rsidRPr="006739B4">
        <w:rPr>
          <w:lang w:val="fr-CH"/>
        </w:rPr>
        <w:t>–</w:t>
      </w:r>
      <w:r>
        <w:rPr>
          <w:lang w:val="fr-CH"/>
        </w:rPr>
        <w:tab/>
      </w:r>
      <w:r w:rsidR="00133CD9">
        <w:rPr>
          <w:lang w:val="fr-CH"/>
        </w:rPr>
        <w:t>L</w:t>
      </w:r>
      <w:r w:rsidR="000A30FD" w:rsidRPr="000A30FD">
        <w:rPr>
          <w:lang w:val="fr-CH"/>
        </w:rPr>
        <w:t>a protection vis-à-vis d</w:t>
      </w:r>
      <w:r w:rsidR="00383F97">
        <w:rPr>
          <w:lang w:val="fr-CH"/>
        </w:rPr>
        <w:t>'</w:t>
      </w:r>
      <w:r w:rsidR="000A30FD" w:rsidRPr="000A30FD">
        <w:rPr>
          <w:lang w:val="fr-CH"/>
        </w:rPr>
        <w:t>assignations incluses antérieurement dans le Plan ne peut être obtenue par suite de l</w:t>
      </w:r>
      <w:r w:rsidR="00383F97">
        <w:rPr>
          <w:lang w:val="fr-CH"/>
        </w:rPr>
        <w:t>'</w:t>
      </w:r>
      <w:r w:rsidR="000A30FD" w:rsidRPr="000A30FD">
        <w:rPr>
          <w:lang w:val="fr-CH"/>
        </w:rPr>
        <w:t>application de l</w:t>
      </w:r>
      <w:r w:rsidR="00383F97">
        <w:rPr>
          <w:lang w:val="fr-CH"/>
        </w:rPr>
        <w:t>'</w:t>
      </w:r>
      <w:r w:rsidR="000A30FD" w:rsidRPr="000A30FD">
        <w:rPr>
          <w:lang w:val="fr-CH"/>
        </w:rPr>
        <w:t xml:space="preserve">Article 4 si les limites </w:t>
      </w:r>
      <w:r w:rsidR="000841C3">
        <w:rPr>
          <w:lang w:val="fr-CH"/>
        </w:rPr>
        <w:t>indiquées dans</w:t>
      </w:r>
      <w:r w:rsidR="000A30FD" w:rsidRPr="000A30FD">
        <w:rPr>
          <w:lang w:val="fr-CH"/>
        </w:rPr>
        <w:t xml:space="preserve"> l</w:t>
      </w:r>
      <w:r w:rsidR="00383F97">
        <w:rPr>
          <w:lang w:val="fr-CH"/>
        </w:rPr>
        <w:t>'</w:t>
      </w:r>
      <w:r w:rsidR="00133CD9">
        <w:rPr>
          <w:lang w:val="fr-CH"/>
        </w:rPr>
        <w:t>Annexe 4 ne sont pas dépassées.</w:t>
      </w:r>
    </w:p>
    <w:p w:rsidR="000A30FD" w:rsidRPr="000A30FD" w:rsidRDefault="006739B4" w:rsidP="006739B4">
      <w:pPr>
        <w:pStyle w:val="enumlev1"/>
        <w:jc w:val="left"/>
        <w:rPr>
          <w:lang w:val="fr-CH"/>
        </w:rPr>
      </w:pPr>
      <w:r w:rsidRPr="006739B4">
        <w:rPr>
          <w:lang w:val="fr-CH"/>
        </w:rPr>
        <w:t>–</w:t>
      </w:r>
      <w:r>
        <w:rPr>
          <w:lang w:val="fr-CH"/>
        </w:rPr>
        <w:tab/>
      </w:r>
      <w:r w:rsidR="00133CD9">
        <w:rPr>
          <w:lang w:val="fr-CH"/>
        </w:rPr>
        <w:t>L</w:t>
      </w:r>
      <w:r w:rsidR="000A30FD" w:rsidRPr="000A30FD">
        <w:rPr>
          <w:lang w:val="fr-CH"/>
        </w:rPr>
        <w:t>a protection vis-à-vis d</w:t>
      </w:r>
      <w:r w:rsidR="00383F97">
        <w:rPr>
          <w:lang w:val="fr-CH"/>
        </w:rPr>
        <w:t>'</w:t>
      </w:r>
      <w:r w:rsidR="000A30FD" w:rsidRPr="000A30FD">
        <w:rPr>
          <w:lang w:val="fr-CH"/>
        </w:rPr>
        <w:t>assignations incluses ultérieurement dans le Plan est assurée aux termes de l</w:t>
      </w:r>
      <w:r w:rsidR="00383F97">
        <w:rPr>
          <w:lang w:val="fr-CH"/>
        </w:rPr>
        <w:t>'</w:t>
      </w:r>
      <w:r w:rsidR="000A30FD" w:rsidRPr="000A30FD">
        <w:rPr>
          <w:lang w:val="fr-CH"/>
        </w:rPr>
        <w:t>Article 4 de façon à protéger le territoire de l</w:t>
      </w:r>
      <w:r w:rsidR="00383F97">
        <w:rPr>
          <w:lang w:val="fr-CH"/>
        </w:rPr>
        <w:t>'</w:t>
      </w:r>
      <w:r w:rsidR="000A30FD" w:rsidRPr="000A30FD">
        <w:rPr>
          <w:lang w:val="fr-CH"/>
        </w:rPr>
        <w:t>administration sur n</w:t>
      </w:r>
      <w:r w:rsidR="00383F97">
        <w:rPr>
          <w:lang w:val="fr-CH"/>
        </w:rPr>
        <w:t>'</w:t>
      </w:r>
      <w:r w:rsidR="000A30FD" w:rsidRPr="000A30FD">
        <w:rPr>
          <w:lang w:val="fr-CH"/>
        </w:rPr>
        <w:t xml:space="preserve">importe quel canal et elle ne tient pas compte des assignations figurant dans le Plan ou le Fichier de référence international des fréquences. </w:t>
      </w:r>
    </w:p>
    <w:p w:rsidR="000A30FD" w:rsidRPr="000A30FD" w:rsidRDefault="000A30FD" w:rsidP="00133CD9">
      <w:pPr>
        <w:spacing w:line="240" w:lineRule="auto"/>
        <w:jc w:val="left"/>
        <w:rPr>
          <w:lang w:val="fr-CH"/>
        </w:rPr>
      </w:pPr>
      <w:r w:rsidRPr="000A30FD">
        <w:rPr>
          <w:lang w:val="fr-CH"/>
        </w:rPr>
        <w:t>X.9</w:t>
      </w:r>
      <w:r w:rsidRPr="000A30FD">
        <w:rPr>
          <w:lang w:val="fr-CH"/>
        </w:rPr>
        <w:tab/>
        <w:t>Le Comité a également noté que la présente Règle de procédure n</w:t>
      </w:r>
      <w:r w:rsidR="00383F97">
        <w:rPr>
          <w:lang w:val="fr-CH"/>
        </w:rPr>
        <w:t>'</w:t>
      </w:r>
      <w:r w:rsidRPr="000A30FD">
        <w:rPr>
          <w:lang w:val="fr-CH"/>
        </w:rPr>
        <w:t>apporte aucune modification à la pratique actuellement suivie par le Bureau pour le traitement des fiches de notification en vue de l</w:t>
      </w:r>
      <w:r w:rsidR="00383F97">
        <w:rPr>
          <w:lang w:val="fr-CH"/>
        </w:rPr>
        <w:t>'</w:t>
      </w:r>
      <w:r w:rsidRPr="000A30FD">
        <w:rPr>
          <w:lang w:val="fr-CH"/>
        </w:rPr>
        <w:t>application des Articles 4 et 5 de l</w:t>
      </w:r>
      <w:r w:rsidR="00383F97">
        <w:rPr>
          <w:lang w:val="fr-CH"/>
        </w:rPr>
        <w:t>'</w:t>
      </w:r>
      <w:r w:rsidRPr="000A30FD">
        <w:rPr>
          <w:lang w:val="fr-CH"/>
        </w:rPr>
        <w:t>Accord GE06.</w:t>
      </w:r>
    </w:p>
    <w:p w:rsidR="000A30FD" w:rsidRPr="000A30FD" w:rsidRDefault="000A30FD" w:rsidP="006739B4">
      <w:pPr>
        <w:spacing w:line="240" w:lineRule="auto"/>
        <w:jc w:val="left"/>
        <w:rPr>
          <w:lang w:val="fr-CH"/>
        </w:rPr>
      </w:pPr>
      <w:r w:rsidRPr="000A30FD">
        <w:rPr>
          <w:lang w:val="fr-CH"/>
        </w:rPr>
        <w:t>X.10</w:t>
      </w:r>
      <w:r w:rsidRPr="000A30FD">
        <w:rPr>
          <w:lang w:val="fr-CH"/>
        </w:rPr>
        <w:tab/>
      </w:r>
      <w:r w:rsidR="000841C3">
        <w:rPr>
          <w:lang w:val="fr-CH"/>
        </w:rPr>
        <w:t>La présente</w:t>
      </w:r>
      <w:r w:rsidRPr="000A30FD">
        <w:rPr>
          <w:lang w:val="fr-CH"/>
        </w:rPr>
        <w:t xml:space="preserve"> Règle de procédure s</w:t>
      </w:r>
      <w:r w:rsidR="00383F97">
        <w:rPr>
          <w:lang w:val="fr-CH"/>
        </w:rPr>
        <w:t>'</w:t>
      </w:r>
      <w:r w:rsidRPr="000A30FD">
        <w:rPr>
          <w:lang w:val="fr-CH"/>
        </w:rPr>
        <w:t>appliquent avec effet immédiat, quelle que soit la date d</w:t>
      </w:r>
      <w:r w:rsidR="00383F97">
        <w:rPr>
          <w:lang w:val="fr-CH"/>
        </w:rPr>
        <w:t>'</w:t>
      </w:r>
      <w:r w:rsidRPr="000A30FD">
        <w:rPr>
          <w:lang w:val="fr-CH"/>
        </w:rPr>
        <w:t>inscription dans le Plan/le Fichier de référence international des fréquences des assignations/allotissements concernés.</w:t>
      </w:r>
    </w:p>
    <w:p w:rsidR="000841C3" w:rsidRPr="00383F97" w:rsidRDefault="000841C3" w:rsidP="00133CD9">
      <w:pPr>
        <w:rPr>
          <w:lang w:val="fr-CH"/>
        </w:rPr>
      </w:pPr>
    </w:p>
    <w:p w:rsidR="00C3556B" w:rsidRPr="000A30FD" w:rsidRDefault="000841C3" w:rsidP="00133CD9">
      <w:pPr>
        <w:jc w:val="center"/>
        <w:rPr>
          <w:szCs w:val="24"/>
          <w:lang w:val="fr-CH"/>
        </w:rPr>
      </w:pPr>
      <w:r>
        <w:t>______________</w:t>
      </w:r>
    </w:p>
    <w:sectPr w:rsidR="00C3556B" w:rsidRPr="000A30FD" w:rsidSect="008C73E7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C3" w:rsidRDefault="003979C3">
      <w:r>
        <w:separator/>
      </w:r>
    </w:p>
  </w:endnote>
  <w:endnote w:type="continuationSeparator" w:id="0">
    <w:p w:rsidR="003979C3" w:rsidRDefault="0039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Default="00EA2C83" w:rsidP="00387AE4">
    <w:pPr>
      <w:pStyle w:val="FirstFooter"/>
      <w:spacing w:line="240" w:lineRule="auto"/>
      <w:ind w:left="-397" w:right="-397"/>
      <w:jc w:val="center"/>
      <w:rPr>
        <w:color w:val="3E8EDE"/>
        <w:sz w:val="18"/>
        <w:lang w:val="fr-CH"/>
      </w:rPr>
    </w:pPr>
    <w:r w:rsidRPr="008E7182">
      <w:rPr>
        <w:color w:val="3E8EDE"/>
        <w:sz w:val="18"/>
        <w:szCs w:val="18"/>
        <w:lang w:val="fr-CH"/>
      </w:rPr>
      <w:t>Union internationale des télécommunications • Place des Nations • CH</w:t>
    </w:r>
    <w:r w:rsidRPr="008E7182">
      <w:rPr>
        <w:color w:val="3E8EDE"/>
        <w:sz w:val="18"/>
        <w:szCs w:val="18"/>
        <w:lang w:val="fr-CH"/>
      </w:rPr>
      <w:noBreakHyphen/>
      <w:t xml:space="preserve">1211 Genève 20 • Suisse </w:t>
    </w:r>
    <w:r w:rsidRPr="008E7182">
      <w:rPr>
        <w:color w:val="3E8EDE"/>
        <w:sz w:val="18"/>
        <w:szCs w:val="18"/>
        <w:lang w:val="fr-CH"/>
      </w:rPr>
      <w:br/>
      <w:t>Tél</w:t>
    </w:r>
    <w:r w:rsidR="00FB74AB">
      <w:rPr>
        <w:color w:val="3E8EDE"/>
        <w:sz w:val="18"/>
        <w:szCs w:val="18"/>
        <w:lang w:val="fr-CH"/>
      </w:rPr>
      <w:t>.</w:t>
    </w:r>
    <w:r w:rsidRPr="008E7182">
      <w:rPr>
        <w:color w:val="3E8EDE"/>
        <w:sz w:val="18"/>
        <w:szCs w:val="18"/>
        <w:lang w:val="fr-CH"/>
      </w:rPr>
      <w:t xml:space="preserve">: +41 22 730 5111 • Fax: +41 22 733 7256 • </w:t>
    </w:r>
    <w:r>
      <w:rPr>
        <w:color w:val="3E8EDE"/>
        <w:sz w:val="18"/>
        <w:szCs w:val="18"/>
        <w:lang w:val="fr-CH"/>
      </w:rPr>
      <w:br/>
    </w:r>
    <w:r w:rsidRPr="008E7182">
      <w:rPr>
        <w:color w:val="3E8EDE"/>
        <w:sz w:val="18"/>
        <w:szCs w:val="18"/>
        <w:lang w:val="fr-CH"/>
      </w:rPr>
      <w:t>Courriel:</w:t>
    </w:r>
    <w:r w:rsidRPr="008E7182">
      <w:rPr>
        <w:color w:val="3E8EDE"/>
        <w:lang w:val="fr-CH"/>
      </w:rPr>
      <w:t xml:space="preserve"> </w:t>
    </w:r>
    <w:hyperlink r:id="rId1" w:history="1">
      <w:r w:rsidRPr="008E7182">
        <w:rPr>
          <w:color w:val="3E8EDE"/>
          <w:sz w:val="18"/>
          <w:szCs w:val="18"/>
          <w:lang w:val="fr-CH"/>
        </w:rPr>
        <w:t>itumail@itu.int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2" w:history="1">
      <w:r w:rsidRPr="008E7182">
        <w:rPr>
          <w:color w:val="3E8EDE"/>
          <w:sz w:val="18"/>
          <w:szCs w:val="18"/>
          <w:lang w:val="fr-CH"/>
        </w:rPr>
        <w:t>www.itu.int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3" w:history="1">
      <w:r w:rsidR="00387AE4"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C3" w:rsidRDefault="003979C3">
      <w:r>
        <w:t>____________________</w:t>
      </w:r>
    </w:p>
  </w:footnote>
  <w:footnote w:type="continuationSeparator" w:id="0">
    <w:p w:rsidR="003979C3" w:rsidRDefault="00397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1B42C9" w:rsidP="00383F97">
    <w:pPr>
      <w:pStyle w:val="Header"/>
      <w:jc w:val="center"/>
      <w:rPr>
        <w:sz w:val="18"/>
        <w:szCs w:val="16"/>
      </w:rPr>
    </w:pPr>
    <w:r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F22974">
      <w:rPr>
        <w:rStyle w:val="PageNumber"/>
        <w:noProof/>
        <w:sz w:val="18"/>
        <w:szCs w:val="16"/>
      </w:rPr>
      <w:t>2</w:t>
    </w:r>
    <w:r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F97" w:rsidRPr="002569F7" w:rsidRDefault="00383F97" w:rsidP="00383F97">
    <w:pPr>
      <w:pStyle w:val="Header"/>
      <w:jc w:val="center"/>
      <w:rPr>
        <w:sz w:val="18"/>
        <w:szCs w:val="16"/>
      </w:rPr>
    </w:pP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F22974">
      <w:rPr>
        <w:rStyle w:val="PageNumber"/>
        <w:noProof/>
        <w:sz w:val="18"/>
        <w:szCs w:val="16"/>
      </w:rPr>
      <w:t>3</w:t>
    </w:r>
    <w:r w:rsidRPr="002569F7">
      <w:rPr>
        <w:rStyle w:val="PageNumber"/>
        <w:sz w:val="18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642050" w:rsidTr="004228FA">
      <w:trPr>
        <w:jc w:val="center"/>
      </w:trPr>
      <w:tc>
        <w:tcPr>
          <w:tcW w:w="4889" w:type="dxa"/>
        </w:tcPr>
        <w:p w:rsidR="00642050" w:rsidRDefault="00642050" w:rsidP="0064205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642050" w:rsidRDefault="00642050" w:rsidP="0064205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642050" w:rsidRDefault="00E915AF" w:rsidP="00A57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FFC6D12"/>
    <w:multiLevelType w:val="hybridMultilevel"/>
    <w:tmpl w:val="592ED0AE"/>
    <w:lvl w:ilvl="0" w:tplc="2AF0A1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3979C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41C3"/>
    <w:rsid w:val="00086D03"/>
    <w:rsid w:val="000A096A"/>
    <w:rsid w:val="000A30FD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3CD9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B0EFF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3F97"/>
    <w:rsid w:val="00387AE4"/>
    <w:rsid w:val="003979C3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739B4"/>
    <w:rsid w:val="006829F3"/>
    <w:rsid w:val="00682FAD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A483A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C73E7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5BF2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2A40"/>
    <w:rsid w:val="00A34D6F"/>
    <w:rsid w:val="00A41F91"/>
    <w:rsid w:val="00A574B8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4F4C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22974"/>
    <w:rsid w:val="00F424BF"/>
    <w:rsid w:val="00F44FC3"/>
    <w:rsid w:val="00F46107"/>
    <w:rsid w:val="00F468C5"/>
    <w:rsid w:val="00F52F39"/>
    <w:rsid w:val="00F52F90"/>
    <w:rsid w:val="00F6184F"/>
    <w:rsid w:val="00F8310E"/>
    <w:rsid w:val="00F914DD"/>
    <w:rsid w:val="00FA2358"/>
    <w:rsid w:val="00FB2592"/>
    <w:rsid w:val="00FB2810"/>
    <w:rsid w:val="00FB74AB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C1A3E3B-DC94-4416-AA4B-5A86B281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0841C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/dms_pub/TRAD/F/ITU-R/BR/DIR/CCRR/brmail@itu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turlea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E508-5083-465E-9C74-821E1C3F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3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6998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Deturche, Léa</dc:creator>
  <cp:lastModifiedBy>Gozal, Karine</cp:lastModifiedBy>
  <cp:revision>3</cp:revision>
  <cp:lastPrinted>2015-11-20T18:54:00Z</cp:lastPrinted>
  <dcterms:created xsi:type="dcterms:W3CDTF">2015-11-21T17:18:00Z</dcterms:created>
  <dcterms:modified xsi:type="dcterms:W3CDTF">2015-11-23T09:56:00Z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