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4A0" w:firstRow="1" w:lastRow="0" w:firstColumn="1" w:lastColumn="0" w:noHBand="0" w:noVBand="1"/>
      </w:tblPr>
      <w:tblGrid>
        <w:gridCol w:w="1526"/>
        <w:gridCol w:w="5528"/>
        <w:gridCol w:w="2727"/>
      </w:tblGrid>
      <w:tr w:rsidR="00D00DE8" w:rsidRPr="007B3DB1" w14:paraId="5F9A12E0" w14:textId="77777777" w:rsidTr="003566EC">
        <w:tc>
          <w:tcPr>
            <w:tcW w:w="9781" w:type="dxa"/>
            <w:gridSpan w:val="3"/>
            <w:shd w:val="clear" w:color="auto" w:fill="auto"/>
          </w:tcPr>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000"/>
            </w:tblGrid>
            <w:tr w:rsidR="00D00DE8" w:rsidRPr="009705BF" w14:paraId="251A8C6B" w14:textId="77777777" w:rsidTr="00FE7A23">
              <w:trPr>
                <w:jc w:val="center"/>
              </w:trPr>
              <w:tc>
                <w:tcPr>
                  <w:tcW w:w="4889" w:type="dxa"/>
                </w:tcPr>
                <w:p w14:paraId="07809430" w14:textId="77777777" w:rsidR="00D00DE8" w:rsidRPr="009705BF" w:rsidRDefault="00D00DE8" w:rsidP="00D00DE8">
                  <w:pPr>
                    <w:pStyle w:val="Header"/>
                    <w:tabs>
                      <w:tab w:val="clear" w:pos="794"/>
                      <w:tab w:val="clear" w:pos="4820"/>
                    </w:tabs>
                    <w:spacing w:before="120" w:line="360" w:lineRule="auto"/>
                  </w:pPr>
                  <w:r w:rsidRPr="009705BF">
                    <w:rPr>
                      <w:b/>
                      <w:bCs/>
                      <w:noProof/>
                      <w:lang w:val="en-GB" w:eastAsia="zh-CN"/>
                    </w:rPr>
                    <w:drawing>
                      <wp:inline distT="0" distB="0" distL="0" distR="0" wp14:anchorId="0689B905" wp14:editId="6C8BA79E">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14:paraId="6AC1BA72" w14:textId="77777777" w:rsidR="00D00DE8" w:rsidRPr="009705BF" w:rsidRDefault="00D00DE8" w:rsidP="00D00DE8">
                  <w:pPr>
                    <w:pStyle w:val="Header"/>
                    <w:tabs>
                      <w:tab w:val="clear" w:pos="794"/>
                      <w:tab w:val="clear" w:pos="4820"/>
                    </w:tabs>
                    <w:spacing w:line="360" w:lineRule="auto"/>
                    <w:jc w:val="right"/>
                  </w:pPr>
                  <w:r w:rsidRPr="009705BF">
                    <w:rPr>
                      <w:noProof/>
                      <w:lang w:val="en-GB" w:eastAsia="zh-CN"/>
                    </w:rPr>
                    <w:drawing>
                      <wp:inline distT="0" distB="0" distL="0" distR="0" wp14:anchorId="44AA3815" wp14:editId="513655D2">
                        <wp:extent cx="1117600" cy="838200"/>
                        <wp:effectExtent l="0" t="0" r="635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14:paraId="43BDB373" w14:textId="77777777" w:rsidR="00D00DE8" w:rsidRPr="00AF70DA" w:rsidRDefault="00D00DE8" w:rsidP="00D00DE8">
            <w:pPr>
              <w:spacing w:before="0"/>
              <w:jc w:val="left"/>
              <w:rPr>
                <w:rFonts w:cs="Times New Roman Bold"/>
                <w:b/>
                <w:bCs/>
                <w:color w:val="808080"/>
                <w:sz w:val="28"/>
                <w:szCs w:val="28"/>
                <w:lang w:val="en-GB"/>
              </w:rPr>
            </w:pPr>
          </w:p>
        </w:tc>
      </w:tr>
      <w:tr w:rsidR="00651777" w:rsidRPr="003266ED" w14:paraId="03BBDFB9" w14:textId="77777777" w:rsidTr="003566EC">
        <w:tc>
          <w:tcPr>
            <w:tcW w:w="7054" w:type="dxa"/>
            <w:gridSpan w:val="2"/>
            <w:shd w:val="clear" w:color="auto" w:fill="auto"/>
          </w:tcPr>
          <w:p w14:paraId="34D2FBE2" w14:textId="77777777" w:rsidR="00C76D7F" w:rsidRPr="00FE6FB1" w:rsidRDefault="008B35A3" w:rsidP="00DD25E5">
            <w:pPr>
              <w:spacing w:before="48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0C295E">
              <w:rPr>
                <w:sz w:val="24"/>
                <w:szCs w:val="24"/>
                <w:lang w:val="fr-CH"/>
              </w:rPr>
              <w:t>Letter</w:t>
            </w:r>
            <w:proofErr w:type="spellEnd"/>
          </w:p>
          <w:p w14:paraId="1D15E525" w14:textId="38CBE41C" w:rsidR="00651777" w:rsidRPr="006C53F8" w:rsidRDefault="000431FB" w:rsidP="00DD25E5">
            <w:pPr>
              <w:spacing w:before="0"/>
              <w:jc w:val="left"/>
              <w:rPr>
                <w:b/>
                <w:bCs/>
                <w:sz w:val="24"/>
                <w:szCs w:val="24"/>
                <w:lang w:val="fr-CH"/>
              </w:rPr>
            </w:pPr>
            <w:r w:rsidRPr="00C4089F">
              <w:rPr>
                <w:b/>
                <w:bCs/>
              </w:rPr>
              <w:t>CCRR/</w:t>
            </w:r>
            <w:r w:rsidR="00B8275A">
              <w:rPr>
                <w:b/>
                <w:bCs/>
              </w:rPr>
              <w:t>54</w:t>
            </w:r>
          </w:p>
        </w:tc>
        <w:tc>
          <w:tcPr>
            <w:tcW w:w="2727" w:type="dxa"/>
            <w:shd w:val="clear" w:color="auto" w:fill="auto"/>
          </w:tcPr>
          <w:p w14:paraId="6C048053" w14:textId="36020DCE" w:rsidR="00651777" w:rsidRPr="003266ED" w:rsidRDefault="00D41171" w:rsidP="003343E5">
            <w:pPr>
              <w:spacing w:before="480"/>
              <w:jc w:val="left"/>
              <w:rPr>
                <w:sz w:val="24"/>
                <w:szCs w:val="24"/>
                <w:lang w:val="en-GB"/>
              </w:rPr>
            </w:pPr>
            <w:r>
              <w:rPr>
                <w:sz w:val="24"/>
                <w:szCs w:val="24"/>
                <w:lang w:val="en-GB"/>
              </w:rPr>
              <w:t>2</w:t>
            </w:r>
            <w:r w:rsidR="003343E5">
              <w:rPr>
                <w:sz w:val="24"/>
                <w:szCs w:val="24"/>
                <w:lang w:val="en-GB"/>
              </w:rPr>
              <w:t>3</w:t>
            </w:r>
            <w:r w:rsidR="00B8275A">
              <w:rPr>
                <w:sz w:val="24"/>
                <w:szCs w:val="24"/>
                <w:lang w:val="en-GB"/>
              </w:rPr>
              <w:t xml:space="preserve"> November</w:t>
            </w:r>
            <w:r w:rsidR="001352A9">
              <w:rPr>
                <w:sz w:val="24"/>
                <w:szCs w:val="24"/>
                <w:lang w:val="en-GB"/>
              </w:rPr>
              <w:t xml:space="preserve"> </w:t>
            </w:r>
            <w:r w:rsidR="00F15D95">
              <w:rPr>
                <w:sz w:val="24"/>
                <w:szCs w:val="24"/>
                <w:lang w:val="en-GB"/>
              </w:rPr>
              <w:t>201</w:t>
            </w:r>
            <w:r w:rsidR="008D0297">
              <w:rPr>
                <w:sz w:val="24"/>
                <w:szCs w:val="24"/>
                <w:lang w:val="en-GB"/>
              </w:rPr>
              <w:t>5</w:t>
            </w:r>
          </w:p>
        </w:tc>
      </w:tr>
      <w:tr w:rsidR="0037309C" w:rsidRPr="003266ED" w14:paraId="7EAF7F77" w14:textId="77777777" w:rsidTr="003566EC">
        <w:tc>
          <w:tcPr>
            <w:tcW w:w="9781" w:type="dxa"/>
            <w:gridSpan w:val="3"/>
            <w:shd w:val="clear" w:color="auto" w:fill="auto"/>
          </w:tcPr>
          <w:p w14:paraId="59828184" w14:textId="77777777" w:rsidR="0037309C" w:rsidRPr="003266ED" w:rsidRDefault="0037309C" w:rsidP="006047E5">
            <w:pPr>
              <w:spacing w:before="0"/>
              <w:jc w:val="left"/>
              <w:rPr>
                <w:rFonts w:cs="Arial"/>
                <w:sz w:val="24"/>
                <w:szCs w:val="24"/>
                <w:lang w:val="en-GB"/>
              </w:rPr>
            </w:pPr>
          </w:p>
        </w:tc>
      </w:tr>
      <w:tr w:rsidR="0037309C" w:rsidRPr="003266ED" w14:paraId="4F29B25A" w14:textId="77777777" w:rsidTr="003566EC">
        <w:tc>
          <w:tcPr>
            <w:tcW w:w="9781" w:type="dxa"/>
            <w:gridSpan w:val="3"/>
            <w:shd w:val="clear" w:color="auto" w:fill="auto"/>
          </w:tcPr>
          <w:p w14:paraId="2DB9E241" w14:textId="77777777" w:rsidR="0037309C" w:rsidRPr="003266ED" w:rsidRDefault="0037309C" w:rsidP="00A427B2">
            <w:pPr>
              <w:spacing w:before="0"/>
              <w:jc w:val="left"/>
              <w:rPr>
                <w:sz w:val="24"/>
                <w:szCs w:val="24"/>
              </w:rPr>
            </w:pPr>
          </w:p>
        </w:tc>
      </w:tr>
      <w:tr w:rsidR="0037309C" w:rsidRPr="003266ED" w14:paraId="1FCDF2D5" w14:textId="77777777" w:rsidTr="003566EC">
        <w:tc>
          <w:tcPr>
            <w:tcW w:w="9781" w:type="dxa"/>
            <w:gridSpan w:val="3"/>
            <w:shd w:val="clear" w:color="auto" w:fill="auto"/>
          </w:tcPr>
          <w:p w14:paraId="0DABFF44" w14:textId="77777777" w:rsidR="0037309C" w:rsidRDefault="0037309C" w:rsidP="001352A9">
            <w:pPr>
              <w:spacing w:before="0"/>
              <w:jc w:val="left"/>
              <w:rPr>
                <w:b/>
                <w:bCs/>
                <w:sz w:val="24"/>
                <w:szCs w:val="24"/>
              </w:rPr>
            </w:pPr>
            <w:r w:rsidRPr="008B45F8">
              <w:rPr>
                <w:b/>
                <w:bCs/>
                <w:sz w:val="24"/>
                <w:szCs w:val="24"/>
              </w:rPr>
              <w:t>To Administrati</w:t>
            </w:r>
            <w:r w:rsidR="00F15D95">
              <w:rPr>
                <w:b/>
                <w:bCs/>
                <w:sz w:val="24"/>
                <w:szCs w:val="24"/>
              </w:rPr>
              <w:t>ons of Member States of ITU</w:t>
            </w:r>
          </w:p>
          <w:p w14:paraId="1A6C7BA4" w14:textId="77777777" w:rsidR="00D21694" w:rsidRDefault="00D21694" w:rsidP="006047E5">
            <w:pPr>
              <w:spacing w:before="0"/>
              <w:jc w:val="left"/>
              <w:rPr>
                <w:b/>
                <w:bCs/>
                <w:sz w:val="24"/>
                <w:szCs w:val="24"/>
              </w:rPr>
            </w:pPr>
          </w:p>
          <w:p w14:paraId="4ED0154C" w14:textId="77777777" w:rsidR="00D21694" w:rsidRPr="008B45F8" w:rsidRDefault="00D21694" w:rsidP="006047E5">
            <w:pPr>
              <w:spacing w:before="0"/>
              <w:jc w:val="left"/>
              <w:rPr>
                <w:b/>
                <w:bCs/>
                <w:sz w:val="24"/>
                <w:szCs w:val="24"/>
              </w:rPr>
            </w:pPr>
          </w:p>
        </w:tc>
      </w:tr>
      <w:tr w:rsidR="0037309C" w:rsidRPr="003266ED" w14:paraId="2D509E6E" w14:textId="77777777" w:rsidTr="003566EC">
        <w:tc>
          <w:tcPr>
            <w:tcW w:w="9781" w:type="dxa"/>
            <w:gridSpan w:val="3"/>
            <w:shd w:val="clear" w:color="auto" w:fill="auto"/>
          </w:tcPr>
          <w:p w14:paraId="3AE99046" w14:textId="77777777" w:rsidR="0037309C" w:rsidRPr="003266ED" w:rsidRDefault="0037309C" w:rsidP="006047E5">
            <w:pPr>
              <w:spacing w:before="0"/>
              <w:jc w:val="left"/>
              <w:rPr>
                <w:sz w:val="24"/>
                <w:szCs w:val="24"/>
              </w:rPr>
            </w:pPr>
          </w:p>
        </w:tc>
      </w:tr>
      <w:tr w:rsidR="0037309C" w:rsidRPr="003266ED" w14:paraId="46AC03F4" w14:textId="77777777" w:rsidTr="003566EC">
        <w:tc>
          <w:tcPr>
            <w:tcW w:w="9781" w:type="dxa"/>
            <w:gridSpan w:val="3"/>
            <w:shd w:val="clear" w:color="auto" w:fill="auto"/>
          </w:tcPr>
          <w:p w14:paraId="08DAA301" w14:textId="77777777" w:rsidR="0037309C" w:rsidRPr="003266ED" w:rsidRDefault="0037309C" w:rsidP="006047E5">
            <w:pPr>
              <w:spacing w:before="0"/>
              <w:jc w:val="left"/>
              <w:rPr>
                <w:sz w:val="24"/>
                <w:szCs w:val="24"/>
              </w:rPr>
            </w:pPr>
          </w:p>
        </w:tc>
      </w:tr>
      <w:tr w:rsidR="00B4054B" w:rsidRPr="003266ED" w14:paraId="62A0A4EC" w14:textId="77777777" w:rsidTr="003566EC">
        <w:tc>
          <w:tcPr>
            <w:tcW w:w="1526" w:type="dxa"/>
            <w:shd w:val="clear" w:color="auto" w:fill="auto"/>
          </w:tcPr>
          <w:p w14:paraId="50207005" w14:textId="77777777" w:rsidR="00B4054B" w:rsidRPr="00B90743" w:rsidRDefault="00B4054B" w:rsidP="00A427B2">
            <w:pPr>
              <w:spacing w:before="0"/>
              <w:jc w:val="left"/>
              <w:rPr>
                <w:sz w:val="24"/>
                <w:szCs w:val="24"/>
                <w:lang w:val="en-GB"/>
              </w:rPr>
            </w:pPr>
            <w:r w:rsidRPr="00B90743">
              <w:rPr>
                <w:sz w:val="24"/>
                <w:szCs w:val="24"/>
              </w:rPr>
              <w:t>Subject:</w:t>
            </w:r>
          </w:p>
        </w:tc>
        <w:tc>
          <w:tcPr>
            <w:tcW w:w="8255" w:type="dxa"/>
            <w:gridSpan w:val="2"/>
            <w:vMerge w:val="restart"/>
            <w:shd w:val="clear" w:color="auto" w:fill="auto"/>
          </w:tcPr>
          <w:p w14:paraId="07765B7E" w14:textId="6998A510" w:rsidR="00B4054B" w:rsidRPr="008D0297" w:rsidRDefault="00454C75" w:rsidP="00AB1340">
            <w:pPr>
              <w:tabs>
                <w:tab w:val="clear" w:pos="794"/>
                <w:tab w:val="clear" w:pos="1191"/>
                <w:tab w:val="clear" w:pos="1588"/>
                <w:tab w:val="clear" w:pos="1985"/>
                <w:tab w:val="left" w:pos="0"/>
              </w:tabs>
              <w:spacing w:before="0" w:line="240" w:lineRule="auto"/>
              <w:rPr>
                <w:b/>
                <w:bCs/>
                <w:sz w:val="24"/>
                <w:szCs w:val="24"/>
              </w:rPr>
            </w:pPr>
            <w:r w:rsidRPr="00ED68D5">
              <w:rPr>
                <w:rFonts w:asciiTheme="minorHAnsi" w:hAnsiTheme="minorHAnsi"/>
                <w:b/>
                <w:bCs/>
                <w:sz w:val="24"/>
                <w:szCs w:val="24"/>
              </w:rPr>
              <w:t>Draft Rule of Procedure concerning the Regional Agreement GE06</w:t>
            </w:r>
          </w:p>
        </w:tc>
      </w:tr>
      <w:tr w:rsidR="00B4054B" w:rsidRPr="003266ED" w14:paraId="421142AD" w14:textId="77777777" w:rsidTr="003566EC">
        <w:tc>
          <w:tcPr>
            <w:tcW w:w="1526" w:type="dxa"/>
            <w:shd w:val="clear" w:color="auto" w:fill="auto"/>
          </w:tcPr>
          <w:p w14:paraId="47E3DBC2" w14:textId="77777777" w:rsidR="00B4054B" w:rsidRPr="003266ED" w:rsidRDefault="00B4054B" w:rsidP="00A427B2">
            <w:pPr>
              <w:spacing w:before="0"/>
              <w:jc w:val="left"/>
              <w:rPr>
                <w:b/>
                <w:bCs/>
                <w:sz w:val="24"/>
                <w:szCs w:val="24"/>
                <w:lang w:val="en-GB"/>
              </w:rPr>
            </w:pPr>
          </w:p>
        </w:tc>
        <w:tc>
          <w:tcPr>
            <w:tcW w:w="8255" w:type="dxa"/>
            <w:gridSpan w:val="2"/>
            <w:vMerge/>
            <w:shd w:val="clear" w:color="auto" w:fill="auto"/>
          </w:tcPr>
          <w:p w14:paraId="0B727C25" w14:textId="77777777" w:rsidR="00B4054B" w:rsidRPr="003266ED" w:rsidRDefault="00B4054B" w:rsidP="00A427B2">
            <w:pPr>
              <w:spacing w:before="0"/>
              <w:rPr>
                <w:b/>
                <w:bCs/>
                <w:sz w:val="24"/>
                <w:szCs w:val="24"/>
                <w:lang w:val="en-GB"/>
              </w:rPr>
            </w:pPr>
          </w:p>
        </w:tc>
      </w:tr>
      <w:tr w:rsidR="00B4054B" w:rsidRPr="003266ED" w14:paraId="7BF1D3E2" w14:textId="77777777" w:rsidTr="003566EC">
        <w:tc>
          <w:tcPr>
            <w:tcW w:w="1526" w:type="dxa"/>
            <w:shd w:val="clear" w:color="auto" w:fill="auto"/>
          </w:tcPr>
          <w:p w14:paraId="2B37B945" w14:textId="77777777" w:rsidR="00B4054B" w:rsidRPr="003266ED" w:rsidRDefault="00B4054B" w:rsidP="00A427B2">
            <w:pPr>
              <w:spacing w:before="0"/>
              <w:jc w:val="left"/>
              <w:rPr>
                <w:b/>
                <w:bCs/>
                <w:sz w:val="24"/>
                <w:szCs w:val="24"/>
                <w:lang w:val="en-GB"/>
              </w:rPr>
            </w:pPr>
          </w:p>
        </w:tc>
        <w:tc>
          <w:tcPr>
            <w:tcW w:w="8255" w:type="dxa"/>
            <w:gridSpan w:val="2"/>
            <w:vMerge/>
            <w:shd w:val="clear" w:color="auto" w:fill="auto"/>
          </w:tcPr>
          <w:p w14:paraId="13CB5E6A" w14:textId="77777777" w:rsidR="00B4054B" w:rsidRPr="003266ED" w:rsidRDefault="00B4054B" w:rsidP="00A427B2">
            <w:pPr>
              <w:spacing w:before="0"/>
              <w:rPr>
                <w:b/>
                <w:bCs/>
                <w:sz w:val="24"/>
                <w:szCs w:val="24"/>
                <w:lang w:val="en-GB"/>
              </w:rPr>
            </w:pPr>
          </w:p>
        </w:tc>
      </w:tr>
      <w:tr w:rsidR="00C51E92" w:rsidRPr="0001052C" w14:paraId="352C24EE" w14:textId="77777777" w:rsidTr="003566EC">
        <w:tc>
          <w:tcPr>
            <w:tcW w:w="9781" w:type="dxa"/>
            <w:gridSpan w:val="3"/>
            <w:shd w:val="clear" w:color="auto" w:fill="auto"/>
          </w:tcPr>
          <w:p w14:paraId="075A7AF8" w14:textId="77777777" w:rsidR="00C51E92" w:rsidRPr="0001052C" w:rsidRDefault="00C51E92" w:rsidP="00A427B2">
            <w:pPr>
              <w:spacing w:before="0"/>
              <w:jc w:val="left"/>
              <w:rPr>
                <w:b/>
                <w:bCs/>
                <w:sz w:val="24"/>
                <w:szCs w:val="24"/>
              </w:rPr>
            </w:pPr>
          </w:p>
        </w:tc>
      </w:tr>
    </w:tbl>
    <w:p w14:paraId="0A430E3F" w14:textId="77777777" w:rsidR="001432DE" w:rsidRDefault="001432DE" w:rsidP="00BB3C75">
      <w:pPr>
        <w:ind w:left="142"/>
        <w:rPr>
          <w:sz w:val="24"/>
          <w:szCs w:val="24"/>
          <w:lang w:eastAsia="zh-CN"/>
        </w:rPr>
      </w:pPr>
    </w:p>
    <w:p w14:paraId="23EDEBCF" w14:textId="03F8E72D" w:rsidR="00AB1340" w:rsidRDefault="005864A7" w:rsidP="00AB1340">
      <w:pPr>
        <w:spacing w:line="240" w:lineRule="auto"/>
        <w:ind w:left="142"/>
        <w:rPr>
          <w:sz w:val="24"/>
          <w:szCs w:val="24"/>
        </w:rPr>
      </w:pPr>
      <w:r w:rsidRPr="005864A7">
        <w:rPr>
          <w:sz w:val="24"/>
          <w:szCs w:val="24"/>
        </w:rPr>
        <w:t xml:space="preserve">Please find enclosed </w:t>
      </w:r>
      <w:r w:rsidR="00AB1340">
        <w:rPr>
          <w:sz w:val="24"/>
          <w:szCs w:val="24"/>
        </w:rPr>
        <w:t xml:space="preserve">a </w:t>
      </w:r>
      <w:r w:rsidRPr="005864A7">
        <w:rPr>
          <w:sz w:val="24"/>
          <w:szCs w:val="24"/>
        </w:rPr>
        <w:t xml:space="preserve">draft Rule of Procedure </w:t>
      </w:r>
      <w:r w:rsidR="00AB1340" w:rsidRPr="005864A7">
        <w:rPr>
          <w:sz w:val="24"/>
          <w:szCs w:val="24"/>
        </w:rPr>
        <w:t>intended to support the application</w:t>
      </w:r>
      <w:r w:rsidRPr="005864A7">
        <w:rPr>
          <w:sz w:val="24"/>
          <w:szCs w:val="24"/>
        </w:rPr>
        <w:t xml:space="preserve"> </w:t>
      </w:r>
      <w:r w:rsidR="000562AB">
        <w:rPr>
          <w:sz w:val="24"/>
          <w:szCs w:val="24"/>
        </w:rPr>
        <w:t xml:space="preserve">of </w:t>
      </w:r>
      <w:r w:rsidRPr="005864A7">
        <w:rPr>
          <w:sz w:val="24"/>
          <w:szCs w:val="24"/>
        </w:rPr>
        <w:t>the Re</w:t>
      </w:r>
      <w:r w:rsidR="00AB1340">
        <w:rPr>
          <w:sz w:val="24"/>
          <w:szCs w:val="24"/>
        </w:rPr>
        <w:t>gional Agreement GE06</w:t>
      </w:r>
      <w:r w:rsidRPr="005864A7">
        <w:rPr>
          <w:sz w:val="24"/>
          <w:szCs w:val="24"/>
        </w:rPr>
        <w:t xml:space="preserve">. </w:t>
      </w:r>
    </w:p>
    <w:p w14:paraId="2BC20973" w14:textId="2DFA2EA7" w:rsidR="005864A7" w:rsidRPr="005864A7" w:rsidRDefault="00A018A7" w:rsidP="00A018A7">
      <w:pPr>
        <w:spacing w:line="240" w:lineRule="auto"/>
        <w:ind w:left="142"/>
        <w:rPr>
          <w:sz w:val="24"/>
          <w:szCs w:val="24"/>
          <w:lang w:eastAsia="zh-CN"/>
        </w:rPr>
      </w:pPr>
      <w:r w:rsidRPr="00A018A7">
        <w:rPr>
          <w:sz w:val="24"/>
          <w:szCs w:val="24"/>
        </w:rPr>
        <w:t>This draft new Rule of Procedure clarifies certain aspects of GE06 Agreement and has been developed at the request of the Radio Regulations Board at its 70th meeting</w:t>
      </w:r>
      <w:r>
        <w:rPr>
          <w:sz w:val="24"/>
          <w:szCs w:val="24"/>
        </w:rPr>
        <w:t>.</w:t>
      </w:r>
    </w:p>
    <w:p w14:paraId="251E0E2B" w14:textId="01B7E4ED" w:rsidR="00F235E6" w:rsidRDefault="005864A7" w:rsidP="00AB1340">
      <w:pPr>
        <w:spacing w:line="240" w:lineRule="auto"/>
        <w:ind w:left="142"/>
        <w:rPr>
          <w:sz w:val="24"/>
          <w:szCs w:val="24"/>
        </w:rPr>
      </w:pPr>
      <w:r w:rsidRPr="005864A7">
        <w:rPr>
          <w:sz w:val="24"/>
          <w:szCs w:val="24"/>
        </w:rPr>
        <w:t xml:space="preserve">In accordance with No. </w:t>
      </w:r>
      <w:r w:rsidRPr="005864A7">
        <w:rPr>
          <w:b/>
          <w:bCs/>
          <w:sz w:val="24"/>
          <w:szCs w:val="24"/>
        </w:rPr>
        <w:t>13.17</w:t>
      </w:r>
      <w:r w:rsidRPr="005864A7">
        <w:rPr>
          <w:sz w:val="24"/>
          <w:szCs w:val="24"/>
        </w:rPr>
        <w:t xml:space="preserve"> of the Radio Regulations, th</w:t>
      </w:r>
      <w:r w:rsidR="00AB1340">
        <w:rPr>
          <w:sz w:val="24"/>
          <w:szCs w:val="24"/>
        </w:rPr>
        <w:t>is</w:t>
      </w:r>
      <w:r w:rsidRPr="005864A7">
        <w:rPr>
          <w:sz w:val="24"/>
          <w:szCs w:val="24"/>
        </w:rPr>
        <w:t xml:space="preserve"> draft Rule of Procedure </w:t>
      </w:r>
      <w:r w:rsidR="00AB1340">
        <w:rPr>
          <w:sz w:val="24"/>
          <w:szCs w:val="24"/>
        </w:rPr>
        <w:t>is</w:t>
      </w:r>
      <w:r w:rsidRPr="005864A7">
        <w:rPr>
          <w:sz w:val="24"/>
          <w:szCs w:val="24"/>
        </w:rPr>
        <w:t xml:space="preserve"> made available to administrations for comment</w:t>
      </w:r>
      <w:r w:rsidR="00655C23">
        <w:rPr>
          <w:sz w:val="24"/>
          <w:szCs w:val="24"/>
        </w:rPr>
        <w:t>s</w:t>
      </w:r>
      <w:bookmarkStart w:id="0" w:name="_GoBack"/>
      <w:bookmarkEnd w:id="0"/>
      <w:r w:rsidRPr="005864A7">
        <w:rPr>
          <w:sz w:val="24"/>
          <w:szCs w:val="24"/>
        </w:rPr>
        <w:t xml:space="preserve"> before being submitted to the RRB pursuant to No. </w:t>
      </w:r>
      <w:r w:rsidRPr="005864A7">
        <w:rPr>
          <w:b/>
          <w:bCs/>
          <w:sz w:val="24"/>
          <w:szCs w:val="24"/>
        </w:rPr>
        <w:t>13.14</w:t>
      </w:r>
      <w:r w:rsidRPr="005864A7">
        <w:rPr>
          <w:sz w:val="24"/>
          <w:szCs w:val="24"/>
        </w:rPr>
        <w:t xml:space="preserve">. As indicated in No. </w:t>
      </w:r>
      <w:r w:rsidRPr="005864A7">
        <w:rPr>
          <w:b/>
          <w:bCs/>
          <w:sz w:val="24"/>
          <w:szCs w:val="24"/>
        </w:rPr>
        <w:t>13.12A</w:t>
      </w:r>
      <w:r w:rsidRPr="005864A7">
        <w:rPr>
          <w:sz w:val="24"/>
          <w:szCs w:val="24"/>
        </w:rPr>
        <w:t xml:space="preserve"> </w:t>
      </w:r>
      <w:r w:rsidRPr="005864A7">
        <w:rPr>
          <w:i/>
          <w:iCs/>
          <w:sz w:val="24"/>
          <w:szCs w:val="24"/>
        </w:rPr>
        <w:t>d)</w:t>
      </w:r>
      <w:r w:rsidRPr="005864A7">
        <w:rPr>
          <w:sz w:val="24"/>
          <w:szCs w:val="24"/>
        </w:rPr>
        <w:t xml:space="preserve"> of the Radio Regulations, any comments that you may wish to submit should reach the Bureau not later than </w:t>
      </w:r>
      <w:r w:rsidR="004C6A7C">
        <w:rPr>
          <w:b/>
          <w:bCs/>
          <w:sz w:val="24"/>
          <w:szCs w:val="24"/>
        </w:rPr>
        <w:t>4 January 2016</w:t>
      </w:r>
      <w:r w:rsidR="006D3416">
        <w:rPr>
          <w:sz w:val="24"/>
          <w:szCs w:val="24"/>
        </w:rPr>
        <w:t>,</w:t>
      </w:r>
      <w:r w:rsidR="00F235E6" w:rsidRPr="003D3732">
        <w:rPr>
          <w:sz w:val="24"/>
          <w:szCs w:val="24"/>
        </w:rPr>
        <w:t xml:space="preserve"> in or</w:t>
      </w:r>
      <w:r w:rsidR="00F235E6">
        <w:rPr>
          <w:sz w:val="24"/>
          <w:szCs w:val="24"/>
        </w:rPr>
        <w:t>der to be considered at the 71</w:t>
      </w:r>
      <w:r w:rsidR="00F235E6">
        <w:rPr>
          <w:sz w:val="24"/>
          <w:szCs w:val="24"/>
          <w:vertAlign w:val="superscript"/>
        </w:rPr>
        <w:t>st</w:t>
      </w:r>
      <w:r w:rsidR="00F235E6">
        <w:rPr>
          <w:sz w:val="24"/>
          <w:szCs w:val="24"/>
        </w:rPr>
        <w:t xml:space="preserve"> </w:t>
      </w:r>
      <w:r w:rsidR="00F235E6" w:rsidRPr="003D3732">
        <w:rPr>
          <w:sz w:val="24"/>
          <w:szCs w:val="24"/>
        </w:rPr>
        <w:t xml:space="preserve">meeting of the RRB, scheduled for </w:t>
      </w:r>
      <w:r w:rsidR="006D3416">
        <w:rPr>
          <w:sz w:val="24"/>
          <w:szCs w:val="24"/>
        </w:rPr>
        <w:t xml:space="preserve">1-5 February </w:t>
      </w:r>
      <w:r w:rsidR="00F235E6">
        <w:rPr>
          <w:sz w:val="24"/>
          <w:szCs w:val="24"/>
        </w:rPr>
        <w:t>2016</w:t>
      </w:r>
      <w:r w:rsidR="00F235E6" w:rsidRPr="003D3732">
        <w:rPr>
          <w:sz w:val="24"/>
          <w:szCs w:val="24"/>
        </w:rPr>
        <w:t xml:space="preserve">. </w:t>
      </w:r>
      <w:r w:rsidR="00F235E6">
        <w:rPr>
          <w:sz w:val="24"/>
          <w:szCs w:val="24"/>
        </w:rPr>
        <w:t>C</w:t>
      </w:r>
      <w:r w:rsidR="00F235E6" w:rsidRPr="003D3732">
        <w:rPr>
          <w:sz w:val="24"/>
          <w:szCs w:val="24"/>
        </w:rPr>
        <w:t xml:space="preserve">omments should be sent </w:t>
      </w:r>
      <w:r w:rsidR="00F235E6">
        <w:rPr>
          <w:sz w:val="24"/>
          <w:szCs w:val="24"/>
        </w:rPr>
        <w:t>either by telefax to +41 22 730 5785 or by email to</w:t>
      </w:r>
      <w:r w:rsidR="00F235E6" w:rsidRPr="003D3732">
        <w:rPr>
          <w:sz w:val="24"/>
          <w:szCs w:val="24"/>
        </w:rPr>
        <w:t xml:space="preserve"> </w:t>
      </w:r>
      <w:hyperlink r:id="rId10" w:history="1">
        <w:r w:rsidR="00F235E6" w:rsidRPr="003D3732">
          <w:rPr>
            <w:color w:val="0000FF"/>
            <w:sz w:val="24"/>
            <w:szCs w:val="24"/>
            <w:u w:val="single"/>
          </w:rPr>
          <w:t>brmail@itu.int</w:t>
        </w:r>
      </w:hyperlink>
      <w:r w:rsidR="00F235E6" w:rsidRPr="003D3732">
        <w:rPr>
          <w:sz w:val="24"/>
          <w:szCs w:val="24"/>
        </w:rPr>
        <w:t>.</w:t>
      </w:r>
    </w:p>
    <w:p w14:paraId="36FC8458" w14:textId="77777777" w:rsidR="00D005CF" w:rsidRPr="00D005CF" w:rsidRDefault="00D005CF" w:rsidP="001432DE">
      <w:pPr>
        <w:ind w:left="142"/>
        <w:rPr>
          <w:sz w:val="24"/>
          <w:szCs w:val="24"/>
        </w:rPr>
      </w:pPr>
    </w:p>
    <w:p w14:paraId="106E07C7" w14:textId="77777777" w:rsidR="003D3732" w:rsidRDefault="003D3732" w:rsidP="001432DE">
      <w:pPr>
        <w:ind w:left="142"/>
        <w:rPr>
          <w:rFonts w:asciiTheme="minorHAnsi" w:hAnsiTheme="minorHAnsi" w:cstheme="minorHAnsi"/>
          <w:sz w:val="24"/>
          <w:szCs w:val="24"/>
        </w:rPr>
      </w:pPr>
    </w:p>
    <w:p w14:paraId="682D0EAB" w14:textId="77777777" w:rsidR="003D3732" w:rsidRPr="00F15D95" w:rsidRDefault="003D3732" w:rsidP="001432DE">
      <w:pPr>
        <w:ind w:left="142"/>
        <w:rPr>
          <w:rFonts w:asciiTheme="minorHAnsi" w:hAnsiTheme="minorHAnsi" w:cstheme="minorHAnsi"/>
          <w:sz w:val="24"/>
          <w:szCs w:val="24"/>
        </w:rPr>
      </w:pPr>
    </w:p>
    <w:p w14:paraId="2398AADD" w14:textId="77777777" w:rsidR="00031E64" w:rsidRPr="00733EA7" w:rsidRDefault="00031E64" w:rsidP="001432DE">
      <w:pPr>
        <w:spacing w:before="0" w:line="240" w:lineRule="auto"/>
        <w:ind w:left="142"/>
        <w:jc w:val="left"/>
        <w:rPr>
          <w:rFonts w:asciiTheme="minorHAnsi" w:hAnsiTheme="minorHAnsi" w:cstheme="minorHAnsi"/>
          <w:sz w:val="24"/>
          <w:szCs w:val="24"/>
        </w:rPr>
      </w:pPr>
      <w:r w:rsidRPr="00733EA7">
        <w:rPr>
          <w:rFonts w:asciiTheme="minorHAnsi" w:hAnsiTheme="minorHAnsi" w:cstheme="minorHAnsi"/>
          <w:sz w:val="24"/>
          <w:szCs w:val="24"/>
        </w:rPr>
        <w:t>François Rancy</w:t>
      </w:r>
    </w:p>
    <w:p w14:paraId="32DF939D" w14:textId="77777777" w:rsidR="00031E64" w:rsidRPr="00733EA7" w:rsidRDefault="00CE463D" w:rsidP="001432DE">
      <w:pPr>
        <w:spacing w:before="0" w:line="240" w:lineRule="auto"/>
        <w:ind w:left="142"/>
        <w:jc w:val="left"/>
        <w:rPr>
          <w:rFonts w:asciiTheme="minorHAnsi" w:hAnsiTheme="minorHAnsi" w:cstheme="minorHAnsi"/>
          <w:sz w:val="24"/>
          <w:szCs w:val="24"/>
        </w:rPr>
      </w:pPr>
      <w:r w:rsidRPr="00733EA7">
        <w:rPr>
          <w:rFonts w:asciiTheme="minorHAnsi" w:hAnsiTheme="minorHAnsi" w:cstheme="minorHAnsi"/>
          <w:sz w:val="24"/>
          <w:szCs w:val="24"/>
        </w:rPr>
        <w:t>Director</w:t>
      </w:r>
    </w:p>
    <w:p w14:paraId="462EB1C5" w14:textId="77777777" w:rsidR="00A11D6F" w:rsidRPr="00733EA7" w:rsidRDefault="00A11D6F" w:rsidP="001432DE">
      <w:pPr>
        <w:spacing w:before="0" w:line="240" w:lineRule="auto"/>
        <w:ind w:left="142"/>
        <w:jc w:val="left"/>
        <w:rPr>
          <w:rFonts w:asciiTheme="minorHAnsi" w:hAnsiTheme="minorHAnsi" w:cstheme="minorHAnsi"/>
          <w:sz w:val="24"/>
          <w:szCs w:val="24"/>
        </w:rPr>
      </w:pPr>
    </w:p>
    <w:p w14:paraId="1314FA83" w14:textId="77777777" w:rsidR="00D00DE8" w:rsidRDefault="00D00DE8" w:rsidP="001432DE">
      <w:pPr>
        <w:spacing w:before="0" w:line="240" w:lineRule="auto"/>
        <w:ind w:left="142"/>
        <w:jc w:val="left"/>
        <w:rPr>
          <w:rFonts w:asciiTheme="minorHAnsi" w:hAnsiTheme="minorHAnsi" w:cstheme="minorHAnsi"/>
          <w:sz w:val="24"/>
          <w:szCs w:val="24"/>
        </w:rPr>
      </w:pPr>
    </w:p>
    <w:p w14:paraId="2762C464" w14:textId="77777777" w:rsidR="00D00DE8" w:rsidRDefault="00D00DE8" w:rsidP="001432DE">
      <w:pPr>
        <w:spacing w:before="0" w:line="240" w:lineRule="auto"/>
        <w:ind w:left="142"/>
        <w:jc w:val="left"/>
        <w:rPr>
          <w:rFonts w:asciiTheme="minorHAnsi" w:hAnsiTheme="minorHAnsi" w:cstheme="minorHAnsi"/>
          <w:sz w:val="24"/>
          <w:szCs w:val="24"/>
        </w:rPr>
      </w:pPr>
    </w:p>
    <w:p w14:paraId="671BD600" w14:textId="77777777" w:rsidR="00A11D6F" w:rsidRDefault="007F484D" w:rsidP="001432DE">
      <w:pPr>
        <w:spacing w:before="0" w:line="240" w:lineRule="auto"/>
        <w:ind w:left="142"/>
        <w:jc w:val="left"/>
        <w:rPr>
          <w:rFonts w:asciiTheme="minorHAnsi" w:hAnsiTheme="minorHAnsi" w:cstheme="minorHAnsi"/>
          <w:b/>
          <w:bCs/>
          <w:sz w:val="24"/>
          <w:szCs w:val="24"/>
        </w:rPr>
      </w:pPr>
      <w:r w:rsidRPr="00733EA7">
        <w:rPr>
          <w:rFonts w:asciiTheme="minorHAnsi" w:hAnsiTheme="minorHAnsi" w:cstheme="minorHAnsi"/>
          <w:b/>
          <w:bCs/>
          <w:sz w:val="24"/>
          <w:szCs w:val="24"/>
        </w:rPr>
        <w:t>A</w:t>
      </w:r>
      <w:r>
        <w:rPr>
          <w:rFonts w:asciiTheme="minorHAnsi" w:hAnsiTheme="minorHAnsi" w:cstheme="minorHAnsi"/>
          <w:b/>
          <w:bCs/>
          <w:sz w:val="24"/>
          <w:szCs w:val="24"/>
        </w:rPr>
        <w:t>nnex:</w:t>
      </w:r>
      <w:r w:rsidR="00D005CF">
        <w:rPr>
          <w:rFonts w:asciiTheme="minorHAnsi" w:hAnsiTheme="minorHAnsi" w:cstheme="minorHAnsi"/>
          <w:b/>
          <w:bCs/>
          <w:sz w:val="24"/>
          <w:szCs w:val="24"/>
        </w:rPr>
        <w:t xml:space="preserve"> </w:t>
      </w:r>
      <w:r w:rsidR="007872D6">
        <w:rPr>
          <w:rFonts w:asciiTheme="minorHAnsi" w:hAnsiTheme="minorHAnsi" w:cstheme="minorHAnsi"/>
          <w:b/>
          <w:bCs/>
          <w:sz w:val="24"/>
          <w:szCs w:val="24"/>
        </w:rPr>
        <w:t>1</w:t>
      </w:r>
    </w:p>
    <w:p w14:paraId="53086012" w14:textId="77777777" w:rsidR="00D00DE8" w:rsidRDefault="00D00DE8" w:rsidP="001432DE">
      <w:pPr>
        <w:spacing w:before="0" w:line="240" w:lineRule="auto"/>
        <w:ind w:left="142"/>
        <w:jc w:val="left"/>
        <w:rPr>
          <w:rFonts w:asciiTheme="minorHAnsi" w:hAnsiTheme="minorHAnsi" w:cstheme="minorHAnsi"/>
          <w:b/>
          <w:bCs/>
          <w:sz w:val="24"/>
          <w:szCs w:val="24"/>
        </w:rPr>
      </w:pPr>
    </w:p>
    <w:p w14:paraId="035A7F30" w14:textId="77777777" w:rsidR="00D00DE8" w:rsidRDefault="00D00DE8" w:rsidP="001432DE">
      <w:pPr>
        <w:spacing w:before="0" w:line="240" w:lineRule="auto"/>
        <w:ind w:left="142"/>
        <w:jc w:val="left"/>
        <w:rPr>
          <w:rFonts w:asciiTheme="minorHAnsi" w:hAnsiTheme="minorHAnsi" w:cstheme="minorHAnsi"/>
          <w:b/>
          <w:bCs/>
          <w:sz w:val="24"/>
          <w:szCs w:val="24"/>
        </w:rPr>
      </w:pPr>
    </w:p>
    <w:p w14:paraId="4CF26E31" w14:textId="4C2E6C76" w:rsidR="00DD4DC9" w:rsidRDefault="007F484D" w:rsidP="00D41171">
      <w:pPr>
        <w:pStyle w:val="AnnexNotitle0"/>
        <w:spacing w:before="0"/>
        <w:ind w:left="142"/>
        <w:jc w:val="left"/>
        <w:rPr>
          <w:rFonts w:asciiTheme="minorHAnsi" w:hAnsiTheme="minorHAnsi" w:cstheme="minorHAnsi"/>
          <w:sz w:val="24"/>
          <w:szCs w:val="24"/>
        </w:rPr>
      </w:pPr>
      <w:r w:rsidRPr="00733EA7">
        <w:rPr>
          <w:rFonts w:asciiTheme="minorHAnsi" w:hAnsiTheme="minorHAnsi" w:cstheme="minorHAnsi"/>
          <w:bCs/>
          <w:sz w:val="18"/>
          <w:szCs w:val="18"/>
        </w:rPr>
        <w:t xml:space="preserve">Distribution: </w:t>
      </w:r>
      <w:r w:rsidR="00A11D6F" w:rsidRPr="00733EA7">
        <w:rPr>
          <w:rFonts w:asciiTheme="minorHAnsi" w:hAnsiTheme="minorHAnsi" w:cstheme="minorHAnsi"/>
          <w:bCs/>
          <w:sz w:val="18"/>
          <w:szCs w:val="18"/>
        </w:rPr>
        <w:br/>
      </w:r>
      <w:r w:rsidR="00A11D6F" w:rsidRPr="007872D6">
        <w:rPr>
          <w:rFonts w:asciiTheme="minorHAnsi" w:hAnsiTheme="minorHAnsi" w:cstheme="minorHAnsi"/>
          <w:b w:val="0"/>
          <w:bCs/>
          <w:sz w:val="18"/>
          <w:szCs w:val="18"/>
        </w:rPr>
        <w:t>- Administration</w:t>
      </w:r>
      <w:r w:rsidR="001352A9">
        <w:rPr>
          <w:rFonts w:asciiTheme="minorHAnsi" w:hAnsiTheme="minorHAnsi" w:cstheme="minorHAnsi"/>
          <w:b w:val="0"/>
          <w:bCs/>
          <w:sz w:val="18"/>
          <w:szCs w:val="18"/>
        </w:rPr>
        <w:t>s</w:t>
      </w:r>
      <w:r w:rsidR="00A11D6F" w:rsidRPr="007872D6">
        <w:rPr>
          <w:rFonts w:asciiTheme="minorHAnsi" w:hAnsiTheme="minorHAnsi" w:cstheme="minorHAnsi"/>
          <w:b w:val="0"/>
          <w:bCs/>
          <w:sz w:val="18"/>
          <w:szCs w:val="18"/>
        </w:rPr>
        <w:t xml:space="preserve"> of Member States of</w:t>
      </w:r>
      <w:r w:rsidR="001352A9">
        <w:rPr>
          <w:rFonts w:asciiTheme="minorHAnsi" w:hAnsiTheme="minorHAnsi" w:cstheme="minorHAnsi"/>
          <w:b w:val="0"/>
          <w:bCs/>
          <w:sz w:val="18"/>
          <w:szCs w:val="18"/>
        </w:rPr>
        <w:t xml:space="preserve"> </w:t>
      </w:r>
      <w:r w:rsidR="00A11D6F" w:rsidRPr="007872D6">
        <w:rPr>
          <w:rFonts w:asciiTheme="minorHAnsi" w:hAnsiTheme="minorHAnsi" w:cstheme="minorHAnsi"/>
          <w:b w:val="0"/>
          <w:bCs/>
          <w:sz w:val="18"/>
          <w:szCs w:val="18"/>
        </w:rPr>
        <w:t>ITU</w:t>
      </w:r>
      <w:r w:rsidR="00A11D6F" w:rsidRPr="007872D6">
        <w:rPr>
          <w:rFonts w:asciiTheme="minorHAnsi" w:hAnsiTheme="minorHAnsi" w:cstheme="minorHAnsi"/>
          <w:b w:val="0"/>
          <w:bCs/>
          <w:sz w:val="18"/>
          <w:szCs w:val="18"/>
        </w:rPr>
        <w:br/>
        <w:t>- Members of the Radio Regulations Board</w:t>
      </w:r>
      <w:r w:rsidR="00A11D6F" w:rsidRPr="007872D6">
        <w:rPr>
          <w:rFonts w:asciiTheme="minorHAnsi" w:hAnsiTheme="minorHAnsi" w:cstheme="minorHAnsi"/>
          <w:b w:val="0"/>
          <w:bCs/>
          <w:sz w:val="18"/>
          <w:szCs w:val="18"/>
        </w:rPr>
        <w:br/>
      </w:r>
      <w:r w:rsidR="000523A0">
        <w:rPr>
          <w:rFonts w:asciiTheme="minorHAnsi" w:hAnsiTheme="minorHAnsi" w:cstheme="minorHAnsi"/>
          <w:sz w:val="24"/>
          <w:szCs w:val="24"/>
        </w:rPr>
        <w:br w:type="page"/>
      </w:r>
    </w:p>
    <w:p w14:paraId="31EDB729" w14:textId="28FF24E3" w:rsidR="003D3732" w:rsidRPr="004A358B" w:rsidRDefault="004A358B" w:rsidP="004A358B">
      <w:pPr>
        <w:pStyle w:val="AnnexNo"/>
        <w:rPr>
          <w:rFonts w:asciiTheme="minorHAnsi" w:hAnsiTheme="minorHAnsi"/>
        </w:rPr>
      </w:pPr>
      <w:r w:rsidRPr="004A358B">
        <w:rPr>
          <w:rFonts w:asciiTheme="minorHAnsi" w:hAnsiTheme="minorHAnsi"/>
        </w:rPr>
        <w:lastRenderedPageBreak/>
        <w:t>Annex</w:t>
      </w:r>
    </w:p>
    <w:p w14:paraId="2EB40CC0" w14:textId="77777777" w:rsidR="003566EC" w:rsidRPr="004A358B" w:rsidRDefault="003566EC" w:rsidP="003566EC">
      <w:pPr>
        <w:pStyle w:val="Normalaftertitle"/>
        <w:rPr>
          <w:rFonts w:asciiTheme="minorHAnsi" w:hAnsiTheme="minorHAnsi"/>
          <w:lang w:val="en-GB"/>
        </w:rPr>
      </w:pPr>
    </w:p>
    <w:tbl>
      <w:tblPr>
        <w:tblW w:w="0" w:type="auto"/>
        <w:tblCellMar>
          <w:bottom w:w="113" w:type="dxa"/>
        </w:tblCellMar>
        <w:tblLook w:val="0000" w:firstRow="0" w:lastRow="0" w:firstColumn="0" w:lastColumn="0" w:noHBand="0" w:noVBand="0"/>
      </w:tblPr>
      <w:tblGrid>
        <w:gridCol w:w="9576"/>
      </w:tblGrid>
      <w:tr w:rsidR="00BC045C" w:rsidRPr="004A358B" w14:paraId="383A7AE5" w14:textId="77777777" w:rsidTr="005D3FE9">
        <w:tc>
          <w:tcPr>
            <w:tcW w:w="9576" w:type="dxa"/>
          </w:tcPr>
          <w:p w14:paraId="192EECAD" w14:textId="77777777" w:rsidR="00BC045C" w:rsidRPr="004A358B" w:rsidRDefault="00BC045C" w:rsidP="005D3FE9">
            <w:pPr>
              <w:jc w:val="center"/>
              <w:rPr>
                <w:rFonts w:asciiTheme="minorHAnsi" w:hAnsiTheme="minorHAnsi"/>
                <w:b/>
                <w:bCs/>
                <w:sz w:val="32"/>
                <w:szCs w:val="32"/>
                <w:u w:val="single"/>
              </w:rPr>
            </w:pPr>
            <w:r w:rsidRPr="004A358B">
              <w:rPr>
                <w:rFonts w:asciiTheme="minorHAnsi" w:hAnsiTheme="minorHAnsi"/>
                <w:b/>
                <w:bCs/>
                <w:sz w:val="32"/>
                <w:szCs w:val="32"/>
                <w:u w:val="single"/>
              </w:rPr>
              <w:t>Draft Rule of Procedure (Part A10-GE06)</w:t>
            </w:r>
          </w:p>
        </w:tc>
      </w:tr>
    </w:tbl>
    <w:p w14:paraId="3689790F" w14:textId="77777777" w:rsidR="00BC045C" w:rsidRPr="004A358B" w:rsidRDefault="00BC045C" w:rsidP="00BC045C">
      <w:pPr>
        <w:tabs>
          <w:tab w:val="left" w:pos="0"/>
        </w:tabs>
        <w:jc w:val="center"/>
        <w:rPr>
          <w:rFonts w:asciiTheme="minorHAnsi" w:hAnsiTheme="minorHAnsi"/>
          <w:b/>
          <w:bCs/>
          <w:sz w:val="28"/>
          <w:szCs w:val="28"/>
        </w:rPr>
      </w:pPr>
      <w:r w:rsidRPr="004A358B">
        <w:rPr>
          <w:rFonts w:asciiTheme="minorHAnsi" w:hAnsiTheme="minorHAnsi"/>
          <w:b/>
          <w:bCs/>
          <w:sz w:val="28"/>
          <w:szCs w:val="28"/>
        </w:rPr>
        <w:t>Protection of a Plan entry from interference caused by a Plan entry of another Administration and with which the coordination procedure was not triggered in the application of Article 4 of the GE06 Agreement</w:t>
      </w:r>
    </w:p>
    <w:p w14:paraId="52F6146E" w14:textId="77777777" w:rsidR="00BC045C" w:rsidRPr="004A358B" w:rsidRDefault="00BC045C" w:rsidP="00BC045C">
      <w:pPr>
        <w:spacing w:before="360" w:line="240" w:lineRule="auto"/>
        <w:rPr>
          <w:rFonts w:asciiTheme="minorHAnsi" w:hAnsiTheme="minorHAnsi"/>
          <w:sz w:val="24"/>
          <w:szCs w:val="24"/>
        </w:rPr>
      </w:pPr>
      <w:r w:rsidRPr="004A358B">
        <w:rPr>
          <w:rFonts w:asciiTheme="minorHAnsi" w:hAnsiTheme="minorHAnsi"/>
          <w:sz w:val="24"/>
          <w:szCs w:val="24"/>
        </w:rPr>
        <w:t>X.1</w:t>
      </w:r>
      <w:r w:rsidRPr="004A358B">
        <w:rPr>
          <w:rFonts w:asciiTheme="minorHAnsi" w:hAnsiTheme="minorHAnsi"/>
          <w:sz w:val="24"/>
          <w:szCs w:val="24"/>
        </w:rPr>
        <w:tab/>
        <w:t>During the RRC-06 Conference, compatibility analysis for all requirements (allotments and assignments) was carried out in two directions (transmission and reception). When requirements were not compatible with each other in one or both directions, the administrations concerned had to resolve the incompatibility. This ensured that all entries in the Plan, as adopted by RRC-06, were evaluated and agreed as compatible by the concerned administrations.</w:t>
      </w:r>
    </w:p>
    <w:p w14:paraId="457AB3F3"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X.2</w:t>
      </w:r>
      <w:r w:rsidRPr="004A358B">
        <w:rPr>
          <w:rFonts w:asciiTheme="minorHAnsi" w:hAnsiTheme="minorHAnsi"/>
          <w:sz w:val="24"/>
          <w:szCs w:val="24"/>
        </w:rPr>
        <w:tab/>
        <w:t>Since then, new or modified assignments/allotments were included in the Plan following the successful application of the procedure of Article 4 of the GE06 Agreement. This procedure however, considers administrations as affected by a proposed modification only when the limits given in Section I of Annex 4 of the Agreement are exceeded. This approach was designed to trigger the need to coordinate with the potentially affected administration(s) in order to ensure that the proposed modification will not affect the ability of other administrations to receive broadcasting emissions on any channel over their territory. Nonetheless, the Agreement does not address the interference that a proposed modification will receive from assignments previously recorded in the Plan.</w:t>
      </w:r>
    </w:p>
    <w:p w14:paraId="0F565203"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X.3</w:t>
      </w:r>
      <w:r w:rsidRPr="004A358B">
        <w:rPr>
          <w:rFonts w:asciiTheme="minorHAnsi" w:hAnsiTheme="minorHAnsi"/>
          <w:sz w:val="24"/>
          <w:szCs w:val="24"/>
        </w:rPr>
        <w:tab/>
        <w:t>In the application of Article 4 of the GE06 Agreement, the Bureau received a request from an administration to be included in the list of administrations affected by a proposed modification to the Plan because that modification might be affected by that administration’s own entries in the plan. However, since the proposed modification did not exceed the limits of Annex 4 of the GE06 Agreement, the Bureau could not accede to this request.</w:t>
      </w:r>
    </w:p>
    <w:p w14:paraId="7D9503AB"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X.4</w:t>
      </w:r>
      <w:r w:rsidRPr="004A358B">
        <w:rPr>
          <w:rFonts w:asciiTheme="minorHAnsi" w:hAnsiTheme="minorHAnsi"/>
          <w:sz w:val="24"/>
          <w:szCs w:val="24"/>
        </w:rPr>
        <w:tab/>
        <w:t>This situation highlights that the procedures of the GE06 Agreement do not require, prior to its inclusion in the Plan, to coordinate the protection of a proposed modification to the Plan from the interference that may be caused to it by entries already recorded in the Plan.</w:t>
      </w:r>
    </w:p>
    <w:p w14:paraId="58BABB5E"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X.5</w:t>
      </w:r>
      <w:r w:rsidRPr="004A358B">
        <w:rPr>
          <w:rFonts w:asciiTheme="minorHAnsi" w:hAnsiTheme="minorHAnsi"/>
          <w:sz w:val="24"/>
          <w:szCs w:val="24"/>
        </w:rPr>
        <w:tab/>
        <w:t xml:space="preserve">The Board considered that a general principle of the Radio Regulations is that the status, i.e. the rights for transmission or the rights for protection of new assignments are derived from the successful application of the relevant procedures (See RR No. 8.3). </w:t>
      </w:r>
    </w:p>
    <w:p w14:paraId="0EB2F5EB" w14:textId="490B3BD5"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X.6</w:t>
      </w:r>
      <w:r w:rsidRPr="004A358B">
        <w:rPr>
          <w:rFonts w:asciiTheme="minorHAnsi" w:hAnsiTheme="minorHAnsi"/>
          <w:sz w:val="24"/>
          <w:szCs w:val="24"/>
        </w:rPr>
        <w:tab/>
        <w:t>In the absence of a relevant procedure in the GE06 Agreement to acquire such rights, the Board considered that, unless other</w:t>
      </w:r>
      <w:r w:rsidR="00FA56DC">
        <w:rPr>
          <w:rFonts w:asciiTheme="minorHAnsi" w:hAnsiTheme="minorHAnsi"/>
          <w:sz w:val="24"/>
          <w:szCs w:val="24"/>
        </w:rPr>
        <w:t>wise</w:t>
      </w:r>
      <w:r w:rsidRPr="004A358B">
        <w:rPr>
          <w:rFonts w:asciiTheme="minorHAnsi" w:hAnsiTheme="minorHAnsi"/>
          <w:sz w:val="24"/>
          <w:szCs w:val="24"/>
        </w:rPr>
        <w:t xml:space="preserve"> agreed between the administrations concerned, an assignment in conformity with the Plan and recorded in the Master Register cannot claim protection from assignments in conformity with the Plan corresponding to an entry which was recorded in the Plan prior to the entry corresponding to the assignment for which protection is claimed.</w:t>
      </w:r>
    </w:p>
    <w:p w14:paraId="0290FA03"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X.7</w:t>
      </w:r>
      <w:r w:rsidRPr="004A358B">
        <w:rPr>
          <w:rFonts w:asciiTheme="minorHAnsi" w:hAnsiTheme="minorHAnsi"/>
          <w:sz w:val="24"/>
          <w:szCs w:val="24"/>
        </w:rPr>
        <w:tab/>
        <w:t xml:space="preserve">The Board noted that several provisions of the GE06 Agreement indicate that, after successful application of the procedure, the new entry will have the same status as the other entries in the Plan. Consistent with the above considerations, the Board is of the view that all entries in the plan involve a right for transmission for the corresponding assignments and a right for protection of </w:t>
      </w:r>
      <w:r w:rsidRPr="004A358B">
        <w:rPr>
          <w:rFonts w:asciiTheme="minorHAnsi" w:hAnsiTheme="minorHAnsi"/>
          <w:sz w:val="24"/>
          <w:szCs w:val="24"/>
        </w:rPr>
        <w:lastRenderedPageBreak/>
        <w:t xml:space="preserve">these assignments against subsequent entries in the plan. Conformity with the plan does not involve the right for protection against previous entries in the plan. </w:t>
      </w:r>
    </w:p>
    <w:p w14:paraId="0ED3FD11"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X.8</w:t>
      </w:r>
      <w:r w:rsidRPr="004A358B">
        <w:rPr>
          <w:rFonts w:asciiTheme="minorHAnsi" w:hAnsiTheme="minorHAnsi"/>
          <w:sz w:val="24"/>
          <w:szCs w:val="24"/>
        </w:rPr>
        <w:tab/>
        <w:t>The Board also noted that several administrations had communicated to the Bureau proposed modifications to the GE06 Plan on the basis of low power stations located near the border of their territory in a way that does not trigger the limits of Annex 4 of the GE06 Agreement. Consistent with the above considerations, the Board is of the view that the inclusion in the Plan and/or the MIFR of the corresponding assignments does not provide any additional rights to protect these assignments from assignments previously or subsequently included in the Plan, for the following reasons:</w:t>
      </w:r>
    </w:p>
    <w:p w14:paraId="75A01C96" w14:textId="77777777" w:rsidR="00BC045C" w:rsidRPr="004A358B" w:rsidRDefault="00BC045C" w:rsidP="00BC045C">
      <w:pPr>
        <w:numPr>
          <w:ilvl w:val="0"/>
          <w:numId w:val="15"/>
        </w:numPr>
        <w:tabs>
          <w:tab w:val="clear" w:pos="794"/>
          <w:tab w:val="clear" w:pos="1191"/>
          <w:tab w:val="clear" w:pos="1588"/>
          <w:tab w:val="clear" w:pos="1985"/>
        </w:tabs>
        <w:overflowPunct/>
        <w:autoSpaceDE/>
        <w:autoSpaceDN/>
        <w:adjustRightInd/>
        <w:spacing w:before="0" w:after="200" w:line="240" w:lineRule="auto"/>
        <w:textAlignment w:val="auto"/>
        <w:rPr>
          <w:rFonts w:asciiTheme="minorHAnsi" w:hAnsiTheme="minorHAnsi"/>
          <w:sz w:val="24"/>
          <w:szCs w:val="24"/>
        </w:rPr>
      </w:pPr>
      <w:r w:rsidRPr="004A358B">
        <w:rPr>
          <w:rFonts w:asciiTheme="minorHAnsi" w:hAnsiTheme="minorHAnsi"/>
          <w:sz w:val="24"/>
          <w:szCs w:val="24"/>
        </w:rPr>
        <w:t>protection from assignments previously included in the Plan cannot be obtained from the application of Article 4 if the limits in Annex 4 are not exceeded,</w:t>
      </w:r>
    </w:p>
    <w:p w14:paraId="1A75AC2B" w14:textId="77777777" w:rsidR="00BC045C" w:rsidRPr="004A358B" w:rsidRDefault="00BC045C" w:rsidP="00BC045C">
      <w:pPr>
        <w:numPr>
          <w:ilvl w:val="0"/>
          <w:numId w:val="15"/>
        </w:numPr>
        <w:tabs>
          <w:tab w:val="clear" w:pos="794"/>
          <w:tab w:val="clear" w:pos="1191"/>
          <w:tab w:val="clear" w:pos="1588"/>
          <w:tab w:val="clear" w:pos="1985"/>
        </w:tabs>
        <w:overflowPunct/>
        <w:autoSpaceDE/>
        <w:autoSpaceDN/>
        <w:adjustRightInd/>
        <w:spacing w:before="0" w:after="200" w:line="240" w:lineRule="auto"/>
        <w:textAlignment w:val="auto"/>
        <w:rPr>
          <w:rFonts w:asciiTheme="minorHAnsi" w:hAnsiTheme="minorHAnsi"/>
          <w:sz w:val="24"/>
          <w:szCs w:val="24"/>
        </w:rPr>
      </w:pPr>
      <w:proofErr w:type="gramStart"/>
      <w:r w:rsidRPr="004A358B">
        <w:rPr>
          <w:rFonts w:asciiTheme="minorHAnsi" w:hAnsiTheme="minorHAnsi"/>
          <w:sz w:val="24"/>
          <w:szCs w:val="24"/>
        </w:rPr>
        <w:t>protection</w:t>
      </w:r>
      <w:proofErr w:type="gramEnd"/>
      <w:r w:rsidRPr="004A358B">
        <w:rPr>
          <w:rFonts w:asciiTheme="minorHAnsi" w:hAnsiTheme="minorHAnsi"/>
          <w:sz w:val="24"/>
          <w:szCs w:val="24"/>
        </w:rPr>
        <w:t xml:space="preserve"> from assignments subsequently included in the Plan is provided by Article 4 so as to protect the territory of the administration in any channel and does not take into account the assignments included in the Plan or in the MIFR. </w:t>
      </w:r>
    </w:p>
    <w:p w14:paraId="2F5AA2E5"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X.9</w:t>
      </w:r>
      <w:r w:rsidRPr="004A358B">
        <w:rPr>
          <w:rFonts w:asciiTheme="minorHAnsi" w:hAnsiTheme="minorHAnsi"/>
          <w:sz w:val="24"/>
          <w:szCs w:val="24"/>
        </w:rPr>
        <w:tab/>
        <w:t>The Board also noted that this Rule of Procedure does not require any modification to the current practice by the Bureau in processing notices for the application of Articles 4 and 5 of the GE06 Agreement.</w:t>
      </w:r>
    </w:p>
    <w:p w14:paraId="43280AA6" w14:textId="77777777" w:rsidR="00BC045C" w:rsidRPr="004A358B" w:rsidRDefault="00BC045C" w:rsidP="00BC045C">
      <w:pPr>
        <w:spacing w:line="240" w:lineRule="auto"/>
        <w:rPr>
          <w:rFonts w:asciiTheme="minorHAnsi" w:hAnsiTheme="minorHAnsi"/>
          <w:sz w:val="24"/>
          <w:szCs w:val="24"/>
        </w:rPr>
      </w:pPr>
      <w:r w:rsidRPr="004A358B">
        <w:rPr>
          <w:rFonts w:asciiTheme="minorHAnsi" w:hAnsiTheme="minorHAnsi"/>
          <w:sz w:val="24"/>
          <w:szCs w:val="24"/>
        </w:rPr>
        <w:t>X.10</w:t>
      </w:r>
      <w:r w:rsidRPr="004A358B">
        <w:rPr>
          <w:rFonts w:asciiTheme="minorHAnsi" w:hAnsiTheme="minorHAnsi"/>
          <w:sz w:val="24"/>
          <w:szCs w:val="24"/>
        </w:rPr>
        <w:tab/>
        <w:t>This ROP is applicable immediately, irrespective of the date of entry in the Plan/MIFR of the concerned assignments/allotments.</w:t>
      </w:r>
    </w:p>
    <w:p w14:paraId="0F4D2B2B" w14:textId="5CCDBE52" w:rsidR="00F235E6" w:rsidRPr="004A358B" w:rsidRDefault="00F235E6" w:rsidP="00BC045C">
      <w:pPr>
        <w:spacing w:line="240" w:lineRule="auto"/>
        <w:rPr>
          <w:rFonts w:asciiTheme="minorHAnsi" w:hAnsiTheme="minorHAnsi"/>
          <w:sz w:val="24"/>
          <w:szCs w:val="24"/>
        </w:rPr>
      </w:pPr>
    </w:p>
    <w:p w14:paraId="5C0B40EE" w14:textId="36C6CEF1" w:rsidR="00BC045C" w:rsidRPr="004A358B" w:rsidRDefault="00BC045C" w:rsidP="00BC045C">
      <w:pPr>
        <w:spacing w:line="240" w:lineRule="auto"/>
        <w:jc w:val="center"/>
        <w:rPr>
          <w:rFonts w:asciiTheme="minorHAnsi" w:hAnsiTheme="minorHAnsi"/>
          <w:sz w:val="20"/>
          <w:szCs w:val="20"/>
        </w:rPr>
      </w:pPr>
      <w:r w:rsidRPr="004A358B">
        <w:rPr>
          <w:rFonts w:asciiTheme="minorHAnsi" w:hAnsiTheme="minorHAnsi"/>
        </w:rPr>
        <w:t>_________________</w:t>
      </w:r>
    </w:p>
    <w:sectPr w:rsidR="00BC045C" w:rsidRPr="004A358B" w:rsidSect="00D00DE8">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AE39" w14:textId="77777777" w:rsidR="00AA0138" w:rsidRDefault="00AA0138">
      <w:r>
        <w:separator/>
      </w:r>
    </w:p>
  </w:endnote>
  <w:endnote w:type="continuationSeparator" w:id="0">
    <w:p w14:paraId="4A8BBFC1" w14:textId="77777777" w:rsidR="00AA0138" w:rsidRDefault="00AA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9D3E" w14:textId="1BA92503" w:rsidR="008222F3" w:rsidRPr="003343E5" w:rsidRDefault="008222F3" w:rsidP="00334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358B" w14:textId="42FDB29D" w:rsidR="008222F3" w:rsidRPr="003343E5" w:rsidRDefault="008222F3" w:rsidP="00334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12F4" w14:textId="77777777" w:rsidR="00D00DE8" w:rsidRPr="00BB3C75" w:rsidRDefault="00D00DE8" w:rsidP="00D00DE8">
    <w:pPr>
      <w:pStyle w:val="FirstFooter"/>
      <w:spacing w:line="240" w:lineRule="auto"/>
      <w:ind w:left="-397" w:right="-397"/>
      <w:jc w:val="center"/>
      <w:rPr>
        <w:color w:val="3E8EDE"/>
        <w:sz w:val="18"/>
        <w:szCs w:val="18"/>
      </w:rPr>
    </w:pPr>
    <w:r w:rsidRPr="00BB3C75">
      <w:rPr>
        <w:color w:val="3E8EDE"/>
        <w:sz w:val="18"/>
        <w:szCs w:val="18"/>
      </w:rPr>
      <w:t>International Telecommunication Union • Place des Nations, CH</w:t>
    </w:r>
    <w:r w:rsidRPr="00BB3C75">
      <w:rPr>
        <w:color w:val="3E8EDE"/>
        <w:sz w:val="18"/>
        <w:szCs w:val="18"/>
      </w:rPr>
      <w:noBreakHyphen/>
      <w:t xml:space="preserve">1211 Geneva 20, Switzerland </w:t>
    </w:r>
    <w:r w:rsidRPr="00BB3C75">
      <w:rPr>
        <w:color w:val="3E8EDE"/>
        <w:sz w:val="18"/>
        <w:szCs w:val="18"/>
      </w:rPr>
      <w:br/>
      <w:t xml:space="preserve">Tel: +41 22 730 5111 • Fax: +41 22 733 7256 • </w:t>
    </w:r>
    <w:r w:rsidRPr="00BB3C75">
      <w:rPr>
        <w:color w:val="3E8EDE"/>
        <w:sz w:val="18"/>
        <w:szCs w:val="18"/>
      </w:rPr>
      <w:br/>
      <w:t xml:space="preserve">E-mail: </w:t>
    </w:r>
    <w:hyperlink r:id="rId1" w:history="1">
      <w:r w:rsidRPr="00BB3C75">
        <w:rPr>
          <w:color w:val="3E8EDE"/>
          <w:sz w:val="18"/>
          <w:szCs w:val="18"/>
        </w:rPr>
        <w:t>itumail@itu.int</w:t>
      </w:r>
    </w:hyperlink>
    <w:r w:rsidRPr="00BB3C75">
      <w:rPr>
        <w:color w:val="3E8EDE"/>
        <w:sz w:val="18"/>
        <w:szCs w:val="18"/>
      </w:rPr>
      <w:t xml:space="preserve"> • </w:t>
    </w:r>
    <w:hyperlink r:id="rId2" w:history="1">
      <w:r w:rsidRPr="00BB3C75">
        <w:rPr>
          <w:color w:val="3E8EDE"/>
          <w:sz w:val="18"/>
          <w:szCs w:val="18"/>
        </w:rPr>
        <w:t>www.itu.int</w:t>
      </w:r>
    </w:hyperlink>
    <w:r w:rsidRPr="00BB3C75">
      <w:rPr>
        <w:color w:val="3E8EDE"/>
        <w:sz w:val="18"/>
        <w:szCs w:val="18"/>
      </w:rPr>
      <w:t xml:space="preserve"> • </w:t>
    </w:r>
    <w:hyperlink r:id="rId3" w:history="1">
      <w:r w:rsidRPr="00BB3C75">
        <w:rPr>
          <w:color w:val="3E8EDE"/>
          <w:sz w:val="18"/>
        </w:rPr>
        <w:t>www.itu150.org</w:t>
      </w:r>
    </w:hyperlink>
  </w:p>
  <w:p w14:paraId="24BAC00A" w14:textId="19BA18AA" w:rsidR="00D00DE8" w:rsidRPr="008222F3" w:rsidRDefault="00D00DE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88B9" w14:textId="77777777" w:rsidR="00AA0138" w:rsidRDefault="00AA0138">
      <w:r>
        <w:t>____________________</w:t>
      </w:r>
    </w:p>
  </w:footnote>
  <w:footnote w:type="continuationSeparator" w:id="0">
    <w:p w14:paraId="5DF2041E" w14:textId="77777777" w:rsidR="00AA0138" w:rsidRDefault="00AA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27014"/>
      <w:docPartObj>
        <w:docPartGallery w:val="Page Numbers (Top of Page)"/>
        <w:docPartUnique/>
      </w:docPartObj>
    </w:sdtPr>
    <w:sdtEndPr>
      <w:rPr>
        <w:noProof/>
        <w:sz w:val="18"/>
        <w:szCs w:val="18"/>
      </w:rPr>
    </w:sdtEndPr>
    <w:sdtContent>
      <w:p w14:paraId="131C330E" w14:textId="0289E1FF" w:rsidR="00D00DE8" w:rsidRPr="00D00DE8" w:rsidRDefault="00D00DE8">
        <w:pPr>
          <w:pStyle w:val="Header"/>
          <w:jc w:val="center"/>
          <w:rPr>
            <w:sz w:val="18"/>
            <w:szCs w:val="18"/>
          </w:rPr>
        </w:pPr>
        <w:r w:rsidRPr="00D00DE8">
          <w:rPr>
            <w:sz w:val="18"/>
            <w:szCs w:val="18"/>
          </w:rPr>
          <w:fldChar w:fldCharType="begin"/>
        </w:r>
        <w:r w:rsidRPr="00D00DE8">
          <w:rPr>
            <w:sz w:val="18"/>
            <w:szCs w:val="18"/>
          </w:rPr>
          <w:instrText xml:space="preserve"> PAGE   \* MERGEFORMAT </w:instrText>
        </w:r>
        <w:r w:rsidRPr="00D00DE8">
          <w:rPr>
            <w:sz w:val="18"/>
            <w:szCs w:val="18"/>
          </w:rPr>
          <w:fldChar w:fldCharType="separate"/>
        </w:r>
        <w:r w:rsidR="00655C23">
          <w:rPr>
            <w:noProof/>
            <w:sz w:val="18"/>
            <w:szCs w:val="18"/>
          </w:rPr>
          <w:t>2</w:t>
        </w:r>
        <w:r w:rsidRPr="00D00DE8">
          <w:rPr>
            <w:noProof/>
            <w:sz w:val="18"/>
            <w:szCs w:val="18"/>
          </w:rPr>
          <w:fldChar w:fldCharType="end"/>
        </w:r>
      </w:p>
    </w:sdtContent>
  </w:sdt>
  <w:p w14:paraId="70902BCE" w14:textId="141E09D6" w:rsidR="002B1439" w:rsidRPr="002B1439" w:rsidRDefault="00D00DE8" w:rsidP="002B1439">
    <w:pPr>
      <w:pStyle w:val="Header"/>
      <w:jc w:val="center"/>
      <w:rPr>
        <w:sz w:val="18"/>
        <w:szCs w:val="18"/>
      </w:rPr>
    </w:pPr>
    <w:r>
      <w:rPr>
        <w:sz w:val="18"/>
        <w:szCs w:val="18"/>
      </w:rPr>
      <w:t>CCRR/54-E</w:t>
    </w:r>
    <w:r>
      <w:rP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74605"/>
      <w:docPartObj>
        <w:docPartGallery w:val="Page Numbers (Top of Page)"/>
        <w:docPartUnique/>
      </w:docPartObj>
    </w:sdtPr>
    <w:sdtEndPr>
      <w:rPr>
        <w:noProof/>
        <w:sz w:val="18"/>
        <w:szCs w:val="18"/>
      </w:rPr>
    </w:sdtEndPr>
    <w:sdtContent>
      <w:p w14:paraId="3F533828" w14:textId="77777777" w:rsidR="004A358B" w:rsidRPr="00D00DE8" w:rsidRDefault="004A358B" w:rsidP="004A358B">
        <w:pPr>
          <w:pStyle w:val="Header"/>
          <w:jc w:val="center"/>
          <w:rPr>
            <w:sz w:val="18"/>
            <w:szCs w:val="18"/>
          </w:rPr>
        </w:pPr>
        <w:r w:rsidRPr="00D00DE8">
          <w:rPr>
            <w:sz w:val="18"/>
            <w:szCs w:val="18"/>
          </w:rPr>
          <w:fldChar w:fldCharType="begin"/>
        </w:r>
        <w:r w:rsidRPr="00D00DE8">
          <w:rPr>
            <w:sz w:val="18"/>
            <w:szCs w:val="18"/>
          </w:rPr>
          <w:instrText xml:space="preserve"> PAGE   \* MERGEFORMAT </w:instrText>
        </w:r>
        <w:r w:rsidRPr="00D00DE8">
          <w:rPr>
            <w:sz w:val="18"/>
            <w:szCs w:val="18"/>
          </w:rPr>
          <w:fldChar w:fldCharType="separate"/>
        </w:r>
        <w:r w:rsidR="00655C23">
          <w:rPr>
            <w:noProof/>
            <w:sz w:val="18"/>
            <w:szCs w:val="18"/>
          </w:rPr>
          <w:t>3</w:t>
        </w:r>
        <w:r w:rsidRPr="00D00DE8">
          <w:rPr>
            <w:noProof/>
            <w:sz w:val="18"/>
            <w:szCs w:val="18"/>
          </w:rPr>
          <w:fldChar w:fldCharType="end"/>
        </w:r>
      </w:p>
    </w:sdtContent>
  </w:sdt>
  <w:p w14:paraId="591D15F7" w14:textId="463CEBB3" w:rsidR="004A358B" w:rsidRDefault="004A358B" w:rsidP="004A358B">
    <w:pPr>
      <w:pStyle w:val="Header"/>
      <w:jc w:val="center"/>
      <w:rPr>
        <w:sz w:val="18"/>
        <w:szCs w:val="18"/>
      </w:rPr>
    </w:pPr>
    <w:r>
      <w:rPr>
        <w:sz w:val="18"/>
        <w:szCs w:val="18"/>
      </w:rPr>
      <w:t>CCRR/54-E</w:t>
    </w:r>
  </w:p>
  <w:p w14:paraId="68B36BD6" w14:textId="77777777" w:rsidR="004A358B" w:rsidRDefault="004A358B" w:rsidP="004A35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65E8" w14:textId="77777777" w:rsidR="003343E5" w:rsidRDefault="0033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7"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9"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7"/>
  </w:num>
  <w:num w:numId="6">
    <w:abstractNumId w:val="18"/>
  </w:num>
  <w:num w:numId="7">
    <w:abstractNumId w:val="15"/>
  </w:num>
  <w:num w:numId="8">
    <w:abstractNumId w:val="9"/>
  </w:num>
  <w:num w:numId="9">
    <w:abstractNumId w:val="6"/>
  </w:num>
  <w:num w:numId="10">
    <w:abstractNumId w:val="8"/>
  </w:num>
  <w:num w:numId="11">
    <w:abstractNumId w:val="11"/>
  </w:num>
  <w:num w:numId="12">
    <w:abstractNumId w:val="12"/>
  </w:num>
  <w:num w:numId="13">
    <w:abstractNumId w:val="14"/>
  </w:num>
  <w:num w:numId="14">
    <w:abstractNumId w:val="1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4AE1"/>
    <w:rsid w:val="00015C76"/>
    <w:rsid w:val="00026CF8"/>
    <w:rsid w:val="00030BD7"/>
    <w:rsid w:val="00031E64"/>
    <w:rsid w:val="00034340"/>
    <w:rsid w:val="000362B3"/>
    <w:rsid w:val="000431FB"/>
    <w:rsid w:val="00045A8D"/>
    <w:rsid w:val="00050A51"/>
    <w:rsid w:val="0005167A"/>
    <w:rsid w:val="000523A0"/>
    <w:rsid w:val="00054E5D"/>
    <w:rsid w:val="000562AB"/>
    <w:rsid w:val="00064AF1"/>
    <w:rsid w:val="00070258"/>
    <w:rsid w:val="0007323C"/>
    <w:rsid w:val="00086703"/>
    <w:rsid w:val="00086D03"/>
    <w:rsid w:val="00091B5F"/>
    <w:rsid w:val="000A096A"/>
    <w:rsid w:val="000A375E"/>
    <w:rsid w:val="000A7051"/>
    <w:rsid w:val="000B03A1"/>
    <w:rsid w:val="000B0AF6"/>
    <w:rsid w:val="000B0E9B"/>
    <w:rsid w:val="000B2CAE"/>
    <w:rsid w:val="000C03C7"/>
    <w:rsid w:val="000C295E"/>
    <w:rsid w:val="000C2AD0"/>
    <w:rsid w:val="000D066B"/>
    <w:rsid w:val="000E3DEE"/>
    <w:rsid w:val="000F04FF"/>
    <w:rsid w:val="00100B72"/>
    <w:rsid w:val="001019B0"/>
    <w:rsid w:val="00101F7D"/>
    <w:rsid w:val="00103C76"/>
    <w:rsid w:val="00105A69"/>
    <w:rsid w:val="00106EF1"/>
    <w:rsid w:val="0011040A"/>
    <w:rsid w:val="0011265F"/>
    <w:rsid w:val="00112A6F"/>
    <w:rsid w:val="00117282"/>
    <w:rsid w:val="00117389"/>
    <w:rsid w:val="00121C2D"/>
    <w:rsid w:val="00126DD0"/>
    <w:rsid w:val="00127A32"/>
    <w:rsid w:val="00134404"/>
    <w:rsid w:val="001352A9"/>
    <w:rsid w:val="001432DE"/>
    <w:rsid w:val="00144DFB"/>
    <w:rsid w:val="00187CA3"/>
    <w:rsid w:val="00196710"/>
    <w:rsid w:val="00197324"/>
    <w:rsid w:val="001B2A5E"/>
    <w:rsid w:val="001B351B"/>
    <w:rsid w:val="001C06DB"/>
    <w:rsid w:val="001C6971"/>
    <w:rsid w:val="001D2785"/>
    <w:rsid w:val="001D7070"/>
    <w:rsid w:val="001E43C2"/>
    <w:rsid w:val="001F2170"/>
    <w:rsid w:val="001F3760"/>
    <w:rsid w:val="001F3948"/>
    <w:rsid w:val="001F44F4"/>
    <w:rsid w:val="001F5A49"/>
    <w:rsid w:val="00201097"/>
    <w:rsid w:val="00201B6E"/>
    <w:rsid w:val="00221765"/>
    <w:rsid w:val="002302B3"/>
    <w:rsid w:val="00230C66"/>
    <w:rsid w:val="00235149"/>
    <w:rsid w:val="00235A29"/>
    <w:rsid w:val="00236AEA"/>
    <w:rsid w:val="00241526"/>
    <w:rsid w:val="002443A2"/>
    <w:rsid w:val="00247D53"/>
    <w:rsid w:val="0025616F"/>
    <w:rsid w:val="00260A17"/>
    <w:rsid w:val="00266E74"/>
    <w:rsid w:val="00270052"/>
    <w:rsid w:val="00283B7B"/>
    <w:rsid w:val="00283C3B"/>
    <w:rsid w:val="002861E6"/>
    <w:rsid w:val="00287D18"/>
    <w:rsid w:val="00292105"/>
    <w:rsid w:val="00294425"/>
    <w:rsid w:val="002A2618"/>
    <w:rsid w:val="002A5DD7"/>
    <w:rsid w:val="002B0CAC"/>
    <w:rsid w:val="002B1439"/>
    <w:rsid w:val="002B5373"/>
    <w:rsid w:val="002C7649"/>
    <w:rsid w:val="002D5A15"/>
    <w:rsid w:val="002D5BDD"/>
    <w:rsid w:val="002E3D27"/>
    <w:rsid w:val="002F0890"/>
    <w:rsid w:val="002F2531"/>
    <w:rsid w:val="002F4967"/>
    <w:rsid w:val="00316935"/>
    <w:rsid w:val="003266ED"/>
    <w:rsid w:val="003343E5"/>
    <w:rsid w:val="003370B8"/>
    <w:rsid w:val="0034452C"/>
    <w:rsid w:val="00345D38"/>
    <w:rsid w:val="00352097"/>
    <w:rsid w:val="0035481B"/>
    <w:rsid w:val="003566EC"/>
    <w:rsid w:val="00361ABC"/>
    <w:rsid w:val="003666FF"/>
    <w:rsid w:val="0037309C"/>
    <w:rsid w:val="00380A6E"/>
    <w:rsid w:val="003836D4"/>
    <w:rsid w:val="003864F0"/>
    <w:rsid w:val="003A1F49"/>
    <w:rsid w:val="003A5D52"/>
    <w:rsid w:val="003B2BDA"/>
    <w:rsid w:val="003B55EC"/>
    <w:rsid w:val="003C2EA7"/>
    <w:rsid w:val="003C4471"/>
    <w:rsid w:val="003C796C"/>
    <w:rsid w:val="003C7D41"/>
    <w:rsid w:val="003D3732"/>
    <w:rsid w:val="003D4A69"/>
    <w:rsid w:val="003E504F"/>
    <w:rsid w:val="003E78D6"/>
    <w:rsid w:val="003F715B"/>
    <w:rsid w:val="00400573"/>
    <w:rsid w:val="004007A3"/>
    <w:rsid w:val="00406D71"/>
    <w:rsid w:val="004326DB"/>
    <w:rsid w:val="0043682E"/>
    <w:rsid w:val="00443C5F"/>
    <w:rsid w:val="00447ECB"/>
    <w:rsid w:val="00454C75"/>
    <w:rsid w:val="004603DE"/>
    <w:rsid w:val="004623F7"/>
    <w:rsid w:val="004737F8"/>
    <w:rsid w:val="00480F51"/>
    <w:rsid w:val="00481124"/>
    <w:rsid w:val="004815EB"/>
    <w:rsid w:val="00483FD4"/>
    <w:rsid w:val="00487569"/>
    <w:rsid w:val="00496864"/>
    <w:rsid w:val="00496920"/>
    <w:rsid w:val="004A358B"/>
    <w:rsid w:val="004A4496"/>
    <w:rsid w:val="004A567D"/>
    <w:rsid w:val="004B11AB"/>
    <w:rsid w:val="004B1972"/>
    <w:rsid w:val="004B214D"/>
    <w:rsid w:val="004B7C9A"/>
    <w:rsid w:val="004C6779"/>
    <w:rsid w:val="004C6A7C"/>
    <w:rsid w:val="004D0A54"/>
    <w:rsid w:val="004D733B"/>
    <w:rsid w:val="004E0DC4"/>
    <w:rsid w:val="004E0FB5"/>
    <w:rsid w:val="004E43BB"/>
    <w:rsid w:val="004E460D"/>
    <w:rsid w:val="004E7257"/>
    <w:rsid w:val="004F178E"/>
    <w:rsid w:val="004F4543"/>
    <w:rsid w:val="004F57BB"/>
    <w:rsid w:val="00505309"/>
    <w:rsid w:val="0050789B"/>
    <w:rsid w:val="00507B17"/>
    <w:rsid w:val="005224A1"/>
    <w:rsid w:val="00534372"/>
    <w:rsid w:val="00543DF8"/>
    <w:rsid w:val="00544173"/>
    <w:rsid w:val="00546101"/>
    <w:rsid w:val="00553DD7"/>
    <w:rsid w:val="00554217"/>
    <w:rsid w:val="005638CF"/>
    <w:rsid w:val="00563CB6"/>
    <w:rsid w:val="005651F1"/>
    <w:rsid w:val="0056741E"/>
    <w:rsid w:val="00572B4B"/>
    <w:rsid w:val="0057325A"/>
    <w:rsid w:val="0057469A"/>
    <w:rsid w:val="00580814"/>
    <w:rsid w:val="00583A0B"/>
    <w:rsid w:val="00583DF8"/>
    <w:rsid w:val="005864A7"/>
    <w:rsid w:val="00590A03"/>
    <w:rsid w:val="00593B5C"/>
    <w:rsid w:val="005A03A3"/>
    <w:rsid w:val="005A2B92"/>
    <w:rsid w:val="005A79E9"/>
    <w:rsid w:val="005B214C"/>
    <w:rsid w:val="005D3669"/>
    <w:rsid w:val="005E5EB3"/>
    <w:rsid w:val="005E733B"/>
    <w:rsid w:val="005F36BB"/>
    <w:rsid w:val="005F3CB6"/>
    <w:rsid w:val="005F657C"/>
    <w:rsid w:val="005F6D83"/>
    <w:rsid w:val="00602D53"/>
    <w:rsid w:val="006041F2"/>
    <w:rsid w:val="006047E5"/>
    <w:rsid w:val="00632FFD"/>
    <w:rsid w:val="00633281"/>
    <w:rsid w:val="006357AA"/>
    <w:rsid w:val="0064371D"/>
    <w:rsid w:val="006465FE"/>
    <w:rsid w:val="00650B2A"/>
    <w:rsid w:val="00651777"/>
    <w:rsid w:val="00654F79"/>
    <w:rsid w:val="006550F8"/>
    <w:rsid w:val="00655C23"/>
    <w:rsid w:val="0066220E"/>
    <w:rsid w:val="00670306"/>
    <w:rsid w:val="00674325"/>
    <w:rsid w:val="006829F3"/>
    <w:rsid w:val="006935CC"/>
    <w:rsid w:val="006A518B"/>
    <w:rsid w:val="006B0590"/>
    <w:rsid w:val="006B49DA"/>
    <w:rsid w:val="006C53F8"/>
    <w:rsid w:val="006C7CDE"/>
    <w:rsid w:val="006D3416"/>
    <w:rsid w:val="006D4D07"/>
    <w:rsid w:val="006E7ECE"/>
    <w:rsid w:val="006F165F"/>
    <w:rsid w:val="00713281"/>
    <w:rsid w:val="007234B1"/>
    <w:rsid w:val="00723D08"/>
    <w:rsid w:val="0072432A"/>
    <w:rsid w:val="00725FDA"/>
    <w:rsid w:val="00727816"/>
    <w:rsid w:val="00730B9A"/>
    <w:rsid w:val="00733EA7"/>
    <w:rsid w:val="007437BE"/>
    <w:rsid w:val="00750CFA"/>
    <w:rsid w:val="007553DA"/>
    <w:rsid w:val="00772F41"/>
    <w:rsid w:val="00777414"/>
    <w:rsid w:val="00782354"/>
    <w:rsid w:val="007872D6"/>
    <w:rsid w:val="007921A7"/>
    <w:rsid w:val="007B29E9"/>
    <w:rsid w:val="007B3DB1"/>
    <w:rsid w:val="007C018B"/>
    <w:rsid w:val="007D183E"/>
    <w:rsid w:val="007D43D0"/>
    <w:rsid w:val="007D46BC"/>
    <w:rsid w:val="007E1833"/>
    <w:rsid w:val="007E3F13"/>
    <w:rsid w:val="007E6133"/>
    <w:rsid w:val="007F403B"/>
    <w:rsid w:val="007F484D"/>
    <w:rsid w:val="007F751A"/>
    <w:rsid w:val="00800012"/>
    <w:rsid w:val="0080090B"/>
    <w:rsid w:val="0080261F"/>
    <w:rsid w:val="00806160"/>
    <w:rsid w:val="008143A4"/>
    <w:rsid w:val="0081513E"/>
    <w:rsid w:val="00820369"/>
    <w:rsid w:val="008222F3"/>
    <w:rsid w:val="00846593"/>
    <w:rsid w:val="00854131"/>
    <w:rsid w:val="008559D8"/>
    <w:rsid w:val="0085652D"/>
    <w:rsid w:val="008673C1"/>
    <w:rsid w:val="0087694B"/>
    <w:rsid w:val="00880F4D"/>
    <w:rsid w:val="00896161"/>
    <w:rsid w:val="008A74D5"/>
    <w:rsid w:val="008B35A3"/>
    <w:rsid w:val="008B37E1"/>
    <w:rsid w:val="008B45F8"/>
    <w:rsid w:val="008C2E74"/>
    <w:rsid w:val="008D0297"/>
    <w:rsid w:val="008D5409"/>
    <w:rsid w:val="008E006D"/>
    <w:rsid w:val="008E38B4"/>
    <w:rsid w:val="008F4F21"/>
    <w:rsid w:val="00904D4A"/>
    <w:rsid w:val="00907C1A"/>
    <w:rsid w:val="009151BA"/>
    <w:rsid w:val="00917C78"/>
    <w:rsid w:val="00925023"/>
    <w:rsid w:val="009277BC"/>
    <w:rsid w:val="00927D57"/>
    <w:rsid w:val="00931A51"/>
    <w:rsid w:val="009347E8"/>
    <w:rsid w:val="00942EB4"/>
    <w:rsid w:val="0094572D"/>
    <w:rsid w:val="00947185"/>
    <w:rsid w:val="009518B3"/>
    <w:rsid w:val="0095683C"/>
    <w:rsid w:val="00963D9D"/>
    <w:rsid w:val="0098013E"/>
    <w:rsid w:val="009817C5"/>
    <w:rsid w:val="00981B54"/>
    <w:rsid w:val="00981B6D"/>
    <w:rsid w:val="009842C3"/>
    <w:rsid w:val="00984816"/>
    <w:rsid w:val="009A009A"/>
    <w:rsid w:val="009A5463"/>
    <w:rsid w:val="009A6BB6"/>
    <w:rsid w:val="009B3F43"/>
    <w:rsid w:val="009B5CFA"/>
    <w:rsid w:val="009B73EB"/>
    <w:rsid w:val="009C161F"/>
    <w:rsid w:val="009C56B4"/>
    <w:rsid w:val="009D12FB"/>
    <w:rsid w:val="009D51A2"/>
    <w:rsid w:val="009E04A8"/>
    <w:rsid w:val="009E4AEC"/>
    <w:rsid w:val="009E5BD8"/>
    <w:rsid w:val="009E681E"/>
    <w:rsid w:val="00A018A7"/>
    <w:rsid w:val="00A119E6"/>
    <w:rsid w:val="00A11D6F"/>
    <w:rsid w:val="00A20FBC"/>
    <w:rsid w:val="00A31370"/>
    <w:rsid w:val="00A34D6F"/>
    <w:rsid w:val="00A37A15"/>
    <w:rsid w:val="00A41F91"/>
    <w:rsid w:val="00A427B2"/>
    <w:rsid w:val="00A63355"/>
    <w:rsid w:val="00A66CAF"/>
    <w:rsid w:val="00A7596D"/>
    <w:rsid w:val="00A963DF"/>
    <w:rsid w:val="00AA0138"/>
    <w:rsid w:val="00AB1340"/>
    <w:rsid w:val="00AC0C22"/>
    <w:rsid w:val="00AC3033"/>
    <w:rsid w:val="00AC3896"/>
    <w:rsid w:val="00AC6F6E"/>
    <w:rsid w:val="00AD2CF2"/>
    <w:rsid w:val="00AE2D88"/>
    <w:rsid w:val="00AE514C"/>
    <w:rsid w:val="00AE55D3"/>
    <w:rsid w:val="00AE6F6F"/>
    <w:rsid w:val="00AF19C6"/>
    <w:rsid w:val="00AF3325"/>
    <w:rsid w:val="00AF34D9"/>
    <w:rsid w:val="00AF70DA"/>
    <w:rsid w:val="00B000B4"/>
    <w:rsid w:val="00B019D3"/>
    <w:rsid w:val="00B34CF9"/>
    <w:rsid w:val="00B37559"/>
    <w:rsid w:val="00B4054B"/>
    <w:rsid w:val="00B46DCC"/>
    <w:rsid w:val="00B53334"/>
    <w:rsid w:val="00B579B0"/>
    <w:rsid w:val="00B57D11"/>
    <w:rsid w:val="00B649D7"/>
    <w:rsid w:val="00B656A2"/>
    <w:rsid w:val="00B74882"/>
    <w:rsid w:val="00B81C2F"/>
    <w:rsid w:val="00B8275A"/>
    <w:rsid w:val="00B86DC8"/>
    <w:rsid w:val="00B90743"/>
    <w:rsid w:val="00B90C45"/>
    <w:rsid w:val="00B91A17"/>
    <w:rsid w:val="00B933BE"/>
    <w:rsid w:val="00BB3C75"/>
    <w:rsid w:val="00BC045C"/>
    <w:rsid w:val="00BD6738"/>
    <w:rsid w:val="00BD7E5E"/>
    <w:rsid w:val="00BD7EF8"/>
    <w:rsid w:val="00BE3F78"/>
    <w:rsid w:val="00BE63DB"/>
    <w:rsid w:val="00BE6574"/>
    <w:rsid w:val="00BF0C17"/>
    <w:rsid w:val="00BF569F"/>
    <w:rsid w:val="00BF7972"/>
    <w:rsid w:val="00C07319"/>
    <w:rsid w:val="00C16FD2"/>
    <w:rsid w:val="00C2245C"/>
    <w:rsid w:val="00C4395E"/>
    <w:rsid w:val="00C47FFD"/>
    <w:rsid w:val="00C51E92"/>
    <w:rsid w:val="00C57E2C"/>
    <w:rsid w:val="00C57FD6"/>
    <w:rsid w:val="00C608B7"/>
    <w:rsid w:val="00C66F24"/>
    <w:rsid w:val="00C76D7F"/>
    <w:rsid w:val="00C813AA"/>
    <w:rsid w:val="00C9291E"/>
    <w:rsid w:val="00CA3F44"/>
    <w:rsid w:val="00CA4E58"/>
    <w:rsid w:val="00CB219F"/>
    <w:rsid w:val="00CB3771"/>
    <w:rsid w:val="00CB44BF"/>
    <w:rsid w:val="00CB5153"/>
    <w:rsid w:val="00CC54BE"/>
    <w:rsid w:val="00CD0886"/>
    <w:rsid w:val="00CE076A"/>
    <w:rsid w:val="00CE463D"/>
    <w:rsid w:val="00CF78EA"/>
    <w:rsid w:val="00D005CF"/>
    <w:rsid w:val="00D00DE8"/>
    <w:rsid w:val="00D10BA0"/>
    <w:rsid w:val="00D21694"/>
    <w:rsid w:val="00D24EB5"/>
    <w:rsid w:val="00D35AB9"/>
    <w:rsid w:val="00D41171"/>
    <w:rsid w:val="00D41571"/>
    <w:rsid w:val="00D416A0"/>
    <w:rsid w:val="00D47672"/>
    <w:rsid w:val="00D50AAB"/>
    <w:rsid w:val="00D5123C"/>
    <w:rsid w:val="00D55560"/>
    <w:rsid w:val="00D61B0E"/>
    <w:rsid w:val="00D61C5A"/>
    <w:rsid w:val="00D6790C"/>
    <w:rsid w:val="00D73277"/>
    <w:rsid w:val="00D76586"/>
    <w:rsid w:val="00D82657"/>
    <w:rsid w:val="00D87E20"/>
    <w:rsid w:val="00D93262"/>
    <w:rsid w:val="00D945E0"/>
    <w:rsid w:val="00DA1837"/>
    <w:rsid w:val="00DA4037"/>
    <w:rsid w:val="00DB1B9D"/>
    <w:rsid w:val="00DC3965"/>
    <w:rsid w:val="00DC7BDC"/>
    <w:rsid w:val="00DD25E5"/>
    <w:rsid w:val="00DD4DC9"/>
    <w:rsid w:val="00DE66A5"/>
    <w:rsid w:val="00DF2B50"/>
    <w:rsid w:val="00E04C86"/>
    <w:rsid w:val="00E11696"/>
    <w:rsid w:val="00E17344"/>
    <w:rsid w:val="00E20F30"/>
    <w:rsid w:val="00E2189C"/>
    <w:rsid w:val="00E25BB1"/>
    <w:rsid w:val="00E27BBA"/>
    <w:rsid w:val="00E30E3F"/>
    <w:rsid w:val="00E35E8F"/>
    <w:rsid w:val="00E428AB"/>
    <w:rsid w:val="00E42D35"/>
    <w:rsid w:val="00E438E8"/>
    <w:rsid w:val="00E45025"/>
    <w:rsid w:val="00E453A3"/>
    <w:rsid w:val="00E520E2"/>
    <w:rsid w:val="00E530C4"/>
    <w:rsid w:val="00E55996"/>
    <w:rsid w:val="00E5678D"/>
    <w:rsid w:val="00E64254"/>
    <w:rsid w:val="00E67928"/>
    <w:rsid w:val="00E70FB5"/>
    <w:rsid w:val="00E915AF"/>
    <w:rsid w:val="00E95F7D"/>
    <w:rsid w:val="00E96415"/>
    <w:rsid w:val="00EA041F"/>
    <w:rsid w:val="00EA15B3"/>
    <w:rsid w:val="00EA4C98"/>
    <w:rsid w:val="00EA6569"/>
    <w:rsid w:val="00EB0C25"/>
    <w:rsid w:val="00EB2358"/>
    <w:rsid w:val="00EB3A5C"/>
    <w:rsid w:val="00EB3EB8"/>
    <w:rsid w:val="00EC02FE"/>
    <w:rsid w:val="00EC4A96"/>
    <w:rsid w:val="00ED68D5"/>
    <w:rsid w:val="00EF1B00"/>
    <w:rsid w:val="00EF3FF6"/>
    <w:rsid w:val="00F15D95"/>
    <w:rsid w:val="00F22510"/>
    <w:rsid w:val="00F22C9F"/>
    <w:rsid w:val="00F235E6"/>
    <w:rsid w:val="00F26DF3"/>
    <w:rsid w:val="00F424BF"/>
    <w:rsid w:val="00F44FC3"/>
    <w:rsid w:val="00F46107"/>
    <w:rsid w:val="00F468C5"/>
    <w:rsid w:val="00F47BE0"/>
    <w:rsid w:val="00F52F39"/>
    <w:rsid w:val="00F6184F"/>
    <w:rsid w:val="00F67E45"/>
    <w:rsid w:val="00F8310E"/>
    <w:rsid w:val="00F914DD"/>
    <w:rsid w:val="00F933D1"/>
    <w:rsid w:val="00F970E4"/>
    <w:rsid w:val="00FA2358"/>
    <w:rsid w:val="00FA56DC"/>
    <w:rsid w:val="00FB2592"/>
    <w:rsid w:val="00FB2810"/>
    <w:rsid w:val="00FB7A2C"/>
    <w:rsid w:val="00FC2947"/>
    <w:rsid w:val="00FC4422"/>
    <w:rsid w:val="00FD0F3F"/>
    <w:rsid w:val="00FE0818"/>
    <w:rsid w:val="00FE66B2"/>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2CAAC8"/>
  <w15:docId w15:val="{B614000B-EDF7-4D5B-A559-D3F6A71F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uiPriority w:val="59"/>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D635-0E69-48E4-93EE-7E09346A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3</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5</cp:revision>
  <cp:lastPrinted>2015-11-21T17:33:00Z</cp:lastPrinted>
  <dcterms:created xsi:type="dcterms:W3CDTF">2015-11-21T17:14:00Z</dcterms:created>
  <dcterms:modified xsi:type="dcterms:W3CDTF">2015-11-23T09:55:00Z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