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9C4390">
            <w:pPr>
              <w:spacing w:before="60" w:after="60" w:line="260" w:lineRule="exact"/>
              <w:jc w:val="left"/>
              <w:rPr>
                <w:lang w:bidi="ar-SY"/>
              </w:rPr>
            </w:pPr>
            <w:r w:rsidRPr="00F36590">
              <w:rPr>
                <w:rFonts w:hint="cs"/>
                <w:rtl/>
                <w:lang w:bidi="ar-AE"/>
              </w:rPr>
              <w:t>الرسالة ال</w:t>
            </w:r>
            <w:r w:rsidR="009C4390">
              <w:rPr>
                <w:rFonts w:hint="cs"/>
                <w:rtl/>
                <w:lang w:bidi="ar-AE"/>
              </w:rPr>
              <w:t>‍</w:t>
            </w:r>
            <w:r w:rsidRPr="00F36590">
              <w:rPr>
                <w:rFonts w:hint="cs"/>
                <w:rtl/>
                <w:lang w:bidi="ar-AE"/>
              </w:rPr>
              <w:t>معممة</w:t>
            </w:r>
          </w:p>
          <w:p w:rsidR="00F36590" w:rsidRPr="00F36590" w:rsidRDefault="0048757C" w:rsidP="005404E5">
            <w:pPr>
              <w:spacing w:before="60" w:after="60" w:line="260" w:lineRule="exact"/>
              <w:jc w:val="left"/>
              <w:rPr>
                <w:rtl/>
                <w:lang w:bidi="ar-SY"/>
              </w:rPr>
            </w:pPr>
            <w:r>
              <w:rPr>
                <w:b/>
                <w:bCs/>
                <w:lang w:val="en-GB" w:bidi="ar-SY"/>
              </w:rPr>
              <w:t>CCRR</w:t>
            </w:r>
            <w:r w:rsidR="00F36590" w:rsidRPr="00F36590">
              <w:rPr>
                <w:b/>
                <w:bCs/>
                <w:lang w:val="en-GB" w:bidi="ar-SY"/>
              </w:rPr>
              <w:t>/</w:t>
            </w:r>
            <w:r w:rsidR="005404E5">
              <w:rPr>
                <w:b/>
                <w:bCs/>
                <w:lang w:bidi="ar-SY"/>
              </w:rPr>
              <w:t>54</w:t>
            </w:r>
          </w:p>
        </w:tc>
        <w:tc>
          <w:tcPr>
            <w:tcW w:w="2293" w:type="pct"/>
            <w:shd w:val="clear" w:color="auto" w:fill="auto"/>
          </w:tcPr>
          <w:p w:rsidR="00F36590" w:rsidRPr="00F36590" w:rsidRDefault="00093644" w:rsidP="00A76F91">
            <w:pPr>
              <w:spacing w:before="60" w:after="60" w:line="260" w:lineRule="exact"/>
              <w:jc w:val="right"/>
              <w:rPr>
                <w:rtl/>
                <w:lang w:bidi="ar-SY"/>
              </w:rPr>
            </w:pPr>
            <w:r>
              <w:rPr>
                <w:rFonts w:cs="Arial"/>
                <w:szCs w:val="24"/>
                <w:lang w:val="en-GB"/>
              </w:rPr>
              <w:t>2</w:t>
            </w:r>
            <w:r w:rsidR="00A76F91">
              <w:rPr>
                <w:rFonts w:cs="Arial"/>
                <w:szCs w:val="24"/>
                <w:lang w:val="en-GB"/>
              </w:rPr>
              <w:t>3</w:t>
            </w:r>
            <w:r w:rsidR="00CD3DED" w:rsidRPr="00F36590">
              <w:rPr>
                <w:rFonts w:hint="cs"/>
                <w:rtl/>
                <w:lang w:bidi="ar-SY"/>
              </w:rPr>
              <w:t xml:space="preserve"> </w:t>
            </w:r>
            <w:r>
              <w:rPr>
                <w:rFonts w:hint="cs"/>
                <w:rtl/>
                <w:lang w:bidi="ar-SY"/>
              </w:rPr>
              <w:t>نوفمبر</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EG"/>
              </w:rPr>
            </w:pPr>
          </w:p>
        </w:tc>
      </w:tr>
      <w:tr w:rsidR="00F36590" w:rsidRPr="00F36590" w:rsidTr="003B65BD">
        <w:tc>
          <w:tcPr>
            <w:tcW w:w="5000" w:type="pct"/>
            <w:gridSpan w:val="3"/>
            <w:shd w:val="clear" w:color="auto" w:fill="auto"/>
          </w:tcPr>
          <w:p w:rsidR="00F36590" w:rsidRPr="00F36590" w:rsidRDefault="0048757C" w:rsidP="0048757C">
            <w:pPr>
              <w:spacing w:after="120"/>
              <w:jc w:val="left"/>
              <w:rPr>
                <w:b/>
                <w:bCs/>
                <w:lang w:bidi="ar-SY"/>
              </w:rPr>
            </w:pPr>
            <w:r w:rsidRPr="0048757C">
              <w:rPr>
                <w:rFonts w:hint="cs"/>
                <w:b/>
                <w:bCs/>
                <w:rtl/>
              </w:rPr>
              <w:t>إلى إدارات الدول الأعضاء في الات‍حاد الدولي للاتصالات</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0D6AFF" w:rsidRDefault="004F69F6" w:rsidP="00093644">
            <w:pPr>
              <w:spacing w:before="60" w:after="60" w:line="340" w:lineRule="exact"/>
              <w:jc w:val="left"/>
              <w:rPr>
                <w:b/>
                <w:bCs/>
                <w:highlight w:val="yellow"/>
                <w:lang w:bidi="ar-SY"/>
              </w:rPr>
            </w:pPr>
            <w:r>
              <w:rPr>
                <w:rFonts w:hint="cs"/>
                <w:b/>
                <w:bCs/>
                <w:rtl/>
                <w:lang w:bidi="ar-SY"/>
              </w:rPr>
              <w:t xml:space="preserve">مشروع </w:t>
            </w:r>
            <w:r w:rsidR="00093644">
              <w:rPr>
                <w:rFonts w:hint="cs"/>
                <w:b/>
                <w:bCs/>
                <w:rtl/>
                <w:lang w:bidi="ar-SY"/>
              </w:rPr>
              <w:t xml:space="preserve">قاعدة إجرائية متعلقة بالاتفاق الإقليمي </w:t>
            </w:r>
            <w:r w:rsidR="00093644">
              <w:rPr>
                <w:b/>
                <w:bCs/>
                <w:lang w:bidi="ar-SY"/>
              </w:rPr>
              <w:t>GE06</w:t>
            </w:r>
            <w:bookmarkStart w:id="0" w:name="_GoBack"/>
            <w:bookmarkEnd w:id="0"/>
          </w:p>
        </w:tc>
      </w:tr>
    </w:tbl>
    <w:p w:rsidR="00A0706D" w:rsidRDefault="003D3325" w:rsidP="00154B47">
      <w:pPr>
        <w:pStyle w:val="Normalaftertitle"/>
        <w:spacing w:before="600"/>
        <w:rPr>
          <w:rtl/>
        </w:rPr>
      </w:pPr>
      <w:r w:rsidRPr="003D3325">
        <w:rPr>
          <w:rtl/>
        </w:rPr>
        <w:t>ت</w:t>
      </w:r>
      <w:r w:rsidRPr="003D3325">
        <w:rPr>
          <w:rFonts w:hint="cs"/>
          <w:rtl/>
        </w:rPr>
        <w:t>‍</w:t>
      </w:r>
      <w:r w:rsidRPr="003D3325">
        <w:rPr>
          <w:rtl/>
        </w:rPr>
        <w:t>حية طيبة وبعد،</w:t>
      </w:r>
    </w:p>
    <w:p w:rsidR="007B720A" w:rsidRPr="006D50DA" w:rsidRDefault="003B6868" w:rsidP="00CB10C5">
      <w:pPr>
        <w:rPr>
          <w:rFonts w:eastAsia="SimSun"/>
          <w:spacing w:val="-2"/>
          <w:rtl/>
          <w:lang w:bidi="ar-EG"/>
        </w:rPr>
      </w:pPr>
      <w:r w:rsidRPr="006D50DA">
        <w:rPr>
          <w:spacing w:val="-2"/>
          <w:rtl/>
          <w:lang w:bidi="ar-EG"/>
        </w:rPr>
        <w:t xml:space="preserve">يسرّني أن أرفق بهذه الرسالة مشروع </w:t>
      </w:r>
      <w:r w:rsidR="006D50DA" w:rsidRPr="006D50DA">
        <w:rPr>
          <w:rFonts w:hint="cs"/>
          <w:spacing w:val="-2"/>
          <w:rtl/>
          <w:lang w:bidi="ar-EG"/>
        </w:rPr>
        <w:t>قاعدة إجرائية متعلقة</w:t>
      </w:r>
      <w:r w:rsidRPr="006D50DA">
        <w:rPr>
          <w:spacing w:val="-2"/>
          <w:rtl/>
          <w:lang w:bidi="ar-EG"/>
        </w:rPr>
        <w:t xml:space="preserve"> بالاتفاق الإقليمي </w:t>
      </w:r>
      <w:r w:rsidRPr="006D50DA">
        <w:rPr>
          <w:spacing w:val="-2"/>
          <w:lang w:bidi="ar-EG"/>
        </w:rPr>
        <w:t>GE06</w:t>
      </w:r>
      <w:r w:rsidRPr="006D50DA">
        <w:rPr>
          <w:spacing w:val="-2"/>
          <w:rtl/>
          <w:lang w:bidi="ar-EG"/>
        </w:rPr>
        <w:t>، ترمي إلى دعم تطبيق الاتفاق الإقليمي</w:t>
      </w:r>
      <w:r w:rsidRPr="006D50DA">
        <w:rPr>
          <w:rFonts w:hint="cs"/>
          <w:spacing w:val="-2"/>
          <w:rtl/>
          <w:lang w:bidi="ar-EG"/>
        </w:rPr>
        <w:t> </w:t>
      </w:r>
      <w:r w:rsidRPr="006D50DA">
        <w:rPr>
          <w:spacing w:val="-2"/>
          <w:lang w:bidi="ar-EG"/>
        </w:rPr>
        <w:t>GE06</w:t>
      </w:r>
      <w:r w:rsidRPr="006D50DA">
        <w:rPr>
          <w:spacing w:val="-2"/>
          <w:rtl/>
          <w:lang w:bidi="ar-EG"/>
        </w:rPr>
        <w:t>.</w:t>
      </w:r>
    </w:p>
    <w:p w:rsidR="003B6868" w:rsidRPr="006D50DA" w:rsidRDefault="003B6868" w:rsidP="00154B47">
      <w:pPr>
        <w:rPr>
          <w:rFonts w:eastAsia="SimSun"/>
          <w:spacing w:val="-2"/>
          <w:rtl/>
          <w:lang w:bidi="ar-EG"/>
        </w:rPr>
      </w:pPr>
      <w:r w:rsidRPr="006D50DA">
        <w:rPr>
          <w:rFonts w:eastAsia="SimSun" w:hint="cs"/>
          <w:spacing w:val="-2"/>
          <w:rtl/>
          <w:lang w:bidi="ar-EG"/>
        </w:rPr>
        <w:t>ويوضح مشروع هذه القاعدة الإجرائية بعض جوانب الاتفاق </w:t>
      </w:r>
      <w:r w:rsidRPr="006D50DA">
        <w:rPr>
          <w:rFonts w:eastAsia="SimSun"/>
          <w:spacing w:val="-2"/>
          <w:lang w:bidi="ar-EG"/>
        </w:rPr>
        <w:t>GE06</w:t>
      </w:r>
      <w:r w:rsidRPr="006D50DA">
        <w:rPr>
          <w:rFonts w:eastAsia="SimSun" w:hint="cs"/>
          <w:spacing w:val="-2"/>
          <w:rtl/>
          <w:lang w:bidi="ar-EG"/>
        </w:rPr>
        <w:t xml:space="preserve"> وتم إعداده بناءً على طلب لجنة لوائح الراديو في</w:t>
      </w:r>
      <w:r w:rsidRPr="006D50DA">
        <w:rPr>
          <w:rFonts w:eastAsia="SimSun" w:hint="eastAsia"/>
          <w:spacing w:val="-2"/>
          <w:rtl/>
          <w:lang w:bidi="ar-EG"/>
        </w:rPr>
        <w:t> </w:t>
      </w:r>
      <w:r w:rsidRPr="006D50DA">
        <w:rPr>
          <w:rFonts w:eastAsia="SimSun" w:hint="cs"/>
          <w:spacing w:val="-2"/>
          <w:rtl/>
          <w:lang w:bidi="ar-EG"/>
        </w:rPr>
        <w:t>اجتماعها</w:t>
      </w:r>
      <w:r w:rsidRPr="006D50DA">
        <w:rPr>
          <w:rFonts w:eastAsia="SimSun" w:hint="eastAsia"/>
          <w:spacing w:val="-2"/>
          <w:rtl/>
          <w:lang w:bidi="ar-EG"/>
        </w:rPr>
        <w:t> </w:t>
      </w:r>
      <w:r w:rsidRPr="006D50DA">
        <w:rPr>
          <w:rFonts w:eastAsia="SimSun" w:hint="cs"/>
          <w:spacing w:val="-2"/>
          <w:rtl/>
          <w:lang w:bidi="ar-EG"/>
        </w:rPr>
        <w:t>السبعين.</w:t>
      </w:r>
    </w:p>
    <w:p w:rsidR="003B6868" w:rsidRDefault="003B6868" w:rsidP="00CB10C5">
      <w:pPr>
        <w:rPr>
          <w:rFonts w:eastAsia="SimSun"/>
          <w:rtl/>
          <w:lang w:bidi="ar-SY"/>
        </w:rPr>
      </w:pPr>
      <w:r w:rsidRPr="00CD331B">
        <w:rPr>
          <w:rFonts w:eastAsia="SimSun" w:hint="cs"/>
          <w:rtl/>
          <w:lang w:bidi="ar-SY"/>
        </w:rPr>
        <w:t xml:space="preserve">ووفقاً لأحكام الرقم </w:t>
      </w:r>
      <w:r w:rsidRPr="00CD331B">
        <w:rPr>
          <w:rFonts w:eastAsia="SimSun"/>
          <w:b/>
          <w:bCs/>
          <w:lang w:bidi="ar-SY"/>
        </w:rPr>
        <w:t>17.13</w:t>
      </w:r>
      <w:r w:rsidRPr="00CD331B">
        <w:rPr>
          <w:rFonts w:eastAsia="SimSun" w:hint="cs"/>
          <w:rtl/>
          <w:lang w:bidi="ar-SY"/>
        </w:rPr>
        <w:t xml:space="preserve"> من لوائح الراديو، </w:t>
      </w:r>
      <w:r w:rsidR="006E133B">
        <w:rPr>
          <w:rFonts w:eastAsia="SimSun" w:hint="cs"/>
          <w:rtl/>
          <w:lang w:bidi="ar-SY"/>
        </w:rPr>
        <w:t>يُعرض</w:t>
      </w:r>
      <w:r w:rsidRPr="00CD331B">
        <w:rPr>
          <w:rFonts w:eastAsia="SimSun" w:hint="cs"/>
          <w:rtl/>
          <w:lang w:bidi="ar-SY"/>
        </w:rPr>
        <w:t xml:space="preserve"> </w:t>
      </w:r>
      <w:r w:rsidR="006E133B">
        <w:rPr>
          <w:rFonts w:eastAsia="SimSun" w:hint="cs"/>
          <w:rtl/>
          <w:lang w:bidi="ar-SY"/>
        </w:rPr>
        <w:t>مشروع</w:t>
      </w:r>
      <w:r w:rsidRPr="00CD331B">
        <w:rPr>
          <w:rFonts w:eastAsia="SimSun" w:hint="cs"/>
          <w:rtl/>
          <w:lang w:bidi="ar-SY"/>
        </w:rPr>
        <w:t xml:space="preserve"> هذه </w:t>
      </w:r>
      <w:r w:rsidR="006E133B">
        <w:rPr>
          <w:rFonts w:eastAsia="SimSun" w:hint="cs"/>
          <w:rtl/>
          <w:lang w:bidi="ar-SY"/>
        </w:rPr>
        <w:t>القاعدة</w:t>
      </w:r>
      <w:r w:rsidRPr="00CD331B">
        <w:rPr>
          <w:rFonts w:eastAsia="SimSun" w:hint="cs"/>
          <w:rtl/>
          <w:lang w:bidi="ar-SY"/>
        </w:rPr>
        <w:t xml:space="preserve"> الإجرائية على الإدارات للتعليق عليها قبل تقدي‍مها إلى ل‍جنة لوائح الراديو عملاً بأحكام الرقم </w:t>
      </w:r>
      <w:r w:rsidRPr="00CD331B">
        <w:rPr>
          <w:rFonts w:eastAsia="SimSun"/>
          <w:b/>
          <w:bCs/>
          <w:lang w:bidi="ar-SY"/>
        </w:rPr>
        <w:t>14.13</w:t>
      </w:r>
      <w:r w:rsidRPr="00CD331B">
        <w:rPr>
          <w:rFonts w:eastAsia="SimSun" w:hint="cs"/>
          <w:rtl/>
          <w:lang w:bidi="ar-SY"/>
        </w:rPr>
        <w:t xml:space="preserve">. وكما أشير إليه في الرقم </w:t>
      </w:r>
      <w:r w:rsidRPr="00CD331B">
        <w:rPr>
          <w:rFonts w:eastAsia="SimSun"/>
          <w:b/>
          <w:bCs/>
          <w:lang w:bidi="ar-SY"/>
        </w:rPr>
        <w:t>12A.13</w:t>
      </w:r>
      <w:r w:rsidRPr="00CD331B">
        <w:rPr>
          <w:rFonts w:eastAsia="SimSun" w:hint="cs"/>
          <w:rtl/>
          <w:lang w:bidi="ar-SY"/>
        </w:rPr>
        <w:t xml:space="preserve"> </w:t>
      </w:r>
      <w:r w:rsidRPr="00CD331B">
        <w:rPr>
          <w:rFonts w:eastAsia="SimSun" w:hint="cs"/>
          <w:i/>
          <w:iCs/>
          <w:rtl/>
          <w:lang w:bidi="ar-SY"/>
        </w:rPr>
        <w:t>د</w:t>
      </w:r>
      <w:r w:rsidRPr="00CD331B">
        <w:rPr>
          <w:rFonts w:eastAsia="SimSun" w:hint="eastAsia"/>
          <w:i/>
          <w:iCs/>
          <w:sz w:val="8"/>
          <w:szCs w:val="14"/>
          <w:rtl/>
          <w:lang w:bidi="ar-SY"/>
        </w:rPr>
        <w:t> </w:t>
      </w:r>
      <w:r w:rsidRPr="00CD331B">
        <w:rPr>
          <w:rFonts w:eastAsia="SimSun" w:hint="cs"/>
          <w:i/>
          <w:iCs/>
          <w:rtl/>
          <w:lang w:bidi="ar-SY"/>
        </w:rPr>
        <w:t>)</w:t>
      </w:r>
      <w:r w:rsidRPr="00CD331B">
        <w:rPr>
          <w:rFonts w:eastAsia="SimSun" w:hint="cs"/>
          <w:rtl/>
          <w:lang w:bidi="ar-SY"/>
        </w:rPr>
        <w:t xml:space="preserve"> من لوائح الراديو، فإن أي تعليقات تودون إبداءها ينبغي أن تصل إلى المكتب في موعد أقصاه </w:t>
      </w:r>
      <w:r w:rsidRPr="00CD331B">
        <w:rPr>
          <w:rFonts w:eastAsia="SimSun"/>
          <w:b/>
          <w:bCs/>
          <w:lang w:bidi="ar-SY"/>
        </w:rPr>
        <w:t>4</w:t>
      </w:r>
      <w:r w:rsidRPr="00CD331B">
        <w:rPr>
          <w:rFonts w:eastAsia="SimSun" w:hint="cs"/>
          <w:b/>
          <w:bCs/>
          <w:rtl/>
          <w:lang w:bidi="ar-SY"/>
        </w:rPr>
        <w:t xml:space="preserve"> يناير </w:t>
      </w:r>
      <w:r w:rsidRPr="00CD331B">
        <w:rPr>
          <w:rFonts w:eastAsia="SimSun"/>
          <w:b/>
          <w:bCs/>
          <w:lang w:bidi="ar-SY"/>
        </w:rPr>
        <w:t>2016</w:t>
      </w:r>
      <w:r w:rsidRPr="00CD331B">
        <w:rPr>
          <w:rFonts w:eastAsia="SimSun" w:hint="cs"/>
          <w:rtl/>
          <w:lang w:bidi="ar-SY"/>
        </w:rPr>
        <w:t>، كي ينظر فيها الاجتماع الحادي والسبعون للجنة لوائح الراديو ال‍مقرر عقده في</w:t>
      </w:r>
      <w:r w:rsidRPr="00CD331B">
        <w:rPr>
          <w:rFonts w:eastAsia="SimSun" w:hint="eastAsia"/>
          <w:rtl/>
          <w:lang w:bidi="ar-SY"/>
        </w:rPr>
        <w:t> </w:t>
      </w:r>
      <w:r w:rsidRPr="00CD331B">
        <w:rPr>
          <w:rFonts w:eastAsia="SimSun" w:hint="cs"/>
          <w:rtl/>
          <w:lang w:bidi="ar-SY"/>
        </w:rPr>
        <w:t xml:space="preserve">الفترة </w:t>
      </w:r>
      <w:r w:rsidRPr="00CD331B">
        <w:rPr>
          <w:rFonts w:eastAsia="SimSun"/>
          <w:lang w:bidi="ar-SY"/>
        </w:rPr>
        <w:t>1</w:t>
      </w:r>
      <w:r w:rsidRPr="00CD331B">
        <w:rPr>
          <w:rFonts w:eastAsia="SimSun" w:hint="cs"/>
          <w:rtl/>
          <w:lang w:bidi="ar-SY"/>
        </w:rPr>
        <w:t>-</w:t>
      </w:r>
      <w:r w:rsidRPr="00CD331B">
        <w:rPr>
          <w:rFonts w:eastAsia="SimSun"/>
          <w:lang w:bidi="ar-SY"/>
        </w:rPr>
        <w:t>5</w:t>
      </w:r>
      <w:r w:rsidRPr="00CD331B">
        <w:rPr>
          <w:rFonts w:eastAsia="SimSun" w:hint="cs"/>
          <w:rtl/>
          <w:lang w:bidi="ar-SY"/>
        </w:rPr>
        <w:t xml:space="preserve"> فبراير </w:t>
      </w:r>
      <w:r w:rsidRPr="00CD331B">
        <w:rPr>
          <w:rFonts w:eastAsia="SimSun"/>
          <w:lang w:bidi="ar-SY"/>
        </w:rPr>
        <w:t>2016</w:t>
      </w:r>
      <w:r w:rsidRPr="00CD331B">
        <w:rPr>
          <w:rFonts w:eastAsia="SimSun" w:hint="cs"/>
          <w:rtl/>
          <w:lang w:bidi="ar-SY"/>
        </w:rPr>
        <w:t>. وتُرسل ج‍ميع التعليقات</w:t>
      </w:r>
      <w:r w:rsidRPr="00CD331B">
        <w:rPr>
          <w:rFonts w:eastAsia="SimSun" w:hint="cs"/>
          <w:rtl/>
        </w:rPr>
        <w:t xml:space="preserve"> سواء بالفاكس إلى الرقم</w:t>
      </w:r>
      <w:r w:rsidRPr="00CD331B">
        <w:rPr>
          <w:rFonts w:eastAsia="SimSun" w:hint="eastAsia"/>
          <w:rtl/>
        </w:rPr>
        <w:t> </w:t>
      </w:r>
      <w:r w:rsidRPr="00CD331B">
        <w:rPr>
          <w:rFonts w:eastAsia="SimSun"/>
        </w:rPr>
        <w:t>+41 22 730 5785</w:t>
      </w:r>
      <w:r w:rsidRPr="00CD331B">
        <w:rPr>
          <w:rFonts w:eastAsia="SimSun" w:hint="cs"/>
          <w:rtl/>
        </w:rPr>
        <w:t xml:space="preserve"> أو ب</w:t>
      </w:r>
      <w:r w:rsidRPr="00CD331B">
        <w:rPr>
          <w:rFonts w:eastAsia="SimSun" w:hint="cs"/>
          <w:rtl/>
          <w:lang w:bidi="ar-SY"/>
        </w:rPr>
        <w:t xml:space="preserve">البريد الإلكتروني إلى العنوان: </w:t>
      </w:r>
      <w:hyperlink r:id="rId8" w:history="1">
        <w:r w:rsidRPr="00CD331B">
          <w:rPr>
            <w:rStyle w:val="Hyperlink"/>
            <w:rFonts w:eastAsia="SimSun"/>
            <w:lang w:bidi="ar-SY"/>
          </w:rPr>
          <w:t>brmail@itu.int</w:t>
        </w:r>
      </w:hyperlink>
      <w:r w:rsidRPr="00CD331B">
        <w:rPr>
          <w:rFonts w:eastAsia="SimSun" w:hint="cs"/>
          <w:rtl/>
          <w:lang w:bidi="ar-SY"/>
        </w:rPr>
        <w:t>.</w:t>
      </w:r>
    </w:p>
    <w:p w:rsidR="003D3325" w:rsidRPr="003D3325" w:rsidRDefault="003D3325" w:rsidP="008065E9">
      <w:pPr>
        <w:spacing w:before="240"/>
        <w:rPr>
          <w:rFonts w:eastAsia="SimSun"/>
          <w:rtl/>
          <w:lang w:bidi="ar-EG"/>
        </w:rPr>
      </w:pPr>
      <w:r w:rsidRPr="003D3325">
        <w:rPr>
          <w:rFonts w:eastAsia="SimSun"/>
          <w:rtl/>
          <w:lang w:bidi="ar-EG"/>
        </w:rPr>
        <w:t>وتفضلوا بقبول فائق التقدير والاحترام.</w:t>
      </w:r>
    </w:p>
    <w:p w:rsidR="003D3325" w:rsidRPr="003D3325" w:rsidRDefault="003D3325" w:rsidP="008065E9">
      <w:pPr>
        <w:spacing w:before="1440"/>
        <w:jc w:val="left"/>
        <w:rPr>
          <w:rFonts w:eastAsia="SimSun"/>
          <w:rtl/>
          <w:lang w:bidi="ar-EG"/>
        </w:rPr>
      </w:pPr>
      <w:r w:rsidRPr="003D3325">
        <w:rPr>
          <w:rFonts w:eastAsia="SimSun" w:hint="cs"/>
          <w:rtl/>
          <w:lang w:bidi="ar-EG"/>
        </w:rPr>
        <w:t>فرانسوا رانسي</w:t>
      </w:r>
      <w:r w:rsidRPr="003D3325">
        <w:rPr>
          <w:rFonts w:eastAsia="SimSun"/>
          <w:rtl/>
          <w:lang w:bidi="ar-EG"/>
        </w:rPr>
        <w:br/>
      </w:r>
      <w:r w:rsidRPr="003D3325">
        <w:rPr>
          <w:rFonts w:eastAsia="SimSun" w:hint="cs"/>
          <w:rtl/>
          <w:lang w:bidi="ar-EG"/>
        </w:rPr>
        <w:t>ال‍مدير</w:t>
      </w:r>
    </w:p>
    <w:p w:rsidR="003D3325" w:rsidRPr="003D3325" w:rsidRDefault="003D3325" w:rsidP="00CF17D0">
      <w:pPr>
        <w:spacing w:before="600"/>
        <w:rPr>
          <w:rFonts w:eastAsia="SimSun"/>
          <w:rtl/>
          <w:lang w:bidi="ar-EG"/>
        </w:rPr>
      </w:pPr>
      <w:r w:rsidRPr="003D3325">
        <w:rPr>
          <w:rFonts w:eastAsia="SimSun" w:hint="cs"/>
          <w:b/>
          <w:bCs/>
          <w:rtl/>
          <w:lang w:bidi="ar-EG"/>
        </w:rPr>
        <w:t>ال‍ملحقات:</w:t>
      </w:r>
      <w:r w:rsidRPr="003D3325">
        <w:rPr>
          <w:rFonts w:eastAsia="SimSun" w:hint="cs"/>
          <w:rtl/>
          <w:lang w:bidi="ar-EG"/>
        </w:rPr>
        <w:t xml:space="preserve"> </w:t>
      </w:r>
      <w:r w:rsidRPr="003D3325">
        <w:rPr>
          <w:rFonts w:eastAsia="SimSun"/>
          <w:lang w:bidi="ar-SY"/>
        </w:rPr>
        <w:t>1</w:t>
      </w:r>
    </w:p>
    <w:p w:rsidR="003D3325" w:rsidRPr="003D3325" w:rsidRDefault="003D3325" w:rsidP="001771C1">
      <w:pPr>
        <w:spacing w:before="360"/>
        <w:rPr>
          <w:rFonts w:eastAsia="SimSun"/>
          <w:b/>
          <w:bCs/>
          <w:sz w:val="24"/>
          <w:szCs w:val="24"/>
          <w:rtl/>
          <w:lang w:bidi="ar-SY"/>
        </w:rPr>
      </w:pPr>
      <w:r w:rsidRPr="003D3325">
        <w:rPr>
          <w:rFonts w:eastAsia="SimSun" w:hint="cs"/>
          <w:b/>
          <w:bCs/>
          <w:sz w:val="24"/>
          <w:szCs w:val="24"/>
          <w:rtl/>
          <w:lang w:bidi="ar-SY"/>
        </w:rPr>
        <w:t>التوزيع:</w:t>
      </w:r>
    </w:p>
    <w:p w:rsidR="004F5CAD" w:rsidRDefault="003D3325" w:rsidP="005D0FC5">
      <w:pPr>
        <w:tabs>
          <w:tab w:val="clear" w:pos="794"/>
          <w:tab w:val="left" w:pos="283"/>
        </w:tabs>
        <w:spacing w:before="60"/>
        <w:jc w:val="left"/>
        <w:rPr>
          <w:rtl/>
        </w:rPr>
      </w:pPr>
      <w:r w:rsidRPr="003D3325">
        <w:rPr>
          <w:rFonts w:eastAsia="SimSun" w:hint="cs"/>
          <w:sz w:val="24"/>
          <w:szCs w:val="24"/>
          <w:rtl/>
          <w:lang w:bidi="ar-SY"/>
        </w:rPr>
        <w:lastRenderedPageBreak/>
        <w:t>-</w:t>
      </w:r>
      <w:r w:rsidRPr="003D3325">
        <w:rPr>
          <w:rFonts w:eastAsia="SimSun" w:hint="cs"/>
          <w:sz w:val="24"/>
          <w:szCs w:val="24"/>
          <w:rtl/>
          <w:lang w:bidi="ar-SY"/>
        </w:rPr>
        <w:tab/>
        <w:t>إدارات الدول الأعضاء في الات‍حاد</w:t>
      </w:r>
      <w:r w:rsidRPr="003D3325">
        <w:rPr>
          <w:rFonts w:eastAsia="SimSun"/>
          <w:sz w:val="24"/>
          <w:szCs w:val="24"/>
          <w:rtl/>
          <w:lang w:bidi="ar-SY"/>
        </w:rPr>
        <w:br/>
      </w:r>
      <w:r w:rsidRPr="003D3325">
        <w:rPr>
          <w:rFonts w:eastAsia="SimSun" w:hint="cs"/>
          <w:sz w:val="24"/>
          <w:szCs w:val="24"/>
          <w:rtl/>
          <w:lang w:bidi="ar-SY"/>
        </w:rPr>
        <w:t>-</w:t>
      </w:r>
      <w:r w:rsidRPr="003D3325">
        <w:rPr>
          <w:rFonts w:eastAsia="SimSun" w:hint="cs"/>
          <w:sz w:val="24"/>
          <w:szCs w:val="24"/>
          <w:rtl/>
          <w:lang w:bidi="ar-SY"/>
        </w:rPr>
        <w:tab/>
        <w:t>أعضاء ل‍جنة لوائح الراديو</w:t>
      </w:r>
      <w:r w:rsidR="004F5CAD">
        <w:rPr>
          <w:rtl/>
        </w:rPr>
        <w:br w:type="page"/>
      </w:r>
    </w:p>
    <w:p w:rsidR="003D3325" w:rsidRPr="009C7110" w:rsidRDefault="002461E8" w:rsidP="00EE5B1E">
      <w:pPr>
        <w:pStyle w:val="AnnexNo"/>
        <w:rPr>
          <w:rtl/>
          <w:lang w:bidi="ar-EG"/>
        </w:rPr>
      </w:pPr>
      <w:r w:rsidRPr="009C7110">
        <w:rPr>
          <w:rFonts w:hint="cs"/>
          <w:rtl/>
        </w:rPr>
        <w:lastRenderedPageBreak/>
        <w:t>ال</w:t>
      </w:r>
      <w:r w:rsidR="004F5CAD">
        <w:rPr>
          <w:rFonts w:hint="cs"/>
          <w:rtl/>
        </w:rPr>
        <w:t>‍</w:t>
      </w:r>
      <w:r w:rsidR="00EE5B1E">
        <w:rPr>
          <w:rFonts w:hint="cs"/>
          <w:rtl/>
        </w:rPr>
        <w:t>ملحق</w:t>
      </w:r>
    </w:p>
    <w:p w:rsidR="002461E8" w:rsidRPr="0042276B" w:rsidRDefault="00FE2AE4" w:rsidP="00AA5DF7">
      <w:pPr>
        <w:pStyle w:val="Annextitle"/>
        <w:spacing w:before="360"/>
        <w:rPr>
          <w:sz w:val="32"/>
          <w:szCs w:val="44"/>
          <w:rtl/>
          <w:lang w:bidi="ar-EG"/>
        </w:rPr>
      </w:pPr>
      <w:r w:rsidRPr="0042276B">
        <w:rPr>
          <w:rFonts w:hint="cs"/>
          <w:sz w:val="32"/>
          <w:szCs w:val="44"/>
          <w:u w:val="single"/>
          <w:rtl/>
          <w:lang w:bidi="ar-EG"/>
        </w:rPr>
        <w:t xml:space="preserve">مشروع قاعدة إجرائية (الجزء </w:t>
      </w:r>
      <w:r w:rsidRPr="0042276B">
        <w:rPr>
          <w:sz w:val="32"/>
          <w:szCs w:val="44"/>
          <w:u w:val="single"/>
        </w:rPr>
        <w:t>A10-GE06</w:t>
      </w:r>
      <w:r w:rsidRPr="0042276B">
        <w:rPr>
          <w:rFonts w:hint="cs"/>
          <w:sz w:val="32"/>
          <w:szCs w:val="44"/>
          <w:u w:val="single"/>
          <w:rtl/>
          <w:lang w:bidi="ar-EG"/>
        </w:rPr>
        <w:t>)</w:t>
      </w:r>
    </w:p>
    <w:p w:rsidR="00FE2AE4" w:rsidRDefault="00FE2AE4" w:rsidP="00AA5DF7">
      <w:pPr>
        <w:pStyle w:val="Annextitle"/>
        <w:spacing w:before="240"/>
        <w:rPr>
          <w:rtl/>
          <w:lang w:bidi="ar-EG"/>
        </w:rPr>
      </w:pPr>
      <w:r w:rsidRPr="00FE2AE4">
        <w:rPr>
          <w:rFonts w:hint="cs"/>
          <w:rtl/>
          <w:lang w:bidi="ar-EG"/>
        </w:rPr>
        <w:t xml:space="preserve">حماية مُدْخَل في الخطة من التداخل المتأتي عن مُدْخَل فيها لإدارة أخرى لم يُفَعَّل إجراء التنسيق معها تطبيقاً للمادة </w:t>
      </w:r>
      <w:r w:rsidRPr="00FE2AE4">
        <w:rPr>
          <w:lang w:bidi="ar-EG"/>
        </w:rPr>
        <w:t>4</w:t>
      </w:r>
      <w:r w:rsidRPr="00FE2AE4">
        <w:rPr>
          <w:rFonts w:hint="cs"/>
          <w:rtl/>
          <w:lang w:bidi="ar-EG"/>
        </w:rPr>
        <w:t xml:space="preserve"> من الاتفاق الإقليمي </w:t>
      </w:r>
      <w:r w:rsidRPr="00FE2AE4">
        <w:rPr>
          <w:lang w:bidi="ar-EG"/>
        </w:rPr>
        <w:t>GE06</w:t>
      </w:r>
      <w:r w:rsidRPr="00FE2AE4">
        <w:rPr>
          <w:rFonts w:hint="cs"/>
          <w:rtl/>
          <w:lang w:bidi="ar-EG"/>
        </w:rPr>
        <w:t xml:space="preserve"> (جنيف، </w:t>
      </w:r>
      <w:r w:rsidRPr="00FE2AE4">
        <w:rPr>
          <w:lang w:bidi="ar-EG"/>
        </w:rPr>
        <w:t>2006</w:t>
      </w:r>
      <w:r w:rsidRPr="00FE2AE4">
        <w:rPr>
          <w:rFonts w:hint="cs"/>
          <w:rtl/>
          <w:lang w:bidi="ar-EG"/>
        </w:rPr>
        <w:t>)</w:t>
      </w:r>
    </w:p>
    <w:p w:rsidR="00FE2AE4" w:rsidRPr="00A54789" w:rsidRDefault="00FE2AE4" w:rsidP="00216DEB">
      <w:pPr>
        <w:rPr>
          <w:rtl/>
          <w:lang w:bidi="ar-JO"/>
        </w:rPr>
      </w:pPr>
      <w:r w:rsidRPr="00A54789">
        <w:rPr>
          <w:lang w:bidi="ar-JO"/>
        </w:rPr>
        <w:t>1.X</w:t>
      </w:r>
      <w:r w:rsidRPr="00A54789">
        <w:rPr>
          <w:rFonts w:hint="cs"/>
          <w:rtl/>
          <w:lang w:bidi="ar-JO"/>
        </w:rPr>
        <w:tab/>
        <w:t xml:space="preserve">خلال المؤتمر الإقليمي للاتصالات الراديوية لعام </w:t>
      </w:r>
      <w:r w:rsidRPr="00A54789">
        <w:rPr>
          <w:lang w:bidi="ar-JO"/>
        </w:rPr>
        <w:t>2006</w:t>
      </w:r>
      <w:r w:rsidRPr="00A54789">
        <w:rPr>
          <w:rFonts w:hint="cs"/>
          <w:rtl/>
          <w:lang w:bidi="ar-JO"/>
        </w:rPr>
        <w:t xml:space="preserve"> </w:t>
      </w:r>
      <w:r w:rsidRPr="00A54789">
        <w:rPr>
          <w:lang w:bidi="ar-JO"/>
        </w:rPr>
        <w:t>(RRC-06)</w:t>
      </w:r>
      <w:r w:rsidRPr="00A54789">
        <w:rPr>
          <w:rFonts w:hint="cs"/>
          <w:rtl/>
          <w:lang w:bidi="ar-JO"/>
        </w:rPr>
        <w:t xml:space="preserve"> أجري تحليل للتوافق فيما يخص جميع المتطلبات (التعيينات والتخصيصات) في الاتجاهين (الإرسال والاستقبال). وعندما تبي</w:t>
      </w:r>
      <w:r w:rsidRPr="00A54789">
        <w:rPr>
          <w:rFonts w:hint="cs"/>
          <w:rtl/>
          <w:lang w:bidi="ar-EG"/>
        </w:rPr>
        <w:t>َّ</w:t>
      </w:r>
      <w:r w:rsidRPr="00A54789">
        <w:rPr>
          <w:rFonts w:hint="cs"/>
          <w:rtl/>
          <w:lang w:bidi="ar-JO"/>
        </w:rPr>
        <w:t>ن أن المتطلبات ليست متوافقة في واحد من الاتجاهين أو في كليهما، تعيَّن على الإدارات المعنية تذليل عدم التوافق. وبذلك ضُمِن كون جميع الـمُدْخَلات في الخطة، كما اعتمدها المؤتمر</w:t>
      </w:r>
      <w:r w:rsidR="00F205F1" w:rsidRPr="00A54789">
        <w:rPr>
          <w:rFonts w:hint="eastAsia"/>
          <w:rtl/>
          <w:lang w:bidi="ar-JO"/>
        </w:rPr>
        <w:t> </w:t>
      </w:r>
      <w:r w:rsidRPr="00A54789">
        <w:rPr>
          <w:lang w:bidi="ar-JO"/>
        </w:rPr>
        <w:t>RRC</w:t>
      </w:r>
      <w:r w:rsidR="00F205F1" w:rsidRPr="00A54789">
        <w:rPr>
          <w:lang w:bidi="ar-JO"/>
        </w:rPr>
        <w:noBreakHyphen/>
      </w:r>
      <w:r w:rsidRPr="00A54789">
        <w:rPr>
          <w:lang w:bidi="ar-JO"/>
        </w:rPr>
        <w:t>06</w:t>
      </w:r>
      <w:r w:rsidRPr="00A54789">
        <w:rPr>
          <w:rFonts w:hint="cs"/>
          <w:rtl/>
          <w:lang w:bidi="ar-JO"/>
        </w:rPr>
        <w:t>، قد قُيِّمت وأقرَّتها الإدارات المعنية باعتبارها متوافقة.</w:t>
      </w:r>
    </w:p>
    <w:p w:rsidR="00FE2AE4" w:rsidRPr="00F40455" w:rsidRDefault="00FE2AE4" w:rsidP="00FE1A8C">
      <w:pPr>
        <w:rPr>
          <w:spacing w:val="2"/>
          <w:rtl/>
          <w:lang w:bidi="ar-JO"/>
        </w:rPr>
      </w:pPr>
      <w:r w:rsidRPr="00F40455">
        <w:rPr>
          <w:spacing w:val="2"/>
          <w:lang w:bidi="ar-JO"/>
        </w:rPr>
        <w:t>2.X</w:t>
      </w:r>
      <w:r w:rsidRPr="00F40455">
        <w:rPr>
          <w:rFonts w:hint="cs"/>
          <w:spacing w:val="2"/>
          <w:rtl/>
          <w:lang w:bidi="ar-JO"/>
        </w:rPr>
        <w:tab/>
        <w:t>ومنذ ذلك الحين أُدرجت في الخطة تخصيصات/تعيينات جديدة أو معدَّلة إثر النجاح في تطبيق الإجراء المنصوص عليه في</w:t>
      </w:r>
      <w:r w:rsidR="00F205F1" w:rsidRPr="00F40455">
        <w:rPr>
          <w:rFonts w:hint="eastAsia"/>
          <w:spacing w:val="2"/>
          <w:rtl/>
          <w:lang w:bidi="ar-JO"/>
        </w:rPr>
        <w:t> </w:t>
      </w:r>
      <w:r w:rsidRPr="00F40455">
        <w:rPr>
          <w:rFonts w:hint="cs"/>
          <w:spacing w:val="2"/>
          <w:rtl/>
          <w:lang w:bidi="ar-JO"/>
        </w:rPr>
        <w:t>المادة</w:t>
      </w:r>
      <w:r w:rsidR="004B6D06">
        <w:rPr>
          <w:rFonts w:hint="eastAsia"/>
          <w:spacing w:val="2"/>
          <w:rtl/>
          <w:lang w:bidi="ar-JO"/>
        </w:rPr>
        <w:t> </w:t>
      </w:r>
      <w:r w:rsidRPr="00F40455">
        <w:rPr>
          <w:spacing w:val="2"/>
          <w:lang w:bidi="ar-JO"/>
        </w:rPr>
        <w:t>4</w:t>
      </w:r>
      <w:r w:rsidRPr="00F40455">
        <w:rPr>
          <w:rFonts w:hint="cs"/>
          <w:spacing w:val="2"/>
          <w:rtl/>
          <w:lang w:bidi="ar-JO"/>
        </w:rPr>
        <w:t xml:space="preserve"> من الاتفاق</w:t>
      </w:r>
      <w:r w:rsidR="004B6D06">
        <w:rPr>
          <w:rFonts w:hint="eastAsia"/>
          <w:spacing w:val="2"/>
          <w:rtl/>
          <w:lang w:bidi="ar-JO"/>
        </w:rPr>
        <w:t> </w:t>
      </w:r>
      <w:r w:rsidRPr="00F40455">
        <w:rPr>
          <w:spacing w:val="2"/>
          <w:lang w:bidi="ar-JO"/>
        </w:rPr>
        <w:t>GE06</w:t>
      </w:r>
      <w:r w:rsidRPr="00F40455">
        <w:rPr>
          <w:rFonts w:hint="cs"/>
          <w:spacing w:val="2"/>
          <w:rtl/>
          <w:lang w:bidi="ar-JO"/>
        </w:rPr>
        <w:t>. بيد أنه، بموجب هذا الإجراء، لا</w:t>
      </w:r>
      <w:r w:rsidR="00FE1A8C">
        <w:rPr>
          <w:rFonts w:hint="eastAsia"/>
          <w:spacing w:val="2"/>
          <w:rtl/>
          <w:lang w:bidi="ar-JO"/>
        </w:rPr>
        <w:t> </w:t>
      </w:r>
      <w:r w:rsidRPr="00F40455">
        <w:rPr>
          <w:rFonts w:hint="cs"/>
          <w:spacing w:val="2"/>
          <w:rtl/>
          <w:lang w:bidi="ar-JO"/>
        </w:rPr>
        <w:t xml:space="preserve">تُعتبر الإدارات متأثرة بالتعديل المقترح إلا </w:t>
      </w:r>
      <w:r w:rsidR="00F205F1" w:rsidRPr="00F40455">
        <w:rPr>
          <w:rFonts w:hint="cs"/>
          <w:spacing w:val="2"/>
          <w:rtl/>
          <w:lang w:bidi="ar-JO"/>
        </w:rPr>
        <w:t>عند تجاوز</w:t>
      </w:r>
      <w:r w:rsidRPr="00F40455">
        <w:rPr>
          <w:rFonts w:hint="cs"/>
          <w:spacing w:val="2"/>
          <w:rtl/>
          <w:lang w:bidi="ar-JO"/>
        </w:rPr>
        <w:t xml:space="preserve"> الحدود المبيَّنة في</w:t>
      </w:r>
      <w:r w:rsidR="00F205F1" w:rsidRPr="00F40455">
        <w:rPr>
          <w:rFonts w:hint="eastAsia"/>
          <w:spacing w:val="2"/>
          <w:rtl/>
          <w:lang w:bidi="ar-JO"/>
        </w:rPr>
        <w:t> </w:t>
      </w:r>
      <w:r w:rsidRPr="00F40455">
        <w:rPr>
          <w:rFonts w:hint="cs"/>
          <w:spacing w:val="2"/>
          <w:rtl/>
          <w:lang w:bidi="ar-JO"/>
        </w:rPr>
        <w:t>القسم</w:t>
      </w:r>
      <w:r w:rsidR="004B6D06">
        <w:rPr>
          <w:rFonts w:hint="eastAsia"/>
          <w:spacing w:val="2"/>
          <w:rtl/>
          <w:lang w:bidi="ar-JO"/>
        </w:rPr>
        <w:t> </w:t>
      </w:r>
      <w:r w:rsidRPr="00F40455">
        <w:rPr>
          <w:spacing w:val="2"/>
          <w:lang w:bidi="ar-JO"/>
        </w:rPr>
        <w:t>I</w:t>
      </w:r>
      <w:r w:rsidRPr="00F40455">
        <w:rPr>
          <w:rFonts w:hint="cs"/>
          <w:spacing w:val="2"/>
          <w:rtl/>
          <w:lang w:bidi="ar-JO"/>
        </w:rPr>
        <w:t xml:space="preserve"> من الملحق</w:t>
      </w:r>
      <w:r w:rsidR="004B6D06">
        <w:rPr>
          <w:rFonts w:hint="eastAsia"/>
          <w:spacing w:val="2"/>
          <w:rtl/>
          <w:lang w:bidi="ar-JO"/>
        </w:rPr>
        <w:t> </w:t>
      </w:r>
      <w:r w:rsidRPr="00F40455">
        <w:rPr>
          <w:spacing w:val="2"/>
          <w:lang w:bidi="ar-JO"/>
        </w:rPr>
        <w:t>4</w:t>
      </w:r>
      <w:r w:rsidRPr="00F40455">
        <w:rPr>
          <w:rFonts w:hint="cs"/>
          <w:spacing w:val="2"/>
          <w:rtl/>
          <w:lang w:bidi="ar-JO"/>
        </w:rPr>
        <w:t xml:space="preserve"> بهذا الاتفاق. </w:t>
      </w:r>
      <w:r w:rsidR="00DF0B67" w:rsidRPr="00F40455">
        <w:rPr>
          <w:rFonts w:hint="cs"/>
          <w:spacing w:val="2"/>
          <w:rtl/>
          <w:lang w:bidi="ar-JO"/>
        </w:rPr>
        <w:t>و</w:t>
      </w:r>
      <w:r w:rsidRPr="00F40455">
        <w:rPr>
          <w:rFonts w:hint="cs"/>
          <w:spacing w:val="2"/>
          <w:rtl/>
          <w:lang w:bidi="ar-JO"/>
        </w:rPr>
        <w:t>لقد تم تصميم هذا النهج للقيام عند اللزوم بتفعيل إجراء التنسيق مع الإدارة (الإدارات) المحتمل أن تكون متأثرة بغية التكفل بعدم تأثير التعديل المقترح على قدرة الإدارات الأخرى على استقبال البث الإذاعي على أي من القنوات في أراضيها. والحال أن الاتفاق لا يتناول التداخل الذي يقع على التعديل المقترح بفعل تخصيصات سبق تسجيلها في</w:t>
      </w:r>
      <w:r w:rsidR="00F205F1" w:rsidRPr="00F40455">
        <w:rPr>
          <w:rFonts w:hint="eastAsia"/>
          <w:spacing w:val="2"/>
          <w:rtl/>
          <w:lang w:bidi="ar-JO"/>
        </w:rPr>
        <w:t> </w:t>
      </w:r>
      <w:r w:rsidRPr="00F40455">
        <w:rPr>
          <w:rFonts w:hint="cs"/>
          <w:spacing w:val="2"/>
          <w:rtl/>
          <w:lang w:bidi="ar-JO"/>
        </w:rPr>
        <w:t>الخطة.</w:t>
      </w:r>
    </w:p>
    <w:p w:rsidR="00FE2AE4" w:rsidRPr="00A54789" w:rsidRDefault="00FE2AE4" w:rsidP="00AE63CB">
      <w:pPr>
        <w:rPr>
          <w:rtl/>
          <w:lang w:bidi="ar-JO"/>
        </w:rPr>
      </w:pPr>
      <w:r w:rsidRPr="00A54789">
        <w:rPr>
          <w:lang w:bidi="ar-JO"/>
        </w:rPr>
        <w:t>3.X</w:t>
      </w:r>
      <w:r w:rsidRPr="00A54789">
        <w:rPr>
          <w:rFonts w:hint="cs"/>
          <w:rtl/>
          <w:lang w:bidi="ar-JO"/>
        </w:rPr>
        <w:tab/>
        <w:t xml:space="preserve">وفي إطار تطبيق المادة </w:t>
      </w:r>
      <w:r w:rsidRPr="00A54789">
        <w:rPr>
          <w:lang w:bidi="ar-JO"/>
        </w:rPr>
        <w:t>4</w:t>
      </w:r>
      <w:r w:rsidRPr="00A54789">
        <w:rPr>
          <w:rFonts w:hint="cs"/>
          <w:rtl/>
          <w:lang w:bidi="ar-JO"/>
        </w:rPr>
        <w:t xml:space="preserve"> من الاتفاق </w:t>
      </w:r>
      <w:r w:rsidRPr="00A54789">
        <w:rPr>
          <w:lang w:bidi="ar-JO"/>
        </w:rPr>
        <w:t>GE06</w:t>
      </w:r>
      <w:r w:rsidRPr="00A54789">
        <w:rPr>
          <w:rFonts w:hint="cs"/>
          <w:rtl/>
          <w:lang w:bidi="ar-JO"/>
        </w:rPr>
        <w:t>، تلقى المكتب طلباً من إدارة يرمي إلى إدراجها في قائمة الإدارات المتأثرة بفعل تعديل مقترح إدخاله على الخطة لأن هذا التعديل قد يتأثر بفعل مُدْخَلات الإدارة المعنية في الخطة. لكن المكتب ل</w:t>
      </w:r>
      <w:r w:rsidR="00AE63CB">
        <w:rPr>
          <w:rFonts w:hint="cs"/>
          <w:rtl/>
          <w:lang w:bidi="ar-JO"/>
        </w:rPr>
        <w:t>‍</w:t>
      </w:r>
      <w:r w:rsidRPr="00A54789">
        <w:rPr>
          <w:rFonts w:hint="cs"/>
          <w:rtl/>
          <w:lang w:bidi="ar-JO"/>
        </w:rPr>
        <w:t>م</w:t>
      </w:r>
      <w:r w:rsidR="00AE63CB">
        <w:rPr>
          <w:rFonts w:hint="eastAsia"/>
          <w:rtl/>
          <w:lang w:bidi="ar-JO"/>
        </w:rPr>
        <w:t> </w:t>
      </w:r>
      <w:r w:rsidRPr="00A54789">
        <w:rPr>
          <w:rFonts w:hint="cs"/>
          <w:rtl/>
          <w:lang w:bidi="ar-JO"/>
        </w:rPr>
        <w:t xml:space="preserve">يستطع النزول عند هذا الطلب لأن التعديل المقترح لا يتخطى الحدود المبيَّنة في الملحق </w:t>
      </w:r>
      <w:r w:rsidRPr="00A54789">
        <w:rPr>
          <w:lang w:bidi="ar-JO"/>
        </w:rPr>
        <w:t>4</w:t>
      </w:r>
      <w:r w:rsidRPr="00A54789">
        <w:rPr>
          <w:rFonts w:hint="cs"/>
          <w:rtl/>
          <w:lang w:bidi="ar-JO"/>
        </w:rPr>
        <w:t xml:space="preserve"> للاتفاق</w:t>
      </w:r>
      <w:r w:rsidR="0080389E">
        <w:rPr>
          <w:rFonts w:hint="eastAsia"/>
          <w:rtl/>
          <w:lang w:bidi="ar-JO"/>
        </w:rPr>
        <w:t> </w:t>
      </w:r>
      <w:r w:rsidRPr="00A54789">
        <w:rPr>
          <w:lang w:bidi="ar-JO"/>
        </w:rPr>
        <w:t>GE06</w:t>
      </w:r>
      <w:r w:rsidRPr="00A54789">
        <w:rPr>
          <w:rFonts w:hint="cs"/>
          <w:rtl/>
          <w:lang w:bidi="ar-JO"/>
        </w:rPr>
        <w:t>.</w:t>
      </w:r>
    </w:p>
    <w:p w:rsidR="00FE2AE4" w:rsidRPr="00A54789" w:rsidRDefault="00FE2AE4" w:rsidP="0080389E">
      <w:pPr>
        <w:rPr>
          <w:lang w:bidi="ar-JO"/>
        </w:rPr>
      </w:pPr>
      <w:r w:rsidRPr="00A54789">
        <w:rPr>
          <w:lang w:bidi="ar-JO"/>
        </w:rPr>
        <w:t>4.X</w:t>
      </w:r>
      <w:r w:rsidRPr="00A54789">
        <w:rPr>
          <w:rFonts w:hint="cs"/>
          <w:rtl/>
          <w:lang w:bidi="ar-JO"/>
        </w:rPr>
        <w:tab/>
        <w:t>إن هذه الحال</w:t>
      </w:r>
      <w:r w:rsidR="00DF0B67" w:rsidRPr="00A54789">
        <w:rPr>
          <w:rFonts w:hint="cs"/>
          <w:rtl/>
          <w:lang w:bidi="ar-JO"/>
        </w:rPr>
        <w:t>ة</w:t>
      </w:r>
      <w:r w:rsidRPr="00A54789">
        <w:rPr>
          <w:rFonts w:hint="cs"/>
          <w:rtl/>
          <w:lang w:bidi="ar-JO"/>
        </w:rPr>
        <w:t xml:space="preserve"> تسلِّط الضوء على أن الإجراءات المنصوص عليها في الاتفاق</w:t>
      </w:r>
      <w:r w:rsidR="0080389E">
        <w:rPr>
          <w:rFonts w:hint="eastAsia"/>
          <w:rtl/>
          <w:lang w:bidi="ar-JO"/>
        </w:rPr>
        <w:t> </w:t>
      </w:r>
      <w:r w:rsidRPr="00A54789">
        <w:rPr>
          <w:lang w:bidi="ar-JO"/>
        </w:rPr>
        <w:t>GE06</w:t>
      </w:r>
      <w:r w:rsidRPr="00A54789">
        <w:rPr>
          <w:rFonts w:hint="cs"/>
          <w:rtl/>
          <w:lang w:bidi="ar-JO"/>
        </w:rPr>
        <w:t xml:space="preserve"> لا</w:t>
      </w:r>
      <w:r w:rsidR="00D21339">
        <w:rPr>
          <w:rFonts w:hint="eastAsia"/>
          <w:rtl/>
          <w:lang w:bidi="ar-JO"/>
        </w:rPr>
        <w:t> </w:t>
      </w:r>
      <w:r w:rsidRPr="00A54789">
        <w:rPr>
          <w:rFonts w:hint="cs"/>
          <w:rtl/>
          <w:lang w:bidi="ar-JO"/>
        </w:rPr>
        <w:t>تقضي بأن يجري، قبل تسجيل التعديل المقترح إدخاله على الخطة، تنسيق حمايته من التداخل الذي قد يقع عليه بفعل مُدْخَلات سبق تسجيلها في الخطة.</w:t>
      </w:r>
    </w:p>
    <w:p w:rsidR="00FE2AE4" w:rsidRPr="00F40455" w:rsidRDefault="00FE2AE4" w:rsidP="00216DEB">
      <w:pPr>
        <w:rPr>
          <w:spacing w:val="2"/>
          <w:rtl/>
          <w:lang w:bidi="ar-JO"/>
        </w:rPr>
      </w:pPr>
      <w:r w:rsidRPr="00F40455">
        <w:rPr>
          <w:spacing w:val="2"/>
          <w:lang w:bidi="ar-JO"/>
        </w:rPr>
        <w:t>5.X</w:t>
      </w:r>
      <w:r w:rsidRPr="00F40455">
        <w:rPr>
          <w:rFonts w:hint="cs"/>
          <w:spacing w:val="2"/>
          <w:rtl/>
          <w:lang w:bidi="ar-JO"/>
        </w:rPr>
        <w:tab/>
        <w:t xml:space="preserve">لقد اعتبرت اللجنة أن ثمة مبدأ عاماً للوائح الراديو مفاده أن وضع التخصيصات الجديدة، أي حقوق الإرسال </w:t>
      </w:r>
      <w:r w:rsidR="00DF0B67" w:rsidRPr="00F40455">
        <w:rPr>
          <w:rFonts w:hint="cs"/>
          <w:spacing w:val="2"/>
          <w:rtl/>
          <w:lang w:bidi="ar-JO"/>
        </w:rPr>
        <w:t>باستعمال هذه التخصيصات</w:t>
      </w:r>
      <w:r w:rsidRPr="00F40455">
        <w:rPr>
          <w:rFonts w:hint="cs"/>
          <w:spacing w:val="2"/>
          <w:rtl/>
          <w:lang w:bidi="ar-JO"/>
        </w:rPr>
        <w:t xml:space="preserve"> أو حقوق حمايتها، يُستمد من النجاح في تطبيق الإجراءات ذات الصلة (انظر أحكام الرقم</w:t>
      </w:r>
      <w:r w:rsidR="00DF0B67" w:rsidRPr="00F40455">
        <w:rPr>
          <w:rFonts w:hint="eastAsia"/>
          <w:spacing w:val="2"/>
          <w:rtl/>
          <w:lang w:bidi="ar-JO"/>
        </w:rPr>
        <w:t> </w:t>
      </w:r>
      <w:r w:rsidRPr="00F40455">
        <w:rPr>
          <w:spacing w:val="2"/>
          <w:lang w:bidi="ar-JO"/>
        </w:rPr>
        <w:t>3.8</w:t>
      </w:r>
      <w:r w:rsidRPr="00F40455">
        <w:rPr>
          <w:rFonts w:hint="cs"/>
          <w:spacing w:val="2"/>
          <w:rtl/>
          <w:lang w:bidi="ar-JO"/>
        </w:rPr>
        <w:t xml:space="preserve"> من لوائح</w:t>
      </w:r>
      <w:r w:rsidR="00DF0B67" w:rsidRPr="00F40455">
        <w:rPr>
          <w:rFonts w:hint="eastAsia"/>
          <w:spacing w:val="2"/>
          <w:rtl/>
          <w:lang w:bidi="ar-JO"/>
        </w:rPr>
        <w:t> </w:t>
      </w:r>
      <w:r w:rsidRPr="00F40455">
        <w:rPr>
          <w:rFonts w:hint="cs"/>
          <w:spacing w:val="2"/>
          <w:rtl/>
          <w:lang w:bidi="ar-JO"/>
        </w:rPr>
        <w:t>الراديو).</w:t>
      </w:r>
    </w:p>
    <w:p w:rsidR="00FE2AE4" w:rsidRPr="00A54789" w:rsidRDefault="00FE2AE4" w:rsidP="00D21339">
      <w:pPr>
        <w:rPr>
          <w:rtl/>
          <w:lang w:bidi="ar-JO"/>
        </w:rPr>
      </w:pPr>
      <w:r w:rsidRPr="00A54789">
        <w:rPr>
          <w:lang w:bidi="ar-JO"/>
        </w:rPr>
        <w:t>6.X</w:t>
      </w:r>
      <w:r w:rsidRPr="00A54789">
        <w:rPr>
          <w:rFonts w:hint="cs"/>
          <w:rtl/>
          <w:lang w:bidi="ar-JO"/>
        </w:rPr>
        <w:tab/>
      </w:r>
      <w:r w:rsidRPr="00A54789">
        <w:rPr>
          <w:rFonts w:hint="cs"/>
          <w:rtl/>
          <w:lang w:bidi="ar-EG"/>
        </w:rPr>
        <w:t>و</w:t>
      </w:r>
      <w:r w:rsidRPr="00A54789">
        <w:rPr>
          <w:rFonts w:hint="cs"/>
          <w:rtl/>
          <w:lang w:bidi="ar-JO"/>
        </w:rPr>
        <w:t xml:space="preserve">في ظل عدم نص الاتفاق </w:t>
      </w:r>
      <w:r w:rsidRPr="00A54789">
        <w:rPr>
          <w:lang w:bidi="ar-JO"/>
        </w:rPr>
        <w:t>GE06</w:t>
      </w:r>
      <w:r w:rsidRPr="00A54789">
        <w:rPr>
          <w:rFonts w:hint="cs"/>
          <w:rtl/>
          <w:lang w:bidi="ar-JO"/>
        </w:rPr>
        <w:t xml:space="preserve"> على إجراء لاكتساب هذه الحقوق، ارتأت اللجنة أنه، ما</w:t>
      </w:r>
      <w:r w:rsidR="00D21339">
        <w:rPr>
          <w:rFonts w:hint="eastAsia"/>
          <w:rtl/>
          <w:lang w:bidi="ar-JO"/>
        </w:rPr>
        <w:t> </w:t>
      </w:r>
      <w:r w:rsidRPr="00A54789">
        <w:rPr>
          <w:rFonts w:hint="cs"/>
          <w:rtl/>
          <w:lang w:bidi="ar-JO"/>
        </w:rPr>
        <w:t>ل</w:t>
      </w:r>
      <w:r w:rsidR="00D21339">
        <w:rPr>
          <w:rFonts w:hint="cs"/>
          <w:rtl/>
          <w:lang w:bidi="ar-JO"/>
        </w:rPr>
        <w:t>‍</w:t>
      </w:r>
      <w:r w:rsidRPr="00A54789">
        <w:rPr>
          <w:rFonts w:hint="cs"/>
          <w:rtl/>
          <w:lang w:bidi="ar-JO"/>
        </w:rPr>
        <w:t>م يُتفق على خلاف ذلك بين الإدارات المعنية، لا</w:t>
      </w:r>
      <w:r w:rsidR="00DF0B67" w:rsidRPr="00A54789">
        <w:rPr>
          <w:rFonts w:hint="eastAsia"/>
          <w:rtl/>
          <w:lang w:bidi="ar-JO"/>
        </w:rPr>
        <w:t> </w:t>
      </w:r>
      <w:r w:rsidRPr="00A54789">
        <w:rPr>
          <w:rFonts w:hint="cs"/>
          <w:rtl/>
          <w:lang w:bidi="ar-JO"/>
        </w:rPr>
        <w:t xml:space="preserve">يجوز أن يطالَب لتخصيص </w:t>
      </w:r>
      <w:r w:rsidRPr="00A54789">
        <w:rPr>
          <w:rFonts w:hint="cs"/>
          <w:rtl/>
          <w:lang w:bidi="ar-JO"/>
        </w:rPr>
        <w:lastRenderedPageBreak/>
        <w:t>متوافق مع الخطة ومسجَّل في السجل الرئيسي بالحماية من التخصيصات المتوافقة مع الخطة والمقابلة لـمُدْخَل سُجِّل في الخطة قبل الـمُدْخَل المقابل للتخصيص المنشودة حمايته.</w:t>
      </w:r>
    </w:p>
    <w:p w:rsidR="00FE2AE4" w:rsidRPr="00A54789" w:rsidRDefault="00FE2AE4" w:rsidP="00571660">
      <w:pPr>
        <w:rPr>
          <w:rtl/>
          <w:lang w:bidi="ar-JO"/>
        </w:rPr>
      </w:pPr>
      <w:r w:rsidRPr="00A54789">
        <w:rPr>
          <w:lang w:bidi="ar-JO"/>
        </w:rPr>
        <w:t>7.X</w:t>
      </w:r>
      <w:r w:rsidRPr="00A54789">
        <w:rPr>
          <w:rFonts w:hint="cs"/>
          <w:rtl/>
          <w:lang w:bidi="ar-JO"/>
        </w:rPr>
        <w:tab/>
        <w:t xml:space="preserve">ولاحظت اللجنة أن عدة أحكام واردة في الاتفاق </w:t>
      </w:r>
      <w:r w:rsidRPr="00A54789">
        <w:rPr>
          <w:lang w:bidi="ar-JO"/>
        </w:rPr>
        <w:t>GE06</w:t>
      </w:r>
      <w:r w:rsidRPr="00A54789">
        <w:rPr>
          <w:rFonts w:hint="cs"/>
          <w:rtl/>
          <w:lang w:bidi="ar-JO"/>
        </w:rPr>
        <w:t xml:space="preserve"> تشير إلى أنه، بعد النجاح في تطبيق الإجراء المعني، يكون للمُدْخَل الجديد نفس الوضع الذي لسائر الـمُدْخَلات في الخطة. وتماشياً مع الاعتبارات الواردة أعلاه، ترى اللجنة أن جميع الـمُدْخَلات في الخطة تستتبع حقَّ التخصيصات المقابلة لها في الإرسال وحق هذه التخصيصات في الحماية من الـمُدْخَلات اللاحقةِ الإدراجِ في الخطة. فالتوافق مع الخطة لا</w:t>
      </w:r>
      <w:r w:rsidR="00571660">
        <w:rPr>
          <w:rFonts w:hint="eastAsia"/>
          <w:rtl/>
          <w:lang w:bidi="ar-JO"/>
        </w:rPr>
        <w:t> </w:t>
      </w:r>
      <w:r w:rsidRPr="00A54789">
        <w:rPr>
          <w:rFonts w:hint="cs"/>
          <w:rtl/>
          <w:lang w:bidi="ar-JO"/>
        </w:rPr>
        <w:t>يستتبع التمتع بحق الحماية من الـمُدْخَلات السابقةِ الإدراجِ فيها.</w:t>
      </w:r>
    </w:p>
    <w:p w:rsidR="00FE2AE4" w:rsidRPr="00A54789" w:rsidRDefault="00FE2AE4" w:rsidP="007B2742">
      <w:pPr>
        <w:keepNext/>
        <w:keepLines/>
        <w:rPr>
          <w:rtl/>
          <w:lang w:bidi="ar-JO"/>
        </w:rPr>
      </w:pPr>
      <w:r w:rsidRPr="00A54789">
        <w:rPr>
          <w:lang w:bidi="ar-JO"/>
        </w:rPr>
        <w:t>8.X</w:t>
      </w:r>
      <w:r w:rsidRPr="00A54789">
        <w:rPr>
          <w:rFonts w:hint="cs"/>
          <w:rtl/>
          <w:lang w:bidi="ar-JO"/>
        </w:rPr>
        <w:tab/>
        <w:t xml:space="preserve">كما لاحظت اللجنة أن عدة إدارات أبلغت إلى المكتب تعديلات </w:t>
      </w:r>
      <w:r w:rsidR="0083004A" w:rsidRPr="00A54789">
        <w:rPr>
          <w:rFonts w:hint="cs"/>
          <w:rtl/>
          <w:lang w:bidi="ar-JO"/>
        </w:rPr>
        <w:t>يُقترح</w:t>
      </w:r>
      <w:r w:rsidRPr="00A54789">
        <w:rPr>
          <w:rFonts w:hint="cs"/>
          <w:rtl/>
          <w:lang w:bidi="ar-JO"/>
        </w:rPr>
        <w:t xml:space="preserve"> إدخالها على خطة الاتفاق</w:t>
      </w:r>
      <w:r w:rsidR="002E6B61" w:rsidRPr="00A54789">
        <w:rPr>
          <w:rFonts w:hint="eastAsia"/>
          <w:rtl/>
          <w:lang w:bidi="ar-JO"/>
        </w:rPr>
        <w:t> </w:t>
      </w:r>
      <w:r w:rsidRPr="00A54789">
        <w:rPr>
          <w:lang w:bidi="ar-JO"/>
        </w:rPr>
        <w:t>GE06</w:t>
      </w:r>
      <w:r w:rsidRPr="00A54789">
        <w:rPr>
          <w:rFonts w:hint="cs"/>
          <w:rtl/>
          <w:lang w:bidi="ar-JO"/>
        </w:rPr>
        <w:t xml:space="preserve"> على أساس </w:t>
      </w:r>
      <w:r w:rsidR="00396488" w:rsidRPr="00A54789">
        <w:rPr>
          <w:rFonts w:hint="cs"/>
          <w:rtl/>
          <w:lang w:bidi="ar-JO"/>
        </w:rPr>
        <w:t xml:space="preserve">وجود محطات </w:t>
      </w:r>
      <w:r w:rsidRPr="00A54789">
        <w:rPr>
          <w:rFonts w:hint="cs"/>
          <w:rtl/>
          <w:lang w:bidi="ar-JO"/>
        </w:rPr>
        <w:t>منخفضة القدرة قرب حدود أراضيها على نحو لا</w:t>
      </w:r>
      <w:r w:rsidR="00BE7151">
        <w:rPr>
          <w:rFonts w:hint="eastAsia"/>
          <w:rtl/>
          <w:lang w:bidi="ar-JO"/>
        </w:rPr>
        <w:t> </w:t>
      </w:r>
      <w:r w:rsidRPr="00A54789">
        <w:rPr>
          <w:rFonts w:hint="cs"/>
          <w:rtl/>
          <w:lang w:bidi="ar-JO"/>
        </w:rPr>
        <w:t>يُفَعِّل الحدود المبيَّنة في الملحق</w:t>
      </w:r>
      <w:r w:rsidR="0080389E">
        <w:rPr>
          <w:rFonts w:hint="eastAsia"/>
          <w:rtl/>
          <w:lang w:bidi="ar-JO"/>
        </w:rPr>
        <w:t> </w:t>
      </w:r>
      <w:r w:rsidRPr="00A54789">
        <w:rPr>
          <w:lang w:bidi="ar-JO"/>
        </w:rPr>
        <w:t>4</w:t>
      </w:r>
      <w:r w:rsidRPr="00A54789">
        <w:rPr>
          <w:rFonts w:hint="cs"/>
          <w:rtl/>
          <w:lang w:bidi="ar-JO"/>
        </w:rPr>
        <w:t xml:space="preserve"> للاتفاق</w:t>
      </w:r>
      <w:r w:rsidR="00B23307">
        <w:rPr>
          <w:rFonts w:hint="eastAsia"/>
          <w:rtl/>
          <w:lang w:bidi="ar-JO"/>
        </w:rPr>
        <w:t> </w:t>
      </w:r>
      <w:r w:rsidRPr="00A54789">
        <w:rPr>
          <w:lang w:bidi="ar-JO"/>
        </w:rPr>
        <w:t>GE06</w:t>
      </w:r>
      <w:r w:rsidRPr="00A54789">
        <w:rPr>
          <w:rFonts w:hint="cs"/>
          <w:rtl/>
          <w:lang w:bidi="ar-JO"/>
        </w:rPr>
        <w:t>. وتماشياً مع الاعتبارات الواردة أعلاه، ترى اللجنة أن إدراج التخصيصات المقابلة في الخطة و/أو في السجل الأساسي الدولي للترددات</w:t>
      </w:r>
      <w:r w:rsidR="00216DEB" w:rsidRPr="00A54789">
        <w:rPr>
          <w:rFonts w:hint="eastAsia"/>
          <w:rtl/>
          <w:lang w:bidi="ar-JO"/>
        </w:rPr>
        <w:t> </w:t>
      </w:r>
      <w:r w:rsidRPr="00A54789">
        <w:rPr>
          <w:lang w:bidi="ar-JO"/>
        </w:rPr>
        <w:t>(MIFR)</w:t>
      </w:r>
      <w:r w:rsidRPr="00A54789">
        <w:rPr>
          <w:rFonts w:hint="cs"/>
          <w:rtl/>
          <w:lang w:bidi="ar-JO"/>
        </w:rPr>
        <w:t xml:space="preserve"> لا</w:t>
      </w:r>
      <w:r w:rsidR="00216DEB" w:rsidRPr="00A54789">
        <w:rPr>
          <w:rFonts w:hint="eastAsia"/>
          <w:rtl/>
          <w:lang w:bidi="ar-JO"/>
        </w:rPr>
        <w:t> </w:t>
      </w:r>
      <w:r w:rsidR="005B3927" w:rsidRPr="00A54789">
        <w:rPr>
          <w:rFonts w:hint="cs"/>
          <w:rtl/>
          <w:lang w:bidi="ar-JO"/>
        </w:rPr>
        <w:t>يمنح أي</w:t>
      </w:r>
      <w:r w:rsidRPr="00A54789">
        <w:rPr>
          <w:rFonts w:hint="cs"/>
          <w:rtl/>
          <w:lang w:bidi="ar-JO"/>
        </w:rPr>
        <w:t xml:space="preserve"> حقوق إضافية في حماية التخصيصات المعنية من التخصيصات التي سبق إدراجها في الخطة أو</w:t>
      </w:r>
      <w:r w:rsidR="007B2742">
        <w:rPr>
          <w:rFonts w:hint="eastAsia"/>
          <w:rtl/>
          <w:lang w:bidi="ar-JO"/>
        </w:rPr>
        <w:t> </w:t>
      </w:r>
      <w:r w:rsidRPr="00A54789">
        <w:rPr>
          <w:rFonts w:hint="cs"/>
          <w:rtl/>
          <w:lang w:bidi="ar-JO"/>
        </w:rPr>
        <w:t>التي تدرج في الخطة لاحقاً، وذلك للسببين التاليين:</w:t>
      </w:r>
    </w:p>
    <w:p w:rsidR="00FE2AE4" w:rsidRPr="00A54789" w:rsidRDefault="00216DEB" w:rsidP="00E01BEC">
      <w:pPr>
        <w:pStyle w:val="enumlev1"/>
      </w:pPr>
      <w:r w:rsidRPr="00A54789">
        <w:rPr>
          <w:rFonts w:hint="cs"/>
          <w:rtl/>
          <w:lang w:bidi="ar-JO"/>
        </w:rPr>
        <w:t>-</w:t>
      </w:r>
      <w:r w:rsidRPr="00A54789">
        <w:rPr>
          <w:rFonts w:hint="cs"/>
          <w:rtl/>
          <w:lang w:bidi="ar-JO"/>
        </w:rPr>
        <w:tab/>
      </w:r>
      <w:r w:rsidR="00FE2AE4" w:rsidRPr="00A54789">
        <w:rPr>
          <w:rFonts w:hint="cs"/>
          <w:rtl/>
          <w:lang w:bidi="ar-JO"/>
        </w:rPr>
        <w:t xml:space="preserve">أنه </w:t>
      </w:r>
      <w:r w:rsidR="00FE2AE4" w:rsidRPr="00A54789">
        <w:rPr>
          <w:rFonts w:hint="cs"/>
          <w:rtl/>
        </w:rPr>
        <w:t>لا</w:t>
      </w:r>
      <w:r w:rsidR="00785C0D" w:rsidRPr="00A54789">
        <w:rPr>
          <w:rFonts w:hint="eastAsia"/>
          <w:rtl/>
        </w:rPr>
        <w:t> </w:t>
      </w:r>
      <w:r w:rsidR="00785C0D" w:rsidRPr="00A54789">
        <w:rPr>
          <w:rFonts w:hint="cs"/>
          <w:rtl/>
        </w:rPr>
        <w:t>يمكن الحصول على</w:t>
      </w:r>
      <w:r w:rsidR="00FE2AE4" w:rsidRPr="00A54789">
        <w:rPr>
          <w:rFonts w:hint="cs"/>
          <w:rtl/>
        </w:rPr>
        <w:t xml:space="preserve"> الحماية من التخصيصات التي سبق إدراجها في الخطة عن تطبيق المادة</w:t>
      </w:r>
      <w:r w:rsidR="00366166" w:rsidRPr="00A54789">
        <w:rPr>
          <w:rFonts w:hint="eastAsia"/>
          <w:rtl/>
        </w:rPr>
        <w:t> </w:t>
      </w:r>
      <w:r w:rsidR="00FE2AE4" w:rsidRPr="00A54789">
        <w:t>4</w:t>
      </w:r>
      <w:r w:rsidR="00FE2AE4" w:rsidRPr="00A54789">
        <w:rPr>
          <w:rFonts w:hint="cs"/>
          <w:rtl/>
          <w:lang w:bidi="ar-JO"/>
        </w:rPr>
        <w:t xml:space="preserve"> إذا ل</w:t>
      </w:r>
      <w:r w:rsidR="00E01BEC">
        <w:rPr>
          <w:rFonts w:hint="cs"/>
          <w:rtl/>
          <w:lang w:bidi="ar-JO"/>
        </w:rPr>
        <w:t>‍</w:t>
      </w:r>
      <w:r w:rsidR="00FE2AE4" w:rsidRPr="00A54789">
        <w:rPr>
          <w:rFonts w:hint="cs"/>
          <w:rtl/>
          <w:lang w:bidi="ar-JO"/>
        </w:rPr>
        <w:t>م</w:t>
      </w:r>
      <w:r w:rsidR="00E01BEC">
        <w:rPr>
          <w:rFonts w:hint="eastAsia"/>
          <w:rtl/>
          <w:lang w:bidi="ar-JO"/>
        </w:rPr>
        <w:t> </w:t>
      </w:r>
      <w:r w:rsidR="005F66DE" w:rsidRPr="00A54789">
        <w:rPr>
          <w:rFonts w:hint="cs"/>
          <w:rtl/>
          <w:lang w:bidi="ar-JO"/>
        </w:rPr>
        <w:t>يحدث تجاوز للحدود</w:t>
      </w:r>
      <w:r w:rsidR="00FE2AE4" w:rsidRPr="00A54789">
        <w:rPr>
          <w:rFonts w:hint="cs"/>
          <w:rtl/>
          <w:lang w:bidi="ar-JO"/>
        </w:rPr>
        <w:t xml:space="preserve"> المبيَّنة في الملحق</w:t>
      </w:r>
      <w:r w:rsidR="0021604D" w:rsidRPr="00A54789">
        <w:rPr>
          <w:rFonts w:hint="eastAsia"/>
          <w:rtl/>
          <w:lang w:bidi="ar-JO"/>
        </w:rPr>
        <w:t> </w:t>
      </w:r>
      <w:r w:rsidR="00FE2AE4" w:rsidRPr="00A54789">
        <w:rPr>
          <w:lang w:bidi="ar-JO"/>
        </w:rPr>
        <w:t>4</w:t>
      </w:r>
      <w:r w:rsidR="00FE2AE4" w:rsidRPr="00A54789">
        <w:rPr>
          <w:rFonts w:hint="cs"/>
          <w:rtl/>
          <w:lang w:bidi="ar-JO"/>
        </w:rPr>
        <w:t>،</w:t>
      </w:r>
    </w:p>
    <w:p w:rsidR="00FE2AE4" w:rsidRPr="00A54789" w:rsidRDefault="00216DEB" w:rsidP="00F47303">
      <w:pPr>
        <w:pStyle w:val="enumlev1"/>
      </w:pPr>
      <w:r w:rsidRPr="00A54789">
        <w:rPr>
          <w:rFonts w:hint="cs"/>
          <w:rtl/>
          <w:lang w:bidi="ar-JO"/>
        </w:rPr>
        <w:t>-</w:t>
      </w:r>
      <w:r w:rsidRPr="00A54789">
        <w:rPr>
          <w:rFonts w:hint="cs"/>
          <w:rtl/>
          <w:lang w:bidi="ar-JO"/>
        </w:rPr>
        <w:tab/>
      </w:r>
      <w:r w:rsidR="00FE2AE4" w:rsidRPr="00A54789">
        <w:rPr>
          <w:rFonts w:hint="cs"/>
          <w:rtl/>
          <w:lang w:bidi="ar-JO"/>
        </w:rPr>
        <w:t>أن الحماية من التخصيصات التي تُدرج في الخطة لاحقاً تتوفر بموجب المادة</w:t>
      </w:r>
      <w:r w:rsidR="00375187" w:rsidRPr="00A54789">
        <w:rPr>
          <w:rFonts w:hint="eastAsia"/>
          <w:rtl/>
          <w:lang w:bidi="ar-JO"/>
        </w:rPr>
        <w:t> </w:t>
      </w:r>
      <w:r w:rsidR="00FE2AE4" w:rsidRPr="00A54789">
        <w:rPr>
          <w:lang w:bidi="ar-JO"/>
        </w:rPr>
        <w:t>4</w:t>
      </w:r>
      <w:r w:rsidR="00FE2AE4" w:rsidRPr="00A54789">
        <w:rPr>
          <w:rFonts w:hint="cs"/>
          <w:rtl/>
          <w:lang w:bidi="ar-JO"/>
        </w:rPr>
        <w:t xml:space="preserve"> بحيث تُحمى أراضي الإدارة فيما</w:t>
      </w:r>
      <w:r w:rsidR="00734ACD" w:rsidRPr="00A54789">
        <w:rPr>
          <w:rFonts w:hint="eastAsia"/>
          <w:rtl/>
          <w:lang w:bidi="ar-JO"/>
        </w:rPr>
        <w:t> </w:t>
      </w:r>
      <w:r w:rsidR="00FE2AE4" w:rsidRPr="00A54789">
        <w:rPr>
          <w:rFonts w:hint="cs"/>
          <w:rtl/>
          <w:lang w:bidi="ar-JO"/>
        </w:rPr>
        <w:t xml:space="preserve">يخص البث على أي </w:t>
      </w:r>
      <w:r w:rsidR="00B11CCC" w:rsidRPr="00A54789">
        <w:rPr>
          <w:rFonts w:hint="cs"/>
          <w:rtl/>
          <w:lang w:bidi="ar-JO"/>
        </w:rPr>
        <w:t>قناة</w:t>
      </w:r>
      <w:r w:rsidR="00FE2AE4" w:rsidRPr="00A54789">
        <w:rPr>
          <w:rFonts w:hint="cs"/>
          <w:rtl/>
          <w:lang w:bidi="ar-JO"/>
        </w:rPr>
        <w:t xml:space="preserve"> ولا</w:t>
      </w:r>
      <w:r w:rsidR="00CF3382" w:rsidRPr="00A54789">
        <w:rPr>
          <w:rFonts w:hint="eastAsia"/>
          <w:rtl/>
          <w:lang w:bidi="ar-JO"/>
        </w:rPr>
        <w:t> </w:t>
      </w:r>
      <w:r w:rsidR="00FE2AE4" w:rsidRPr="00A54789">
        <w:rPr>
          <w:rFonts w:hint="cs"/>
          <w:rtl/>
          <w:lang w:bidi="ar-JO"/>
        </w:rPr>
        <w:t>تؤخذ بالحسبان التخصيصات المدرجة في الخطة أو في السجل الأساسي الدولي</w:t>
      </w:r>
      <w:r w:rsidRPr="00A54789">
        <w:rPr>
          <w:rFonts w:hint="eastAsia"/>
          <w:rtl/>
          <w:lang w:bidi="ar-JO"/>
        </w:rPr>
        <w:t> </w:t>
      </w:r>
      <w:r w:rsidR="00FE2AE4" w:rsidRPr="00A54789">
        <w:rPr>
          <w:rFonts w:hint="cs"/>
          <w:rtl/>
          <w:lang w:bidi="ar-JO"/>
        </w:rPr>
        <w:t>للترددات.</w:t>
      </w:r>
    </w:p>
    <w:p w:rsidR="00FE2AE4" w:rsidRPr="00A54789" w:rsidRDefault="00FE2AE4" w:rsidP="002107AE">
      <w:pPr>
        <w:rPr>
          <w:rtl/>
          <w:lang w:bidi="ar-JO"/>
        </w:rPr>
      </w:pPr>
      <w:r w:rsidRPr="00A54789">
        <w:rPr>
          <w:lang w:bidi="ar-JO"/>
        </w:rPr>
        <w:t>9.X</w:t>
      </w:r>
      <w:r w:rsidRPr="00A54789">
        <w:rPr>
          <w:rFonts w:hint="cs"/>
          <w:rtl/>
          <w:lang w:bidi="ar-JO"/>
        </w:rPr>
        <w:tab/>
        <w:t>ولاحظت اللجنة أيضاً أن هذه القاعدة الإجرائية لا</w:t>
      </w:r>
      <w:r w:rsidR="00C07E9E" w:rsidRPr="00A54789">
        <w:rPr>
          <w:rFonts w:hint="eastAsia"/>
          <w:rtl/>
          <w:lang w:bidi="ar-JO"/>
        </w:rPr>
        <w:t> </w:t>
      </w:r>
      <w:r w:rsidRPr="00A54789">
        <w:rPr>
          <w:rFonts w:hint="cs"/>
          <w:rtl/>
          <w:lang w:bidi="ar-JO"/>
        </w:rPr>
        <w:t xml:space="preserve">تقضي بإدخال أي تعديل على الممارسة التي يتّبعها المكتب حالياً </w:t>
      </w:r>
      <w:r w:rsidR="000A4EBD" w:rsidRPr="00A54789">
        <w:rPr>
          <w:rFonts w:hint="cs"/>
          <w:rtl/>
          <w:lang w:bidi="ar-JO"/>
        </w:rPr>
        <w:t>في معالجة بطاقات التبليغ</w:t>
      </w:r>
      <w:r w:rsidRPr="00A54789">
        <w:rPr>
          <w:rFonts w:hint="cs"/>
          <w:rtl/>
          <w:lang w:bidi="ar-JO"/>
        </w:rPr>
        <w:t xml:space="preserve"> فيما</w:t>
      </w:r>
      <w:r w:rsidR="00734ACD" w:rsidRPr="00A54789">
        <w:rPr>
          <w:rFonts w:hint="eastAsia"/>
          <w:rtl/>
          <w:lang w:bidi="ar-JO"/>
        </w:rPr>
        <w:t> </w:t>
      </w:r>
      <w:r w:rsidRPr="00A54789">
        <w:rPr>
          <w:rFonts w:hint="cs"/>
          <w:rtl/>
          <w:lang w:bidi="ar-JO"/>
        </w:rPr>
        <w:t>يخص تطبيق المادتين</w:t>
      </w:r>
      <w:r w:rsidR="002107AE">
        <w:rPr>
          <w:rFonts w:hint="eastAsia"/>
          <w:rtl/>
          <w:lang w:bidi="ar-JO"/>
        </w:rPr>
        <w:t> </w:t>
      </w:r>
      <w:r w:rsidRPr="00A54789">
        <w:rPr>
          <w:lang w:bidi="ar-JO"/>
        </w:rPr>
        <w:t>4</w:t>
      </w:r>
      <w:r w:rsidRPr="00A54789">
        <w:rPr>
          <w:rFonts w:hint="cs"/>
          <w:rtl/>
          <w:lang w:bidi="ar-JO"/>
        </w:rPr>
        <w:t xml:space="preserve"> و</w:t>
      </w:r>
      <w:r w:rsidRPr="00A54789">
        <w:rPr>
          <w:lang w:bidi="ar-JO"/>
        </w:rPr>
        <w:t>5</w:t>
      </w:r>
      <w:r w:rsidRPr="00A54789">
        <w:rPr>
          <w:rFonts w:hint="cs"/>
          <w:rtl/>
          <w:lang w:bidi="ar-JO"/>
        </w:rPr>
        <w:t xml:space="preserve"> من الاتفاق</w:t>
      </w:r>
      <w:r w:rsidR="002107AE">
        <w:rPr>
          <w:rFonts w:hint="eastAsia"/>
          <w:rtl/>
          <w:lang w:bidi="ar-JO"/>
        </w:rPr>
        <w:t> </w:t>
      </w:r>
      <w:r w:rsidRPr="00A54789">
        <w:rPr>
          <w:lang w:bidi="ar-JO"/>
        </w:rPr>
        <w:t>GE06</w:t>
      </w:r>
      <w:r w:rsidRPr="00A54789">
        <w:rPr>
          <w:rFonts w:hint="cs"/>
          <w:rtl/>
          <w:lang w:bidi="ar-JO"/>
        </w:rPr>
        <w:t>.</w:t>
      </w:r>
    </w:p>
    <w:p w:rsidR="00FE2AE4" w:rsidRPr="00CD331B" w:rsidRDefault="00FE2AE4" w:rsidP="00216DEB">
      <w:pPr>
        <w:rPr>
          <w:lang w:bidi="ar-JO"/>
        </w:rPr>
      </w:pPr>
      <w:r w:rsidRPr="00A54789">
        <w:rPr>
          <w:lang w:bidi="ar-JO"/>
        </w:rPr>
        <w:t>10.X</w:t>
      </w:r>
      <w:r w:rsidRPr="00A54789">
        <w:rPr>
          <w:rFonts w:hint="cs"/>
          <w:rtl/>
          <w:lang w:bidi="ar-JO"/>
        </w:rPr>
        <w:tab/>
        <w:t>إن هذه القاعدة الإجرائية واجبة التطبيق فورا</w:t>
      </w:r>
      <w:r w:rsidR="007B2742">
        <w:rPr>
          <w:rFonts w:hint="cs"/>
          <w:rtl/>
          <w:lang w:bidi="ar-JO"/>
        </w:rPr>
        <w:t>ً، بصرف النظر عن تاريخ إدراج ال</w:t>
      </w:r>
      <w:r w:rsidRPr="00A54789">
        <w:rPr>
          <w:rFonts w:hint="cs"/>
          <w:rtl/>
          <w:lang w:bidi="ar-JO"/>
        </w:rPr>
        <w:t>مُدْخَل المتعلق بالتخصيصات/التعيينات المعنية في الخطة/السجل الأساسي الدولي للترددات.</w:t>
      </w:r>
    </w:p>
    <w:p w:rsidR="00FE2AE4" w:rsidRPr="00FE2AE4" w:rsidRDefault="00553633" w:rsidP="00FE2AE4">
      <w:pPr>
        <w:spacing w:before="600"/>
        <w:jc w:val="center"/>
        <w:rPr>
          <w:rtl/>
          <w:lang w:bidi="ar-EG"/>
        </w:rPr>
      </w:pPr>
      <w:r>
        <w:rPr>
          <w:rFonts w:hint="cs"/>
          <w:rtl/>
          <w:lang w:bidi="ar-EG"/>
        </w:rPr>
        <w:t>___________</w:t>
      </w:r>
    </w:p>
    <w:sectPr w:rsidR="00FE2AE4" w:rsidRPr="00FE2AE4" w:rsidSect="00FE2AE4">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2D" w:rsidRDefault="0052012D" w:rsidP="00F36590">
      <w:pPr>
        <w:spacing w:before="0" w:line="240" w:lineRule="auto"/>
      </w:pPr>
      <w:r>
        <w:separator/>
      </w:r>
    </w:p>
  </w:endnote>
  <w:endnote w:type="continuationSeparator" w:id="0">
    <w:p w:rsidR="0052012D" w:rsidRDefault="0052012D"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D0" w:rsidRPr="00CF17D0" w:rsidRDefault="00CF17D0" w:rsidP="00CF17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Calibri"/>
        <w:color w:val="3E8EDE"/>
        <w:sz w:val="18"/>
        <w:szCs w:val="18"/>
        <w:lang w:eastAsia="en-US"/>
      </w:rPr>
    </w:pPr>
    <w:r w:rsidRPr="00CF17D0">
      <w:rPr>
        <w:rFonts w:eastAsia="Times New Roman" w:cs="Calibri"/>
        <w:color w:val="3E8EDE"/>
        <w:sz w:val="18"/>
        <w:szCs w:val="18"/>
        <w:lang w:eastAsia="en-US"/>
      </w:rPr>
      <w:t>International Telecommunication Union • Place des Nations, CH</w:t>
    </w:r>
    <w:r w:rsidRPr="00CF17D0">
      <w:rPr>
        <w:rFonts w:eastAsia="Times New Roman" w:cs="Calibri"/>
        <w:color w:val="3E8EDE"/>
        <w:sz w:val="18"/>
        <w:szCs w:val="18"/>
        <w:lang w:eastAsia="en-US"/>
      </w:rPr>
      <w:noBreakHyphen/>
      <w:t xml:space="preserve">1211 Geneva 20, Switzerland </w:t>
    </w:r>
    <w:r w:rsidRPr="00CF17D0">
      <w:rPr>
        <w:rFonts w:eastAsia="Times New Roman" w:cs="Calibri"/>
        <w:color w:val="3E8EDE"/>
        <w:sz w:val="18"/>
        <w:szCs w:val="18"/>
        <w:lang w:eastAsia="en-US"/>
      </w:rPr>
      <w:br/>
      <w:t xml:space="preserve">Tel: +41 22 730 5111 • Fax: +41 22 733 7256 • </w:t>
    </w:r>
    <w:r w:rsidRPr="00CF17D0">
      <w:rPr>
        <w:rFonts w:eastAsia="Times New Roman" w:cs="Calibri"/>
        <w:color w:val="3E8EDE"/>
        <w:sz w:val="18"/>
        <w:szCs w:val="18"/>
        <w:lang w:eastAsia="en-US"/>
      </w:rPr>
      <w:br/>
      <w:t xml:space="preserve">E-mail: </w:t>
    </w:r>
    <w:hyperlink r:id="rId1" w:history="1">
      <w:r w:rsidRPr="00CF17D0">
        <w:rPr>
          <w:rFonts w:eastAsia="Times New Roman" w:cs="Calibri"/>
          <w:color w:val="3E8EDE"/>
          <w:sz w:val="18"/>
          <w:szCs w:val="18"/>
          <w:lang w:eastAsia="en-US"/>
        </w:rPr>
        <w:t>itumail@itu.int</w:t>
      </w:r>
    </w:hyperlink>
    <w:r w:rsidRPr="00CF17D0">
      <w:rPr>
        <w:rFonts w:eastAsia="Times New Roman" w:cs="Calibri"/>
        <w:color w:val="3E8EDE"/>
        <w:sz w:val="18"/>
        <w:szCs w:val="18"/>
        <w:lang w:eastAsia="en-US"/>
      </w:rPr>
      <w:t xml:space="preserve"> • </w:t>
    </w:r>
    <w:hyperlink r:id="rId2" w:history="1">
      <w:r w:rsidRPr="00CF17D0">
        <w:rPr>
          <w:rFonts w:eastAsia="Times New Roman" w:cs="Calibri"/>
          <w:color w:val="3E8EDE"/>
          <w:sz w:val="18"/>
          <w:szCs w:val="18"/>
          <w:lang w:eastAsia="en-US"/>
        </w:rPr>
        <w:t>www.itu.int</w:t>
      </w:r>
    </w:hyperlink>
    <w:r w:rsidRPr="00CF17D0">
      <w:rPr>
        <w:rFonts w:eastAsia="Times New Roman" w:cs="Calibri"/>
        <w:color w:val="3E8EDE"/>
        <w:sz w:val="18"/>
        <w:szCs w:val="18"/>
        <w:lang w:eastAsia="en-US"/>
      </w:rPr>
      <w:t xml:space="preserve"> • </w:t>
    </w:r>
    <w:hyperlink r:id="rId3" w:history="1">
      <w:r w:rsidRPr="00CF17D0">
        <w:rPr>
          <w:rFonts w:eastAsia="Times New Roman" w:cs="Calibri"/>
          <w:color w:val="3E8EDE"/>
          <w:sz w:val="18"/>
          <w:szCs w:val="22"/>
          <w:lang w:eastAsia="en-U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2D" w:rsidRDefault="0052012D" w:rsidP="00F36590">
      <w:pPr>
        <w:spacing w:before="0" w:line="240" w:lineRule="auto"/>
      </w:pPr>
      <w:r>
        <w:separator/>
      </w:r>
    </w:p>
  </w:footnote>
  <w:footnote w:type="continuationSeparator" w:id="0">
    <w:p w:rsidR="0052012D" w:rsidRDefault="0052012D"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2D" w:rsidRPr="00B11105" w:rsidRDefault="0052012D"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A76F91">
      <w:rPr>
        <w:rFonts w:cs="Calibri"/>
        <w:noProof/>
        <w:sz w:val="20"/>
        <w:szCs w:val="20"/>
        <w:lang w:val="en-GB"/>
      </w:rPr>
      <w:t>2</w:t>
    </w:r>
    <w:r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CA3992" w:rsidRPr="00F36590" w:rsidTr="00CA326D">
      <w:trPr>
        <w:jc w:val="center"/>
      </w:trPr>
      <w:tc>
        <w:tcPr>
          <w:tcW w:w="2472" w:type="pct"/>
          <w:vAlign w:val="center"/>
        </w:tcPr>
        <w:p w:rsidR="00CA3992" w:rsidRPr="00F36590" w:rsidRDefault="00CA3992" w:rsidP="00CA3992">
          <w:pPr>
            <w:pStyle w:val="Header"/>
            <w:jc w:val="left"/>
            <w:rPr>
              <w:lang w:val="en-GB"/>
            </w:rPr>
          </w:pPr>
          <w:r w:rsidRPr="00F36590">
            <w:rPr>
              <w:b/>
              <w:bCs/>
              <w:noProof/>
              <w:lang w:val="en-GB"/>
            </w:rPr>
            <w:drawing>
              <wp:inline distT="0" distB="0" distL="0" distR="0" wp14:anchorId="7482298E" wp14:editId="40813568">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CA3992" w:rsidRPr="00F36590" w:rsidRDefault="00CA3992" w:rsidP="00CA3992">
          <w:pPr>
            <w:pStyle w:val="Header"/>
            <w:jc w:val="right"/>
            <w:rPr>
              <w:lang w:val="en-GB"/>
            </w:rPr>
          </w:pPr>
          <w:r w:rsidRPr="00F36590">
            <w:rPr>
              <w:noProof/>
              <w:lang w:val="en-GB"/>
            </w:rPr>
            <w:drawing>
              <wp:inline distT="0" distB="0" distL="0" distR="0" wp14:anchorId="37EAA455" wp14:editId="3FAF2AA5">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52012D" w:rsidRPr="00CA3992" w:rsidRDefault="0052012D" w:rsidP="007E6E52">
    <w:pPr>
      <w:pStyle w:val="Header"/>
      <w:rPr>
        <w:rFonts w:cstheme="minorBidi"/>
        <w:sz w:val="2"/>
        <w:szCs w:val="2"/>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0"/>
    <w:rsid w:val="00005A10"/>
    <w:rsid w:val="00017782"/>
    <w:rsid w:val="00017ACC"/>
    <w:rsid w:val="00051601"/>
    <w:rsid w:val="000539EF"/>
    <w:rsid w:val="00061AED"/>
    <w:rsid w:val="00071FA2"/>
    <w:rsid w:val="00090574"/>
    <w:rsid w:val="00093644"/>
    <w:rsid w:val="000A4EBD"/>
    <w:rsid w:val="000A55A9"/>
    <w:rsid w:val="000B73F4"/>
    <w:rsid w:val="000C211B"/>
    <w:rsid w:val="000D6AFF"/>
    <w:rsid w:val="001143C4"/>
    <w:rsid w:val="00143EC7"/>
    <w:rsid w:val="00154B47"/>
    <w:rsid w:val="00162261"/>
    <w:rsid w:val="00174F29"/>
    <w:rsid w:val="001771C1"/>
    <w:rsid w:val="001778C9"/>
    <w:rsid w:val="0018447A"/>
    <w:rsid w:val="00185530"/>
    <w:rsid w:val="00185E59"/>
    <w:rsid w:val="001B33C7"/>
    <w:rsid w:val="001D1394"/>
    <w:rsid w:val="001D1D7B"/>
    <w:rsid w:val="001E6870"/>
    <w:rsid w:val="001E77CF"/>
    <w:rsid w:val="00201FBB"/>
    <w:rsid w:val="002042BF"/>
    <w:rsid w:val="00206C6A"/>
    <w:rsid w:val="002107AE"/>
    <w:rsid w:val="00214C00"/>
    <w:rsid w:val="0021604D"/>
    <w:rsid w:val="00216DEB"/>
    <w:rsid w:val="0022157F"/>
    <w:rsid w:val="00224FDF"/>
    <w:rsid w:val="0023283D"/>
    <w:rsid w:val="00241274"/>
    <w:rsid w:val="002434BA"/>
    <w:rsid w:val="002461E8"/>
    <w:rsid w:val="00257657"/>
    <w:rsid w:val="00263771"/>
    <w:rsid w:val="002852A2"/>
    <w:rsid w:val="00285C3D"/>
    <w:rsid w:val="00290B3E"/>
    <w:rsid w:val="002978F4"/>
    <w:rsid w:val="002A5CAD"/>
    <w:rsid w:val="002A6914"/>
    <w:rsid w:val="002B028D"/>
    <w:rsid w:val="002B2F81"/>
    <w:rsid w:val="002B3DBA"/>
    <w:rsid w:val="002C3A1C"/>
    <w:rsid w:val="002E3785"/>
    <w:rsid w:val="002E6541"/>
    <w:rsid w:val="002E6B61"/>
    <w:rsid w:val="002F27AE"/>
    <w:rsid w:val="002F4542"/>
    <w:rsid w:val="002F6320"/>
    <w:rsid w:val="00311660"/>
    <w:rsid w:val="003152D3"/>
    <w:rsid w:val="00322B3E"/>
    <w:rsid w:val="00335CE7"/>
    <w:rsid w:val="0033642C"/>
    <w:rsid w:val="003403A3"/>
    <w:rsid w:val="00341FFF"/>
    <w:rsid w:val="003432D3"/>
    <w:rsid w:val="00353BCF"/>
    <w:rsid w:val="00357185"/>
    <w:rsid w:val="00360601"/>
    <w:rsid w:val="00366166"/>
    <w:rsid w:val="00375187"/>
    <w:rsid w:val="00395E18"/>
    <w:rsid w:val="00396488"/>
    <w:rsid w:val="00397D43"/>
    <w:rsid w:val="003A74B4"/>
    <w:rsid w:val="003B65BD"/>
    <w:rsid w:val="003B6868"/>
    <w:rsid w:val="003B7F83"/>
    <w:rsid w:val="003C72A4"/>
    <w:rsid w:val="003D3325"/>
    <w:rsid w:val="003D39A0"/>
    <w:rsid w:val="003F0685"/>
    <w:rsid w:val="003F1045"/>
    <w:rsid w:val="003F67E9"/>
    <w:rsid w:val="0040525C"/>
    <w:rsid w:val="00421724"/>
    <w:rsid w:val="0042276B"/>
    <w:rsid w:val="0042686F"/>
    <w:rsid w:val="00433A39"/>
    <w:rsid w:val="00443869"/>
    <w:rsid w:val="00455C26"/>
    <w:rsid w:val="00475C7F"/>
    <w:rsid w:val="00477614"/>
    <w:rsid w:val="00485322"/>
    <w:rsid w:val="00485E78"/>
    <w:rsid w:val="0048757C"/>
    <w:rsid w:val="004B5406"/>
    <w:rsid w:val="004B6D06"/>
    <w:rsid w:val="004C7022"/>
    <w:rsid w:val="004D704B"/>
    <w:rsid w:val="004F3FC3"/>
    <w:rsid w:val="004F4BB7"/>
    <w:rsid w:val="004F5CAD"/>
    <w:rsid w:val="004F69F6"/>
    <w:rsid w:val="004F7014"/>
    <w:rsid w:val="004F7EAE"/>
    <w:rsid w:val="0050277B"/>
    <w:rsid w:val="005058B4"/>
    <w:rsid w:val="005058FD"/>
    <w:rsid w:val="0052012D"/>
    <w:rsid w:val="005404E5"/>
    <w:rsid w:val="00545C56"/>
    <w:rsid w:val="00550D60"/>
    <w:rsid w:val="00553633"/>
    <w:rsid w:val="0055516A"/>
    <w:rsid w:val="005622A5"/>
    <w:rsid w:val="0056509C"/>
    <w:rsid w:val="00571660"/>
    <w:rsid w:val="0057632A"/>
    <w:rsid w:val="005839C2"/>
    <w:rsid w:val="00583AA5"/>
    <w:rsid w:val="005A22F6"/>
    <w:rsid w:val="005A53E4"/>
    <w:rsid w:val="005A74FC"/>
    <w:rsid w:val="005B1EF6"/>
    <w:rsid w:val="005B3927"/>
    <w:rsid w:val="005C31D4"/>
    <w:rsid w:val="005D0FC5"/>
    <w:rsid w:val="005D253F"/>
    <w:rsid w:val="005E7BA2"/>
    <w:rsid w:val="005F07ED"/>
    <w:rsid w:val="005F3C8E"/>
    <w:rsid w:val="005F4897"/>
    <w:rsid w:val="005F66DE"/>
    <w:rsid w:val="005F7647"/>
    <w:rsid w:val="006012BA"/>
    <w:rsid w:val="00611347"/>
    <w:rsid w:val="006122CA"/>
    <w:rsid w:val="00620D77"/>
    <w:rsid w:val="00624143"/>
    <w:rsid w:val="00647A51"/>
    <w:rsid w:val="00647AD3"/>
    <w:rsid w:val="0065099E"/>
    <w:rsid w:val="00650C87"/>
    <w:rsid w:val="0065233B"/>
    <w:rsid w:val="0066387B"/>
    <w:rsid w:val="00667ACC"/>
    <w:rsid w:val="00667C3A"/>
    <w:rsid w:val="0067156B"/>
    <w:rsid w:val="00686650"/>
    <w:rsid w:val="00690D97"/>
    <w:rsid w:val="00691C8A"/>
    <w:rsid w:val="00696753"/>
    <w:rsid w:val="006D50DA"/>
    <w:rsid w:val="006D61D2"/>
    <w:rsid w:val="006D64EF"/>
    <w:rsid w:val="006D7A40"/>
    <w:rsid w:val="006E133B"/>
    <w:rsid w:val="006E1B78"/>
    <w:rsid w:val="006E1CFD"/>
    <w:rsid w:val="006E2190"/>
    <w:rsid w:val="006E5E9E"/>
    <w:rsid w:val="006F63F7"/>
    <w:rsid w:val="00700BB4"/>
    <w:rsid w:val="0070514E"/>
    <w:rsid w:val="00706D7A"/>
    <w:rsid w:val="00714410"/>
    <w:rsid w:val="00714C7B"/>
    <w:rsid w:val="00721D0B"/>
    <w:rsid w:val="0072797B"/>
    <w:rsid w:val="00730F26"/>
    <w:rsid w:val="00733D09"/>
    <w:rsid w:val="00734ACD"/>
    <w:rsid w:val="00735124"/>
    <w:rsid w:val="00742235"/>
    <w:rsid w:val="007451E3"/>
    <w:rsid w:val="00760F45"/>
    <w:rsid w:val="0076116D"/>
    <w:rsid w:val="0076196C"/>
    <w:rsid w:val="007761EC"/>
    <w:rsid w:val="00777DF5"/>
    <w:rsid w:val="00785B36"/>
    <w:rsid w:val="00785C0D"/>
    <w:rsid w:val="007865DE"/>
    <w:rsid w:val="0079166C"/>
    <w:rsid w:val="007A3127"/>
    <w:rsid w:val="007B0AF7"/>
    <w:rsid w:val="007B2742"/>
    <w:rsid w:val="007B2F50"/>
    <w:rsid w:val="007B720A"/>
    <w:rsid w:val="007C1D83"/>
    <w:rsid w:val="007C334A"/>
    <w:rsid w:val="007D28BB"/>
    <w:rsid w:val="007E265F"/>
    <w:rsid w:val="007E6E52"/>
    <w:rsid w:val="007F3DC5"/>
    <w:rsid w:val="0080389E"/>
    <w:rsid w:val="008065E9"/>
    <w:rsid w:val="00815571"/>
    <w:rsid w:val="008213FA"/>
    <w:rsid w:val="008229D5"/>
    <w:rsid w:val="008235CD"/>
    <w:rsid w:val="0083004A"/>
    <w:rsid w:val="00844F88"/>
    <w:rsid w:val="008478E9"/>
    <w:rsid w:val="008513CB"/>
    <w:rsid w:val="00856C7C"/>
    <w:rsid w:val="00860B16"/>
    <w:rsid w:val="00861E8D"/>
    <w:rsid w:val="008940AA"/>
    <w:rsid w:val="008A3CE1"/>
    <w:rsid w:val="008A4120"/>
    <w:rsid w:val="008B4C11"/>
    <w:rsid w:val="008D4AF8"/>
    <w:rsid w:val="0090051D"/>
    <w:rsid w:val="00923848"/>
    <w:rsid w:val="009305CF"/>
    <w:rsid w:val="009402D9"/>
    <w:rsid w:val="00947839"/>
    <w:rsid w:val="00951349"/>
    <w:rsid w:val="00951EBA"/>
    <w:rsid w:val="00973069"/>
    <w:rsid w:val="009744E8"/>
    <w:rsid w:val="00977376"/>
    <w:rsid w:val="00982B28"/>
    <w:rsid w:val="00986C66"/>
    <w:rsid w:val="00993267"/>
    <w:rsid w:val="009B143B"/>
    <w:rsid w:val="009B2183"/>
    <w:rsid w:val="009B38DB"/>
    <w:rsid w:val="009B7278"/>
    <w:rsid w:val="009B7352"/>
    <w:rsid w:val="009C1B13"/>
    <w:rsid w:val="009C4390"/>
    <w:rsid w:val="009C667B"/>
    <w:rsid w:val="009C7110"/>
    <w:rsid w:val="009D0977"/>
    <w:rsid w:val="009E1B98"/>
    <w:rsid w:val="00A06EB6"/>
    <w:rsid w:val="00A0706D"/>
    <w:rsid w:val="00A21B27"/>
    <w:rsid w:val="00A25410"/>
    <w:rsid w:val="00A26417"/>
    <w:rsid w:val="00A46CE1"/>
    <w:rsid w:val="00A54789"/>
    <w:rsid w:val="00A55EF9"/>
    <w:rsid w:val="00A62B22"/>
    <w:rsid w:val="00A65A3D"/>
    <w:rsid w:val="00A65E5C"/>
    <w:rsid w:val="00A720F6"/>
    <w:rsid w:val="00A75A04"/>
    <w:rsid w:val="00A76F91"/>
    <w:rsid w:val="00A849BF"/>
    <w:rsid w:val="00A9611C"/>
    <w:rsid w:val="00A97D54"/>
    <w:rsid w:val="00A97F94"/>
    <w:rsid w:val="00AA4547"/>
    <w:rsid w:val="00AA55B4"/>
    <w:rsid w:val="00AA5801"/>
    <w:rsid w:val="00AA5DF7"/>
    <w:rsid w:val="00AB7CE2"/>
    <w:rsid w:val="00AD0697"/>
    <w:rsid w:val="00AD235B"/>
    <w:rsid w:val="00AD3830"/>
    <w:rsid w:val="00AE04BF"/>
    <w:rsid w:val="00AE63CB"/>
    <w:rsid w:val="00AF2610"/>
    <w:rsid w:val="00B11105"/>
    <w:rsid w:val="00B11CCC"/>
    <w:rsid w:val="00B23307"/>
    <w:rsid w:val="00B3425B"/>
    <w:rsid w:val="00B371EC"/>
    <w:rsid w:val="00B37C53"/>
    <w:rsid w:val="00B407A7"/>
    <w:rsid w:val="00B41FB3"/>
    <w:rsid w:val="00B53A44"/>
    <w:rsid w:val="00B5527F"/>
    <w:rsid w:val="00B70740"/>
    <w:rsid w:val="00BC460F"/>
    <w:rsid w:val="00BD737B"/>
    <w:rsid w:val="00BE7151"/>
    <w:rsid w:val="00BE7C5D"/>
    <w:rsid w:val="00BF1799"/>
    <w:rsid w:val="00C05510"/>
    <w:rsid w:val="00C0627A"/>
    <w:rsid w:val="00C07BD5"/>
    <w:rsid w:val="00C07E9E"/>
    <w:rsid w:val="00C31D3A"/>
    <w:rsid w:val="00C3602C"/>
    <w:rsid w:val="00C539CF"/>
    <w:rsid w:val="00C55780"/>
    <w:rsid w:val="00C674FE"/>
    <w:rsid w:val="00C67585"/>
    <w:rsid w:val="00C724B7"/>
    <w:rsid w:val="00C731DA"/>
    <w:rsid w:val="00C75633"/>
    <w:rsid w:val="00C91F51"/>
    <w:rsid w:val="00C9754C"/>
    <w:rsid w:val="00C97604"/>
    <w:rsid w:val="00CA21EF"/>
    <w:rsid w:val="00CA3992"/>
    <w:rsid w:val="00CA725C"/>
    <w:rsid w:val="00CB10C5"/>
    <w:rsid w:val="00CB4F0C"/>
    <w:rsid w:val="00CD3DED"/>
    <w:rsid w:val="00CE1901"/>
    <w:rsid w:val="00CE2EE1"/>
    <w:rsid w:val="00CE6674"/>
    <w:rsid w:val="00CF17D0"/>
    <w:rsid w:val="00CF3382"/>
    <w:rsid w:val="00CF3FFD"/>
    <w:rsid w:val="00CF7483"/>
    <w:rsid w:val="00D10A1E"/>
    <w:rsid w:val="00D126FE"/>
    <w:rsid w:val="00D147FA"/>
    <w:rsid w:val="00D21339"/>
    <w:rsid w:val="00D26211"/>
    <w:rsid w:val="00D31AB8"/>
    <w:rsid w:val="00D34320"/>
    <w:rsid w:val="00D47305"/>
    <w:rsid w:val="00D475E3"/>
    <w:rsid w:val="00D64B08"/>
    <w:rsid w:val="00D66161"/>
    <w:rsid w:val="00D747E7"/>
    <w:rsid w:val="00D77D0F"/>
    <w:rsid w:val="00D8047A"/>
    <w:rsid w:val="00D81259"/>
    <w:rsid w:val="00D91045"/>
    <w:rsid w:val="00D924E8"/>
    <w:rsid w:val="00DA1CF0"/>
    <w:rsid w:val="00DB1326"/>
    <w:rsid w:val="00DB7A0E"/>
    <w:rsid w:val="00DC24B4"/>
    <w:rsid w:val="00DC5F5E"/>
    <w:rsid w:val="00DF0B67"/>
    <w:rsid w:val="00DF16DC"/>
    <w:rsid w:val="00E01BEC"/>
    <w:rsid w:val="00E02604"/>
    <w:rsid w:val="00E20465"/>
    <w:rsid w:val="00E26FF0"/>
    <w:rsid w:val="00E45211"/>
    <w:rsid w:val="00E64F8E"/>
    <w:rsid w:val="00E81179"/>
    <w:rsid w:val="00E847E7"/>
    <w:rsid w:val="00E860B9"/>
    <w:rsid w:val="00E86382"/>
    <w:rsid w:val="00EA698A"/>
    <w:rsid w:val="00EA7F32"/>
    <w:rsid w:val="00ED3B3F"/>
    <w:rsid w:val="00ED55B2"/>
    <w:rsid w:val="00EE53F0"/>
    <w:rsid w:val="00EE5B1E"/>
    <w:rsid w:val="00EE6AEB"/>
    <w:rsid w:val="00EF010B"/>
    <w:rsid w:val="00EF4E0C"/>
    <w:rsid w:val="00F00A9C"/>
    <w:rsid w:val="00F03C0F"/>
    <w:rsid w:val="00F046D1"/>
    <w:rsid w:val="00F0672F"/>
    <w:rsid w:val="00F205F1"/>
    <w:rsid w:val="00F20DD9"/>
    <w:rsid w:val="00F22E8C"/>
    <w:rsid w:val="00F36590"/>
    <w:rsid w:val="00F40455"/>
    <w:rsid w:val="00F417C1"/>
    <w:rsid w:val="00F4220F"/>
    <w:rsid w:val="00F43373"/>
    <w:rsid w:val="00F461DC"/>
    <w:rsid w:val="00F47303"/>
    <w:rsid w:val="00F70AED"/>
    <w:rsid w:val="00F72860"/>
    <w:rsid w:val="00F73920"/>
    <w:rsid w:val="00F81A80"/>
    <w:rsid w:val="00F84366"/>
    <w:rsid w:val="00F85089"/>
    <w:rsid w:val="00F937F1"/>
    <w:rsid w:val="00F94A9B"/>
    <w:rsid w:val="00F973E9"/>
    <w:rsid w:val="00FA010A"/>
    <w:rsid w:val="00FB4C2D"/>
    <w:rsid w:val="00FC23C4"/>
    <w:rsid w:val="00FD6930"/>
    <w:rsid w:val="00FE0EA1"/>
    <w:rsid w:val="00FE1A8C"/>
    <w:rsid w:val="00FE2AE4"/>
    <w:rsid w:val="00FE55BD"/>
    <w:rsid w:val="00FF1E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8A8C5716-CA74-4082-BC13-8CC00F61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52012D"/>
    <w:rPr>
      <w:sz w:val="28"/>
      <w:szCs w:val="40"/>
    </w:rPr>
  </w:style>
  <w:style w:type="paragraph" w:customStyle="1" w:styleId="Annextitle">
    <w:name w:val="Annex title"/>
    <w:basedOn w:val="AnnexNo"/>
    <w:qFormat/>
    <w:rsid w:val="00DC24B4"/>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F43373"/>
    <w:pPr>
      <w:keepNext/>
      <w:spacing w:before="60" w:after="60" w:line="260" w:lineRule="exact"/>
      <w:jc w:val="center"/>
    </w:pPr>
    <w:rPr>
      <w:b/>
      <w:bCs/>
      <w:sz w:val="20"/>
      <w:szCs w:val="26"/>
    </w:rPr>
  </w:style>
  <w:style w:type="paragraph" w:customStyle="1" w:styleId="Tabletexte">
    <w:name w:val="Table texte"/>
    <w:basedOn w:val="Normal"/>
    <w:qFormat/>
    <w:rsid w:val="00BF1799"/>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868"/>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1628">
      <w:bodyDiv w:val="1"/>
      <w:marLeft w:val="0"/>
      <w:marRight w:val="0"/>
      <w:marTop w:val="0"/>
      <w:marBottom w:val="0"/>
      <w:divBdr>
        <w:top w:val="none" w:sz="0" w:space="0" w:color="auto"/>
        <w:left w:val="none" w:sz="0" w:space="0" w:color="auto"/>
        <w:bottom w:val="none" w:sz="0" w:space="0" w:color="auto"/>
        <w:right w:val="none" w:sz="0" w:space="0" w:color="auto"/>
      </w:divBdr>
    </w:div>
    <w:div w:id="231694798">
      <w:bodyDiv w:val="1"/>
      <w:marLeft w:val="0"/>
      <w:marRight w:val="0"/>
      <w:marTop w:val="0"/>
      <w:marBottom w:val="0"/>
      <w:divBdr>
        <w:top w:val="none" w:sz="0" w:space="0" w:color="auto"/>
        <w:left w:val="none" w:sz="0" w:space="0" w:color="auto"/>
        <w:bottom w:val="none" w:sz="0" w:space="0" w:color="auto"/>
        <w:right w:val="none" w:sz="0" w:space="0" w:color="auto"/>
      </w:divBdr>
    </w:div>
    <w:div w:id="526137360">
      <w:bodyDiv w:val="1"/>
      <w:marLeft w:val="0"/>
      <w:marRight w:val="0"/>
      <w:marTop w:val="0"/>
      <w:marBottom w:val="0"/>
      <w:divBdr>
        <w:top w:val="none" w:sz="0" w:space="0" w:color="auto"/>
        <w:left w:val="none" w:sz="0" w:space="0" w:color="auto"/>
        <w:bottom w:val="none" w:sz="0" w:space="0" w:color="auto"/>
        <w:right w:val="none" w:sz="0" w:space="0" w:color="auto"/>
      </w:divBdr>
    </w:div>
    <w:div w:id="781460592">
      <w:bodyDiv w:val="1"/>
      <w:marLeft w:val="0"/>
      <w:marRight w:val="0"/>
      <w:marTop w:val="0"/>
      <w:marBottom w:val="0"/>
      <w:divBdr>
        <w:top w:val="none" w:sz="0" w:space="0" w:color="auto"/>
        <w:left w:val="none" w:sz="0" w:space="0" w:color="auto"/>
        <w:bottom w:val="none" w:sz="0" w:space="0" w:color="auto"/>
        <w:right w:val="none" w:sz="0" w:space="0" w:color="auto"/>
      </w:divBdr>
    </w:div>
    <w:div w:id="787237420">
      <w:bodyDiv w:val="1"/>
      <w:marLeft w:val="0"/>
      <w:marRight w:val="0"/>
      <w:marTop w:val="0"/>
      <w:marBottom w:val="0"/>
      <w:divBdr>
        <w:top w:val="none" w:sz="0" w:space="0" w:color="auto"/>
        <w:left w:val="none" w:sz="0" w:space="0" w:color="auto"/>
        <w:bottom w:val="none" w:sz="0" w:space="0" w:color="auto"/>
        <w:right w:val="none" w:sz="0" w:space="0" w:color="auto"/>
      </w:divBdr>
    </w:div>
    <w:div w:id="1305936779">
      <w:bodyDiv w:val="1"/>
      <w:marLeft w:val="0"/>
      <w:marRight w:val="0"/>
      <w:marTop w:val="0"/>
      <w:marBottom w:val="0"/>
      <w:divBdr>
        <w:top w:val="none" w:sz="0" w:space="0" w:color="auto"/>
        <w:left w:val="none" w:sz="0" w:space="0" w:color="auto"/>
        <w:bottom w:val="none" w:sz="0" w:space="0" w:color="auto"/>
        <w:right w:val="none" w:sz="0" w:space="0" w:color="auto"/>
      </w:divBdr>
    </w:div>
    <w:div w:id="1572961405">
      <w:bodyDiv w:val="1"/>
      <w:marLeft w:val="0"/>
      <w:marRight w:val="0"/>
      <w:marTop w:val="0"/>
      <w:marBottom w:val="0"/>
      <w:divBdr>
        <w:top w:val="none" w:sz="0" w:space="0" w:color="auto"/>
        <w:left w:val="none" w:sz="0" w:space="0" w:color="auto"/>
        <w:bottom w:val="none" w:sz="0" w:space="0" w:color="auto"/>
        <w:right w:val="none" w:sz="0" w:space="0" w:color="auto"/>
      </w:divBdr>
    </w:div>
    <w:div w:id="20648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389C-56AC-401B-AF67-48861C6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Gimenez, Christine</cp:lastModifiedBy>
  <cp:revision>2</cp:revision>
  <cp:lastPrinted>2015-10-21T20:39:00Z</cp:lastPrinted>
  <dcterms:created xsi:type="dcterms:W3CDTF">2015-11-21T17:12:00Z</dcterms:created>
  <dcterms:modified xsi:type="dcterms:W3CDTF">2015-11-21T17:12:00Z</dcterms:modified>
</cp:coreProperties>
</file>