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C23E71B" w14:textId="77777777" w:rsidTr="00DA4711">
        <w:trPr>
          <w:jc w:val="center"/>
        </w:trPr>
        <w:tc>
          <w:tcPr>
            <w:tcW w:w="9889" w:type="dxa"/>
            <w:gridSpan w:val="3"/>
            <w:shd w:val="clear" w:color="auto" w:fill="auto"/>
          </w:tcPr>
          <w:p w14:paraId="63779EC7"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F131C18" w14:textId="77777777" w:rsidR="00E53DCE" w:rsidRDefault="00E53DCE" w:rsidP="006160CB">
            <w:pPr>
              <w:spacing w:before="0"/>
              <w:jc w:val="left"/>
              <w:rPr>
                <w:rFonts w:cstheme="minorHAnsi"/>
                <w:b/>
                <w:bCs/>
                <w:color w:val="808080"/>
                <w:sz w:val="28"/>
                <w:szCs w:val="28"/>
                <w:lang w:val="en-GB"/>
              </w:rPr>
            </w:pPr>
          </w:p>
          <w:p w14:paraId="1B29C2D3"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0F80F96D" w14:textId="77777777" w:rsidTr="00DA4711">
        <w:trPr>
          <w:jc w:val="center"/>
        </w:trPr>
        <w:tc>
          <w:tcPr>
            <w:tcW w:w="7054" w:type="dxa"/>
            <w:gridSpan w:val="2"/>
            <w:shd w:val="clear" w:color="auto" w:fill="auto"/>
          </w:tcPr>
          <w:p w14:paraId="7865B11A" w14:textId="77777777" w:rsidR="00E53DCE" w:rsidRPr="00613D18" w:rsidRDefault="009C6A12" w:rsidP="006160CB">
            <w:pPr>
              <w:spacing w:before="0"/>
              <w:jc w:val="left"/>
              <w:rPr>
                <w:szCs w:val="24"/>
                <w:lang w:val="fr-CH"/>
              </w:rPr>
            </w:pPr>
            <w:r w:rsidRPr="00334544">
              <w:rPr>
                <w:rFonts w:ascii="SimSun" w:hAnsi="SimSun" w:hint="eastAsia"/>
                <w:szCs w:val="24"/>
                <w:lang w:eastAsia="zh-CN"/>
              </w:rPr>
              <w:t>行政通函</w:t>
            </w:r>
            <w:r w:rsidR="00091DF4" w:rsidRPr="00613D18">
              <w:rPr>
                <w:rFonts w:ascii="SimSun" w:hAnsi="SimSun" w:hint="eastAsia"/>
                <w:szCs w:val="24"/>
                <w:lang w:val="fr-CH" w:eastAsia="zh-CN"/>
              </w:rPr>
              <w:t>/</w:t>
            </w:r>
            <w:r w:rsidR="00091DF4" w:rsidRPr="00334544">
              <w:rPr>
                <w:rFonts w:ascii="SimSun" w:hAnsi="SimSun" w:hint="eastAsia"/>
                <w:szCs w:val="24"/>
                <w:lang w:eastAsia="zh-CN"/>
              </w:rPr>
              <w:t>通函</w:t>
            </w:r>
          </w:p>
          <w:p w14:paraId="7048186C" w14:textId="4D3C85DF" w:rsidR="00E53DCE" w:rsidRPr="00613D18" w:rsidRDefault="00091DF4" w:rsidP="006160CB">
            <w:pPr>
              <w:spacing w:before="0"/>
              <w:jc w:val="left"/>
              <w:rPr>
                <w:b/>
                <w:bCs/>
                <w:szCs w:val="24"/>
                <w:lang w:val="fr-CH"/>
              </w:rPr>
            </w:pPr>
            <w:r w:rsidRPr="00613D18">
              <w:rPr>
                <w:b/>
                <w:bCs/>
                <w:szCs w:val="24"/>
                <w:lang w:val="fr-CH"/>
              </w:rPr>
              <w:t>CACE/</w:t>
            </w:r>
            <w:r w:rsidR="00CB79E1" w:rsidRPr="00613D18">
              <w:rPr>
                <w:b/>
                <w:bCs/>
                <w:szCs w:val="24"/>
                <w:lang w:val="fr-CH"/>
              </w:rPr>
              <w:t>109</w:t>
            </w:r>
            <w:r w:rsidR="001E53BA">
              <w:rPr>
                <w:b/>
                <w:bCs/>
                <w:szCs w:val="24"/>
                <w:lang w:val="fr-CH"/>
              </w:rPr>
              <w:t>1</w:t>
            </w:r>
          </w:p>
        </w:tc>
        <w:tc>
          <w:tcPr>
            <w:tcW w:w="2835" w:type="dxa"/>
            <w:shd w:val="clear" w:color="auto" w:fill="auto"/>
          </w:tcPr>
          <w:p w14:paraId="18DDC951" w14:textId="68C3871B" w:rsidR="00E53DCE" w:rsidRPr="00334544" w:rsidRDefault="00CB79E1" w:rsidP="006160CB">
            <w:pPr>
              <w:spacing w:before="0"/>
              <w:jc w:val="right"/>
              <w:rPr>
                <w:szCs w:val="24"/>
                <w:lang w:val="en-GB"/>
              </w:rPr>
            </w:pPr>
            <w:r>
              <w:rPr>
                <w:szCs w:val="24"/>
                <w:lang w:eastAsia="zh-CN"/>
              </w:rPr>
              <w:t>2023</w:t>
            </w:r>
            <w:r w:rsidR="009C6A12" w:rsidRPr="00334544">
              <w:rPr>
                <w:rFonts w:ascii="SimSun" w:hAnsi="SimSun" w:hint="eastAsia"/>
                <w:szCs w:val="24"/>
                <w:lang w:eastAsia="zh-CN"/>
              </w:rPr>
              <w:t>年</w:t>
            </w:r>
            <w:r>
              <w:rPr>
                <w:szCs w:val="24"/>
                <w:lang w:eastAsia="zh-CN"/>
              </w:rPr>
              <w:t>12</w:t>
            </w:r>
            <w:r w:rsidR="009C6A12" w:rsidRPr="00334544">
              <w:rPr>
                <w:rFonts w:ascii="SimSun" w:hAnsi="SimSun" w:hint="eastAsia"/>
                <w:szCs w:val="24"/>
                <w:lang w:eastAsia="zh-CN"/>
              </w:rPr>
              <w:t>月</w:t>
            </w:r>
            <w:r w:rsidR="001E53BA">
              <w:rPr>
                <w:szCs w:val="24"/>
                <w:lang w:eastAsia="zh-CN"/>
              </w:rPr>
              <w:t>4</w:t>
            </w:r>
            <w:r w:rsidR="009C6A12" w:rsidRPr="00334544">
              <w:rPr>
                <w:rFonts w:hint="eastAsia"/>
                <w:szCs w:val="24"/>
                <w:lang w:eastAsia="zh-CN"/>
              </w:rPr>
              <w:t>日</w:t>
            </w:r>
          </w:p>
        </w:tc>
      </w:tr>
      <w:tr w:rsidR="00E53DCE" w:rsidRPr="00334544" w14:paraId="7112B92A" w14:textId="77777777" w:rsidTr="00DA4711">
        <w:trPr>
          <w:jc w:val="center"/>
        </w:trPr>
        <w:tc>
          <w:tcPr>
            <w:tcW w:w="9889" w:type="dxa"/>
            <w:gridSpan w:val="3"/>
            <w:shd w:val="clear" w:color="auto" w:fill="auto"/>
          </w:tcPr>
          <w:p w14:paraId="61ED8BA2" w14:textId="77777777" w:rsidR="00E53DCE" w:rsidRPr="00334544" w:rsidRDefault="00E53DCE" w:rsidP="006160CB">
            <w:pPr>
              <w:spacing w:before="0"/>
              <w:jc w:val="left"/>
              <w:rPr>
                <w:rFonts w:cs="Arial"/>
                <w:szCs w:val="24"/>
                <w:lang w:val="en-GB"/>
              </w:rPr>
            </w:pPr>
          </w:p>
        </w:tc>
      </w:tr>
      <w:tr w:rsidR="00E53DCE" w:rsidRPr="00334544" w14:paraId="6CED3ED2" w14:textId="77777777" w:rsidTr="00DA4711">
        <w:trPr>
          <w:jc w:val="center"/>
        </w:trPr>
        <w:tc>
          <w:tcPr>
            <w:tcW w:w="9889" w:type="dxa"/>
            <w:gridSpan w:val="3"/>
            <w:shd w:val="clear" w:color="auto" w:fill="auto"/>
          </w:tcPr>
          <w:p w14:paraId="76566F00" w14:textId="77777777" w:rsidR="00E53DCE" w:rsidRPr="00334544" w:rsidRDefault="00E53DCE" w:rsidP="006160CB">
            <w:pPr>
              <w:spacing w:before="0"/>
              <w:jc w:val="left"/>
              <w:rPr>
                <w:szCs w:val="24"/>
              </w:rPr>
            </w:pPr>
          </w:p>
        </w:tc>
      </w:tr>
      <w:tr w:rsidR="00E53DCE" w:rsidRPr="00334544" w14:paraId="50E08E39" w14:textId="77777777" w:rsidTr="00DA4711">
        <w:trPr>
          <w:jc w:val="center"/>
        </w:trPr>
        <w:tc>
          <w:tcPr>
            <w:tcW w:w="9889" w:type="dxa"/>
            <w:gridSpan w:val="3"/>
            <w:shd w:val="clear" w:color="auto" w:fill="auto"/>
          </w:tcPr>
          <w:p w14:paraId="7F96A262" w14:textId="4BB86AEB" w:rsidR="00E53DCE" w:rsidRPr="00334544" w:rsidRDefault="001E53BA" w:rsidP="008316F8">
            <w:pPr>
              <w:spacing w:before="0"/>
              <w:jc w:val="left"/>
              <w:rPr>
                <w:b/>
                <w:bCs/>
                <w:szCs w:val="24"/>
                <w:lang w:eastAsia="zh-CN"/>
              </w:rPr>
            </w:pPr>
            <w:r w:rsidRPr="005D3DBC">
              <w:rPr>
                <w:rFonts w:asciiTheme="minorHAnsi" w:eastAsia="SimSun" w:hAnsiTheme="minorHAnsi" w:cstheme="minorHAnsi"/>
                <w:b/>
                <w:bCs/>
                <w:szCs w:val="24"/>
                <w:lang w:eastAsia="zh-CN"/>
              </w:rPr>
              <w:t>致国际电联各成员国主管部门、无线电通信部门成员、参加无线电通信第</w:t>
            </w:r>
            <w:r>
              <w:rPr>
                <w:rFonts w:asciiTheme="minorHAnsi" w:eastAsia="SimSun" w:hAnsiTheme="minorHAnsi" w:cstheme="minorHAnsi"/>
                <w:b/>
                <w:bCs/>
                <w:szCs w:val="24"/>
                <w:lang w:eastAsia="zh-CN"/>
              </w:rPr>
              <w:t>6</w:t>
            </w:r>
            <w:r w:rsidRPr="005D3DBC">
              <w:rPr>
                <w:rFonts w:asciiTheme="minorHAnsi" w:eastAsia="SimSun" w:hAnsiTheme="minorHAnsi" w:cstheme="minorHAnsi"/>
                <w:b/>
                <w:bCs/>
                <w:szCs w:val="24"/>
                <w:lang w:eastAsia="zh-CN"/>
              </w:rPr>
              <w:t>研究组工作的</w:t>
            </w:r>
            <w:r w:rsidRPr="005D3DBC">
              <w:rPr>
                <w:rFonts w:asciiTheme="minorHAnsi" w:eastAsia="SimSun" w:hAnsiTheme="minorHAnsi" w:cstheme="minorHAnsi"/>
                <w:b/>
                <w:bCs/>
                <w:szCs w:val="24"/>
                <w:lang w:eastAsia="zh-CN"/>
              </w:rPr>
              <w:t>ITU-R</w:t>
            </w:r>
            <w:r w:rsidRPr="005D3DBC">
              <w:rPr>
                <w:rFonts w:asciiTheme="minorHAnsi" w:eastAsia="SimSun" w:hAnsiTheme="minorHAnsi" w:cstheme="minorHAnsi"/>
                <w:b/>
                <w:bCs/>
                <w:szCs w:val="24"/>
                <w:lang w:eastAsia="zh-CN"/>
              </w:rPr>
              <w:t>部门准成员以及国际电联学术成</w:t>
            </w:r>
            <w:r w:rsidRPr="00BA539B">
              <w:rPr>
                <w:rFonts w:ascii="SimSun" w:eastAsia="SimSun" w:hAnsi="SimSun" w:hint="eastAsia"/>
                <w:b/>
                <w:bCs/>
                <w:szCs w:val="24"/>
                <w:lang w:eastAsia="zh-CN"/>
              </w:rPr>
              <w:t>员</w:t>
            </w:r>
          </w:p>
        </w:tc>
      </w:tr>
      <w:tr w:rsidR="00E53DCE" w:rsidRPr="00334544" w14:paraId="5CCFFCE8" w14:textId="77777777" w:rsidTr="00DA4711">
        <w:trPr>
          <w:jc w:val="center"/>
        </w:trPr>
        <w:tc>
          <w:tcPr>
            <w:tcW w:w="9889" w:type="dxa"/>
            <w:gridSpan w:val="3"/>
            <w:shd w:val="clear" w:color="auto" w:fill="auto"/>
          </w:tcPr>
          <w:p w14:paraId="51BD0E07" w14:textId="77777777" w:rsidR="00E53DCE" w:rsidRPr="00334544" w:rsidRDefault="00E53DCE" w:rsidP="006160CB">
            <w:pPr>
              <w:spacing w:before="0"/>
              <w:jc w:val="left"/>
              <w:rPr>
                <w:szCs w:val="24"/>
                <w:lang w:eastAsia="zh-CN"/>
              </w:rPr>
            </w:pPr>
          </w:p>
        </w:tc>
      </w:tr>
      <w:tr w:rsidR="00E53DCE" w:rsidRPr="00334544" w14:paraId="7D80F50D" w14:textId="77777777" w:rsidTr="00DA4711">
        <w:trPr>
          <w:jc w:val="center"/>
        </w:trPr>
        <w:tc>
          <w:tcPr>
            <w:tcW w:w="9889" w:type="dxa"/>
            <w:gridSpan w:val="3"/>
            <w:shd w:val="clear" w:color="auto" w:fill="auto"/>
          </w:tcPr>
          <w:p w14:paraId="32262C5F" w14:textId="77777777" w:rsidR="00E53DCE" w:rsidRPr="00334544" w:rsidRDefault="00E53DCE" w:rsidP="006160CB">
            <w:pPr>
              <w:spacing w:before="0"/>
              <w:jc w:val="left"/>
              <w:rPr>
                <w:szCs w:val="24"/>
                <w:lang w:eastAsia="zh-CN"/>
              </w:rPr>
            </w:pPr>
          </w:p>
        </w:tc>
      </w:tr>
      <w:tr w:rsidR="00E53DCE" w:rsidRPr="00334544" w14:paraId="6EAB47F2" w14:textId="77777777" w:rsidTr="00DA4711">
        <w:trPr>
          <w:jc w:val="center"/>
        </w:trPr>
        <w:tc>
          <w:tcPr>
            <w:tcW w:w="1526" w:type="dxa"/>
            <w:shd w:val="clear" w:color="auto" w:fill="auto"/>
          </w:tcPr>
          <w:p w14:paraId="5745EAE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06913A21" w14:textId="0AC1C3A5" w:rsidR="001E53BA" w:rsidRPr="00C210AC" w:rsidRDefault="00C210AC" w:rsidP="001E53BA">
            <w:pPr>
              <w:tabs>
                <w:tab w:val="clear" w:pos="1588"/>
                <w:tab w:val="left" w:pos="1560"/>
              </w:tabs>
              <w:spacing w:before="0" w:after="120"/>
              <w:rPr>
                <w:b/>
                <w:bCs/>
                <w:lang w:val="en-GB" w:eastAsia="zh-CN"/>
              </w:rPr>
            </w:pPr>
            <w:r w:rsidRPr="00BA539B">
              <w:rPr>
                <w:b/>
                <w:bCs/>
                <w:szCs w:val="24"/>
                <w:lang w:eastAsia="zh-CN"/>
              </w:rPr>
              <w:t>无线电通信第</w:t>
            </w:r>
            <w:r>
              <w:rPr>
                <w:rFonts w:hint="eastAsia"/>
                <w:b/>
                <w:bCs/>
                <w:szCs w:val="24"/>
                <w:lang w:eastAsia="zh-CN"/>
              </w:rPr>
              <w:t>6</w:t>
            </w:r>
            <w:r w:rsidRPr="00BA539B">
              <w:rPr>
                <w:b/>
                <w:bCs/>
                <w:szCs w:val="24"/>
                <w:lang w:eastAsia="zh-CN"/>
              </w:rPr>
              <w:t>研究组</w:t>
            </w:r>
            <w:sdt>
              <w:sdtPr>
                <w:rPr>
                  <w:rFonts w:hint="eastAsia"/>
                  <w:b/>
                  <w:bCs/>
                  <w:lang w:val="en-GB" w:eastAsia="zh-CN"/>
                </w:rPr>
                <w:alias w:val="X (SG Title)"/>
                <w:tag w:val="X (SG Title)"/>
                <w:id w:val="1740519501"/>
                <w:placeholder>
                  <w:docPart w:val="C4B3DA9DF730494FA7B51B7C901F374C"/>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Content>
                <w:r>
                  <w:rPr>
                    <w:rFonts w:hint="eastAsia"/>
                    <w:b/>
                    <w:bCs/>
                    <w:lang w:val="en-GB" w:eastAsia="zh-CN"/>
                  </w:rPr>
                  <w:t>（广播业务）</w:t>
                </w:r>
              </w:sdtContent>
            </w:sdt>
          </w:p>
          <w:p w14:paraId="0C6FBA51" w14:textId="52A2A921" w:rsidR="001E53BA" w:rsidRPr="00BA539B" w:rsidRDefault="001E53BA" w:rsidP="005B3644">
            <w:pPr>
              <w:tabs>
                <w:tab w:val="clear" w:pos="1191"/>
                <w:tab w:val="clear" w:pos="1588"/>
                <w:tab w:val="clear" w:pos="1985"/>
                <w:tab w:val="left" w:pos="1276"/>
              </w:tabs>
              <w:spacing w:before="120"/>
              <w:ind w:left="794" w:hanging="794"/>
              <w:jc w:val="left"/>
              <w:rPr>
                <w:b/>
                <w:bCs/>
                <w:szCs w:val="24"/>
                <w:lang w:eastAsia="zh-CN"/>
              </w:rPr>
            </w:pPr>
            <w:r w:rsidRPr="00441EE2">
              <w:rPr>
                <w:b/>
                <w:bCs/>
                <w:lang w:val="en-GB" w:eastAsia="zh-CN"/>
              </w:rPr>
              <w:t>–</w:t>
            </w:r>
            <w:r w:rsidRPr="00441EE2">
              <w:rPr>
                <w:b/>
                <w:bCs/>
                <w:lang w:val="en-GB" w:eastAsia="zh-CN"/>
              </w:rPr>
              <w:tab/>
            </w:r>
            <w:r w:rsidRPr="00BA539B">
              <w:rPr>
                <w:b/>
                <w:bCs/>
                <w:szCs w:val="24"/>
                <w:lang w:eastAsia="zh-CN"/>
              </w:rPr>
              <w:t>根据</w:t>
            </w:r>
            <w:r w:rsidRPr="00BA539B">
              <w:rPr>
                <w:b/>
                <w:bCs/>
                <w:szCs w:val="24"/>
                <w:lang w:eastAsia="zh-CN"/>
              </w:rPr>
              <w:t>ITU-R</w:t>
            </w:r>
            <w:r w:rsidRPr="00BA539B">
              <w:rPr>
                <w:b/>
                <w:bCs/>
                <w:szCs w:val="24"/>
                <w:lang w:eastAsia="zh-CN"/>
              </w:rPr>
              <w:t>第</w:t>
            </w:r>
            <w:r w:rsidRPr="00BA539B">
              <w:rPr>
                <w:b/>
                <w:bCs/>
                <w:szCs w:val="24"/>
                <w:lang w:eastAsia="zh-CN"/>
              </w:rPr>
              <w:t>1-</w:t>
            </w:r>
            <w:r w:rsidR="00C210AC">
              <w:rPr>
                <w:b/>
                <w:bCs/>
                <w:szCs w:val="24"/>
                <w:lang w:eastAsia="zh-CN"/>
              </w:rPr>
              <w:t>9</w:t>
            </w:r>
            <w:r w:rsidRPr="00BA539B">
              <w:rPr>
                <w:b/>
                <w:bCs/>
                <w:szCs w:val="24"/>
                <w:lang w:eastAsia="zh-CN"/>
              </w:rPr>
              <w:t>号决议</w:t>
            </w:r>
            <w:r w:rsidRPr="00BA539B">
              <w:rPr>
                <w:b/>
                <w:bCs/>
                <w:szCs w:val="24"/>
                <w:lang w:eastAsia="zh-CN"/>
              </w:rPr>
              <w:t>A2.6.2.4</w:t>
            </w:r>
            <w:r w:rsidRPr="00BA539B">
              <w:rPr>
                <w:b/>
                <w:bCs/>
                <w:szCs w:val="24"/>
                <w:lang w:eastAsia="zh-CN"/>
              </w:rPr>
              <w:t>段（以信函方式同时通过和批准程序）</w:t>
            </w:r>
            <w:r w:rsidRPr="00BA539B">
              <w:rPr>
                <w:b/>
                <w:bCs/>
                <w:szCs w:val="24"/>
                <w:lang w:eastAsia="zh-CN"/>
              </w:rPr>
              <w:br/>
            </w:r>
            <w:r w:rsidRPr="00BA539B">
              <w:rPr>
                <w:b/>
                <w:bCs/>
                <w:szCs w:val="24"/>
                <w:lang w:val="es-ES_tradnl" w:eastAsia="zh-CN"/>
              </w:rPr>
              <w:t>以信函方式通过</w:t>
            </w:r>
            <w:r w:rsidR="00C210AC" w:rsidRPr="00E75A91">
              <w:rPr>
                <w:rFonts w:hint="eastAsia"/>
                <w:b/>
                <w:bCs/>
                <w:szCs w:val="24"/>
                <w:lang w:val="en-GB" w:eastAsia="zh-CN"/>
              </w:rPr>
              <w:t>1</w:t>
            </w:r>
            <w:r w:rsidRPr="00BA539B">
              <w:rPr>
                <w:rFonts w:hint="eastAsia"/>
                <w:b/>
                <w:bCs/>
                <w:szCs w:val="24"/>
                <w:lang w:val="es-ES_tradnl" w:eastAsia="zh-CN"/>
              </w:rPr>
              <w:t>项</w:t>
            </w:r>
            <w:r w:rsidRPr="00BA539B">
              <w:rPr>
                <w:b/>
                <w:bCs/>
                <w:szCs w:val="24"/>
                <w:lang w:val="es-ES_tradnl" w:eastAsia="zh-CN"/>
              </w:rPr>
              <w:t>新</w:t>
            </w:r>
            <w:r w:rsidRPr="00BA539B">
              <w:rPr>
                <w:rFonts w:hint="eastAsia"/>
                <w:b/>
                <w:bCs/>
                <w:szCs w:val="24"/>
                <w:lang w:val="es-ES_tradnl" w:eastAsia="zh-CN"/>
              </w:rPr>
              <w:t>的</w:t>
            </w:r>
            <w:r w:rsidRPr="00BA539B">
              <w:rPr>
                <w:b/>
                <w:bCs/>
                <w:szCs w:val="24"/>
                <w:lang w:val="es-ES_tradnl" w:eastAsia="zh-CN"/>
              </w:rPr>
              <w:t>和</w:t>
            </w:r>
            <w:r w:rsidR="00C210AC" w:rsidRPr="00E75A91">
              <w:rPr>
                <w:rFonts w:hint="eastAsia"/>
                <w:b/>
                <w:bCs/>
                <w:szCs w:val="24"/>
                <w:lang w:val="en-GB" w:eastAsia="zh-CN"/>
              </w:rPr>
              <w:t>8</w:t>
            </w:r>
            <w:r w:rsidRPr="00BA539B">
              <w:rPr>
                <w:rFonts w:hint="eastAsia"/>
                <w:b/>
                <w:bCs/>
                <w:szCs w:val="24"/>
                <w:lang w:eastAsia="zh-CN"/>
              </w:rPr>
              <w:t>项</w:t>
            </w:r>
            <w:r w:rsidRPr="00BA539B">
              <w:rPr>
                <w:b/>
                <w:bCs/>
                <w:szCs w:val="24"/>
                <w:lang w:eastAsia="zh-CN"/>
              </w:rPr>
              <w:t>经修订的</w:t>
            </w:r>
            <w:r w:rsidRPr="00BA539B">
              <w:rPr>
                <w:b/>
                <w:bCs/>
                <w:szCs w:val="24"/>
                <w:lang w:val="en-GB" w:eastAsia="zh-CN"/>
              </w:rPr>
              <w:t>ITU-R</w:t>
            </w:r>
            <w:r w:rsidRPr="00BA539B">
              <w:rPr>
                <w:b/>
                <w:bCs/>
                <w:szCs w:val="24"/>
                <w:lang w:eastAsia="zh-CN"/>
              </w:rPr>
              <w:t>建议书</w:t>
            </w:r>
            <w:r w:rsidRPr="00E75A91">
              <w:rPr>
                <w:b/>
                <w:bCs/>
                <w:szCs w:val="24"/>
                <w:lang w:val="en-GB" w:eastAsia="zh-CN"/>
              </w:rPr>
              <w:t>，</w:t>
            </w:r>
            <w:r w:rsidRPr="00BA539B">
              <w:rPr>
                <w:b/>
                <w:bCs/>
                <w:szCs w:val="24"/>
                <w:lang w:val="es-ES_tradnl" w:eastAsia="zh-CN"/>
              </w:rPr>
              <w:t>并同时予以批准</w:t>
            </w:r>
          </w:p>
          <w:p w14:paraId="3052AC5D" w14:textId="76578A96" w:rsidR="00E53DCE" w:rsidRPr="00334544" w:rsidRDefault="001E53BA" w:rsidP="00962267">
            <w:pPr>
              <w:tabs>
                <w:tab w:val="clear" w:pos="1588"/>
                <w:tab w:val="left" w:pos="1560"/>
              </w:tabs>
              <w:spacing w:before="120"/>
              <w:rPr>
                <w:b/>
                <w:bCs/>
                <w:szCs w:val="24"/>
                <w:lang w:eastAsia="zh-CN"/>
              </w:rPr>
            </w:pPr>
            <w:r w:rsidRPr="00441EE2">
              <w:rPr>
                <w:b/>
                <w:bCs/>
                <w:lang w:val="en-GB" w:eastAsia="zh-CN"/>
              </w:rPr>
              <w:t>–</w:t>
            </w:r>
            <w:r w:rsidRPr="00441EE2">
              <w:rPr>
                <w:b/>
                <w:bCs/>
                <w:lang w:val="en-GB" w:eastAsia="zh-CN"/>
              </w:rPr>
              <w:tab/>
            </w:r>
            <w:r w:rsidRPr="00BA539B">
              <w:rPr>
                <w:b/>
                <w:bCs/>
                <w:szCs w:val="24"/>
                <w:lang w:eastAsia="zh-CN"/>
              </w:rPr>
              <w:t>废止</w:t>
            </w:r>
            <w:r w:rsidR="00FC1F85">
              <w:rPr>
                <w:rFonts w:hint="eastAsia"/>
                <w:b/>
                <w:bCs/>
                <w:szCs w:val="24"/>
                <w:lang w:eastAsia="zh-CN"/>
              </w:rPr>
              <w:t>3</w:t>
            </w:r>
            <w:r w:rsidR="00FC1F85">
              <w:rPr>
                <w:b/>
                <w:bCs/>
                <w:szCs w:val="24"/>
                <w:lang w:eastAsia="zh-CN"/>
              </w:rPr>
              <w:t>9</w:t>
            </w:r>
            <w:r w:rsidRPr="00BA539B">
              <w:rPr>
                <w:rFonts w:hint="eastAsia"/>
                <w:b/>
                <w:bCs/>
                <w:szCs w:val="24"/>
                <w:lang w:eastAsia="zh-CN"/>
              </w:rPr>
              <w:t>项</w:t>
            </w:r>
            <w:r w:rsidRPr="00BA539B">
              <w:rPr>
                <w:b/>
                <w:bCs/>
                <w:szCs w:val="24"/>
                <w:lang w:eastAsia="zh-CN"/>
              </w:rPr>
              <w:t>ITU-R</w:t>
            </w:r>
            <w:r w:rsidRPr="00BA539B">
              <w:rPr>
                <w:b/>
                <w:bCs/>
                <w:szCs w:val="24"/>
                <w:lang w:eastAsia="zh-CN"/>
              </w:rPr>
              <w:t>建议书</w:t>
            </w:r>
          </w:p>
        </w:tc>
      </w:tr>
      <w:tr w:rsidR="00E53DCE" w:rsidRPr="00334544" w14:paraId="170B2DE2" w14:textId="77777777" w:rsidTr="00DA4711">
        <w:trPr>
          <w:jc w:val="center"/>
        </w:trPr>
        <w:tc>
          <w:tcPr>
            <w:tcW w:w="1526" w:type="dxa"/>
            <w:shd w:val="clear" w:color="auto" w:fill="auto"/>
          </w:tcPr>
          <w:p w14:paraId="3BF3F8CA"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99C2A30"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D62F107" w14:textId="77777777" w:rsidTr="00DA4711">
        <w:trPr>
          <w:jc w:val="center"/>
        </w:trPr>
        <w:tc>
          <w:tcPr>
            <w:tcW w:w="1526" w:type="dxa"/>
            <w:shd w:val="clear" w:color="auto" w:fill="auto"/>
          </w:tcPr>
          <w:p w14:paraId="22EC04A8"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537B546E"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28E6673" w14:textId="77777777" w:rsidTr="00DA4711">
        <w:trPr>
          <w:jc w:val="center"/>
        </w:trPr>
        <w:tc>
          <w:tcPr>
            <w:tcW w:w="9889" w:type="dxa"/>
            <w:gridSpan w:val="3"/>
            <w:shd w:val="clear" w:color="auto" w:fill="auto"/>
          </w:tcPr>
          <w:p w14:paraId="61A3C376" w14:textId="77777777" w:rsidR="00E53DCE" w:rsidRPr="00334544" w:rsidRDefault="00E53DCE" w:rsidP="006160CB">
            <w:pPr>
              <w:spacing w:before="0"/>
              <w:jc w:val="left"/>
              <w:rPr>
                <w:b/>
                <w:bCs/>
                <w:szCs w:val="24"/>
                <w:lang w:eastAsia="zh-CN"/>
              </w:rPr>
            </w:pPr>
          </w:p>
        </w:tc>
      </w:tr>
    </w:tbl>
    <w:p w14:paraId="1BE93E54" w14:textId="1714017A" w:rsidR="001E53BA" w:rsidRPr="00F43CDC" w:rsidRDefault="001E53BA" w:rsidP="00E75A91">
      <w:pPr>
        <w:pStyle w:val="Normalaftertitle0"/>
        <w:spacing w:before="360"/>
        <w:ind w:firstLineChars="200" w:firstLine="480"/>
        <w:rPr>
          <w:rFonts w:ascii="Calibri" w:eastAsia="SimSun" w:hAnsi="Calibri" w:cs="Calibri"/>
          <w:lang w:eastAsia="zh-CN"/>
        </w:rPr>
      </w:pPr>
      <w:r w:rsidRPr="00F43CDC">
        <w:rPr>
          <w:rFonts w:ascii="Calibri" w:eastAsia="SimSun" w:hAnsi="Calibri" w:cs="Calibri" w:hint="eastAsia"/>
          <w:lang w:eastAsia="zh-CN"/>
        </w:rPr>
        <w:t>根据</w:t>
      </w:r>
      <w:r w:rsidRPr="00F43CDC">
        <w:rPr>
          <w:rFonts w:ascii="Calibri" w:eastAsia="SimSun" w:hAnsi="Calibri" w:cs="Calibri"/>
          <w:lang w:eastAsia="zh-CN"/>
        </w:rPr>
        <w:t>ITU-R</w:t>
      </w:r>
      <w:r w:rsidRPr="00F43CDC">
        <w:rPr>
          <w:rFonts w:ascii="Calibri" w:eastAsia="SimSun" w:hAnsi="Calibri" w:cs="Calibri" w:hint="eastAsia"/>
          <w:lang w:eastAsia="zh-CN"/>
        </w:rPr>
        <w:t>第</w:t>
      </w:r>
      <w:r w:rsidRPr="00F43CDC">
        <w:rPr>
          <w:rFonts w:ascii="Calibri" w:eastAsia="SimSun" w:hAnsi="Calibri" w:cs="Calibri"/>
          <w:lang w:eastAsia="zh-CN"/>
        </w:rPr>
        <w:t>1-</w:t>
      </w:r>
      <w:r w:rsidR="00FC1F85" w:rsidRPr="00F43CDC">
        <w:rPr>
          <w:rFonts w:ascii="Calibri" w:eastAsia="SimSun" w:hAnsi="Calibri" w:cs="Calibri"/>
          <w:lang w:eastAsia="zh-CN"/>
        </w:rPr>
        <w:t>9</w:t>
      </w:r>
      <w:r w:rsidRPr="00F43CDC">
        <w:rPr>
          <w:rFonts w:ascii="Calibri" w:eastAsia="SimSun" w:hAnsi="Calibri" w:cs="Calibri" w:hint="eastAsia"/>
          <w:lang w:eastAsia="zh-CN"/>
        </w:rPr>
        <w:t>号决议（</w:t>
      </w:r>
      <w:r w:rsidRPr="00F43CDC">
        <w:rPr>
          <w:rFonts w:ascii="Calibri" w:eastAsia="SimSun" w:hAnsi="Calibri" w:cs="Calibri"/>
          <w:lang w:eastAsia="zh-CN"/>
        </w:rPr>
        <w:t>A2.6.2.4</w:t>
      </w:r>
      <w:r w:rsidRPr="00F43CDC">
        <w:rPr>
          <w:rFonts w:ascii="Calibri" w:eastAsia="SimSun" w:hAnsi="Calibri" w:cs="Calibri" w:hint="eastAsia"/>
          <w:lang w:eastAsia="zh-CN"/>
        </w:rPr>
        <w:t>段）规定的程序，通过</w:t>
      </w:r>
      <w:r w:rsidRPr="00F43CDC">
        <w:rPr>
          <w:rFonts w:ascii="Calibri" w:eastAsia="SimSun" w:hAnsi="Calibri" w:cs="Calibri"/>
          <w:lang w:eastAsia="zh-CN"/>
        </w:rPr>
        <w:t>20</w:t>
      </w:r>
      <w:r w:rsidR="00772EFA" w:rsidRPr="00F43CDC">
        <w:rPr>
          <w:rFonts w:ascii="Calibri" w:eastAsia="SimSun" w:hAnsi="Calibri" w:cs="Calibri"/>
          <w:lang w:eastAsia="zh-CN"/>
        </w:rPr>
        <w:t>23</w:t>
      </w:r>
      <w:r w:rsidRPr="00F43CDC">
        <w:rPr>
          <w:rFonts w:ascii="Calibri" w:eastAsia="SimSun" w:hAnsi="Calibri" w:cs="Calibri" w:hint="eastAsia"/>
          <w:lang w:eastAsia="zh-CN"/>
        </w:rPr>
        <w:t>年</w:t>
      </w:r>
      <w:r w:rsidR="00772EFA" w:rsidRPr="00F43CDC">
        <w:rPr>
          <w:rFonts w:ascii="Calibri" w:eastAsia="SimSun" w:hAnsi="Calibri" w:cs="Calibri" w:hint="eastAsia"/>
          <w:lang w:eastAsia="zh-CN"/>
        </w:rPr>
        <w:t>9</w:t>
      </w:r>
      <w:r w:rsidRPr="00F43CDC">
        <w:rPr>
          <w:rFonts w:ascii="Calibri" w:eastAsia="SimSun" w:hAnsi="Calibri" w:cs="Calibri" w:hint="eastAsia"/>
          <w:lang w:eastAsia="zh-CN"/>
        </w:rPr>
        <w:t>月</w:t>
      </w:r>
      <w:r w:rsidR="00772EFA" w:rsidRPr="00F43CDC">
        <w:rPr>
          <w:rFonts w:ascii="Calibri" w:eastAsia="SimSun" w:hAnsi="Calibri" w:cs="Calibri"/>
          <w:lang w:eastAsia="zh-CN"/>
        </w:rPr>
        <w:t>22</w:t>
      </w:r>
      <w:r w:rsidRPr="00F43CDC">
        <w:rPr>
          <w:rFonts w:ascii="Calibri" w:eastAsia="SimSun" w:hAnsi="Calibri" w:cs="Calibri" w:hint="eastAsia"/>
          <w:lang w:eastAsia="zh-CN"/>
        </w:rPr>
        <w:t>日的第</w:t>
      </w:r>
      <w:r w:rsidR="00772EFA" w:rsidRPr="00F43CDC">
        <w:rPr>
          <w:rFonts w:eastAsia="SimSun"/>
          <w:lang w:val="en-US"/>
        </w:rPr>
        <w:fldChar w:fldCharType="begin"/>
      </w:r>
      <w:r w:rsidR="00772EFA" w:rsidRPr="00F43CDC">
        <w:rPr>
          <w:rFonts w:ascii="Calibri" w:eastAsia="SimSun" w:hAnsi="Calibri" w:cs="Calibri"/>
          <w:lang w:eastAsia="zh-CN"/>
        </w:rPr>
        <w:instrText xml:space="preserve"> HYPERLINK "https://www.itu.int/md/R00-CACE-CIR-1076/en" </w:instrText>
      </w:r>
      <w:r w:rsidR="00772EFA" w:rsidRPr="00F43CDC">
        <w:rPr>
          <w:rFonts w:eastAsia="SimSun"/>
          <w:lang w:val="en-US"/>
        </w:rPr>
      </w:r>
      <w:r w:rsidR="00772EFA" w:rsidRPr="00F43CDC">
        <w:rPr>
          <w:rFonts w:eastAsia="SimSun"/>
          <w:lang w:val="en-US"/>
        </w:rPr>
        <w:fldChar w:fldCharType="separate"/>
      </w:r>
      <w:r w:rsidR="00772EFA" w:rsidRPr="00F43CDC">
        <w:rPr>
          <w:rStyle w:val="Hyperlink"/>
          <w:rFonts w:ascii="Calibri" w:eastAsia="SimSun" w:hAnsi="Calibri" w:cs="Calibri"/>
          <w:lang w:eastAsia="zh-CN"/>
        </w:rPr>
        <w:t>CACE/1076</w:t>
      </w:r>
      <w:r w:rsidR="00772EFA" w:rsidRPr="00F43CDC">
        <w:rPr>
          <w:rStyle w:val="Hyperlink"/>
          <w:rFonts w:ascii="Calibri" w:eastAsia="SimSun" w:hAnsi="Calibri" w:cs="Calibri"/>
        </w:rPr>
        <w:fldChar w:fldCharType="end"/>
      </w:r>
      <w:r w:rsidRPr="00F43CDC">
        <w:rPr>
          <w:rFonts w:ascii="Calibri" w:eastAsia="SimSun" w:hAnsi="Calibri" w:cs="Calibri" w:hint="eastAsia"/>
          <w:lang w:eastAsia="zh-CN"/>
        </w:rPr>
        <w:t>号行政通函，提交了</w:t>
      </w:r>
      <w:r w:rsidR="00772EFA" w:rsidRPr="00F43CDC">
        <w:rPr>
          <w:rFonts w:ascii="Calibri" w:eastAsia="SimSun" w:hAnsi="Calibri" w:cs="Calibri" w:hint="eastAsia"/>
          <w:lang w:eastAsia="zh-CN"/>
        </w:rPr>
        <w:t>1</w:t>
      </w:r>
      <w:r w:rsidRPr="00F43CDC">
        <w:rPr>
          <w:rFonts w:ascii="Calibri" w:eastAsia="SimSun" w:hAnsi="Calibri" w:cs="Calibri" w:hint="eastAsia"/>
          <w:lang w:eastAsia="zh-CN"/>
        </w:rPr>
        <w:t>项新的和</w:t>
      </w:r>
      <w:r w:rsidR="00772EFA" w:rsidRPr="00F43CDC">
        <w:rPr>
          <w:rFonts w:ascii="Calibri" w:eastAsia="SimSun" w:hAnsi="Calibri" w:cs="Calibri" w:hint="eastAsia"/>
          <w:lang w:eastAsia="zh-CN"/>
        </w:rPr>
        <w:t>8</w:t>
      </w:r>
      <w:r w:rsidRPr="00F43CDC">
        <w:rPr>
          <w:rFonts w:ascii="Calibri" w:eastAsia="SimSun" w:hAnsi="Calibri" w:cs="Calibri" w:hint="eastAsia"/>
          <w:lang w:eastAsia="zh-CN" w:bidi="ar-EG"/>
        </w:rPr>
        <w:t>项经修订的</w:t>
      </w:r>
      <w:r w:rsidRPr="00F43CDC">
        <w:rPr>
          <w:rFonts w:ascii="Calibri" w:eastAsia="SimSun" w:hAnsi="Calibri" w:cs="Calibri"/>
          <w:lang w:eastAsia="zh-CN"/>
        </w:rPr>
        <w:t>ITU-R</w:t>
      </w:r>
      <w:r w:rsidRPr="00F43CDC">
        <w:rPr>
          <w:rFonts w:ascii="Calibri" w:eastAsia="SimSun" w:hAnsi="Calibri" w:cs="Calibri" w:hint="eastAsia"/>
          <w:lang w:eastAsia="zh-CN" w:bidi="ar-EG"/>
        </w:rPr>
        <w:t>建议书草案，</w:t>
      </w:r>
      <w:r w:rsidRPr="00F43CDC">
        <w:rPr>
          <w:rFonts w:ascii="Calibri" w:eastAsia="SimSun" w:hAnsi="Calibri" w:cs="Calibri" w:hint="eastAsia"/>
          <w:lang w:val="es-ES_tradnl" w:eastAsia="zh-CN" w:bidi="ar-EG"/>
        </w:rPr>
        <w:t>以便</w:t>
      </w:r>
      <w:r w:rsidRPr="00F43CDC">
        <w:rPr>
          <w:rFonts w:ascii="Calibri" w:eastAsia="SimSun" w:hAnsi="Calibri" w:cs="Calibri" w:hint="eastAsia"/>
          <w:lang w:eastAsia="zh-CN"/>
        </w:rPr>
        <w:t>以信函方式</w:t>
      </w:r>
      <w:r w:rsidRPr="00F43CDC">
        <w:rPr>
          <w:rFonts w:ascii="Calibri" w:eastAsia="SimSun" w:hAnsi="Calibri" w:cs="Calibri" w:hint="eastAsia"/>
          <w:lang w:val="es-ES_tradnl" w:eastAsia="zh-CN" w:bidi="ar-EG"/>
        </w:rPr>
        <w:t>同时通过和批准</w:t>
      </w:r>
      <w:r w:rsidRPr="00E75A91">
        <w:rPr>
          <w:rFonts w:ascii="Calibri" w:eastAsia="SimSun" w:hAnsi="Calibri" w:cs="Calibri" w:hint="eastAsia"/>
          <w:lang w:val="en-US" w:eastAsia="zh-CN" w:bidi="ar-EG"/>
        </w:rPr>
        <w:t>（</w:t>
      </w:r>
      <w:r w:rsidRPr="00E75A91">
        <w:rPr>
          <w:rFonts w:ascii="Calibri" w:eastAsia="SimSun" w:hAnsi="Calibri" w:cs="Calibri"/>
          <w:lang w:val="en-US" w:eastAsia="zh-CN" w:bidi="ar-EG"/>
        </w:rPr>
        <w:t>PSAA</w:t>
      </w:r>
      <w:r w:rsidRPr="00E75A91">
        <w:rPr>
          <w:rFonts w:ascii="Calibri" w:eastAsia="SimSun" w:hAnsi="Calibri" w:cs="Calibri" w:hint="eastAsia"/>
          <w:lang w:val="en-US" w:eastAsia="zh-CN" w:bidi="ar-EG"/>
        </w:rPr>
        <w:t>）</w:t>
      </w:r>
      <w:r w:rsidRPr="00F43CDC">
        <w:rPr>
          <w:rFonts w:ascii="Calibri" w:eastAsia="SimSun" w:hAnsi="Calibri" w:cs="Calibri" w:hint="eastAsia"/>
          <w:lang w:eastAsia="zh-CN"/>
        </w:rPr>
        <w:t>。另外，研究组建议废止</w:t>
      </w:r>
      <w:r w:rsidR="00772EFA" w:rsidRPr="00F43CDC">
        <w:rPr>
          <w:rFonts w:ascii="Calibri" w:eastAsia="SimSun" w:hAnsi="Calibri" w:cs="Calibri" w:hint="eastAsia"/>
          <w:lang w:eastAsia="zh-CN"/>
        </w:rPr>
        <w:t>3</w:t>
      </w:r>
      <w:r w:rsidR="00772EFA" w:rsidRPr="00F43CDC">
        <w:rPr>
          <w:rFonts w:ascii="Calibri" w:eastAsia="SimSun" w:hAnsi="Calibri" w:cs="Calibri"/>
          <w:lang w:eastAsia="zh-CN"/>
        </w:rPr>
        <w:t>9</w:t>
      </w:r>
      <w:r w:rsidRPr="00F43CDC">
        <w:rPr>
          <w:rFonts w:ascii="Calibri" w:eastAsia="SimSun" w:hAnsi="Calibri" w:cs="Calibri" w:hint="eastAsia"/>
          <w:lang w:eastAsia="zh-CN"/>
        </w:rPr>
        <w:t>项</w:t>
      </w:r>
      <w:r w:rsidRPr="00F43CDC">
        <w:rPr>
          <w:rFonts w:ascii="Calibri" w:eastAsia="SimSun" w:hAnsi="Calibri" w:cs="Calibri"/>
          <w:lang w:eastAsia="zh-CN"/>
        </w:rPr>
        <w:t>ITU-R</w:t>
      </w:r>
      <w:r w:rsidRPr="00F43CDC">
        <w:rPr>
          <w:rFonts w:ascii="Calibri" w:eastAsia="SimSun" w:hAnsi="Calibri" w:cs="Calibri" w:hint="eastAsia"/>
          <w:lang w:eastAsia="zh-CN"/>
        </w:rPr>
        <w:t>建议书。</w:t>
      </w:r>
    </w:p>
    <w:p w14:paraId="2903625F" w14:textId="1B3EEAAD" w:rsidR="001E53BA" w:rsidRPr="00BA539B" w:rsidRDefault="001E53BA" w:rsidP="001E53BA">
      <w:pPr>
        <w:tabs>
          <w:tab w:val="clear" w:pos="794"/>
          <w:tab w:val="left" w:pos="518"/>
        </w:tabs>
        <w:ind w:firstLineChars="200" w:firstLine="480"/>
        <w:rPr>
          <w:rFonts w:asciiTheme="minorHAnsi" w:hAnsiTheme="minorHAnsi" w:cstheme="minorHAnsi"/>
          <w:lang w:eastAsia="zh-CN"/>
        </w:rPr>
      </w:pPr>
      <w:r w:rsidRPr="00BA539B">
        <w:rPr>
          <w:rFonts w:asciiTheme="minorHAnsi" w:hAnsiTheme="minorHAnsi" w:cstheme="minorHAnsi"/>
          <w:lang w:eastAsia="zh-CN"/>
        </w:rPr>
        <w:t>有关该程序的条件已于</w:t>
      </w:r>
      <w:r w:rsidRPr="007C6A0F">
        <w:rPr>
          <w:rFonts w:asciiTheme="minorHAnsi" w:hAnsiTheme="minorHAnsi" w:cstheme="minorHAnsi"/>
          <w:lang w:eastAsia="zh-CN"/>
        </w:rPr>
        <w:t>20</w:t>
      </w:r>
      <w:r w:rsidR="007C6A0F">
        <w:rPr>
          <w:rFonts w:asciiTheme="minorHAnsi" w:hAnsiTheme="minorHAnsi" w:cstheme="minorHAnsi"/>
          <w:lang w:eastAsia="zh-CN"/>
        </w:rPr>
        <w:t>23</w:t>
      </w:r>
      <w:r w:rsidRPr="00BA539B">
        <w:rPr>
          <w:rFonts w:asciiTheme="minorHAnsi" w:hAnsiTheme="minorHAnsi" w:cstheme="minorHAnsi"/>
          <w:lang w:eastAsia="zh-CN"/>
        </w:rPr>
        <w:t>年</w:t>
      </w:r>
      <w:r w:rsidR="007C6A0F">
        <w:rPr>
          <w:rFonts w:asciiTheme="minorHAnsi" w:hAnsiTheme="minorHAnsi" w:cstheme="minorHAnsi"/>
          <w:lang w:eastAsia="zh-CN"/>
        </w:rPr>
        <w:t>11</w:t>
      </w:r>
      <w:r w:rsidRPr="00BA539B">
        <w:rPr>
          <w:rFonts w:asciiTheme="minorHAnsi" w:hAnsiTheme="minorHAnsi" w:cstheme="minorHAnsi"/>
          <w:lang w:eastAsia="zh-CN"/>
        </w:rPr>
        <w:t>月</w:t>
      </w:r>
      <w:r w:rsidR="007C6A0F">
        <w:rPr>
          <w:rFonts w:asciiTheme="minorHAnsi" w:hAnsiTheme="minorHAnsi" w:cstheme="minorHAnsi"/>
          <w:lang w:eastAsia="zh-CN"/>
        </w:rPr>
        <w:t>22</w:t>
      </w:r>
      <w:r w:rsidRPr="00BA539B">
        <w:rPr>
          <w:rFonts w:asciiTheme="minorHAnsi" w:hAnsiTheme="minorHAnsi" w:cstheme="minorHAnsi"/>
          <w:lang w:eastAsia="zh-CN"/>
        </w:rPr>
        <w:t>日得到满足。</w:t>
      </w:r>
    </w:p>
    <w:p w14:paraId="721B9C1F" w14:textId="49E838F9" w:rsidR="001E53BA" w:rsidRPr="00BA539B" w:rsidRDefault="001E53BA" w:rsidP="001E53BA">
      <w:pPr>
        <w:tabs>
          <w:tab w:val="clear" w:pos="794"/>
          <w:tab w:val="left" w:pos="518"/>
        </w:tabs>
        <w:ind w:firstLineChars="200" w:firstLine="480"/>
        <w:rPr>
          <w:rFonts w:asciiTheme="minorHAnsi" w:hAnsiTheme="minorHAnsi" w:cstheme="minorHAnsi"/>
          <w:lang w:eastAsia="zh-CN"/>
        </w:rPr>
      </w:pPr>
      <w:r w:rsidRPr="00BA539B">
        <w:rPr>
          <w:rFonts w:asciiTheme="minorHAnsi" w:hAnsiTheme="minorHAnsi" w:cstheme="minorHAnsi"/>
          <w:lang w:eastAsia="zh-CN"/>
        </w:rPr>
        <w:t>已经批准的建议书将由国际电联公布出版。本通函附件</w:t>
      </w:r>
      <w:r w:rsidRPr="00062347">
        <w:rPr>
          <w:rFonts w:asciiTheme="minorHAnsi" w:hAnsiTheme="minorHAnsi" w:cstheme="minorHAnsi"/>
          <w:lang w:eastAsia="zh-CN"/>
        </w:rPr>
        <w:t>1</w:t>
      </w:r>
      <w:r w:rsidRPr="00BA539B">
        <w:rPr>
          <w:rFonts w:asciiTheme="minorHAnsi" w:hAnsiTheme="minorHAnsi" w:cstheme="minorHAnsi"/>
          <w:lang w:eastAsia="zh-CN"/>
        </w:rPr>
        <w:t>提供了</w:t>
      </w:r>
      <w:r w:rsidRPr="00062347">
        <w:rPr>
          <w:rFonts w:asciiTheme="minorHAnsi" w:hAnsiTheme="minorHAnsi" w:cstheme="minorHAnsi"/>
          <w:lang w:eastAsia="zh-CN"/>
        </w:rPr>
        <w:t>这些</w:t>
      </w:r>
      <w:r w:rsidRPr="00BA539B">
        <w:rPr>
          <w:rFonts w:asciiTheme="minorHAnsi" w:hAnsiTheme="minorHAnsi" w:cstheme="minorHAnsi"/>
          <w:lang w:eastAsia="zh-CN"/>
        </w:rPr>
        <w:t>建议书的标题和分配的编号。</w:t>
      </w:r>
      <w:bookmarkStart w:id="0" w:name="StartTyping_E"/>
      <w:bookmarkEnd w:id="0"/>
      <w:r w:rsidRPr="00BA539B">
        <w:rPr>
          <w:rFonts w:asciiTheme="minorHAnsi" w:hAnsiTheme="minorHAnsi" w:cstheme="minorHAnsi"/>
          <w:lang w:eastAsia="zh-CN"/>
        </w:rPr>
        <w:t>附件</w:t>
      </w:r>
      <w:r w:rsidRPr="00BA539B">
        <w:rPr>
          <w:rFonts w:asciiTheme="minorHAnsi" w:hAnsiTheme="minorHAnsi" w:cstheme="minorHAnsi"/>
          <w:lang w:eastAsia="zh-CN"/>
        </w:rPr>
        <w:t>2</w:t>
      </w:r>
      <w:r w:rsidRPr="00BA539B">
        <w:rPr>
          <w:rFonts w:asciiTheme="minorHAnsi" w:hAnsiTheme="minorHAnsi" w:cstheme="minorHAnsi"/>
          <w:lang w:eastAsia="zh-CN"/>
        </w:rPr>
        <w:t>提供了已经废止的建议书</w:t>
      </w:r>
      <w:r w:rsidRPr="00062347">
        <w:rPr>
          <w:rFonts w:asciiTheme="minorHAnsi" w:hAnsiTheme="minorHAnsi" w:cstheme="minorHAnsi"/>
          <w:lang w:eastAsia="zh-CN"/>
        </w:rPr>
        <w:t>清单</w:t>
      </w:r>
      <w:r w:rsidRPr="00BA539B">
        <w:rPr>
          <w:rFonts w:asciiTheme="minorHAnsi" w:hAnsiTheme="minorHAnsi" w:cstheme="minorHAnsi"/>
          <w:lang w:eastAsia="zh-CN"/>
        </w:rPr>
        <w:t>。</w:t>
      </w:r>
    </w:p>
    <w:p w14:paraId="10BC9605" w14:textId="77777777" w:rsidR="001E73F8" w:rsidRPr="00BA539B" w:rsidRDefault="001E73F8" w:rsidP="004D08B4">
      <w:pPr>
        <w:spacing w:before="1200"/>
        <w:jc w:val="left"/>
        <w:rPr>
          <w:lang w:eastAsia="zh-CN"/>
        </w:rPr>
      </w:pPr>
      <w:r w:rsidRPr="00BA539B">
        <w:rPr>
          <w:rFonts w:hint="eastAsia"/>
          <w:lang w:eastAsia="zh-CN"/>
        </w:rPr>
        <w:t>主任</w:t>
      </w:r>
      <w:r w:rsidRPr="00BA539B">
        <w:rPr>
          <w:lang w:eastAsia="zh-CN"/>
        </w:rPr>
        <w:br/>
      </w:r>
      <w:r w:rsidRPr="00BA539B">
        <w:rPr>
          <w:lang w:eastAsia="zh-CN"/>
        </w:rPr>
        <w:t>马里奥</w:t>
      </w:r>
      <w:r w:rsidRPr="00A644EE">
        <w:rPr>
          <w:rFonts w:asciiTheme="minorHAnsi" w:hAnsiTheme="minorHAnsi" w:cstheme="minorHAnsi"/>
          <w:lang w:eastAsia="zh-CN"/>
        </w:rPr>
        <w:t>·</w:t>
      </w:r>
      <w:r w:rsidRPr="00BA539B">
        <w:rPr>
          <w:lang w:eastAsia="zh-CN"/>
        </w:rPr>
        <w:t>马尼维</w:t>
      </w:r>
      <w:r w:rsidRPr="00BA539B">
        <w:rPr>
          <w:rFonts w:hint="eastAsia"/>
          <w:lang w:eastAsia="zh-CN"/>
        </w:rPr>
        <w:t>奇</w:t>
      </w:r>
    </w:p>
    <w:p w14:paraId="37C57172" w14:textId="2E7C12EA" w:rsidR="000E3C01" w:rsidRDefault="001E73F8" w:rsidP="004D08B4">
      <w:pPr>
        <w:spacing w:before="1920"/>
        <w:rPr>
          <w:rFonts w:eastAsia="SimSun"/>
          <w:lang w:eastAsia="zh-CN"/>
        </w:rPr>
      </w:pPr>
      <w:r w:rsidRPr="00BA539B">
        <w:rPr>
          <w:rFonts w:eastAsia="SimSun" w:hint="eastAsia"/>
          <w:b/>
          <w:lang w:val="fr-FR" w:eastAsia="zh-CN"/>
        </w:rPr>
        <w:t>附件</w:t>
      </w:r>
      <w:r w:rsidRPr="00BA539B">
        <w:rPr>
          <w:rFonts w:eastAsia="SimSun" w:hint="eastAsia"/>
          <w:b/>
          <w:lang w:eastAsia="zh-CN"/>
        </w:rPr>
        <w:t>：</w:t>
      </w:r>
      <w:r w:rsidR="001E53BA">
        <w:rPr>
          <w:rFonts w:eastAsia="SimSun"/>
          <w:lang w:eastAsia="zh-CN"/>
        </w:rPr>
        <w:t>2</w:t>
      </w:r>
      <w:r w:rsidRPr="00BA539B">
        <w:rPr>
          <w:rFonts w:eastAsia="SimSun" w:hint="eastAsia"/>
          <w:lang w:eastAsia="zh-CN"/>
        </w:rPr>
        <w:t>件</w:t>
      </w:r>
    </w:p>
    <w:p w14:paraId="7E56E057" w14:textId="44765400" w:rsidR="000E3C01" w:rsidRDefault="000E3C01" w:rsidP="004D08B4">
      <w:pPr>
        <w:tabs>
          <w:tab w:val="clear" w:pos="794"/>
          <w:tab w:val="clear" w:pos="1191"/>
          <w:tab w:val="clear" w:pos="1588"/>
          <w:tab w:val="clear" w:pos="1985"/>
        </w:tabs>
        <w:overflowPunct/>
        <w:autoSpaceDE/>
        <w:autoSpaceDN/>
        <w:adjustRightInd/>
        <w:spacing w:before="1920" w:line="240" w:lineRule="auto"/>
        <w:jc w:val="left"/>
        <w:textAlignment w:val="auto"/>
        <w:rPr>
          <w:rFonts w:eastAsia="SimSun"/>
          <w:lang w:eastAsia="zh-CN"/>
        </w:rPr>
      </w:pPr>
      <w:r>
        <w:rPr>
          <w:rFonts w:eastAsia="SimSun"/>
          <w:lang w:eastAsia="zh-CN"/>
        </w:rPr>
        <w:br w:type="page"/>
      </w:r>
    </w:p>
    <w:p w14:paraId="117AE60E" w14:textId="368A7AC1" w:rsidR="001E53BA" w:rsidRPr="00B850AE" w:rsidRDefault="001E53BA" w:rsidP="00066225">
      <w:pPr>
        <w:pStyle w:val="AnnexNoTitle"/>
        <w:spacing w:before="480" w:after="480"/>
        <w:rPr>
          <w:sz w:val="28"/>
          <w:szCs w:val="28"/>
          <w:lang w:val="en-GB" w:eastAsia="zh-CN"/>
        </w:rPr>
      </w:pPr>
      <w:r w:rsidRPr="00B850AE">
        <w:rPr>
          <w:sz w:val="28"/>
          <w:szCs w:val="28"/>
          <w:lang w:val="en-GB" w:eastAsia="zh-CN"/>
        </w:rPr>
        <w:lastRenderedPageBreak/>
        <w:t>附件</w:t>
      </w:r>
      <w:r w:rsidRPr="00B850AE">
        <w:rPr>
          <w:sz w:val="28"/>
          <w:szCs w:val="28"/>
          <w:lang w:val="en-GB" w:eastAsia="zh-CN"/>
        </w:rPr>
        <w:t>1</w:t>
      </w:r>
      <w:r w:rsidRPr="00B850AE">
        <w:rPr>
          <w:sz w:val="28"/>
          <w:szCs w:val="28"/>
          <w:lang w:val="en-GB" w:eastAsia="zh-CN"/>
        </w:rPr>
        <w:br/>
      </w:r>
      <w:r w:rsidRPr="00B850AE">
        <w:rPr>
          <w:sz w:val="28"/>
          <w:szCs w:val="28"/>
          <w:lang w:val="en-GB" w:eastAsia="zh-CN"/>
        </w:rPr>
        <w:br/>
      </w:r>
      <w:r w:rsidRPr="00B850AE">
        <w:rPr>
          <w:sz w:val="28"/>
          <w:szCs w:val="28"/>
          <w:lang w:val="en-GB" w:eastAsia="zh-CN"/>
        </w:rPr>
        <w:t>已获批准的</w:t>
      </w:r>
      <w:r w:rsidRPr="00B850AE">
        <w:rPr>
          <w:rFonts w:ascii="Times New Roman" w:hAnsi="Times New Roman" w:cs="Times New Roman"/>
          <w:bCs/>
          <w:sz w:val="28"/>
          <w:szCs w:val="28"/>
          <w:lang w:val="en-GB" w:eastAsia="zh-CN"/>
        </w:rPr>
        <w:t>ITU-R</w:t>
      </w:r>
      <w:r w:rsidRPr="00B850AE">
        <w:rPr>
          <w:sz w:val="28"/>
          <w:szCs w:val="28"/>
          <w:lang w:val="en-GB" w:eastAsia="zh-CN"/>
        </w:rPr>
        <w:t>建议书的标题</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1"/>
        <w:gridCol w:w="1842"/>
      </w:tblGrid>
      <w:tr w:rsidR="00DE53DC" w:rsidRPr="0018579B" w14:paraId="6C687B9C" w14:textId="77777777" w:rsidTr="003C0574">
        <w:trPr>
          <w:jc w:val="center"/>
        </w:trPr>
        <w:tc>
          <w:tcPr>
            <w:tcW w:w="1980" w:type="dxa"/>
          </w:tcPr>
          <w:p w14:paraId="795BDA41" w14:textId="16911B70" w:rsidR="00DE53DC" w:rsidRPr="00F426D3" w:rsidRDefault="00DE53DC" w:rsidP="00DE53DC">
            <w:pPr>
              <w:pStyle w:val="Tablehead"/>
              <w:rPr>
                <w:lang w:val="en-GB"/>
              </w:rPr>
            </w:pPr>
            <w:r w:rsidRPr="002D26CB">
              <w:rPr>
                <w:rFonts w:asciiTheme="minorHAnsi" w:hAnsiTheme="minorHAnsi" w:cstheme="minorHAnsi"/>
                <w:lang w:val="fr-FR"/>
              </w:rPr>
              <w:t>ITU-R</w:t>
            </w:r>
            <w:r>
              <w:rPr>
                <w:rFonts w:asciiTheme="minorHAnsi" w:hAnsiTheme="minorHAnsi" w:cstheme="minorHAnsi" w:hint="eastAsia"/>
                <w:lang w:val="fr-FR" w:eastAsia="zh-CN"/>
              </w:rPr>
              <w:t>建议书</w:t>
            </w:r>
          </w:p>
        </w:tc>
        <w:tc>
          <w:tcPr>
            <w:tcW w:w="5671" w:type="dxa"/>
          </w:tcPr>
          <w:p w14:paraId="53D0D7FD" w14:textId="538CD63D" w:rsidR="00DE53DC" w:rsidRPr="00F426D3" w:rsidRDefault="00DE53DC" w:rsidP="00DE53DC">
            <w:pPr>
              <w:pStyle w:val="Tablehead"/>
              <w:rPr>
                <w:rFonts w:asciiTheme="minorHAnsi" w:hAnsiTheme="minorHAnsi" w:cstheme="minorHAnsi"/>
                <w:lang w:val="en-GB"/>
              </w:rPr>
            </w:pPr>
            <w:r>
              <w:rPr>
                <w:rFonts w:asciiTheme="minorHAnsi" w:hAnsiTheme="minorHAnsi" w:cstheme="minorHAnsi" w:hint="eastAsia"/>
                <w:bCs/>
                <w:lang w:val="fr-FR" w:eastAsia="zh-CN"/>
              </w:rPr>
              <w:t>标题</w:t>
            </w:r>
          </w:p>
        </w:tc>
        <w:tc>
          <w:tcPr>
            <w:tcW w:w="1842" w:type="dxa"/>
          </w:tcPr>
          <w:p w14:paraId="0DFADFCD" w14:textId="74D14C57" w:rsidR="00DE53DC" w:rsidRPr="00F426D3" w:rsidRDefault="00DE53DC" w:rsidP="00DE53DC">
            <w:pPr>
              <w:pStyle w:val="Tablehead"/>
              <w:rPr>
                <w:lang w:val="en-GB"/>
              </w:rPr>
            </w:pPr>
            <w:r>
              <w:rPr>
                <w:rFonts w:asciiTheme="minorHAnsi" w:hAnsiTheme="minorHAnsi" w:cstheme="minorHAnsi" w:hint="eastAsia"/>
                <w:bCs/>
                <w:lang w:val="fr-FR" w:eastAsia="zh-CN"/>
              </w:rPr>
              <w:t>文件号</w:t>
            </w:r>
          </w:p>
        </w:tc>
      </w:tr>
      <w:tr w:rsidR="00DE53DC" w:rsidRPr="0018579B" w14:paraId="14921F36" w14:textId="77777777" w:rsidTr="006C4B94">
        <w:trPr>
          <w:jc w:val="center"/>
        </w:trPr>
        <w:tc>
          <w:tcPr>
            <w:tcW w:w="1980" w:type="dxa"/>
            <w:vAlign w:val="center"/>
          </w:tcPr>
          <w:p w14:paraId="7F5AFC17" w14:textId="77777777" w:rsidR="00DE53DC" w:rsidRPr="0018579B" w:rsidRDefault="00DE53DC" w:rsidP="006C4B94">
            <w:pPr>
              <w:pStyle w:val="Tabletext"/>
              <w:jc w:val="center"/>
              <w:rPr>
                <w:bCs/>
                <w:lang w:val="en-GB"/>
              </w:rPr>
            </w:pPr>
            <w:r w:rsidRPr="0018579B">
              <w:rPr>
                <w:bCs/>
                <w:lang w:val="en-GB"/>
              </w:rPr>
              <w:t>BT.2163</w:t>
            </w:r>
          </w:p>
        </w:tc>
        <w:tc>
          <w:tcPr>
            <w:tcW w:w="5671" w:type="dxa"/>
            <w:vAlign w:val="center"/>
          </w:tcPr>
          <w:p w14:paraId="6085F843" w14:textId="158A6C00" w:rsidR="00DE53DC" w:rsidRPr="0018579B" w:rsidRDefault="00DE53DC" w:rsidP="006C4B94">
            <w:pPr>
              <w:pStyle w:val="Tabletext"/>
              <w:rPr>
                <w:rFonts w:asciiTheme="minorHAnsi" w:hAnsiTheme="minorHAnsi" w:cstheme="minorHAnsi"/>
                <w:lang w:val="en-GB" w:eastAsia="zh-CN"/>
              </w:rPr>
            </w:pPr>
            <w:r w:rsidRPr="00EE6639">
              <w:rPr>
                <w:rFonts w:hint="eastAsia"/>
                <w:lang w:eastAsia="zh-CN"/>
              </w:rPr>
              <w:t>评价高动态范围电视亮度的客观测量算法</w:t>
            </w:r>
          </w:p>
        </w:tc>
        <w:tc>
          <w:tcPr>
            <w:tcW w:w="1842" w:type="dxa"/>
            <w:vAlign w:val="center"/>
          </w:tcPr>
          <w:p w14:paraId="0E921090" w14:textId="77777777" w:rsidR="00DE53DC" w:rsidRPr="0018579B" w:rsidRDefault="00DE53DC" w:rsidP="006C4B94">
            <w:pPr>
              <w:pStyle w:val="Tabletext"/>
              <w:jc w:val="center"/>
              <w:rPr>
                <w:lang w:val="en-GB"/>
              </w:rPr>
            </w:pPr>
            <w:r w:rsidRPr="0018579B">
              <w:rPr>
                <w:lang w:val="en-GB"/>
              </w:rPr>
              <w:t>6/372(Rev.1)</w:t>
            </w:r>
          </w:p>
        </w:tc>
      </w:tr>
      <w:tr w:rsidR="00DE53DC" w:rsidRPr="0018579B" w14:paraId="119F4A25" w14:textId="77777777" w:rsidTr="006C4B94">
        <w:trPr>
          <w:jc w:val="center"/>
        </w:trPr>
        <w:tc>
          <w:tcPr>
            <w:tcW w:w="1980" w:type="dxa"/>
            <w:vAlign w:val="center"/>
          </w:tcPr>
          <w:p w14:paraId="44C40540" w14:textId="77777777" w:rsidR="00DE53DC" w:rsidRPr="0018579B" w:rsidRDefault="00DE53DC" w:rsidP="006C4B94">
            <w:pPr>
              <w:pStyle w:val="Tabletext"/>
              <w:jc w:val="center"/>
              <w:rPr>
                <w:bCs/>
                <w:lang w:val="en-GB"/>
              </w:rPr>
            </w:pPr>
            <w:r w:rsidRPr="0018579B">
              <w:rPr>
                <w:bCs/>
                <w:lang w:val="en-GB"/>
              </w:rPr>
              <w:t>BS.1909-</w:t>
            </w:r>
            <w:r>
              <w:rPr>
                <w:bCs/>
                <w:lang w:val="en-GB"/>
              </w:rPr>
              <w:t>1</w:t>
            </w:r>
          </w:p>
        </w:tc>
        <w:tc>
          <w:tcPr>
            <w:tcW w:w="5671" w:type="dxa"/>
            <w:vAlign w:val="center"/>
          </w:tcPr>
          <w:p w14:paraId="2F0A4FA7" w14:textId="6AC5ABA0" w:rsidR="00DE53DC" w:rsidRPr="0018579B" w:rsidRDefault="00DE53DC" w:rsidP="006C4B94">
            <w:pPr>
              <w:pStyle w:val="Tabletext"/>
              <w:rPr>
                <w:rFonts w:asciiTheme="minorHAnsi" w:hAnsiTheme="minorHAnsi" w:cstheme="minorHAnsi"/>
                <w:lang w:val="en-GB" w:eastAsia="zh-CN"/>
              </w:rPr>
            </w:pPr>
            <w:r w:rsidRPr="0027714E">
              <w:rPr>
                <w:bCs/>
                <w:lang w:eastAsia="zh-CN"/>
              </w:rPr>
              <w:t>对带有或</w:t>
            </w:r>
            <w:proofErr w:type="gramStart"/>
            <w:r w:rsidRPr="0027714E">
              <w:rPr>
                <w:bCs/>
                <w:lang w:eastAsia="zh-CN"/>
              </w:rPr>
              <w:t>不带伴图的</w:t>
            </w:r>
            <w:proofErr w:type="gramEnd"/>
            <w:r w:rsidRPr="0027714E">
              <w:rPr>
                <w:bCs/>
                <w:lang w:eastAsia="zh-CN"/>
              </w:rPr>
              <w:t>先进</w:t>
            </w:r>
            <w:r w:rsidR="00876518">
              <w:rPr>
                <w:rFonts w:hint="eastAsia"/>
                <w:bCs/>
                <w:lang w:eastAsia="zh-CN"/>
              </w:rPr>
              <w:t>音响</w:t>
            </w:r>
            <w:r w:rsidRPr="0027714E">
              <w:rPr>
                <w:bCs/>
                <w:lang w:eastAsia="zh-CN"/>
              </w:rPr>
              <w:t>系统的性能要求</w:t>
            </w:r>
          </w:p>
        </w:tc>
        <w:tc>
          <w:tcPr>
            <w:tcW w:w="1842" w:type="dxa"/>
            <w:vAlign w:val="center"/>
          </w:tcPr>
          <w:p w14:paraId="399E869F" w14:textId="77777777" w:rsidR="00DE53DC" w:rsidRPr="0018579B" w:rsidRDefault="00DE53DC" w:rsidP="006C4B94">
            <w:pPr>
              <w:pStyle w:val="Tabletext"/>
              <w:jc w:val="center"/>
              <w:rPr>
                <w:lang w:val="en-GB"/>
              </w:rPr>
            </w:pPr>
            <w:r w:rsidRPr="0018579B">
              <w:rPr>
                <w:lang w:val="en-GB"/>
              </w:rPr>
              <w:t>6/362</w:t>
            </w:r>
          </w:p>
        </w:tc>
      </w:tr>
      <w:tr w:rsidR="00DE53DC" w:rsidRPr="0018579B" w14:paraId="49250873" w14:textId="77777777" w:rsidTr="006C4B94">
        <w:trPr>
          <w:jc w:val="center"/>
        </w:trPr>
        <w:tc>
          <w:tcPr>
            <w:tcW w:w="1980" w:type="dxa"/>
            <w:vAlign w:val="center"/>
          </w:tcPr>
          <w:p w14:paraId="26EC32C0" w14:textId="77777777" w:rsidR="00DE53DC" w:rsidRPr="0018579B" w:rsidRDefault="00DE53DC" w:rsidP="006C4B94">
            <w:pPr>
              <w:pStyle w:val="Tabletext"/>
              <w:jc w:val="center"/>
              <w:rPr>
                <w:bCs/>
                <w:lang w:val="en-GB"/>
              </w:rPr>
            </w:pPr>
            <w:r w:rsidRPr="0018579B">
              <w:rPr>
                <w:bCs/>
                <w:lang w:val="en-GB"/>
              </w:rPr>
              <w:t>BS.1770-</w:t>
            </w:r>
            <w:r>
              <w:rPr>
                <w:bCs/>
                <w:lang w:val="en-GB"/>
              </w:rPr>
              <w:t>5</w:t>
            </w:r>
          </w:p>
        </w:tc>
        <w:tc>
          <w:tcPr>
            <w:tcW w:w="5671" w:type="dxa"/>
            <w:vAlign w:val="center"/>
          </w:tcPr>
          <w:p w14:paraId="4E63CA43" w14:textId="5776BF08" w:rsidR="00DE53DC" w:rsidRPr="00DE53DC" w:rsidRDefault="00DE53DC" w:rsidP="006C4B94">
            <w:pPr>
              <w:pStyle w:val="Tabletext"/>
              <w:rPr>
                <w:rFonts w:asciiTheme="minorHAnsi" w:hAnsiTheme="minorHAnsi" w:cstheme="minorHAnsi"/>
                <w:lang w:val="en-GB" w:eastAsia="zh-CN"/>
              </w:rPr>
            </w:pPr>
            <w:r w:rsidRPr="00DE53DC">
              <w:rPr>
                <w:rFonts w:asciiTheme="minorHAnsi" w:hAnsiTheme="minorHAnsi" w:cstheme="minorHAnsi"/>
                <w:bCs/>
                <w:lang w:val="en-GB" w:eastAsia="zh-CN"/>
              </w:rPr>
              <w:t>测量音频节目响度和真正峰值音频电平的算法</w:t>
            </w:r>
          </w:p>
        </w:tc>
        <w:tc>
          <w:tcPr>
            <w:tcW w:w="1842" w:type="dxa"/>
            <w:vAlign w:val="center"/>
          </w:tcPr>
          <w:p w14:paraId="6553565D" w14:textId="77777777" w:rsidR="00DE53DC" w:rsidRPr="0018579B" w:rsidRDefault="00DE53DC" w:rsidP="006C4B94">
            <w:pPr>
              <w:pStyle w:val="Tabletext"/>
              <w:jc w:val="center"/>
              <w:rPr>
                <w:lang w:val="en-GB"/>
              </w:rPr>
            </w:pPr>
            <w:r w:rsidRPr="0018579B">
              <w:rPr>
                <w:lang w:val="en-GB"/>
              </w:rPr>
              <w:t>6/363</w:t>
            </w:r>
          </w:p>
        </w:tc>
      </w:tr>
      <w:tr w:rsidR="00DE53DC" w:rsidRPr="0018579B" w14:paraId="4A8A2962" w14:textId="77777777" w:rsidTr="006C4B94">
        <w:trPr>
          <w:jc w:val="center"/>
        </w:trPr>
        <w:tc>
          <w:tcPr>
            <w:tcW w:w="1980" w:type="dxa"/>
            <w:vAlign w:val="center"/>
          </w:tcPr>
          <w:p w14:paraId="2CC1F560" w14:textId="77777777" w:rsidR="00DE53DC" w:rsidRPr="0018579B" w:rsidRDefault="00DE53DC" w:rsidP="006C4B94">
            <w:pPr>
              <w:pStyle w:val="Tabletext"/>
              <w:jc w:val="center"/>
              <w:rPr>
                <w:bCs/>
                <w:lang w:val="en-GB"/>
              </w:rPr>
            </w:pPr>
            <w:r w:rsidRPr="0018579B">
              <w:rPr>
                <w:bCs/>
                <w:lang w:val="en-GB"/>
              </w:rPr>
              <w:t>BS.1864-</w:t>
            </w:r>
            <w:r>
              <w:rPr>
                <w:bCs/>
                <w:lang w:val="en-GB"/>
              </w:rPr>
              <w:t>1</w:t>
            </w:r>
          </w:p>
        </w:tc>
        <w:tc>
          <w:tcPr>
            <w:tcW w:w="5671" w:type="dxa"/>
            <w:vAlign w:val="center"/>
          </w:tcPr>
          <w:p w14:paraId="27EF364C" w14:textId="563C1CD5" w:rsidR="00DE53DC" w:rsidRPr="00DE53DC" w:rsidRDefault="00C80885" w:rsidP="006C4B94">
            <w:pPr>
              <w:pStyle w:val="Tabletext"/>
              <w:rPr>
                <w:rFonts w:asciiTheme="minorHAnsi" w:hAnsiTheme="minorHAnsi" w:cstheme="minorHAnsi"/>
                <w:lang w:val="en-GB" w:eastAsia="zh-CN"/>
              </w:rPr>
            </w:pPr>
            <w:r w:rsidRPr="00C80885">
              <w:rPr>
                <w:rFonts w:asciiTheme="minorHAnsi" w:hAnsiTheme="minorHAnsi" w:cstheme="minorHAnsi"/>
                <w:bCs/>
                <w:lang w:val="en-GB" w:eastAsia="zh-CN"/>
              </w:rPr>
              <w:t>数字电视节目国际交换中响度的操作方法</w:t>
            </w:r>
          </w:p>
        </w:tc>
        <w:tc>
          <w:tcPr>
            <w:tcW w:w="1842" w:type="dxa"/>
            <w:vAlign w:val="center"/>
          </w:tcPr>
          <w:p w14:paraId="1F02D3F5" w14:textId="77777777" w:rsidR="00DE53DC" w:rsidRPr="0018579B" w:rsidRDefault="00DE53DC" w:rsidP="006C4B94">
            <w:pPr>
              <w:pStyle w:val="Tabletext"/>
              <w:jc w:val="center"/>
              <w:rPr>
                <w:lang w:val="en-GB"/>
              </w:rPr>
            </w:pPr>
            <w:r w:rsidRPr="0018579B">
              <w:rPr>
                <w:lang w:val="en-GB"/>
              </w:rPr>
              <w:t>6/364</w:t>
            </w:r>
          </w:p>
        </w:tc>
      </w:tr>
      <w:tr w:rsidR="00DE53DC" w:rsidRPr="0018579B" w14:paraId="3F616FD3" w14:textId="77777777" w:rsidTr="006C4B94">
        <w:trPr>
          <w:jc w:val="center"/>
        </w:trPr>
        <w:tc>
          <w:tcPr>
            <w:tcW w:w="1980" w:type="dxa"/>
            <w:vAlign w:val="center"/>
          </w:tcPr>
          <w:p w14:paraId="3162641A" w14:textId="77777777" w:rsidR="00DE53DC" w:rsidRPr="0018579B" w:rsidRDefault="00DE53DC" w:rsidP="006C4B94">
            <w:pPr>
              <w:pStyle w:val="Tabletext"/>
              <w:jc w:val="center"/>
              <w:rPr>
                <w:bCs/>
                <w:lang w:val="en-GB"/>
              </w:rPr>
            </w:pPr>
            <w:r w:rsidRPr="0018579B">
              <w:rPr>
                <w:bCs/>
                <w:lang w:val="en-GB"/>
              </w:rPr>
              <w:t>BT.1702-</w:t>
            </w:r>
            <w:r>
              <w:rPr>
                <w:bCs/>
                <w:lang w:val="en-GB"/>
              </w:rPr>
              <w:t>3</w:t>
            </w:r>
          </w:p>
        </w:tc>
        <w:tc>
          <w:tcPr>
            <w:tcW w:w="5671" w:type="dxa"/>
            <w:vAlign w:val="center"/>
          </w:tcPr>
          <w:p w14:paraId="26A70892" w14:textId="3EA574DA" w:rsidR="00DE53DC" w:rsidRPr="00DE53DC" w:rsidRDefault="00C80885" w:rsidP="006C4B94">
            <w:pPr>
              <w:pStyle w:val="Tabletext"/>
              <w:rPr>
                <w:rFonts w:asciiTheme="minorHAnsi" w:hAnsiTheme="minorHAnsi" w:cstheme="minorHAnsi"/>
                <w:lang w:val="en-GB" w:eastAsia="zh-CN"/>
              </w:rPr>
            </w:pPr>
            <w:r w:rsidRPr="0027714E">
              <w:rPr>
                <w:bCs/>
                <w:lang w:eastAsia="zh-CN"/>
              </w:rPr>
              <w:t>减轻由电视导致的光敏癫痫发作的指南</w:t>
            </w:r>
          </w:p>
        </w:tc>
        <w:tc>
          <w:tcPr>
            <w:tcW w:w="1842" w:type="dxa"/>
            <w:vAlign w:val="center"/>
          </w:tcPr>
          <w:p w14:paraId="71009BAF" w14:textId="77777777" w:rsidR="00DE53DC" w:rsidRPr="0018579B" w:rsidRDefault="00DE53DC" w:rsidP="006C4B94">
            <w:pPr>
              <w:pStyle w:val="Tabletext"/>
              <w:jc w:val="center"/>
              <w:rPr>
                <w:lang w:val="en-GB"/>
              </w:rPr>
            </w:pPr>
            <w:r w:rsidRPr="0018579B">
              <w:rPr>
                <w:lang w:val="en-GB"/>
              </w:rPr>
              <w:t>6/365(Rev.1)</w:t>
            </w:r>
          </w:p>
        </w:tc>
      </w:tr>
      <w:tr w:rsidR="00DE53DC" w:rsidRPr="0018579B" w14:paraId="28BD84B2" w14:textId="77777777" w:rsidTr="006C4B94">
        <w:trPr>
          <w:jc w:val="center"/>
        </w:trPr>
        <w:tc>
          <w:tcPr>
            <w:tcW w:w="1980" w:type="dxa"/>
            <w:vAlign w:val="center"/>
          </w:tcPr>
          <w:p w14:paraId="180BD72F" w14:textId="77777777" w:rsidR="00DE53DC" w:rsidRPr="0018579B" w:rsidRDefault="00DE53DC" w:rsidP="006C4B94">
            <w:pPr>
              <w:pStyle w:val="Tabletext"/>
              <w:jc w:val="center"/>
              <w:rPr>
                <w:bCs/>
                <w:lang w:val="en-GB"/>
              </w:rPr>
            </w:pPr>
            <w:r w:rsidRPr="0018579B">
              <w:rPr>
                <w:bCs/>
                <w:lang w:val="en-GB"/>
              </w:rPr>
              <w:t>BS.2127-</w:t>
            </w:r>
            <w:r>
              <w:rPr>
                <w:bCs/>
                <w:lang w:val="en-GB"/>
              </w:rPr>
              <w:t>1</w:t>
            </w:r>
          </w:p>
        </w:tc>
        <w:tc>
          <w:tcPr>
            <w:tcW w:w="5671" w:type="dxa"/>
            <w:vAlign w:val="center"/>
          </w:tcPr>
          <w:p w14:paraId="194ADE46" w14:textId="720E51A1" w:rsidR="00DE53DC" w:rsidRPr="0018579B" w:rsidRDefault="00C80885" w:rsidP="006C4B94">
            <w:pPr>
              <w:pStyle w:val="Tabletext"/>
              <w:rPr>
                <w:rFonts w:asciiTheme="minorHAnsi" w:hAnsiTheme="minorHAnsi" w:cstheme="minorHAnsi"/>
                <w:lang w:val="en-GB" w:eastAsia="zh-CN"/>
              </w:rPr>
            </w:pPr>
            <w:r w:rsidRPr="00EE6639">
              <w:rPr>
                <w:rFonts w:hint="eastAsia"/>
                <w:bCs/>
                <w:lang w:eastAsia="zh-CN"/>
              </w:rPr>
              <w:t>高级音响系统的音频定义模型</w:t>
            </w:r>
            <w:proofErr w:type="gramStart"/>
            <w:r w:rsidRPr="00EE6639">
              <w:rPr>
                <w:rFonts w:hint="eastAsia"/>
                <w:bCs/>
                <w:lang w:eastAsia="zh-CN"/>
              </w:rPr>
              <w:t>渲染器</w:t>
            </w:r>
            <w:proofErr w:type="gramEnd"/>
          </w:p>
        </w:tc>
        <w:tc>
          <w:tcPr>
            <w:tcW w:w="1842" w:type="dxa"/>
            <w:vAlign w:val="center"/>
          </w:tcPr>
          <w:p w14:paraId="683DDFBF" w14:textId="77777777" w:rsidR="00DE53DC" w:rsidRPr="0018579B" w:rsidRDefault="00DE53DC" w:rsidP="006C4B94">
            <w:pPr>
              <w:pStyle w:val="Tabletext"/>
              <w:jc w:val="center"/>
              <w:rPr>
                <w:lang w:val="en-GB"/>
              </w:rPr>
            </w:pPr>
            <w:r w:rsidRPr="0018579B">
              <w:rPr>
                <w:lang w:val="en-GB"/>
              </w:rPr>
              <w:t>6/371</w:t>
            </w:r>
          </w:p>
        </w:tc>
      </w:tr>
      <w:tr w:rsidR="00DE53DC" w:rsidRPr="0018579B" w14:paraId="214120C0" w14:textId="77777777" w:rsidTr="006C4B94">
        <w:trPr>
          <w:jc w:val="center"/>
        </w:trPr>
        <w:tc>
          <w:tcPr>
            <w:tcW w:w="1980" w:type="dxa"/>
            <w:vAlign w:val="center"/>
          </w:tcPr>
          <w:p w14:paraId="09986022" w14:textId="77777777" w:rsidR="00DE53DC" w:rsidRPr="0018579B" w:rsidRDefault="00DE53DC" w:rsidP="006C4B94">
            <w:pPr>
              <w:pStyle w:val="Tabletext"/>
              <w:jc w:val="center"/>
              <w:rPr>
                <w:bCs/>
                <w:lang w:val="en-GB"/>
              </w:rPr>
            </w:pPr>
            <w:r w:rsidRPr="0018579B">
              <w:rPr>
                <w:bCs/>
                <w:lang w:val="en-GB"/>
              </w:rPr>
              <w:t>BS.1615-</w:t>
            </w:r>
            <w:r>
              <w:rPr>
                <w:bCs/>
                <w:lang w:val="en-GB"/>
              </w:rPr>
              <w:t>3</w:t>
            </w:r>
          </w:p>
        </w:tc>
        <w:tc>
          <w:tcPr>
            <w:tcW w:w="5671" w:type="dxa"/>
            <w:vAlign w:val="center"/>
          </w:tcPr>
          <w:p w14:paraId="35ACA60F" w14:textId="2D732C17" w:rsidR="00DE53DC" w:rsidRPr="00DE53DC" w:rsidRDefault="00C80885" w:rsidP="006C4B94">
            <w:pPr>
              <w:pStyle w:val="Tabletext"/>
              <w:rPr>
                <w:rFonts w:asciiTheme="minorHAnsi" w:hAnsiTheme="minorHAnsi" w:cstheme="minorHAnsi"/>
                <w:lang w:val="en-GB" w:eastAsia="zh-CN"/>
              </w:rPr>
            </w:pPr>
            <w:r w:rsidRPr="00274A27">
              <w:rPr>
                <w:lang w:eastAsia="zh-CN"/>
              </w:rPr>
              <w:t>30 MHz</w:t>
            </w:r>
            <w:proofErr w:type="gramStart"/>
            <w:r w:rsidRPr="00274A27">
              <w:rPr>
                <w:lang w:eastAsia="zh-CN"/>
              </w:rPr>
              <w:t>以下频率数字声音广播的</w:t>
            </w:r>
            <w:r>
              <w:rPr>
                <w:rFonts w:hint="eastAsia"/>
                <w:lang w:eastAsia="zh-CN"/>
              </w:rPr>
              <w:t>“</w:t>
            </w:r>
            <w:proofErr w:type="gramEnd"/>
            <w:r w:rsidRPr="00274A27">
              <w:rPr>
                <w:lang w:eastAsia="zh-CN"/>
              </w:rPr>
              <w:t>规划参数</w:t>
            </w:r>
            <w:r>
              <w:rPr>
                <w:rFonts w:hint="eastAsia"/>
                <w:lang w:eastAsia="zh-CN"/>
              </w:rPr>
              <w:t>”</w:t>
            </w:r>
          </w:p>
        </w:tc>
        <w:tc>
          <w:tcPr>
            <w:tcW w:w="1842" w:type="dxa"/>
            <w:vAlign w:val="center"/>
          </w:tcPr>
          <w:p w14:paraId="3B6B5FA5" w14:textId="77777777" w:rsidR="00DE53DC" w:rsidRPr="0018579B" w:rsidRDefault="00DE53DC" w:rsidP="006C4B94">
            <w:pPr>
              <w:pStyle w:val="Tabletext"/>
              <w:jc w:val="center"/>
              <w:rPr>
                <w:lang w:val="en-GB"/>
              </w:rPr>
            </w:pPr>
            <w:r w:rsidRPr="0018579B">
              <w:rPr>
                <w:lang w:val="en-GB"/>
              </w:rPr>
              <w:t>6/375</w:t>
            </w:r>
          </w:p>
        </w:tc>
      </w:tr>
      <w:tr w:rsidR="00DE53DC" w:rsidRPr="0018579B" w14:paraId="6532440E" w14:textId="77777777" w:rsidTr="006C4B94">
        <w:trPr>
          <w:jc w:val="center"/>
        </w:trPr>
        <w:tc>
          <w:tcPr>
            <w:tcW w:w="1980" w:type="dxa"/>
            <w:vAlign w:val="center"/>
          </w:tcPr>
          <w:p w14:paraId="5A921720" w14:textId="77777777" w:rsidR="00DE53DC" w:rsidRPr="0018579B" w:rsidRDefault="00DE53DC" w:rsidP="006C4B94">
            <w:pPr>
              <w:pStyle w:val="Tabletext"/>
              <w:jc w:val="center"/>
              <w:rPr>
                <w:bCs/>
                <w:lang w:val="en-GB"/>
              </w:rPr>
            </w:pPr>
            <w:r w:rsidRPr="0018579B">
              <w:rPr>
                <w:bCs/>
                <w:lang w:val="en-GB"/>
              </w:rPr>
              <w:t>BT.1775-</w:t>
            </w:r>
            <w:r>
              <w:rPr>
                <w:bCs/>
                <w:lang w:val="en-GB"/>
              </w:rPr>
              <w:t>1</w:t>
            </w:r>
          </w:p>
        </w:tc>
        <w:tc>
          <w:tcPr>
            <w:tcW w:w="5671" w:type="dxa"/>
            <w:vAlign w:val="center"/>
          </w:tcPr>
          <w:p w14:paraId="318E1B5D" w14:textId="132023A2" w:rsidR="00DE53DC" w:rsidRPr="00DE53DC" w:rsidRDefault="00C80885" w:rsidP="006C4B94">
            <w:pPr>
              <w:pStyle w:val="Tabletext"/>
              <w:rPr>
                <w:rFonts w:asciiTheme="minorHAnsi" w:hAnsiTheme="minorHAnsi" w:cstheme="minorHAnsi"/>
                <w:lang w:val="en-GB" w:eastAsia="zh-CN"/>
              </w:rPr>
            </w:pPr>
            <w:r>
              <w:rPr>
                <w:rFonts w:hint="eastAsia"/>
                <w:lang w:eastAsia="zh-CN"/>
              </w:rPr>
              <w:t>具有编辑能力的文件格式，用于广播中所用的元数据、音频、视频、数据精华和补充数据的交换</w:t>
            </w:r>
          </w:p>
        </w:tc>
        <w:tc>
          <w:tcPr>
            <w:tcW w:w="1842" w:type="dxa"/>
            <w:vAlign w:val="center"/>
          </w:tcPr>
          <w:p w14:paraId="33BC987A" w14:textId="77777777" w:rsidR="00DE53DC" w:rsidRPr="0018579B" w:rsidRDefault="00DE53DC" w:rsidP="006C4B94">
            <w:pPr>
              <w:pStyle w:val="Tabletext"/>
              <w:jc w:val="center"/>
              <w:rPr>
                <w:lang w:val="en-GB"/>
              </w:rPr>
            </w:pPr>
            <w:r w:rsidRPr="0018579B">
              <w:rPr>
                <w:lang w:val="en-GB"/>
              </w:rPr>
              <w:t>6/390</w:t>
            </w:r>
          </w:p>
        </w:tc>
      </w:tr>
      <w:tr w:rsidR="00DE53DC" w:rsidRPr="0018579B" w14:paraId="0EFE3B65" w14:textId="77777777" w:rsidTr="006C4B94">
        <w:trPr>
          <w:jc w:val="center"/>
        </w:trPr>
        <w:tc>
          <w:tcPr>
            <w:tcW w:w="1980" w:type="dxa"/>
            <w:vAlign w:val="center"/>
          </w:tcPr>
          <w:p w14:paraId="5469AEB7" w14:textId="77777777" w:rsidR="00DE53DC" w:rsidRPr="0018579B" w:rsidRDefault="00DE53DC" w:rsidP="006C4B94">
            <w:pPr>
              <w:pStyle w:val="Tabletext"/>
              <w:jc w:val="center"/>
              <w:rPr>
                <w:bCs/>
                <w:lang w:val="en-GB"/>
              </w:rPr>
            </w:pPr>
            <w:r w:rsidRPr="0018579B">
              <w:rPr>
                <w:bCs/>
                <w:lang w:val="en-GB"/>
              </w:rPr>
              <w:t>BT.2074-</w:t>
            </w:r>
            <w:r>
              <w:rPr>
                <w:bCs/>
                <w:lang w:val="en-GB"/>
              </w:rPr>
              <w:t>2</w:t>
            </w:r>
          </w:p>
        </w:tc>
        <w:tc>
          <w:tcPr>
            <w:tcW w:w="5671" w:type="dxa"/>
            <w:vAlign w:val="center"/>
          </w:tcPr>
          <w:p w14:paraId="75609651" w14:textId="6A1E2045" w:rsidR="00DE53DC" w:rsidRPr="00DE53DC" w:rsidRDefault="00A87D06" w:rsidP="00A87D06">
            <w:pPr>
              <w:pStyle w:val="Tabletext"/>
              <w:rPr>
                <w:rFonts w:asciiTheme="minorHAnsi" w:hAnsiTheme="minorHAnsi" w:cstheme="minorHAnsi"/>
                <w:lang w:val="en-GB" w:eastAsia="zh-CN"/>
              </w:rPr>
            </w:pPr>
            <w:r w:rsidRPr="00A87D06">
              <w:rPr>
                <w:rFonts w:asciiTheme="minorHAnsi" w:hAnsiTheme="minorHAnsi" w:cstheme="minorHAnsi" w:hint="eastAsia"/>
                <w:lang w:val="en-GB" w:eastAsia="zh-CN"/>
              </w:rPr>
              <w:t>基于</w:t>
            </w:r>
            <w:r w:rsidRPr="00A87D06">
              <w:rPr>
                <w:rFonts w:asciiTheme="minorHAnsi" w:hAnsiTheme="minorHAnsi" w:cstheme="minorHAnsi" w:hint="eastAsia"/>
                <w:lang w:val="en-GB" w:eastAsia="zh-CN"/>
              </w:rPr>
              <w:t>MMT</w:t>
            </w:r>
            <w:r w:rsidRPr="00A87D06">
              <w:rPr>
                <w:rFonts w:asciiTheme="minorHAnsi" w:hAnsiTheme="minorHAnsi" w:cstheme="minorHAnsi" w:hint="eastAsia"/>
                <w:lang w:val="en-GB" w:eastAsia="zh-CN"/>
              </w:rPr>
              <w:t>的广播系统的服务配置、媒体传输协议及信令信息</w:t>
            </w:r>
          </w:p>
        </w:tc>
        <w:tc>
          <w:tcPr>
            <w:tcW w:w="1842" w:type="dxa"/>
            <w:vAlign w:val="center"/>
          </w:tcPr>
          <w:p w14:paraId="15739A96" w14:textId="77777777" w:rsidR="00DE53DC" w:rsidRPr="0018579B" w:rsidRDefault="00DE53DC" w:rsidP="006C4B94">
            <w:pPr>
              <w:pStyle w:val="Tabletext"/>
              <w:jc w:val="center"/>
              <w:rPr>
                <w:lang w:val="en-GB"/>
              </w:rPr>
            </w:pPr>
            <w:r w:rsidRPr="0018579B">
              <w:rPr>
                <w:lang w:val="en-GB"/>
              </w:rPr>
              <w:t>6/393(Rev.1)</w:t>
            </w:r>
          </w:p>
        </w:tc>
      </w:tr>
    </w:tbl>
    <w:p w14:paraId="453CAF92" w14:textId="77777777" w:rsidR="001E53BA" w:rsidRDefault="001E53BA" w:rsidP="001E53BA">
      <w:pPr>
        <w:jc w:val="left"/>
        <w:rPr>
          <w:rFonts w:asciiTheme="minorEastAsia" w:hAnsiTheme="minorEastAsia" w:cstheme="majorBidi"/>
          <w:lang w:eastAsia="zh-CN"/>
        </w:rPr>
      </w:pPr>
    </w:p>
    <w:p w14:paraId="4428573F" w14:textId="69323966" w:rsidR="001E53BA" w:rsidRPr="00BA539B" w:rsidRDefault="001E53BA" w:rsidP="00704224">
      <w:pPr>
        <w:pStyle w:val="AnnexNoTitle"/>
        <w:spacing w:before="480" w:after="480"/>
        <w:rPr>
          <w:sz w:val="28"/>
          <w:szCs w:val="28"/>
          <w:lang w:val="en-GB" w:eastAsia="zh-CN"/>
        </w:rPr>
      </w:pPr>
      <w:r w:rsidRPr="00B850AE">
        <w:rPr>
          <w:sz w:val="28"/>
          <w:szCs w:val="28"/>
          <w:lang w:val="en-GB" w:eastAsia="zh-CN"/>
        </w:rPr>
        <w:t>附件</w:t>
      </w:r>
      <w:r w:rsidRPr="00B850AE">
        <w:rPr>
          <w:sz w:val="28"/>
          <w:szCs w:val="28"/>
          <w:lang w:val="en-GB" w:eastAsia="zh-CN"/>
        </w:rPr>
        <w:t>2</w:t>
      </w:r>
      <w:r w:rsidRPr="00B850AE">
        <w:rPr>
          <w:sz w:val="28"/>
          <w:szCs w:val="28"/>
          <w:lang w:val="en-GB" w:eastAsia="zh-CN"/>
        </w:rPr>
        <w:br/>
      </w:r>
      <w:r w:rsidRPr="00B850AE">
        <w:rPr>
          <w:sz w:val="28"/>
          <w:szCs w:val="28"/>
          <w:lang w:val="en-GB" w:eastAsia="zh-CN"/>
        </w:rPr>
        <w:br/>
      </w:r>
      <w:r w:rsidRPr="00B850AE">
        <w:rPr>
          <w:sz w:val="28"/>
          <w:szCs w:val="28"/>
          <w:lang w:val="en-GB" w:eastAsia="zh-CN"/>
        </w:rPr>
        <w:t>废止的</w:t>
      </w:r>
      <w:r w:rsidRPr="00B850AE">
        <w:rPr>
          <w:sz w:val="28"/>
          <w:szCs w:val="28"/>
          <w:lang w:val="en-GB" w:eastAsia="zh-CN"/>
        </w:rPr>
        <w:t>ITU-R</w:t>
      </w:r>
      <w:r w:rsidRPr="00B850AE">
        <w:rPr>
          <w:sz w:val="28"/>
          <w:szCs w:val="28"/>
          <w:lang w:val="en-GB" w:eastAsia="zh-CN"/>
        </w:rPr>
        <w:t>建议书</w:t>
      </w:r>
      <w:r w:rsidRPr="00876518">
        <w:rPr>
          <w:sz w:val="28"/>
          <w:szCs w:val="28"/>
          <w:lang w:val="en-GB" w:eastAsia="zh-CN"/>
        </w:rPr>
        <w:t>清单</w:t>
      </w:r>
    </w:p>
    <w:tbl>
      <w:tblPr>
        <w:tblStyle w:val="TableGrid"/>
        <w:tblW w:w="9630" w:type="dxa"/>
        <w:jc w:val="center"/>
        <w:tblLayout w:type="fixed"/>
        <w:tblCellMar>
          <w:left w:w="28" w:type="dxa"/>
          <w:right w:w="28" w:type="dxa"/>
        </w:tblCellMar>
        <w:tblLook w:val="04A0" w:firstRow="1" w:lastRow="0" w:firstColumn="1" w:lastColumn="0" w:noHBand="0" w:noVBand="1"/>
      </w:tblPr>
      <w:tblGrid>
        <w:gridCol w:w="2121"/>
        <w:gridCol w:w="7509"/>
      </w:tblGrid>
      <w:tr w:rsidR="00C73B32" w14:paraId="7D107A89" w14:textId="77777777" w:rsidTr="006C4B94">
        <w:trPr>
          <w:cantSplit/>
          <w:tblHeader/>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5CBFDDE" w14:textId="45D789B0" w:rsidR="00C73B32" w:rsidRDefault="00C73B32" w:rsidP="00C73B32">
            <w:pPr>
              <w:pStyle w:val="Tablehead"/>
              <w:rPr>
                <w:rFonts w:asciiTheme="minorHAnsi" w:hAnsiTheme="minorHAnsi" w:cstheme="minorHAnsi"/>
                <w:szCs w:val="20"/>
                <w:lang w:val="en-GB"/>
              </w:rPr>
            </w:pPr>
            <w:r w:rsidRPr="00D94DF5">
              <w:rPr>
                <w:rFonts w:hint="eastAsia"/>
              </w:rPr>
              <w:t>ITU-</w:t>
            </w:r>
            <w:proofErr w:type="spellStart"/>
            <w:r w:rsidRPr="00D94DF5">
              <w:rPr>
                <w:rFonts w:hint="eastAsia"/>
              </w:rPr>
              <w:t>R</w:t>
            </w:r>
            <w:r w:rsidRPr="00D94DF5">
              <w:rPr>
                <w:rFonts w:hint="eastAsia"/>
              </w:rPr>
              <w:t>建议书</w:t>
            </w:r>
            <w:proofErr w:type="spellEnd"/>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70610" w14:textId="76D2DA63" w:rsidR="00C73B32" w:rsidRDefault="00C73B32" w:rsidP="00C73B32">
            <w:pPr>
              <w:pStyle w:val="Tablehead"/>
              <w:rPr>
                <w:rFonts w:asciiTheme="minorHAnsi" w:hAnsiTheme="minorHAnsi" w:cstheme="minorHAnsi"/>
                <w:szCs w:val="20"/>
                <w:lang w:val="en-GB" w:eastAsia="ja-JP"/>
              </w:rPr>
            </w:pPr>
            <w:proofErr w:type="spellStart"/>
            <w:r w:rsidRPr="00D94DF5">
              <w:rPr>
                <w:rFonts w:hint="eastAsia"/>
              </w:rPr>
              <w:t>标题</w:t>
            </w:r>
            <w:proofErr w:type="spellEnd"/>
          </w:p>
        </w:tc>
      </w:tr>
      <w:tr w:rsidR="004E6255" w14:paraId="091A7A8F"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C39DB18" w14:textId="0972030B"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ja-JP"/>
              </w:rPr>
              <w:t>BS.1596-0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71557"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关于广播声音制作的</w:t>
            </w:r>
            <w:r>
              <w:rPr>
                <w:lang w:eastAsia="zh-CN"/>
              </w:rPr>
              <w:t>ITU-R</w:t>
            </w:r>
            <w:r>
              <w:rPr>
                <w:rFonts w:hint="eastAsia"/>
                <w:lang w:eastAsia="zh-CN"/>
              </w:rPr>
              <w:t>建议书指南</w:t>
            </w:r>
          </w:p>
        </w:tc>
      </w:tr>
      <w:tr w:rsidR="004E6255" w14:paraId="09C78711"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DC6C28" w14:textId="2C89E4BA"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ja-JP"/>
              </w:rPr>
              <w:t>BS.1734-0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E1AD1"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对在剧院演出环境中使用的大屏幕数字成像应用音响组件的基本性能要求</w:t>
            </w:r>
          </w:p>
        </w:tc>
      </w:tr>
      <w:tr w:rsidR="004E6255" w14:paraId="4B8D82FD"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6954110" w14:textId="6412DC8B" w:rsidR="004E6255" w:rsidRDefault="004E6255" w:rsidP="006C4B94">
            <w:pPr>
              <w:pStyle w:val="Tabletext"/>
              <w:jc w:val="center"/>
              <w:rPr>
                <w:rFonts w:asciiTheme="minorHAnsi" w:hAnsiTheme="minorHAnsi" w:cstheme="minorHAnsi"/>
                <w:bCs/>
                <w:szCs w:val="20"/>
                <w:lang w:val="en-GB" w:eastAsia="ja-JP"/>
              </w:rPr>
            </w:pPr>
            <w:r w:rsidRPr="00C16872">
              <w:rPr>
                <w:rFonts w:asciiTheme="minorHAnsi" w:hAnsiTheme="minorHAnsi" w:cstheme="minorHAnsi"/>
                <w:bCs/>
                <w:szCs w:val="20"/>
                <w:lang w:val="en-GB" w:eastAsia="ja-JP"/>
              </w:rPr>
              <w:t>BS.2019-0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DCAE4" w14:textId="77777777" w:rsidR="004E6255" w:rsidRDefault="004E6255" w:rsidP="006C4B94">
            <w:pPr>
              <w:pStyle w:val="Tabletext"/>
              <w:rPr>
                <w:rFonts w:asciiTheme="minorHAnsi" w:hAnsiTheme="minorHAnsi" w:cstheme="minorHAnsi"/>
                <w:szCs w:val="20"/>
                <w:lang w:val="en-GB" w:eastAsia="ja-JP"/>
              </w:rPr>
            </w:pPr>
            <w:r>
              <w:rPr>
                <w:rFonts w:ascii="inherit" w:hAnsi="inherit" w:cs="Segoe UI" w:hint="eastAsia"/>
                <w:color w:val="000000"/>
                <w:lang w:eastAsia="zh-CN"/>
              </w:rPr>
              <w:t>用于广播的三维电视节目的制作和国际交换的音频系</w:t>
            </w:r>
            <w:r>
              <w:rPr>
                <w:rFonts w:ascii="SimSun" w:hAnsi="SimSun" w:cs="SimSun" w:hint="eastAsia"/>
                <w:color w:val="000000"/>
                <w:lang w:eastAsia="zh-CN"/>
              </w:rPr>
              <w:t>统</w:t>
            </w:r>
          </w:p>
        </w:tc>
      </w:tr>
      <w:tr w:rsidR="004E6255" w14:paraId="49C54196"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E70EE9" w14:textId="19986497"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BT.1119-2</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3C2CE"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用于广播的宽屏信令（宽屏及其它增强型电视参数信令）</w:t>
            </w:r>
          </w:p>
        </w:tc>
      </w:tr>
      <w:tr w:rsidR="004E6255" w14:paraId="4787B954"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F71EEC9" w14:textId="6C3212ED"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BT.1198-0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25FF3" w14:textId="77777777" w:rsidR="004E6255" w:rsidRDefault="004E6255" w:rsidP="006C4B94">
            <w:pPr>
              <w:pStyle w:val="Tabletext"/>
              <w:rPr>
                <w:rFonts w:asciiTheme="minorHAnsi" w:hAnsiTheme="minorHAnsi" w:cstheme="minorHAnsi"/>
                <w:b/>
                <w:bCs/>
                <w:szCs w:val="20"/>
                <w:lang w:val="en-GB" w:eastAsia="ja-JP"/>
              </w:rPr>
            </w:pPr>
            <w:r>
              <w:rPr>
                <w:rFonts w:hint="eastAsia"/>
                <w:lang w:eastAsia="zh-CN"/>
              </w:rPr>
              <w:t>基于</w:t>
            </w:r>
            <w:proofErr w:type="gramStart"/>
            <w:r>
              <w:rPr>
                <w:rFonts w:hint="eastAsia"/>
                <w:lang w:eastAsia="zh-CN"/>
              </w:rPr>
              <w:t>左右眼双频道</w:t>
            </w:r>
            <w:proofErr w:type="gramEnd"/>
            <w:r>
              <w:rPr>
                <w:rFonts w:hint="eastAsia"/>
                <w:lang w:eastAsia="zh-CN"/>
              </w:rPr>
              <w:t>信号的立体电视</w:t>
            </w:r>
          </w:p>
        </w:tc>
      </w:tr>
      <w:tr w:rsidR="004E6255" w14:paraId="7643E9E0"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CDDB35E" w14:textId="07CDB304"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BT.1439-1</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6ED8C"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在模拟电视演播室和整个模拟电视系统中可应用的测量方法</w:t>
            </w:r>
          </w:p>
        </w:tc>
      </w:tr>
      <w:tr w:rsidR="004E6255" w14:paraId="5D8C9DA0"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670244C" w14:textId="745CF2F7"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BT.1562-0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D3D12"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制作室和控制室显示器校准的一致性</w:t>
            </w:r>
          </w:p>
        </w:tc>
      </w:tr>
      <w:tr w:rsidR="004E6255" w14:paraId="0D143E39"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687E4E7" w14:textId="6FEDD88A"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BT.1664-0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573B1"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将各种图像宽高</w:t>
            </w:r>
            <w:proofErr w:type="gramStart"/>
            <w:r>
              <w:rPr>
                <w:rFonts w:hint="eastAsia"/>
                <w:lang w:eastAsia="zh-CN"/>
              </w:rPr>
              <w:t>比用于</w:t>
            </w:r>
            <w:proofErr w:type="gramEnd"/>
            <w:r>
              <w:rPr>
                <w:lang w:eastAsia="zh-CN"/>
              </w:rPr>
              <w:t>16:9</w:t>
            </w:r>
            <w:r>
              <w:rPr>
                <w:rFonts w:hint="eastAsia"/>
                <w:lang w:eastAsia="zh-CN"/>
              </w:rPr>
              <w:t>栅格的大屏幕数字成像应用的图像</w:t>
            </w:r>
          </w:p>
        </w:tc>
      </w:tr>
      <w:tr w:rsidR="004E6255" w14:paraId="40A29DC1"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A3B9EB" w14:textId="13F6D5E4"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BT.1665-0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04278"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有关大屏幕数字成像显示器彩色编码和空间分辨率的考虑</w:t>
            </w:r>
          </w:p>
        </w:tc>
      </w:tr>
      <w:tr w:rsidR="004E6255" w14:paraId="6D434A55"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98ADCBD" w14:textId="4665DF60"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BT.1680-1</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32085"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用于剧院环境播放的大屏幕数字成像应用配送的基带影像格式</w:t>
            </w:r>
          </w:p>
        </w:tc>
      </w:tr>
      <w:tr w:rsidR="004E6255" w14:paraId="3A30D3AE"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9878BAD" w14:textId="5A0772FF"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BT.1689-0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63BCB"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在大屏幕数字成像环境播放符合</w:t>
            </w:r>
            <w:r>
              <w:rPr>
                <w:lang w:eastAsia="zh-CN"/>
              </w:rPr>
              <w:t>ITU-R BT.601</w:t>
            </w:r>
            <w:r>
              <w:rPr>
                <w:rFonts w:hint="eastAsia"/>
                <w:lang w:eastAsia="zh-CN"/>
              </w:rPr>
              <w:t>规定的图像格式提供的节目的指南</w:t>
            </w:r>
          </w:p>
        </w:tc>
      </w:tr>
      <w:tr w:rsidR="004E6255" w14:paraId="1B1ACA9D"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E359AA4" w14:textId="52BA3631"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BT.1690-0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A7D03"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在剧院环境进行大屏幕数字成像节目播放的场所的假定特性</w:t>
            </w:r>
          </w:p>
        </w:tc>
      </w:tr>
      <w:tr w:rsidR="004E6255" w14:paraId="65453149"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DDB9970" w14:textId="2A940414"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BT.1692-1</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A4491"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电视彩色复制质量的优化</w:t>
            </w:r>
          </w:p>
        </w:tc>
      </w:tr>
      <w:tr w:rsidR="004E6255" w14:paraId="6791A752"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A80A9B8" w14:textId="76C7496F"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zh-CN"/>
              </w:rPr>
              <w:t>BT.1721-0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BB669" w14:textId="77777777" w:rsidR="004E6255" w:rsidRDefault="004E6255" w:rsidP="006C4B94">
            <w:pPr>
              <w:pStyle w:val="Tabletext"/>
              <w:rPr>
                <w:rFonts w:asciiTheme="minorHAnsi" w:hAnsiTheme="minorHAnsi" w:cstheme="minorHAnsi"/>
                <w:spacing w:val="-2"/>
                <w:szCs w:val="20"/>
                <w:lang w:val="en-GB" w:eastAsia="zh-CN"/>
              </w:rPr>
            </w:pPr>
            <w:r>
              <w:rPr>
                <w:rFonts w:hint="eastAsia"/>
                <w:lang w:eastAsia="zh-CN"/>
              </w:rPr>
              <w:t>供剧院显像的大屏幕数字映像应用程序的感知图像质量的客观测量</w:t>
            </w:r>
          </w:p>
        </w:tc>
      </w:tr>
      <w:tr w:rsidR="004E6255" w14:paraId="2BF5AD42"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9CCD213" w14:textId="315A6550"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BT.1728-1</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40237"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关于在电视节目制作和后期制作中使用平板显像器件的指南</w:t>
            </w:r>
          </w:p>
        </w:tc>
      </w:tr>
      <w:tr w:rsidR="004E6255" w14:paraId="3C8381C1"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B047613" w14:textId="7A699BC0"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BT.1789-0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327A1D"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利用传输错误信息为分组视频传输重建已接收视频的方法</w:t>
            </w:r>
          </w:p>
        </w:tc>
      </w:tr>
      <w:tr w:rsidR="004E6255" w14:paraId="6BDADA60"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C158D13" w14:textId="65B6693B"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BT.2024-0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1E214"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用于广播的三维电视节目的制作和国际交换的高清电视数字图像系统</w:t>
            </w:r>
          </w:p>
        </w:tc>
      </w:tr>
      <w:tr w:rsidR="004E6255" w14:paraId="65B80861"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5F88F29" w14:textId="0C0CC9CD"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BT.2025-0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8F33B"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用于广播的三位电视节目的制作和国际交换的</w:t>
            </w:r>
            <w:r>
              <w:rPr>
                <w:lang w:eastAsia="zh-CN"/>
              </w:rPr>
              <w:t>1 280 x 720</w:t>
            </w:r>
            <w:r>
              <w:rPr>
                <w:rFonts w:hint="eastAsia"/>
                <w:lang w:eastAsia="zh-CN"/>
              </w:rPr>
              <w:t>数字图像系统</w:t>
            </w:r>
          </w:p>
        </w:tc>
      </w:tr>
      <w:tr w:rsidR="004E6255" w14:paraId="1811F459"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0266B72" w14:textId="4756A253"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BT.2050-0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4D812" w14:textId="77777777" w:rsidR="004E6255" w:rsidRDefault="004E6255" w:rsidP="006C4B94">
            <w:pPr>
              <w:pStyle w:val="Tabletext"/>
              <w:rPr>
                <w:rFonts w:asciiTheme="minorHAnsi" w:hAnsiTheme="minorHAnsi" w:cstheme="minorHAnsi"/>
                <w:szCs w:val="20"/>
                <w:lang w:val="en-GB" w:eastAsia="ja-JP"/>
              </w:rPr>
            </w:pPr>
            <w:r>
              <w:rPr>
                <w:rFonts w:hint="eastAsia"/>
                <w:lang w:eastAsia="zh-CN"/>
              </w:rPr>
              <w:t>超高</w:t>
            </w:r>
            <w:proofErr w:type="gramStart"/>
            <w:r>
              <w:rPr>
                <w:rFonts w:hint="eastAsia"/>
                <w:lang w:eastAsia="zh-CN"/>
              </w:rPr>
              <w:t>清电视</w:t>
            </w:r>
            <w:proofErr w:type="gramEnd"/>
            <w:r>
              <w:rPr>
                <w:rFonts w:hint="eastAsia"/>
                <w:lang w:eastAsia="zh-CN"/>
              </w:rPr>
              <w:t>图像系统用于录制、编辑、完成和存档高质量</w:t>
            </w:r>
            <w:r>
              <w:rPr>
                <w:lang w:eastAsia="zh-CN"/>
              </w:rPr>
              <w:t>HDTV</w:t>
            </w:r>
            <w:r>
              <w:rPr>
                <w:rFonts w:hint="eastAsia"/>
                <w:lang w:eastAsia="zh-CN"/>
              </w:rPr>
              <w:t>节目</w:t>
            </w:r>
          </w:p>
        </w:tc>
      </w:tr>
      <w:tr w:rsidR="004E6255" w14:paraId="481B0E1A" w14:textId="77777777" w:rsidTr="006C4B94">
        <w:trPr>
          <w:jc w:val="center"/>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7AA97" w14:textId="08621545"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lastRenderedPageBreak/>
              <w:t>BS.1661-0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81570" w14:textId="77777777" w:rsidR="004E6255" w:rsidRDefault="004E6255" w:rsidP="006C4B94">
            <w:pPr>
              <w:pStyle w:val="Tabletext"/>
              <w:rPr>
                <w:rFonts w:asciiTheme="minorHAnsi" w:hAnsiTheme="minorHAnsi" w:cstheme="minorHAnsi"/>
                <w:b/>
                <w:szCs w:val="20"/>
                <w:lang w:val="en-GB" w:eastAsia="zh-CN"/>
              </w:rPr>
            </w:pPr>
            <w:r>
              <w:rPr>
                <w:rFonts w:hint="eastAsia"/>
                <w:lang w:eastAsia="zh-CN"/>
              </w:rPr>
              <w:t>关于</w:t>
            </w:r>
            <w:r>
              <w:rPr>
                <w:lang w:eastAsia="zh-CN"/>
              </w:rPr>
              <w:t>30 MHz</w:t>
            </w:r>
            <w:r>
              <w:rPr>
                <w:rFonts w:hint="eastAsia"/>
                <w:lang w:eastAsia="zh-CN"/>
              </w:rPr>
              <w:t>以下广播频段数字声音广播的</w:t>
            </w:r>
            <w:r>
              <w:rPr>
                <w:lang w:eastAsia="zh-CN"/>
              </w:rPr>
              <w:t>ITU-R BS.1514</w:t>
            </w:r>
            <w:r>
              <w:rPr>
                <w:rFonts w:hint="eastAsia"/>
                <w:lang w:eastAsia="zh-CN"/>
              </w:rPr>
              <w:t>建议书附件</w:t>
            </w:r>
            <w:r>
              <w:rPr>
                <w:lang w:eastAsia="zh-CN"/>
              </w:rPr>
              <w:t>1</w:t>
            </w:r>
            <w:proofErr w:type="gramStart"/>
            <w:r>
              <w:rPr>
                <w:rFonts w:hint="eastAsia"/>
                <w:lang w:eastAsia="zh-CN"/>
              </w:rPr>
              <w:t>中描述的数字系统的“</w:t>
            </w:r>
            <w:proofErr w:type="gramEnd"/>
            <w:r>
              <w:rPr>
                <w:rFonts w:hint="eastAsia"/>
                <w:lang w:eastAsia="zh-CN"/>
              </w:rPr>
              <w:t>空中信号”规范</w:t>
            </w:r>
          </w:p>
        </w:tc>
      </w:tr>
      <w:tr w:rsidR="004E6255" w14:paraId="5830A4AA" w14:textId="77777777" w:rsidTr="006C4B94">
        <w:trPr>
          <w:jc w:val="center"/>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8DFEC" w14:textId="0A73C329"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BT.1125-0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350D3"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规划和实施数字地面电视广播系统的基本目的</w:t>
            </w:r>
          </w:p>
        </w:tc>
      </w:tr>
      <w:tr w:rsidR="004E6255" w14:paraId="27F88C32" w14:textId="77777777" w:rsidTr="006C4B94">
        <w:trPr>
          <w:jc w:val="center"/>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9EAE4" w14:textId="645A92A4"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BT.1299-1</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52491"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数字地面电视广播的全球通用系统系列的基本要素</w:t>
            </w:r>
          </w:p>
        </w:tc>
      </w:tr>
      <w:tr w:rsidR="004E6255" w14:paraId="17CD3989" w14:textId="77777777" w:rsidTr="006C4B94">
        <w:trPr>
          <w:jc w:val="center"/>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71284" w14:textId="1F9B9516"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BT.1727-0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DF5D8"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通过地面和卫星向大屏幕数字成像场所传送节目素材</w:t>
            </w:r>
          </w:p>
        </w:tc>
      </w:tr>
      <w:tr w:rsidR="004E6255" w14:paraId="1BF702C1"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724FCFC" w14:textId="2916E297"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BT.1199-1</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A1C93" w14:textId="77777777" w:rsidR="004E6255" w:rsidRDefault="004E6255" w:rsidP="006C4B94">
            <w:pPr>
              <w:pStyle w:val="Tabletext"/>
              <w:rPr>
                <w:rFonts w:asciiTheme="minorHAnsi" w:hAnsiTheme="minorHAnsi" w:cstheme="minorHAnsi"/>
                <w:szCs w:val="20"/>
                <w:lang w:val="en-GB" w:eastAsia="zh-CN"/>
              </w:rPr>
            </w:pPr>
            <w:r>
              <w:rPr>
                <w:lang w:eastAsia="zh-CN"/>
              </w:rPr>
              <w:t>HDTV</w:t>
            </w:r>
            <w:r>
              <w:rPr>
                <w:rFonts w:hint="eastAsia"/>
                <w:lang w:eastAsia="zh-CN"/>
              </w:rPr>
              <w:t>演播室环境中的比特率压缩</w:t>
            </w:r>
          </w:p>
        </w:tc>
      </w:tr>
      <w:tr w:rsidR="004E6255" w14:paraId="68B7117F"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E31674C" w14:textId="7D43AD03" w:rsidR="004E6255" w:rsidRDefault="004E6255" w:rsidP="006C4B94">
            <w:pPr>
              <w:pStyle w:val="Tabletext"/>
              <w:jc w:val="center"/>
              <w:rPr>
                <w:rFonts w:asciiTheme="minorHAnsi" w:hAnsiTheme="minorHAnsi" w:cstheme="minorHAnsi"/>
                <w:bCs/>
                <w:szCs w:val="20"/>
                <w:lang w:val="en-GB" w:eastAsia="zh-CN"/>
              </w:rPr>
            </w:pPr>
            <w:r w:rsidRPr="00C16872">
              <w:rPr>
                <w:rFonts w:asciiTheme="minorHAnsi" w:hAnsiTheme="minorHAnsi" w:cstheme="minorHAnsi"/>
                <w:bCs/>
                <w:szCs w:val="20"/>
                <w:lang w:val="en-GB"/>
              </w:rPr>
              <w:t>BT.1577-0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4CFDC"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根据</w:t>
            </w:r>
            <w:r>
              <w:rPr>
                <w:lang w:eastAsia="zh-CN"/>
              </w:rPr>
              <w:t>ITU-R BT.1120</w:t>
            </w:r>
            <w:r>
              <w:rPr>
                <w:rFonts w:hint="eastAsia"/>
                <w:lang w:eastAsia="zh-CN"/>
              </w:rPr>
              <w:t>建议书用于网络电视制作压缩电视信号的基于串行数字接口的传输接口</w:t>
            </w:r>
          </w:p>
        </w:tc>
      </w:tr>
      <w:tr w:rsidR="004E6255" w14:paraId="0D2557C6"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227289A" w14:textId="4EACD03D" w:rsidR="004E6255" w:rsidRDefault="004E6255" w:rsidP="006C4B94">
            <w:pPr>
              <w:pStyle w:val="Tabletext"/>
              <w:jc w:val="center"/>
              <w:rPr>
                <w:rFonts w:asciiTheme="minorHAnsi" w:hAnsiTheme="minorHAnsi" w:cstheme="minorHAnsi"/>
                <w:bCs/>
                <w:szCs w:val="20"/>
                <w:lang w:val="en-GB" w:eastAsia="zh-CN"/>
              </w:rPr>
            </w:pPr>
            <w:r w:rsidRPr="00C16872">
              <w:rPr>
                <w:rFonts w:asciiTheme="minorHAnsi" w:hAnsiTheme="minorHAnsi" w:cstheme="minorHAnsi"/>
                <w:bCs/>
                <w:szCs w:val="20"/>
                <w:lang w:val="en-GB" w:eastAsia="zh-CN"/>
              </w:rPr>
              <w:t>BT.1687-1</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D7243"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适合于剧院环境播放的大屏幕数字成像应用的实时配送的图像比特率减缩</w:t>
            </w:r>
          </w:p>
        </w:tc>
      </w:tr>
      <w:tr w:rsidR="004E6255" w14:paraId="7B0DCC86"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CA4FBD4" w14:textId="419B808F" w:rsidR="004E6255" w:rsidRDefault="004E6255" w:rsidP="006C4B94">
            <w:pPr>
              <w:pStyle w:val="Tabletext"/>
              <w:jc w:val="center"/>
              <w:rPr>
                <w:rFonts w:asciiTheme="minorHAnsi" w:hAnsiTheme="minorHAnsi" w:cstheme="minorHAnsi"/>
                <w:bCs/>
                <w:szCs w:val="20"/>
                <w:lang w:val="en-GB" w:eastAsia="zh-CN"/>
              </w:rPr>
            </w:pPr>
            <w:r w:rsidRPr="00C16872">
              <w:rPr>
                <w:rFonts w:asciiTheme="minorHAnsi" w:hAnsiTheme="minorHAnsi" w:cstheme="minorHAnsi"/>
                <w:bCs/>
                <w:szCs w:val="20"/>
                <w:lang w:val="en-GB" w:eastAsia="zh-CN"/>
              </w:rPr>
              <w:t>BT.1737-</w:t>
            </w:r>
            <w:r w:rsidRPr="00C16872">
              <w:rPr>
                <w:rFonts w:asciiTheme="minorHAnsi" w:hAnsiTheme="minorHAnsi" w:cstheme="minorHAnsi"/>
                <w:bCs/>
                <w:szCs w:val="20"/>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DD700"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使用</w:t>
            </w:r>
            <w:r>
              <w:rPr>
                <w:lang w:eastAsia="zh-CN"/>
              </w:rPr>
              <w:t>ITU-T H.264</w:t>
            </w:r>
            <w:r>
              <w:rPr>
                <w:rFonts w:hint="eastAsia"/>
                <w:lang w:eastAsia="zh-CN"/>
              </w:rPr>
              <w:t>建议书（</w:t>
            </w:r>
            <w:r>
              <w:rPr>
                <w:lang w:eastAsia="zh-CN"/>
              </w:rPr>
              <w:t>MPEG-4/AVC</w:t>
            </w:r>
            <w:r>
              <w:rPr>
                <w:rFonts w:hint="eastAsia"/>
                <w:lang w:eastAsia="zh-CN"/>
              </w:rPr>
              <w:t>）视频信源编码方法传送</w:t>
            </w:r>
            <w:r>
              <w:rPr>
                <w:lang w:eastAsia="zh-CN"/>
              </w:rPr>
              <w:t>HDTV</w:t>
            </w:r>
            <w:r>
              <w:rPr>
                <w:rFonts w:hint="eastAsia"/>
                <w:lang w:eastAsia="zh-CN"/>
              </w:rPr>
              <w:t>节目资料</w:t>
            </w:r>
          </w:p>
        </w:tc>
      </w:tr>
      <w:tr w:rsidR="004E6255" w14:paraId="178F6EB7"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B6C335A" w14:textId="5E363CC0" w:rsidR="004E6255" w:rsidRDefault="004E6255" w:rsidP="006C4B94">
            <w:pPr>
              <w:pStyle w:val="Tabletext"/>
              <w:jc w:val="center"/>
              <w:rPr>
                <w:rFonts w:asciiTheme="minorHAnsi" w:hAnsiTheme="minorHAnsi" w:cstheme="minorHAnsi"/>
                <w:bCs/>
                <w:szCs w:val="20"/>
                <w:lang w:val="en-GB" w:eastAsia="zh-CN"/>
              </w:rPr>
            </w:pPr>
            <w:r w:rsidRPr="00C16872">
              <w:rPr>
                <w:rFonts w:asciiTheme="minorHAnsi" w:hAnsiTheme="minorHAnsi" w:cstheme="minorHAnsi"/>
                <w:bCs/>
                <w:szCs w:val="20"/>
                <w:lang w:val="en-GB" w:eastAsia="zh-CN"/>
              </w:rPr>
              <w:t>BT.2000-0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AFB81"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大屏幕数字影响建议书在视频信息系统应用中的使用</w:t>
            </w:r>
          </w:p>
        </w:tc>
      </w:tr>
      <w:tr w:rsidR="004E6255" w14:paraId="6535CE24"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49716B4" w14:textId="7118CADB" w:rsidR="004E6255" w:rsidRDefault="004E6255" w:rsidP="006C4B94">
            <w:pPr>
              <w:pStyle w:val="Tabletext"/>
              <w:jc w:val="center"/>
              <w:rPr>
                <w:rFonts w:asciiTheme="minorHAnsi" w:hAnsiTheme="minorHAnsi" w:cstheme="minorHAnsi"/>
                <w:bCs/>
                <w:szCs w:val="20"/>
                <w:lang w:val="en-GB" w:eastAsia="zh-CN"/>
              </w:rPr>
            </w:pPr>
            <w:r w:rsidRPr="00C16872">
              <w:rPr>
                <w:rFonts w:asciiTheme="minorHAnsi" w:hAnsiTheme="minorHAnsi" w:cstheme="minorHAnsi"/>
                <w:bCs/>
                <w:szCs w:val="20"/>
                <w:lang w:val="en-GB" w:eastAsia="zh-CN"/>
              </w:rPr>
              <w:t>BT.2026-0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EE861"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部署运行中客观测量系统并监测</w:t>
            </w:r>
            <w:r>
              <w:rPr>
                <w:lang w:eastAsia="zh-CN"/>
              </w:rPr>
              <w:t>SDTV</w:t>
            </w:r>
            <w:r>
              <w:rPr>
                <w:rFonts w:hint="eastAsia"/>
                <w:lang w:eastAsia="zh-CN"/>
              </w:rPr>
              <w:t>和</w:t>
            </w:r>
            <w:r>
              <w:rPr>
                <w:lang w:eastAsia="zh-CN"/>
              </w:rPr>
              <w:t>HDTV</w:t>
            </w:r>
            <w:r>
              <w:rPr>
                <w:rFonts w:hint="eastAsia"/>
                <w:lang w:eastAsia="zh-CN"/>
              </w:rPr>
              <w:t>节目分发链“感知透明度”的指导原则</w:t>
            </w:r>
          </w:p>
        </w:tc>
      </w:tr>
      <w:tr w:rsidR="004E6255" w14:paraId="36DFD1E3"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323369" w14:textId="16ACFA2E" w:rsidR="004E6255" w:rsidRDefault="004E6255" w:rsidP="006C4B94">
            <w:pPr>
              <w:pStyle w:val="Tabletext"/>
              <w:jc w:val="center"/>
              <w:rPr>
                <w:rFonts w:asciiTheme="minorHAnsi" w:hAnsiTheme="minorHAnsi" w:cstheme="minorHAnsi"/>
                <w:bCs/>
                <w:szCs w:val="20"/>
                <w:lang w:val="en-GB" w:eastAsia="zh-CN"/>
              </w:rPr>
            </w:pPr>
            <w:r w:rsidRPr="00C16872">
              <w:rPr>
                <w:rFonts w:asciiTheme="minorHAnsi" w:hAnsiTheme="minorHAnsi" w:cstheme="minorHAnsi"/>
                <w:bCs/>
                <w:szCs w:val="20"/>
                <w:lang w:val="en-GB" w:eastAsia="zh-CN"/>
              </w:rPr>
              <w:t>BT.2027-0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B3869"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高清电视三维电视节目制作和国际交换的序列数字接口</w:t>
            </w:r>
          </w:p>
        </w:tc>
      </w:tr>
      <w:tr w:rsidR="004E6255" w14:paraId="7C64457B"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383BEB7" w14:textId="633598D2" w:rsidR="004E6255" w:rsidRDefault="004E6255" w:rsidP="006C4B94">
            <w:pPr>
              <w:pStyle w:val="Tabletext"/>
              <w:jc w:val="center"/>
              <w:rPr>
                <w:rFonts w:asciiTheme="minorHAnsi" w:hAnsiTheme="minorHAnsi" w:cstheme="minorHAnsi"/>
                <w:bCs/>
                <w:szCs w:val="20"/>
                <w:lang w:val="en-GB" w:eastAsia="zh-CN"/>
              </w:rPr>
            </w:pPr>
            <w:r w:rsidRPr="00C16872">
              <w:rPr>
                <w:rFonts w:asciiTheme="minorHAnsi" w:hAnsiTheme="minorHAnsi" w:cstheme="minorHAnsi"/>
                <w:bCs/>
                <w:szCs w:val="20"/>
                <w:lang w:val="en-GB" w:eastAsia="zh-CN"/>
              </w:rPr>
              <w:t>BT.2038-0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856BC"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以国际广播节目交换为目的的</w:t>
            </w:r>
            <w:r>
              <w:rPr>
                <w:lang w:eastAsia="zh-CN"/>
              </w:rPr>
              <w:t>HDTV 3DTV</w:t>
            </w:r>
            <w:r>
              <w:rPr>
                <w:rFonts w:hint="eastAsia"/>
                <w:lang w:eastAsia="zh-CN"/>
              </w:rPr>
              <w:t>节目传</w:t>
            </w:r>
          </w:p>
        </w:tc>
      </w:tr>
      <w:tr w:rsidR="004E6255" w14:paraId="21948BF0"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DCA820F" w14:textId="4C73B3A0"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BT.1435</w:t>
            </w:r>
            <w:r w:rsidRPr="00C16872">
              <w:rPr>
                <w:rStyle w:val="Hyperlink"/>
                <w:rFonts w:asciiTheme="minorHAnsi" w:hAnsiTheme="minorHAnsi" w:cstheme="minorHAnsi"/>
                <w:bCs/>
                <w:color w:val="auto"/>
                <w:szCs w:val="20"/>
                <w:u w:val="none"/>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C5563"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公众交换电话网</w:t>
            </w:r>
            <w:r>
              <w:rPr>
                <w:lang w:eastAsia="zh-CN"/>
              </w:rPr>
              <w:t>/</w:t>
            </w:r>
            <w:r>
              <w:rPr>
                <w:rFonts w:hint="eastAsia"/>
                <w:lang w:eastAsia="zh-CN"/>
              </w:rPr>
              <w:t>综合业务数字网（</w:t>
            </w:r>
            <w:r>
              <w:rPr>
                <w:lang w:eastAsia="zh-CN"/>
              </w:rPr>
              <w:t>PSTN/ISDN</w:t>
            </w:r>
            <w:r>
              <w:rPr>
                <w:rFonts w:hint="eastAsia"/>
                <w:lang w:eastAsia="zh-CN"/>
              </w:rPr>
              <w:t>）的数字声音和电视广播交互频道</w:t>
            </w:r>
          </w:p>
        </w:tc>
      </w:tr>
      <w:tr w:rsidR="004E6255" w14:paraId="3A9EA272"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AC928EA" w14:textId="7004FD32"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BT.1507</w:t>
            </w:r>
            <w:r w:rsidRPr="00C16872">
              <w:rPr>
                <w:rStyle w:val="Hyperlink"/>
                <w:rFonts w:asciiTheme="minorHAnsi" w:hAnsiTheme="minorHAnsi" w:cstheme="minorHAnsi"/>
                <w:bCs/>
                <w:color w:val="auto"/>
                <w:szCs w:val="20"/>
                <w:u w:val="none"/>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371B8"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使用数字增强型无绳电信（</w:t>
            </w:r>
            <w:r>
              <w:rPr>
                <w:lang w:eastAsia="zh-CN"/>
              </w:rPr>
              <w:t>DECT</w:t>
            </w:r>
            <w:r>
              <w:rPr>
                <w:rFonts w:hint="eastAsia"/>
                <w:lang w:eastAsia="zh-CN"/>
              </w:rPr>
              <w:t>）系统的交互频道</w:t>
            </w:r>
          </w:p>
        </w:tc>
      </w:tr>
      <w:tr w:rsidR="004E6255" w14:paraId="3A042C5D"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2CAB9F7" w14:textId="600E88D3"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BT.1508</w:t>
            </w:r>
            <w:r w:rsidRPr="00C16872">
              <w:rPr>
                <w:rStyle w:val="Hyperlink"/>
                <w:rFonts w:asciiTheme="minorHAnsi" w:hAnsiTheme="minorHAnsi" w:cstheme="minorHAnsi"/>
                <w:bCs/>
                <w:color w:val="auto"/>
                <w:szCs w:val="20"/>
                <w:u w:val="none"/>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D2EAA"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使用全球移动通信系统（</w:t>
            </w:r>
            <w:r>
              <w:rPr>
                <w:lang w:eastAsia="zh-CN"/>
              </w:rPr>
              <w:t>GSM</w:t>
            </w:r>
            <w:r>
              <w:rPr>
                <w:rFonts w:hint="eastAsia"/>
                <w:lang w:eastAsia="zh-CN"/>
              </w:rPr>
              <w:t>）的交互频道</w:t>
            </w:r>
          </w:p>
        </w:tc>
      </w:tr>
      <w:tr w:rsidR="004E6255" w14:paraId="2F2D51AC"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26C83F" w14:textId="34D091F3"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BT.1549</w:t>
            </w:r>
            <w:r w:rsidRPr="00C16872">
              <w:rPr>
                <w:rStyle w:val="Hyperlink"/>
                <w:rFonts w:asciiTheme="minorHAnsi" w:hAnsiTheme="minorHAnsi" w:cstheme="minorHAnsi"/>
                <w:bCs/>
                <w:color w:val="auto"/>
                <w:szCs w:val="20"/>
                <w:u w:val="none"/>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CF845"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交互频道的数据链路协议</w:t>
            </w:r>
          </w:p>
        </w:tc>
      </w:tr>
      <w:tr w:rsidR="004E6255" w14:paraId="1C1D9002"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8A30ED2" w14:textId="6ED23293"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BT.1564</w:t>
            </w:r>
            <w:r w:rsidRPr="00C16872">
              <w:rPr>
                <w:rStyle w:val="Hyperlink"/>
                <w:rFonts w:asciiTheme="minorHAnsi" w:hAnsiTheme="minorHAnsi" w:cstheme="minorHAnsi"/>
                <w:bCs/>
                <w:color w:val="auto"/>
                <w:szCs w:val="20"/>
                <w:u w:val="none"/>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783D"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使用本地多</w:t>
            </w:r>
            <w:proofErr w:type="gramStart"/>
            <w:r>
              <w:rPr>
                <w:rFonts w:hint="eastAsia"/>
                <w:lang w:eastAsia="zh-CN"/>
              </w:rPr>
              <w:t>点分配</w:t>
            </w:r>
            <w:proofErr w:type="gramEnd"/>
            <w:r>
              <w:rPr>
                <w:rFonts w:hint="eastAsia"/>
                <w:lang w:eastAsia="zh-CN"/>
              </w:rPr>
              <w:t>系统的交互频道</w:t>
            </w:r>
          </w:p>
        </w:tc>
      </w:tr>
      <w:tr w:rsidR="004E6255" w14:paraId="1A181962"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52A5A05" w14:textId="29090293"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BT.1667</w:t>
            </w:r>
            <w:r w:rsidRPr="00C16872">
              <w:rPr>
                <w:rStyle w:val="Hyperlink"/>
                <w:rFonts w:asciiTheme="minorHAnsi" w:hAnsiTheme="minorHAnsi" w:cstheme="minorHAnsi"/>
                <w:bCs/>
                <w:color w:val="auto"/>
                <w:szCs w:val="20"/>
                <w:u w:val="none"/>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CC3B9F"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根据</w:t>
            </w:r>
            <w:r>
              <w:rPr>
                <w:lang w:eastAsia="zh-CN"/>
              </w:rPr>
              <w:t>ITU-R BT.1306</w:t>
            </w:r>
            <w:r>
              <w:rPr>
                <w:rFonts w:hint="eastAsia"/>
                <w:lang w:eastAsia="zh-CN"/>
              </w:rPr>
              <w:t>建议书工作在甚高频</w:t>
            </w:r>
            <w:r>
              <w:rPr>
                <w:lang w:eastAsia="zh-CN"/>
              </w:rPr>
              <w:t>/</w:t>
            </w:r>
            <w:r>
              <w:rPr>
                <w:rFonts w:hint="eastAsia"/>
                <w:lang w:eastAsia="zh-CN"/>
              </w:rPr>
              <w:t>超高频（</w:t>
            </w:r>
            <w:r>
              <w:rPr>
                <w:lang w:eastAsia="zh-CN"/>
              </w:rPr>
              <w:t>VHF/UHF</w:t>
            </w:r>
            <w:r>
              <w:rPr>
                <w:rFonts w:hint="eastAsia"/>
                <w:lang w:eastAsia="zh-CN"/>
              </w:rPr>
              <w:t>）广播频段的交互广播业务的地面回传频道</w:t>
            </w:r>
          </w:p>
        </w:tc>
      </w:tr>
      <w:tr w:rsidR="004E6255" w14:paraId="6C1AA1E3"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992772E" w14:textId="7C11409B"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rPr>
              <w:t>BT.1832</w:t>
            </w:r>
            <w:r w:rsidRPr="00C16872">
              <w:rPr>
                <w:rStyle w:val="Hyperlink"/>
                <w:rFonts w:asciiTheme="minorHAnsi" w:hAnsiTheme="minorHAnsi" w:cstheme="minorHAnsi"/>
                <w:bCs/>
                <w:color w:val="auto"/>
                <w:szCs w:val="20"/>
                <w:u w:val="none"/>
                <w:lang w:val="en-GB"/>
              </w:rPr>
              <w:t>-0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2EA7D"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地面数字视频广播返回信道（</w:t>
            </w:r>
            <w:r>
              <w:rPr>
                <w:lang w:eastAsia="zh-CN"/>
              </w:rPr>
              <w:t>DVB-RCT</w:t>
            </w:r>
            <w:r>
              <w:rPr>
                <w:rFonts w:hint="eastAsia"/>
                <w:lang w:eastAsia="zh-CN"/>
              </w:rPr>
              <w:t>）部署情形和规划时需考虑的因素</w:t>
            </w:r>
          </w:p>
        </w:tc>
      </w:tr>
      <w:tr w:rsidR="004E6255" w14:paraId="2539F668" w14:textId="77777777" w:rsidTr="006C4B94">
        <w:trPr>
          <w:cantSplit/>
          <w:jc w:val="center"/>
        </w:trPr>
        <w:tc>
          <w:tcPr>
            <w:tcW w:w="110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4C171A2" w14:textId="39F95012" w:rsidR="004E6255" w:rsidRDefault="004E6255" w:rsidP="006C4B94">
            <w:pPr>
              <w:pStyle w:val="Tabletext"/>
              <w:jc w:val="center"/>
              <w:rPr>
                <w:rFonts w:asciiTheme="minorHAnsi" w:hAnsiTheme="minorHAnsi" w:cstheme="minorHAnsi"/>
                <w:bCs/>
                <w:szCs w:val="20"/>
                <w:lang w:val="en-GB"/>
              </w:rPr>
            </w:pPr>
            <w:r w:rsidRPr="00C16872">
              <w:rPr>
                <w:rFonts w:asciiTheme="minorHAnsi" w:hAnsiTheme="minorHAnsi" w:cstheme="minorHAnsi"/>
                <w:bCs/>
                <w:szCs w:val="20"/>
                <w:lang w:val="en-GB" w:eastAsia="ja-JP"/>
              </w:rPr>
              <w:t>BS.1688-0</w:t>
            </w:r>
          </w:p>
        </w:tc>
        <w:tc>
          <w:tcPr>
            <w:tcW w:w="3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12A8C" w14:textId="77777777" w:rsidR="004E6255" w:rsidRDefault="004E6255" w:rsidP="006C4B94">
            <w:pPr>
              <w:pStyle w:val="Tabletext"/>
              <w:rPr>
                <w:rFonts w:asciiTheme="minorHAnsi" w:hAnsiTheme="minorHAnsi" w:cstheme="minorHAnsi"/>
                <w:szCs w:val="20"/>
                <w:lang w:val="en-GB" w:eastAsia="zh-CN"/>
              </w:rPr>
            </w:pPr>
            <w:r>
              <w:rPr>
                <w:rFonts w:hint="eastAsia"/>
                <w:lang w:eastAsia="zh-CN"/>
              </w:rPr>
              <w:t>大屏幕数字成像应用的传送接口上的基带声音系统和音频源编码</w:t>
            </w:r>
          </w:p>
        </w:tc>
      </w:tr>
    </w:tbl>
    <w:p w14:paraId="3BAEBA70" w14:textId="77777777" w:rsidR="004E6255" w:rsidRDefault="004E6255" w:rsidP="004E6255">
      <w:pPr>
        <w:pStyle w:val="Reasons"/>
        <w:rPr>
          <w:lang w:eastAsia="zh-CN"/>
        </w:rPr>
      </w:pPr>
    </w:p>
    <w:p w14:paraId="39333F8B" w14:textId="77777777" w:rsidR="004E6255" w:rsidRDefault="004E6255" w:rsidP="004E6255">
      <w:pPr>
        <w:jc w:val="center"/>
        <w:rPr>
          <w:lang w:val="en-GB"/>
        </w:rPr>
      </w:pPr>
      <w:r>
        <w:rPr>
          <w:lang w:val="en-GB"/>
        </w:rPr>
        <w:t>______________</w:t>
      </w:r>
    </w:p>
    <w:sectPr w:rsidR="004E6255"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BA03" w14:textId="77777777" w:rsidR="006B5581" w:rsidRDefault="006B5581">
      <w:r>
        <w:separator/>
      </w:r>
    </w:p>
  </w:endnote>
  <w:endnote w:type="continuationSeparator" w:id="0">
    <w:p w14:paraId="20BD0201" w14:textId="77777777" w:rsidR="006B5581" w:rsidRDefault="006B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0ECE" w14:textId="77777777" w:rsidR="006B5581" w:rsidRDefault="006B5581">
      <w:r>
        <w:t>____________________</w:t>
      </w:r>
    </w:p>
  </w:footnote>
  <w:footnote w:type="continuationSeparator" w:id="0">
    <w:p w14:paraId="2AEECD98" w14:textId="77777777" w:rsidR="006B5581" w:rsidRDefault="006B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3E1A0D49" w:rsidR="00E915AF" w:rsidRPr="00AC1F2B" w:rsidRDefault="00AF051D" w:rsidP="007765C3">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0574375C" w:rsidR="00E915AF" w:rsidRPr="005904C5" w:rsidRDefault="002005DD" w:rsidP="005904C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7B58E764" w14:textId="77777777" w:rsidTr="00091DF4">
      <w:tc>
        <w:tcPr>
          <w:tcW w:w="4889" w:type="dxa"/>
          <w:tcMar>
            <w:left w:w="0" w:type="dxa"/>
          </w:tcMar>
        </w:tcPr>
        <w:p w14:paraId="74204A6B" w14:textId="38A3CB17" w:rsidR="00295CFA" w:rsidRDefault="00B669E4" w:rsidP="00B669E4">
          <w:pPr>
            <w:pStyle w:val="Header"/>
            <w:spacing w:line="360" w:lineRule="auto"/>
          </w:pPr>
          <w:r>
            <w:rPr>
              <w:noProof/>
              <w:lang w:val="en-GB" w:eastAsia="en-GB"/>
            </w:rPr>
            <w:drawing>
              <wp:inline distT="0" distB="0" distL="0" distR="0" wp14:anchorId="50F2F9BC" wp14:editId="146380AF">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5D3D9D8" w14:textId="5F241507" w:rsidR="00295CFA" w:rsidRDefault="00B669E4" w:rsidP="00B669E4">
          <w:pPr>
            <w:pStyle w:val="Header"/>
            <w:spacing w:line="360" w:lineRule="auto"/>
            <w:jc w:val="right"/>
          </w:pPr>
          <w:r>
            <w:rPr>
              <w:noProof/>
            </w:rPr>
            <w:drawing>
              <wp:inline distT="0" distB="0" distL="0" distR="0" wp14:anchorId="0647842A" wp14:editId="00A5F1D7">
                <wp:extent cx="2628265" cy="740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4E5D"/>
    <w:rsid w:val="00062347"/>
    <w:rsid w:val="00066225"/>
    <w:rsid w:val="00070258"/>
    <w:rsid w:val="0007323C"/>
    <w:rsid w:val="00086D03"/>
    <w:rsid w:val="000906B3"/>
    <w:rsid w:val="00091DF4"/>
    <w:rsid w:val="000A096A"/>
    <w:rsid w:val="000A375E"/>
    <w:rsid w:val="000A7051"/>
    <w:rsid w:val="000B0AF6"/>
    <w:rsid w:val="000B0E9B"/>
    <w:rsid w:val="000B2CAE"/>
    <w:rsid w:val="000C03C7"/>
    <w:rsid w:val="000C2AD0"/>
    <w:rsid w:val="000C76FF"/>
    <w:rsid w:val="000D5D95"/>
    <w:rsid w:val="000E12D1"/>
    <w:rsid w:val="000E3C01"/>
    <w:rsid w:val="000E3DEE"/>
    <w:rsid w:val="000F00B0"/>
    <w:rsid w:val="00100B72"/>
    <w:rsid w:val="00101F7D"/>
    <w:rsid w:val="00103C76"/>
    <w:rsid w:val="0011265F"/>
    <w:rsid w:val="00117282"/>
    <w:rsid w:val="00117389"/>
    <w:rsid w:val="00121C2D"/>
    <w:rsid w:val="00134404"/>
    <w:rsid w:val="00144DFB"/>
    <w:rsid w:val="00153224"/>
    <w:rsid w:val="00164B62"/>
    <w:rsid w:val="0016783B"/>
    <w:rsid w:val="00171DCC"/>
    <w:rsid w:val="00172453"/>
    <w:rsid w:val="00182D7F"/>
    <w:rsid w:val="00186D16"/>
    <w:rsid w:val="00187CA3"/>
    <w:rsid w:val="00196710"/>
    <w:rsid w:val="00196770"/>
    <w:rsid w:val="00197324"/>
    <w:rsid w:val="001A206B"/>
    <w:rsid w:val="001B351B"/>
    <w:rsid w:val="001B42C9"/>
    <w:rsid w:val="001B4D1E"/>
    <w:rsid w:val="001C06DB"/>
    <w:rsid w:val="001C3446"/>
    <w:rsid w:val="001C6971"/>
    <w:rsid w:val="001D2785"/>
    <w:rsid w:val="001D7070"/>
    <w:rsid w:val="001E53BA"/>
    <w:rsid w:val="001E73F8"/>
    <w:rsid w:val="001E7841"/>
    <w:rsid w:val="001F2170"/>
    <w:rsid w:val="001F3948"/>
    <w:rsid w:val="001F5A49"/>
    <w:rsid w:val="002005DD"/>
    <w:rsid w:val="00201097"/>
    <w:rsid w:val="00201B6E"/>
    <w:rsid w:val="002266B7"/>
    <w:rsid w:val="002302B3"/>
    <w:rsid w:val="00230C66"/>
    <w:rsid w:val="00235A29"/>
    <w:rsid w:val="00241526"/>
    <w:rsid w:val="002443A2"/>
    <w:rsid w:val="00244D0A"/>
    <w:rsid w:val="00266E74"/>
    <w:rsid w:val="002834C5"/>
    <w:rsid w:val="00283C3B"/>
    <w:rsid w:val="002861E6"/>
    <w:rsid w:val="00287D18"/>
    <w:rsid w:val="00295CFA"/>
    <w:rsid w:val="002A2618"/>
    <w:rsid w:val="002A5DD7"/>
    <w:rsid w:val="002B0CAC"/>
    <w:rsid w:val="002C6FC2"/>
    <w:rsid w:val="002D5A15"/>
    <w:rsid w:val="002D5BDD"/>
    <w:rsid w:val="002E0DC8"/>
    <w:rsid w:val="002E3D27"/>
    <w:rsid w:val="002F0890"/>
    <w:rsid w:val="002F2531"/>
    <w:rsid w:val="002F3D09"/>
    <w:rsid w:val="002F4967"/>
    <w:rsid w:val="00316935"/>
    <w:rsid w:val="00323709"/>
    <w:rsid w:val="003266ED"/>
    <w:rsid w:val="00326C68"/>
    <w:rsid w:val="003274E9"/>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489A"/>
    <w:rsid w:val="003C6161"/>
    <w:rsid w:val="003C7D41"/>
    <w:rsid w:val="003D4A69"/>
    <w:rsid w:val="003E221D"/>
    <w:rsid w:val="003E504F"/>
    <w:rsid w:val="003E78D6"/>
    <w:rsid w:val="003F1019"/>
    <w:rsid w:val="003F644F"/>
    <w:rsid w:val="00400573"/>
    <w:rsid w:val="004007A3"/>
    <w:rsid w:val="00404FE8"/>
    <w:rsid w:val="00406D71"/>
    <w:rsid w:val="004326DB"/>
    <w:rsid w:val="00435BA5"/>
    <w:rsid w:val="0043682E"/>
    <w:rsid w:val="0044092E"/>
    <w:rsid w:val="004409C1"/>
    <w:rsid w:val="00447ECB"/>
    <w:rsid w:val="004623F7"/>
    <w:rsid w:val="00476122"/>
    <w:rsid w:val="00480F51"/>
    <w:rsid w:val="00481124"/>
    <w:rsid w:val="004815EB"/>
    <w:rsid w:val="00487569"/>
    <w:rsid w:val="004920DC"/>
    <w:rsid w:val="00496864"/>
    <w:rsid w:val="00496920"/>
    <w:rsid w:val="004A4496"/>
    <w:rsid w:val="004A7B15"/>
    <w:rsid w:val="004B11AB"/>
    <w:rsid w:val="004B7C9A"/>
    <w:rsid w:val="004C6779"/>
    <w:rsid w:val="004C68C5"/>
    <w:rsid w:val="004D08B4"/>
    <w:rsid w:val="004D733B"/>
    <w:rsid w:val="004E0DC4"/>
    <w:rsid w:val="004E0FB5"/>
    <w:rsid w:val="004E25A8"/>
    <w:rsid w:val="004E43BB"/>
    <w:rsid w:val="004E460D"/>
    <w:rsid w:val="004E6255"/>
    <w:rsid w:val="004F178E"/>
    <w:rsid w:val="004F4543"/>
    <w:rsid w:val="004F57BB"/>
    <w:rsid w:val="00505309"/>
    <w:rsid w:val="0050789B"/>
    <w:rsid w:val="005224A1"/>
    <w:rsid w:val="00533559"/>
    <w:rsid w:val="00534372"/>
    <w:rsid w:val="00543DF8"/>
    <w:rsid w:val="00546101"/>
    <w:rsid w:val="005520BC"/>
    <w:rsid w:val="00553DD7"/>
    <w:rsid w:val="005638CF"/>
    <w:rsid w:val="0056741E"/>
    <w:rsid w:val="0057325A"/>
    <w:rsid w:val="0057469A"/>
    <w:rsid w:val="00580814"/>
    <w:rsid w:val="00583A0B"/>
    <w:rsid w:val="005904C5"/>
    <w:rsid w:val="005A03A3"/>
    <w:rsid w:val="005A2B92"/>
    <w:rsid w:val="005A3F66"/>
    <w:rsid w:val="005A79E9"/>
    <w:rsid w:val="005B214C"/>
    <w:rsid w:val="005B3644"/>
    <w:rsid w:val="005B4CDA"/>
    <w:rsid w:val="005D3669"/>
    <w:rsid w:val="005E5C29"/>
    <w:rsid w:val="005E5EB3"/>
    <w:rsid w:val="005F38FC"/>
    <w:rsid w:val="005F3CB6"/>
    <w:rsid w:val="005F657C"/>
    <w:rsid w:val="00602D53"/>
    <w:rsid w:val="006047E5"/>
    <w:rsid w:val="00613D18"/>
    <w:rsid w:val="00636361"/>
    <w:rsid w:val="0064371D"/>
    <w:rsid w:val="00650543"/>
    <w:rsid w:val="00650B2A"/>
    <w:rsid w:val="00651777"/>
    <w:rsid w:val="006550F8"/>
    <w:rsid w:val="006724FC"/>
    <w:rsid w:val="006829F3"/>
    <w:rsid w:val="006905AE"/>
    <w:rsid w:val="006A446E"/>
    <w:rsid w:val="006A518B"/>
    <w:rsid w:val="006B0590"/>
    <w:rsid w:val="006B49DA"/>
    <w:rsid w:val="006B5581"/>
    <w:rsid w:val="006C53F8"/>
    <w:rsid w:val="006C7CDE"/>
    <w:rsid w:val="006E0EFF"/>
    <w:rsid w:val="006E5FD1"/>
    <w:rsid w:val="00704224"/>
    <w:rsid w:val="00707CA3"/>
    <w:rsid w:val="007234B1"/>
    <w:rsid w:val="00723D08"/>
    <w:rsid w:val="007253AF"/>
    <w:rsid w:val="00725FDA"/>
    <w:rsid w:val="00727816"/>
    <w:rsid w:val="00730B9A"/>
    <w:rsid w:val="00750CFA"/>
    <w:rsid w:val="007522C9"/>
    <w:rsid w:val="007553DA"/>
    <w:rsid w:val="007616E7"/>
    <w:rsid w:val="0077068B"/>
    <w:rsid w:val="00772EFA"/>
    <w:rsid w:val="00775DB8"/>
    <w:rsid w:val="007765C3"/>
    <w:rsid w:val="00782354"/>
    <w:rsid w:val="007921A7"/>
    <w:rsid w:val="00796CD6"/>
    <w:rsid w:val="007A406C"/>
    <w:rsid w:val="007B3DB1"/>
    <w:rsid w:val="007C6A0F"/>
    <w:rsid w:val="007D183E"/>
    <w:rsid w:val="007D43D0"/>
    <w:rsid w:val="007E1833"/>
    <w:rsid w:val="007E3F13"/>
    <w:rsid w:val="007F751A"/>
    <w:rsid w:val="00800012"/>
    <w:rsid w:val="008014DA"/>
    <w:rsid w:val="0080261F"/>
    <w:rsid w:val="00806160"/>
    <w:rsid w:val="008143A4"/>
    <w:rsid w:val="0081513E"/>
    <w:rsid w:val="008316F8"/>
    <w:rsid w:val="008440F5"/>
    <w:rsid w:val="00854131"/>
    <w:rsid w:val="0085652D"/>
    <w:rsid w:val="00876518"/>
    <w:rsid w:val="0087694B"/>
    <w:rsid w:val="00880F4D"/>
    <w:rsid w:val="008873B1"/>
    <w:rsid w:val="0089127B"/>
    <w:rsid w:val="00893067"/>
    <w:rsid w:val="008B35A3"/>
    <w:rsid w:val="008B37E1"/>
    <w:rsid w:val="008B45F8"/>
    <w:rsid w:val="008B5409"/>
    <w:rsid w:val="008C2E74"/>
    <w:rsid w:val="008D5409"/>
    <w:rsid w:val="008E006D"/>
    <w:rsid w:val="008E38B4"/>
    <w:rsid w:val="008F3888"/>
    <w:rsid w:val="008F4F21"/>
    <w:rsid w:val="00904D4A"/>
    <w:rsid w:val="009076D7"/>
    <w:rsid w:val="00907E45"/>
    <w:rsid w:val="00910B75"/>
    <w:rsid w:val="009151BA"/>
    <w:rsid w:val="0091560C"/>
    <w:rsid w:val="009218CA"/>
    <w:rsid w:val="00925023"/>
    <w:rsid w:val="009277BC"/>
    <w:rsid w:val="00927D57"/>
    <w:rsid w:val="00931A51"/>
    <w:rsid w:val="0093359E"/>
    <w:rsid w:val="00936CE0"/>
    <w:rsid w:val="00936E1F"/>
    <w:rsid w:val="00947185"/>
    <w:rsid w:val="009518B3"/>
    <w:rsid w:val="00962267"/>
    <w:rsid w:val="00963D9D"/>
    <w:rsid w:val="009702D1"/>
    <w:rsid w:val="00971DC7"/>
    <w:rsid w:val="009728DE"/>
    <w:rsid w:val="0098013E"/>
    <w:rsid w:val="00981B54"/>
    <w:rsid w:val="009842C3"/>
    <w:rsid w:val="009903F4"/>
    <w:rsid w:val="00992836"/>
    <w:rsid w:val="009A009A"/>
    <w:rsid w:val="009A6BB6"/>
    <w:rsid w:val="009B3F43"/>
    <w:rsid w:val="009B5CFA"/>
    <w:rsid w:val="009C161F"/>
    <w:rsid w:val="009C56B4"/>
    <w:rsid w:val="009C6A12"/>
    <w:rsid w:val="009D51A2"/>
    <w:rsid w:val="009E04A8"/>
    <w:rsid w:val="009E4AEC"/>
    <w:rsid w:val="009E5BD8"/>
    <w:rsid w:val="009E681E"/>
    <w:rsid w:val="00A06FEE"/>
    <w:rsid w:val="00A119E6"/>
    <w:rsid w:val="00A20FBC"/>
    <w:rsid w:val="00A2294E"/>
    <w:rsid w:val="00A26594"/>
    <w:rsid w:val="00A31370"/>
    <w:rsid w:val="00A34D6F"/>
    <w:rsid w:val="00A36E62"/>
    <w:rsid w:val="00A41F91"/>
    <w:rsid w:val="00A5045F"/>
    <w:rsid w:val="00A63355"/>
    <w:rsid w:val="00A644EE"/>
    <w:rsid w:val="00A7596D"/>
    <w:rsid w:val="00A87D06"/>
    <w:rsid w:val="00A963DF"/>
    <w:rsid w:val="00AA51EC"/>
    <w:rsid w:val="00AC0C22"/>
    <w:rsid w:val="00AC1F2B"/>
    <w:rsid w:val="00AC3896"/>
    <w:rsid w:val="00AD2CF2"/>
    <w:rsid w:val="00AD7588"/>
    <w:rsid w:val="00AE2D88"/>
    <w:rsid w:val="00AE6F6F"/>
    <w:rsid w:val="00AE7A09"/>
    <w:rsid w:val="00AF051D"/>
    <w:rsid w:val="00AF3325"/>
    <w:rsid w:val="00AF34D9"/>
    <w:rsid w:val="00AF70DA"/>
    <w:rsid w:val="00B019D3"/>
    <w:rsid w:val="00B06B90"/>
    <w:rsid w:val="00B0702A"/>
    <w:rsid w:val="00B21029"/>
    <w:rsid w:val="00B34CF9"/>
    <w:rsid w:val="00B37559"/>
    <w:rsid w:val="00B4054B"/>
    <w:rsid w:val="00B579B0"/>
    <w:rsid w:val="00B57D11"/>
    <w:rsid w:val="00B649D7"/>
    <w:rsid w:val="00B669E4"/>
    <w:rsid w:val="00B81C2F"/>
    <w:rsid w:val="00B90743"/>
    <w:rsid w:val="00B90C45"/>
    <w:rsid w:val="00B933BE"/>
    <w:rsid w:val="00B977E1"/>
    <w:rsid w:val="00BD6738"/>
    <w:rsid w:val="00BD7E5E"/>
    <w:rsid w:val="00BE63DB"/>
    <w:rsid w:val="00BE6574"/>
    <w:rsid w:val="00C07319"/>
    <w:rsid w:val="00C16872"/>
    <w:rsid w:val="00C16FD2"/>
    <w:rsid w:val="00C210AC"/>
    <w:rsid w:val="00C4395E"/>
    <w:rsid w:val="00C47FFD"/>
    <w:rsid w:val="00C51E92"/>
    <w:rsid w:val="00C52E7A"/>
    <w:rsid w:val="00C57E2C"/>
    <w:rsid w:val="00C608B7"/>
    <w:rsid w:val="00C66F24"/>
    <w:rsid w:val="00C73B32"/>
    <w:rsid w:val="00C76D7F"/>
    <w:rsid w:val="00C80885"/>
    <w:rsid w:val="00C813AA"/>
    <w:rsid w:val="00C83776"/>
    <w:rsid w:val="00C9291E"/>
    <w:rsid w:val="00CA3F44"/>
    <w:rsid w:val="00CA4E58"/>
    <w:rsid w:val="00CB3771"/>
    <w:rsid w:val="00CB44BF"/>
    <w:rsid w:val="00CB4CE7"/>
    <w:rsid w:val="00CB5153"/>
    <w:rsid w:val="00CB79E1"/>
    <w:rsid w:val="00CE076A"/>
    <w:rsid w:val="00CE463D"/>
    <w:rsid w:val="00CF7C08"/>
    <w:rsid w:val="00D10BA0"/>
    <w:rsid w:val="00D12E5D"/>
    <w:rsid w:val="00D21069"/>
    <w:rsid w:val="00D21694"/>
    <w:rsid w:val="00D24EB5"/>
    <w:rsid w:val="00D34BDC"/>
    <w:rsid w:val="00D35AB9"/>
    <w:rsid w:val="00D41571"/>
    <w:rsid w:val="00D416A0"/>
    <w:rsid w:val="00D47672"/>
    <w:rsid w:val="00D5123C"/>
    <w:rsid w:val="00D55560"/>
    <w:rsid w:val="00D55ACA"/>
    <w:rsid w:val="00D61C5A"/>
    <w:rsid w:val="00D631CE"/>
    <w:rsid w:val="00D6790C"/>
    <w:rsid w:val="00D73277"/>
    <w:rsid w:val="00D76586"/>
    <w:rsid w:val="00D76F5B"/>
    <w:rsid w:val="00D82657"/>
    <w:rsid w:val="00D87E20"/>
    <w:rsid w:val="00D93BB2"/>
    <w:rsid w:val="00DA16E6"/>
    <w:rsid w:val="00DA4037"/>
    <w:rsid w:val="00DA4711"/>
    <w:rsid w:val="00DD0E79"/>
    <w:rsid w:val="00DE3695"/>
    <w:rsid w:val="00DE53DC"/>
    <w:rsid w:val="00DE66A5"/>
    <w:rsid w:val="00DF2B50"/>
    <w:rsid w:val="00E01059"/>
    <w:rsid w:val="00E025EE"/>
    <w:rsid w:val="00E04C86"/>
    <w:rsid w:val="00E17344"/>
    <w:rsid w:val="00E20F30"/>
    <w:rsid w:val="00E2189C"/>
    <w:rsid w:val="00E21ED7"/>
    <w:rsid w:val="00E25BB1"/>
    <w:rsid w:val="00E27BBA"/>
    <w:rsid w:val="00E3093E"/>
    <w:rsid w:val="00E30E3F"/>
    <w:rsid w:val="00E35E8F"/>
    <w:rsid w:val="00E428AB"/>
    <w:rsid w:val="00E438E8"/>
    <w:rsid w:val="00E453A3"/>
    <w:rsid w:val="00E520E2"/>
    <w:rsid w:val="00E530C4"/>
    <w:rsid w:val="00E53DCE"/>
    <w:rsid w:val="00E55996"/>
    <w:rsid w:val="00E64254"/>
    <w:rsid w:val="00E67928"/>
    <w:rsid w:val="00E70FB5"/>
    <w:rsid w:val="00E75A91"/>
    <w:rsid w:val="00E915AF"/>
    <w:rsid w:val="00E96415"/>
    <w:rsid w:val="00EA15B3"/>
    <w:rsid w:val="00EA1B91"/>
    <w:rsid w:val="00EB2358"/>
    <w:rsid w:val="00EB2EC8"/>
    <w:rsid w:val="00EB3EB8"/>
    <w:rsid w:val="00EC00EF"/>
    <w:rsid w:val="00EC02FE"/>
    <w:rsid w:val="00EC42D3"/>
    <w:rsid w:val="00EC4A96"/>
    <w:rsid w:val="00ED1A42"/>
    <w:rsid w:val="00ED20E1"/>
    <w:rsid w:val="00EE03A0"/>
    <w:rsid w:val="00EE6559"/>
    <w:rsid w:val="00F2072F"/>
    <w:rsid w:val="00F22154"/>
    <w:rsid w:val="00F3344E"/>
    <w:rsid w:val="00F424BF"/>
    <w:rsid w:val="00F43CDC"/>
    <w:rsid w:val="00F44FC3"/>
    <w:rsid w:val="00F46107"/>
    <w:rsid w:val="00F468C5"/>
    <w:rsid w:val="00F52F39"/>
    <w:rsid w:val="00F55884"/>
    <w:rsid w:val="00F572D3"/>
    <w:rsid w:val="00F6184F"/>
    <w:rsid w:val="00F63F2A"/>
    <w:rsid w:val="00F76AC4"/>
    <w:rsid w:val="00F8310E"/>
    <w:rsid w:val="00F914DD"/>
    <w:rsid w:val="00F91F6B"/>
    <w:rsid w:val="00FA2358"/>
    <w:rsid w:val="00FB2592"/>
    <w:rsid w:val="00FB2810"/>
    <w:rsid w:val="00FB7A2C"/>
    <w:rsid w:val="00FC1F85"/>
    <w:rsid w:val="00FC2947"/>
    <w:rsid w:val="00FE0818"/>
    <w:rsid w:val="00FE099D"/>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Style 58,超?级链"/>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styleId="PlaceholderText">
    <w:name w:val="Placeholder Text"/>
    <w:basedOn w:val="DefaultParagraphFont"/>
    <w:uiPriority w:val="99"/>
    <w:semiHidden/>
    <w:rsid w:val="00893067"/>
    <w:rPr>
      <w:color w:val="808080"/>
    </w:rPr>
  </w:style>
  <w:style w:type="character" w:styleId="UnresolvedMention">
    <w:name w:val="Unresolved Mention"/>
    <w:basedOn w:val="DefaultParagraphFont"/>
    <w:uiPriority w:val="99"/>
    <w:semiHidden/>
    <w:unhideWhenUsed/>
    <w:rsid w:val="001E73F8"/>
    <w:rPr>
      <w:color w:val="605E5C"/>
      <w:shd w:val="clear" w:color="auto" w:fill="E1DFDD"/>
    </w:rPr>
  </w:style>
  <w:style w:type="paragraph" w:customStyle="1" w:styleId="AnnexNotitle0">
    <w:name w:val="Annex_No &amp; title"/>
    <w:basedOn w:val="Normal"/>
    <w:next w:val="Normalaftertitle"/>
    <w:rsid w:val="00AE7A09"/>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AE7A09"/>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AE7A09"/>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E7A09"/>
    <w:rPr>
      <w:szCs w:val="22"/>
      <w:lang w:val="en-US" w:eastAsia="en-US"/>
    </w:rPr>
  </w:style>
  <w:style w:type="character" w:customStyle="1" w:styleId="QuestiontitleChar">
    <w:name w:val="Question_title Char"/>
    <w:basedOn w:val="DefaultParagraphFont"/>
    <w:link w:val="Questiontitle"/>
    <w:rsid w:val="00AE7A09"/>
    <w:rPr>
      <w:b/>
      <w:sz w:val="28"/>
      <w:szCs w:val="22"/>
      <w:lang w:val="en-US" w:eastAsia="en-US"/>
    </w:rPr>
  </w:style>
  <w:style w:type="paragraph" w:customStyle="1" w:styleId="call0">
    <w:name w:val="call"/>
    <w:basedOn w:val="Normal"/>
    <w:next w:val="Normal"/>
    <w:rsid w:val="00AE7A09"/>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paragraph" w:customStyle="1" w:styleId="Normalaftertitle0">
    <w:name w:val="Normal after title"/>
    <w:basedOn w:val="Normal"/>
    <w:next w:val="Normal"/>
    <w:link w:val="NormalaftertitleChar0"/>
    <w:uiPriority w:val="99"/>
    <w:rsid w:val="00AE7A09"/>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AE7A09"/>
    <w:rPr>
      <w:rFonts w:ascii="Times New Roman" w:eastAsia="Times New Roman" w:hAnsi="Times New Roman" w:cs="Times New Roman"/>
      <w:sz w:val="24"/>
      <w:lang w:val="en-GB" w:eastAsia="en-US"/>
    </w:rPr>
  </w:style>
  <w:style w:type="character" w:customStyle="1" w:styleId="CallChar">
    <w:name w:val="Call Char"/>
    <w:basedOn w:val="DefaultParagraphFont"/>
    <w:link w:val="Call"/>
    <w:rsid w:val="00AE7A09"/>
    <w:rPr>
      <w:i/>
      <w:sz w:val="24"/>
      <w:szCs w:val="22"/>
      <w:lang w:val="en-US" w:eastAsia="en-US"/>
    </w:rPr>
  </w:style>
  <w:style w:type="character" w:customStyle="1" w:styleId="TabletextChar">
    <w:name w:val="Table_text Char"/>
    <w:link w:val="Tabletext"/>
    <w:locked/>
    <w:rsid w:val="00AE7A09"/>
    <w:rPr>
      <w:szCs w:val="22"/>
      <w:lang w:val="en-US" w:eastAsia="en-US"/>
    </w:rPr>
  </w:style>
  <w:style w:type="paragraph" w:customStyle="1" w:styleId="AnnexNotitleBodyCalibri">
    <w:name w:val="Annex_No &amp; title + +Body (Calibri)"/>
    <w:aliases w:val="After:  24 pt"/>
    <w:basedOn w:val="AnnexNoTitle"/>
    <w:rsid w:val="00EA1B91"/>
    <w:pPr>
      <w:spacing w:after="360"/>
    </w:pPr>
    <w:rPr>
      <w:rFonts w:eastAsia="SimSun"/>
      <w:sz w:val="28"/>
      <w:szCs w:val="20"/>
      <w:lang w:val="en-GB" w:eastAsia="zh-CN"/>
    </w:rPr>
  </w:style>
  <w:style w:type="character" w:customStyle="1" w:styleId="TableheadChar">
    <w:name w:val="Table_head Char"/>
    <w:basedOn w:val="DefaultParagraphFont"/>
    <w:link w:val="Tablehead"/>
    <w:locked/>
    <w:rsid w:val="001E53BA"/>
    <w:rPr>
      <w:b/>
      <w:szCs w:val="22"/>
      <w:lang w:val="en-US" w:eastAsia="en-US"/>
    </w:rPr>
  </w:style>
  <w:style w:type="character" w:customStyle="1" w:styleId="RectitleChar">
    <w:name w:val="Rec_title Char"/>
    <w:link w:val="Rectitle"/>
    <w:rsid w:val="00DE53DC"/>
    <w:rPr>
      <w:b/>
      <w:sz w:val="28"/>
      <w:szCs w:val="22"/>
      <w:lang w:val="en-US" w:eastAsia="en-US"/>
    </w:rPr>
  </w:style>
  <w:style w:type="paragraph" w:customStyle="1" w:styleId="Reasons">
    <w:name w:val="Reasons"/>
    <w:basedOn w:val="Normal"/>
    <w:qFormat/>
    <w:rsid w:val="004E62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3DA9DF730494FA7B51B7C901F374C"/>
        <w:category>
          <w:name w:val="General"/>
          <w:gallery w:val="placeholder"/>
        </w:category>
        <w:types>
          <w:type w:val="bbPlcHdr"/>
        </w:types>
        <w:behaviors>
          <w:behavior w:val="content"/>
        </w:behaviors>
        <w:guid w:val="{621EA3ED-785E-4036-BF3B-8A67D2F7A04E}"/>
      </w:docPartPr>
      <w:docPartBody>
        <w:p w:rsidR="005A754C" w:rsidRDefault="005A754C" w:rsidP="005A754C">
          <w:pPr>
            <w:pStyle w:val="C4B3DA9DF730494FA7B51B7C901F374C"/>
          </w:pPr>
          <w:r w:rsidRPr="00E8129C">
            <w:rPr>
              <w:rStyle w:val="PlaceholderText"/>
              <w:b/>
              <w:bCs/>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4C"/>
    <w:rsid w:val="000218FE"/>
    <w:rsid w:val="005A75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54C"/>
    <w:rPr>
      <w:color w:val="808080"/>
    </w:rPr>
  </w:style>
  <w:style w:type="paragraph" w:customStyle="1" w:styleId="C4B3DA9DF730494FA7B51B7C901F374C">
    <w:name w:val="C4B3DA9DF730494FA7B51B7C901F374C"/>
    <w:rsid w:val="005A7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383</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12</cp:revision>
  <cp:lastPrinted>2013-03-08T10:15:00Z</cp:lastPrinted>
  <dcterms:created xsi:type="dcterms:W3CDTF">2023-11-29T19:42:00Z</dcterms:created>
  <dcterms:modified xsi:type="dcterms:W3CDTF">2023-12-01T06:22:00Z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