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2E3BE0" w:rsidTr="00EA15B3">
        <w:tc>
          <w:tcPr>
            <w:tcW w:w="9889" w:type="dxa"/>
            <w:gridSpan w:val="3"/>
            <w:shd w:val="clear" w:color="auto" w:fill="auto"/>
          </w:tcPr>
          <w:p w:rsidR="00EA15B3" w:rsidRPr="002E3BE0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2E3BE0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2E3BE0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2E3BE0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Cs w:val="24"/>
                <w:lang w:val="en-GB"/>
              </w:rPr>
            </w:pPr>
          </w:p>
          <w:p w:rsidR="008E38B4" w:rsidRPr="002E3BE0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2E3BE0" w:rsidTr="00034340">
        <w:tc>
          <w:tcPr>
            <w:tcW w:w="7054" w:type="dxa"/>
            <w:gridSpan w:val="2"/>
            <w:shd w:val="clear" w:color="auto" w:fill="auto"/>
          </w:tcPr>
          <w:p w:rsidR="00C76D7F" w:rsidRPr="002E3BE0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2E3BE0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2E3BE0">
              <w:rPr>
                <w:szCs w:val="24"/>
                <w:lang w:val="fr-CH"/>
              </w:rPr>
              <w:t>C</w:t>
            </w:r>
            <w:r w:rsidR="00C76D7F" w:rsidRPr="002E3BE0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2E3BE0" w:rsidRDefault="00E17344" w:rsidP="00821C72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2E3BE0">
              <w:rPr>
                <w:b/>
                <w:bCs/>
                <w:szCs w:val="24"/>
                <w:lang w:val="fr-CH"/>
              </w:rPr>
              <w:t>CA</w:t>
            </w:r>
            <w:r w:rsidR="00264B75" w:rsidRPr="002E3BE0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3836D4" w:rsidRPr="002E3BE0">
              <w:rPr>
                <w:b/>
                <w:bCs/>
                <w:szCs w:val="24"/>
                <w:lang w:val="fr-CH"/>
              </w:rPr>
              <w:t>/</w:t>
            </w:r>
            <w:r w:rsidR="00821C72" w:rsidRPr="002E3BE0">
              <w:rPr>
                <w:b/>
                <w:bCs/>
                <w:szCs w:val="24"/>
                <w:lang w:val="fr-CH"/>
              </w:rPr>
              <w:t>929</w:t>
            </w:r>
          </w:p>
        </w:tc>
        <w:tc>
          <w:tcPr>
            <w:tcW w:w="2835" w:type="dxa"/>
            <w:shd w:val="clear" w:color="auto" w:fill="auto"/>
          </w:tcPr>
          <w:p w:rsidR="00651777" w:rsidRPr="002E3BE0" w:rsidRDefault="00CF08FB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2E3BE0">
              <w:rPr>
                <w:szCs w:val="24"/>
                <w:lang w:val="en-GB"/>
              </w:rPr>
              <w:t>24 September 2019</w:t>
            </w:r>
          </w:p>
        </w:tc>
      </w:tr>
      <w:tr w:rsidR="0037309C" w:rsidRPr="002E3BE0" w:rsidTr="004D02EC">
        <w:tc>
          <w:tcPr>
            <w:tcW w:w="9889" w:type="dxa"/>
            <w:gridSpan w:val="3"/>
            <w:shd w:val="clear" w:color="auto" w:fill="auto"/>
          </w:tcPr>
          <w:p w:rsidR="0037309C" w:rsidRPr="002E3BE0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2E3BE0" w:rsidTr="004D02EC">
        <w:tc>
          <w:tcPr>
            <w:tcW w:w="9889" w:type="dxa"/>
            <w:gridSpan w:val="3"/>
            <w:shd w:val="clear" w:color="auto" w:fill="auto"/>
          </w:tcPr>
          <w:p w:rsidR="00D21694" w:rsidRPr="002E3BE0" w:rsidRDefault="0037309C" w:rsidP="00CF08FB">
            <w:pPr>
              <w:spacing w:before="0"/>
              <w:jc w:val="left"/>
              <w:rPr>
                <w:b/>
                <w:bCs/>
                <w:szCs w:val="24"/>
              </w:rPr>
            </w:pPr>
            <w:r w:rsidRPr="002E3BE0">
              <w:rPr>
                <w:b/>
                <w:bCs/>
                <w:szCs w:val="24"/>
              </w:rPr>
              <w:t>To Administrations of Member States of the ITU,</w:t>
            </w:r>
            <w:r w:rsidR="008B35A3" w:rsidRPr="002E3BE0">
              <w:rPr>
                <w:b/>
                <w:bCs/>
                <w:szCs w:val="24"/>
              </w:rPr>
              <w:t xml:space="preserve"> </w:t>
            </w:r>
            <w:r w:rsidR="00264B75" w:rsidRPr="002E3BE0">
              <w:rPr>
                <w:b/>
                <w:bCs/>
              </w:rPr>
              <w:t>Radiocommunication Sector Members</w:t>
            </w:r>
            <w:r w:rsidR="007214AA" w:rsidRPr="002E3BE0">
              <w:rPr>
                <w:b/>
                <w:bCs/>
              </w:rPr>
              <w:t>,</w:t>
            </w:r>
            <w:r w:rsidR="00264B75" w:rsidRPr="002E3BE0">
              <w:rPr>
                <w:b/>
                <w:bCs/>
              </w:rPr>
              <w:br/>
              <w:t xml:space="preserve">ITU-R Associates participating in the work of Radiocommunication Study Group </w:t>
            </w:r>
            <w:r w:rsidR="00CF08FB" w:rsidRPr="002E3BE0">
              <w:rPr>
                <w:b/>
                <w:bCs/>
              </w:rPr>
              <w:t>4</w:t>
            </w:r>
            <w:r w:rsidR="007214AA" w:rsidRPr="002E3BE0">
              <w:rPr>
                <w:b/>
                <w:bCs/>
              </w:rPr>
              <w:br/>
              <w:t>and ITU Academia</w:t>
            </w:r>
          </w:p>
        </w:tc>
      </w:tr>
      <w:tr w:rsidR="0037309C" w:rsidRPr="002E3BE0" w:rsidTr="004D02EC">
        <w:tc>
          <w:tcPr>
            <w:tcW w:w="9889" w:type="dxa"/>
            <w:gridSpan w:val="3"/>
            <w:shd w:val="clear" w:color="auto" w:fill="auto"/>
          </w:tcPr>
          <w:p w:rsidR="0037309C" w:rsidRPr="002E3BE0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2E3BE0" w:rsidTr="0037309C">
        <w:tc>
          <w:tcPr>
            <w:tcW w:w="1526" w:type="dxa"/>
            <w:shd w:val="clear" w:color="auto" w:fill="auto"/>
          </w:tcPr>
          <w:p w:rsidR="00B4054B" w:rsidRPr="002E3BE0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2E3BE0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2E3BE0" w:rsidRDefault="00DB0E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</w:rPr>
            </w:pPr>
            <w:r w:rsidRPr="002E3BE0">
              <w:rPr>
                <w:b/>
                <w:bCs/>
              </w:rPr>
              <w:t xml:space="preserve">Radiocommunication Study Group </w:t>
            </w:r>
            <w:r w:rsidR="00CF08FB" w:rsidRPr="002E3BE0">
              <w:rPr>
                <w:b/>
                <w:bCs/>
              </w:rPr>
              <w:t>4</w:t>
            </w:r>
            <w:r w:rsidRPr="002E3BE0">
              <w:rPr>
                <w:b/>
                <w:bCs/>
              </w:rPr>
              <w:t xml:space="preserve"> </w:t>
            </w:r>
            <w:r w:rsidR="0037770D" w:rsidRPr="002E3BE0">
              <w:rPr>
                <w:b/>
                <w:bCs/>
              </w:rPr>
              <w:t>(</w:t>
            </w:r>
            <w:r w:rsidR="00CF08FB" w:rsidRPr="002E3BE0">
              <w:rPr>
                <w:b/>
                <w:bCs/>
                <w:szCs w:val="24"/>
              </w:rPr>
              <w:t>Satellite Services</w:t>
            </w:r>
            <w:r w:rsidR="0037770D" w:rsidRPr="00B54EC7">
              <w:rPr>
                <w:b/>
                <w:bCs/>
              </w:rPr>
              <w:t>)</w:t>
            </w:r>
          </w:p>
          <w:p w:rsidR="00B4054B" w:rsidRPr="002E3BE0" w:rsidRDefault="00DB0E17" w:rsidP="004F0B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Cs w:val="24"/>
                <w:lang w:val="en-GB"/>
              </w:rPr>
            </w:pPr>
            <w:r w:rsidRPr="002E3BE0">
              <w:rPr>
                <w:b/>
                <w:bCs/>
              </w:rPr>
              <w:t>–</w:t>
            </w:r>
            <w:r w:rsidRPr="002E3BE0">
              <w:rPr>
                <w:b/>
                <w:bCs/>
              </w:rPr>
              <w:tab/>
              <w:t xml:space="preserve">Adoption of </w:t>
            </w:r>
            <w:r w:rsidR="00CF08FB" w:rsidRPr="002E3BE0">
              <w:rPr>
                <w:b/>
                <w:bCs/>
              </w:rPr>
              <w:t>1</w:t>
            </w:r>
            <w:r w:rsidRPr="002E3BE0">
              <w:rPr>
                <w:b/>
                <w:bCs/>
              </w:rPr>
              <w:t xml:space="preserve"> new ITU-R Recommendation and </w:t>
            </w:r>
            <w:r w:rsidR="00CF08FB" w:rsidRPr="002E3BE0">
              <w:rPr>
                <w:b/>
                <w:bCs/>
              </w:rPr>
              <w:t>1</w:t>
            </w:r>
            <w:r w:rsidRPr="002E3BE0">
              <w:rPr>
                <w:b/>
                <w:bCs/>
              </w:rPr>
              <w:t xml:space="preserve"> revised ITU-R Recommendation and their simultaneous approval by correspondence in accordance with § </w:t>
            </w:r>
            <w:proofErr w:type="spellStart"/>
            <w:r w:rsidR="00662581" w:rsidRPr="002E3BE0">
              <w:rPr>
                <w:b/>
                <w:bCs/>
              </w:rPr>
              <w:t>A2.6.2.4</w:t>
            </w:r>
            <w:proofErr w:type="spellEnd"/>
            <w:r w:rsidRPr="002E3BE0">
              <w:rPr>
                <w:b/>
                <w:bCs/>
              </w:rPr>
              <w:t xml:space="preserve"> of Resolution ITU-R 1-</w:t>
            </w:r>
            <w:r w:rsidR="00662581" w:rsidRPr="002E3BE0">
              <w:rPr>
                <w:b/>
                <w:bCs/>
              </w:rPr>
              <w:t xml:space="preserve">7 </w:t>
            </w:r>
            <w:r w:rsidRPr="002E3BE0">
              <w:rPr>
                <w:b/>
                <w:bCs/>
              </w:rPr>
              <w:t>(Procedure for the simultaneous adoption and approval by correspondence)</w:t>
            </w:r>
          </w:p>
        </w:tc>
      </w:tr>
      <w:tr w:rsidR="00B4054B" w:rsidRPr="002E3BE0" w:rsidTr="006A0053">
        <w:tc>
          <w:tcPr>
            <w:tcW w:w="1526" w:type="dxa"/>
            <w:shd w:val="clear" w:color="auto" w:fill="auto"/>
          </w:tcPr>
          <w:p w:rsidR="00B4054B" w:rsidRPr="002E3BE0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E3BE0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2E3BE0" w:rsidTr="006A0053">
        <w:tc>
          <w:tcPr>
            <w:tcW w:w="1526" w:type="dxa"/>
            <w:shd w:val="clear" w:color="auto" w:fill="auto"/>
          </w:tcPr>
          <w:p w:rsidR="00B4054B" w:rsidRPr="002E3BE0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E3BE0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2E3BE0" w:rsidTr="00F72DBF">
        <w:tc>
          <w:tcPr>
            <w:tcW w:w="9889" w:type="dxa"/>
            <w:gridSpan w:val="3"/>
            <w:shd w:val="clear" w:color="auto" w:fill="auto"/>
          </w:tcPr>
          <w:p w:rsidR="00C51E92" w:rsidRPr="002E3BE0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64B75" w:rsidRPr="002E3BE0" w:rsidRDefault="00264B75" w:rsidP="00B54EC7">
      <w:pPr>
        <w:pStyle w:val="Normalaftertitle"/>
        <w:spacing w:before="240"/>
      </w:pPr>
      <w:r w:rsidRPr="002E3BE0">
        <w:t xml:space="preserve">By Administrative Circular </w:t>
      </w:r>
      <w:proofErr w:type="spellStart"/>
      <w:r w:rsidRPr="002E3BE0">
        <w:t>CACE</w:t>
      </w:r>
      <w:proofErr w:type="spellEnd"/>
      <w:r w:rsidRPr="002E3BE0">
        <w:t>/</w:t>
      </w:r>
      <w:r w:rsidR="004D2974" w:rsidRPr="002E3BE0">
        <w:t>911</w:t>
      </w:r>
      <w:r w:rsidRPr="002E3BE0">
        <w:rPr>
          <w:i/>
          <w:iCs/>
        </w:rPr>
        <w:t xml:space="preserve"> </w:t>
      </w:r>
      <w:r w:rsidRPr="002E3BE0">
        <w:t xml:space="preserve">dated </w:t>
      </w:r>
      <w:r w:rsidR="004D2974" w:rsidRPr="002E3BE0">
        <w:t>17</w:t>
      </w:r>
      <w:r w:rsidRPr="002E3BE0">
        <w:t xml:space="preserve"> </w:t>
      </w:r>
      <w:r w:rsidR="004D2974" w:rsidRPr="002E3BE0">
        <w:t>July</w:t>
      </w:r>
      <w:r w:rsidR="00B865CE" w:rsidRPr="002E3BE0">
        <w:t xml:space="preserve"> </w:t>
      </w:r>
      <w:r w:rsidR="00662581" w:rsidRPr="002E3BE0">
        <w:t>201</w:t>
      </w:r>
      <w:r w:rsidR="004D2974" w:rsidRPr="002E3BE0">
        <w:t>9</w:t>
      </w:r>
      <w:r w:rsidRPr="002E3BE0">
        <w:t xml:space="preserve">, </w:t>
      </w:r>
      <w:r w:rsidR="004D2974" w:rsidRPr="002E3BE0">
        <w:t>1</w:t>
      </w:r>
      <w:r w:rsidRPr="002E3BE0">
        <w:t xml:space="preserve"> draft new ITU-R Recommendation and </w:t>
      </w:r>
      <w:r w:rsidR="004D2974" w:rsidRPr="002E3BE0">
        <w:t>1</w:t>
      </w:r>
      <w:r w:rsidRPr="002E3BE0">
        <w:t> draft revised ITU-R Recommendation were submitted for simultaneous adoption and approval by correspondence (</w:t>
      </w:r>
      <w:proofErr w:type="spellStart"/>
      <w:r w:rsidRPr="002E3BE0">
        <w:t>PSAA</w:t>
      </w:r>
      <w:proofErr w:type="spellEnd"/>
      <w:r w:rsidRPr="002E3BE0">
        <w:t>), following the procedure of Resolution ITU</w:t>
      </w:r>
      <w:r w:rsidRPr="002E3BE0">
        <w:noBreakHyphen/>
        <w:t>R 1</w:t>
      </w:r>
      <w:r w:rsidRPr="002E3BE0">
        <w:noBreakHyphen/>
      </w:r>
      <w:r w:rsidR="00BA5287" w:rsidRPr="002E3BE0">
        <w:t xml:space="preserve">7 </w:t>
      </w:r>
      <w:r w:rsidRPr="002E3BE0">
        <w:t>(§ </w:t>
      </w:r>
      <w:proofErr w:type="spellStart"/>
      <w:r w:rsidR="00BA5287" w:rsidRPr="002E3BE0">
        <w:t>A2.6.2.4</w:t>
      </w:r>
      <w:proofErr w:type="spellEnd"/>
      <w:r w:rsidRPr="002E3BE0">
        <w:t>).</w:t>
      </w:r>
    </w:p>
    <w:p w:rsidR="00264B75" w:rsidRPr="002E3BE0" w:rsidRDefault="00264B75">
      <w:r w:rsidRPr="002E3BE0">
        <w:t xml:space="preserve">The conditions governing this procedure were met on </w:t>
      </w:r>
      <w:r w:rsidR="004D2974" w:rsidRPr="002E3BE0">
        <w:t>17</w:t>
      </w:r>
      <w:r w:rsidRPr="002E3BE0">
        <w:t xml:space="preserve"> </w:t>
      </w:r>
      <w:r w:rsidR="004D2974" w:rsidRPr="002E3BE0">
        <w:t>September</w:t>
      </w:r>
      <w:r w:rsidR="00B865CE" w:rsidRPr="002E3BE0">
        <w:t xml:space="preserve"> </w:t>
      </w:r>
      <w:r w:rsidR="00BA5287" w:rsidRPr="002E3BE0">
        <w:t>201</w:t>
      </w:r>
      <w:r w:rsidR="004D2974" w:rsidRPr="002E3BE0">
        <w:t>9</w:t>
      </w:r>
      <w:r w:rsidRPr="002E3BE0">
        <w:t>.</w:t>
      </w:r>
    </w:p>
    <w:p w:rsidR="00DB0E17" w:rsidRPr="002E3BE0" w:rsidRDefault="00264B75">
      <w:pPr>
        <w:tabs>
          <w:tab w:val="left" w:pos="7938"/>
        </w:tabs>
      </w:pPr>
      <w:r w:rsidRPr="002E3BE0">
        <w:t xml:space="preserve">The approved Recommendations will be published by the ITU and </w:t>
      </w:r>
      <w:r w:rsidR="004D2974" w:rsidRPr="002E3BE0">
        <w:t xml:space="preserve">the </w:t>
      </w:r>
      <w:r w:rsidRPr="002E3BE0">
        <w:t>Annex to this Circular provides their titles, with the assigned numbers.</w:t>
      </w:r>
    </w:p>
    <w:p w:rsidR="00DB0E17" w:rsidRPr="002E3BE0" w:rsidRDefault="0066018B" w:rsidP="004F0B3F">
      <w:pPr>
        <w:spacing w:before="1080" w:line="240" w:lineRule="auto"/>
        <w:jc w:val="left"/>
        <w:rPr>
          <w:rFonts w:asciiTheme="minorHAnsi" w:hAnsiTheme="minorHAnsi" w:cstheme="minorHAnsi"/>
          <w:szCs w:val="24"/>
        </w:rPr>
      </w:pPr>
      <w:r w:rsidRPr="002E3BE0">
        <w:rPr>
          <w:szCs w:val="24"/>
        </w:rPr>
        <w:t xml:space="preserve">Mario </w:t>
      </w:r>
      <w:proofErr w:type="spellStart"/>
      <w:r w:rsidRPr="002E3BE0">
        <w:rPr>
          <w:szCs w:val="24"/>
        </w:rPr>
        <w:t>Maniewicz</w:t>
      </w:r>
      <w:proofErr w:type="spellEnd"/>
      <w:r w:rsidR="004F0B3F">
        <w:rPr>
          <w:szCs w:val="24"/>
        </w:rPr>
        <w:br/>
      </w:r>
      <w:r w:rsidR="00DB0E17" w:rsidRPr="002E3BE0">
        <w:rPr>
          <w:rFonts w:asciiTheme="minorHAnsi" w:hAnsiTheme="minorHAnsi" w:cstheme="minorHAnsi"/>
          <w:szCs w:val="24"/>
        </w:rPr>
        <w:t>Director</w:t>
      </w:r>
    </w:p>
    <w:p w:rsidR="00264B75" w:rsidRPr="002E3BE0" w:rsidRDefault="00264B75" w:rsidP="004F0B3F">
      <w:pPr>
        <w:tabs>
          <w:tab w:val="left" w:pos="4820"/>
        </w:tabs>
        <w:spacing w:before="360"/>
        <w:rPr>
          <w:u w:val="single"/>
        </w:rPr>
      </w:pPr>
      <w:r w:rsidRPr="002E3BE0">
        <w:rPr>
          <w:b/>
        </w:rPr>
        <w:t>Annex:</w:t>
      </w:r>
      <w:r w:rsidRPr="002E3BE0">
        <w:t xml:space="preserve"> </w:t>
      </w:r>
      <w:r w:rsidRPr="002E3BE0">
        <w:tab/>
      </w:r>
      <w:r w:rsidR="004D2974" w:rsidRPr="002E3BE0">
        <w:t>1</w:t>
      </w:r>
    </w:p>
    <w:p w:rsidR="00264B75" w:rsidRPr="002E3BE0" w:rsidRDefault="00264B75" w:rsidP="00B54EC7">
      <w:pPr>
        <w:tabs>
          <w:tab w:val="left" w:pos="6237"/>
        </w:tabs>
        <w:spacing w:before="1320"/>
        <w:rPr>
          <w:b/>
          <w:bCs/>
          <w:sz w:val="18"/>
          <w:szCs w:val="18"/>
        </w:rPr>
      </w:pPr>
      <w:r w:rsidRPr="002E3BE0">
        <w:rPr>
          <w:b/>
          <w:bCs/>
          <w:sz w:val="18"/>
          <w:szCs w:val="18"/>
        </w:rPr>
        <w:t>Distribution:</w:t>
      </w:r>
    </w:p>
    <w:p w:rsidR="00264B75" w:rsidRPr="002E3BE0" w:rsidRDefault="00264B75" w:rsidP="004F0B3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2E3BE0">
        <w:rPr>
          <w:rFonts w:asciiTheme="minorHAnsi" w:hAnsiTheme="minorHAnsi" w:cstheme="minorHAnsi"/>
          <w:sz w:val="18"/>
          <w:szCs w:val="18"/>
        </w:rPr>
        <w:t>–</w:t>
      </w:r>
      <w:r w:rsidRPr="002E3BE0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Radiocommunication Study Group </w:t>
      </w:r>
      <w:r w:rsidR="004D2974" w:rsidRPr="002E3BE0">
        <w:rPr>
          <w:rFonts w:asciiTheme="minorHAnsi" w:hAnsiTheme="minorHAnsi" w:cstheme="minorHAnsi"/>
          <w:sz w:val="18"/>
          <w:szCs w:val="18"/>
        </w:rPr>
        <w:t>4</w:t>
      </w:r>
    </w:p>
    <w:p w:rsidR="00264B75" w:rsidRPr="002E3BE0" w:rsidRDefault="00264B75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2E3BE0">
        <w:rPr>
          <w:rFonts w:asciiTheme="minorHAnsi" w:hAnsiTheme="minorHAnsi" w:cstheme="minorHAnsi"/>
          <w:sz w:val="18"/>
          <w:szCs w:val="18"/>
        </w:rPr>
        <w:t>–</w:t>
      </w:r>
      <w:r w:rsidRPr="002E3BE0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4D2974" w:rsidRPr="002E3BE0">
        <w:rPr>
          <w:rFonts w:asciiTheme="minorHAnsi" w:hAnsiTheme="minorHAnsi" w:cstheme="minorHAnsi"/>
          <w:sz w:val="18"/>
          <w:szCs w:val="18"/>
        </w:rPr>
        <w:t>4</w:t>
      </w:r>
    </w:p>
    <w:p w:rsidR="007214AA" w:rsidRPr="002E3BE0" w:rsidRDefault="007214AA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2E3BE0">
        <w:rPr>
          <w:rFonts w:asciiTheme="minorHAnsi" w:hAnsiTheme="minorHAnsi" w:cstheme="minorHAnsi"/>
          <w:sz w:val="18"/>
          <w:szCs w:val="18"/>
        </w:rPr>
        <w:t>–</w:t>
      </w:r>
      <w:r w:rsidRPr="002E3BE0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264B75" w:rsidRPr="002E3BE0" w:rsidRDefault="00264B75" w:rsidP="0026006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2E3BE0">
        <w:rPr>
          <w:rFonts w:asciiTheme="minorHAnsi" w:hAnsiTheme="minorHAnsi" w:cstheme="minorHAnsi"/>
          <w:sz w:val="18"/>
          <w:szCs w:val="18"/>
        </w:rPr>
        <w:t>–</w:t>
      </w:r>
      <w:r w:rsidRPr="002E3BE0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</w:t>
      </w:r>
      <w:r w:rsidR="0026006F" w:rsidRPr="002E3BE0">
        <w:rPr>
          <w:rFonts w:asciiTheme="minorHAnsi" w:hAnsiTheme="minorHAnsi" w:cstheme="minorHAnsi"/>
          <w:sz w:val="18"/>
          <w:szCs w:val="18"/>
        </w:rPr>
        <w:t>s</w:t>
      </w:r>
    </w:p>
    <w:p w:rsidR="00264B75" w:rsidRPr="002E3BE0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2E3BE0">
        <w:rPr>
          <w:rFonts w:asciiTheme="minorHAnsi" w:hAnsiTheme="minorHAnsi" w:cstheme="minorHAnsi"/>
          <w:sz w:val="18"/>
          <w:szCs w:val="18"/>
        </w:rPr>
        <w:t>–</w:t>
      </w:r>
      <w:r w:rsidRPr="002E3BE0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2E3BE0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2E3BE0">
        <w:rPr>
          <w:rFonts w:asciiTheme="minorHAnsi" w:hAnsiTheme="minorHAnsi" w:cstheme="minorHAnsi"/>
          <w:sz w:val="18"/>
          <w:szCs w:val="18"/>
        </w:rPr>
        <w:t>–</w:t>
      </w:r>
      <w:r w:rsidRPr="002E3BE0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2E3BE0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2E3BE0">
        <w:rPr>
          <w:rFonts w:asciiTheme="minorHAnsi" w:hAnsiTheme="minorHAnsi" w:cstheme="minorHAnsi"/>
          <w:sz w:val="18"/>
          <w:szCs w:val="18"/>
        </w:rPr>
        <w:t>–</w:t>
      </w:r>
      <w:r w:rsidRPr="002E3BE0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64B75" w:rsidRPr="002E3BE0" w:rsidRDefault="00264B75" w:rsidP="004F0B3F">
      <w:pPr>
        <w:pStyle w:val="AnnexNotitle0"/>
        <w:spacing w:before="360"/>
        <w:rPr>
          <w:rFonts w:asciiTheme="minorHAnsi" w:hAnsiTheme="minorHAnsi" w:cstheme="minorHAnsi"/>
        </w:rPr>
      </w:pPr>
      <w:r w:rsidRPr="002E3BE0">
        <w:rPr>
          <w:rFonts w:asciiTheme="minorHAnsi" w:hAnsiTheme="minorHAnsi" w:cstheme="minorHAnsi"/>
        </w:rPr>
        <w:lastRenderedPageBreak/>
        <w:t>Annex</w:t>
      </w:r>
      <w:r w:rsidR="004F0B3F">
        <w:rPr>
          <w:rFonts w:asciiTheme="minorHAnsi" w:hAnsiTheme="minorHAnsi" w:cstheme="minorHAnsi"/>
        </w:rPr>
        <w:br/>
      </w:r>
      <w:r w:rsidR="004F0B3F">
        <w:rPr>
          <w:rFonts w:asciiTheme="minorHAnsi" w:hAnsiTheme="minorHAnsi" w:cstheme="minorHAnsi"/>
        </w:rPr>
        <w:br/>
      </w:r>
      <w:r w:rsidRPr="002E3BE0">
        <w:rPr>
          <w:rFonts w:asciiTheme="minorHAnsi" w:hAnsiTheme="minorHAnsi" w:cstheme="minorHAnsi"/>
        </w:rPr>
        <w:t xml:space="preserve">Titles of the approved </w:t>
      </w:r>
      <w:r w:rsidR="00577251" w:rsidRPr="002E3BE0">
        <w:rPr>
          <w:rFonts w:asciiTheme="minorHAnsi" w:hAnsiTheme="minorHAnsi" w:cstheme="minorHAnsi"/>
        </w:rPr>
        <w:t xml:space="preserve">ITU-R </w:t>
      </w:r>
      <w:r w:rsidRPr="002E3BE0">
        <w:rPr>
          <w:rFonts w:asciiTheme="minorHAnsi" w:hAnsiTheme="minorHAnsi" w:cstheme="minorHAnsi"/>
        </w:rPr>
        <w:t>Recommendations</w:t>
      </w:r>
    </w:p>
    <w:p w:rsidR="004D2974" w:rsidRPr="002E3BE0" w:rsidRDefault="004D2974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</w:rPr>
      </w:pPr>
      <w:r w:rsidRPr="002E3BE0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proofErr w:type="spellStart"/>
      <w:r w:rsidRPr="002E3BE0">
        <w:rPr>
          <w:rFonts w:asciiTheme="minorHAnsi" w:hAnsiTheme="minorHAnsi" w:cstheme="minorHAnsi"/>
          <w:szCs w:val="24"/>
          <w:u w:val="single"/>
        </w:rPr>
        <w:t>S.</w:t>
      </w:r>
      <w:r w:rsidR="00215811" w:rsidRPr="002E3BE0">
        <w:rPr>
          <w:rFonts w:asciiTheme="minorHAnsi" w:hAnsiTheme="minorHAnsi" w:cstheme="minorHAnsi"/>
          <w:szCs w:val="24"/>
          <w:u w:val="single"/>
        </w:rPr>
        <w:t>2131</w:t>
      </w:r>
      <w:proofErr w:type="spellEnd"/>
      <w:r w:rsidR="00215811" w:rsidRPr="002E3BE0">
        <w:rPr>
          <w:rFonts w:asciiTheme="minorHAnsi" w:hAnsiTheme="minorHAnsi" w:cstheme="minorHAnsi"/>
          <w:szCs w:val="24"/>
          <w:u w:val="single"/>
        </w:rPr>
        <w:t>-0</w:t>
      </w:r>
      <w:r w:rsidRPr="002E3BE0">
        <w:rPr>
          <w:rFonts w:asciiTheme="minorHAnsi" w:hAnsiTheme="minorHAnsi" w:cstheme="minorHAnsi"/>
          <w:szCs w:val="24"/>
        </w:rPr>
        <w:tab/>
        <w:t>Doc. 4/63(</w:t>
      </w:r>
      <w:proofErr w:type="spellStart"/>
      <w:r w:rsidRPr="002E3BE0">
        <w:rPr>
          <w:rFonts w:asciiTheme="minorHAnsi" w:hAnsiTheme="minorHAnsi" w:cstheme="minorHAnsi"/>
          <w:szCs w:val="24"/>
        </w:rPr>
        <w:t>Rev.1</w:t>
      </w:r>
      <w:proofErr w:type="spellEnd"/>
      <w:r w:rsidRPr="002E3BE0">
        <w:rPr>
          <w:rFonts w:asciiTheme="minorHAnsi" w:hAnsiTheme="minorHAnsi" w:cstheme="minorHAnsi"/>
          <w:szCs w:val="24"/>
        </w:rPr>
        <w:t>)</w:t>
      </w:r>
    </w:p>
    <w:p w:rsidR="004D2974" w:rsidRPr="002E3BE0" w:rsidRDefault="004D2974" w:rsidP="004D2974">
      <w:pPr>
        <w:pStyle w:val="Rectitle"/>
        <w:rPr>
          <w:rStyle w:val="RectitleChar"/>
          <w:rFonts w:asciiTheme="minorHAnsi" w:eastAsia="MS Mincho" w:hAnsiTheme="minorHAnsi" w:cstheme="minorHAnsi"/>
          <w:szCs w:val="28"/>
        </w:rPr>
      </w:pPr>
      <w:r w:rsidRPr="002E3BE0">
        <w:rPr>
          <w:rFonts w:asciiTheme="minorHAnsi" w:eastAsia="MS Mincho" w:hAnsiTheme="minorHAnsi" w:cstheme="minorHAnsi"/>
          <w:szCs w:val="28"/>
        </w:rPr>
        <w:t xml:space="preserve">Method for the determination of performance objectives for satellite hypothetical </w:t>
      </w:r>
      <w:r w:rsidRPr="002E3BE0">
        <w:rPr>
          <w:rFonts w:asciiTheme="minorHAnsi" w:eastAsia="MS Mincho" w:hAnsiTheme="minorHAnsi" w:cstheme="minorHAnsi"/>
          <w:szCs w:val="28"/>
          <w:lang w:val="en-GB"/>
        </w:rPr>
        <w:t>reference</w:t>
      </w:r>
      <w:r w:rsidRPr="002E3BE0">
        <w:rPr>
          <w:rFonts w:asciiTheme="minorHAnsi" w:eastAsia="MS Mincho" w:hAnsiTheme="minorHAnsi" w:cstheme="minorHAnsi"/>
          <w:szCs w:val="28"/>
        </w:rPr>
        <w:t xml:space="preserve"> digital paths using adaptive coding and modulation</w:t>
      </w:r>
    </w:p>
    <w:p w:rsidR="004D2974" w:rsidRPr="002E3BE0" w:rsidRDefault="004D2974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</w:rPr>
      </w:pPr>
      <w:r w:rsidRPr="002E3BE0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proofErr w:type="spellStart"/>
      <w:r w:rsidRPr="002E3BE0">
        <w:rPr>
          <w:rFonts w:asciiTheme="minorHAnsi" w:hAnsiTheme="minorHAnsi" w:cstheme="minorHAnsi"/>
          <w:szCs w:val="24"/>
          <w:u w:val="single"/>
        </w:rPr>
        <w:t>S.1782</w:t>
      </w:r>
      <w:proofErr w:type="spellEnd"/>
      <w:r w:rsidRPr="002E3BE0">
        <w:rPr>
          <w:rFonts w:asciiTheme="minorHAnsi" w:hAnsiTheme="minorHAnsi" w:cstheme="minorHAnsi"/>
          <w:szCs w:val="24"/>
          <w:u w:val="single"/>
        </w:rPr>
        <w:t>-</w:t>
      </w:r>
      <w:r w:rsidR="00215811" w:rsidRPr="002E3BE0">
        <w:rPr>
          <w:rFonts w:asciiTheme="minorHAnsi" w:hAnsiTheme="minorHAnsi" w:cstheme="minorHAnsi"/>
          <w:szCs w:val="24"/>
          <w:u w:val="single"/>
        </w:rPr>
        <w:t>1</w:t>
      </w:r>
      <w:r w:rsidRPr="002E3BE0">
        <w:rPr>
          <w:rFonts w:asciiTheme="minorHAnsi" w:hAnsiTheme="minorHAnsi" w:cstheme="minorHAnsi"/>
          <w:szCs w:val="24"/>
        </w:rPr>
        <w:tab/>
        <w:t>Doc. 4/68(</w:t>
      </w:r>
      <w:proofErr w:type="spellStart"/>
      <w:r w:rsidRPr="002E3BE0">
        <w:rPr>
          <w:rFonts w:asciiTheme="minorHAnsi" w:hAnsiTheme="minorHAnsi" w:cstheme="minorHAnsi"/>
          <w:szCs w:val="24"/>
        </w:rPr>
        <w:t>Rev.1</w:t>
      </w:r>
      <w:proofErr w:type="spellEnd"/>
      <w:r w:rsidRPr="002E3BE0">
        <w:rPr>
          <w:rFonts w:asciiTheme="minorHAnsi" w:hAnsiTheme="minorHAnsi" w:cstheme="minorHAnsi"/>
          <w:szCs w:val="24"/>
        </w:rPr>
        <w:t>)</w:t>
      </w:r>
    </w:p>
    <w:p w:rsidR="004D2974" w:rsidRPr="002E3BE0" w:rsidRDefault="00CB52D7">
      <w:pPr>
        <w:pStyle w:val="Rectitle"/>
        <w:rPr>
          <w:rFonts w:asciiTheme="minorHAnsi" w:hAnsiTheme="minorHAnsi" w:cstheme="minorHAnsi"/>
          <w:szCs w:val="28"/>
        </w:rPr>
      </w:pPr>
      <w:r w:rsidRPr="002E3BE0">
        <w:rPr>
          <w:rFonts w:asciiTheme="minorHAnsi" w:hAnsiTheme="minorHAnsi" w:cstheme="minorHAnsi"/>
          <w:bCs/>
          <w:szCs w:val="28"/>
        </w:rPr>
        <w:t>Guidelines on</w:t>
      </w:r>
      <w:r w:rsidR="004D2974" w:rsidRPr="002E3BE0">
        <w:rPr>
          <w:rFonts w:asciiTheme="minorHAnsi" w:hAnsiTheme="minorHAnsi" w:cstheme="minorHAnsi"/>
          <w:szCs w:val="28"/>
        </w:rPr>
        <w:t xml:space="preserve"> global broadband Internet access</w:t>
      </w:r>
      <w:r w:rsidR="004D2974" w:rsidRPr="002E3BE0">
        <w:rPr>
          <w:rFonts w:asciiTheme="minorHAnsi" w:hAnsiTheme="minorHAnsi" w:cstheme="minorHAnsi"/>
          <w:szCs w:val="28"/>
        </w:rPr>
        <w:br/>
        <w:t>by fixed-satellite service systems</w:t>
      </w:r>
    </w:p>
    <w:p w:rsidR="004D2974" w:rsidRDefault="004D2974" w:rsidP="004F0B3F">
      <w:pPr>
        <w:pStyle w:val="Normalaftertitle"/>
        <w:spacing w:before="100"/>
      </w:pPr>
    </w:p>
    <w:p w:rsidR="004F0B3F" w:rsidRPr="004F0B3F" w:rsidRDefault="004F0B3F" w:rsidP="004F0B3F">
      <w:pPr>
        <w:spacing w:before="100"/>
      </w:pPr>
    </w:p>
    <w:p w:rsidR="00D35AB9" w:rsidRPr="00041BAA" w:rsidRDefault="00264B75" w:rsidP="004F0B3F">
      <w:pPr>
        <w:pStyle w:val="Headingb"/>
        <w:keepNext w:val="0"/>
        <w:spacing w:before="100" w:after="120"/>
        <w:jc w:val="center"/>
        <w:rPr>
          <w:rFonts w:asciiTheme="majorBidi" w:hAnsiTheme="majorBidi" w:cstheme="majorBidi"/>
          <w:szCs w:val="24"/>
          <w:lang w:val="fr-CH"/>
        </w:rPr>
      </w:pPr>
      <w:bookmarkStart w:id="0" w:name="_GoBack"/>
      <w:bookmarkEnd w:id="0"/>
      <w:r w:rsidRPr="002E3BE0">
        <w:rPr>
          <w:rFonts w:asciiTheme="majorBidi" w:hAnsiTheme="majorBidi" w:cstheme="majorBidi"/>
          <w:b w:val="0"/>
          <w:bCs/>
        </w:rPr>
        <w:t>________________</w:t>
      </w:r>
    </w:p>
    <w:sectPr w:rsidR="00D35AB9" w:rsidRPr="00041BAA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9" w:rsidRPr="005E5EB3" w:rsidRDefault="006B7E89" w:rsidP="006B7E8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861822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F51D6C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CF08FB" w:rsidTr="00760495">
      <w:tc>
        <w:tcPr>
          <w:tcW w:w="4800" w:type="dxa"/>
          <w:noWrap/>
          <w:tcMar>
            <w:left w:w="0" w:type="dxa"/>
          </w:tcMar>
        </w:tcPr>
        <w:p w:rsidR="00CF08FB" w:rsidRDefault="00CF08FB" w:rsidP="00CF08FB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4FF417FA" wp14:editId="6248A810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CF08FB" w:rsidRDefault="00CF08FB" w:rsidP="00CF08FB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8644A47" wp14:editId="5A823ED0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08FB" w:rsidRPr="00D02EFB" w:rsidRDefault="00CF08FB" w:rsidP="00CF0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1BAA"/>
    <w:rsid w:val="00045A8D"/>
    <w:rsid w:val="0005167A"/>
    <w:rsid w:val="00054E5D"/>
    <w:rsid w:val="0007025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0C05"/>
    <w:rsid w:val="001F2170"/>
    <w:rsid w:val="001F3948"/>
    <w:rsid w:val="001F5A49"/>
    <w:rsid w:val="00201097"/>
    <w:rsid w:val="00201B6E"/>
    <w:rsid w:val="00215811"/>
    <w:rsid w:val="002302B3"/>
    <w:rsid w:val="00230C66"/>
    <w:rsid w:val="00235A29"/>
    <w:rsid w:val="00241526"/>
    <w:rsid w:val="002443A2"/>
    <w:rsid w:val="0026006F"/>
    <w:rsid w:val="00264B75"/>
    <w:rsid w:val="00266E74"/>
    <w:rsid w:val="00283C3B"/>
    <w:rsid w:val="002861E6"/>
    <w:rsid w:val="00287D18"/>
    <w:rsid w:val="002A2618"/>
    <w:rsid w:val="002A5DD7"/>
    <w:rsid w:val="002A6189"/>
    <w:rsid w:val="002B0CAC"/>
    <w:rsid w:val="002D5A15"/>
    <w:rsid w:val="002D5BDD"/>
    <w:rsid w:val="002E3BE0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770D"/>
    <w:rsid w:val="00380A6E"/>
    <w:rsid w:val="00382873"/>
    <w:rsid w:val="003836D4"/>
    <w:rsid w:val="003A1F49"/>
    <w:rsid w:val="003A5D52"/>
    <w:rsid w:val="003B2BDA"/>
    <w:rsid w:val="003B2FD0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71BD"/>
    <w:rsid w:val="004A4496"/>
    <w:rsid w:val="004B11AB"/>
    <w:rsid w:val="004B7C9A"/>
    <w:rsid w:val="004C6779"/>
    <w:rsid w:val="004D2974"/>
    <w:rsid w:val="004D733B"/>
    <w:rsid w:val="004E0DC4"/>
    <w:rsid w:val="004E0FB5"/>
    <w:rsid w:val="004E43BB"/>
    <w:rsid w:val="004E460D"/>
    <w:rsid w:val="004F0B3F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018B"/>
    <w:rsid w:val="00662581"/>
    <w:rsid w:val="006829F3"/>
    <w:rsid w:val="006A518B"/>
    <w:rsid w:val="006A7CBD"/>
    <w:rsid w:val="006B0590"/>
    <w:rsid w:val="006B49DA"/>
    <w:rsid w:val="006B7E89"/>
    <w:rsid w:val="006C53F8"/>
    <w:rsid w:val="006C7CDE"/>
    <w:rsid w:val="007214AA"/>
    <w:rsid w:val="007234B1"/>
    <w:rsid w:val="00723D08"/>
    <w:rsid w:val="00725FDA"/>
    <w:rsid w:val="00727816"/>
    <w:rsid w:val="00730B9A"/>
    <w:rsid w:val="007313C0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2A7B"/>
    <w:rsid w:val="007E3F13"/>
    <w:rsid w:val="007F751A"/>
    <w:rsid w:val="00800012"/>
    <w:rsid w:val="0080261F"/>
    <w:rsid w:val="00806160"/>
    <w:rsid w:val="008143A4"/>
    <w:rsid w:val="0081513E"/>
    <w:rsid w:val="00821C72"/>
    <w:rsid w:val="00854131"/>
    <w:rsid w:val="0085652D"/>
    <w:rsid w:val="00861822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1A50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6113"/>
    <w:rsid w:val="009F783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4EC7"/>
    <w:rsid w:val="00B579B0"/>
    <w:rsid w:val="00B57D11"/>
    <w:rsid w:val="00B649D7"/>
    <w:rsid w:val="00B81C2F"/>
    <w:rsid w:val="00B865CE"/>
    <w:rsid w:val="00B90743"/>
    <w:rsid w:val="00B90C45"/>
    <w:rsid w:val="00B933BE"/>
    <w:rsid w:val="00BA5287"/>
    <w:rsid w:val="00BD6738"/>
    <w:rsid w:val="00BD7CB4"/>
    <w:rsid w:val="00BD7E5E"/>
    <w:rsid w:val="00BE63DB"/>
    <w:rsid w:val="00BE6574"/>
    <w:rsid w:val="00C07319"/>
    <w:rsid w:val="00C16FD2"/>
    <w:rsid w:val="00C4395E"/>
    <w:rsid w:val="00C47FFD"/>
    <w:rsid w:val="00C51E92"/>
    <w:rsid w:val="00C53DA0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2D7"/>
    <w:rsid w:val="00CD4E44"/>
    <w:rsid w:val="00CE076A"/>
    <w:rsid w:val="00CE463D"/>
    <w:rsid w:val="00CF08FB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75C5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1D6C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,"/>
  <w15:docId w15:val="{6339E594-FE1E-437B-AE53-0BF67EE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F08FB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7E7B-D509-457E-93C2-965916B4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2069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 La Rosa Trivino, Maria Dolores</cp:lastModifiedBy>
  <cp:revision>5</cp:revision>
  <cp:lastPrinted>2019-09-23T06:41:00Z</cp:lastPrinted>
  <dcterms:created xsi:type="dcterms:W3CDTF">2019-09-18T06:21:00Z</dcterms:created>
  <dcterms:modified xsi:type="dcterms:W3CDTF">2019-09-23T06:43:00Z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