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C57634">
            <w:pPr>
              <w:spacing w:before="0"/>
              <w:jc w:val="left"/>
              <w:rPr>
                <w:b/>
                <w:bCs/>
                <w:sz w:val="28"/>
                <w:szCs w:val="28"/>
                <w:lang w:val="fr-FR"/>
              </w:rPr>
            </w:pPr>
            <w:proofErr w:type="spellStart"/>
            <w:r w:rsidRPr="00CE22BA">
              <w:rPr>
                <w:b/>
                <w:bCs/>
                <w:lang w:val="fr-FR"/>
              </w:rPr>
              <w:t>CACE</w:t>
            </w:r>
            <w:proofErr w:type="spellEnd"/>
            <w:r w:rsidRPr="00CE22BA">
              <w:rPr>
                <w:b/>
                <w:bCs/>
                <w:lang w:val="fr-FR"/>
              </w:rPr>
              <w:t>/</w:t>
            </w:r>
            <w:r w:rsidR="00C57634">
              <w:rPr>
                <w:b/>
                <w:bCs/>
                <w:lang w:val="fr-FR"/>
              </w:rPr>
              <w:t>901</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9-06-14T00:00:00Z">
                  <w:dateFormat w:val="d MMMM yyyy"/>
                  <w:lid w:val="fr-FR"/>
                  <w:storeMappedDataAs w:val="date"/>
                  <w:calendar w:val="gregorian"/>
                </w:date>
              </w:sdtPr>
              <w:sdtEndPr/>
              <w:sdtContent>
                <w:r w:rsidR="00C624B1">
                  <w:rPr>
                    <w:rFonts w:cs="Arial"/>
                    <w:szCs w:val="24"/>
                    <w:lang w:val="fr-FR"/>
                  </w:rPr>
                  <w:t>14 juin 2019</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8445CD" w:rsidTr="004228FA">
        <w:trPr>
          <w:jc w:val="center"/>
        </w:trPr>
        <w:tc>
          <w:tcPr>
            <w:tcW w:w="9889" w:type="dxa"/>
            <w:gridSpan w:val="3"/>
            <w:shd w:val="clear" w:color="auto" w:fill="auto"/>
          </w:tcPr>
          <w:p w:rsidR="00E53DCE" w:rsidRPr="00CE22BA" w:rsidRDefault="00EE1A57">
            <w:pPr>
              <w:spacing w:before="0"/>
              <w:jc w:val="left"/>
              <w:rPr>
                <w:b/>
                <w:bCs/>
                <w:szCs w:val="24"/>
                <w:lang w:val="fr-FR"/>
              </w:rPr>
            </w:pPr>
            <w:r w:rsidRPr="00CE22BA">
              <w:rPr>
                <w:b/>
                <w:bCs/>
                <w:szCs w:val="24"/>
                <w:lang w:val="fr-FR"/>
              </w:rPr>
              <w:t xml:space="preserve">Aux Administrations des </w:t>
            </w:r>
            <w:proofErr w:type="spellStart"/>
            <w:r w:rsidRPr="00CE22BA">
              <w:rPr>
                <w:b/>
                <w:bCs/>
                <w:szCs w:val="24"/>
                <w:lang w:val="fr-FR"/>
              </w:rPr>
              <w:t>Etats</w:t>
            </w:r>
            <w:proofErr w:type="spellEnd"/>
            <w:r w:rsidRPr="00CE22BA">
              <w:rPr>
                <w:b/>
                <w:bCs/>
                <w:szCs w:val="24"/>
                <w:lang w:val="fr-FR"/>
              </w:rPr>
              <w:t xml:space="preserve"> Membres de l'UIT</w:t>
            </w:r>
            <w:r w:rsidR="00A40690" w:rsidRPr="00CE22BA">
              <w:rPr>
                <w:b/>
                <w:bCs/>
                <w:szCs w:val="24"/>
                <w:lang w:val="fr-FR"/>
              </w:rPr>
              <w:t>, aux Membres du Secteur des radiocommunications, aux Associés de l'UIT-R participant aux travaux de la Commission d'études </w:t>
            </w:r>
            <w:r w:rsidR="00C57634">
              <w:rPr>
                <w:b/>
                <w:bCs/>
                <w:szCs w:val="24"/>
                <w:lang w:val="fr-FR"/>
              </w:rPr>
              <w:t>7</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8445CD"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8445CD"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8445CD"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C57634">
            <w:pPr>
              <w:tabs>
                <w:tab w:val="clear" w:pos="1588"/>
                <w:tab w:val="left" w:pos="1560"/>
              </w:tabs>
              <w:spacing w:before="0"/>
              <w:rPr>
                <w:b/>
                <w:bCs/>
                <w:lang w:val="fr-FR"/>
              </w:rPr>
            </w:pPr>
            <w:r w:rsidRPr="00CE22BA">
              <w:rPr>
                <w:b/>
                <w:bCs/>
                <w:lang w:val="fr-FR"/>
              </w:rPr>
              <w:t xml:space="preserve">Commission d'études </w:t>
            </w:r>
            <w:r w:rsidR="00C57634">
              <w:rPr>
                <w:b/>
                <w:bCs/>
                <w:lang w:val="fr-FR"/>
              </w:rPr>
              <w:t>7</w:t>
            </w:r>
            <w:r w:rsidRPr="00CE22BA">
              <w:rPr>
                <w:b/>
                <w:bCs/>
                <w:lang w:val="fr-FR"/>
              </w:rPr>
              <w:t xml:space="preserve"> des radiocommunications (</w:t>
            </w:r>
            <w:r w:rsidR="00C57634" w:rsidRPr="00C57634">
              <w:rPr>
                <w:b/>
                <w:bCs/>
                <w:lang w:val="fr-FR"/>
              </w:rPr>
              <w:t>Services scientifiques</w:t>
            </w:r>
            <w:r w:rsidRPr="00CE22BA">
              <w:rPr>
                <w:b/>
                <w:bCs/>
                <w:lang w:val="fr-FR"/>
              </w:rPr>
              <w:t>)</w:t>
            </w:r>
          </w:p>
          <w:p w:rsidR="001B2948" w:rsidRPr="00CE22BA" w:rsidRDefault="00A40690">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1B2948" w:rsidRPr="00CE22BA">
              <w:rPr>
                <w:b/>
                <w:bCs/>
                <w:lang w:val="fr-FR"/>
              </w:rPr>
              <w:t>Proposition d'adoption de </w:t>
            </w:r>
            <w:r w:rsidR="00C57634">
              <w:rPr>
                <w:b/>
                <w:bCs/>
                <w:lang w:val="fr-FR"/>
              </w:rPr>
              <w:t>4</w:t>
            </w:r>
            <w:r w:rsidR="001B2948" w:rsidRPr="00CE22BA">
              <w:rPr>
                <w:b/>
                <w:bCs/>
                <w:lang w:val="fr-FR"/>
              </w:rPr>
              <w:t xml:space="preserve"> projets de Recommandation UIT-R révisée et approbation simultanée par correspondance de ces projets, conformément au § </w:t>
            </w:r>
            <w:proofErr w:type="spellStart"/>
            <w:r w:rsidR="001B2948" w:rsidRPr="00CE22BA">
              <w:rPr>
                <w:rFonts w:cstheme="minorHAnsi"/>
                <w:b/>
                <w:szCs w:val="24"/>
                <w:lang w:val="fr-FR"/>
              </w:rPr>
              <w:t>A2.6.2.4</w:t>
            </w:r>
            <w:proofErr w:type="spellEnd"/>
            <w:r w:rsidR="001B2948" w:rsidRPr="00CE22BA">
              <w:rPr>
                <w:rFonts w:cstheme="minorHAnsi"/>
                <w:b/>
                <w:szCs w:val="24"/>
                <w:lang w:val="fr-FR"/>
              </w:rPr>
              <w:t xml:space="preserve"> </w:t>
            </w:r>
            <w:r w:rsidR="001B2948" w:rsidRPr="00CE22BA">
              <w:rPr>
                <w:b/>
                <w:bCs/>
                <w:lang w:val="fr-FR"/>
              </w:rPr>
              <w:t>de la Résolution UIT-R 1-7 (Procédure d'adoption et d'approbation simultanées par correspondance)</w:t>
            </w:r>
          </w:p>
          <w:p w:rsidR="00A40690" w:rsidRPr="00CE22BA" w:rsidRDefault="001B2948">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t xml:space="preserve">Proposition de suppression de </w:t>
            </w:r>
            <w:r w:rsidR="00C57634">
              <w:rPr>
                <w:b/>
                <w:bCs/>
                <w:lang w:val="fr-FR"/>
              </w:rPr>
              <w:t>2</w:t>
            </w:r>
            <w:r w:rsidRPr="00CE22BA">
              <w:rPr>
                <w:b/>
                <w:bCs/>
                <w:lang w:val="fr-FR"/>
              </w:rPr>
              <w:t xml:space="preserve"> Recommandations UIT-R</w:t>
            </w:r>
          </w:p>
        </w:tc>
      </w:tr>
      <w:tr w:rsidR="00E53DCE" w:rsidRPr="008445CD"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8445CD"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8445CD"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8445CD"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8445CD">
      <w:pPr>
        <w:spacing w:before="240"/>
        <w:rPr>
          <w:lang w:val="fr-FR"/>
        </w:rPr>
      </w:pPr>
      <w:proofErr w:type="spellStart"/>
      <w:r w:rsidRPr="00CE22BA">
        <w:rPr>
          <w:lang w:val="fr-FR"/>
        </w:rPr>
        <w:t>A</w:t>
      </w:r>
      <w:proofErr w:type="spellEnd"/>
      <w:r w:rsidRPr="00CE22BA">
        <w:rPr>
          <w:lang w:val="fr-FR"/>
        </w:rPr>
        <w:t xml:space="preserve"> sa réunion tenue </w:t>
      </w:r>
      <w:r w:rsidR="008445CD">
        <w:rPr>
          <w:lang w:val="fr-FR"/>
        </w:rPr>
        <w:t>le</w:t>
      </w:r>
      <w:bookmarkStart w:id="0" w:name="_GoBack"/>
      <w:bookmarkEnd w:id="0"/>
      <w:r w:rsidRPr="00CE22BA">
        <w:rPr>
          <w:lang w:val="fr-FR"/>
        </w:rPr>
        <w:t xml:space="preserve"> </w:t>
      </w:r>
      <w:r w:rsidR="00C57634">
        <w:rPr>
          <w:lang w:val="fr-FR"/>
        </w:rPr>
        <w:t>5</w:t>
      </w:r>
      <w:r w:rsidRPr="00CE22BA">
        <w:rPr>
          <w:lang w:val="fr-FR"/>
        </w:rPr>
        <w:t xml:space="preserve"> </w:t>
      </w:r>
      <w:r w:rsidR="00C57634">
        <w:rPr>
          <w:lang w:val="fr-FR"/>
        </w:rPr>
        <w:t>juin</w:t>
      </w:r>
      <w:r w:rsidRPr="00CE22BA">
        <w:rPr>
          <w:lang w:val="fr-FR"/>
        </w:rPr>
        <w:t xml:space="preserve"> 201</w:t>
      </w:r>
      <w:r w:rsidR="00C57634">
        <w:rPr>
          <w:lang w:val="fr-FR"/>
        </w:rPr>
        <w:t>9</w:t>
      </w:r>
      <w:r w:rsidRPr="00CE22BA">
        <w:rPr>
          <w:lang w:val="fr-FR"/>
        </w:rPr>
        <w:t xml:space="preserve">, la Commission d'études </w:t>
      </w:r>
      <w:r w:rsidR="00C57634">
        <w:rPr>
          <w:lang w:val="fr-FR"/>
        </w:rPr>
        <w:t>7</w:t>
      </w:r>
      <w:r w:rsidRPr="00CE22BA">
        <w:rPr>
          <w:lang w:val="fr-FR"/>
        </w:rPr>
        <w:t xml:space="preserve"> des radiocommunications a décidé de demander l'adoption par correspondance de </w:t>
      </w:r>
      <w:r w:rsidR="00DC06B4">
        <w:rPr>
          <w:lang w:val="fr-FR"/>
        </w:rPr>
        <w:t>4</w:t>
      </w:r>
      <w:r w:rsidRPr="00CE22BA">
        <w:rPr>
          <w:lang w:val="fr-FR"/>
        </w:rPr>
        <w:t xml:space="preserve"> projets de Recommandation UIT-R révisée (§ </w:t>
      </w:r>
      <w:proofErr w:type="spellStart"/>
      <w:r w:rsidRPr="00CE22BA">
        <w:rPr>
          <w:szCs w:val="24"/>
          <w:lang w:val="fr-FR"/>
        </w:rPr>
        <w:t>A2.6.2</w:t>
      </w:r>
      <w:proofErr w:type="spellEnd"/>
      <w:r w:rsidRPr="00CE22BA">
        <w:rPr>
          <w:szCs w:val="24"/>
          <w:lang w:val="fr-FR"/>
        </w:rPr>
        <w:t> </w:t>
      </w:r>
      <w:r w:rsidRPr="00CE22BA">
        <w:rPr>
          <w:lang w:val="fr-FR"/>
        </w:rPr>
        <w:t>de la Résolution UIT-R 1-7) et a décidé en outre d'appliquer la procédure d'adoption et d'approbation simultanées par correspondance (</w:t>
      </w:r>
      <w:proofErr w:type="spellStart"/>
      <w:r w:rsidRPr="00CE22BA">
        <w:rPr>
          <w:lang w:val="fr-FR"/>
        </w:rPr>
        <w:t>PAAS</w:t>
      </w:r>
      <w:proofErr w:type="spellEnd"/>
      <w:r w:rsidRPr="00CE22BA">
        <w:rPr>
          <w:lang w:val="fr-FR"/>
        </w:rPr>
        <w:t>), conformément au § </w:t>
      </w:r>
      <w:proofErr w:type="spellStart"/>
      <w:r w:rsidRPr="00CE22BA">
        <w:rPr>
          <w:szCs w:val="24"/>
          <w:lang w:val="fr-FR"/>
        </w:rPr>
        <w:t>A2.6.2.4</w:t>
      </w:r>
      <w:proofErr w:type="spellEnd"/>
      <w:r w:rsidRPr="00CE22BA">
        <w:rPr>
          <w:szCs w:val="24"/>
          <w:lang w:val="fr-FR"/>
        </w:rPr>
        <w:t> </w:t>
      </w:r>
      <w:r w:rsidRPr="00CE22BA">
        <w:rPr>
          <w:lang w:val="fr-FR"/>
        </w:rPr>
        <w:t>de la Résolution UIT-R 1-7. Les titres et résumés des projets de Recommandation figurent dans l'An</w:t>
      </w:r>
      <w:r w:rsidR="009101B0">
        <w:rPr>
          <w:lang w:val="fr-FR"/>
        </w:rPr>
        <w:t>nexe</w:t>
      </w:r>
      <w:r w:rsidR="00485B89">
        <w:rPr>
          <w:lang w:val="fr-FR"/>
        </w:rPr>
        <w:t> </w:t>
      </w:r>
      <w:r w:rsidR="00EB4520">
        <w:rPr>
          <w:lang w:val="fr-FR"/>
        </w:rPr>
        <w:t xml:space="preserve">1.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pPr>
        <w:rPr>
          <w:lang w:val="fr-FR"/>
        </w:rPr>
      </w:pPr>
      <w:r w:rsidRPr="00CE22BA">
        <w:rPr>
          <w:lang w:val="fr-FR"/>
        </w:rPr>
        <w:t>La période d'examen durera deux mois, jusqu</w:t>
      </w:r>
      <w:r>
        <w:rPr>
          <w:lang w:val="fr-FR"/>
        </w:rPr>
        <w:t>'</w:t>
      </w:r>
      <w:r w:rsidRPr="00CE22BA">
        <w:rPr>
          <w:lang w:val="fr-FR"/>
        </w:rPr>
        <w:t xml:space="preserve">au </w:t>
      </w:r>
      <w:r w:rsidR="00F55E30">
        <w:rPr>
          <w:u w:val="single"/>
          <w:lang w:val="fr-FR"/>
        </w:rPr>
        <w:t>14</w:t>
      </w:r>
      <w:r w:rsidRPr="00CE22BA">
        <w:rPr>
          <w:u w:val="single"/>
          <w:lang w:val="fr-FR"/>
        </w:rPr>
        <w:t xml:space="preserve"> </w:t>
      </w:r>
      <w:r w:rsidR="00F55E30">
        <w:rPr>
          <w:u w:val="single"/>
          <w:lang w:val="fr-FR"/>
        </w:rPr>
        <w:t>août</w:t>
      </w:r>
      <w:r w:rsidRPr="00CE22BA">
        <w:rPr>
          <w:u w:val="single"/>
          <w:lang w:val="fr-FR"/>
        </w:rPr>
        <w:t xml:space="preserve"> 201</w:t>
      </w:r>
      <w:r w:rsidR="00F55E30">
        <w:rPr>
          <w:u w:val="single"/>
          <w:lang w:val="fr-FR"/>
        </w:rPr>
        <w:t>9</w:t>
      </w:r>
      <w:r w:rsidRPr="00CE22BA">
        <w:rPr>
          <w:lang w:val="fr-FR"/>
        </w:rPr>
        <w:t xml:space="preserve">. Si, au cours de cette période, aucun Etat Membre ne soulève d'objection, les projets de Recommandation seront considérés comme adoptés par la Commission d'études </w:t>
      </w:r>
      <w:r w:rsidR="00F55E30">
        <w:rPr>
          <w:lang w:val="fr-FR"/>
        </w:rPr>
        <w:t>7</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sidR="00D9101C">
        <w:rPr>
          <w:lang w:val="fr-FR"/>
        </w:rPr>
        <w:t>'adoption d</w:t>
      </w:r>
      <w:r w:rsidRPr="00CE22BA">
        <w:rPr>
          <w:lang w:val="fr-FR"/>
        </w:rPr>
        <w:t>es projets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Default="00EB4520">
      <w:pPr>
        <w:rPr>
          <w:lang w:val="fr-FR"/>
        </w:rPr>
      </w:pPr>
      <w:r>
        <w:rPr>
          <w:lang w:val="fr-FR"/>
        </w:rPr>
        <w:t xml:space="preserve">En outre, </w:t>
      </w:r>
      <w:r w:rsidR="001B2948" w:rsidRPr="00CE22BA">
        <w:rPr>
          <w:lang w:val="fr-FR"/>
        </w:rPr>
        <w:t xml:space="preserve">la Commission d'études a proposé la suppression de </w:t>
      </w:r>
      <w:r w:rsidR="00F55E30">
        <w:rPr>
          <w:lang w:val="fr-FR"/>
        </w:rPr>
        <w:t>2</w:t>
      </w:r>
      <w:r w:rsidR="001B2948" w:rsidRPr="00CE22BA">
        <w:rPr>
          <w:lang w:val="fr-FR"/>
        </w:rPr>
        <w:t xml:space="preserve"> Recommandations dont la liste est donnée dans l'Annexe 2. Un Etat Membre qui soulève une objection au sujet de la suppression d'un</w:t>
      </w:r>
      <w:r w:rsidR="009101B0">
        <w:rPr>
          <w:lang w:val="fr-FR"/>
        </w:rPr>
        <w:t>e</w:t>
      </w:r>
      <w:r w:rsidR="001B2948" w:rsidRPr="00CE22BA">
        <w:rPr>
          <w:lang w:val="fr-FR"/>
        </w:rPr>
        <w:t xml:space="preserve"> Recommandation est prié d'informer le Directeur et le Président de la Commission d'études des raisons de cette objection.</w:t>
      </w:r>
    </w:p>
    <w:p w:rsidR="000E2B65" w:rsidRPr="00CE22BA" w:rsidRDefault="000E2B65">
      <w:pPr>
        <w:rPr>
          <w:lang w:val="fr-FR"/>
        </w:rPr>
      </w:pPr>
      <w:r w:rsidRPr="00CE22BA">
        <w:rPr>
          <w:lang w:val="fr-FR"/>
        </w:rPr>
        <w:t>La période d'examen durera deux mois, jusqu</w:t>
      </w:r>
      <w:r>
        <w:rPr>
          <w:lang w:val="fr-FR"/>
        </w:rPr>
        <w:t>'</w:t>
      </w:r>
      <w:r w:rsidRPr="00CE22BA">
        <w:rPr>
          <w:lang w:val="fr-FR"/>
        </w:rPr>
        <w:t xml:space="preserve">au </w:t>
      </w:r>
      <w:r w:rsidR="00F55E30">
        <w:rPr>
          <w:u w:val="single"/>
          <w:lang w:val="fr-FR"/>
        </w:rPr>
        <w:t>14</w:t>
      </w:r>
      <w:r w:rsidRPr="00CE22BA">
        <w:rPr>
          <w:u w:val="single"/>
          <w:lang w:val="fr-FR"/>
        </w:rPr>
        <w:t xml:space="preserve"> </w:t>
      </w:r>
      <w:r w:rsidR="00F55E30">
        <w:rPr>
          <w:u w:val="single"/>
          <w:lang w:val="fr-FR"/>
        </w:rPr>
        <w:t>août</w:t>
      </w:r>
      <w:r w:rsidRPr="00CE22BA">
        <w:rPr>
          <w:u w:val="single"/>
          <w:lang w:val="fr-FR"/>
        </w:rPr>
        <w:t xml:space="preserve"> 201</w:t>
      </w:r>
      <w:r w:rsidR="00F55E30">
        <w:rPr>
          <w:u w:val="single"/>
          <w:lang w:val="fr-FR"/>
        </w:rPr>
        <w:t>9</w:t>
      </w:r>
      <w:r w:rsidRPr="00CE22BA">
        <w:rPr>
          <w:lang w:val="fr-FR"/>
        </w:rPr>
        <w:t>. Si, au cours de cette période, aucun Etat Membre ne soulève d'objection</w:t>
      </w:r>
      <w:r>
        <w:rPr>
          <w:lang w:val="fr-FR"/>
        </w:rPr>
        <w:t xml:space="preserve"> aux suppressions proposées, les </w:t>
      </w:r>
      <w:r w:rsidRPr="00CE22BA">
        <w:rPr>
          <w:lang w:val="fr-FR"/>
        </w:rPr>
        <w:t>Recommandation</w:t>
      </w:r>
      <w:r>
        <w:rPr>
          <w:lang w:val="fr-FR"/>
        </w:rPr>
        <w:t>s</w:t>
      </w:r>
      <w:r w:rsidRPr="00CE22BA">
        <w:rPr>
          <w:lang w:val="fr-FR"/>
        </w:rPr>
        <w:t xml:space="preserve"> s</w:t>
      </w:r>
      <w:r>
        <w:rPr>
          <w:lang w:val="fr-FR"/>
        </w:rPr>
        <w:t>o</w:t>
      </w:r>
      <w:r w:rsidRPr="00CE22BA">
        <w:rPr>
          <w:lang w:val="fr-FR"/>
        </w:rPr>
        <w:t>nt considéré</w:t>
      </w:r>
      <w:r w:rsidR="008D3236">
        <w:rPr>
          <w:lang w:val="fr-FR"/>
        </w:rPr>
        <w:t>e</w:t>
      </w:r>
      <w:r w:rsidRPr="00CE22BA">
        <w:rPr>
          <w:lang w:val="fr-FR"/>
        </w:rPr>
        <w:t xml:space="preserve">s comme </w:t>
      </w:r>
      <w:r>
        <w:rPr>
          <w:lang w:val="fr-FR"/>
        </w:rPr>
        <w:t>supprimée</w:t>
      </w:r>
      <w:r w:rsidRPr="00CE22BA">
        <w:rPr>
          <w:lang w:val="fr-FR"/>
        </w:rPr>
        <w:t>s.</w:t>
      </w:r>
    </w:p>
    <w:p w:rsidR="001B2948" w:rsidRPr="00CE22BA" w:rsidRDefault="001B2948" w:rsidP="004066FF">
      <w:pPr>
        <w:keepNext/>
        <w:rPr>
          <w:lang w:val="fr-FR"/>
        </w:rPr>
      </w:pPr>
      <w:r w:rsidRPr="00CE22BA">
        <w:rPr>
          <w:lang w:val="fr-FR"/>
        </w:rPr>
        <w:lastRenderedPageBreak/>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approuvées seront publiées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1B2948" w:rsidRPr="00CE22BA" w:rsidRDefault="001B2948" w:rsidP="00485B89">
      <w:pPr>
        <w:spacing w:before="120"/>
        <w:rPr>
          <w:lang w:val="fr-FR"/>
        </w:rPr>
      </w:pPr>
      <w:r w:rsidRPr="00CE22BA">
        <w:rPr>
          <w:lang w:val="fr-FR"/>
        </w:rPr>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w:t>
        </w:r>
        <w:proofErr w:type="spellStart"/>
        <w:r w:rsidRPr="00CE22BA">
          <w:rPr>
            <w:rStyle w:val="Hyperlink"/>
            <w:szCs w:val="24"/>
            <w:lang w:val="fr-FR"/>
          </w:rPr>
          <w:t>ITU-T</w:t>
        </w:r>
        <w:proofErr w:type="spellEnd"/>
        <w:r w:rsidRPr="00CE22BA">
          <w:rPr>
            <w:rStyle w:val="Hyperlink"/>
            <w:szCs w:val="24"/>
            <w:lang w:val="fr-FR"/>
          </w:rPr>
          <w: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2569F7" w:rsidRPr="00CE22BA" w:rsidRDefault="00DD0C34" w:rsidP="004066FF">
      <w:pPr>
        <w:spacing w:before="1920" w:line="240" w:lineRule="auto"/>
        <w:jc w:val="left"/>
        <w:rPr>
          <w:szCs w:val="24"/>
          <w:lang w:val="fr-FR"/>
        </w:rPr>
      </w:pPr>
      <w:r w:rsidRPr="00DD0C34">
        <w:rPr>
          <w:szCs w:val="24"/>
          <w:lang w:val="fr-CH"/>
        </w:rPr>
        <w:t xml:space="preserve">Mario </w:t>
      </w:r>
      <w:proofErr w:type="spellStart"/>
      <w:r w:rsidRPr="00DD0C34">
        <w:rPr>
          <w:szCs w:val="24"/>
          <w:lang w:val="fr-CH"/>
        </w:rPr>
        <w:t>Maniewicz</w:t>
      </w:r>
      <w:proofErr w:type="spellEnd"/>
      <w:r w:rsidR="00E53DCE" w:rsidRPr="00CE22BA">
        <w:rPr>
          <w:szCs w:val="24"/>
          <w:lang w:val="fr-FR"/>
        </w:rPr>
        <w:br/>
        <w:t xml:space="preserve">Directeur </w:t>
      </w:r>
    </w:p>
    <w:p w:rsidR="001B2948" w:rsidRPr="00CE22BA" w:rsidRDefault="001B2948">
      <w:pPr>
        <w:spacing w:before="2040"/>
        <w:rPr>
          <w:bCs/>
          <w:lang w:val="fr-FR"/>
        </w:rPr>
      </w:pPr>
      <w:r w:rsidRPr="00CE22BA">
        <w:rPr>
          <w:b/>
          <w:bCs/>
          <w:lang w:val="fr-FR"/>
        </w:rPr>
        <w:t>Annexe 1:</w:t>
      </w:r>
      <w:r w:rsidRPr="00CE22BA">
        <w:rPr>
          <w:b/>
          <w:bCs/>
          <w:lang w:val="fr-FR"/>
        </w:rPr>
        <w:tab/>
      </w:r>
      <w:r w:rsidR="00CE22BA">
        <w:rPr>
          <w:bCs/>
          <w:lang w:val="fr-FR"/>
        </w:rPr>
        <w:t xml:space="preserve">Titres et résumés </w:t>
      </w:r>
      <w:r w:rsidRPr="00CE22BA">
        <w:rPr>
          <w:bCs/>
          <w:lang w:val="fr-FR"/>
        </w:rPr>
        <w:t>des projets de Recommandation</w:t>
      </w:r>
    </w:p>
    <w:p w:rsidR="001B2948" w:rsidRPr="00CE22BA" w:rsidRDefault="001B2948" w:rsidP="007611A1">
      <w:pPr>
        <w:spacing w:before="120"/>
        <w:rPr>
          <w:bCs/>
          <w:lang w:val="fr-FR"/>
        </w:rPr>
      </w:pPr>
      <w:r w:rsidRPr="00CE22BA">
        <w:rPr>
          <w:b/>
          <w:bCs/>
          <w:lang w:val="fr-FR"/>
        </w:rPr>
        <w:t>Annexe 2:</w:t>
      </w:r>
      <w:r w:rsidRPr="00CE22BA">
        <w:rPr>
          <w:b/>
          <w:bCs/>
          <w:lang w:val="fr-FR"/>
        </w:rPr>
        <w:tab/>
      </w:r>
      <w:r w:rsidRPr="00CE22BA">
        <w:rPr>
          <w:bCs/>
          <w:lang w:val="fr-FR"/>
        </w:rPr>
        <w:t>Recommandations dont la suppression est proposée</w:t>
      </w:r>
    </w:p>
    <w:p w:rsidR="001B2948" w:rsidRPr="004066FF" w:rsidRDefault="001B2948" w:rsidP="007611A1">
      <w:pPr>
        <w:spacing w:before="1080" w:line="240" w:lineRule="auto"/>
        <w:rPr>
          <w:lang w:val="fr-CH"/>
        </w:rPr>
      </w:pPr>
      <w:r w:rsidRPr="00CE22BA">
        <w:rPr>
          <w:b/>
          <w:bCs/>
          <w:lang w:val="fr-FR"/>
        </w:rPr>
        <w:t>Documents:</w:t>
      </w:r>
      <w:r w:rsidRPr="00CE22BA">
        <w:rPr>
          <w:b/>
          <w:bCs/>
          <w:lang w:val="fr-FR"/>
        </w:rPr>
        <w:tab/>
      </w:r>
      <w:r w:rsidRPr="00CE22BA">
        <w:rPr>
          <w:lang w:val="fr-FR"/>
        </w:rPr>
        <w:t>Document</w:t>
      </w:r>
      <w:r w:rsidR="00A056F0">
        <w:rPr>
          <w:lang w:val="fr-FR"/>
        </w:rPr>
        <w:t>s</w:t>
      </w:r>
      <w:r w:rsidRPr="00CE22BA">
        <w:rPr>
          <w:lang w:val="fr-FR"/>
        </w:rPr>
        <w:t xml:space="preserve"> </w:t>
      </w:r>
      <w:r w:rsidR="00A056F0" w:rsidRPr="00C624B1">
        <w:rPr>
          <w:szCs w:val="24"/>
          <w:lang w:val="fr-CH"/>
        </w:rPr>
        <w:t>7/109(</w:t>
      </w:r>
      <w:proofErr w:type="spellStart"/>
      <w:r w:rsidR="00A056F0" w:rsidRPr="00C624B1">
        <w:rPr>
          <w:szCs w:val="24"/>
          <w:lang w:val="fr-CH"/>
        </w:rPr>
        <w:t>Rév.1</w:t>
      </w:r>
      <w:proofErr w:type="spellEnd"/>
      <w:r w:rsidR="00A056F0" w:rsidRPr="00C624B1">
        <w:rPr>
          <w:szCs w:val="24"/>
          <w:lang w:val="fr-CH"/>
        </w:rPr>
        <w:t>), 7/110(</w:t>
      </w:r>
      <w:proofErr w:type="spellStart"/>
      <w:r w:rsidR="00A056F0" w:rsidRPr="00C624B1">
        <w:rPr>
          <w:szCs w:val="24"/>
          <w:lang w:val="fr-CH"/>
        </w:rPr>
        <w:t>R</w:t>
      </w:r>
      <w:r w:rsidR="00A056F0">
        <w:rPr>
          <w:szCs w:val="24"/>
          <w:lang w:val="fr-CH"/>
        </w:rPr>
        <w:t>év.1</w:t>
      </w:r>
      <w:proofErr w:type="spellEnd"/>
      <w:r w:rsidR="00A056F0">
        <w:rPr>
          <w:szCs w:val="24"/>
          <w:lang w:val="fr-CH"/>
        </w:rPr>
        <w:t>), 7/111(</w:t>
      </w:r>
      <w:proofErr w:type="spellStart"/>
      <w:r w:rsidR="00A056F0">
        <w:rPr>
          <w:szCs w:val="24"/>
          <w:lang w:val="fr-CH"/>
        </w:rPr>
        <w:t>Rév.1</w:t>
      </w:r>
      <w:proofErr w:type="spellEnd"/>
      <w:r w:rsidR="00A056F0">
        <w:rPr>
          <w:szCs w:val="24"/>
          <w:lang w:val="fr-CH"/>
        </w:rPr>
        <w:t>), 7/112(</w:t>
      </w:r>
      <w:proofErr w:type="spellStart"/>
      <w:r w:rsidR="00A056F0">
        <w:rPr>
          <w:szCs w:val="24"/>
          <w:lang w:val="fr-CH"/>
        </w:rPr>
        <w:t>Ré</w:t>
      </w:r>
      <w:r w:rsidR="00A056F0" w:rsidRPr="00C624B1">
        <w:rPr>
          <w:szCs w:val="24"/>
          <w:lang w:val="fr-CH"/>
        </w:rPr>
        <w:t>v.1</w:t>
      </w:r>
      <w:proofErr w:type="spellEnd"/>
      <w:r w:rsidR="00A056F0" w:rsidRPr="00C624B1">
        <w:rPr>
          <w:szCs w:val="24"/>
          <w:lang w:val="fr-CH"/>
        </w:rPr>
        <w:t>), 7/107</w:t>
      </w:r>
    </w:p>
    <w:p w:rsidR="001B2948" w:rsidRPr="00CE22BA" w:rsidRDefault="000E2B65" w:rsidP="007611A1">
      <w:pPr>
        <w:spacing w:before="120"/>
        <w:jc w:val="left"/>
        <w:rPr>
          <w:lang w:val="fr-FR"/>
        </w:rPr>
      </w:pPr>
      <w:r>
        <w:rPr>
          <w:lang w:val="fr-FR"/>
        </w:rPr>
        <w:t>C</w:t>
      </w:r>
      <w:r w:rsidR="001B2948" w:rsidRPr="00CE22BA">
        <w:rPr>
          <w:lang w:val="fr-FR"/>
        </w:rPr>
        <w:t>es documents sont disponibles en format électronique à l'adresse:</w:t>
      </w:r>
      <w:r>
        <w:rPr>
          <w:lang w:val="fr-FR"/>
        </w:rPr>
        <w:t xml:space="preserve"> </w:t>
      </w:r>
      <w:r w:rsidR="004066FF">
        <w:rPr>
          <w:lang w:val="fr-FR"/>
        </w:rPr>
        <w:br/>
      </w:r>
      <w:hyperlink r:id="rId11" w:history="1">
        <w:r w:rsidR="00A056F0">
          <w:rPr>
            <w:rStyle w:val="Hyperlink"/>
            <w:szCs w:val="24"/>
            <w:lang w:val="fr-CH"/>
          </w:rPr>
          <w:t>https://</w:t>
        </w:r>
        <w:proofErr w:type="spellStart"/>
        <w:r w:rsidR="00A056F0">
          <w:rPr>
            <w:rStyle w:val="Hyperlink"/>
            <w:szCs w:val="24"/>
            <w:lang w:val="fr-CH"/>
          </w:rPr>
          <w:t>www.itu.int</w:t>
        </w:r>
        <w:proofErr w:type="spellEnd"/>
        <w:r w:rsidR="00A056F0">
          <w:rPr>
            <w:rStyle w:val="Hyperlink"/>
            <w:szCs w:val="24"/>
            <w:lang w:val="fr-CH"/>
          </w:rPr>
          <w:t>/md/</w:t>
        </w:r>
        <w:proofErr w:type="spellStart"/>
        <w:r w:rsidR="00A056F0">
          <w:rPr>
            <w:rStyle w:val="Hyperlink"/>
            <w:szCs w:val="24"/>
            <w:lang w:val="fr-CH"/>
          </w:rPr>
          <w:t>R15</w:t>
        </w:r>
        <w:proofErr w:type="spellEnd"/>
        <w:r w:rsidR="00A056F0">
          <w:rPr>
            <w:rStyle w:val="Hyperlink"/>
            <w:szCs w:val="24"/>
            <w:lang w:val="fr-CH"/>
          </w:rPr>
          <w:t>-</w:t>
        </w:r>
        <w:proofErr w:type="spellStart"/>
        <w:r w:rsidR="00A056F0">
          <w:rPr>
            <w:rStyle w:val="Hyperlink"/>
            <w:szCs w:val="24"/>
            <w:lang w:val="fr-CH"/>
          </w:rPr>
          <w:t>SG07</w:t>
        </w:r>
        <w:proofErr w:type="spellEnd"/>
        <w:r w:rsidR="00A056F0">
          <w:rPr>
            <w:rStyle w:val="Hyperlink"/>
            <w:szCs w:val="24"/>
            <w:lang w:val="fr-CH"/>
          </w:rPr>
          <w:t>-C/</w:t>
        </w:r>
        <w:proofErr w:type="spellStart"/>
        <w:r w:rsidR="00A056F0">
          <w:rPr>
            <w:rStyle w:val="Hyperlink"/>
            <w:szCs w:val="24"/>
            <w:lang w:val="fr-CH"/>
          </w:rPr>
          <w:t>fr</w:t>
        </w:r>
        <w:proofErr w:type="spellEnd"/>
      </w:hyperlink>
    </w:p>
    <w:p w:rsidR="00A40690" w:rsidRPr="00D32285" w:rsidRDefault="00A40690" w:rsidP="007611A1">
      <w:pPr>
        <w:tabs>
          <w:tab w:val="left" w:pos="284"/>
          <w:tab w:val="left" w:pos="568"/>
        </w:tabs>
        <w:spacing w:before="1800" w:after="40"/>
        <w:rPr>
          <w:b/>
          <w:bCs/>
          <w:sz w:val="18"/>
          <w:szCs w:val="18"/>
          <w:lang w:val="fr-FR"/>
        </w:rPr>
      </w:pPr>
      <w:r w:rsidRPr="00D32285">
        <w:rPr>
          <w:b/>
          <w:bCs/>
          <w:sz w:val="18"/>
          <w:szCs w:val="18"/>
          <w:lang w:val="fr-FR"/>
        </w:rPr>
        <w:t>Distribution:</w:t>
      </w:r>
    </w:p>
    <w:p w:rsidR="00A40690" w:rsidRPr="00CE22BA" w:rsidRDefault="00A40690" w:rsidP="007611A1">
      <w:pPr>
        <w:tabs>
          <w:tab w:val="left" w:pos="284"/>
        </w:tabs>
        <w:spacing w:before="0" w:line="240" w:lineRule="auto"/>
        <w:ind w:left="284" w:hanging="284"/>
        <w:jc w:val="left"/>
        <w:rPr>
          <w:bCs/>
          <w:sz w:val="18"/>
          <w:szCs w:val="18"/>
          <w:lang w:val="fr-FR"/>
        </w:rPr>
      </w:pPr>
      <w:r w:rsidRPr="00CE22BA">
        <w:rPr>
          <w:sz w:val="18"/>
          <w:szCs w:val="18"/>
          <w:lang w:val="fr-FR"/>
        </w:rPr>
        <w:t>–</w:t>
      </w:r>
      <w:r w:rsidRPr="00CE22BA">
        <w:rPr>
          <w:sz w:val="18"/>
          <w:szCs w:val="18"/>
          <w:lang w:val="fr-FR"/>
        </w:rPr>
        <w:tab/>
        <w:t xml:space="preserve">Administrations des </w:t>
      </w:r>
      <w:proofErr w:type="spellStart"/>
      <w:r w:rsidRPr="00CE22BA">
        <w:rPr>
          <w:sz w:val="18"/>
          <w:szCs w:val="18"/>
          <w:lang w:val="fr-FR"/>
        </w:rPr>
        <w:t>Etats</w:t>
      </w:r>
      <w:proofErr w:type="spellEnd"/>
      <w:r w:rsidRPr="00CE22BA">
        <w:rPr>
          <w:sz w:val="18"/>
          <w:szCs w:val="18"/>
          <w:lang w:val="fr-FR"/>
        </w:rPr>
        <w:t xml:space="preserve"> Membres de l'UIT et Membres du Secteur des radiocommunications </w:t>
      </w:r>
      <w:r w:rsidR="007611A1">
        <w:rPr>
          <w:sz w:val="18"/>
          <w:szCs w:val="18"/>
          <w:lang w:val="fr-FR"/>
        </w:rPr>
        <w:br/>
      </w:r>
      <w:r w:rsidRPr="00CE22BA">
        <w:rPr>
          <w:bCs/>
          <w:sz w:val="18"/>
          <w:szCs w:val="18"/>
          <w:lang w:val="fr-FR"/>
        </w:rPr>
        <w:t xml:space="preserve">participant aux travaux de la Commission d'études </w:t>
      </w:r>
      <w:r w:rsidR="00A056F0">
        <w:rPr>
          <w:bCs/>
          <w:sz w:val="18"/>
          <w:szCs w:val="18"/>
          <w:lang w:val="fr-FR"/>
        </w:rPr>
        <w:t>7</w:t>
      </w:r>
      <w:r w:rsidRPr="00CE22BA">
        <w:rPr>
          <w:bCs/>
          <w:sz w:val="18"/>
          <w:szCs w:val="18"/>
          <w:lang w:val="fr-FR"/>
        </w:rPr>
        <w:t xml:space="preserve"> des radiocommunications</w:t>
      </w:r>
    </w:p>
    <w:p w:rsidR="00A40690" w:rsidRPr="00CE22BA" w:rsidRDefault="00A40690" w:rsidP="004066FF">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A056F0">
        <w:rPr>
          <w:sz w:val="18"/>
          <w:szCs w:val="18"/>
          <w:lang w:val="fr-FR"/>
        </w:rPr>
        <w:t>7</w:t>
      </w:r>
      <w:r w:rsidRPr="00CE22BA">
        <w:rPr>
          <w:sz w:val="18"/>
          <w:szCs w:val="18"/>
          <w:lang w:val="fr-FR"/>
        </w:rPr>
        <w:t xml:space="preserve"> des radiocommunications </w:t>
      </w:r>
    </w:p>
    <w:p w:rsidR="00A40690" w:rsidRPr="00CE22BA" w:rsidRDefault="00A40690" w:rsidP="004066FF">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4066FF">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4066FF">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4066FF">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4066FF">
      <w:pPr>
        <w:tabs>
          <w:tab w:val="left" w:pos="284"/>
        </w:tabs>
        <w:spacing w:before="0" w:line="240" w:lineRule="auto"/>
        <w:ind w:left="284" w:hanging="284"/>
        <w:jc w:val="left"/>
        <w:rPr>
          <w:szCs w:val="24"/>
          <w:lang w:val="fr-FR"/>
        </w:rPr>
      </w:pPr>
      <w:r w:rsidRPr="00CE22BA">
        <w:rPr>
          <w:sz w:val="18"/>
          <w:szCs w:val="18"/>
          <w:lang w:val="fr-FR"/>
        </w:rPr>
        <w:t>–</w:t>
      </w:r>
      <w:r w:rsidRPr="00CE22BA">
        <w:rPr>
          <w:sz w:val="18"/>
          <w:szCs w:val="18"/>
          <w:lang w:val="fr-FR"/>
        </w:rPr>
        <w:tab/>
        <w:t xml:space="preserve">Secrétaire général de l'UIT, Directeur du Bureau de la normalisation des télécommunications, </w:t>
      </w:r>
      <w:r w:rsidR="004066FF">
        <w:rPr>
          <w:sz w:val="18"/>
          <w:szCs w:val="18"/>
          <w:lang w:val="fr-FR"/>
        </w:rPr>
        <w:br/>
      </w:r>
      <w:r w:rsidRPr="00CE22BA">
        <w:rPr>
          <w:sz w:val="18"/>
          <w:szCs w:val="18"/>
          <w:lang w:val="fr-FR"/>
        </w:rPr>
        <w:t>Directeur du Bureau de développement des télécommunications</w:t>
      </w:r>
      <w:r w:rsidRPr="00CE22BA">
        <w:rPr>
          <w:szCs w:val="24"/>
          <w:lang w:val="fr-FR"/>
        </w:rPr>
        <w:br w:type="page"/>
      </w:r>
    </w:p>
    <w:p w:rsidR="00C624B1" w:rsidRPr="00A672B8" w:rsidRDefault="00C624B1" w:rsidP="00C624B1">
      <w:pPr>
        <w:pStyle w:val="AnnexNotitle0"/>
        <w:rPr>
          <w:rFonts w:asciiTheme="minorHAnsi" w:hAnsiTheme="minorHAnsi" w:cstheme="minorHAnsi"/>
          <w:szCs w:val="28"/>
          <w:lang w:val="fr-CH"/>
        </w:rPr>
      </w:pPr>
      <w:r w:rsidRPr="00A672B8">
        <w:rPr>
          <w:rFonts w:asciiTheme="minorHAnsi" w:hAnsiTheme="minorHAnsi" w:cstheme="minorHAnsi"/>
          <w:szCs w:val="28"/>
          <w:lang w:val="fr-CH"/>
        </w:rPr>
        <w:lastRenderedPageBreak/>
        <w:t>Annexe 1</w:t>
      </w:r>
      <w:r w:rsidRPr="00A672B8">
        <w:rPr>
          <w:rFonts w:asciiTheme="minorHAnsi" w:hAnsiTheme="minorHAnsi" w:cstheme="minorHAnsi"/>
          <w:szCs w:val="28"/>
          <w:lang w:val="fr-CH"/>
        </w:rPr>
        <w:br/>
      </w:r>
      <w:r w:rsidRPr="00A672B8">
        <w:rPr>
          <w:rFonts w:asciiTheme="minorHAnsi" w:hAnsiTheme="minorHAnsi" w:cstheme="minorHAnsi"/>
          <w:szCs w:val="28"/>
          <w:lang w:val="fr-CH"/>
        </w:rPr>
        <w:br/>
        <w:t>Titres et résumé</w:t>
      </w:r>
      <w:r w:rsidR="00D82CCB">
        <w:rPr>
          <w:rFonts w:asciiTheme="minorHAnsi" w:hAnsiTheme="minorHAnsi" w:cstheme="minorHAnsi"/>
          <w:szCs w:val="28"/>
          <w:lang w:val="fr-CH"/>
        </w:rPr>
        <w:t>s des projets de Recommandation</w:t>
      </w:r>
    </w:p>
    <w:p w:rsidR="00C624B1" w:rsidRPr="00A672B8" w:rsidRDefault="00C624B1" w:rsidP="007611A1">
      <w:pPr>
        <w:tabs>
          <w:tab w:val="right" w:pos="9639"/>
        </w:tabs>
        <w:spacing w:before="60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 xml:space="preserve">Projet de révision de la Recommandation UIT-R </w:t>
      </w:r>
      <w:proofErr w:type="spellStart"/>
      <w:r w:rsidRPr="00A672B8">
        <w:rPr>
          <w:szCs w:val="24"/>
          <w:u w:val="single"/>
          <w:lang w:val="fr-CH"/>
        </w:rPr>
        <w:t>SA.1016-0</w:t>
      </w:r>
      <w:proofErr w:type="spellEnd"/>
      <w:r w:rsidRPr="00A672B8">
        <w:rPr>
          <w:rFonts w:asciiTheme="minorHAnsi" w:hAnsiTheme="minorHAnsi" w:cstheme="minorHAnsi"/>
          <w:szCs w:val="24"/>
          <w:lang w:val="fr-CH"/>
        </w:rPr>
        <w:tab/>
        <w:t>Doc. 7/109(</w:t>
      </w:r>
      <w:proofErr w:type="spellStart"/>
      <w:r w:rsidRPr="00A672B8">
        <w:rPr>
          <w:rFonts w:asciiTheme="minorHAnsi" w:hAnsiTheme="minorHAnsi" w:cstheme="minorHAnsi"/>
          <w:szCs w:val="24"/>
          <w:lang w:val="fr-CH"/>
        </w:rPr>
        <w:t>Rév.1</w:t>
      </w:r>
      <w:proofErr w:type="spellEnd"/>
      <w:r w:rsidRPr="00A672B8">
        <w:rPr>
          <w:rFonts w:asciiTheme="minorHAnsi" w:hAnsiTheme="minorHAnsi" w:cstheme="minorHAnsi"/>
          <w:szCs w:val="24"/>
          <w:lang w:val="fr-CH"/>
        </w:rPr>
        <w:t>)</w:t>
      </w:r>
    </w:p>
    <w:p w:rsidR="00C624B1" w:rsidRPr="00A672B8" w:rsidRDefault="00C624B1" w:rsidP="007611A1">
      <w:pPr>
        <w:pStyle w:val="Rectitle"/>
        <w:spacing w:before="240"/>
        <w:rPr>
          <w:lang w:val="fr-CH"/>
        </w:rPr>
      </w:pPr>
      <w:r w:rsidRPr="00A672B8">
        <w:rPr>
          <w:lang w:val="fr-CH"/>
        </w:rPr>
        <w:t>Service de recherche spatiale (espace lointain): considérations relatives au partage</w:t>
      </w:r>
    </w:p>
    <w:p w:rsidR="00C624B1" w:rsidRPr="00A672B8" w:rsidRDefault="00C624B1" w:rsidP="007611A1">
      <w:pPr>
        <w:pStyle w:val="Normalaftertitle"/>
        <w:spacing w:before="120" w:line="240" w:lineRule="auto"/>
        <w:rPr>
          <w:szCs w:val="24"/>
          <w:lang w:val="fr-CH"/>
        </w:rPr>
      </w:pPr>
      <w:r w:rsidRPr="00A672B8">
        <w:rPr>
          <w:szCs w:val="24"/>
          <w:lang w:val="fr-CH"/>
        </w:rPr>
        <w:t xml:space="preserve">La Recommandation a été révisée de façon à inclure un préambule contenant les sections «Domaine d'application», «Mots clés» et «Recommandations et Rapports UIT-R connexes». Les références faites aux anciens Rapports du </w:t>
      </w:r>
      <w:proofErr w:type="spellStart"/>
      <w:r w:rsidRPr="00A672B8">
        <w:rPr>
          <w:szCs w:val="24"/>
          <w:lang w:val="fr-CH"/>
        </w:rPr>
        <w:t>CCIR</w:t>
      </w:r>
      <w:proofErr w:type="spellEnd"/>
      <w:r w:rsidRPr="00A672B8">
        <w:rPr>
          <w:szCs w:val="24"/>
          <w:lang w:val="fr-CH"/>
        </w:rPr>
        <w:t xml:space="preserve"> ont été remplacées par des références renvoyant aux Rapports UIT-R actuels. Une version révisée du texte du Rapport 688 du </w:t>
      </w:r>
      <w:proofErr w:type="spellStart"/>
      <w:r w:rsidRPr="00A672B8">
        <w:rPr>
          <w:szCs w:val="24"/>
          <w:lang w:val="fr-CH"/>
        </w:rPr>
        <w:t>CCIR</w:t>
      </w:r>
      <w:proofErr w:type="spellEnd"/>
      <w:r w:rsidRPr="00A672B8">
        <w:rPr>
          <w:szCs w:val="24"/>
          <w:lang w:val="fr-CH"/>
        </w:rPr>
        <w:t xml:space="preserve"> figure dans l'Annexe 2. Certaines sections et certaines figures ont été mises à jour en fonction des paramètres actuels des stations de recherche dans l'espace lointain. En outre, de nouveaux points ont été ajoutés dans le </w:t>
      </w:r>
      <w:r w:rsidRPr="00A672B8">
        <w:rPr>
          <w:i/>
          <w:iCs/>
          <w:szCs w:val="24"/>
          <w:lang w:val="fr-CH"/>
        </w:rPr>
        <w:t>considérant</w:t>
      </w:r>
      <w:r w:rsidRPr="00A672B8">
        <w:rPr>
          <w:szCs w:val="24"/>
          <w:lang w:val="fr-CH"/>
        </w:rPr>
        <w:t xml:space="preserve"> et les points 1 et 2 du </w:t>
      </w:r>
      <w:r w:rsidRPr="00A672B8">
        <w:rPr>
          <w:i/>
          <w:iCs/>
          <w:szCs w:val="24"/>
          <w:lang w:val="fr-CH"/>
        </w:rPr>
        <w:t>recommande</w:t>
      </w:r>
      <w:r w:rsidRPr="00A672B8">
        <w:rPr>
          <w:szCs w:val="24"/>
          <w:lang w:val="fr-CH"/>
        </w:rPr>
        <w:t xml:space="preserve"> ont été mis à jour. Le Tableau 3 de la section 2.3 relatif au brouillage causé par un émetteur d'aéronef, a été mis à jour et une nouvelle ligne, correspondant à 37 GHz a été ajoutée. Dans le tableau de la section 2.5, relatif au brouillage dû à une liaison, en vue d'assurer la protection des stations terriennes du service de recherche spatiale vis-à-vis des satellites en orbite autour de la Terre émettant vers des satellites relais géostationnaires, la fréquence de 32 GHz est remplacée par 2 GHz.</w:t>
      </w:r>
    </w:p>
    <w:p w:rsidR="00C624B1" w:rsidRPr="00A672B8" w:rsidRDefault="00C624B1" w:rsidP="00C624B1">
      <w:pPr>
        <w:tabs>
          <w:tab w:val="right" w:pos="9639"/>
        </w:tabs>
        <w:spacing w:before="36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 xml:space="preserve">Projet de révision de la Recommandation UIT-R </w:t>
      </w:r>
      <w:proofErr w:type="spellStart"/>
      <w:r w:rsidRPr="00A672B8">
        <w:rPr>
          <w:rFonts w:asciiTheme="minorHAnsi" w:hAnsiTheme="minorHAnsi" w:cstheme="minorHAnsi"/>
          <w:szCs w:val="24"/>
          <w:u w:val="single"/>
          <w:lang w:val="fr-CH"/>
        </w:rPr>
        <w:t>SA.1161-2</w:t>
      </w:r>
      <w:proofErr w:type="spellEnd"/>
      <w:r w:rsidRPr="00A672B8">
        <w:rPr>
          <w:rFonts w:asciiTheme="minorHAnsi" w:hAnsiTheme="minorHAnsi" w:cstheme="minorHAnsi"/>
          <w:szCs w:val="24"/>
          <w:lang w:val="fr-CH"/>
        </w:rPr>
        <w:tab/>
        <w:t>Doc. 7/110(</w:t>
      </w:r>
      <w:proofErr w:type="spellStart"/>
      <w:r w:rsidRPr="00A672B8">
        <w:rPr>
          <w:rFonts w:asciiTheme="minorHAnsi" w:hAnsiTheme="minorHAnsi" w:cstheme="minorHAnsi"/>
          <w:szCs w:val="24"/>
          <w:lang w:val="fr-CH"/>
        </w:rPr>
        <w:t>Rév.1</w:t>
      </w:r>
      <w:proofErr w:type="spellEnd"/>
      <w:r w:rsidRPr="00A672B8">
        <w:rPr>
          <w:rFonts w:asciiTheme="minorHAnsi" w:hAnsiTheme="minorHAnsi" w:cstheme="minorHAnsi"/>
          <w:szCs w:val="24"/>
          <w:lang w:val="fr-CH"/>
        </w:rPr>
        <w:t>)</w:t>
      </w:r>
    </w:p>
    <w:p w:rsidR="00C624B1" w:rsidRPr="00A672B8" w:rsidRDefault="00C624B1" w:rsidP="007611A1">
      <w:pPr>
        <w:pStyle w:val="Rectitle"/>
        <w:spacing w:before="240"/>
        <w:rPr>
          <w:rFonts w:asciiTheme="minorHAnsi" w:hAnsiTheme="minorHAnsi" w:cstheme="minorHAnsi"/>
          <w:bCs/>
          <w:sz w:val="24"/>
          <w:szCs w:val="24"/>
          <w:lang w:val="fr-CH"/>
        </w:rPr>
      </w:pPr>
      <w:r w:rsidRPr="00A672B8">
        <w:rPr>
          <w:lang w:val="fr-CH"/>
        </w:rPr>
        <w:t xml:space="preserve">Critères de partage et de coordination pour les systèmes de transmission de données des services d'exploration de la Terre par satellite et de </w:t>
      </w:r>
      <w:r>
        <w:rPr>
          <w:lang w:val="fr-CH"/>
        </w:rPr>
        <w:br/>
      </w:r>
      <w:r w:rsidRPr="00A672B8">
        <w:rPr>
          <w:lang w:val="fr-CH"/>
        </w:rPr>
        <w:t xml:space="preserve">météorologie par satellite utilisant des </w:t>
      </w:r>
      <w:r>
        <w:rPr>
          <w:lang w:val="fr-CH"/>
        </w:rPr>
        <w:br/>
      </w:r>
      <w:r w:rsidRPr="00A672B8">
        <w:rPr>
          <w:lang w:val="fr-CH"/>
        </w:rPr>
        <w:t>satellites géostationnaires</w:t>
      </w:r>
    </w:p>
    <w:p w:rsidR="00C624B1" w:rsidRPr="00A672B8" w:rsidRDefault="00C624B1" w:rsidP="007611A1">
      <w:pPr>
        <w:pStyle w:val="Normalaftertitle"/>
        <w:spacing w:before="120"/>
        <w:rPr>
          <w:lang w:val="fr-CH"/>
        </w:rPr>
      </w:pPr>
      <w:r w:rsidRPr="00A672B8">
        <w:rPr>
          <w:lang w:val="fr-CH"/>
        </w:rPr>
        <w:t>Cette proposition de révision a pour objet de corriger une erreur portant sur les critères proposés pour la bande 1</w:t>
      </w:r>
      <w:r w:rsidR="00703B8D">
        <w:rPr>
          <w:lang w:val="fr-CH"/>
        </w:rPr>
        <w:t> </w:t>
      </w:r>
      <w:r w:rsidRPr="00A672B8">
        <w:rPr>
          <w:lang w:val="fr-CH"/>
        </w:rPr>
        <w:t>670-1</w:t>
      </w:r>
      <w:r w:rsidR="00703B8D">
        <w:rPr>
          <w:lang w:val="fr-CH"/>
        </w:rPr>
        <w:t> </w:t>
      </w:r>
      <w:r w:rsidRPr="00A672B8">
        <w:rPr>
          <w:lang w:val="fr-CH"/>
        </w:rPr>
        <w:t>710 MHz, figurant dans le Tableau 1, ainsi qu'une autre erreur portant sur les critères à court terme proposés pour la bande 25,5-27 GHz.</w:t>
      </w:r>
    </w:p>
    <w:p w:rsidR="00C624B1" w:rsidRPr="00A672B8" w:rsidRDefault="00C624B1" w:rsidP="00C624B1">
      <w:pPr>
        <w:tabs>
          <w:tab w:val="right" w:pos="9639"/>
        </w:tabs>
        <w:spacing w:before="36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 xml:space="preserve">Projet de révision de la Recommandation UIT-R </w:t>
      </w:r>
      <w:proofErr w:type="spellStart"/>
      <w:r w:rsidRPr="00A672B8">
        <w:rPr>
          <w:rFonts w:asciiTheme="minorHAnsi" w:hAnsiTheme="minorHAnsi" w:cstheme="minorHAnsi"/>
          <w:szCs w:val="24"/>
          <w:u w:val="single"/>
          <w:lang w:val="fr-CH"/>
        </w:rPr>
        <w:t>SA.1164-3</w:t>
      </w:r>
      <w:proofErr w:type="spellEnd"/>
      <w:r w:rsidRPr="00A672B8">
        <w:rPr>
          <w:rFonts w:asciiTheme="minorHAnsi" w:hAnsiTheme="minorHAnsi" w:cstheme="minorHAnsi"/>
          <w:szCs w:val="24"/>
          <w:lang w:val="fr-CH"/>
        </w:rPr>
        <w:tab/>
        <w:t>Doc. 7/111(</w:t>
      </w:r>
      <w:proofErr w:type="spellStart"/>
      <w:r w:rsidRPr="00A672B8">
        <w:rPr>
          <w:rFonts w:asciiTheme="minorHAnsi" w:hAnsiTheme="minorHAnsi" w:cstheme="minorHAnsi"/>
          <w:szCs w:val="24"/>
          <w:lang w:val="fr-CH"/>
        </w:rPr>
        <w:t>Rév.1</w:t>
      </w:r>
      <w:proofErr w:type="spellEnd"/>
      <w:r w:rsidRPr="00A672B8">
        <w:rPr>
          <w:rFonts w:asciiTheme="minorHAnsi" w:hAnsiTheme="minorHAnsi" w:cstheme="minorHAnsi"/>
          <w:szCs w:val="24"/>
          <w:lang w:val="fr-CH"/>
        </w:rPr>
        <w:t>)</w:t>
      </w:r>
    </w:p>
    <w:p w:rsidR="00C624B1" w:rsidRPr="00A672B8" w:rsidRDefault="00C624B1" w:rsidP="007611A1">
      <w:pPr>
        <w:pStyle w:val="Rectitle"/>
        <w:spacing w:before="240"/>
        <w:rPr>
          <w:rFonts w:asciiTheme="minorHAnsi" w:hAnsiTheme="minorHAnsi" w:cstheme="minorHAnsi"/>
          <w:bCs/>
          <w:sz w:val="24"/>
          <w:szCs w:val="24"/>
          <w:lang w:val="fr-CH"/>
        </w:rPr>
      </w:pPr>
      <w:r w:rsidRPr="00A672B8">
        <w:rPr>
          <w:lang w:val="fr-CH"/>
        </w:rPr>
        <w:t xml:space="preserve">Critères de partage et de coordination applicables aux liaisons de service des systèmes de collecte de données utilisant des satellites </w:t>
      </w:r>
      <w:proofErr w:type="spellStart"/>
      <w:r w:rsidRPr="00A672B8">
        <w:rPr>
          <w:lang w:val="fr-CH"/>
        </w:rPr>
        <w:t>OSG</w:t>
      </w:r>
      <w:proofErr w:type="spellEnd"/>
      <w:r w:rsidRPr="00A672B8">
        <w:rPr>
          <w:lang w:val="fr-CH"/>
        </w:rPr>
        <w:t xml:space="preserve"> des services d'exploration de la Terre par satellite et de météorologie par satellite</w:t>
      </w:r>
    </w:p>
    <w:p w:rsidR="00C624B1" w:rsidRPr="00A672B8" w:rsidRDefault="00C624B1" w:rsidP="007611A1">
      <w:pPr>
        <w:pStyle w:val="Normalaftertitle"/>
        <w:spacing w:before="120"/>
        <w:rPr>
          <w:lang w:val="fr-CH"/>
        </w:rPr>
      </w:pPr>
      <w:r w:rsidRPr="00A672B8">
        <w:rPr>
          <w:lang w:val="fr-CH"/>
        </w:rPr>
        <w:t>Cette proposition de révision a pour objet de corriger une erreur portant sur les critères à court terme proposés pour les bandes 460-470 MHz, 1</w:t>
      </w:r>
      <w:r w:rsidR="006533D1">
        <w:rPr>
          <w:lang w:val="fr-CH"/>
        </w:rPr>
        <w:t> </w:t>
      </w:r>
      <w:r w:rsidRPr="00A672B8">
        <w:rPr>
          <w:lang w:val="fr-CH"/>
        </w:rPr>
        <w:t>670-1</w:t>
      </w:r>
      <w:r w:rsidR="006533D1">
        <w:rPr>
          <w:lang w:val="fr-CH"/>
        </w:rPr>
        <w:t> </w:t>
      </w:r>
      <w:r w:rsidRPr="00A672B8">
        <w:rPr>
          <w:lang w:val="fr-CH"/>
        </w:rPr>
        <w:t>690 MHz et 2</w:t>
      </w:r>
      <w:r w:rsidR="006533D1">
        <w:rPr>
          <w:lang w:val="fr-CH"/>
        </w:rPr>
        <w:t> </w:t>
      </w:r>
      <w:r w:rsidRPr="00A672B8">
        <w:rPr>
          <w:lang w:val="fr-CH"/>
        </w:rPr>
        <w:t>025-2</w:t>
      </w:r>
      <w:r w:rsidR="006533D1">
        <w:rPr>
          <w:lang w:val="fr-CH"/>
        </w:rPr>
        <w:t> </w:t>
      </w:r>
      <w:r w:rsidRPr="00A672B8">
        <w:rPr>
          <w:lang w:val="fr-CH"/>
        </w:rPr>
        <w:t>110 MHz.</w:t>
      </w:r>
    </w:p>
    <w:p w:rsidR="00C624B1" w:rsidRPr="00A672B8" w:rsidRDefault="00C624B1" w:rsidP="00C624B1">
      <w:pPr>
        <w:keepNext/>
        <w:keepLines/>
        <w:tabs>
          <w:tab w:val="right" w:pos="9639"/>
        </w:tabs>
        <w:spacing w:before="36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 xml:space="preserve">Projet de révision de la Recommandation UIT-R </w:t>
      </w:r>
      <w:proofErr w:type="spellStart"/>
      <w:r w:rsidRPr="00A672B8">
        <w:rPr>
          <w:rFonts w:asciiTheme="minorHAnsi" w:hAnsiTheme="minorHAnsi" w:cstheme="minorHAnsi"/>
          <w:szCs w:val="24"/>
          <w:u w:val="single"/>
          <w:lang w:val="fr-CH"/>
        </w:rPr>
        <w:t>SA.1027-5</w:t>
      </w:r>
      <w:proofErr w:type="spellEnd"/>
      <w:r w:rsidRPr="00A672B8">
        <w:rPr>
          <w:rFonts w:asciiTheme="minorHAnsi" w:hAnsiTheme="minorHAnsi" w:cstheme="minorHAnsi"/>
          <w:szCs w:val="24"/>
          <w:lang w:val="fr-CH"/>
        </w:rPr>
        <w:tab/>
        <w:t>Doc. 7/112(</w:t>
      </w:r>
      <w:proofErr w:type="spellStart"/>
      <w:r w:rsidRPr="00A672B8">
        <w:rPr>
          <w:rFonts w:asciiTheme="minorHAnsi" w:hAnsiTheme="minorHAnsi" w:cstheme="minorHAnsi"/>
          <w:szCs w:val="24"/>
          <w:lang w:val="fr-CH"/>
        </w:rPr>
        <w:t>Rév.1</w:t>
      </w:r>
      <w:proofErr w:type="spellEnd"/>
      <w:r w:rsidRPr="00A672B8">
        <w:rPr>
          <w:rFonts w:asciiTheme="minorHAnsi" w:hAnsiTheme="minorHAnsi" w:cstheme="minorHAnsi"/>
          <w:szCs w:val="24"/>
          <w:lang w:val="fr-CH"/>
        </w:rPr>
        <w:t>)</w:t>
      </w:r>
    </w:p>
    <w:p w:rsidR="00C624B1" w:rsidRPr="00A672B8" w:rsidRDefault="00C624B1" w:rsidP="007611A1">
      <w:pPr>
        <w:pStyle w:val="Rectitle"/>
        <w:spacing w:before="240"/>
        <w:rPr>
          <w:sz w:val="24"/>
          <w:szCs w:val="24"/>
          <w:lang w:val="fr-CH"/>
        </w:rPr>
      </w:pPr>
      <w:r w:rsidRPr="00A672B8">
        <w:rPr>
          <w:lang w:val="fr-CH"/>
        </w:rPr>
        <w:t>Critères de partage pour les systèmes de transmission de données espace vers Terre dans les services d'exploration de la Terre par satellite et de météorologie par satellite utilisant des satellites en orbite terrestre basse</w:t>
      </w:r>
    </w:p>
    <w:p w:rsidR="00C624B1" w:rsidRPr="007611A1" w:rsidRDefault="00C624B1" w:rsidP="007611A1">
      <w:pPr>
        <w:pStyle w:val="Normalaftertitle"/>
        <w:spacing w:before="120"/>
        <w:rPr>
          <w:szCs w:val="24"/>
          <w:lang w:val="fr-CH"/>
        </w:rPr>
      </w:pPr>
      <w:r w:rsidRPr="00A672B8">
        <w:rPr>
          <w:lang w:val="fr-CH"/>
        </w:rPr>
        <w:t xml:space="preserve">Cette proposition de révision a pour objet de corriger une erreur portant sur les critères à court terme proposés pour les bandes </w:t>
      </w:r>
      <w:r w:rsidRPr="00A672B8">
        <w:rPr>
          <w:szCs w:val="24"/>
          <w:lang w:val="fr-CH"/>
        </w:rPr>
        <w:t>137-138 MHz et 1 690-1 700 MHz.</w:t>
      </w:r>
      <w:r w:rsidRPr="00A672B8">
        <w:rPr>
          <w:szCs w:val="28"/>
          <w:lang w:val="fr-CH"/>
        </w:rPr>
        <w:br w:type="page"/>
      </w:r>
    </w:p>
    <w:p w:rsidR="00C624B1" w:rsidRPr="00A672B8" w:rsidRDefault="00C624B1" w:rsidP="000A1FFB">
      <w:pPr>
        <w:pStyle w:val="AnnexNoTitle"/>
        <w:spacing w:after="0"/>
        <w:rPr>
          <w:sz w:val="28"/>
          <w:szCs w:val="24"/>
          <w:lang w:val="fr-CH"/>
        </w:rPr>
      </w:pPr>
      <w:r w:rsidRPr="00A672B8">
        <w:rPr>
          <w:sz w:val="28"/>
          <w:szCs w:val="24"/>
          <w:lang w:val="fr-CH"/>
        </w:rPr>
        <w:lastRenderedPageBreak/>
        <w:t>Annexe 2</w:t>
      </w:r>
    </w:p>
    <w:p w:rsidR="00C624B1" w:rsidRPr="00A672B8" w:rsidRDefault="00C624B1" w:rsidP="000A1FFB">
      <w:pPr>
        <w:spacing w:line="240" w:lineRule="auto"/>
        <w:jc w:val="center"/>
        <w:rPr>
          <w:rFonts w:asciiTheme="minorHAnsi" w:hAnsiTheme="minorHAnsi" w:cstheme="minorHAnsi"/>
          <w:szCs w:val="24"/>
          <w:lang w:val="fr-CH"/>
        </w:rPr>
      </w:pPr>
      <w:r w:rsidRPr="00A672B8">
        <w:rPr>
          <w:rFonts w:asciiTheme="minorHAnsi" w:hAnsiTheme="minorHAnsi" w:cstheme="minorHAnsi"/>
          <w:szCs w:val="24"/>
          <w:lang w:val="fr-CH"/>
        </w:rPr>
        <w:t>(Source: Document 7/107)</w:t>
      </w:r>
    </w:p>
    <w:p w:rsidR="00C624B1" w:rsidRPr="00A672B8" w:rsidRDefault="00C624B1" w:rsidP="000A1FFB">
      <w:pPr>
        <w:pStyle w:val="Rectitle"/>
        <w:spacing w:after="240"/>
        <w:rPr>
          <w:lang w:val="fr-CH"/>
        </w:rPr>
      </w:pPr>
      <w:r w:rsidRPr="00A672B8">
        <w:rPr>
          <w:lang w:val="fr-CH"/>
        </w:rPr>
        <w:t>Recommandations UIT-R dont la suppression est proposée</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122"/>
        <w:gridCol w:w="7321"/>
      </w:tblGrid>
      <w:tr w:rsidR="00C624B1" w:rsidRPr="0033212E" w:rsidTr="0033212E">
        <w:trPr>
          <w:cantSplit/>
          <w:tblHeader/>
          <w:jc w:val="center"/>
        </w:trPr>
        <w:tc>
          <w:tcPr>
            <w:tcW w:w="2122" w:type="dxa"/>
            <w:vAlign w:val="center"/>
            <w:hideMark/>
          </w:tcPr>
          <w:p w:rsidR="00C624B1" w:rsidRPr="0033212E" w:rsidRDefault="00C624B1" w:rsidP="000A1FFB">
            <w:pPr>
              <w:pStyle w:val="Tablehead"/>
              <w:rPr>
                <w:szCs w:val="20"/>
                <w:lang w:val="fr-CH"/>
              </w:rPr>
            </w:pPr>
            <w:r w:rsidRPr="0033212E">
              <w:rPr>
                <w:szCs w:val="20"/>
                <w:lang w:val="fr-CH"/>
              </w:rPr>
              <w:t xml:space="preserve">Recommandation </w:t>
            </w:r>
            <w:r w:rsidR="0033212E">
              <w:rPr>
                <w:szCs w:val="20"/>
                <w:lang w:val="fr-CH"/>
              </w:rPr>
              <w:br/>
            </w:r>
            <w:r w:rsidRPr="0033212E">
              <w:rPr>
                <w:szCs w:val="20"/>
                <w:lang w:val="fr-CH"/>
              </w:rPr>
              <w:t>UIT-R</w:t>
            </w:r>
          </w:p>
        </w:tc>
        <w:tc>
          <w:tcPr>
            <w:tcW w:w="7321" w:type="dxa"/>
            <w:vAlign w:val="center"/>
            <w:hideMark/>
          </w:tcPr>
          <w:p w:rsidR="00C624B1" w:rsidRPr="0033212E" w:rsidRDefault="00C624B1" w:rsidP="000A1FFB">
            <w:pPr>
              <w:pStyle w:val="Tablehead"/>
              <w:rPr>
                <w:szCs w:val="20"/>
                <w:lang w:val="fr-CH"/>
              </w:rPr>
            </w:pPr>
            <w:r w:rsidRPr="0033212E">
              <w:rPr>
                <w:szCs w:val="20"/>
                <w:lang w:val="fr-CH"/>
              </w:rPr>
              <w:t>Titre</w:t>
            </w:r>
          </w:p>
        </w:tc>
      </w:tr>
      <w:tr w:rsidR="00C624B1" w:rsidRPr="008445CD" w:rsidTr="0033212E">
        <w:trPr>
          <w:cantSplit/>
          <w:jc w:val="center"/>
        </w:trPr>
        <w:tc>
          <w:tcPr>
            <w:tcW w:w="2122" w:type="dxa"/>
            <w:tcMar>
              <w:top w:w="0" w:type="dxa"/>
              <w:left w:w="108" w:type="dxa"/>
              <w:bottom w:w="0" w:type="dxa"/>
              <w:right w:w="108" w:type="dxa"/>
            </w:tcMar>
          </w:tcPr>
          <w:p w:rsidR="00C624B1" w:rsidRPr="0033212E" w:rsidRDefault="00C624B1" w:rsidP="000A1FFB">
            <w:pPr>
              <w:pStyle w:val="Tabletext"/>
              <w:jc w:val="center"/>
              <w:rPr>
                <w:szCs w:val="20"/>
                <w:lang w:val="fr-CH" w:eastAsia="ja-JP"/>
              </w:rPr>
            </w:pPr>
            <w:proofErr w:type="spellStart"/>
            <w:r w:rsidRPr="0033212E">
              <w:rPr>
                <w:szCs w:val="20"/>
                <w:lang w:val="fr-CH" w:eastAsia="ja-JP"/>
              </w:rPr>
              <w:t>TF.1010-1</w:t>
            </w:r>
            <w:proofErr w:type="spellEnd"/>
          </w:p>
        </w:tc>
        <w:tc>
          <w:tcPr>
            <w:tcW w:w="7321" w:type="dxa"/>
            <w:tcMar>
              <w:top w:w="0" w:type="dxa"/>
              <w:left w:w="108" w:type="dxa"/>
              <w:bottom w:w="0" w:type="dxa"/>
              <w:right w:w="108" w:type="dxa"/>
            </w:tcMar>
          </w:tcPr>
          <w:p w:rsidR="00C624B1" w:rsidRPr="0033212E" w:rsidRDefault="00C624B1" w:rsidP="000A1FFB">
            <w:pPr>
              <w:pStyle w:val="Tabletext"/>
              <w:rPr>
                <w:szCs w:val="20"/>
                <w:lang w:val="fr-CH" w:eastAsia="ja-JP"/>
              </w:rPr>
            </w:pPr>
            <w:r w:rsidRPr="0033212E">
              <w:rPr>
                <w:szCs w:val="20"/>
                <w:lang w:val="fr-CH"/>
              </w:rPr>
              <w:t>Effets relativistes dans un système de temps coordonné au voisinage de la Terre</w:t>
            </w:r>
          </w:p>
        </w:tc>
      </w:tr>
      <w:tr w:rsidR="00C624B1" w:rsidRPr="008445CD" w:rsidTr="0033212E">
        <w:trPr>
          <w:cantSplit/>
          <w:jc w:val="center"/>
        </w:trPr>
        <w:tc>
          <w:tcPr>
            <w:tcW w:w="2122" w:type="dxa"/>
            <w:tcMar>
              <w:top w:w="0" w:type="dxa"/>
              <w:left w:w="108" w:type="dxa"/>
              <w:bottom w:w="0" w:type="dxa"/>
              <w:right w:w="108" w:type="dxa"/>
            </w:tcMar>
          </w:tcPr>
          <w:p w:rsidR="00C624B1" w:rsidRPr="0033212E" w:rsidRDefault="00C624B1" w:rsidP="000A1FFB">
            <w:pPr>
              <w:pStyle w:val="Tabletext"/>
              <w:jc w:val="center"/>
              <w:rPr>
                <w:szCs w:val="20"/>
                <w:lang w:val="fr-CH" w:eastAsia="ja-JP"/>
              </w:rPr>
            </w:pPr>
            <w:proofErr w:type="spellStart"/>
            <w:r w:rsidRPr="0033212E">
              <w:rPr>
                <w:szCs w:val="20"/>
                <w:lang w:val="fr-CH" w:eastAsia="ja-JP"/>
              </w:rPr>
              <w:t>TF.2018-0</w:t>
            </w:r>
            <w:proofErr w:type="spellEnd"/>
          </w:p>
        </w:tc>
        <w:tc>
          <w:tcPr>
            <w:tcW w:w="7321" w:type="dxa"/>
            <w:tcMar>
              <w:top w:w="0" w:type="dxa"/>
              <w:left w:w="108" w:type="dxa"/>
              <w:bottom w:w="0" w:type="dxa"/>
              <w:right w:w="108" w:type="dxa"/>
            </w:tcMar>
          </w:tcPr>
          <w:p w:rsidR="00C624B1" w:rsidRPr="0033212E" w:rsidRDefault="00C624B1" w:rsidP="000A1FFB">
            <w:pPr>
              <w:pStyle w:val="Tabletext"/>
              <w:rPr>
                <w:szCs w:val="20"/>
                <w:lang w:val="fr-CH" w:eastAsia="ja-JP"/>
              </w:rPr>
            </w:pPr>
            <w:r w:rsidRPr="0033212E">
              <w:rPr>
                <w:szCs w:val="20"/>
                <w:lang w:val="fr-CH"/>
              </w:rPr>
              <w:t>Transfert de temps relativiste au voisinage de la Terre et dans le système solaire</w:t>
            </w:r>
          </w:p>
        </w:tc>
      </w:tr>
    </w:tbl>
    <w:p w:rsidR="00C624B1" w:rsidRPr="00A672B8" w:rsidRDefault="00C624B1" w:rsidP="00C624B1">
      <w:pPr>
        <w:tabs>
          <w:tab w:val="right" w:pos="9639"/>
        </w:tabs>
        <w:spacing w:line="240" w:lineRule="auto"/>
        <w:rPr>
          <w:szCs w:val="24"/>
          <w:lang w:val="fr-CH"/>
        </w:rPr>
      </w:pPr>
    </w:p>
    <w:p w:rsidR="00C3556B" w:rsidRPr="004066FF" w:rsidRDefault="00C624B1" w:rsidP="004066FF">
      <w:pPr>
        <w:tabs>
          <w:tab w:val="left" w:pos="7513"/>
        </w:tabs>
        <w:spacing w:line="240" w:lineRule="auto"/>
        <w:jc w:val="center"/>
        <w:rPr>
          <w:lang w:val="fr-CH"/>
        </w:rPr>
      </w:pPr>
      <w:r w:rsidRPr="00A672B8">
        <w:rPr>
          <w:lang w:val="fr-CH"/>
        </w:rPr>
        <w:t>____________</w:t>
      </w:r>
      <w:bookmarkStart w:id="1" w:name="ddistribution"/>
      <w:bookmarkEnd w:id="1"/>
    </w:p>
    <w:sectPr w:rsidR="00C3556B" w:rsidRPr="004066FF"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445CD">
      <w:rPr>
        <w:rStyle w:val="PageNumber"/>
        <w:noProof/>
        <w:sz w:val="18"/>
        <w:szCs w:val="16"/>
      </w:rPr>
      <w:t>- 4 -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8445CD">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C57634" w:rsidTr="007545D1">
      <w:tc>
        <w:tcPr>
          <w:tcW w:w="4800" w:type="dxa"/>
          <w:noWrap/>
          <w:tcMar>
            <w:left w:w="0" w:type="dxa"/>
          </w:tcMar>
        </w:tcPr>
        <w:p w:rsidR="00C57634" w:rsidRDefault="00C57634" w:rsidP="00C57634">
          <w:pPr>
            <w:pStyle w:val="Header"/>
            <w:spacing w:before="120" w:line="360" w:lineRule="auto"/>
          </w:pPr>
          <w:r w:rsidRPr="008E52B1">
            <w:rPr>
              <w:noProof/>
              <w:color w:val="3399FF"/>
              <w:lang w:val="en-GB" w:eastAsia="zh-CN"/>
            </w:rPr>
            <w:drawing>
              <wp:inline distT="0" distB="0" distL="0" distR="0" wp14:anchorId="1864D598" wp14:editId="6F62F71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C57634" w:rsidRDefault="00C57634" w:rsidP="00C57634">
          <w:pPr>
            <w:pStyle w:val="Header"/>
            <w:spacing w:before="240" w:line="360" w:lineRule="auto"/>
            <w:jc w:val="right"/>
          </w:pPr>
          <w:r>
            <w:rPr>
              <w:noProof/>
              <w:lang w:val="en-GB" w:eastAsia="zh-CN"/>
            </w:rPr>
            <w:drawing>
              <wp:inline distT="0" distB="0" distL="0" distR="0" wp14:anchorId="42AF1E01" wp14:editId="531ED99D">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C57634" w:rsidRPr="00D02EFB" w:rsidRDefault="00C57634" w:rsidP="00C57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57D6D"/>
    <w:rsid w:val="00070258"/>
    <w:rsid w:val="0007323C"/>
    <w:rsid w:val="00086D03"/>
    <w:rsid w:val="000A096A"/>
    <w:rsid w:val="000A1FFB"/>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212E"/>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6FF"/>
    <w:rsid w:val="00406D71"/>
    <w:rsid w:val="00411CB3"/>
    <w:rsid w:val="004228FA"/>
    <w:rsid w:val="004326DB"/>
    <w:rsid w:val="0043682E"/>
    <w:rsid w:val="00447ECB"/>
    <w:rsid w:val="004623F7"/>
    <w:rsid w:val="00480F51"/>
    <w:rsid w:val="00481124"/>
    <w:rsid w:val="004815EB"/>
    <w:rsid w:val="00485B89"/>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33D1"/>
    <w:rsid w:val="006550F8"/>
    <w:rsid w:val="006829F3"/>
    <w:rsid w:val="006A518B"/>
    <w:rsid w:val="006B0590"/>
    <w:rsid w:val="006B49DA"/>
    <w:rsid w:val="006C53F8"/>
    <w:rsid w:val="006C7CDE"/>
    <w:rsid w:val="00703B8D"/>
    <w:rsid w:val="00703C30"/>
    <w:rsid w:val="007234B1"/>
    <w:rsid w:val="00723D08"/>
    <w:rsid w:val="00725FDA"/>
    <w:rsid w:val="00727816"/>
    <w:rsid w:val="00730B9A"/>
    <w:rsid w:val="00732163"/>
    <w:rsid w:val="00732346"/>
    <w:rsid w:val="00750CFA"/>
    <w:rsid w:val="007553DA"/>
    <w:rsid w:val="007611A1"/>
    <w:rsid w:val="00773F7E"/>
    <w:rsid w:val="00775DB8"/>
    <w:rsid w:val="00782354"/>
    <w:rsid w:val="00790F30"/>
    <w:rsid w:val="007921A7"/>
    <w:rsid w:val="007B3DB1"/>
    <w:rsid w:val="007C2E1E"/>
    <w:rsid w:val="007D183E"/>
    <w:rsid w:val="007D43D0"/>
    <w:rsid w:val="007E1833"/>
    <w:rsid w:val="007E3F13"/>
    <w:rsid w:val="007F751A"/>
    <w:rsid w:val="00800012"/>
    <w:rsid w:val="0080261F"/>
    <w:rsid w:val="00806160"/>
    <w:rsid w:val="008143A4"/>
    <w:rsid w:val="0081513E"/>
    <w:rsid w:val="008445CD"/>
    <w:rsid w:val="00854131"/>
    <w:rsid w:val="0085652D"/>
    <w:rsid w:val="0087694B"/>
    <w:rsid w:val="00880F4D"/>
    <w:rsid w:val="0088443B"/>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056F0"/>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A7F5B"/>
    <w:rsid w:val="00BD6738"/>
    <w:rsid w:val="00BD7E5E"/>
    <w:rsid w:val="00BE63DB"/>
    <w:rsid w:val="00BE6574"/>
    <w:rsid w:val="00C07319"/>
    <w:rsid w:val="00C16FD2"/>
    <w:rsid w:val="00C236AF"/>
    <w:rsid w:val="00C3556B"/>
    <w:rsid w:val="00C4395E"/>
    <w:rsid w:val="00C47FFD"/>
    <w:rsid w:val="00C51E92"/>
    <w:rsid w:val="00C57634"/>
    <w:rsid w:val="00C57E2C"/>
    <w:rsid w:val="00C608B7"/>
    <w:rsid w:val="00C624B1"/>
    <w:rsid w:val="00C66F24"/>
    <w:rsid w:val="00C76D7F"/>
    <w:rsid w:val="00C813AA"/>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2CCB"/>
    <w:rsid w:val="00D87E20"/>
    <w:rsid w:val="00D9101C"/>
    <w:rsid w:val="00DA4037"/>
    <w:rsid w:val="00DC06B4"/>
    <w:rsid w:val="00DD0C3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541C0"/>
    <w:rsid w:val="00F55E30"/>
    <w:rsid w:val="00F6184F"/>
    <w:rsid w:val="00F73DBD"/>
    <w:rsid w:val="00F8310E"/>
    <w:rsid w:val="00F914DD"/>
    <w:rsid w:val="00FA2358"/>
    <w:rsid w:val="00FB13C7"/>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basedOn w:val="DefaultParagraphFont"/>
    <w:link w:val="Rectitle"/>
    <w:uiPriority w:val="99"/>
    <w:rsid w:val="00C624B1"/>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66CD-AB0B-49D9-AA90-76AB898C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51</TotalTime>
  <Pages>4</Pages>
  <Words>1048</Words>
  <Characters>6464</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De La Rosa Trivino, Maria Dolores</cp:lastModifiedBy>
  <cp:revision>10</cp:revision>
  <cp:lastPrinted>2019-06-13T07:29:00Z</cp:lastPrinted>
  <dcterms:created xsi:type="dcterms:W3CDTF">2019-06-10T12:53:00Z</dcterms:created>
  <dcterms:modified xsi:type="dcterms:W3CDTF">2019-06-13T10:27:00Z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