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513EC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13EC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513E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F513EC" w:rsidRDefault="00E53DCE" w:rsidP="008D7CAA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513EC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F513EC" w:rsidRDefault="001152EF" w:rsidP="00B33975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F513EC">
              <w:rPr>
                <w:lang w:val="ru-RU"/>
              </w:rPr>
              <w:t>Административный циркуляр</w:t>
            </w:r>
          </w:p>
          <w:p w:rsidR="00E53DCE" w:rsidRPr="00F513EC" w:rsidRDefault="00C82365" w:rsidP="008D7CAA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513EC">
              <w:rPr>
                <w:b/>
                <w:bCs/>
                <w:szCs w:val="24"/>
                <w:lang w:val="ru-RU"/>
              </w:rPr>
              <w:t>CACE/</w:t>
            </w:r>
            <w:r w:rsidR="00B33975" w:rsidRPr="00F513EC">
              <w:rPr>
                <w:b/>
                <w:bCs/>
                <w:szCs w:val="24"/>
                <w:lang w:val="ru-RU"/>
              </w:rPr>
              <w:t>89</w:t>
            </w:r>
            <w:r w:rsidR="00695573" w:rsidRPr="00F513EC">
              <w:rPr>
                <w:b/>
                <w:bCs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F513EC" w:rsidRDefault="007E5A33" w:rsidP="007E5A33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F2FEE498DA3643FEBD342415B2CAB4A7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Fonts w:cs="Arial"/>
                  </w:rPr>
                  <w:t>24</w:t>
                </w:r>
                <w:r w:rsidRPr="00D7555E">
                  <w:rPr>
                    <w:rFonts w:cs="Arial"/>
                    <w:lang w:val="ru-RU"/>
                  </w:rPr>
                  <w:t xml:space="preserve"> апреля 2019 года</w:t>
                </w:r>
              </w:sdtContent>
            </w:sdt>
            <w:bookmarkStart w:id="0" w:name="_GoBack"/>
            <w:bookmarkEnd w:id="0"/>
          </w:p>
        </w:tc>
      </w:tr>
      <w:tr w:rsidR="00E53DCE" w:rsidRPr="00F513EC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13EC" w:rsidRDefault="00E53DCE" w:rsidP="008D7CAA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F513EC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13EC" w:rsidRDefault="00E53DCE" w:rsidP="008D7CAA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33434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13EC" w:rsidRDefault="00B33975" w:rsidP="00695573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513EC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95573" w:rsidRPr="00F513EC">
              <w:rPr>
                <w:b/>
                <w:bCs/>
                <w:lang w:val="ru-RU"/>
              </w:rPr>
              <w:t>6</w:t>
            </w:r>
            <w:r w:rsidRPr="00F513EC">
              <w:rPr>
                <w:b/>
                <w:bCs/>
                <w:lang w:val="ru-RU"/>
              </w:rPr>
              <w:t>-й Исследовательской комиссии по радиосвязи, и Академическим организациям – Членам МСЭ</w:t>
            </w:r>
          </w:p>
        </w:tc>
      </w:tr>
      <w:tr w:rsidR="00E53DCE" w:rsidRPr="0033434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13EC" w:rsidRDefault="00E53DCE" w:rsidP="008D7CAA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26815" w:rsidRPr="0033434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26815" w:rsidRPr="00F513EC" w:rsidRDefault="00E26815" w:rsidP="008D7CAA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334342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13EC" w:rsidRDefault="00E53DCE" w:rsidP="008D7CAA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627C5" w:rsidRPr="00334342" w:rsidTr="009B3A48">
        <w:trPr>
          <w:trHeight w:val="854"/>
          <w:jc w:val="center"/>
        </w:trPr>
        <w:tc>
          <w:tcPr>
            <w:tcW w:w="1526" w:type="dxa"/>
            <w:shd w:val="clear" w:color="auto" w:fill="auto"/>
          </w:tcPr>
          <w:p w:rsidR="002627C5" w:rsidRPr="00F513EC" w:rsidRDefault="002627C5" w:rsidP="008D7CA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F513EC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02043" w:rsidRPr="00F513EC" w:rsidRDefault="00902043" w:rsidP="007D1FC3">
            <w:pPr>
              <w:tabs>
                <w:tab w:val="left" w:pos="493"/>
              </w:tabs>
              <w:spacing w:before="0"/>
              <w:rPr>
                <w:b/>
                <w:bCs/>
                <w:lang w:val="ru-RU"/>
              </w:rPr>
            </w:pPr>
            <w:r w:rsidRPr="00F513EC">
              <w:rPr>
                <w:b/>
                <w:bCs/>
                <w:lang w:val="ru-RU"/>
              </w:rPr>
              <w:t>6-я Исследовательская комиссия по радиосвязи (</w:t>
            </w:r>
            <w:r w:rsidR="007D1FC3" w:rsidRPr="00F513EC">
              <w:rPr>
                <w:b/>
                <w:bCs/>
                <w:lang w:val="ru-RU"/>
              </w:rPr>
              <w:t>Вещательные</w:t>
            </w:r>
            <w:r w:rsidRPr="00F513EC">
              <w:rPr>
                <w:b/>
                <w:bCs/>
                <w:lang w:val="ru-RU"/>
              </w:rPr>
              <w:t>служб</w:t>
            </w:r>
            <w:r w:rsidR="007D1FC3" w:rsidRPr="00F513EC">
              <w:rPr>
                <w:b/>
                <w:bCs/>
                <w:lang w:val="ru-RU"/>
              </w:rPr>
              <w:t>ы</w:t>
            </w:r>
            <w:r w:rsidRPr="00F513EC">
              <w:rPr>
                <w:b/>
                <w:bCs/>
                <w:lang w:val="ru-RU"/>
              </w:rPr>
              <w:t>)</w:t>
            </w:r>
          </w:p>
          <w:p w:rsidR="002627C5" w:rsidRPr="00F513EC" w:rsidRDefault="00902043" w:rsidP="00717F44">
            <w:pPr>
              <w:tabs>
                <w:tab w:val="left" w:pos="493"/>
              </w:tabs>
              <w:ind w:left="493" w:hanging="493"/>
              <w:jc w:val="left"/>
              <w:rPr>
                <w:b/>
                <w:bCs/>
                <w:lang w:val="ru-RU"/>
              </w:rPr>
            </w:pPr>
            <w:r w:rsidRPr="00F513EC">
              <w:rPr>
                <w:lang w:val="ru-RU"/>
              </w:rPr>
              <w:t>–</w:t>
            </w:r>
            <w:r w:rsidR="007D1FC3" w:rsidRPr="00F513EC">
              <w:rPr>
                <w:b/>
                <w:bCs/>
                <w:lang w:val="ru-RU"/>
              </w:rPr>
              <w:tab/>
              <w:t>Предлагаемое одобрение проект</w:t>
            </w:r>
            <w:r w:rsidRPr="00F513EC">
              <w:rPr>
                <w:b/>
                <w:bCs/>
                <w:lang w:val="ru-RU"/>
              </w:rPr>
              <w:t xml:space="preserve">ов </w:t>
            </w:r>
            <w:r w:rsidR="007D1FC3" w:rsidRPr="00F513EC">
              <w:rPr>
                <w:b/>
                <w:bCs/>
                <w:lang w:val="ru-RU"/>
              </w:rPr>
              <w:t>двух</w:t>
            </w:r>
            <w:r w:rsidRPr="00F513EC">
              <w:rPr>
                <w:b/>
                <w:bCs/>
                <w:lang w:val="ru-RU"/>
              </w:rPr>
              <w:t xml:space="preserve"> новых Рекомендаций МСЭ-R и</w:t>
            </w:r>
            <w:r w:rsidR="00717F44" w:rsidRPr="00F513EC">
              <w:rPr>
                <w:b/>
                <w:bCs/>
                <w:lang w:val="ru-RU"/>
              </w:rPr>
              <w:t> </w:t>
            </w:r>
            <w:r w:rsidRPr="00F513EC">
              <w:rPr>
                <w:b/>
                <w:bCs/>
                <w:lang w:val="ru-RU"/>
              </w:rPr>
              <w:t xml:space="preserve">проектов </w:t>
            </w:r>
            <w:r w:rsidR="007D1FC3" w:rsidRPr="00F513EC">
              <w:rPr>
                <w:b/>
                <w:bCs/>
                <w:lang w:val="ru-RU"/>
              </w:rPr>
              <w:t xml:space="preserve">четырех </w:t>
            </w:r>
            <w:r w:rsidRPr="00F513EC">
              <w:rPr>
                <w:b/>
                <w:bCs/>
                <w:lang w:val="ru-RU"/>
              </w:rPr>
              <w:t>пересмотренных Рекомендаций МСЭ-R и их одновременное утверждение по переписке в соответствии с п. A2.6.2.4 Резолюции МСЭ-R 1-7 (Процедура одновременного одобрения и утверждения по переписке)</w:t>
            </w:r>
          </w:p>
        </w:tc>
      </w:tr>
    </w:tbl>
    <w:p w:rsidR="007D1FC3" w:rsidRPr="00F513EC" w:rsidRDefault="007D1FC3" w:rsidP="00F447C2">
      <w:pPr>
        <w:spacing w:before="840"/>
        <w:rPr>
          <w:rFonts w:cstheme="majorBidi"/>
          <w:lang w:val="ru-RU"/>
        </w:rPr>
      </w:pPr>
      <w:r w:rsidRPr="00F513EC">
        <w:rPr>
          <w:lang w:val="ru-RU"/>
        </w:rPr>
        <w:t>На собрании 6-й Исследовательской комиссии по радиосвязи, состоявшемся с 5 апреля 2019 года, Исследовательская комиссия приняла решение добиваться одобрения проектов двух новых Рекомендаций МСЭ-R и проектов четырех пересмотренных Рекомендаций МСЭ-R по переписке (п. </w:t>
      </w:r>
      <w:r w:rsidRPr="00F513EC">
        <w:rPr>
          <w:bCs/>
          <w:lang w:val="ru-RU"/>
        </w:rPr>
        <w:t xml:space="preserve">A2.6.2 </w:t>
      </w:r>
      <w:r w:rsidRPr="00F513EC">
        <w:rPr>
          <w:lang w:val="ru-RU"/>
        </w:rPr>
        <w:t>Резолюции МСЭ</w:t>
      </w:r>
      <w:r w:rsidRPr="00F513EC">
        <w:rPr>
          <w:lang w:val="ru-RU"/>
        </w:rPr>
        <w:noBreakHyphen/>
        <w:t>R 1-7), а также решила применить процедуру одновременного одобрения и утверждения по переписке (PSAA) (п. </w:t>
      </w:r>
      <w:r w:rsidRPr="00F513EC">
        <w:rPr>
          <w:bCs/>
          <w:lang w:val="ru-RU"/>
        </w:rPr>
        <w:t xml:space="preserve">A2.6.2.4 </w:t>
      </w:r>
      <w:r w:rsidRPr="00F513EC">
        <w:rPr>
          <w:lang w:val="ru-RU"/>
        </w:rPr>
        <w:t>Резолюции МСЭ</w:t>
      </w:r>
      <w:r w:rsidRPr="00F513EC">
        <w:rPr>
          <w:lang w:val="ru-RU"/>
        </w:rPr>
        <w:noBreakHyphen/>
        <w:t xml:space="preserve">R 1-7). Названия и резюме проектов Рекомендаций приведены в Приложении к настоящему письму. Всем </w:t>
      </w:r>
      <w:r w:rsidRPr="00F513EC">
        <w:rPr>
          <w:rFonts w:cstheme="majorBidi"/>
          <w:color w:val="000000"/>
          <w:lang w:val="ru-RU"/>
        </w:rPr>
        <w:t xml:space="preserve">Государствам-Членам, возражающим против одобрения какого-либо проекта Рекомендации, предлагается сообщить Директору и </w:t>
      </w:r>
      <w:r w:rsidR="00F447C2" w:rsidRPr="00F513EC">
        <w:rPr>
          <w:rFonts w:cstheme="majorBidi"/>
          <w:color w:val="000000"/>
          <w:lang w:val="ru-RU"/>
        </w:rPr>
        <w:t>п</w:t>
      </w:r>
      <w:r w:rsidRPr="00F513EC">
        <w:rPr>
          <w:rFonts w:cstheme="majorBidi"/>
          <w:color w:val="000000"/>
          <w:lang w:val="ru-RU"/>
        </w:rPr>
        <w:t>редседателю Исследовательской комиссии причины такого несогласия</w:t>
      </w:r>
      <w:r w:rsidRPr="00F513EC">
        <w:rPr>
          <w:rFonts w:cstheme="majorBidi"/>
          <w:lang w:val="ru-RU"/>
        </w:rPr>
        <w:t>.</w:t>
      </w:r>
    </w:p>
    <w:p w:rsidR="007D1FC3" w:rsidRPr="00F513EC" w:rsidRDefault="007D1FC3" w:rsidP="00334342">
      <w:pPr>
        <w:rPr>
          <w:lang w:val="ru-RU"/>
        </w:rPr>
      </w:pPr>
      <w:r w:rsidRPr="00F513EC">
        <w:rPr>
          <w:lang w:val="ru-RU"/>
        </w:rPr>
        <w:t xml:space="preserve">Период рассмотрения продлится два месяца и завершится </w:t>
      </w:r>
      <w:r w:rsidR="00334342" w:rsidRPr="00334342">
        <w:rPr>
          <w:u w:val="single"/>
          <w:lang w:val="ru-RU"/>
        </w:rPr>
        <w:t>24</w:t>
      </w:r>
      <w:r w:rsidRPr="00F513EC">
        <w:rPr>
          <w:u w:val="single"/>
          <w:lang w:val="ru-RU"/>
        </w:rPr>
        <w:t> июня 2019 года</w:t>
      </w:r>
      <w:r w:rsidRPr="00F513EC">
        <w:rPr>
          <w:lang w:val="ru-RU"/>
        </w:rPr>
        <w:t xml:space="preserve">. Если в течение этого периода от Государств-Членов не поступит возражений, то проекты Рекомендаций будут считаться одобренными 6-й Исследовательской комиссией. Кроме того, в силу применения процедуры PSAA эти проекты Рекомендаций также будут считаться утвержденными. </w:t>
      </w:r>
    </w:p>
    <w:p w:rsidR="007D1FC3" w:rsidRPr="00F513EC" w:rsidRDefault="007D1FC3" w:rsidP="007D1FC3">
      <w:pPr>
        <w:rPr>
          <w:lang w:val="ru-RU"/>
        </w:rPr>
      </w:pPr>
      <w:r w:rsidRPr="00F513EC">
        <w:rPr>
          <w:lang w:val="ru-RU"/>
        </w:rPr>
        <w:t xml:space="preserve">По истечении вышеуказанного предельного срока результаты упомянутых 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F513EC">
          <w:rPr>
            <w:color w:val="0000FF"/>
            <w:u w:val="single"/>
            <w:lang w:val="ru-RU"/>
          </w:rPr>
          <w:t>http://www.itu.int/pub/R-REC</w:t>
        </w:r>
      </w:hyperlink>
      <w:r w:rsidRPr="00F513EC">
        <w:rPr>
          <w:lang w:val="ru-RU"/>
        </w:rPr>
        <w:t>).</w:t>
      </w:r>
    </w:p>
    <w:p w:rsidR="00E26815" w:rsidRPr="00F513EC" w:rsidRDefault="00E2681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theme="majorBidi"/>
          <w:color w:val="000000"/>
          <w:lang w:val="ru-RU"/>
        </w:rPr>
      </w:pPr>
      <w:r w:rsidRPr="00F513EC">
        <w:rPr>
          <w:rFonts w:cstheme="majorBidi"/>
          <w:color w:val="000000"/>
          <w:lang w:val="ru-RU"/>
        </w:rPr>
        <w:br w:type="page"/>
      </w:r>
    </w:p>
    <w:p w:rsidR="00E26815" w:rsidRPr="00F513EC" w:rsidRDefault="00E26815" w:rsidP="00E26815">
      <w:pPr>
        <w:rPr>
          <w:rFonts w:cstheme="majorBidi"/>
          <w:lang w:val="ru-RU"/>
        </w:rPr>
      </w:pPr>
      <w:r w:rsidRPr="00F513EC">
        <w:rPr>
          <w:rFonts w:cstheme="majorBidi"/>
          <w:color w:val="000000"/>
          <w:lang w:val="ru-RU"/>
        </w:rPr>
        <w:lastRenderedPageBreak/>
        <w:t>Всем организациям, являющимся членами МСЭ и осведомленным о патентах,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об общей патентной политике МСЭ</w:t>
      </w:r>
      <w:r w:rsidRPr="00F513EC">
        <w:rPr>
          <w:rFonts w:cstheme="majorBidi"/>
          <w:color w:val="000000"/>
          <w:lang w:val="ru-RU"/>
        </w:rPr>
        <w:noBreakHyphen/>
        <w:t>T/МСЭ-R/ИСО/МЭК доступна по адресу</w:t>
      </w:r>
      <w:r w:rsidRPr="00F513EC">
        <w:rPr>
          <w:rFonts w:cstheme="majorBidi"/>
          <w:lang w:val="ru-RU"/>
        </w:rPr>
        <w:t xml:space="preserve">: </w:t>
      </w:r>
      <w:hyperlink r:id="rId9" w:history="1">
        <w:r w:rsidRPr="00F513EC">
          <w:rPr>
            <w:rStyle w:val="Hyperlink"/>
            <w:lang w:val="ru-RU"/>
          </w:rPr>
          <w:t>http://www.itu.int/en/ITU-T/ipr/Pages/policy.aspx</w:t>
        </w:r>
      </w:hyperlink>
      <w:r w:rsidRPr="00F513EC">
        <w:rPr>
          <w:rFonts w:cstheme="majorBidi"/>
          <w:lang w:val="ru-RU"/>
        </w:rPr>
        <w:t>.</w:t>
      </w:r>
    </w:p>
    <w:p w:rsidR="00B33975" w:rsidRPr="00F513EC" w:rsidRDefault="00B33975" w:rsidP="00E26815">
      <w:pPr>
        <w:spacing w:before="1440"/>
        <w:jc w:val="left"/>
        <w:rPr>
          <w:lang w:val="ru-RU"/>
        </w:rPr>
      </w:pPr>
      <w:r w:rsidRPr="00F513EC">
        <w:rPr>
          <w:lang w:val="ru-RU"/>
        </w:rPr>
        <w:t>Марио Маневич</w:t>
      </w:r>
      <w:r w:rsidRPr="00F513EC">
        <w:rPr>
          <w:lang w:val="ru-RU"/>
        </w:rPr>
        <w:br/>
        <w:t>Директор</w:t>
      </w:r>
    </w:p>
    <w:p w:rsidR="00E26815" w:rsidRPr="00F513EC" w:rsidRDefault="00E26815" w:rsidP="0014346B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1440"/>
        <w:rPr>
          <w:lang w:val="ru-RU"/>
        </w:rPr>
      </w:pPr>
      <w:r w:rsidRPr="00F513EC">
        <w:rPr>
          <w:b/>
          <w:bCs/>
          <w:lang w:val="ru-RU"/>
        </w:rPr>
        <w:t>Приложение</w:t>
      </w:r>
      <w:r w:rsidRPr="00F513EC">
        <w:rPr>
          <w:lang w:val="ru-RU"/>
        </w:rPr>
        <w:t xml:space="preserve">: </w:t>
      </w:r>
      <w:r w:rsidRPr="00F513EC">
        <w:rPr>
          <w:lang w:val="ru-RU"/>
        </w:rPr>
        <w:tab/>
        <w:t>Названия и резюме проект</w:t>
      </w:r>
      <w:r w:rsidR="0014346B" w:rsidRPr="00F513EC">
        <w:rPr>
          <w:lang w:val="ru-RU"/>
        </w:rPr>
        <w:t>о</w:t>
      </w:r>
      <w:r w:rsidRPr="00F513EC">
        <w:rPr>
          <w:lang w:val="ru-RU"/>
        </w:rPr>
        <w:t>в Рекомендаций</w:t>
      </w:r>
    </w:p>
    <w:p w:rsidR="00E26815" w:rsidRPr="00F513EC" w:rsidRDefault="00E26815" w:rsidP="001A55CD">
      <w:pPr>
        <w:tabs>
          <w:tab w:val="clear" w:pos="794"/>
          <w:tab w:val="clear" w:pos="1191"/>
          <w:tab w:val="clear" w:pos="1588"/>
          <w:tab w:val="left" w:pos="1418"/>
        </w:tabs>
        <w:spacing w:before="720"/>
        <w:rPr>
          <w:lang w:val="ru-RU"/>
        </w:rPr>
      </w:pPr>
      <w:r w:rsidRPr="00F513EC">
        <w:rPr>
          <w:b/>
          <w:bCs/>
          <w:lang w:val="ru-RU"/>
        </w:rPr>
        <w:t>Документы</w:t>
      </w:r>
      <w:r w:rsidRPr="00F513EC">
        <w:rPr>
          <w:lang w:val="ru-RU"/>
        </w:rPr>
        <w:t>:</w:t>
      </w:r>
      <w:r w:rsidRPr="00F513EC">
        <w:rPr>
          <w:lang w:val="ru-RU"/>
        </w:rPr>
        <w:tab/>
        <w:t>Документ</w:t>
      </w:r>
      <w:r w:rsidR="000C6343" w:rsidRPr="00F513EC">
        <w:rPr>
          <w:lang w:val="ru-RU"/>
        </w:rPr>
        <w:t>ы</w:t>
      </w:r>
      <w:r w:rsidRPr="00F513EC">
        <w:rPr>
          <w:lang w:val="ru-RU"/>
        </w:rPr>
        <w:t xml:space="preserve"> </w:t>
      </w:r>
      <w:r w:rsidR="0014346B" w:rsidRPr="00F513EC">
        <w:rPr>
          <w:lang w:val="ru-RU"/>
        </w:rPr>
        <w:t>6/300, 6/306(Rev.1), 6/308(Rev.2), 6/310, 6/316 и 6/321</w:t>
      </w:r>
    </w:p>
    <w:p w:rsidR="00E26815" w:rsidRPr="00F513EC" w:rsidRDefault="00E26815" w:rsidP="0014346B">
      <w:pPr>
        <w:spacing w:before="240"/>
        <w:rPr>
          <w:lang w:val="ru-RU"/>
        </w:rPr>
      </w:pPr>
      <w:r w:rsidRPr="00F513EC">
        <w:rPr>
          <w:lang w:val="ru-RU"/>
        </w:rPr>
        <w:t xml:space="preserve">Эти документы доступны в электронном формате по адресу: </w:t>
      </w:r>
      <w:hyperlink r:id="rId10" w:history="1">
        <w:r w:rsidR="0014346B" w:rsidRPr="00F513EC">
          <w:rPr>
            <w:rStyle w:val="Hyperlink"/>
            <w:lang w:val="ru-RU"/>
          </w:rPr>
          <w:t>https://www.itu.int/md/R15-SG06-C/en</w:t>
        </w:r>
      </w:hyperlink>
      <w:r w:rsidR="00F513EC" w:rsidRPr="00F513EC">
        <w:rPr>
          <w:rFonts w:cstheme="majorBidi"/>
          <w:lang w:val="ru-RU"/>
        </w:rPr>
        <w:t>.</w:t>
      </w:r>
    </w:p>
    <w:p w:rsidR="00E26815" w:rsidRPr="00F513EC" w:rsidRDefault="00E26815" w:rsidP="001A55CD">
      <w:pPr>
        <w:tabs>
          <w:tab w:val="left" w:pos="6237"/>
        </w:tabs>
        <w:spacing w:before="4800"/>
        <w:rPr>
          <w:sz w:val="20"/>
          <w:lang w:val="ru-RU"/>
        </w:rPr>
      </w:pPr>
      <w:bookmarkStart w:id="1" w:name="ddistribution"/>
      <w:bookmarkEnd w:id="1"/>
      <w:r w:rsidRPr="00F513EC">
        <w:rPr>
          <w:b/>
          <w:bCs/>
          <w:sz w:val="20"/>
          <w:lang w:val="ru-RU"/>
        </w:rPr>
        <w:t>Рассылка</w:t>
      </w:r>
      <w:r w:rsidRPr="00F513EC">
        <w:rPr>
          <w:sz w:val="20"/>
          <w:lang w:val="ru-RU"/>
        </w:rPr>
        <w:t>: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14346B" w:rsidRPr="00F513EC">
        <w:rPr>
          <w:sz w:val="20"/>
          <w:lang w:val="ru-RU"/>
        </w:rPr>
        <w:t>6</w:t>
      </w:r>
      <w:r w:rsidRPr="00F513EC">
        <w:rPr>
          <w:sz w:val="20"/>
          <w:lang w:val="ru-RU"/>
        </w:rPr>
        <w:noBreakHyphen/>
        <w:t>й Исследовательской комиссии по радиосвязи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0"/>
        <w:ind w:left="426" w:right="-142" w:hanging="426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 xml:space="preserve">Ассоциированным членам МСЭ-R, участвующим в работе </w:t>
      </w:r>
      <w:r w:rsidR="0014346B" w:rsidRPr="00F513EC">
        <w:rPr>
          <w:sz w:val="20"/>
          <w:lang w:val="ru-RU"/>
        </w:rPr>
        <w:t>6</w:t>
      </w:r>
      <w:r w:rsidRPr="00F513EC">
        <w:rPr>
          <w:sz w:val="20"/>
          <w:lang w:val="ru-RU"/>
        </w:rPr>
        <w:t>-й Исследовательской комиссии по радиосвязи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>Академическим организациям – Членам МСЭ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>Членам Радиорегламентарного комитета</w:t>
      </w:r>
    </w:p>
    <w:p w:rsidR="00E26815" w:rsidRPr="00F513EC" w:rsidRDefault="00E26815" w:rsidP="000C634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F513EC">
        <w:rPr>
          <w:sz w:val="20"/>
          <w:lang w:val="ru-RU"/>
        </w:rPr>
        <w:t>–</w:t>
      </w:r>
      <w:r w:rsidRPr="00F513EC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F513EC">
        <w:rPr>
          <w:sz w:val="20"/>
          <w:lang w:val="ru-RU"/>
        </w:rPr>
        <w:br w:type="page"/>
      </w:r>
    </w:p>
    <w:p w:rsidR="00B33975" w:rsidRPr="00F513EC" w:rsidRDefault="000C6343" w:rsidP="00B33975">
      <w:pPr>
        <w:pStyle w:val="AnnexNo"/>
        <w:spacing w:before="0"/>
      </w:pPr>
      <w:r w:rsidRPr="00F513EC">
        <w:lastRenderedPageBreak/>
        <w:t>Приложение</w:t>
      </w:r>
    </w:p>
    <w:p w:rsidR="00717F44" w:rsidRPr="00F513EC" w:rsidRDefault="00717F44" w:rsidP="00717F44">
      <w:pPr>
        <w:pStyle w:val="Annextitle"/>
      </w:pPr>
      <w:r w:rsidRPr="00F513EC">
        <w:t>Названия и резюме проектов Рекомендаций</w:t>
      </w:r>
    </w:p>
    <w:p w:rsidR="00717F44" w:rsidRPr="00F513EC" w:rsidRDefault="00717F44" w:rsidP="00717F4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F513EC">
        <w:rPr>
          <w:u w:val="single"/>
          <w:lang w:val="ru-RU"/>
        </w:rPr>
        <w:t>Проект новой Рекомендации МСЭ-R BS.[NEW1286</w:t>
      </w:r>
      <w:r w:rsidRPr="00F513EC">
        <w:rPr>
          <w:lang w:val="ru-RU"/>
        </w:rPr>
        <w:t>]</w:t>
      </w:r>
      <w:r w:rsidRPr="00F513EC">
        <w:rPr>
          <w:lang w:val="ru-RU"/>
        </w:rPr>
        <w:tab/>
        <w:t>Док. 6/306(Rev.1)</w:t>
      </w:r>
    </w:p>
    <w:p w:rsidR="00717F44" w:rsidRPr="00F513EC" w:rsidRDefault="00283CC0" w:rsidP="00717F44">
      <w:pPr>
        <w:pStyle w:val="Restitle"/>
        <w:rPr>
          <w:rStyle w:val="RectitleChar"/>
          <w:rFonts w:eastAsia="MS Mincho"/>
          <w:b/>
          <w:lang w:val="ru-RU"/>
        </w:rPr>
      </w:pPr>
      <w:r w:rsidRPr="00F513EC">
        <w:rPr>
          <w:rStyle w:val="RectitleChar"/>
          <w:rFonts w:eastAsia="MS Mincho"/>
          <w:b/>
          <w:lang w:val="ru-RU"/>
        </w:rPr>
        <w:t xml:space="preserve">Методы субъективной оценки звуковых систем </w:t>
      </w:r>
      <w:r w:rsidRPr="00F513EC">
        <w:rPr>
          <w:rStyle w:val="RectitleChar"/>
          <w:rFonts w:eastAsia="MS Mincho"/>
          <w:b/>
          <w:lang w:val="ru-RU"/>
        </w:rPr>
        <w:br/>
        <w:t>с сопровождающим изображением</w:t>
      </w:r>
    </w:p>
    <w:p w:rsidR="00717F44" w:rsidRPr="00F513EC" w:rsidRDefault="00F447C2" w:rsidP="001B2A21">
      <w:pPr>
        <w:pStyle w:val="Normalaftertitle"/>
        <w:rPr>
          <w:lang w:val="ru-RU"/>
        </w:rPr>
      </w:pPr>
      <w:r w:rsidRPr="00F513EC">
        <w:rPr>
          <w:lang w:val="ru-RU"/>
        </w:rPr>
        <w:t>В настоящей Рекомендации описаны методы субъективной оценки звуковых систем с сопровождающим изображением</w:t>
      </w:r>
      <w:r w:rsidR="00717F44" w:rsidRPr="00F513EC">
        <w:rPr>
          <w:lang w:val="ru-RU"/>
        </w:rPr>
        <w:t xml:space="preserve">. </w:t>
      </w:r>
      <w:r w:rsidRPr="00F513EC">
        <w:rPr>
          <w:lang w:val="ru-RU"/>
        </w:rPr>
        <w:t xml:space="preserve">В Рекомендации поддерживаются </w:t>
      </w:r>
      <w:r w:rsidR="001B2A21" w:rsidRPr="00F513EC">
        <w:rPr>
          <w:lang w:val="ru-RU"/>
        </w:rPr>
        <w:t>как</w:t>
      </w:r>
      <w:r w:rsidRPr="00F513EC">
        <w:rPr>
          <w:lang w:val="ru-RU"/>
        </w:rPr>
        <w:t xml:space="preserve"> метод</w:t>
      </w:r>
      <w:r w:rsidR="001B2A21" w:rsidRPr="00F513EC">
        <w:rPr>
          <w:lang w:val="ru-RU"/>
        </w:rPr>
        <w:t xml:space="preserve">ы </w:t>
      </w:r>
      <w:r w:rsidRPr="00F513EC">
        <w:rPr>
          <w:lang w:val="ru-RU"/>
        </w:rPr>
        <w:t>для звуковых систем с многоканальным стереофоническим звуком до 3/2 с изображением высокой четкости</w:t>
      </w:r>
      <w:r w:rsidR="001B2A21" w:rsidRPr="00F513EC">
        <w:rPr>
          <w:lang w:val="ru-RU"/>
        </w:rPr>
        <w:t>, которые определены</w:t>
      </w:r>
      <w:r w:rsidRPr="00F513EC">
        <w:rPr>
          <w:lang w:val="ru-RU"/>
        </w:rPr>
        <w:t xml:space="preserve"> </w:t>
      </w:r>
      <w:r w:rsidR="003E660A" w:rsidRPr="00F513EC">
        <w:rPr>
          <w:lang w:val="ru-RU"/>
        </w:rPr>
        <w:t>в Рекомендации МСЭ</w:t>
      </w:r>
      <w:r w:rsidR="00717F44" w:rsidRPr="00F513EC">
        <w:rPr>
          <w:lang w:val="ru-RU"/>
        </w:rPr>
        <w:t>-R BS.1286</w:t>
      </w:r>
      <w:r w:rsidR="001B2A21" w:rsidRPr="00F513EC">
        <w:rPr>
          <w:lang w:val="ru-RU"/>
        </w:rPr>
        <w:t>, так</w:t>
      </w:r>
      <w:r w:rsidR="00717F44" w:rsidRPr="00F513EC">
        <w:rPr>
          <w:lang w:val="ru-RU"/>
        </w:rPr>
        <w:t xml:space="preserve"> </w:t>
      </w:r>
      <w:r w:rsidRPr="00F513EC">
        <w:rPr>
          <w:lang w:val="ru-RU"/>
        </w:rPr>
        <w:t>и методы для усовершенствованных звуковых систем с сопровождающим изображением ТСВЧ</w:t>
      </w:r>
      <w:r w:rsidR="00717F44" w:rsidRPr="00F513EC">
        <w:rPr>
          <w:lang w:val="ru-RU"/>
        </w:rPr>
        <w:t>.</w:t>
      </w:r>
    </w:p>
    <w:p w:rsidR="00717F44" w:rsidRPr="00F513EC" w:rsidRDefault="00717F44" w:rsidP="00717F4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u w:val="single"/>
          <w:lang w:val="ru-RU"/>
        </w:rPr>
      </w:pPr>
      <w:r w:rsidRPr="00F513EC">
        <w:rPr>
          <w:u w:val="single"/>
          <w:lang w:val="ru-RU"/>
        </w:rPr>
        <w:t>Проект новой Рекомендации МСЭ-R BS.[RENDERER</w:t>
      </w:r>
      <w:r w:rsidRPr="00F513EC">
        <w:rPr>
          <w:lang w:val="ru-RU"/>
        </w:rPr>
        <w:t>]</w:t>
      </w:r>
      <w:r w:rsidRPr="00F513EC">
        <w:rPr>
          <w:lang w:val="ru-RU"/>
        </w:rPr>
        <w:tab/>
      </w:r>
      <w:r w:rsidRPr="00F513EC">
        <w:rPr>
          <w:u w:val="single"/>
          <w:lang w:val="ru-RU"/>
        </w:rPr>
        <w:t>Док. 6/308(Rev.2)</w:t>
      </w:r>
    </w:p>
    <w:p w:rsidR="00717F44" w:rsidRPr="00F513EC" w:rsidRDefault="00F233C8" w:rsidP="00F233C8">
      <w:pPr>
        <w:pStyle w:val="Restitle"/>
        <w:rPr>
          <w:rStyle w:val="RectitleChar"/>
          <w:rFonts w:asciiTheme="minorHAnsi" w:eastAsia="MS Mincho" w:hAnsiTheme="minorHAnsi" w:cstheme="minorHAnsi"/>
          <w:b/>
          <w:lang w:val="ru-RU"/>
        </w:rPr>
      </w:pPr>
      <w:r w:rsidRPr="00F513EC">
        <w:rPr>
          <w:rStyle w:val="RectitleChar"/>
          <w:rFonts w:asciiTheme="minorHAnsi" w:eastAsia="MS Mincho" w:hAnsiTheme="minorHAnsi" w:cstheme="minorHAnsi"/>
          <w:b/>
          <w:lang w:val="ru-RU"/>
        </w:rPr>
        <w:t xml:space="preserve">Рендерер </w:t>
      </w:r>
      <w:r w:rsidR="00717F44" w:rsidRPr="00F513EC">
        <w:rPr>
          <w:rStyle w:val="RectitleChar"/>
          <w:rFonts w:asciiTheme="minorHAnsi" w:eastAsia="MS Mincho" w:hAnsiTheme="minorHAnsi" w:cstheme="minorHAnsi"/>
          <w:b/>
          <w:lang w:val="ru-RU"/>
        </w:rPr>
        <w:t xml:space="preserve">ADM </w:t>
      </w:r>
      <w:r w:rsidR="001B2A21" w:rsidRPr="00F513EC">
        <w:rPr>
          <w:rStyle w:val="RectitleChar"/>
          <w:rFonts w:asciiTheme="minorHAnsi" w:eastAsia="MS Mincho" w:hAnsiTheme="minorHAnsi" w:cstheme="minorHAnsi"/>
          <w:b/>
          <w:lang w:val="ru-RU"/>
        </w:rPr>
        <w:t>для усовершенствованных звуковых систем</w:t>
      </w:r>
    </w:p>
    <w:p w:rsidR="00717F44" w:rsidRPr="00F513EC" w:rsidRDefault="001B2A21" w:rsidP="00F233C8">
      <w:pPr>
        <w:pStyle w:val="Normalaftertitle"/>
        <w:rPr>
          <w:lang w:val="ru-RU"/>
        </w:rPr>
      </w:pPr>
      <w:r w:rsidRPr="00F513EC">
        <w:rPr>
          <w:lang w:val="ru-RU"/>
        </w:rPr>
        <w:t xml:space="preserve">В настоящей Рекомендации определен эталонный рендерер для использования с усовершенствованными звуковыми системами, которые описаны в </w:t>
      </w:r>
      <w:r w:rsidR="003E660A" w:rsidRPr="00F513EC">
        <w:rPr>
          <w:lang w:val="ru-RU"/>
        </w:rPr>
        <w:t xml:space="preserve">Рекомендации МСЭ-R </w:t>
      </w:r>
      <w:r w:rsidR="00717F44" w:rsidRPr="00F513EC">
        <w:rPr>
          <w:lang w:val="ru-RU"/>
        </w:rPr>
        <w:t xml:space="preserve">BS.2051-2, </w:t>
      </w:r>
      <w:r w:rsidRPr="00F513EC">
        <w:rPr>
          <w:lang w:val="ru-RU"/>
        </w:rPr>
        <w:t>и относящи</w:t>
      </w:r>
      <w:r w:rsidR="00F233C8" w:rsidRPr="00F513EC">
        <w:rPr>
          <w:lang w:val="ru-RU"/>
        </w:rPr>
        <w:t>ми</w:t>
      </w:r>
      <w:r w:rsidRPr="00F513EC">
        <w:rPr>
          <w:lang w:val="ru-RU"/>
        </w:rPr>
        <w:t>ся к звуковому сигналу метаданны</w:t>
      </w:r>
      <w:r w:rsidR="00F233C8" w:rsidRPr="00F513EC">
        <w:rPr>
          <w:lang w:val="ru-RU"/>
        </w:rPr>
        <w:t>ми</w:t>
      </w:r>
      <w:r w:rsidR="00D4114C" w:rsidRPr="00F513EC">
        <w:rPr>
          <w:lang w:val="ru-RU"/>
        </w:rPr>
        <w:t>, которые описаны в модели определения аудиофайла</w:t>
      </w:r>
      <w:r w:rsidR="00717F44" w:rsidRPr="00F513EC">
        <w:rPr>
          <w:lang w:val="ru-RU"/>
        </w:rPr>
        <w:t xml:space="preserve"> (ADM) </w:t>
      </w:r>
      <w:r w:rsidR="003E660A" w:rsidRPr="00F513EC">
        <w:rPr>
          <w:lang w:val="ru-RU"/>
        </w:rPr>
        <w:t xml:space="preserve">в Рекомендации МСЭ-R </w:t>
      </w:r>
      <w:r w:rsidR="00717F44" w:rsidRPr="00F513EC">
        <w:rPr>
          <w:lang w:val="ru-RU"/>
        </w:rPr>
        <w:t>BS.2076-1.</w:t>
      </w:r>
    </w:p>
    <w:p w:rsidR="00717F44" w:rsidRPr="00F513EC" w:rsidRDefault="00717F44" w:rsidP="00717F4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u w:val="single"/>
          <w:lang w:val="ru-RU"/>
        </w:rPr>
      </w:pPr>
      <w:r w:rsidRPr="00F513EC">
        <w:rPr>
          <w:u w:val="single"/>
          <w:lang w:val="ru-RU"/>
        </w:rPr>
        <w:t>Проект пересмотра Рекомендации МСЭ-R BS.1114-10</w:t>
      </w:r>
      <w:r w:rsidRPr="00F513EC">
        <w:rPr>
          <w:lang w:val="ru-RU"/>
        </w:rPr>
        <w:tab/>
      </w:r>
      <w:r w:rsidRPr="00F513EC">
        <w:rPr>
          <w:u w:val="single"/>
          <w:lang w:val="ru-RU"/>
        </w:rPr>
        <w:t>Док. 6/310</w:t>
      </w:r>
    </w:p>
    <w:p w:rsidR="00717F44" w:rsidRPr="00F513EC" w:rsidRDefault="00283CC0" w:rsidP="00717F44">
      <w:pPr>
        <w:pStyle w:val="Restitle"/>
        <w:rPr>
          <w:rStyle w:val="RectitleChar"/>
          <w:rFonts w:eastAsia="MS Mincho"/>
          <w:b/>
          <w:lang w:val="ru-RU"/>
        </w:rPr>
      </w:pPr>
      <w:r w:rsidRPr="00F513EC">
        <w:rPr>
          <w:rStyle w:val="RectitleChar"/>
          <w:rFonts w:eastAsia="MS Mincho"/>
          <w:b/>
          <w:lang w:val="ru-RU"/>
        </w:rPr>
        <w:t>Системы наземного цифрового звукового радиовещания на автомобильные, переносные и стационарные приемники в диапазоне частот 30–3000 МГц</w:t>
      </w:r>
    </w:p>
    <w:p w:rsidR="00717F44" w:rsidRPr="00F513EC" w:rsidRDefault="00B306B0" w:rsidP="000C6343">
      <w:pPr>
        <w:pStyle w:val="Normalaftertitle"/>
        <w:rPr>
          <w:lang w:val="ru-RU"/>
        </w:rPr>
      </w:pPr>
      <w:r w:rsidRPr="00F513EC">
        <w:rPr>
          <w:lang w:val="ru-RU"/>
        </w:rPr>
        <w:t xml:space="preserve">В Рекомендацию МСЭ-R BS.1114 </w:t>
      </w:r>
      <w:r w:rsidR="000C6343" w:rsidRPr="00F513EC">
        <w:rPr>
          <w:lang w:val="ru-RU"/>
        </w:rPr>
        <w:t xml:space="preserve">включена </w:t>
      </w:r>
      <w:r w:rsidRPr="00F513EC">
        <w:rPr>
          <w:lang w:val="ru-RU"/>
        </w:rPr>
        <w:t xml:space="preserve">система </w:t>
      </w:r>
      <w:r w:rsidR="00717F44" w:rsidRPr="00F513EC">
        <w:rPr>
          <w:lang w:val="ru-RU"/>
        </w:rPr>
        <w:t>RAVIS</w:t>
      </w:r>
      <w:r w:rsidRPr="00F513EC">
        <w:rPr>
          <w:lang w:val="ru-RU"/>
        </w:rPr>
        <w:t xml:space="preserve"> как Цифровая система </w:t>
      </w:r>
      <w:r w:rsidR="00717F44" w:rsidRPr="00F513EC">
        <w:rPr>
          <w:lang w:val="ru-RU"/>
        </w:rPr>
        <w:t xml:space="preserve">I. </w:t>
      </w:r>
      <w:r w:rsidRPr="00F513EC">
        <w:rPr>
          <w:lang w:val="ru-RU"/>
        </w:rPr>
        <w:t>В новом Приложении </w:t>
      </w:r>
      <w:r w:rsidR="00717F44" w:rsidRPr="00F513EC">
        <w:rPr>
          <w:lang w:val="ru-RU"/>
        </w:rPr>
        <w:t xml:space="preserve">7 </w:t>
      </w:r>
      <w:r w:rsidRPr="00F513EC">
        <w:rPr>
          <w:lang w:val="ru-RU"/>
        </w:rPr>
        <w:t xml:space="preserve">описаны характеристики системы </w:t>
      </w:r>
      <w:r w:rsidR="00717F44" w:rsidRPr="00F513EC">
        <w:rPr>
          <w:lang w:val="ru-RU"/>
        </w:rPr>
        <w:t>RAVIS.</w:t>
      </w:r>
    </w:p>
    <w:p w:rsidR="00717F44" w:rsidRPr="00F513EC" w:rsidRDefault="00717F44" w:rsidP="00717F4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u w:val="single"/>
          <w:lang w:val="ru-RU"/>
        </w:rPr>
      </w:pPr>
      <w:r w:rsidRPr="00F513EC">
        <w:rPr>
          <w:u w:val="single"/>
          <w:lang w:val="ru-RU"/>
        </w:rPr>
        <w:t>Проект пересмотра Рекомендации МСЭ-R BS.1660-7</w:t>
      </w:r>
      <w:r w:rsidRPr="00F513EC">
        <w:rPr>
          <w:lang w:val="ru-RU"/>
        </w:rPr>
        <w:tab/>
      </w:r>
      <w:r w:rsidRPr="00F513EC">
        <w:rPr>
          <w:u w:val="single"/>
          <w:lang w:val="ru-RU"/>
        </w:rPr>
        <w:t>Док. 6/316</w:t>
      </w:r>
    </w:p>
    <w:p w:rsidR="00717F44" w:rsidRPr="00F513EC" w:rsidRDefault="00283CC0" w:rsidP="00717F44">
      <w:pPr>
        <w:pStyle w:val="Restitle"/>
        <w:rPr>
          <w:rStyle w:val="RectitleChar"/>
          <w:rFonts w:eastAsia="MS Mincho"/>
          <w:b/>
          <w:lang w:val="ru-RU"/>
        </w:rPr>
      </w:pPr>
      <w:r w:rsidRPr="00F513EC">
        <w:rPr>
          <w:rStyle w:val="RectitleChar"/>
          <w:rFonts w:eastAsia="MS Mincho"/>
          <w:b/>
          <w:lang w:val="ru-RU"/>
        </w:rPr>
        <w:t>Техническая основа для планирования наземного цифрового звукового радиовещания в диапазоне ОВЧ</w:t>
      </w:r>
    </w:p>
    <w:p w:rsidR="00717F44" w:rsidRPr="00F513EC" w:rsidRDefault="00B306B0" w:rsidP="00743236">
      <w:pPr>
        <w:pStyle w:val="Normalaftertitle"/>
        <w:rPr>
          <w:spacing w:val="-2"/>
          <w:lang w:val="ru-RU"/>
        </w:rPr>
      </w:pPr>
      <w:r w:rsidRPr="00F513EC">
        <w:rPr>
          <w:spacing w:val="-2"/>
          <w:lang w:val="ru-RU"/>
        </w:rPr>
        <w:t>В новое Приложение 4 включена информация о технических характеристиках цифровой системы </w:t>
      </w:r>
      <w:r w:rsidR="00717F44" w:rsidRPr="00F513EC">
        <w:rPr>
          <w:spacing w:val="-2"/>
          <w:lang w:val="ru-RU"/>
        </w:rPr>
        <w:t>C (</w:t>
      </w:r>
      <w:r w:rsidRPr="00F513EC">
        <w:rPr>
          <w:spacing w:val="-2"/>
          <w:lang w:val="ru-RU"/>
        </w:rPr>
        <w:t>радиовещание высокого разрешения</w:t>
      </w:r>
      <w:r w:rsidR="00717F44" w:rsidRPr="00F513EC">
        <w:rPr>
          <w:spacing w:val="-2"/>
          <w:lang w:val="ru-RU"/>
        </w:rPr>
        <w:t xml:space="preserve">). </w:t>
      </w:r>
      <w:r w:rsidRPr="00F513EC">
        <w:rPr>
          <w:spacing w:val="-2"/>
          <w:lang w:val="ru-RU"/>
        </w:rPr>
        <w:t>В Приложении </w:t>
      </w:r>
      <w:r w:rsidR="00717F44" w:rsidRPr="00F513EC">
        <w:rPr>
          <w:spacing w:val="-2"/>
          <w:lang w:val="ru-RU"/>
        </w:rPr>
        <w:t>1</w:t>
      </w:r>
      <w:r w:rsidRPr="00F513EC">
        <w:rPr>
          <w:spacing w:val="-2"/>
          <w:lang w:val="ru-RU"/>
        </w:rPr>
        <w:t xml:space="preserve"> обновлена информация о цифровой системе</w:t>
      </w:r>
      <w:r w:rsidR="00743236" w:rsidRPr="00F513EC">
        <w:rPr>
          <w:spacing w:val="-2"/>
          <w:lang w:val="ru-RU"/>
        </w:rPr>
        <w:t> </w:t>
      </w:r>
      <w:r w:rsidR="00717F44" w:rsidRPr="00F513EC">
        <w:rPr>
          <w:spacing w:val="-2"/>
          <w:lang w:val="ru-RU"/>
        </w:rPr>
        <w:t>A.</w:t>
      </w:r>
    </w:p>
    <w:p w:rsidR="00717F44" w:rsidRPr="00F513EC" w:rsidRDefault="00717F44" w:rsidP="00717F44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u w:val="single"/>
          <w:lang w:val="ru-RU"/>
        </w:rPr>
      </w:pPr>
      <w:r w:rsidRPr="00F513EC">
        <w:rPr>
          <w:u w:val="single"/>
          <w:lang w:val="ru-RU"/>
        </w:rPr>
        <w:lastRenderedPageBreak/>
        <w:t>Проект пересмотра Рекомендации МСЭ-R BT.2036-2</w:t>
      </w:r>
      <w:r w:rsidRPr="00F513EC">
        <w:rPr>
          <w:lang w:val="ru-RU"/>
        </w:rPr>
        <w:tab/>
      </w:r>
      <w:r w:rsidRPr="00F513EC">
        <w:rPr>
          <w:u w:val="single"/>
          <w:lang w:val="ru-RU"/>
        </w:rPr>
        <w:t>Док. 6/321</w:t>
      </w:r>
    </w:p>
    <w:p w:rsidR="00717F44" w:rsidRPr="00F513EC" w:rsidRDefault="00283CC0" w:rsidP="00283CC0">
      <w:pPr>
        <w:pStyle w:val="Restitle"/>
        <w:rPr>
          <w:rStyle w:val="RectitleChar"/>
          <w:rFonts w:eastAsia="MS Mincho"/>
          <w:b/>
          <w:lang w:val="ru-RU"/>
        </w:rPr>
      </w:pPr>
      <w:r w:rsidRPr="00F513EC">
        <w:rPr>
          <w:rStyle w:val="RectitleChar"/>
          <w:rFonts w:eastAsia="MS Mincho"/>
          <w:b/>
          <w:lang w:val="ru-RU"/>
        </w:rPr>
        <w:t xml:space="preserve">Характеристики эталонной приемной системы для планирования частот </w:t>
      </w:r>
      <w:r w:rsidRPr="00F513EC">
        <w:rPr>
          <w:rStyle w:val="RectitleChar"/>
          <w:rFonts w:eastAsia="MS Mincho"/>
          <w:b/>
          <w:lang w:val="ru-RU"/>
        </w:rPr>
        <w:br/>
        <w:t>систем цифрового наземного телевидения</w:t>
      </w:r>
    </w:p>
    <w:p w:rsidR="00717F44" w:rsidRPr="00F513EC" w:rsidRDefault="00743236" w:rsidP="00AA1D92">
      <w:pPr>
        <w:pStyle w:val="Normalaftertitle"/>
        <w:rPr>
          <w:lang w:val="ru-RU"/>
        </w:rPr>
      </w:pPr>
      <w:r w:rsidRPr="00F513EC">
        <w:rPr>
          <w:lang w:val="ru-RU"/>
        </w:rPr>
        <w:t>В предлагаемом пересмотре существующая таблица </w:t>
      </w:r>
      <w:r w:rsidR="00717F44" w:rsidRPr="00F513EC">
        <w:rPr>
          <w:lang w:val="ru-RU"/>
        </w:rPr>
        <w:t xml:space="preserve">16 </w:t>
      </w:r>
      <w:r w:rsidR="003E660A" w:rsidRPr="00F513EC">
        <w:rPr>
          <w:lang w:val="ru-RU"/>
        </w:rPr>
        <w:t xml:space="preserve">Рекомендации МСЭ-R </w:t>
      </w:r>
      <w:r w:rsidR="00717F44" w:rsidRPr="00F513EC">
        <w:rPr>
          <w:lang w:val="ru-RU"/>
        </w:rPr>
        <w:t>BT.2036 "</w:t>
      </w:r>
      <w:r w:rsidR="00283CC0" w:rsidRPr="00F513EC">
        <w:rPr>
          <w:lang w:val="ru-RU"/>
        </w:rPr>
        <w:t>Характеристики эталонного приемника ISDB-T для планирования ЦНТВ</w:t>
      </w:r>
      <w:r w:rsidR="00717F44" w:rsidRPr="00F513EC">
        <w:rPr>
          <w:lang w:val="ru-RU"/>
        </w:rPr>
        <w:t xml:space="preserve">" </w:t>
      </w:r>
      <w:r w:rsidRPr="00F513EC">
        <w:rPr>
          <w:lang w:val="ru-RU"/>
        </w:rPr>
        <w:t>заменена двумя таблицами</w:t>
      </w:r>
      <w:r w:rsidR="00717F44" w:rsidRPr="00F513EC">
        <w:rPr>
          <w:lang w:val="ru-RU"/>
        </w:rPr>
        <w:t xml:space="preserve">: </w:t>
      </w:r>
      <w:r w:rsidRPr="00F513EC">
        <w:rPr>
          <w:lang w:val="ru-RU"/>
        </w:rPr>
        <w:t xml:space="preserve">первая таблица </w:t>
      </w:r>
      <w:r w:rsidR="00AA1D92" w:rsidRPr="00F513EC">
        <w:rPr>
          <w:lang w:val="ru-RU"/>
        </w:rPr>
        <w:t>относится к</w:t>
      </w:r>
      <w:r w:rsidRPr="00F513EC">
        <w:rPr>
          <w:lang w:val="ru-RU"/>
        </w:rPr>
        <w:t xml:space="preserve"> обычному случаю помех, вторая</w:t>
      </w:r>
      <w:r w:rsidR="00AA1D92" w:rsidRPr="00F513EC">
        <w:rPr>
          <w:lang w:val="ru-RU"/>
        </w:rPr>
        <w:t> −</w:t>
      </w:r>
      <w:r w:rsidRPr="00F513EC">
        <w:rPr>
          <w:lang w:val="ru-RU"/>
        </w:rPr>
        <w:t xml:space="preserve"> к устойчивости эталонного приемника ISDB-T к </w:t>
      </w:r>
      <w:r w:rsidR="00AA1D92" w:rsidRPr="00F513EC">
        <w:rPr>
          <w:lang w:val="ru-RU"/>
        </w:rPr>
        <w:t>сильным помеховым сигналам</w:t>
      </w:r>
      <w:r w:rsidR="00717F44" w:rsidRPr="00F513EC">
        <w:rPr>
          <w:lang w:val="ru-RU"/>
        </w:rPr>
        <w:t xml:space="preserve">. </w:t>
      </w:r>
      <w:r w:rsidRPr="00F513EC">
        <w:rPr>
          <w:lang w:val="ru-RU"/>
        </w:rPr>
        <w:t>Для пояснения терминов, используемых в этих таблицах, добавлены примечания</w:t>
      </w:r>
      <w:r w:rsidR="00717F44" w:rsidRPr="00F513EC">
        <w:rPr>
          <w:lang w:val="ru-RU"/>
        </w:rPr>
        <w:t>.</w:t>
      </w:r>
    </w:p>
    <w:p w:rsidR="00717F44" w:rsidRPr="00F513EC" w:rsidRDefault="00717F44" w:rsidP="00717F4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u w:val="single"/>
          <w:lang w:val="ru-RU"/>
        </w:rPr>
      </w:pPr>
      <w:r w:rsidRPr="00F513EC">
        <w:rPr>
          <w:u w:val="single"/>
          <w:lang w:val="ru-RU"/>
        </w:rPr>
        <w:t>Проект пересмотра Рекомендации МСЭ-R BT.2111-0</w:t>
      </w:r>
      <w:r w:rsidRPr="00F513EC">
        <w:rPr>
          <w:lang w:val="ru-RU"/>
        </w:rPr>
        <w:tab/>
      </w:r>
      <w:r w:rsidRPr="00F513EC">
        <w:rPr>
          <w:u w:val="single"/>
          <w:lang w:val="ru-RU"/>
        </w:rPr>
        <w:t>Док. 6/300</w:t>
      </w:r>
    </w:p>
    <w:p w:rsidR="00717F44" w:rsidRPr="00F513EC" w:rsidRDefault="00283CC0" w:rsidP="00283CC0">
      <w:pPr>
        <w:pStyle w:val="Restitle"/>
        <w:rPr>
          <w:rStyle w:val="RectitleChar"/>
          <w:rFonts w:eastAsia="MS Mincho"/>
          <w:b/>
          <w:lang w:val="ru-RU"/>
        </w:rPr>
      </w:pPr>
      <w:r w:rsidRPr="00F513EC">
        <w:rPr>
          <w:rStyle w:val="RectitleChar"/>
          <w:rFonts w:eastAsia="MS Mincho"/>
          <w:b/>
          <w:lang w:val="ru-RU"/>
        </w:rPr>
        <w:t>Спецификация испытательной таблицы цветных полос для телевизионных систем большого динамического диапазона</w:t>
      </w:r>
    </w:p>
    <w:p w:rsidR="00717F44" w:rsidRPr="00F513EC" w:rsidRDefault="00FB48FA" w:rsidP="000C6343">
      <w:pPr>
        <w:pStyle w:val="Normalaftertitle"/>
        <w:rPr>
          <w:lang w:val="ru-RU"/>
        </w:rPr>
      </w:pPr>
      <w:r w:rsidRPr="00F513EC">
        <w:rPr>
          <w:lang w:val="ru-RU"/>
        </w:rPr>
        <w:t>В пересмотр</w:t>
      </w:r>
      <w:r w:rsidR="000C6343" w:rsidRPr="00F513EC">
        <w:rPr>
          <w:lang w:val="ru-RU"/>
        </w:rPr>
        <w:t>е</w:t>
      </w:r>
      <w:r w:rsidRPr="00F513EC">
        <w:rPr>
          <w:lang w:val="ru-RU"/>
        </w:rPr>
        <w:t xml:space="preserve"> разъясняется спецификация сигнала </w:t>
      </w:r>
      <w:r w:rsidR="00134ABC" w:rsidRPr="00F513EC">
        <w:rPr>
          <w:lang w:val="ru-RU"/>
        </w:rPr>
        <w:t xml:space="preserve">"пилы" </w:t>
      </w:r>
      <w:r w:rsidRPr="00F513EC">
        <w:rPr>
          <w:lang w:val="ru-RU"/>
        </w:rPr>
        <w:t>испытательной таблицы цветных полос для телевидения большого динамического диапазона, которая представлена на рисунках </w:t>
      </w:r>
      <w:r w:rsidR="00717F44" w:rsidRPr="00F513EC">
        <w:rPr>
          <w:lang w:val="ru-RU"/>
        </w:rPr>
        <w:t xml:space="preserve">5 </w:t>
      </w:r>
      <w:r w:rsidRPr="00F513EC">
        <w:rPr>
          <w:lang w:val="ru-RU"/>
        </w:rPr>
        <w:t>и </w:t>
      </w:r>
      <w:r w:rsidR="00717F44" w:rsidRPr="00F513EC">
        <w:rPr>
          <w:lang w:val="ru-RU"/>
        </w:rPr>
        <w:t xml:space="preserve">6 </w:t>
      </w:r>
      <w:r w:rsidRPr="00F513EC">
        <w:rPr>
          <w:lang w:val="ru-RU"/>
        </w:rPr>
        <w:t>и в таблицах </w:t>
      </w:r>
      <w:r w:rsidR="00717F44" w:rsidRPr="00F513EC">
        <w:rPr>
          <w:lang w:val="ru-RU"/>
        </w:rPr>
        <w:t xml:space="preserve">5 </w:t>
      </w:r>
      <w:r w:rsidRPr="00F513EC">
        <w:rPr>
          <w:lang w:val="ru-RU"/>
        </w:rPr>
        <w:t>и</w:t>
      </w:r>
      <w:r w:rsidR="00717F44" w:rsidRPr="00F513EC">
        <w:rPr>
          <w:lang w:val="ru-RU"/>
        </w:rPr>
        <w:t xml:space="preserve"> 6. </w:t>
      </w:r>
      <w:r w:rsidR="00134ABC" w:rsidRPr="00F513EC">
        <w:rPr>
          <w:lang w:val="ru-RU"/>
        </w:rPr>
        <w:t xml:space="preserve">В частности, разъясняются начальные и конечные </w:t>
      </w:r>
      <w:r w:rsidR="00017788" w:rsidRPr="00F513EC">
        <w:rPr>
          <w:lang w:val="ru-RU"/>
        </w:rPr>
        <w:t>отсчеты участка</w:t>
      </w:r>
      <w:r w:rsidR="00134ABC" w:rsidRPr="00F513EC">
        <w:rPr>
          <w:lang w:val="ru-RU"/>
        </w:rPr>
        <w:t>, определенно</w:t>
      </w:r>
      <w:r w:rsidR="00017788" w:rsidRPr="00F513EC">
        <w:rPr>
          <w:lang w:val="ru-RU"/>
        </w:rPr>
        <w:t>го</w:t>
      </w:r>
      <w:r w:rsidR="00134ABC" w:rsidRPr="00F513EC">
        <w:rPr>
          <w:lang w:val="ru-RU"/>
        </w:rPr>
        <w:t xml:space="preserve"> на рисунках </w:t>
      </w:r>
      <w:r w:rsidR="00717F44" w:rsidRPr="00F513EC">
        <w:rPr>
          <w:lang w:val="ru-RU"/>
        </w:rPr>
        <w:t xml:space="preserve">5 </w:t>
      </w:r>
      <w:r w:rsidR="00134ABC" w:rsidRPr="00F513EC">
        <w:rPr>
          <w:lang w:val="ru-RU"/>
        </w:rPr>
        <w:t>и </w:t>
      </w:r>
      <w:r w:rsidR="00717F44" w:rsidRPr="00F513EC">
        <w:rPr>
          <w:lang w:val="ru-RU"/>
        </w:rPr>
        <w:t>6</w:t>
      </w:r>
      <w:r w:rsidR="00134ABC" w:rsidRPr="00F513EC">
        <w:rPr>
          <w:lang w:val="ru-RU"/>
        </w:rPr>
        <w:t xml:space="preserve"> как "С"</w:t>
      </w:r>
      <w:r w:rsidR="00717F44" w:rsidRPr="00F513EC">
        <w:rPr>
          <w:lang w:val="ru-RU"/>
        </w:rPr>
        <w:t xml:space="preserve">. </w:t>
      </w:r>
    </w:p>
    <w:p w:rsidR="00717F44" w:rsidRPr="00F513EC" w:rsidRDefault="00017788" w:rsidP="000C6343">
      <w:pPr>
        <w:rPr>
          <w:rStyle w:val="RectitleChar"/>
          <w:rFonts w:cstheme="minorHAnsi"/>
          <w:b w:val="0"/>
          <w:bCs/>
          <w:sz w:val="22"/>
          <w:lang w:val="ru-RU"/>
        </w:rPr>
      </w:pPr>
      <w:r w:rsidRPr="00F513EC">
        <w:rPr>
          <w:lang w:val="ru-RU"/>
        </w:rPr>
        <w:t>В результате внесены изменения в другие значения, указанные в таблицах </w:t>
      </w:r>
      <w:r w:rsidR="00717F44" w:rsidRPr="00F513EC">
        <w:rPr>
          <w:lang w:val="ru-RU"/>
        </w:rPr>
        <w:t xml:space="preserve">5 </w:t>
      </w:r>
      <w:r w:rsidRPr="00F513EC">
        <w:rPr>
          <w:lang w:val="ru-RU"/>
        </w:rPr>
        <w:t>и </w:t>
      </w:r>
      <w:r w:rsidR="00717F44" w:rsidRPr="00F513EC">
        <w:rPr>
          <w:lang w:val="ru-RU"/>
        </w:rPr>
        <w:t xml:space="preserve">6. </w:t>
      </w:r>
      <w:r w:rsidRPr="00F513EC">
        <w:rPr>
          <w:lang w:val="ru-RU"/>
        </w:rPr>
        <w:t xml:space="preserve">В эти таблицы включены дополнительные столбцы для отображения </w:t>
      </w:r>
      <w:r w:rsidR="00717F44" w:rsidRPr="00F513EC">
        <w:rPr>
          <w:lang w:val="ru-RU"/>
        </w:rPr>
        <w:t>10-</w:t>
      </w:r>
      <w:r w:rsidRPr="00F513EC">
        <w:rPr>
          <w:lang w:val="ru-RU"/>
        </w:rPr>
        <w:t>битовых</w:t>
      </w:r>
      <w:r w:rsidR="00717F44" w:rsidRPr="00F513EC">
        <w:rPr>
          <w:lang w:val="ru-RU"/>
        </w:rPr>
        <w:t xml:space="preserve"> </w:t>
      </w:r>
      <w:r w:rsidRPr="00F513EC">
        <w:rPr>
          <w:lang w:val="ru-RU"/>
        </w:rPr>
        <w:t>и</w:t>
      </w:r>
      <w:r w:rsidR="00717F44" w:rsidRPr="00F513EC">
        <w:rPr>
          <w:lang w:val="ru-RU"/>
        </w:rPr>
        <w:t xml:space="preserve"> 12-</w:t>
      </w:r>
      <w:r w:rsidRPr="00F513EC">
        <w:rPr>
          <w:lang w:val="ru-RU"/>
        </w:rPr>
        <w:t>битовых значений, соответственно</w:t>
      </w:r>
      <w:r w:rsidR="00717F44" w:rsidRPr="00F513EC">
        <w:rPr>
          <w:lang w:val="ru-RU"/>
        </w:rPr>
        <w:t xml:space="preserve">. </w:t>
      </w:r>
      <w:r w:rsidRPr="00F513EC">
        <w:rPr>
          <w:lang w:val="ru-RU"/>
        </w:rPr>
        <w:t>Другие изменения в таблицах </w:t>
      </w:r>
      <w:r w:rsidR="00717F44" w:rsidRPr="00F513EC">
        <w:rPr>
          <w:lang w:val="ru-RU"/>
        </w:rPr>
        <w:t xml:space="preserve">2, 3, 4 </w:t>
      </w:r>
      <w:r w:rsidRPr="00F513EC">
        <w:rPr>
          <w:lang w:val="ru-RU"/>
        </w:rPr>
        <w:t>и на рисунке </w:t>
      </w:r>
      <w:r w:rsidR="00717F44" w:rsidRPr="00F513EC">
        <w:rPr>
          <w:lang w:val="ru-RU"/>
        </w:rPr>
        <w:t>6</w:t>
      </w:r>
      <w:r w:rsidRPr="00F513EC">
        <w:rPr>
          <w:lang w:val="ru-RU"/>
        </w:rPr>
        <w:t xml:space="preserve"> носят редакционный либо пояснительный характер</w:t>
      </w:r>
      <w:r w:rsidR="00717F44" w:rsidRPr="00F513EC">
        <w:rPr>
          <w:lang w:val="ru-RU"/>
        </w:rPr>
        <w:t>.</w:t>
      </w:r>
    </w:p>
    <w:p w:rsidR="00717F44" w:rsidRPr="00F513EC" w:rsidRDefault="00717F44" w:rsidP="00717F44">
      <w:pPr>
        <w:spacing w:before="720"/>
        <w:jc w:val="center"/>
        <w:rPr>
          <w:lang w:val="ru-RU"/>
        </w:rPr>
      </w:pPr>
      <w:r w:rsidRPr="00F513EC">
        <w:rPr>
          <w:lang w:val="ru-RU"/>
        </w:rPr>
        <w:t>______________</w:t>
      </w:r>
    </w:p>
    <w:sectPr w:rsidR="00717F44" w:rsidRPr="00F513EC" w:rsidSect="000F6C5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AA" w:rsidRDefault="008D7CAA">
      <w:r>
        <w:separator/>
      </w:r>
    </w:p>
  </w:endnote>
  <w:endnote w:type="continuationSeparator" w:id="0">
    <w:p w:rsidR="008D7CAA" w:rsidRDefault="008D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8B" w:rsidRPr="00B55B8B" w:rsidRDefault="00B55B8B" w:rsidP="000F6C5F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AA" w:rsidRDefault="008D7CAA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AA" w:rsidRDefault="008D7CAA">
      <w:r>
        <w:t>____________________</w:t>
      </w:r>
    </w:p>
  </w:footnote>
  <w:footnote w:type="continuationSeparator" w:id="0">
    <w:p w:rsidR="008D7CAA" w:rsidRDefault="008D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AA" w:rsidRPr="00B33975" w:rsidRDefault="00A4035A" w:rsidP="00B33975">
    <w:pPr>
      <w:pStyle w:val="Header"/>
      <w:spacing w:after="240"/>
      <w:jc w:val="center"/>
      <w:rPr>
        <w:sz w:val="18"/>
        <w:szCs w:val="18"/>
        <w:lang w:val="ru-RU"/>
      </w:rPr>
    </w:pPr>
    <w:r>
      <w:rPr>
        <w:rStyle w:val="PageNumber"/>
        <w:sz w:val="18"/>
        <w:szCs w:val="18"/>
      </w:rPr>
      <w:t xml:space="preserve">- </w:t>
    </w:r>
    <w:r w:rsidR="008D7CAA" w:rsidRPr="00C66C84">
      <w:rPr>
        <w:rStyle w:val="PageNumber"/>
        <w:sz w:val="18"/>
        <w:szCs w:val="18"/>
      </w:rPr>
      <w:fldChar w:fldCharType="begin"/>
    </w:r>
    <w:r w:rsidR="008D7CAA" w:rsidRPr="00C66C84">
      <w:rPr>
        <w:rStyle w:val="PageNumber"/>
        <w:sz w:val="18"/>
        <w:szCs w:val="18"/>
      </w:rPr>
      <w:instrText xml:space="preserve"> PAGE </w:instrText>
    </w:r>
    <w:r w:rsidR="008D7CAA" w:rsidRPr="00C66C84">
      <w:rPr>
        <w:rStyle w:val="PageNumber"/>
        <w:sz w:val="18"/>
        <w:szCs w:val="18"/>
      </w:rPr>
      <w:fldChar w:fldCharType="separate"/>
    </w:r>
    <w:r w:rsidR="007E5A33">
      <w:rPr>
        <w:rStyle w:val="PageNumber"/>
        <w:noProof/>
        <w:sz w:val="18"/>
        <w:szCs w:val="18"/>
      </w:rPr>
      <w:t>4</w:t>
    </w:r>
    <w:r w:rsidR="008D7CAA" w:rsidRPr="00C66C8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AA" w:rsidRPr="00B33975" w:rsidRDefault="00A4035A" w:rsidP="00B33975">
    <w:pPr>
      <w:pStyle w:val="Header"/>
      <w:spacing w:after="240"/>
      <w:jc w:val="center"/>
      <w:rPr>
        <w:sz w:val="18"/>
        <w:szCs w:val="18"/>
        <w:lang w:val="ru-RU"/>
      </w:rPr>
    </w:pPr>
    <w:r>
      <w:rPr>
        <w:rStyle w:val="PageNumber"/>
        <w:sz w:val="18"/>
        <w:szCs w:val="18"/>
      </w:rPr>
      <w:t xml:space="preserve">- </w:t>
    </w:r>
    <w:r w:rsidR="008D7CAA" w:rsidRPr="00C66C84">
      <w:rPr>
        <w:rStyle w:val="PageNumber"/>
        <w:sz w:val="18"/>
        <w:szCs w:val="18"/>
      </w:rPr>
      <w:fldChar w:fldCharType="begin"/>
    </w:r>
    <w:r w:rsidR="008D7CAA" w:rsidRPr="00C66C84">
      <w:rPr>
        <w:rStyle w:val="PageNumber"/>
        <w:sz w:val="18"/>
        <w:szCs w:val="18"/>
      </w:rPr>
      <w:instrText xml:space="preserve"> PAGE </w:instrText>
    </w:r>
    <w:r w:rsidR="008D7CAA" w:rsidRPr="00C66C84">
      <w:rPr>
        <w:rStyle w:val="PageNumber"/>
        <w:sz w:val="18"/>
        <w:szCs w:val="18"/>
      </w:rPr>
      <w:fldChar w:fldCharType="separate"/>
    </w:r>
    <w:r w:rsidR="007E5A33">
      <w:rPr>
        <w:rStyle w:val="PageNumber"/>
        <w:noProof/>
        <w:sz w:val="18"/>
        <w:szCs w:val="18"/>
      </w:rPr>
      <w:t>3</w:t>
    </w:r>
    <w:r w:rsidR="008D7CAA" w:rsidRPr="00C66C8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D7CAA" w:rsidTr="00C82365">
      <w:trPr>
        <w:jc w:val="center"/>
      </w:trPr>
      <w:tc>
        <w:tcPr>
          <w:tcW w:w="4889" w:type="dxa"/>
          <w:tcMar>
            <w:left w:w="0" w:type="dxa"/>
          </w:tcMar>
        </w:tcPr>
        <w:p w:rsidR="008D7CAA" w:rsidRDefault="008D7CAA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76BB1" wp14:editId="2B3B1A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D7CAA" w:rsidRDefault="008D7CAA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582D859" wp14:editId="57B2810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7CAA" w:rsidRPr="001514BF" w:rsidRDefault="008D7CAA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96D16"/>
    <w:rsid w:val="00006A31"/>
    <w:rsid w:val="00006C82"/>
    <w:rsid w:val="00010E30"/>
    <w:rsid w:val="00015C76"/>
    <w:rsid w:val="00017788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67BAB"/>
    <w:rsid w:val="00070258"/>
    <w:rsid w:val="0007323C"/>
    <w:rsid w:val="00086D03"/>
    <w:rsid w:val="000903FD"/>
    <w:rsid w:val="000A096A"/>
    <w:rsid w:val="000A375E"/>
    <w:rsid w:val="000A610F"/>
    <w:rsid w:val="000A7051"/>
    <w:rsid w:val="000B0AF6"/>
    <w:rsid w:val="000B0E9B"/>
    <w:rsid w:val="000B2CAE"/>
    <w:rsid w:val="000C03C7"/>
    <w:rsid w:val="000C2AD0"/>
    <w:rsid w:val="000C6343"/>
    <w:rsid w:val="000E3DEE"/>
    <w:rsid w:val="000F6C5F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34ABC"/>
    <w:rsid w:val="0014346B"/>
    <w:rsid w:val="00144DFB"/>
    <w:rsid w:val="00145519"/>
    <w:rsid w:val="001514BF"/>
    <w:rsid w:val="001642B7"/>
    <w:rsid w:val="001670DE"/>
    <w:rsid w:val="001849D9"/>
    <w:rsid w:val="00187CA3"/>
    <w:rsid w:val="00196710"/>
    <w:rsid w:val="00196770"/>
    <w:rsid w:val="00197324"/>
    <w:rsid w:val="001A55CD"/>
    <w:rsid w:val="001B2A21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27C5"/>
    <w:rsid w:val="00266E74"/>
    <w:rsid w:val="00283C3B"/>
    <w:rsid w:val="00283CC0"/>
    <w:rsid w:val="002861E6"/>
    <w:rsid w:val="00287D18"/>
    <w:rsid w:val="00290B1C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36E5"/>
    <w:rsid w:val="00316935"/>
    <w:rsid w:val="003266ED"/>
    <w:rsid w:val="00326C68"/>
    <w:rsid w:val="00334342"/>
    <w:rsid w:val="003370B8"/>
    <w:rsid w:val="00345D38"/>
    <w:rsid w:val="00352097"/>
    <w:rsid w:val="003666FF"/>
    <w:rsid w:val="0037309C"/>
    <w:rsid w:val="00380A6E"/>
    <w:rsid w:val="003836D4"/>
    <w:rsid w:val="00394236"/>
    <w:rsid w:val="00397F4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660A"/>
    <w:rsid w:val="003E78D6"/>
    <w:rsid w:val="003F1366"/>
    <w:rsid w:val="00400573"/>
    <w:rsid w:val="004007A3"/>
    <w:rsid w:val="00406D71"/>
    <w:rsid w:val="004326DB"/>
    <w:rsid w:val="0043682E"/>
    <w:rsid w:val="00447ECB"/>
    <w:rsid w:val="0045016F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05EC"/>
    <w:rsid w:val="004F178E"/>
    <w:rsid w:val="004F4543"/>
    <w:rsid w:val="004F57BB"/>
    <w:rsid w:val="00505309"/>
    <w:rsid w:val="0050789B"/>
    <w:rsid w:val="005224A1"/>
    <w:rsid w:val="00534372"/>
    <w:rsid w:val="0053567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68E6"/>
    <w:rsid w:val="0064371D"/>
    <w:rsid w:val="00650543"/>
    <w:rsid w:val="00650B2A"/>
    <w:rsid w:val="00651777"/>
    <w:rsid w:val="006550F8"/>
    <w:rsid w:val="00675C14"/>
    <w:rsid w:val="006829F3"/>
    <w:rsid w:val="00695573"/>
    <w:rsid w:val="006A518B"/>
    <w:rsid w:val="006B0590"/>
    <w:rsid w:val="006B49DA"/>
    <w:rsid w:val="006C53F8"/>
    <w:rsid w:val="006C7CDE"/>
    <w:rsid w:val="00710D90"/>
    <w:rsid w:val="00717F44"/>
    <w:rsid w:val="007234B1"/>
    <w:rsid w:val="00723D08"/>
    <w:rsid w:val="00725FDA"/>
    <w:rsid w:val="00727816"/>
    <w:rsid w:val="00730B9A"/>
    <w:rsid w:val="00743236"/>
    <w:rsid w:val="00750CFA"/>
    <w:rsid w:val="007553DA"/>
    <w:rsid w:val="00775DB8"/>
    <w:rsid w:val="00782354"/>
    <w:rsid w:val="007921A7"/>
    <w:rsid w:val="007B3DB1"/>
    <w:rsid w:val="007D183E"/>
    <w:rsid w:val="007D1FC3"/>
    <w:rsid w:val="007D43D0"/>
    <w:rsid w:val="007E1833"/>
    <w:rsid w:val="007E3F13"/>
    <w:rsid w:val="007E5A3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B682E"/>
    <w:rsid w:val="008C2E74"/>
    <w:rsid w:val="008D43F5"/>
    <w:rsid w:val="008D5409"/>
    <w:rsid w:val="008D7CAA"/>
    <w:rsid w:val="008E006D"/>
    <w:rsid w:val="008E38B4"/>
    <w:rsid w:val="008F4F21"/>
    <w:rsid w:val="009004BF"/>
    <w:rsid w:val="00902043"/>
    <w:rsid w:val="00904D4A"/>
    <w:rsid w:val="00906C25"/>
    <w:rsid w:val="009076D7"/>
    <w:rsid w:val="009151BA"/>
    <w:rsid w:val="00925023"/>
    <w:rsid w:val="009277BC"/>
    <w:rsid w:val="00927D57"/>
    <w:rsid w:val="00931A51"/>
    <w:rsid w:val="009452BD"/>
    <w:rsid w:val="00947185"/>
    <w:rsid w:val="009518B3"/>
    <w:rsid w:val="00963D9D"/>
    <w:rsid w:val="0098013E"/>
    <w:rsid w:val="00981B54"/>
    <w:rsid w:val="009842C3"/>
    <w:rsid w:val="00984BD5"/>
    <w:rsid w:val="009A009A"/>
    <w:rsid w:val="009A6BB6"/>
    <w:rsid w:val="009A6FE9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631A"/>
    <w:rsid w:val="00A119E6"/>
    <w:rsid w:val="00A20FBC"/>
    <w:rsid w:val="00A31370"/>
    <w:rsid w:val="00A32C5A"/>
    <w:rsid w:val="00A34D6F"/>
    <w:rsid w:val="00A4035A"/>
    <w:rsid w:val="00A41F91"/>
    <w:rsid w:val="00A63355"/>
    <w:rsid w:val="00A7596D"/>
    <w:rsid w:val="00A9070D"/>
    <w:rsid w:val="00A963DF"/>
    <w:rsid w:val="00A975D8"/>
    <w:rsid w:val="00AA1D92"/>
    <w:rsid w:val="00AB4035"/>
    <w:rsid w:val="00AC0C22"/>
    <w:rsid w:val="00AC242F"/>
    <w:rsid w:val="00AC3896"/>
    <w:rsid w:val="00AD2CF2"/>
    <w:rsid w:val="00AE2D88"/>
    <w:rsid w:val="00AE6F6F"/>
    <w:rsid w:val="00AF17E6"/>
    <w:rsid w:val="00AF3325"/>
    <w:rsid w:val="00AF34D9"/>
    <w:rsid w:val="00AF70DA"/>
    <w:rsid w:val="00B019D3"/>
    <w:rsid w:val="00B306B0"/>
    <w:rsid w:val="00B33975"/>
    <w:rsid w:val="00B34A79"/>
    <w:rsid w:val="00B34CF9"/>
    <w:rsid w:val="00B37559"/>
    <w:rsid w:val="00B4054B"/>
    <w:rsid w:val="00B55B8B"/>
    <w:rsid w:val="00B579B0"/>
    <w:rsid w:val="00B57D11"/>
    <w:rsid w:val="00B649D7"/>
    <w:rsid w:val="00B81C2F"/>
    <w:rsid w:val="00B90743"/>
    <w:rsid w:val="00B90C45"/>
    <w:rsid w:val="00B933BE"/>
    <w:rsid w:val="00BB1024"/>
    <w:rsid w:val="00BD1315"/>
    <w:rsid w:val="00BD6738"/>
    <w:rsid w:val="00BD7E5E"/>
    <w:rsid w:val="00BE63DB"/>
    <w:rsid w:val="00BE6574"/>
    <w:rsid w:val="00C07319"/>
    <w:rsid w:val="00C157B4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0818"/>
    <w:rsid w:val="00CB1AF3"/>
    <w:rsid w:val="00CB3771"/>
    <w:rsid w:val="00CB44BF"/>
    <w:rsid w:val="00CB5153"/>
    <w:rsid w:val="00CC2FAA"/>
    <w:rsid w:val="00CE076A"/>
    <w:rsid w:val="00CE463D"/>
    <w:rsid w:val="00D04BB7"/>
    <w:rsid w:val="00D10BA0"/>
    <w:rsid w:val="00D21694"/>
    <w:rsid w:val="00D24EB5"/>
    <w:rsid w:val="00D35AB9"/>
    <w:rsid w:val="00D4114C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321A"/>
    <w:rsid w:val="00DE66A5"/>
    <w:rsid w:val="00DF2B50"/>
    <w:rsid w:val="00E01059"/>
    <w:rsid w:val="00E04C86"/>
    <w:rsid w:val="00E17344"/>
    <w:rsid w:val="00E20F30"/>
    <w:rsid w:val="00E2189C"/>
    <w:rsid w:val="00E25BB1"/>
    <w:rsid w:val="00E26815"/>
    <w:rsid w:val="00E27BBA"/>
    <w:rsid w:val="00E30E3F"/>
    <w:rsid w:val="00E35E8F"/>
    <w:rsid w:val="00E428AB"/>
    <w:rsid w:val="00E428F4"/>
    <w:rsid w:val="00E438E8"/>
    <w:rsid w:val="00E453A3"/>
    <w:rsid w:val="00E520E2"/>
    <w:rsid w:val="00E530C4"/>
    <w:rsid w:val="00E53DCE"/>
    <w:rsid w:val="00E55996"/>
    <w:rsid w:val="00E61C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33C8"/>
    <w:rsid w:val="00F26672"/>
    <w:rsid w:val="00F424BF"/>
    <w:rsid w:val="00F447C2"/>
    <w:rsid w:val="00F44FC3"/>
    <w:rsid w:val="00F46107"/>
    <w:rsid w:val="00F468C5"/>
    <w:rsid w:val="00F513EC"/>
    <w:rsid w:val="00F52F39"/>
    <w:rsid w:val="00F6184F"/>
    <w:rsid w:val="00F8310E"/>
    <w:rsid w:val="00F843D9"/>
    <w:rsid w:val="00F914DD"/>
    <w:rsid w:val="00F96D16"/>
    <w:rsid w:val="00FA2358"/>
    <w:rsid w:val="00FB2592"/>
    <w:rsid w:val="00FB2810"/>
    <w:rsid w:val="00FB48FA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5738A3C-B266-4796-A166-A6A74D4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33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3397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717F44"/>
    <w:pPr>
      <w:spacing w:before="28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9F631A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B3397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B33975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3397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33975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B33975"/>
    <w:rPr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975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B33975"/>
    <w:pPr>
      <w:spacing w:before="160" w:after="120" w:line="480" w:lineRule="auto"/>
    </w:pPr>
    <w:rPr>
      <w:rFonts w:eastAsia="MS Mincho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33975"/>
    <w:rPr>
      <w:rFonts w:eastAsia="MS Mincho"/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717F44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qFormat/>
    <w:rsid w:val="00717F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semiHidden/>
    <w:unhideWhenUsed/>
    <w:rsid w:val="00F2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EE498DA3643FEBD342415B2CA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7573-038F-4272-88A3-8C34AD2AEE3B}"/>
      </w:docPartPr>
      <w:docPartBody>
        <w:p w:rsidR="00000000" w:rsidRDefault="00C10EDC" w:rsidP="00C10EDC">
          <w:pPr>
            <w:pStyle w:val="F2FEE498DA3643FEBD342415B2CAB4A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D7D72"/>
    <w:rsid w:val="00AF0E86"/>
    <w:rsid w:val="00C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EDC"/>
    <w:rPr>
      <w:color w:val="808080"/>
    </w:rPr>
  </w:style>
  <w:style w:type="paragraph" w:customStyle="1" w:styleId="24D8215E240C4AB589A4B043DE5C6ECF">
    <w:name w:val="24D8215E240C4AB589A4B043DE5C6ECF"/>
  </w:style>
  <w:style w:type="paragraph" w:customStyle="1" w:styleId="CA5B268D6B284C29BF339343652F14E8">
    <w:name w:val="CA5B268D6B284C29BF339343652F14E8"/>
    <w:rsid w:val="00C10EDC"/>
  </w:style>
  <w:style w:type="paragraph" w:customStyle="1" w:styleId="F2FEE498DA3643FEBD342415B2CAB4A7">
    <w:name w:val="F2FEE498DA3643FEBD342415B2CAB4A7"/>
    <w:rsid w:val="00C10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CABC-1BAC-4899-B8BC-AAC4A59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7</TotalTime>
  <Pages>4</Pages>
  <Words>731</Words>
  <Characters>5614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6</cp:revision>
  <cp:lastPrinted>2013-03-08T10:15:00Z</cp:lastPrinted>
  <dcterms:created xsi:type="dcterms:W3CDTF">2019-04-16T06:57:00Z</dcterms:created>
  <dcterms:modified xsi:type="dcterms:W3CDTF">2019-04-23T08:56:00Z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