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3A13CD">
              <w:rPr>
                <w:b/>
                <w:bCs/>
                <w:szCs w:val="24"/>
                <w:lang w:val="fr-CH"/>
              </w:rPr>
              <w:t>CE</w:t>
            </w:r>
            <w:r w:rsidRPr="00773F7E">
              <w:rPr>
                <w:b/>
                <w:bCs/>
                <w:szCs w:val="24"/>
                <w:lang w:val="fr-CH"/>
              </w:rPr>
              <w:t>/</w:t>
            </w:r>
            <w:r w:rsidR="007052AA">
              <w:rPr>
                <w:b/>
                <w:bCs/>
                <w:szCs w:val="24"/>
                <w:lang w:val="fr-CH"/>
              </w:rPr>
              <w:t>675</w:t>
            </w:r>
          </w:p>
        </w:tc>
        <w:tc>
          <w:tcPr>
            <w:tcW w:w="2835" w:type="dxa"/>
            <w:shd w:val="clear" w:color="auto" w:fill="auto"/>
          </w:tcPr>
          <w:p w:rsidR="00E53DCE" w:rsidRPr="00773F7E" w:rsidRDefault="007052AA" w:rsidP="007052AA">
            <w:pPr>
              <w:spacing w:before="0"/>
              <w:jc w:val="right"/>
              <w:rPr>
                <w:sz w:val="28"/>
                <w:szCs w:val="28"/>
                <w:lang w:val="en-GB"/>
              </w:rPr>
            </w:pPr>
            <w:r>
              <w:rPr>
                <w:szCs w:val="24"/>
              </w:rPr>
              <w:t>Le 27 juin 2014</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7617D3" w:rsidTr="006160CB">
        <w:tc>
          <w:tcPr>
            <w:tcW w:w="9889" w:type="dxa"/>
            <w:gridSpan w:val="3"/>
            <w:shd w:val="clear" w:color="auto" w:fill="auto"/>
          </w:tcPr>
          <w:p w:rsidR="00E53DCE" w:rsidRPr="003A13CD" w:rsidRDefault="00EE1A57" w:rsidP="007052AA">
            <w:pPr>
              <w:spacing w:before="0"/>
              <w:jc w:val="left"/>
              <w:rPr>
                <w:b/>
                <w:bCs/>
                <w:szCs w:val="24"/>
                <w:lang w:val="fr-CH"/>
              </w:rPr>
            </w:pPr>
            <w:r w:rsidRPr="003A13CD">
              <w:rPr>
                <w:b/>
                <w:bCs/>
                <w:szCs w:val="24"/>
                <w:lang w:val="fr-CH"/>
              </w:rPr>
              <w:t>Aux Administrations des Etats Membres de l'UIT</w:t>
            </w:r>
            <w:r w:rsidR="003A13CD">
              <w:rPr>
                <w:b/>
                <w:bCs/>
                <w:szCs w:val="24"/>
                <w:lang w:val="fr-CH"/>
              </w:rPr>
              <w:t xml:space="preserve">, </w:t>
            </w:r>
            <w:r w:rsidR="003A13CD" w:rsidRPr="005622AB">
              <w:rPr>
                <w:b/>
                <w:lang w:val="fr-CH"/>
              </w:rPr>
              <w:t>aux Membres du Secteur des radiocommunications</w:t>
            </w:r>
            <w:r w:rsidR="003A13CD">
              <w:rPr>
                <w:b/>
                <w:lang w:val="fr-CH"/>
              </w:rPr>
              <w:t xml:space="preserve"> et</w:t>
            </w:r>
            <w:r w:rsidR="003A13CD" w:rsidRPr="005622AB">
              <w:rPr>
                <w:b/>
                <w:lang w:val="fr-CH"/>
              </w:rPr>
              <w:t xml:space="preserve"> aux Associés de l'UIT-R participa</w:t>
            </w:r>
            <w:r w:rsidR="003A13CD">
              <w:rPr>
                <w:b/>
                <w:lang w:val="fr-CH"/>
              </w:rPr>
              <w:t xml:space="preserve">nt aux travaux de la </w:t>
            </w:r>
            <w:r w:rsidR="00077773">
              <w:rPr>
                <w:b/>
                <w:lang w:val="fr-CH"/>
              </w:rPr>
              <w:br/>
            </w:r>
            <w:r w:rsidR="003A13CD">
              <w:rPr>
                <w:b/>
                <w:lang w:val="fr-CH"/>
              </w:rPr>
              <w:t xml:space="preserve">Commission </w:t>
            </w:r>
            <w:r w:rsidR="003A13CD" w:rsidRPr="005622AB">
              <w:rPr>
                <w:b/>
                <w:lang w:val="fr-CH"/>
              </w:rPr>
              <w:t xml:space="preserve">d'études </w:t>
            </w:r>
            <w:r w:rsidR="007052AA">
              <w:rPr>
                <w:b/>
                <w:lang w:val="fr-CH"/>
              </w:rPr>
              <w:t>1</w:t>
            </w:r>
            <w:r w:rsidR="003A13CD" w:rsidRPr="005622AB">
              <w:rPr>
                <w:b/>
                <w:lang w:val="fr-CH"/>
              </w:rPr>
              <w:t xml:space="preserve"> des radiocommunications</w:t>
            </w:r>
          </w:p>
          <w:p w:rsidR="00E53DCE" w:rsidRPr="00773F7E" w:rsidRDefault="00E53DCE" w:rsidP="006160CB">
            <w:pPr>
              <w:spacing w:before="0"/>
              <w:jc w:val="left"/>
              <w:rPr>
                <w:b/>
                <w:bCs/>
                <w:szCs w:val="24"/>
                <w:lang w:val="fr-CH"/>
              </w:rPr>
            </w:pPr>
          </w:p>
        </w:tc>
      </w:tr>
      <w:tr w:rsidR="00E53DCE" w:rsidRPr="007617D3"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7617D3"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7617D3" w:rsidTr="006160CB">
        <w:tc>
          <w:tcPr>
            <w:tcW w:w="1526" w:type="dxa"/>
            <w:shd w:val="clear" w:color="auto" w:fill="auto"/>
          </w:tcPr>
          <w:p w:rsidR="00E53DCE" w:rsidRPr="00077773" w:rsidRDefault="00E53DCE" w:rsidP="006160CB">
            <w:pPr>
              <w:tabs>
                <w:tab w:val="clear" w:pos="1588"/>
                <w:tab w:val="left" w:pos="1560"/>
              </w:tabs>
              <w:spacing w:before="0"/>
              <w:jc w:val="left"/>
              <w:rPr>
                <w:szCs w:val="24"/>
                <w:lang w:val="fr-CH"/>
              </w:rPr>
            </w:pPr>
            <w:r w:rsidRPr="00077773">
              <w:rPr>
                <w:szCs w:val="24"/>
                <w:lang w:val="fr-CH"/>
              </w:rPr>
              <w:t>Sujet:</w:t>
            </w:r>
          </w:p>
        </w:tc>
        <w:tc>
          <w:tcPr>
            <w:tcW w:w="8363" w:type="dxa"/>
            <w:gridSpan w:val="2"/>
            <w:vMerge w:val="restart"/>
            <w:shd w:val="clear" w:color="auto" w:fill="auto"/>
          </w:tcPr>
          <w:p w:rsidR="003A13CD" w:rsidRPr="00077773" w:rsidRDefault="003A13CD" w:rsidP="007052AA">
            <w:pPr>
              <w:tabs>
                <w:tab w:val="clear" w:pos="794"/>
                <w:tab w:val="clear" w:pos="1191"/>
                <w:tab w:val="clear" w:pos="1588"/>
                <w:tab w:val="clear" w:pos="1985"/>
                <w:tab w:val="left" w:pos="459"/>
                <w:tab w:val="left" w:pos="745"/>
              </w:tabs>
              <w:spacing w:before="0"/>
              <w:jc w:val="left"/>
              <w:rPr>
                <w:b/>
                <w:bCs/>
                <w:szCs w:val="24"/>
                <w:lang w:val="fr-CH"/>
              </w:rPr>
            </w:pPr>
            <w:r w:rsidRPr="00077773">
              <w:rPr>
                <w:b/>
                <w:bCs/>
                <w:szCs w:val="24"/>
                <w:lang w:val="fr-CH"/>
              </w:rPr>
              <w:t xml:space="preserve">Commission d'études </w:t>
            </w:r>
            <w:r w:rsidR="007052AA">
              <w:rPr>
                <w:b/>
                <w:bCs/>
                <w:szCs w:val="24"/>
                <w:lang w:val="fr-CH"/>
              </w:rPr>
              <w:t>1</w:t>
            </w:r>
            <w:r w:rsidRPr="00077773">
              <w:rPr>
                <w:b/>
                <w:bCs/>
                <w:szCs w:val="24"/>
                <w:lang w:val="fr-CH"/>
              </w:rPr>
              <w:t xml:space="preserve"> des radiocommunications </w:t>
            </w:r>
            <w:r w:rsidR="007052AA">
              <w:rPr>
                <w:b/>
                <w:bCs/>
                <w:lang w:val="fr-CH"/>
              </w:rPr>
              <w:t>(Gestion du spectre)</w:t>
            </w:r>
          </w:p>
          <w:p w:rsidR="00E53DCE" w:rsidRPr="003A13CD" w:rsidRDefault="008018B7" w:rsidP="00583F1D">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077773">
              <w:rPr>
                <w:b/>
                <w:bCs/>
                <w:szCs w:val="24"/>
                <w:lang w:val="fr-CH"/>
              </w:rPr>
              <w:t>–</w:t>
            </w:r>
            <w:r w:rsidRPr="00077773">
              <w:rPr>
                <w:b/>
                <w:bCs/>
                <w:szCs w:val="24"/>
                <w:lang w:val="fr-CH"/>
              </w:rPr>
              <w:tab/>
            </w:r>
            <w:r>
              <w:rPr>
                <w:b/>
                <w:bCs/>
                <w:szCs w:val="24"/>
                <w:lang w:val="fr-CH"/>
              </w:rPr>
              <w:t>Proposition d'adoption de</w:t>
            </w:r>
            <w:r w:rsidRPr="00CB3366">
              <w:rPr>
                <w:b/>
                <w:bCs/>
                <w:lang w:val="fr-CH"/>
              </w:rPr>
              <w:t> </w:t>
            </w:r>
            <w:r w:rsidR="00583F1D">
              <w:rPr>
                <w:b/>
                <w:bCs/>
                <w:lang w:val="fr-CH"/>
              </w:rPr>
              <w:t>cinq</w:t>
            </w:r>
            <w:r w:rsidR="007052AA">
              <w:rPr>
                <w:b/>
                <w:bCs/>
                <w:lang w:val="fr-CH"/>
              </w:rPr>
              <w:t xml:space="preserve"> projet</w:t>
            </w:r>
            <w:r w:rsidRPr="00CB3366">
              <w:rPr>
                <w:b/>
                <w:bCs/>
                <w:lang w:val="fr-CH"/>
              </w:rPr>
              <w:t>s de Recommandation UIT-R révisée et</w:t>
            </w:r>
            <w:r>
              <w:rPr>
                <w:b/>
                <w:bCs/>
                <w:lang w:val="fr-CH"/>
              </w:rPr>
              <w:t xml:space="preserve"> leur</w:t>
            </w:r>
            <w:r w:rsidRPr="00CB3366">
              <w:rPr>
                <w:b/>
                <w:bCs/>
                <w:lang w:val="fr-CH"/>
              </w:rPr>
              <w:t xml:space="preserve"> approbation simultanée par correspondance, conformément au § 10.3 de la Résolution UIT-R 1-6 (Procédure d'adoption et d'approbation simultanées par correspondance)</w:t>
            </w:r>
          </w:p>
        </w:tc>
      </w:tr>
      <w:tr w:rsidR="00E53DCE" w:rsidRPr="007617D3" w:rsidTr="006160CB">
        <w:tc>
          <w:tcPr>
            <w:tcW w:w="1526" w:type="dxa"/>
            <w:shd w:val="clear" w:color="auto" w:fill="auto"/>
          </w:tcPr>
          <w:p w:rsidR="00E53DCE" w:rsidRPr="003A13CD"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A13CD" w:rsidRDefault="00E53DCE" w:rsidP="006160CB">
            <w:pPr>
              <w:tabs>
                <w:tab w:val="clear" w:pos="1588"/>
                <w:tab w:val="left" w:pos="1560"/>
              </w:tabs>
              <w:spacing w:before="0"/>
              <w:rPr>
                <w:b/>
                <w:bCs/>
                <w:szCs w:val="24"/>
                <w:lang w:val="fr-CH"/>
              </w:rPr>
            </w:pPr>
          </w:p>
        </w:tc>
      </w:tr>
      <w:tr w:rsidR="00E53DCE" w:rsidRPr="007617D3" w:rsidTr="006160CB">
        <w:tc>
          <w:tcPr>
            <w:tcW w:w="1526" w:type="dxa"/>
            <w:shd w:val="clear" w:color="auto" w:fill="auto"/>
          </w:tcPr>
          <w:p w:rsidR="00E53DCE" w:rsidRPr="003A13CD"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A13CD" w:rsidRDefault="00E53DCE" w:rsidP="006160CB">
            <w:pPr>
              <w:tabs>
                <w:tab w:val="clear" w:pos="1588"/>
                <w:tab w:val="left" w:pos="1560"/>
              </w:tabs>
              <w:spacing w:before="0"/>
              <w:rPr>
                <w:b/>
                <w:bCs/>
                <w:szCs w:val="24"/>
                <w:lang w:val="fr-CH"/>
              </w:rPr>
            </w:pPr>
          </w:p>
        </w:tc>
      </w:tr>
      <w:tr w:rsidR="00E53DCE" w:rsidRPr="007617D3" w:rsidTr="006160CB">
        <w:tc>
          <w:tcPr>
            <w:tcW w:w="9889" w:type="dxa"/>
            <w:gridSpan w:val="3"/>
            <w:shd w:val="clear" w:color="auto" w:fill="auto"/>
          </w:tcPr>
          <w:p w:rsidR="00E53DCE" w:rsidRPr="003A13CD" w:rsidRDefault="00E53DCE" w:rsidP="00E53DCE">
            <w:pPr>
              <w:tabs>
                <w:tab w:val="clear" w:pos="1588"/>
                <w:tab w:val="left" w:pos="1560"/>
              </w:tabs>
              <w:spacing w:before="0"/>
              <w:jc w:val="left"/>
              <w:rPr>
                <w:szCs w:val="24"/>
                <w:lang w:val="fr-CH"/>
              </w:rPr>
            </w:pPr>
          </w:p>
        </w:tc>
      </w:tr>
      <w:tr w:rsidR="00E53DCE" w:rsidRPr="007617D3" w:rsidTr="006160CB">
        <w:tc>
          <w:tcPr>
            <w:tcW w:w="9889" w:type="dxa"/>
            <w:gridSpan w:val="3"/>
            <w:shd w:val="clear" w:color="auto" w:fill="auto"/>
          </w:tcPr>
          <w:p w:rsidR="00E53DCE" w:rsidRPr="003A13CD" w:rsidRDefault="00E53DCE" w:rsidP="006160CB">
            <w:pPr>
              <w:spacing w:before="0"/>
              <w:jc w:val="left"/>
              <w:rPr>
                <w:b/>
                <w:bCs/>
                <w:szCs w:val="24"/>
                <w:lang w:val="fr-CH"/>
              </w:rPr>
            </w:pPr>
          </w:p>
        </w:tc>
      </w:tr>
    </w:tbl>
    <w:p w:rsidR="008018B7" w:rsidRPr="00A12B99" w:rsidRDefault="008018B7" w:rsidP="007617D3">
      <w:pPr>
        <w:spacing w:before="360"/>
        <w:rPr>
          <w:lang w:val="fr-CH"/>
        </w:rPr>
      </w:pPr>
      <w:r w:rsidRPr="00A12B99">
        <w:rPr>
          <w:lang w:val="fr-CH"/>
        </w:rPr>
        <w:t xml:space="preserve">A sa réunion tenue </w:t>
      </w:r>
      <w:r w:rsidR="007617D3">
        <w:rPr>
          <w:lang w:val="fr-CH"/>
        </w:rPr>
        <w:t>le</w:t>
      </w:r>
      <w:r w:rsidRPr="00A12B99">
        <w:rPr>
          <w:lang w:val="fr-CH"/>
        </w:rPr>
        <w:t xml:space="preserve"> </w:t>
      </w:r>
      <w:r w:rsidR="007052AA">
        <w:rPr>
          <w:lang w:val="fr-CH"/>
        </w:rPr>
        <w:t>12</w:t>
      </w:r>
      <w:r w:rsidRPr="00A12B99">
        <w:rPr>
          <w:lang w:val="fr-CH"/>
        </w:rPr>
        <w:t xml:space="preserve"> </w:t>
      </w:r>
      <w:r w:rsidR="007052AA">
        <w:rPr>
          <w:lang w:val="fr-CH"/>
        </w:rPr>
        <w:t>juin</w:t>
      </w:r>
      <w:r w:rsidRPr="00A12B99">
        <w:rPr>
          <w:lang w:val="fr-CH"/>
        </w:rPr>
        <w:t xml:space="preserve"> 201</w:t>
      </w:r>
      <w:r w:rsidR="007052AA">
        <w:rPr>
          <w:lang w:val="fr-CH"/>
        </w:rPr>
        <w:t>4</w:t>
      </w:r>
      <w:r w:rsidRPr="00A12B99">
        <w:rPr>
          <w:lang w:val="fr-CH"/>
        </w:rPr>
        <w:t xml:space="preserve">, la Commission d'études </w:t>
      </w:r>
      <w:r w:rsidR="007052AA">
        <w:rPr>
          <w:lang w:val="fr-CH"/>
        </w:rPr>
        <w:t>1</w:t>
      </w:r>
      <w:r w:rsidRPr="00A12B99">
        <w:rPr>
          <w:lang w:val="fr-CH"/>
        </w:rPr>
        <w:t xml:space="preserve"> des radiocommunications a décidé de demander l'adoption par correspondance de </w:t>
      </w:r>
      <w:r w:rsidR="00583F1D">
        <w:rPr>
          <w:lang w:val="fr-CH"/>
        </w:rPr>
        <w:t>cinq</w:t>
      </w:r>
      <w:r w:rsidR="007052AA">
        <w:rPr>
          <w:lang w:val="fr-CH"/>
        </w:rPr>
        <w:t xml:space="preserve"> projet</w:t>
      </w:r>
      <w:r w:rsidRPr="00A12B99">
        <w:rPr>
          <w:lang w:val="fr-CH"/>
        </w:rPr>
        <w:t xml:space="preserve">s de Recommandation </w:t>
      </w:r>
      <w:r w:rsidR="0066286A">
        <w:rPr>
          <w:lang w:val="fr-CH"/>
        </w:rPr>
        <w:t xml:space="preserve">UIT-R </w:t>
      </w:r>
      <w:r w:rsidRPr="00A12B99">
        <w:rPr>
          <w:lang w:val="fr-CH"/>
        </w:rPr>
        <w:t>révisée (§ 10.2.3 de la Résolution UIT-R 1-6) et a décidé en outre d'appliquer la procédure d'adoption et d'approbation simultanées par correspondance (PAAS), conformément au § 10.3 de la Résolution UIT-R 1-6. L</w:t>
      </w:r>
      <w:r w:rsidR="004F6260">
        <w:rPr>
          <w:lang w:val="fr-CH"/>
        </w:rPr>
        <w:t>es titre</w:t>
      </w:r>
      <w:r w:rsidRPr="00A12B99">
        <w:rPr>
          <w:lang w:val="fr-CH"/>
        </w:rPr>
        <w:t xml:space="preserve">s et </w:t>
      </w:r>
      <w:r w:rsidR="004256F2">
        <w:rPr>
          <w:lang w:val="fr-CH"/>
        </w:rPr>
        <w:t xml:space="preserve">les </w:t>
      </w:r>
      <w:r w:rsidR="004F6260">
        <w:rPr>
          <w:lang w:val="fr-CH"/>
        </w:rPr>
        <w:t>résumé</w:t>
      </w:r>
      <w:r w:rsidRPr="00A12B99">
        <w:rPr>
          <w:lang w:val="fr-CH"/>
        </w:rPr>
        <w:t xml:space="preserve">s </w:t>
      </w:r>
      <w:r w:rsidR="004F6260">
        <w:rPr>
          <w:lang w:val="fr-CH"/>
        </w:rPr>
        <w:t>des projet</w:t>
      </w:r>
      <w:r w:rsidRPr="00A12B99">
        <w:rPr>
          <w:lang w:val="fr-CH"/>
        </w:rPr>
        <w:t>s de Recommandation figurent dans</w:t>
      </w:r>
      <w:r w:rsidR="004256F2">
        <w:rPr>
          <w:lang w:val="fr-CH"/>
        </w:rPr>
        <w:t xml:space="preserve"> l'Annexe de la présente lettre</w:t>
      </w:r>
      <w:r w:rsidRPr="00A12B99">
        <w:rPr>
          <w:lang w:val="fr-CH"/>
        </w:rPr>
        <w:t xml:space="preserve">. </w:t>
      </w:r>
    </w:p>
    <w:p w:rsidR="008018B7" w:rsidRPr="00A12B99" w:rsidRDefault="008018B7" w:rsidP="001A1B31">
      <w:pPr>
        <w:rPr>
          <w:lang w:val="fr-CH"/>
        </w:rPr>
      </w:pPr>
      <w:r w:rsidRPr="00A12B99">
        <w:rPr>
          <w:lang w:val="fr-CH"/>
        </w:rPr>
        <w:t xml:space="preserve">La période d'examen, de </w:t>
      </w:r>
      <w:r>
        <w:rPr>
          <w:lang w:val="fr-CH"/>
        </w:rPr>
        <w:t>deux</w:t>
      </w:r>
      <w:r w:rsidRPr="00A12B99">
        <w:rPr>
          <w:lang w:val="fr-CH"/>
        </w:rPr>
        <w:t xml:space="preserve"> mois, se terminera le </w:t>
      </w:r>
      <w:r w:rsidR="001A1B31">
        <w:rPr>
          <w:u w:val="single"/>
          <w:lang w:val="fr-CH"/>
        </w:rPr>
        <w:t>27</w:t>
      </w:r>
      <w:r w:rsidRPr="001A1B31">
        <w:rPr>
          <w:u w:val="single"/>
          <w:lang w:val="fr-CH"/>
        </w:rPr>
        <w:t xml:space="preserve"> </w:t>
      </w:r>
      <w:r w:rsidR="001A1B31" w:rsidRPr="001A1B31">
        <w:rPr>
          <w:rFonts w:cs="Arial"/>
          <w:szCs w:val="24"/>
          <w:u w:val="single"/>
          <w:lang w:val="fr-CH"/>
        </w:rPr>
        <w:t>août</w:t>
      </w:r>
      <w:r w:rsidRPr="008C61E2">
        <w:rPr>
          <w:u w:val="single"/>
          <w:lang w:val="fr-CH"/>
        </w:rPr>
        <w:t xml:space="preserve"> 201</w:t>
      </w:r>
      <w:r w:rsidR="001A1B31">
        <w:rPr>
          <w:u w:val="single"/>
          <w:lang w:val="fr-CH"/>
        </w:rPr>
        <w:t>4</w:t>
      </w:r>
      <w:r w:rsidRPr="00A12B99">
        <w:rPr>
          <w:lang w:val="fr-CH"/>
        </w:rPr>
        <w:t xml:space="preserve">. Si, au cours de cette période, aucun Etat Membre ne soulève d'objection, </w:t>
      </w:r>
      <w:r w:rsidR="001A1B31">
        <w:rPr>
          <w:lang w:val="fr-CH"/>
        </w:rPr>
        <w:t>les projet</w:t>
      </w:r>
      <w:r w:rsidRPr="00A12B99">
        <w:rPr>
          <w:lang w:val="fr-CH"/>
        </w:rPr>
        <w:t>s de Recommandation s</w:t>
      </w:r>
      <w:r w:rsidR="004256F2">
        <w:rPr>
          <w:lang w:val="fr-CH"/>
        </w:rPr>
        <w:t>er</w:t>
      </w:r>
      <w:r w:rsidR="001A1B31">
        <w:rPr>
          <w:lang w:val="fr-CH"/>
        </w:rPr>
        <w:t>ont considéré</w:t>
      </w:r>
      <w:r w:rsidRPr="00A12B99">
        <w:rPr>
          <w:lang w:val="fr-CH"/>
        </w:rPr>
        <w:t>s</w:t>
      </w:r>
      <w:r w:rsidR="001A1B31">
        <w:rPr>
          <w:lang w:val="fr-CH"/>
        </w:rPr>
        <w:t xml:space="preserve"> comme adopté</w:t>
      </w:r>
      <w:r w:rsidRPr="00A12B99">
        <w:rPr>
          <w:lang w:val="fr-CH"/>
        </w:rPr>
        <w:t xml:space="preserve">s par la Commission d'études </w:t>
      </w:r>
      <w:r w:rsidR="001A1B31">
        <w:rPr>
          <w:lang w:val="fr-CH"/>
        </w:rPr>
        <w:t>1</w:t>
      </w:r>
      <w:r w:rsidRPr="00A12B99">
        <w:rPr>
          <w:lang w:val="fr-CH"/>
        </w:rPr>
        <w:t xml:space="preserve">. En outre, puisque la procédure PAAS </w:t>
      </w:r>
      <w:r w:rsidR="004256F2">
        <w:rPr>
          <w:lang w:val="fr-CH"/>
        </w:rPr>
        <w:t>a été</w:t>
      </w:r>
      <w:r w:rsidRPr="00A12B99">
        <w:rPr>
          <w:lang w:val="fr-CH"/>
        </w:rPr>
        <w:t xml:space="preserve"> appliquée, </w:t>
      </w:r>
      <w:r w:rsidR="004256F2">
        <w:rPr>
          <w:lang w:val="fr-CH"/>
        </w:rPr>
        <w:t xml:space="preserve">les </w:t>
      </w:r>
      <w:r w:rsidR="001A1B31">
        <w:rPr>
          <w:lang w:val="fr-CH"/>
        </w:rPr>
        <w:t>projet</w:t>
      </w:r>
      <w:r w:rsidRPr="00A12B99">
        <w:rPr>
          <w:lang w:val="fr-CH"/>
        </w:rPr>
        <w:t xml:space="preserve">s de Recommandation </w:t>
      </w:r>
      <w:r w:rsidR="004256F2">
        <w:rPr>
          <w:lang w:val="fr-CH"/>
        </w:rPr>
        <w:t>seront</w:t>
      </w:r>
      <w:r w:rsidRPr="00A12B99">
        <w:rPr>
          <w:lang w:val="fr-CH"/>
        </w:rPr>
        <w:t xml:space="preserve"> cons</w:t>
      </w:r>
      <w:r>
        <w:rPr>
          <w:lang w:val="fr-CH"/>
        </w:rPr>
        <w:t>idéré</w:t>
      </w:r>
      <w:r w:rsidR="004256F2">
        <w:rPr>
          <w:lang w:val="fr-CH"/>
        </w:rPr>
        <w:t>s</w:t>
      </w:r>
      <w:r>
        <w:rPr>
          <w:lang w:val="fr-CH"/>
        </w:rPr>
        <w:t xml:space="preserve"> comme </w:t>
      </w:r>
      <w:r w:rsidR="001A1B31">
        <w:rPr>
          <w:lang w:val="fr-CH"/>
        </w:rPr>
        <w:t>approuvé</w:t>
      </w:r>
      <w:r w:rsidR="004256F2">
        <w:rPr>
          <w:lang w:val="fr-CH"/>
        </w:rPr>
        <w:t>s</w:t>
      </w:r>
      <w:r>
        <w:rPr>
          <w:lang w:val="fr-CH"/>
        </w:rPr>
        <w:t>.</w:t>
      </w:r>
    </w:p>
    <w:p w:rsidR="008018B7" w:rsidRPr="008C61E2" w:rsidRDefault="008018B7" w:rsidP="008018B7">
      <w:pPr>
        <w:rPr>
          <w:lang w:val="fr-CH"/>
        </w:rPr>
      </w:pPr>
      <w:r w:rsidRPr="008C61E2">
        <w:rPr>
          <w:lang w:val="fr-CH"/>
        </w:rPr>
        <w:t>Un Etat Membre qui soulève une objection au sujet de l'adoption d'un projet de Recommandation est prié d'informer le Directeur et le Président de la Commission d'études des raisons de cette objection.</w:t>
      </w:r>
    </w:p>
    <w:p w:rsidR="008018B7" w:rsidRPr="008C61E2" w:rsidRDefault="008018B7" w:rsidP="00583F1D">
      <w:pPr>
        <w:rPr>
          <w:lang w:val="fr-CH"/>
        </w:rPr>
      </w:pPr>
      <w:r w:rsidRPr="008C61E2">
        <w:rPr>
          <w:lang w:val="fr-CH"/>
        </w:rPr>
        <w:t>Après la date limite mentionnée ci-dessus, les résultats de la procédure PAAS seront communiqués dans une Circulaire administrative  et les Recom</w:t>
      </w:r>
      <w:r w:rsidR="004F6260">
        <w:rPr>
          <w:lang w:val="fr-CH"/>
        </w:rPr>
        <w:t>mandation</w:t>
      </w:r>
      <w:r>
        <w:rPr>
          <w:lang w:val="fr-CH"/>
        </w:rPr>
        <w:t>s</w:t>
      </w:r>
      <w:r w:rsidR="004F6260">
        <w:rPr>
          <w:lang w:val="fr-CH"/>
        </w:rPr>
        <w:t xml:space="preserve"> approuvée</w:t>
      </w:r>
      <w:r>
        <w:rPr>
          <w:lang w:val="fr-CH"/>
        </w:rPr>
        <w:t xml:space="preserve">s </w:t>
      </w:r>
      <w:r w:rsidRPr="008C61E2">
        <w:rPr>
          <w:lang w:val="fr-CH"/>
        </w:rPr>
        <w:t>seront publié</w:t>
      </w:r>
      <w:r w:rsidR="004F6260">
        <w:rPr>
          <w:lang w:val="fr-CH"/>
        </w:rPr>
        <w:t>e</w:t>
      </w:r>
      <w:r w:rsidRPr="008C61E2">
        <w:rPr>
          <w:lang w:val="fr-CH"/>
        </w:rPr>
        <w:t xml:space="preserve">s dans les meilleurs délais (voir </w:t>
      </w:r>
      <w:hyperlink r:id="rId9" w:history="1">
        <w:r w:rsidRPr="008018B7">
          <w:rPr>
            <w:rStyle w:val="Hyperlink"/>
            <w:lang w:val="fr-CH"/>
          </w:rPr>
          <w:t>http://www.itu.int/pub/R-REC</w:t>
        </w:r>
      </w:hyperlink>
      <w:r w:rsidRPr="008018B7">
        <w:rPr>
          <w:lang w:val="fr-CH"/>
        </w:rPr>
        <w:t>).</w:t>
      </w:r>
    </w:p>
    <w:p w:rsidR="001A1B31" w:rsidRDefault="001A1B31">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8018B7" w:rsidRDefault="008018B7" w:rsidP="007617D3">
      <w:pPr>
        <w:keepNext/>
        <w:keepLines/>
        <w:rPr>
          <w:lang w:val="fr-CH"/>
        </w:rPr>
      </w:pPr>
      <w:r w:rsidRPr="008C61E2">
        <w:rPr>
          <w:lang w:val="fr-CH"/>
        </w:rPr>
        <w:lastRenderedPageBreak/>
        <w:t xml:space="preserve">Toute organisation membre de l'UIT ayant connaissance d'un brevet détenu en son sein </w:t>
      </w:r>
      <w:r>
        <w:rPr>
          <w:lang w:val="fr-CH"/>
        </w:rPr>
        <w:t>ou par</w:t>
      </w:r>
      <w:r w:rsidR="004256F2">
        <w:rPr>
          <w:lang w:val="fr-CH"/>
        </w:rPr>
        <w:t xml:space="preserve"> </w:t>
      </w:r>
      <w:r w:rsidRPr="008C61E2">
        <w:rPr>
          <w:lang w:val="fr-CH"/>
        </w:rPr>
        <w:t>d'autres organismes, et susceptible de se rapporter complètem</w:t>
      </w:r>
      <w:r>
        <w:rPr>
          <w:lang w:val="fr-CH"/>
        </w:rPr>
        <w:t>ent ou en partie à des éléments</w:t>
      </w:r>
      <w:r w:rsidR="004256F2">
        <w:rPr>
          <w:lang w:val="fr-CH"/>
        </w:rPr>
        <w:t xml:space="preserve"> </w:t>
      </w:r>
      <w:r w:rsidRPr="008C61E2">
        <w:rPr>
          <w:lang w:val="fr-CH"/>
        </w:rPr>
        <w:t>d'un ou des projets de Recommandation mentionnés dans la présente lettre, est priée de</w:t>
      </w:r>
      <w:r w:rsidR="004256F2">
        <w:rPr>
          <w:lang w:val="fr-CH"/>
        </w:rPr>
        <w:t xml:space="preserve"> </w:t>
      </w:r>
      <w:r w:rsidRPr="008C61E2">
        <w:rPr>
          <w:lang w:val="fr-CH"/>
        </w:rPr>
        <w:t>transmettre lesdites informations au Secrétariat dans les meilleurs délais. La politique commune</w:t>
      </w:r>
      <w:r w:rsidR="004256F2">
        <w:rPr>
          <w:lang w:val="fr-CH"/>
        </w:rPr>
        <w:t xml:space="preserve"> </w:t>
      </w:r>
      <w:r w:rsidRPr="008C61E2">
        <w:rPr>
          <w:lang w:val="fr-CH"/>
        </w:rPr>
        <w:t>en</w:t>
      </w:r>
      <w:r w:rsidR="004256F2">
        <w:rPr>
          <w:lang w:val="fr-CH"/>
        </w:rPr>
        <w:t xml:space="preserve"> </w:t>
      </w:r>
      <w:r w:rsidRPr="008C61E2">
        <w:rPr>
          <w:lang w:val="fr-CH"/>
        </w:rPr>
        <w:t>matière de brevets de l'UIT</w:t>
      </w:r>
      <w:r w:rsidRPr="008C61E2">
        <w:rPr>
          <w:lang w:val="fr-CH"/>
        </w:rPr>
        <w:noBreakHyphen/>
        <w:t>T/UIT</w:t>
      </w:r>
      <w:r w:rsidRPr="008C61E2">
        <w:rPr>
          <w:lang w:val="fr-CH"/>
        </w:rPr>
        <w:noBreakHyphen/>
        <w:t>R/ISO/CEI est disponible à l'adresse:</w:t>
      </w:r>
      <w:r>
        <w:rPr>
          <w:lang w:val="fr-CH"/>
        </w:rPr>
        <w:br/>
      </w:r>
      <w:hyperlink r:id="rId10" w:history="1">
        <w:r w:rsidR="00583F1D" w:rsidRPr="00443571">
          <w:rPr>
            <w:rStyle w:val="Hyperlink"/>
            <w:szCs w:val="24"/>
            <w:lang w:val="fr-CH"/>
          </w:rPr>
          <w:t>http://www.itu.int/en/ITU-T/ipr/Pages/policy.aspx</w:t>
        </w:r>
      </w:hyperlink>
      <w:r w:rsidRPr="0083107E">
        <w:rPr>
          <w:lang w:val="fr-CH"/>
        </w:rPr>
        <w:t>.</w:t>
      </w:r>
    </w:p>
    <w:p w:rsidR="00583F1D" w:rsidRDefault="00583F1D" w:rsidP="003A13CD">
      <w:pPr>
        <w:jc w:val="left"/>
        <w:rPr>
          <w:lang w:val="fr-CH"/>
        </w:rPr>
      </w:pPr>
    </w:p>
    <w:p w:rsidR="00EE1A57" w:rsidRPr="003A13CD" w:rsidRDefault="003A13CD" w:rsidP="00583F1D">
      <w:pPr>
        <w:spacing w:before="960"/>
        <w:jc w:val="left"/>
        <w:rPr>
          <w:rFonts w:asciiTheme="minorHAnsi" w:hAnsiTheme="minorHAnsi" w:cstheme="minorHAnsi"/>
          <w:szCs w:val="24"/>
          <w:lang w:val="fr-CH"/>
        </w:rPr>
      </w:pPr>
      <w:r w:rsidRPr="003A13CD">
        <w:rPr>
          <w:rFonts w:asciiTheme="minorHAnsi" w:hAnsiTheme="minorHAnsi"/>
          <w:lang w:val="fr-CH"/>
        </w:rPr>
        <w:t>François Rancy</w:t>
      </w:r>
      <w:r w:rsidRPr="003A13CD">
        <w:rPr>
          <w:rFonts w:asciiTheme="minorHAnsi" w:hAnsiTheme="minorHAnsi"/>
          <w:lang w:val="fr-CH"/>
        </w:rPr>
        <w:br/>
        <w:t>Directeur</w:t>
      </w:r>
    </w:p>
    <w:p w:rsidR="004256F2" w:rsidRPr="004256F2" w:rsidRDefault="004F6260" w:rsidP="00583F1D">
      <w:pPr>
        <w:spacing w:before="2040"/>
        <w:rPr>
          <w:bCs/>
          <w:lang w:val="fr-CH"/>
        </w:rPr>
      </w:pPr>
      <w:r>
        <w:rPr>
          <w:b/>
          <w:bCs/>
          <w:lang w:val="fr-CH"/>
        </w:rPr>
        <w:t xml:space="preserve">Annexe </w:t>
      </w:r>
      <w:r w:rsidR="004256F2" w:rsidRPr="004256F2">
        <w:rPr>
          <w:b/>
          <w:bCs/>
          <w:lang w:val="fr-CH"/>
        </w:rPr>
        <w:t>:</w:t>
      </w:r>
      <w:r w:rsidR="0066286A">
        <w:rPr>
          <w:b/>
          <w:bCs/>
          <w:lang w:val="fr-CH"/>
        </w:rPr>
        <w:tab/>
      </w:r>
      <w:r w:rsidR="004256F2" w:rsidRPr="004256F2">
        <w:rPr>
          <w:b/>
          <w:bCs/>
          <w:lang w:val="fr-CH"/>
        </w:rPr>
        <w:tab/>
      </w:r>
      <w:r w:rsidR="00583F1D">
        <w:rPr>
          <w:bCs/>
          <w:lang w:val="fr-CH"/>
        </w:rPr>
        <w:t>Titres et résumés</w:t>
      </w:r>
      <w:r w:rsidR="004256F2" w:rsidRPr="004256F2">
        <w:rPr>
          <w:bCs/>
          <w:lang w:val="fr-CH"/>
        </w:rPr>
        <w:t xml:space="preserve"> </w:t>
      </w:r>
      <w:r w:rsidR="00583F1D">
        <w:rPr>
          <w:bCs/>
          <w:lang w:val="fr-CH"/>
        </w:rPr>
        <w:t>des projet</w:t>
      </w:r>
      <w:r w:rsidR="004256F2" w:rsidRPr="004256F2">
        <w:rPr>
          <w:bCs/>
          <w:lang w:val="fr-CH"/>
        </w:rPr>
        <w:t>s de Recommandation</w:t>
      </w:r>
    </w:p>
    <w:p w:rsidR="004256F2" w:rsidRPr="00583F1D" w:rsidRDefault="004256F2" w:rsidP="007617D3">
      <w:pPr>
        <w:spacing w:line="240" w:lineRule="auto"/>
        <w:jc w:val="left"/>
        <w:rPr>
          <w:lang w:val="fr-CH"/>
        </w:rPr>
      </w:pPr>
      <w:r w:rsidRPr="00005977">
        <w:rPr>
          <w:b/>
          <w:bCs/>
          <w:lang w:val="fr-CH"/>
        </w:rPr>
        <w:t>Documents:</w:t>
      </w:r>
      <w:r>
        <w:rPr>
          <w:b/>
          <w:bCs/>
          <w:lang w:val="fr-CH"/>
        </w:rPr>
        <w:tab/>
      </w:r>
      <w:r w:rsidR="00583F1D" w:rsidRPr="00583F1D">
        <w:rPr>
          <w:szCs w:val="24"/>
          <w:lang w:val="fr-CH"/>
        </w:rPr>
        <w:t xml:space="preserve">Document </w:t>
      </w:r>
      <w:hyperlink r:id="rId11" w:history="1">
        <w:r w:rsidR="00583F1D" w:rsidRPr="00583F1D">
          <w:rPr>
            <w:rStyle w:val="Hyperlink"/>
            <w:szCs w:val="24"/>
            <w:lang w:val="fr-CH"/>
          </w:rPr>
          <w:t>1/96</w:t>
        </w:r>
      </w:hyperlink>
      <w:r w:rsidR="00583F1D" w:rsidRPr="00583F1D">
        <w:rPr>
          <w:szCs w:val="24"/>
          <w:lang w:val="fr-CH"/>
        </w:rPr>
        <w:t>(R</w:t>
      </w:r>
      <w:r w:rsidR="007617D3">
        <w:rPr>
          <w:szCs w:val="24"/>
          <w:lang w:val="fr-CH"/>
        </w:rPr>
        <w:t>é</w:t>
      </w:r>
      <w:r w:rsidR="00583F1D" w:rsidRPr="00583F1D">
        <w:rPr>
          <w:szCs w:val="24"/>
          <w:lang w:val="fr-CH"/>
        </w:rPr>
        <w:t xml:space="preserve">v.1), </w:t>
      </w:r>
      <w:hyperlink r:id="rId12" w:history="1">
        <w:r w:rsidR="00583F1D" w:rsidRPr="00583F1D">
          <w:rPr>
            <w:rStyle w:val="Hyperlink"/>
            <w:szCs w:val="24"/>
            <w:lang w:val="fr-CH"/>
          </w:rPr>
          <w:t>1/97</w:t>
        </w:r>
      </w:hyperlink>
      <w:r w:rsidR="00583F1D" w:rsidRPr="00583F1D">
        <w:rPr>
          <w:szCs w:val="24"/>
          <w:lang w:val="fr-CH"/>
        </w:rPr>
        <w:t>(R</w:t>
      </w:r>
      <w:r w:rsidR="007617D3">
        <w:rPr>
          <w:szCs w:val="24"/>
          <w:lang w:val="fr-CH"/>
        </w:rPr>
        <w:t>é</w:t>
      </w:r>
      <w:r w:rsidR="00583F1D" w:rsidRPr="00583F1D">
        <w:rPr>
          <w:szCs w:val="24"/>
          <w:lang w:val="fr-CH"/>
        </w:rPr>
        <w:t xml:space="preserve">v.1), </w:t>
      </w:r>
      <w:hyperlink r:id="rId13" w:history="1">
        <w:r w:rsidR="00583F1D" w:rsidRPr="00583F1D">
          <w:rPr>
            <w:rStyle w:val="Hyperlink"/>
            <w:szCs w:val="24"/>
            <w:lang w:val="fr-CH"/>
          </w:rPr>
          <w:t>1/98</w:t>
        </w:r>
      </w:hyperlink>
      <w:r w:rsidR="00583F1D" w:rsidRPr="00583F1D">
        <w:rPr>
          <w:szCs w:val="24"/>
          <w:lang w:val="fr-CH"/>
        </w:rPr>
        <w:t>(R</w:t>
      </w:r>
      <w:r w:rsidR="007617D3">
        <w:rPr>
          <w:szCs w:val="24"/>
          <w:lang w:val="fr-CH"/>
        </w:rPr>
        <w:t>é</w:t>
      </w:r>
      <w:r w:rsidR="00583F1D" w:rsidRPr="00583F1D">
        <w:rPr>
          <w:szCs w:val="24"/>
          <w:lang w:val="fr-CH"/>
        </w:rPr>
        <w:t xml:space="preserve">v.1), </w:t>
      </w:r>
      <w:hyperlink r:id="rId14" w:history="1">
        <w:r w:rsidR="00583F1D" w:rsidRPr="00583F1D">
          <w:rPr>
            <w:rStyle w:val="Hyperlink"/>
            <w:szCs w:val="24"/>
            <w:lang w:val="fr-CH"/>
          </w:rPr>
          <w:t>1/102</w:t>
        </w:r>
      </w:hyperlink>
      <w:r w:rsidR="00583F1D" w:rsidRPr="00583F1D">
        <w:rPr>
          <w:szCs w:val="24"/>
          <w:lang w:val="fr-CH"/>
        </w:rPr>
        <w:t>(R</w:t>
      </w:r>
      <w:r w:rsidR="007617D3">
        <w:rPr>
          <w:szCs w:val="24"/>
          <w:lang w:val="fr-CH"/>
        </w:rPr>
        <w:t>é</w:t>
      </w:r>
      <w:r w:rsidR="00583F1D" w:rsidRPr="00583F1D">
        <w:rPr>
          <w:szCs w:val="24"/>
          <w:lang w:val="fr-CH"/>
        </w:rPr>
        <w:t xml:space="preserve">v.1), </w:t>
      </w:r>
      <w:hyperlink r:id="rId15" w:history="1">
        <w:r w:rsidR="00583F1D" w:rsidRPr="00583F1D">
          <w:rPr>
            <w:rStyle w:val="Hyperlink"/>
            <w:szCs w:val="24"/>
            <w:lang w:val="fr-CH"/>
          </w:rPr>
          <w:t>1/103</w:t>
        </w:r>
      </w:hyperlink>
      <w:r w:rsidR="00583F1D" w:rsidRPr="00583F1D">
        <w:rPr>
          <w:szCs w:val="24"/>
          <w:lang w:val="fr-CH"/>
        </w:rPr>
        <w:t>(R</w:t>
      </w:r>
      <w:r w:rsidR="007617D3">
        <w:rPr>
          <w:szCs w:val="24"/>
          <w:lang w:val="fr-CH"/>
        </w:rPr>
        <w:t>é</w:t>
      </w:r>
      <w:r w:rsidR="00583F1D" w:rsidRPr="00583F1D">
        <w:rPr>
          <w:szCs w:val="24"/>
          <w:lang w:val="fr-CH"/>
        </w:rPr>
        <w:t>v.1)</w:t>
      </w:r>
    </w:p>
    <w:p w:rsidR="004256F2" w:rsidRPr="004256F2" w:rsidRDefault="004256F2" w:rsidP="007617D3">
      <w:pPr>
        <w:spacing w:line="240" w:lineRule="auto"/>
        <w:jc w:val="left"/>
        <w:rPr>
          <w:u w:val="single"/>
          <w:lang w:val="fr-CH"/>
        </w:rPr>
      </w:pPr>
      <w:r w:rsidRPr="00583F1D">
        <w:rPr>
          <w:lang w:val="fr-CH"/>
        </w:rPr>
        <w:t>Les documents sont disponibles en format électronique à l'adresse:</w:t>
      </w:r>
      <w:r w:rsidR="00583F1D">
        <w:rPr>
          <w:u w:val="single"/>
          <w:lang w:val="fr-CH"/>
        </w:rPr>
        <w:t xml:space="preserve"> </w:t>
      </w:r>
      <w:r w:rsidR="007617D3">
        <w:rPr>
          <w:u w:val="single"/>
          <w:lang w:val="fr-CH"/>
        </w:rPr>
        <w:br/>
      </w:r>
      <w:hyperlink r:id="rId16" w:history="1">
        <w:r w:rsidR="007617D3" w:rsidRPr="009D0631">
          <w:rPr>
            <w:rStyle w:val="Hyperlink"/>
            <w:szCs w:val="24"/>
            <w:lang w:val="fr-CH"/>
          </w:rPr>
          <w:t>http://www.itu.int/md/R12-SG01-C/en</w:t>
        </w:r>
      </w:hyperlink>
    </w:p>
    <w:p w:rsidR="004256F2" w:rsidRPr="004256F2" w:rsidRDefault="004256F2" w:rsidP="004256F2">
      <w:pPr>
        <w:tabs>
          <w:tab w:val="left" w:pos="284"/>
          <w:tab w:val="left" w:pos="568"/>
        </w:tabs>
        <w:spacing w:before="1000" w:after="120"/>
        <w:rPr>
          <w:b/>
          <w:bCs/>
          <w:sz w:val="18"/>
          <w:szCs w:val="18"/>
          <w:lang w:val="fr-CH"/>
        </w:rPr>
      </w:pPr>
      <w:bookmarkStart w:id="0" w:name="ddistribution"/>
      <w:bookmarkEnd w:id="0"/>
      <w:r w:rsidRPr="004256F2">
        <w:rPr>
          <w:b/>
          <w:bCs/>
          <w:sz w:val="18"/>
          <w:szCs w:val="18"/>
          <w:lang w:val="fr-CH"/>
        </w:rPr>
        <w:t>Distribution:</w:t>
      </w:r>
    </w:p>
    <w:p w:rsidR="004256F2" w:rsidRPr="004256F2" w:rsidRDefault="004256F2" w:rsidP="009225DC">
      <w:pPr>
        <w:tabs>
          <w:tab w:val="left" w:pos="284"/>
          <w:tab w:val="left" w:pos="568"/>
        </w:tabs>
        <w:spacing w:before="0" w:after="120" w:line="240" w:lineRule="auto"/>
        <w:jc w:val="left"/>
        <w:rPr>
          <w:sz w:val="18"/>
          <w:szCs w:val="18"/>
          <w:lang w:val="fr-CH"/>
        </w:rPr>
      </w:pPr>
      <w:r w:rsidRPr="004256F2">
        <w:rPr>
          <w:sz w:val="18"/>
          <w:szCs w:val="18"/>
          <w:lang w:val="fr-CH"/>
        </w:rPr>
        <w:t>–</w:t>
      </w:r>
      <w:r w:rsidRPr="004256F2">
        <w:rPr>
          <w:sz w:val="18"/>
          <w:szCs w:val="18"/>
          <w:lang w:val="fr-CH"/>
        </w:rPr>
        <w:tab/>
        <w:t xml:space="preserve">Administrations des Etats Membres de l'UIT et Membres du Secteur des radiocommunications participant aux travaux de la </w:t>
      </w:r>
      <w:r w:rsidRPr="004256F2">
        <w:rPr>
          <w:sz w:val="18"/>
          <w:szCs w:val="18"/>
          <w:lang w:val="fr-CH"/>
        </w:rPr>
        <w:tab/>
        <w:t xml:space="preserve">Commission d'études </w:t>
      </w:r>
      <w:r w:rsidR="009225DC">
        <w:rPr>
          <w:sz w:val="18"/>
          <w:szCs w:val="18"/>
          <w:lang w:val="fr-CH"/>
        </w:rPr>
        <w:t>1</w:t>
      </w:r>
      <w:r w:rsidRPr="004256F2">
        <w:rPr>
          <w:sz w:val="18"/>
          <w:szCs w:val="18"/>
          <w:lang w:val="fr-CH"/>
        </w:rPr>
        <w:t xml:space="preserve"> des radiocommunications</w:t>
      </w:r>
      <w:r w:rsidRPr="004256F2">
        <w:rPr>
          <w:sz w:val="18"/>
          <w:szCs w:val="18"/>
          <w:lang w:val="fr-CH"/>
        </w:rPr>
        <w:br/>
        <w:t>–</w:t>
      </w:r>
      <w:r w:rsidRPr="004256F2">
        <w:rPr>
          <w:sz w:val="18"/>
          <w:szCs w:val="18"/>
          <w:lang w:val="fr-CH"/>
        </w:rPr>
        <w:tab/>
        <w:t xml:space="preserve">Associés de l'UIT-R participant aux travaux de la Commission d'études </w:t>
      </w:r>
      <w:r w:rsidR="009225DC">
        <w:rPr>
          <w:sz w:val="18"/>
          <w:szCs w:val="18"/>
          <w:lang w:val="fr-CH"/>
        </w:rPr>
        <w:t>1</w:t>
      </w:r>
      <w:r w:rsidRPr="004256F2">
        <w:rPr>
          <w:sz w:val="18"/>
          <w:szCs w:val="18"/>
          <w:lang w:val="fr-CH"/>
        </w:rPr>
        <w:t xml:space="preserve"> des radiocommunications</w:t>
      </w:r>
      <w:r>
        <w:rPr>
          <w:sz w:val="18"/>
          <w:szCs w:val="18"/>
          <w:lang w:val="fr-CH"/>
        </w:rPr>
        <w:br/>
      </w:r>
      <w:r w:rsidRPr="004256F2">
        <w:rPr>
          <w:sz w:val="18"/>
          <w:szCs w:val="18"/>
          <w:lang w:val="fr-CH"/>
        </w:rPr>
        <w:t>–</w:t>
      </w:r>
      <w:r w:rsidRPr="004256F2">
        <w:rPr>
          <w:sz w:val="18"/>
          <w:szCs w:val="18"/>
          <w:lang w:val="fr-CH"/>
        </w:rPr>
        <w:tab/>
        <w:t>Présidents et Vice</w:t>
      </w:r>
      <w:r w:rsidRPr="004256F2">
        <w:rPr>
          <w:sz w:val="18"/>
          <w:szCs w:val="18"/>
          <w:lang w:val="fr-CH"/>
        </w:rPr>
        <w:noBreakHyphen/>
        <w:t xml:space="preserve">Présidents des Commissions d'études des radiocommunications et de la Commission spéciale chargée </w:t>
      </w:r>
      <w:r w:rsidRPr="004256F2">
        <w:rPr>
          <w:sz w:val="18"/>
          <w:szCs w:val="18"/>
          <w:lang w:val="fr-CH"/>
        </w:rPr>
        <w:tab/>
        <w:t>d'examiner les questions réglementaires et de procédure</w:t>
      </w:r>
      <w:r w:rsidRPr="004256F2">
        <w:rPr>
          <w:sz w:val="18"/>
          <w:szCs w:val="18"/>
          <w:lang w:val="fr-CH"/>
        </w:rPr>
        <w:br/>
        <w:t>–</w:t>
      </w:r>
      <w:r w:rsidRPr="004256F2">
        <w:rPr>
          <w:sz w:val="18"/>
          <w:szCs w:val="18"/>
          <w:lang w:val="fr-CH"/>
        </w:rPr>
        <w:tab/>
        <w:t>Président et Vice</w:t>
      </w:r>
      <w:r w:rsidRPr="004256F2">
        <w:rPr>
          <w:sz w:val="18"/>
          <w:szCs w:val="18"/>
          <w:lang w:val="fr-CH"/>
        </w:rPr>
        <w:noBreakHyphen/>
        <w:t>Présidents de la Réunion de préparation à la Conférence</w:t>
      </w:r>
      <w:r w:rsidRPr="004256F2">
        <w:rPr>
          <w:sz w:val="18"/>
          <w:szCs w:val="18"/>
          <w:lang w:val="fr-CH"/>
        </w:rPr>
        <w:br/>
        <w:t>–</w:t>
      </w:r>
      <w:r w:rsidRPr="004256F2">
        <w:rPr>
          <w:sz w:val="18"/>
          <w:szCs w:val="18"/>
          <w:lang w:val="fr-CH"/>
        </w:rPr>
        <w:tab/>
        <w:t>Membres du Comité du Règlement des radiocommunications</w:t>
      </w:r>
      <w:r w:rsidRPr="004256F2">
        <w:rPr>
          <w:sz w:val="18"/>
          <w:szCs w:val="18"/>
          <w:lang w:val="fr-CH"/>
        </w:rPr>
        <w:br/>
        <w:t>–</w:t>
      </w:r>
      <w:r w:rsidRPr="004256F2">
        <w:rPr>
          <w:sz w:val="18"/>
          <w:szCs w:val="18"/>
          <w:lang w:val="fr-CH"/>
        </w:rPr>
        <w:tab/>
        <w:t xml:space="preserve">Secrétaire général de l'UIT, Directeur du Bureau de la normalisation des télécommunications, Directeur du Bureau de </w:t>
      </w:r>
      <w:r w:rsidRPr="004256F2">
        <w:rPr>
          <w:sz w:val="18"/>
          <w:szCs w:val="18"/>
          <w:lang w:val="fr-CH"/>
        </w:rPr>
        <w:tab/>
        <w:t>développement des télécommunications</w:t>
      </w:r>
    </w:p>
    <w:p w:rsidR="004256F2" w:rsidRDefault="004256F2" w:rsidP="003A13CD">
      <w:pPr>
        <w:tabs>
          <w:tab w:val="left" w:pos="851"/>
          <w:tab w:val="left" w:pos="1134"/>
          <w:tab w:val="left" w:pos="1418"/>
          <w:tab w:val="center" w:pos="7939"/>
          <w:tab w:val="right" w:pos="8505"/>
        </w:tabs>
        <w:spacing w:before="600"/>
        <w:ind w:left="1140" w:hanging="1140"/>
        <w:rPr>
          <w:b/>
          <w:lang w:val="fr-CH"/>
        </w:rPr>
      </w:pPr>
    </w:p>
    <w:p w:rsidR="003A13CD" w:rsidRDefault="003A13C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Pr>
          <w:rFonts w:asciiTheme="minorHAnsi" w:hAnsiTheme="minorHAnsi" w:cstheme="minorHAnsi"/>
          <w:szCs w:val="24"/>
          <w:lang w:val="fr-CH"/>
        </w:rPr>
        <w:br w:type="page"/>
      </w:r>
    </w:p>
    <w:p w:rsidR="00E376FB" w:rsidRPr="001A242E" w:rsidRDefault="00E376FB" w:rsidP="0021361D">
      <w:pPr>
        <w:pStyle w:val="AnnexNotitle0"/>
        <w:spacing w:before="120"/>
        <w:rPr>
          <w:rFonts w:asciiTheme="minorHAnsi" w:hAnsiTheme="minorHAnsi" w:cstheme="minorHAnsi"/>
          <w:szCs w:val="28"/>
        </w:rPr>
      </w:pPr>
      <w:r w:rsidRPr="001A242E">
        <w:rPr>
          <w:rFonts w:asciiTheme="minorHAnsi" w:hAnsiTheme="minorHAnsi" w:cstheme="minorHAnsi"/>
          <w:szCs w:val="28"/>
        </w:rPr>
        <w:lastRenderedPageBreak/>
        <w:t xml:space="preserve">Annexe </w:t>
      </w:r>
      <w:bookmarkStart w:id="1" w:name="_GoBack"/>
      <w:bookmarkEnd w:id="1"/>
    </w:p>
    <w:p w:rsidR="00E376FB" w:rsidRPr="001A242E" w:rsidRDefault="00E376FB" w:rsidP="00627814">
      <w:pPr>
        <w:pStyle w:val="AnnexNotitle0"/>
        <w:spacing w:before="240"/>
        <w:rPr>
          <w:rFonts w:asciiTheme="minorHAnsi" w:hAnsiTheme="minorHAnsi" w:cstheme="minorHAnsi"/>
          <w:szCs w:val="28"/>
        </w:rPr>
      </w:pPr>
      <w:r w:rsidRPr="001A242E">
        <w:rPr>
          <w:rFonts w:asciiTheme="minorHAnsi" w:hAnsiTheme="minorHAnsi" w:cstheme="minorHAnsi"/>
          <w:szCs w:val="28"/>
        </w:rPr>
        <w:t xml:space="preserve">Titres et résumés des projets de Recommandation </w:t>
      </w:r>
    </w:p>
    <w:p w:rsidR="00E376FB" w:rsidRPr="001A242E" w:rsidRDefault="00E376FB" w:rsidP="007617D3">
      <w:pPr>
        <w:tabs>
          <w:tab w:val="right" w:pos="9639"/>
        </w:tabs>
        <w:spacing w:before="360" w:line="240" w:lineRule="auto"/>
        <w:rPr>
          <w:rFonts w:asciiTheme="minorHAnsi" w:hAnsiTheme="minorHAnsi" w:cstheme="minorHAnsi"/>
          <w:szCs w:val="24"/>
          <w:lang w:val="fr-FR"/>
        </w:rPr>
      </w:pPr>
      <w:r w:rsidRPr="001A242E">
        <w:rPr>
          <w:rFonts w:asciiTheme="minorHAnsi" w:hAnsiTheme="minorHAnsi" w:cstheme="minorHAnsi"/>
          <w:szCs w:val="24"/>
          <w:u w:val="single"/>
          <w:lang w:val="fr-FR"/>
        </w:rPr>
        <w:t>Projet de révision de la Recommandation UIT-R SM.1051-2</w:t>
      </w:r>
      <w:r w:rsidRPr="001A242E">
        <w:rPr>
          <w:rFonts w:asciiTheme="minorHAnsi" w:hAnsiTheme="minorHAnsi" w:cstheme="minorHAnsi"/>
          <w:szCs w:val="24"/>
          <w:lang w:val="fr-FR"/>
        </w:rPr>
        <w:tab/>
        <w:t>Doc. 1/96</w:t>
      </w:r>
      <w:r>
        <w:rPr>
          <w:rFonts w:asciiTheme="minorHAnsi" w:hAnsiTheme="minorHAnsi" w:cstheme="minorHAnsi"/>
          <w:szCs w:val="24"/>
          <w:lang w:val="fr-FR"/>
        </w:rPr>
        <w:t>(Ré</w:t>
      </w:r>
      <w:r w:rsidRPr="001A242E">
        <w:rPr>
          <w:rFonts w:asciiTheme="minorHAnsi" w:hAnsiTheme="minorHAnsi" w:cstheme="minorHAnsi"/>
          <w:szCs w:val="24"/>
          <w:lang w:val="fr-FR"/>
        </w:rPr>
        <w:t>v.1)</w:t>
      </w:r>
    </w:p>
    <w:p w:rsidR="00E376FB" w:rsidRPr="001A242E" w:rsidRDefault="00E376FB" w:rsidP="00627814">
      <w:pPr>
        <w:pStyle w:val="Rectitle"/>
        <w:spacing w:before="300"/>
        <w:rPr>
          <w:rFonts w:eastAsia="MS Mincho" w:cstheme="minorHAnsi"/>
          <w:lang w:val="fr-FR"/>
        </w:rPr>
      </w:pPr>
      <w:r w:rsidRPr="001A242E">
        <w:rPr>
          <w:lang w:val="fr-FR"/>
        </w:rPr>
        <w:t xml:space="preserve">Priorité accordée à l'identification et à la suppression des brouillages préjudiciables dans la bande 406-406,1 MHz </w:t>
      </w:r>
    </w:p>
    <w:p w:rsidR="00E376FB" w:rsidRPr="001A242E" w:rsidRDefault="00E376FB" w:rsidP="00292048">
      <w:pPr>
        <w:pStyle w:val="Normalaftertitle"/>
        <w:spacing w:before="240"/>
        <w:jc w:val="left"/>
        <w:rPr>
          <w:lang w:val="fr-FR"/>
        </w:rPr>
      </w:pPr>
      <w:r>
        <w:rPr>
          <w:lang w:val="fr-FR"/>
        </w:rPr>
        <w:t>Cette</w:t>
      </w:r>
      <w:r w:rsidRPr="001A242E">
        <w:rPr>
          <w:lang w:val="fr-FR"/>
        </w:rPr>
        <w:t xml:space="preserve"> révision a pour objet de mettre à jour la Recommandation actuellement en vigueur </w:t>
      </w:r>
      <w:r>
        <w:rPr>
          <w:lang w:val="fr-FR"/>
        </w:rPr>
        <w:t>afin</w:t>
      </w:r>
      <w:r w:rsidRPr="001A242E">
        <w:rPr>
          <w:lang w:val="fr-FR"/>
        </w:rPr>
        <w:t xml:space="preserve"> de tenir compte des changements intervenus dans le système Cospas-Sarsat et de fournir des références supplémentaires au programme de contrôle des émissions de l</w:t>
      </w:r>
      <w:r>
        <w:rPr>
          <w:lang w:val="fr-FR"/>
        </w:rPr>
        <w:t>'</w:t>
      </w:r>
      <w:r w:rsidRPr="001A242E">
        <w:rPr>
          <w:lang w:val="fr-FR"/>
        </w:rPr>
        <w:t>UIT sur la fréquence 406 MHz, ainsi que des références au Rapport UIT</w:t>
      </w:r>
      <w:r>
        <w:rPr>
          <w:lang w:val="fr-FR"/>
        </w:rPr>
        <w:noBreakHyphen/>
      </w:r>
      <w:r w:rsidRPr="001A242E">
        <w:rPr>
          <w:lang w:val="fr-FR"/>
        </w:rPr>
        <w:t xml:space="preserve">R </w:t>
      </w:r>
      <w:hyperlink r:id="rId17" w:history="1">
        <w:r w:rsidRPr="001A242E">
          <w:rPr>
            <w:rStyle w:val="Hyperlink"/>
            <w:szCs w:val="24"/>
            <w:lang w:val="fr-FR"/>
          </w:rPr>
          <w:t>SM.2258</w:t>
        </w:r>
      </w:hyperlink>
      <w:r w:rsidRPr="001A242E">
        <w:rPr>
          <w:lang w:val="fr-FR"/>
        </w:rPr>
        <w:t>. Elle permet de corriger certaines incohérences a</w:t>
      </w:r>
      <w:r>
        <w:rPr>
          <w:lang w:val="fr-FR"/>
        </w:rPr>
        <w:t>vec l'actuelle Recommandation «</w:t>
      </w:r>
      <w:r w:rsidRPr="001A242E">
        <w:rPr>
          <w:lang w:val="fr-FR"/>
        </w:rPr>
        <w:t>en vigueur».</w:t>
      </w:r>
    </w:p>
    <w:p w:rsidR="00E376FB" w:rsidRPr="001A242E" w:rsidRDefault="00E376FB" w:rsidP="00E376FB">
      <w:pPr>
        <w:tabs>
          <w:tab w:val="right" w:pos="9639"/>
        </w:tabs>
        <w:spacing w:before="240" w:line="240" w:lineRule="auto"/>
        <w:rPr>
          <w:rFonts w:asciiTheme="minorHAnsi" w:hAnsiTheme="minorHAnsi" w:cstheme="minorHAnsi"/>
          <w:szCs w:val="24"/>
          <w:lang w:val="fr-FR"/>
        </w:rPr>
      </w:pPr>
      <w:r w:rsidRPr="001A242E">
        <w:rPr>
          <w:rFonts w:asciiTheme="minorHAnsi" w:hAnsiTheme="minorHAnsi" w:cstheme="minorHAnsi"/>
          <w:szCs w:val="24"/>
          <w:u w:val="single"/>
          <w:lang w:val="fr-FR"/>
        </w:rPr>
        <w:t>Projet de ré</w:t>
      </w:r>
      <w:r>
        <w:rPr>
          <w:rFonts w:asciiTheme="minorHAnsi" w:hAnsiTheme="minorHAnsi" w:cstheme="minorHAnsi"/>
          <w:szCs w:val="24"/>
          <w:u w:val="single"/>
          <w:lang w:val="fr-FR"/>
        </w:rPr>
        <w:t>vision de la Recommandation UIT</w:t>
      </w:r>
      <w:r w:rsidRPr="001A242E">
        <w:rPr>
          <w:rFonts w:asciiTheme="minorHAnsi" w:hAnsiTheme="minorHAnsi" w:cstheme="minorHAnsi"/>
          <w:szCs w:val="24"/>
          <w:u w:val="single"/>
          <w:lang w:val="fr-FR"/>
        </w:rPr>
        <w:t>-R SM.1268-2</w:t>
      </w:r>
      <w:r>
        <w:rPr>
          <w:rFonts w:asciiTheme="minorHAnsi" w:hAnsiTheme="minorHAnsi" w:cstheme="minorHAnsi"/>
          <w:szCs w:val="24"/>
          <w:lang w:val="fr-FR"/>
        </w:rPr>
        <w:tab/>
        <w:t>Doc. 1/97(Ré</w:t>
      </w:r>
      <w:r w:rsidRPr="001A242E">
        <w:rPr>
          <w:rFonts w:asciiTheme="minorHAnsi" w:hAnsiTheme="minorHAnsi" w:cstheme="minorHAnsi"/>
          <w:szCs w:val="24"/>
          <w:lang w:val="fr-FR"/>
        </w:rPr>
        <w:t>v.1)</w:t>
      </w:r>
    </w:p>
    <w:p w:rsidR="00E376FB" w:rsidRPr="001A242E" w:rsidRDefault="00E376FB" w:rsidP="00627814">
      <w:pPr>
        <w:pStyle w:val="Rectitle"/>
        <w:spacing w:before="300"/>
        <w:rPr>
          <w:lang w:val="fr-FR"/>
        </w:rPr>
      </w:pPr>
      <w:r w:rsidRPr="001A242E">
        <w:rPr>
          <w:lang w:val="fr-FR"/>
        </w:rPr>
        <w:t xml:space="preserve">Méthode à utiliser par les stations de contrôle des émissions pour mesurer l'excursion maximale de fréquence des émissions de radiodiffusion MF </w:t>
      </w:r>
    </w:p>
    <w:p w:rsidR="00E376FB" w:rsidRPr="001A242E" w:rsidRDefault="00E376FB" w:rsidP="00292048">
      <w:pPr>
        <w:pStyle w:val="Normalaftertitle"/>
        <w:spacing w:before="240"/>
        <w:jc w:val="left"/>
        <w:rPr>
          <w:lang w:val="fr-FR"/>
        </w:rPr>
      </w:pPr>
      <w:r w:rsidRPr="001A242E">
        <w:rPr>
          <w:lang w:val="fr-FR"/>
        </w:rPr>
        <w:t>Il est proposé de réviser l</w:t>
      </w:r>
      <w:r>
        <w:rPr>
          <w:lang w:val="fr-FR"/>
        </w:rPr>
        <w:t>'</w:t>
      </w:r>
      <w:r w:rsidRPr="001A242E">
        <w:rPr>
          <w:lang w:val="fr-FR"/>
        </w:rPr>
        <w:t xml:space="preserve">actuelle Recommandation </w:t>
      </w:r>
      <w:r>
        <w:rPr>
          <w:lang w:val="fr-FR"/>
        </w:rPr>
        <w:t>UIT-R</w:t>
      </w:r>
      <w:r w:rsidRPr="001A242E">
        <w:rPr>
          <w:lang w:val="fr-FR"/>
        </w:rPr>
        <w:t> SM.1268-2 pour des raisons d</w:t>
      </w:r>
      <w:r>
        <w:rPr>
          <w:lang w:val="fr-FR"/>
        </w:rPr>
        <w:t>'</w:t>
      </w:r>
      <w:r w:rsidRPr="001A242E">
        <w:rPr>
          <w:lang w:val="fr-FR"/>
        </w:rPr>
        <w:t xml:space="preserve">ordre statistique. Un examen de la Recommandation, en particulier de son Annexe 2, </w:t>
      </w:r>
      <w:r>
        <w:rPr>
          <w:lang w:val="fr-FR"/>
        </w:rPr>
        <w:t xml:space="preserve">a </w:t>
      </w:r>
      <w:r w:rsidRPr="001A242E">
        <w:rPr>
          <w:lang w:val="fr-FR"/>
        </w:rPr>
        <w:t>fait apparaître une certaine ambiguïté qui est source d</w:t>
      </w:r>
      <w:r>
        <w:rPr>
          <w:lang w:val="fr-FR"/>
        </w:rPr>
        <w:t>'</w:t>
      </w:r>
      <w:r w:rsidRPr="001A242E">
        <w:rPr>
          <w:lang w:val="fr-FR"/>
        </w:rPr>
        <w:t>erreurs d</w:t>
      </w:r>
      <w:r>
        <w:rPr>
          <w:lang w:val="fr-FR"/>
        </w:rPr>
        <w:t>'</w:t>
      </w:r>
      <w:r w:rsidRPr="001A242E">
        <w:rPr>
          <w:lang w:val="fr-FR"/>
        </w:rPr>
        <w:t xml:space="preserve">interprétation. Les termes </w:t>
      </w:r>
      <w:r>
        <w:rPr>
          <w:lang w:val="fr-FR"/>
        </w:rPr>
        <w:t>«</w:t>
      </w:r>
      <w:r w:rsidRPr="001A242E">
        <w:rPr>
          <w:lang w:val="fr-FR"/>
        </w:rPr>
        <w:t>échantillons</w:t>
      </w:r>
      <w:r>
        <w:rPr>
          <w:lang w:val="fr-FR"/>
        </w:rPr>
        <w:t>»</w:t>
      </w:r>
      <w:r w:rsidRPr="001A242E">
        <w:rPr>
          <w:lang w:val="fr-FR"/>
        </w:rPr>
        <w:t xml:space="preserve"> et </w:t>
      </w:r>
      <w:r>
        <w:rPr>
          <w:lang w:val="fr-FR"/>
        </w:rPr>
        <w:t>«valeurs crêtes gelées»</w:t>
      </w:r>
      <w:r w:rsidRPr="001A242E">
        <w:rPr>
          <w:lang w:val="fr-FR"/>
        </w:rPr>
        <w:t xml:space="preserve"> ont été utilisés de façon incohérente dans l</w:t>
      </w:r>
      <w:r>
        <w:rPr>
          <w:lang w:val="fr-FR"/>
        </w:rPr>
        <w:t>'</w:t>
      </w:r>
      <w:r w:rsidRPr="001A242E">
        <w:rPr>
          <w:lang w:val="fr-FR"/>
        </w:rPr>
        <w:t>actuelle version de la Recommandation</w:t>
      </w:r>
      <w:r>
        <w:rPr>
          <w:lang w:val="fr-FR"/>
        </w:rPr>
        <w:t>.</w:t>
      </w:r>
      <w:r w:rsidRPr="001A242E">
        <w:rPr>
          <w:lang w:val="fr-FR"/>
        </w:rPr>
        <w:t xml:space="preserve"> Une analyse approfondie de la situation a abouti au projet de révision de la Recommandation </w:t>
      </w:r>
      <w:r>
        <w:rPr>
          <w:lang w:val="fr-FR"/>
        </w:rPr>
        <w:t>UIT</w:t>
      </w:r>
      <w:r>
        <w:rPr>
          <w:lang w:val="fr-FR"/>
        </w:rPr>
        <w:noBreakHyphen/>
        <w:t>R</w:t>
      </w:r>
      <w:r w:rsidRPr="001A242E">
        <w:rPr>
          <w:lang w:val="fr-FR"/>
        </w:rPr>
        <w:t xml:space="preserve"> SM.1268. En dehors des corrections de fond, certaines modifications de forme ont été apportées pour faciliter la compréhension de cette Recommandation.</w:t>
      </w:r>
    </w:p>
    <w:p w:rsidR="00E376FB" w:rsidRPr="001A242E" w:rsidRDefault="00E376FB" w:rsidP="00E376FB">
      <w:pPr>
        <w:tabs>
          <w:tab w:val="right" w:pos="9639"/>
        </w:tabs>
        <w:spacing w:before="240" w:line="240" w:lineRule="auto"/>
        <w:rPr>
          <w:rFonts w:asciiTheme="minorHAnsi" w:hAnsiTheme="minorHAnsi" w:cstheme="minorHAnsi"/>
          <w:szCs w:val="24"/>
          <w:lang w:val="fr-FR"/>
        </w:rPr>
      </w:pPr>
      <w:r w:rsidRPr="001A242E">
        <w:rPr>
          <w:rFonts w:asciiTheme="minorHAnsi" w:hAnsiTheme="minorHAnsi" w:cstheme="minorHAnsi"/>
          <w:szCs w:val="24"/>
          <w:u w:val="single"/>
          <w:lang w:val="fr-FR"/>
        </w:rPr>
        <w:t xml:space="preserve">Projet de révision de la Recommandation </w:t>
      </w:r>
      <w:r>
        <w:rPr>
          <w:rFonts w:asciiTheme="minorHAnsi" w:hAnsiTheme="minorHAnsi" w:cstheme="minorHAnsi"/>
          <w:szCs w:val="24"/>
          <w:u w:val="single"/>
          <w:lang w:val="fr-FR"/>
        </w:rPr>
        <w:t>UIT-R</w:t>
      </w:r>
      <w:r w:rsidRPr="001A242E">
        <w:rPr>
          <w:rFonts w:asciiTheme="minorHAnsi" w:hAnsiTheme="minorHAnsi" w:cstheme="minorHAnsi"/>
          <w:szCs w:val="24"/>
          <w:u w:val="single"/>
          <w:lang w:val="fr-FR"/>
        </w:rPr>
        <w:t xml:space="preserve"> SM.1875-1</w:t>
      </w:r>
      <w:r>
        <w:rPr>
          <w:rFonts w:asciiTheme="minorHAnsi" w:hAnsiTheme="minorHAnsi" w:cstheme="minorHAnsi"/>
          <w:szCs w:val="24"/>
          <w:lang w:val="fr-FR"/>
        </w:rPr>
        <w:tab/>
        <w:t>Doc. 1/98(Ré</w:t>
      </w:r>
      <w:r w:rsidRPr="001A242E">
        <w:rPr>
          <w:rFonts w:asciiTheme="minorHAnsi" w:hAnsiTheme="minorHAnsi" w:cstheme="minorHAnsi"/>
          <w:szCs w:val="24"/>
          <w:lang w:val="fr-FR"/>
        </w:rPr>
        <w:t>v.1)</w:t>
      </w:r>
    </w:p>
    <w:p w:rsidR="00E376FB" w:rsidRPr="001A242E" w:rsidRDefault="00E376FB" w:rsidP="007617D3">
      <w:pPr>
        <w:pStyle w:val="Rectitle"/>
        <w:rPr>
          <w:lang w:val="fr-FR"/>
        </w:rPr>
      </w:pPr>
      <w:r w:rsidRPr="001A242E">
        <w:rPr>
          <w:lang w:val="fr-FR" w:eastAsia="ko-KR"/>
        </w:rPr>
        <w:t>Mesures de la couverture DVB-T et vérification des critères de planification</w:t>
      </w:r>
      <w:r w:rsidRPr="001A242E">
        <w:rPr>
          <w:lang w:val="fr-FR"/>
        </w:rPr>
        <w:t xml:space="preserve"> </w:t>
      </w:r>
    </w:p>
    <w:p w:rsidR="00E376FB" w:rsidRPr="001A242E" w:rsidRDefault="00E376FB" w:rsidP="00292048">
      <w:pPr>
        <w:pStyle w:val="Normalaftertitle"/>
        <w:spacing w:before="240"/>
        <w:jc w:val="left"/>
        <w:rPr>
          <w:lang w:val="fr-FR"/>
        </w:rPr>
      </w:pPr>
      <w:r w:rsidRPr="001A242E">
        <w:rPr>
          <w:lang w:val="fr-FR"/>
        </w:rPr>
        <w:t xml:space="preserve">Ce projet de révision de la Recommandation </w:t>
      </w:r>
      <w:r>
        <w:rPr>
          <w:lang w:val="fr-FR"/>
        </w:rPr>
        <w:t>UIT-R SM.1875-1 «</w:t>
      </w:r>
      <w:r w:rsidRPr="001A242E">
        <w:rPr>
          <w:lang w:val="fr-FR"/>
        </w:rPr>
        <w:t>Mesures de la couverture DVB-T et vérification des critères de planification</w:t>
      </w:r>
      <w:r>
        <w:rPr>
          <w:lang w:val="fr-FR"/>
        </w:rPr>
        <w:t xml:space="preserve">» </w:t>
      </w:r>
      <w:r w:rsidRPr="001A242E">
        <w:rPr>
          <w:lang w:val="fr-FR"/>
        </w:rPr>
        <w:t>a un double objectif:</w:t>
      </w:r>
    </w:p>
    <w:p w:rsidR="00E376FB" w:rsidRPr="001A242E" w:rsidRDefault="00E376FB" w:rsidP="00E376FB">
      <w:pPr>
        <w:tabs>
          <w:tab w:val="clear" w:pos="794"/>
          <w:tab w:val="clear" w:pos="1191"/>
        </w:tabs>
        <w:spacing w:line="240" w:lineRule="auto"/>
        <w:ind w:left="709" w:hanging="709"/>
        <w:jc w:val="left"/>
        <w:rPr>
          <w:szCs w:val="24"/>
          <w:lang w:val="fr-FR"/>
        </w:rPr>
      </w:pPr>
      <w:r w:rsidRPr="001A242E">
        <w:rPr>
          <w:szCs w:val="24"/>
          <w:lang w:val="fr-FR"/>
        </w:rPr>
        <w:t>–</w:t>
      </w:r>
      <w:r w:rsidRPr="001A242E">
        <w:rPr>
          <w:szCs w:val="24"/>
          <w:lang w:val="fr-FR"/>
        </w:rPr>
        <w:tab/>
        <w:t>définir l</w:t>
      </w:r>
      <w:r>
        <w:rPr>
          <w:szCs w:val="24"/>
          <w:lang w:val="fr-FR"/>
        </w:rPr>
        <w:t>'</w:t>
      </w:r>
      <w:r w:rsidRPr="001A242E">
        <w:rPr>
          <w:szCs w:val="24"/>
          <w:lang w:val="fr-FR"/>
        </w:rPr>
        <w:t>écart type des amplitudes spectrales σ dans la bande de fréquences du signal DVB</w:t>
      </w:r>
      <w:r>
        <w:rPr>
          <w:szCs w:val="24"/>
          <w:lang w:val="fr-FR"/>
        </w:rPr>
        <w:noBreakHyphen/>
      </w:r>
      <w:r w:rsidRPr="001A242E">
        <w:rPr>
          <w:szCs w:val="24"/>
          <w:lang w:val="fr-FR"/>
        </w:rPr>
        <w:t>T, calculé conformément au</w:t>
      </w:r>
      <w:r>
        <w:rPr>
          <w:szCs w:val="24"/>
          <w:lang w:val="fr-FR"/>
        </w:rPr>
        <w:t xml:space="preserve"> § 2.27 «E</w:t>
      </w:r>
      <w:r w:rsidRPr="001A242E">
        <w:rPr>
          <w:szCs w:val="24"/>
          <w:lang w:val="fr-FR"/>
        </w:rPr>
        <w:t>cart type</w:t>
      </w:r>
      <w:r>
        <w:rPr>
          <w:szCs w:val="24"/>
          <w:lang w:val="fr-FR"/>
        </w:rPr>
        <w:t>»</w:t>
      </w:r>
      <w:r w:rsidRPr="001A242E">
        <w:rPr>
          <w:szCs w:val="24"/>
          <w:lang w:val="fr-FR"/>
        </w:rPr>
        <w:t>;</w:t>
      </w:r>
    </w:p>
    <w:p w:rsidR="00627814" w:rsidRDefault="00E376FB" w:rsidP="00627814">
      <w:pPr>
        <w:tabs>
          <w:tab w:val="clear" w:pos="794"/>
        </w:tabs>
        <w:spacing w:line="240" w:lineRule="auto"/>
        <w:ind w:left="709" w:hanging="709"/>
        <w:jc w:val="left"/>
        <w:rPr>
          <w:szCs w:val="24"/>
          <w:lang w:val="fr-FR"/>
        </w:rPr>
      </w:pPr>
      <w:r w:rsidRPr="001A242E">
        <w:rPr>
          <w:szCs w:val="24"/>
          <w:lang w:val="fr-FR"/>
        </w:rPr>
        <w:t>–</w:t>
      </w:r>
      <w:r w:rsidRPr="001A242E">
        <w:rPr>
          <w:szCs w:val="24"/>
          <w:lang w:val="fr-FR"/>
        </w:rPr>
        <w:tab/>
      </w:r>
      <w:r>
        <w:rPr>
          <w:szCs w:val="24"/>
          <w:lang w:val="fr-FR"/>
        </w:rPr>
        <w:t xml:space="preserve">donner des </w:t>
      </w:r>
      <w:r w:rsidRPr="001A242E">
        <w:rPr>
          <w:szCs w:val="24"/>
          <w:lang w:val="fr-FR"/>
        </w:rPr>
        <w:t>expli</w:t>
      </w:r>
      <w:r>
        <w:rPr>
          <w:szCs w:val="24"/>
          <w:lang w:val="fr-FR"/>
        </w:rPr>
        <w:t xml:space="preserve">cations relatives au </w:t>
      </w:r>
      <w:r w:rsidRPr="001A242E">
        <w:rPr>
          <w:szCs w:val="24"/>
          <w:lang w:val="fr-FR"/>
        </w:rPr>
        <w:t xml:space="preserve">doute concernant la mise en </w:t>
      </w:r>
      <w:r>
        <w:rPr>
          <w:szCs w:val="24"/>
          <w:lang w:val="fr-FR"/>
        </w:rPr>
        <w:t>oe</w:t>
      </w:r>
      <w:r w:rsidRPr="001A242E">
        <w:rPr>
          <w:szCs w:val="24"/>
          <w:lang w:val="fr-FR"/>
        </w:rPr>
        <w:t xml:space="preserve">uvre obligatoire des prescriptions indiquées au § 3.1.4.1 </w:t>
      </w:r>
      <w:r>
        <w:rPr>
          <w:szCs w:val="24"/>
          <w:lang w:val="fr-FR"/>
        </w:rPr>
        <w:t>«</w:t>
      </w:r>
      <w:r w:rsidRPr="001A242E">
        <w:rPr>
          <w:szCs w:val="24"/>
          <w:lang w:val="fr-FR"/>
        </w:rPr>
        <w:t>Vérification de l'homogénéité de la di</w:t>
      </w:r>
      <w:r>
        <w:rPr>
          <w:szCs w:val="24"/>
          <w:lang w:val="fr-FR"/>
        </w:rPr>
        <w:t>stribution des valeurs de champ»</w:t>
      </w:r>
      <w:r w:rsidRPr="001A242E">
        <w:rPr>
          <w:szCs w:val="24"/>
          <w:lang w:val="fr-FR"/>
        </w:rPr>
        <w:t>.</w:t>
      </w:r>
    </w:p>
    <w:p w:rsidR="00E376FB" w:rsidRDefault="00E376FB" w:rsidP="007617D3">
      <w:pPr>
        <w:tabs>
          <w:tab w:val="clear" w:pos="794"/>
          <w:tab w:val="right" w:pos="9639"/>
        </w:tabs>
        <w:spacing w:line="240" w:lineRule="auto"/>
        <w:ind w:left="709" w:hanging="709"/>
        <w:jc w:val="left"/>
        <w:rPr>
          <w:rFonts w:asciiTheme="minorHAnsi" w:hAnsiTheme="minorHAnsi" w:cstheme="minorHAnsi"/>
          <w:szCs w:val="24"/>
          <w:lang w:val="fr-FR"/>
        </w:rPr>
      </w:pPr>
      <w:r w:rsidRPr="001A242E">
        <w:rPr>
          <w:rFonts w:asciiTheme="minorHAnsi" w:hAnsiTheme="minorHAnsi" w:cstheme="minorHAnsi"/>
          <w:szCs w:val="24"/>
          <w:u w:val="single"/>
          <w:lang w:val="fr-FR"/>
        </w:rPr>
        <w:t xml:space="preserve">Projet de révision de la Recommandation </w:t>
      </w:r>
      <w:r>
        <w:rPr>
          <w:rFonts w:asciiTheme="minorHAnsi" w:hAnsiTheme="minorHAnsi" w:cstheme="minorHAnsi"/>
          <w:szCs w:val="24"/>
          <w:u w:val="single"/>
          <w:lang w:val="fr-FR"/>
        </w:rPr>
        <w:t>UIT-R</w:t>
      </w:r>
      <w:r w:rsidRPr="001A242E">
        <w:rPr>
          <w:rFonts w:asciiTheme="minorHAnsi" w:hAnsiTheme="minorHAnsi" w:cstheme="minorHAnsi"/>
          <w:szCs w:val="24"/>
          <w:u w:val="single"/>
          <w:lang w:val="fr-FR"/>
        </w:rPr>
        <w:t xml:space="preserve"> SM.1413-2</w:t>
      </w:r>
      <w:r w:rsidR="007617D3" w:rsidRPr="007617D3">
        <w:rPr>
          <w:rFonts w:asciiTheme="minorHAnsi" w:hAnsiTheme="minorHAnsi" w:cstheme="minorHAnsi"/>
          <w:szCs w:val="24"/>
          <w:lang w:val="fr-FR"/>
        </w:rPr>
        <w:t xml:space="preserve"> </w:t>
      </w:r>
      <w:r w:rsidR="007617D3">
        <w:rPr>
          <w:rFonts w:asciiTheme="minorHAnsi" w:hAnsiTheme="minorHAnsi" w:cstheme="minorHAnsi"/>
          <w:szCs w:val="24"/>
          <w:lang w:val="fr-FR"/>
        </w:rPr>
        <w:tab/>
      </w:r>
      <w:r>
        <w:rPr>
          <w:rFonts w:asciiTheme="minorHAnsi" w:hAnsiTheme="minorHAnsi" w:cstheme="minorHAnsi"/>
          <w:szCs w:val="24"/>
          <w:lang w:val="fr-FR"/>
        </w:rPr>
        <w:t>Doc. 1/102(Ré</w:t>
      </w:r>
      <w:r w:rsidRPr="001A242E">
        <w:rPr>
          <w:rFonts w:asciiTheme="minorHAnsi" w:hAnsiTheme="minorHAnsi" w:cstheme="minorHAnsi"/>
          <w:szCs w:val="24"/>
          <w:lang w:val="fr-FR"/>
        </w:rPr>
        <w:t>v.1)</w:t>
      </w:r>
    </w:p>
    <w:p w:rsidR="00E376FB" w:rsidRPr="001A242E" w:rsidRDefault="00E376FB" w:rsidP="00E376FB">
      <w:pPr>
        <w:pStyle w:val="Rectitle"/>
        <w:rPr>
          <w:lang w:val="fr-FR"/>
        </w:rPr>
      </w:pPr>
      <w:r w:rsidRPr="001A242E">
        <w:rPr>
          <w:lang w:val="fr-FR"/>
        </w:rPr>
        <w:t>Dictionnaire de données des radiocommunications (RDD)</w:t>
      </w:r>
    </w:p>
    <w:p w:rsidR="00E376FB" w:rsidRPr="001A242E" w:rsidRDefault="00E376FB" w:rsidP="00292048">
      <w:pPr>
        <w:pStyle w:val="Normalaftertitle"/>
        <w:spacing w:before="240"/>
        <w:jc w:val="left"/>
        <w:rPr>
          <w:lang w:val="fr-FR"/>
        </w:rPr>
      </w:pPr>
      <w:r w:rsidRPr="001A242E">
        <w:rPr>
          <w:lang w:val="fr-FR"/>
        </w:rPr>
        <w:t>Les modifications apportées à l</w:t>
      </w:r>
      <w:r>
        <w:rPr>
          <w:lang w:val="fr-FR"/>
        </w:rPr>
        <w:t>'</w:t>
      </w:r>
      <w:r w:rsidRPr="001A242E">
        <w:rPr>
          <w:lang w:val="fr-FR"/>
        </w:rPr>
        <w:t>Appendice 4 du Règlement des r</w:t>
      </w:r>
      <w:r>
        <w:rPr>
          <w:lang w:val="fr-FR"/>
        </w:rPr>
        <w:t>adiocommunications  par la CMR</w:t>
      </w:r>
      <w:r>
        <w:rPr>
          <w:lang w:val="fr-FR"/>
        </w:rPr>
        <w:noBreakHyphen/>
      </w:r>
      <w:r w:rsidRPr="001A242E">
        <w:rPr>
          <w:lang w:val="fr-FR"/>
        </w:rPr>
        <w:t>07 et la CMR-12 ont eu des incidences sur les données de notification pour les services de Terre et les services spatiaux.</w:t>
      </w:r>
    </w:p>
    <w:p w:rsidR="00E376FB" w:rsidRPr="001A242E" w:rsidRDefault="00E376FB" w:rsidP="00E376FB">
      <w:pPr>
        <w:spacing w:line="240" w:lineRule="auto"/>
        <w:jc w:val="left"/>
        <w:rPr>
          <w:szCs w:val="24"/>
          <w:lang w:val="fr-FR"/>
        </w:rPr>
      </w:pPr>
      <w:r w:rsidRPr="001A242E">
        <w:rPr>
          <w:szCs w:val="24"/>
          <w:lang w:val="fr-FR"/>
        </w:rPr>
        <w:lastRenderedPageBreak/>
        <w:t xml:space="preserve">Conformément à la Résolution 906 </w:t>
      </w:r>
      <w:r>
        <w:rPr>
          <w:szCs w:val="24"/>
          <w:lang w:val="fr-FR"/>
        </w:rPr>
        <w:t>(</w:t>
      </w:r>
      <w:r w:rsidRPr="001A242E">
        <w:rPr>
          <w:szCs w:val="24"/>
          <w:lang w:val="fr-FR"/>
        </w:rPr>
        <w:t>CMR-07), aux termes de laquelle il a été décidé que</w:t>
      </w:r>
      <w:r w:rsidRPr="00FD5B46">
        <w:rPr>
          <w:i/>
          <w:iCs/>
          <w:szCs w:val="24"/>
          <w:lang w:val="fr-FR"/>
        </w:rPr>
        <w:t>, à compter du 1er janvier 2009, la soumission des fiches de notification au Bureau des radiocommunications pour les services de Terre se ferait uniquement sous forme électronique</w:t>
      </w:r>
      <w:r>
        <w:rPr>
          <w:szCs w:val="24"/>
          <w:lang w:val="fr-FR"/>
        </w:rPr>
        <w:t>,</w:t>
      </w:r>
      <w:r w:rsidRPr="001A242E">
        <w:rPr>
          <w:i/>
          <w:szCs w:val="24"/>
          <w:lang w:val="fr-FR"/>
        </w:rPr>
        <w:t xml:space="preserve"> </w:t>
      </w:r>
      <w:r w:rsidRPr="001A242E">
        <w:rPr>
          <w:szCs w:val="24"/>
          <w:lang w:val="fr-FR"/>
        </w:rPr>
        <w:t>il faut procéder à un examen des section</w:t>
      </w:r>
      <w:r>
        <w:rPr>
          <w:szCs w:val="24"/>
          <w:lang w:val="fr-FR"/>
        </w:rPr>
        <w:t>s</w:t>
      </w:r>
      <w:r w:rsidRPr="001A242E">
        <w:rPr>
          <w:szCs w:val="24"/>
          <w:lang w:val="fr-FR"/>
        </w:rPr>
        <w:t xml:space="preserve"> du RDD se rapportant aux services de Terre afin de s</w:t>
      </w:r>
      <w:r>
        <w:rPr>
          <w:szCs w:val="24"/>
          <w:lang w:val="fr-FR"/>
        </w:rPr>
        <w:t>'</w:t>
      </w:r>
      <w:r w:rsidRPr="001A242E">
        <w:rPr>
          <w:szCs w:val="24"/>
          <w:lang w:val="fr-FR"/>
        </w:rPr>
        <w:t>assurer que les informations contenues dans ces sections tiennent compte de la cessation de l</w:t>
      </w:r>
      <w:r>
        <w:rPr>
          <w:szCs w:val="24"/>
          <w:lang w:val="fr-FR"/>
        </w:rPr>
        <w:t>'</w:t>
      </w:r>
      <w:r w:rsidRPr="001A242E">
        <w:rPr>
          <w:szCs w:val="24"/>
          <w:lang w:val="fr-FR"/>
        </w:rPr>
        <w:t xml:space="preserve">utilisation des fiches de notification papier. </w:t>
      </w:r>
    </w:p>
    <w:p w:rsidR="00E376FB" w:rsidRPr="001A242E" w:rsidRDefault="00E376FB" w:rsidP="007617D3">
      <w:pPr>
        <w:spacing w:before="100" w:line="240" w:lineRule="auto"/>
        <w:jc w:val="left"/>
        <w:rPr>
          <w:szCs w:val="24"/>
          <w:lang w:val="fr-FR"/>
        </w:rPr>
      </w:pPr>
      <w:r w:rsidRPr="001A242E">
        <w:rPr>
          <w:szCs w:val="24"/>
          <w:lang w:val="fr-FR"/>
        </w:rPr>
        <w:t>Les changements découlant de la modification de l</w:t>
      </w:r>
      <w:r>
        <w:rPr>
          <w:szCs w:val="24"/>
          <w:lang w:val="fr-FR"/>
        </w:rPr>
        <w:t>'</w:t>
      </w:r>
      <w:r w:rsidRPr="001A242E">
        <w:rPr>
          <w:szCs w:val="24"/>
          <w:lang w:val="fr-FR"/>
        </w:rPr>
        <w:t>Appendice 4 du Règlement des radiocommunications et de la Résolution 906 (CMR-07) ont eu des incidences sur plusieurs sections du RDD, plus précisément:</w:t>
      </w:r>
    </w:p>
    <w:p w:rsidR="00E376FB" w:rsidRPr="001A242E" w:rsidRDefault="00E376FB" w:rsidP="00627814">
      <w:pPr>
        <w:tabs>
          <w:tab w:val="clear" w:pos="794"/>
        </w:tabs>
        <w:spacing w:before="60" w:line="240" w:lineRule="auto"/>
        <w:ind w:left="720"/>
        <w:rPr>
          <w:szCs w:val="24"/>
          <w:lang w:val="fr-FR"/>
        </w:rPr>
      </w:pPr>
      <w:r w:rsidRPr="001A242E">
        <w:rPr>
          <w:szCs w:val="24"/>
          <w:lang w:val="fr-FR"/>
        </w:rPr>
        <w:t>Section 2:</w:t>
      </w:r>
      <w:r w:rsidRPr="001A242E">
        <w:rPr>
          <w:szCs w:val="24"/>
          <w:lang w:val="fr-FR"/>
        </w:rPr>
        <w:tab/>
        <w:t>Données de notification pour les services de Terre</w:t>
      </w:r>
      <w:r w:rsidRPr="001A242E">
        <w:rPr>
          <w:noProof/>
          <w:szCs w:val="24"/>
          <w:lang w:val="fr-FR"/>
        </w:rPr>
        <w:t>;</w:t>
      </w:r>
    </w:p>
    <w:p w:rsidR="00E376FB" w:rsidRPr="001A242E" w:rsidRDefault="00E376FB" w:rsidP="00627814">
      <w:pPr>
        <w:tabs>
          <w:tab w:val="clear" w:pos="794"/>
        </w:tabs>
        <w:spacing w:before="60" w:line="240" w:lineRule="auto"/>
        <w:ind w:left="1985" w:hanging="1265"/>
        <w:rPr>
          <w:szCs w:val="24"/>
          <w:lang w:val="fr-FR"/>
        </w:rPr>
      </w:pPr>
      <w:r w:rsidRPr="001A242E">
        <w:rPr>
          <w:szCs w:val="24"/>
          <w:lang w:val="fr-FR"/>
        </w:rPr>
        <w:t>Section 3:</w:t>
      </w:r>
      <w:r w:rsidRPr="001A242E">
        <w:rPr>
          <w:szCs w:val="24"/>
          <w:lang w:val="fr-FR"/>
        </w:rPr>
        <w:tab/>
      </w:r>
      <w:r w:rsidRPr="001A242E">
        <w:rPr>
          <w:noProof/>
          <w:szCs w:val="24"/>
          <w:lang w:val="fr-FR"/>
        </w:rPr>
        <w:t>Description des éléments de données pour les systèmes et les services de Terre;</w:t>
      </w:r>
    </w:p>
    <w:p w:rsidR="00E376FB" w:rsidRPr="001A242E" w:rsidRDefault="00E376FB" w:rsidP="00627814">
      <w:pPr>
        <w:tabs>
          <w:tab w:val="clear" w:pos="794"/>
        </w:tabs>
        <w:spacing w:before="60" w:line="240" w:lineRule="auto"/>
        <w:ind w:left="1985" w:hanging="1265"/>
        <w:rPr>
          <w:szCs w:val="24"/>
          <w:lang w:val="fr-FR"/>
        </w:rPr>
      </w:pPr>
      <w:r w:rsidRPr="001A242E">
        <w:rPr>
          <w:szCs w:val="24"/>
          <w:lang w:val="fr-FR"/>
        </w:rPr>
        <w:t>Section 4:</w:t>
      </w:r>
      <w:r w:rsidRPr="001A242E">
        <w:rPr>
          <w:szCs w:val="24"/>
          <w:lang w:val="fr-FR"/>
        </w:rPr>
        <w:tab/>
      </w:r>
      <w:r>
        <w:rPr>
          <w:szCs w:val="24"/>
          <w:lang w:val="fr-FR"/>
        </w:rPr>
        <w:t xml:space="preserve">Données relatives à </w:t>
      </w:r>
      <w:r w:rsidRPr="001A242E">
        <w:rPr>
          <w:szCs w:val="24"/>
          <w:lang w:val="fr-FR"/>
        </w:rPr>
        <w:t xml:space="preserve">la publication anticipée, </w:t>
      </w:r>
      <w:r>
        <w:rPr>
          <w:szCs w:val="24"/>
          <w:lang w:val="fr-FR"/>
        </w:rPr>
        <w:t xml:space="preserve">la </w:t>
      </w:r>
      <w:r w:rsidRPr="001A242E">
        <w:rPr>
          <w:szCs w:val="24"/>
          <w:lang w:val="fr-FR"/>
        </w:rPr>
        <w:t xml:space="preserve">notification </w:t>
      </w:r>
      <w:r>
        <w:rPr>
          <w:szCs w:val="24"/>
          <w:lang w:val="fr-FR"/>
        </w:rPr>
        <w:t xml:space="preserve">et la </w:t>
      </w:r>
      <w:r w:rsidRPr="001A242E">
        <w:rPr>
          <w:szCs w:val="24"/>
          <w:lang w:val="fr-FR"/>
        </w:rPr>
        <w:t xml:space="preserve">coordination </w:t>
      </w:r>
      <w:r>
        <w:rPr>
          <w:szCs w:val="24"/>
          <w:lang w:val="fr-FR"/>
        </w:rPr>
        <w:t>d</w:t>
      </w:r>
      <w:r w:rsidRPr="001A242E">
        <w:rPr>
          <w:szCs w:val="24"/>
          <w:lang w:val="fr-FR"/>
        </w:rPr>
        <w:t xml:space="preserve">es </w:t>
      </w:r>
      <w:r>
        <w:rPr>
          <w:szCs w:val="24"/>
          <w:lang w:val="fr-FR"/>
        </w:rPr>
        <w:t>systèmes</w:t>
      </w:r>
      <w:r w:rsidRPr="001A242E">
        <w:rPr>
          <w:szCs w:val="24"/>
          <w:lang w:val="fr-FR"/>
        </w:rPr>
        <w:t xml:space="preserve"> spatiaux</w:t>
      </w:r>
      <w:r w:rsidRPr="001A242E">
        <w:rPr>
          <w:noProof/>
          <w:szCs w:val="24"/>
          <w:lang w:val="fr-FR"/>
        </w:rPr>
        <w:t>; et</w:t>
      </w:r>
    </w:p>
    <w:p w:rsidR="00E376FB" w:rsidRPr="001A242E" w:rsidRDefault="00E376FB" w:rsidP="00627814">
      <w:pPr>
        <w:tabs>
          <w:tab w:val="clear" w:pos="794"/>
        </w:tabs>
        <w:spacing w:before="60" w:line="240" w:lineRule="auto"/>
        <w:ind w:left="720"/>
        <w:rPr>
          <w:noProof/>
          <w:szCs w:val="24"/>
          <w:lang w:val="fr-FR"/>
        </w:rPr>
      </w:pPr>
      <w:r w:rsidRPr="001A242E">
        <w:rPr>
          <w:szCs w:val="24"/>
          <w:lang w:val="fr-FR"/>
        </w:rPr>
        <w:t>Section 5:</w:t>
      </w:r>
      <w:r w:rsidRPr="001A242E">
        <w:rPr>
          <w:szCs w:val="24"/>
          <w:lang w:val="fr-FR"/>
        </w:rPr>
        <w:tab/>
      </w:r>
      <w:r w:rsidRPr="001A242E">
        <w:rPr>
          <w:noProof/>
          <w:szCs w:val="24"/>
          <w:lang w:val="fr-FR"/>
        </w:rPr>
        <w:t>Description des éléments de données pour les services spatiaux.</w:t>
      </w:r>
    </w:p>
    <w:p w:rsidR="00E376FB" w:rsidRPr="001A242E" w:rsidRDefault="00E376FB" w:rsidP="00E376FB">
      <w:pPr>
        <w:spacing w:line="240" w:lineRule="auto"/>
        <w:rPr>
          <w:noProof/>
          <w:szCs w:val="24"/>
          <w:lang w:val="fr-FR"/>
        </w:rPr>
      </w:pPr>
      <w:r>
        <w:rPr>
          <w:noProof/>
          <w:szCs w:val="24"/>
          <w:lang w:val="fr-FR"/>
        </w:rPr>
        <w:t>A</w:t>
      </w:r>
      <w:r w:rsidRPr="001A242E">
        <w:rPr>
          <w:noProof/>
          <w:szCs w:val="24"/>
          <w:lang w:val="fr-FR"/>
        </w:rPr>
        <w:t xml:space="preserve"> la suite des changements dans ces sections, il a fallu apporter en conséquence des changements aux sections suivantes</w:t>
      </w:r>
      <w:r>
        <w:rPr>
          <w:noProof/>
          <w:szCs w:val="24"/>
          <w:lang w:val="fr-FR"/>
        </w:rPr>
        <w:t>:</w:t>
      </w:r>
    </w:p>
    <w:p w:rsidR="00E376FB" w:rsidRPr="001A242E" w:rsidRDefault="00E376FB" w:rsidP="00E376FB">
      <w:pPr>
        <w:spacing w:before="60" w:line="240" w:lineRule="auto"/>
        <w:ind w:left="720"/>
        <w:rPr>
          <w:szCs w:val="24"/>
          <w:lang w:val="fr-FR"/>
        </w:rPr>
      </w:pPr>
      <w:r w:rsidRPr="001A242E">
        <w:rPr>
          <w:szCs w:val="24"/>
          <w:lang w:val="fr-FR"/>
        </w:rPr>
        <w:t>Section 7:</w:t>
      </w:r>
      <w:r w:rsidRPr="001A242E">
        <w:rPr>
          <w:szCs w:val="24"/>
          <w:lang w:val="fr-FR"/>
        </w:rPr>
        <w:tab/>
      </w:r>
      <w:r w:rsidRPr="001A242E">
        <w:rPr>
          <w:noProof/>
          <w:szCs w:val="24"/>
          <w:lang w:val="fr-FR"/>
        </w:rPr>
        <w:t>Diagrammes;</w:t>
      </w:r>
    </w:p>
    <w:p w:rsidR="00E376FB" w:rsidRPr="001A242E" w:rsidRDefault="00E376FB" w:rsidP="00E376FB">
      <w:pPr>
        <w:spacing w:before="60" w:line="240" w:lineRule="auto"/>
        <w:ind w:left="720"/>
        <w:rPr>
          <w:noProof/>
          <w:szCs w:val="24"/>
          <w:lang w:val="fr-FR"/>
        </w:rPr>
      </w:pPr>
      <w:r w:rsidRPr="001A242E">
        <w:rPr>
          <w:szCs w:val="24"/>
          <w:lang w:val="fr-FR"/>
        </w:rPr>
        <w:t>Section 8:</w:t>
      </w:r>
      <w:r w:rsidRPr="001A242E">
        <w:rPr>
          <w:szCs w:val="24"/>
          <w:lang w:val="fr-FR"/>
        </w:rPr>
        <w:tab/>
      </w:r>
      <w:r w:rsidRPr="001A242E">
        <w:rPr>
          <w:noProof/>
          <w:szCs w:val="24"/>
          <w:lang w:val="fr-FR"/>
        </w:rPr>
        <w:t>Tableaux de correspondance entre l'Appendice 4 du RR et le RDD; et</w:t>
      </w:r>
    </w:p>
    <w:p w:rsidR="00E376FB" w:rsidRPr="001A242E" w:rsidRDefault="00E376FB" w:rsidP="00E376FB">
      <w:pPr>
        <w:spacing w:before="60" w:line="240" w:lineRule="auto"/>
        <w:ind w:left="720"/>
        <w:rPr>
          <w:szCs w:val="24"/>
          <w:lang w:val="fr-FR"/>
        </w:rPr>
      </w:pPr>
      <w:r w:rsidRPr="001A242E">
        <w:rPr>
          <w:szCs w:val="24"/>
          <w:lang w:val="fr-FR"/>
        </w:rPr>
        <w:t>Section 10:</w:t>
      </w:r>
      <w:r w:rsidRPr="001A242E">
        <w:rPr>
          <w:szCs w:val="24"/>
          <w:lang w:val="fr-FR"/>
        </w:rPr>
        <w:tab/>
        <w:t>Index de référence des éléments de données.</w:t>
      </w:r>
    </w:p>
    <w:p w:rsidR="00E376FB" w:rsidRPr="001A242E" w:rsidRDefault="00E376FB" w:rsidP="00627814">
      <w:pPr>
        <w:spacing w:before="120" w:line="240" w:lineRule="auto"/>
        <w:jc w:val="left"/>
        <w:rPr>
          <w:szCs w:val="24"/>
          <w:lang w:val="fr-FR"/>
        </w:rPr>
      </w:pPr>
      <w:r w:rsidRPr="001A242E">
        <w:rPr>
          <w:szCs w:val="24"/>
          <w:lang w:val="fr-FR"/>
        </w:rPr>
        <w:t xml:space="preserve">Dans le cas de la Section 10, il convient de noter que cette section ne pourra être mise à jour tant que les marques de révision ne seront pas supprimées du document </w:t>
      </w:r>
      <w:r>
        <w:rPr>
          <w:szCs w:val="24"/>
          <w:lang w:val="fr-FR"/>
        </w:rPr>
        <w:t xml:space="preserve">et </w:t>
      </w:r>
      <w:r w:rsidRPr="001A242E">
        <w:rPr>
          <w:szCs w:val="24"/>
          <w:lang w:val="fr-FR"/>
        </w:rPr>
        <w:t>tant que ce document n</w:t>
      </w:r>
      <w:r>
        <w:rPr>
          <w:szCs w:val="24"/>
          <w:lang w:val="fr-FR"/>
        </w:rPr>
        <w:t xml:space="preserve">e sera </w:t>
      </w:r>
      <w:r w:rsidRPr="001A242E">
        <w:rPr>
          <w:szCs w:val="24"/>
          <w:lang w:val="fr-FR"/>
        </w:rPr>
        <w:t>pas dans le format normalisé.</w:t>
      </w:r>
    </w:p>
    <w:p w:rsidR="00E376FB" w:rsidRPr="001A242E" w:rsidRDefault="00E376FB" w:rsidP="00627814">
      <w:pPr>
        <w:spacing w:before="120" w:line="240" w:lineRule="auto"/>
        <w:jc w:val="left"/>
        <w:rPr>
          <w:szCs w:val="24"/>
          <w:lang w:val="fr-FR"/>
        </w:rPr>
      </w:pPr>
      <w:r w:rsidRPr="001A242E">
        <w:rPr>
          <w:szCs w:val="24"/>
          <w:lang w:val="fr-FR"/>
        </w:rPr>
        <w:t xml:space="preserve">La Section 9 qui contient les données fournies par le Bureau des radiocommunications </w:t>
      </w:r>
      <w:r>
        <w:rPr>
          <w:szCs w:val="24"/>
          <w:lang w:val="fr-FR"/>
        </w:rPr>
        <w:t xml:space="preserve">n'est </w:t>
      </w:r>
      <w:r w:rsidRPr="001A242E">
        <w:rPr>
          <w:szCs w:val="24"/>
          <w:lang w:val="fr-FR"/>
        </w:rPr>
        <w:t>mise à disposition normalement qu</w:t>
      </w:r>
      <w:r>
        <w:rPr>
          <w:szCs w:val="24"/>
          <w:lang w:val="fr-FR"/>
        </w:rPr>
        <w:t>'</w:t>
      </w:r>
      <w:r w:rsidRPr="001A242E">
        <w:rPr>
          <w:szCs w:val="24"/>
          <w:lang w:val="fr-FR"/>
        </w:rPr>
        <w:t>après l</w:t>
      </w:r>
      <w:r>
        <w:rPr>
          <w:szCs w:val="24"/>
          <w:lang w:val="fr-FR"/>
        </w:rPr>
        <w:t>'</w:t>
      </w:r>
      <w:r w:rsidRPr="001A242E">
        <w:rPr>
          <w:szCs w:val="24"/>
          <w:lang w:val="fr-FR"/>
        </w:rPr>
        <w:t>adoption des révisions apportées à la Recommandation.</w:t>
      </w:r>
    </w:p>
    <w:p w:rsidR="00E376FB" w:rsidRPr="001A242E" w:rsidRDefault="00E376FB" w:rsidP="00E376FB">
      <w:pPr>
        <w:tabs>
          <w:tab w:val="right" w:pos="9639"/>
        </w:tabs>
        <w:spacing w:before="240" w:line="240" w:lineRule="auto"/>
        <w:rPr>
          <w:rFonts w:asciiTheme="minorHAnsi" w:hAnsiTheme="minorHAnsi" w:cstheme="minorHAnsi"/>
          <w:szCs w:val="24"/>
          <w:lang w:val="fr-FR"/>
        </w:rPr>
      </w:pPr>
      <w:r w:rsidRPr="001A242E">
        <w:rPr>
          <w:rFonts w:asciiTheme="minorHAnsi" w:hAnsiTheme="minorHAnsi" w:cstheme="minorHAnsi"/>
          <w:szCs w:val="24"/>
          <w:u w:val="single"/>
          <w:lang w:val="fr-FR"/>
        </w:rPr>
        <w:t xml:space="preserve">Projet de modification de la Recommandation </w:t>
      </w:r>
      <w:r>
        <w:rPr>
          <w:rFonts w:asciiTheme="minorHAnsi" w:hAnsiTheme="minorHAnsi" w:cstheme="minorHAnsi"/>
          <w:szCs w:val="24"/>
          <w:u w:val="single"/>
          <w:lang w:val="fr-FR"/>
        </w:rPr>
        <w:t>UIT-R</w:t>
      </w:r>
      <w:r w:rsidRPr="001A242E">
        <w:rPr>
          <w:rFonts w:asciiTheme="minorHAnsi" w:hAnsiTheme="minorHAnsi" w:cstheme="minorHAnsi"/>
          <w:szCs w:val="24"/>
          <w:u w:val="single"/>
          <w:lang w:val="fr-FR"/>
        </w:rPr>
        <w:t xml:space="preserve"> SM.1603-1</w:t>
      </w:r>
      <w:r>
        <w:rPr>
          <w:rFonts w:asciiTheme="minorHAnsi" w:hAnsiTheme="minorHAnsi" w:cstheme="minorHAnsi"/>
          <w:szCs w:val="24"/>
          <w:lang w:val="fr-FR"/>
        </w:rPr>
        <w:tab/>
        <w:t>Doc. 1/103(Ré</w:t>
      </w:r>
      <w:r w:rsidRPr="001A242E">
        <w:rPr>
          <w:rFonts w:asciiTheme="minorHAnsi" w:hAnsiTheme="minorHAnsi" w:cstheme="minorHAnsi"/>
          <w:szCs w:val="24"/>
          <w:lang w:val="fr-FR"/>
        </w:rPr>
        <w:t>v.1)</w:t>
      </w:r>
    </w:p>
    <w:p w:rsidR="00E376FB" w:rsidRPr="001A242E" w:rsidRDefault="00E376FB" w:rsidP="007617D3">
      <w:pPr>
        <w:pStyle w:val="Rectitle"/>
        <w:keepNext w:val="0"/>
        <w:keepLines w:val="0"/>
        <w:spacing w:line="280" w:lineRule="exact"/>
        <w:rPr>
          <w:lang w:val="fr-FR"/>
        </w:rPr>
      </w:pPr>
      <w:r w:rsidRPr="001A242E">
        <w:rPr>
          <w:lang w:val="fr-FR"/>
        </w:rPr>
        <w:t>Redéploiement du spectre en tant que méthode de gestion nationale du spectre</w:t>
      </w:r>
    </w:p>
    <w:p w:rsidR="00E376FB" w:rsidRPr="001A242E" w:rsidRDefault="00E376FB" w:rsidP="00627814">
      <w:pPr>
        <w:pStyle w:val="Normalaftertitle"/>
        <w:spacing w:before="240"/>
        <w:rPr>
          <w:rFonts w:eastAsia="SimSun"/>
          <w:lang w:val="fr-FR" w:eastAsia="zh-CN"/>
        </w:rPr>
      </w:pPr>
      <w:r w:rsidRPr="001A242E">
        <w:rPr>
          <w:rFonts w:eastAsia="SimSun"/>
          <w:lang w:val="fr-FR" w:eastAsia="zh-CN"/>
        </w:rPr>
        <w:t>L</w:t>
      </w:r>
      <w:r>
        <w:rPr>
          <w:rFonts w:eastAsia="SimSun"/>
          <w:lang w:val="fr-FR" w:eastAsia="zh-CN"/>
        </w:rPr>
        <w:t>'</w:t>
      </w:r>
      <w:r w:rsidRPr="001A242E">
        <w:rPr>
          <w:rFonts w:eastAsia="SimSun"/>
          <w:lang w:val="fr-FR" w:eastAsia="zh-CN"/>
        </w:rPr>
        <w:t>objet de la modification est le suivant:</w:t>
      </w:r>
    </w:p>
    <w:p w:rsidR="00E376FB" w:rsidRPr="001A242E" w:rsidRDefault="00E376FB" w:rsidP="00E376FB">
      <w:pPr>
        <w:pStyle w:val="enumlev1"/>
        <w:tabs>
          <w:tab w:val="clear" w:pos="794"/>
        </w:tabs>
        <w:spacing w:line="240" w:lineRule="auto"/>
        <w:jc w:val="left"/>
        <w:rPr>
          <w:szCs w:val="24"/>
          <w:lang w:val="fr-FR" w:eastAsia="zh-CN"/>
        </w:rPr>
      </w:pPr>
      <w:r w:rsidRPr="001A242E">
        <w:rPr>
          <w:szCs w:val="24"/>
          <w:lang w:val="fr-FR" w:eastAsia="zh-CN"/>
        </w:rPr>
        <w:t>1)</w:t>
      </w:r>
      <w:r w:rsidRPr="001A242E">
        <w:rPr>
          <w:szCs w:val="24"/>
          <w:lang w:val="fr-FR" w:eastAsia="zh-CN"/>
        </w:rPr>
        <w:tab/>
      </w:r>
      <w:r>
        <w:rPr>
          <w:szCs w:val="24"/>
          <w:lang w:val="fr-FR" w:eastAsia="zh-CN"/>
        </w:rPr>
        <w:t>A</w:t>
      </w:r>
      <w:r w:rsidRPr="001A242E">
        <w:rPr>
          <w:szCs w:val="24"/>
          <w:lang w:val="fr-FR" w:eastAsia="zh-CN"/>
        </w:rPr>
        <w:t>u § 3.2.2.2 de l'Annexe 1, consid</w:t>
      </w:r>
      <w:r>
        <w:rPr>
          <w:szCs w:val="24"/>
          <w:lang w:val="fr-FR" w:eastAsia="zh-CN"/>
        </w:rPr>
        <w:t>é</w:t>
      </w:r>
      <w:r w:rsidRPr="001A242E">
        <w:rPr>
          <w:szCs w:val="24"/>
          <w:lang w:val="fr-FR" w:eastAsia="zh-CN"/>
        </w:rPr>
        <w:t>r</w:t>
      </w:r>
      <w:r>
        <w:rPr>
          <w:szCs w:val="24"/>
          <w:lang w:val="fr-FR" w:eastAsia="zh-CN"/>
        </w:rPr>
        <w:t>er</w:t>
      </w:r>
      <w:r w:rsidRPr="001A242E">
        <w:rPr>
          <w:szCs w:val="24"/>
          <w:lang w:val="fr-FR" w:eastAsia="zh-CN"/>
        </w:rPr>
        <w:t xml:space="preserve"> </w:t>
      </w:r>
      <w:r>
        <w:rPr>
          <w:szCs w:val="24"/>
          <w:lang w:val="fr-FR" w:eastAsia="zh-CN"/>
        </w:rPr>
        <w:t>le «</w:t>
      </w:r>
      <w:r w:rsidRPr="00D93A82">
        <w:rPr>
          <w:szCs w:val="24"/>
          <w:lang w:val="fr-FR" w:eastAsia="zh-CN"/>
        </w:rPr>
        <w:t>Redéploiement du spectre à la fin de la durée de vie de l'équipement</w:t>
      </w:r>
      <w:r>
        <w:rPr>
          <w:szCs w:val="24"/>
          <w:lang w:val="fr-FR" w:eastAsia="zh-CN"/>
        </w:rPr>
        <w:t>»</w:t>
      </w:r>
      <w:r w:rsidRPr="001A242E">
        <w:rPr>
          <w:szCs w:val="24"/>
          <w:lang w:val="fr-FR" w:eastAsia="zh-CN"/>
        </w:rPr>
        <w:t xml:space="preserve"> </w:t>
      </w:r>
      <w:r>
        <w:rPr>
          <w:szCs w:val="24"/>
          <w:lang w:val="fr-FR" w:eastAsia="zh-CN"/>
        </w:rPr>
        <w:t xml:space="preserve">comme un cas de redéploiement du </w:t>
      </w:r>
      <w:r w:rsidRPr="001A242E">
        <w:rPr>
          <w:szCs w:val="24"/>
          <w:lang w:val="fr-FR" w:eastAsia="zh-CN"/>
        </w:rPr>
        <w:t>spec</w:t>
      </w:r>
      <w:r>
        <w:rPr>
          <w:szCs w:val="24"/>
          <w:lang w:val="fr-FR" w:eastAsia="zh-CN"/>
        </w:rPr>
        <w:t>tre</w:t>
      </w:r>
      <w:r w:rsidRPr="001A242E">
        <w:rPr>
          <w:szCs w:val="24"/>
          <w:lang w:val="fr-FR" w:eastAsia="zh-CN"/>
        </w:rPr>
        <w:t xml:space="preserve"> </w:t>
      </w:r>
      <w:r>
        <w:rPr>
          <w:szCs w:val="24"/>
          <w:lang w:val="fr-FR" w:eastAsia="zh-CN"/>
        </w:rPr>
        <w:t>avant l'</w:t>
      </w:r>
      <w:r w:rsidRPr="001A242E">
        <w:rPr>
          <w:szCs w:val="24"/>
          <w:lang w:val="fr-FR" w:eastAsia="zh-CN"/>
        </w:rPr>
        <w:t xml:space="preserve">expiration </w:t>
      </w:r>
      <w:r>
        <w:rPr>
          <w:szCs w:val="24"/>
          <w:lang w:val="fr-FR" w:eastAsia="zh-CN"/>
        </w:rPr>
        <w:t xml:space="preserve">de la </w:t>
      </w:r>
      <w:r w:rsidRPr="001A242E">
        <w:rPr>
          <w:szCs w:val="24"/>
          <w:lang w:val="fr-FR" w:eastAsia="zh-CN"/>
        </w:rPr>
        <w:t>licence.</w:t>
      </w:r>
    </w:p>
    <w:p w:rsidR="00E376FB" w:rsidRPr="001A242E" w:rsidRDefault="00E376FB" w:rsidP="00627814">
      <w:pPr>
        <w:pStyle w:val="enumlev1"/>
        <w:tabs>
          <w:tab w:val="clear" w:pos="794"/>
        </w:tabs>
        <w:spacing w:line="240" w:lineRule="auto"/>
        <w:jc w:val="left"/>
        <w:rPr>
          <w:szCs w:val="24"/>
          <w:lang w:val="fr-FR" w:eastAsia="zh-CN"/>
        </w:rPr>
      </w:pPr>
      <w:r w:rsidRPr="001A242E">
        <w:rPr>
          <w:szCs w:val="24"/>
          <w:lang w:val="fr-FR" w:eastAsia="zh-CN"/>
        </w:rPr>
        <w:t>2)</w:t>
      </w:r>
      <w:r w:rsidRPr="001A242E">
        <w:rPr>
          <w:szCs w:val="24"/>
          <w:lang w:val="fr-FR" w:eastAsia="zh-CN"/>
        </w:rPr>
        <w:tab/>
      </w:r>
      <w:r>
        <w:rPr>
          <w:szCs w:val="24"/>
          <w:lang w:val="fr-FR" w:eastAsia="zh-CN"/>
        </w:rPr>
        <w:t>Ajouter une nouvelle Pièce jointe </w:t>
      </w:r>
      <w:r w:rsidRPr="001A242E">
        <w:rPr>
          <w:szCs w:val="24"/>
          <w:lang w:val="fr-FR" w:eastAsia="zh-CN"/>
        </w:rPr>
        <w:t xml:space="preserve">4 </w:t>
      </w:r>
      <w:r>
        <w:rPr>
          <w:szCs w:val="24"/>
          <w:lang w:val="fr-FR" w:eastAsia="zh-CN"/>
        </w:rPr>
        <w:t>à l'</w:t>
      </w:r>
      <w:r w:rsidRPr="001A242E">
        <w:rPr>
          <w:szCs w:val="24"/>
          <w:lang w:val="fr-FR" w:eastAsia="zh-CN"/>
        </w:rPr>
        <w:t>Annex</w:t>
      </w:r>
      <w:r>
        <w:rPr>
          <w:szCs w:val="24"/>
          <w:lang w:val="fr-FR" w:eastAsia="zh-CN"/>
        </w:rPr>
        <w:t>e </w:t>
      </w:r>
      <w:r w:rsidRPr="001A242E">
        <w:rPr>
          <w:szCs w:val="24"/>
          <w:lang w:val="fr-FR" w:eastAsia="zh-CN"/>
        </w:rPr>
        <w:t>1</w:t>
      </w:r>
      <w:r>
        <w:rPr>
          <w:szCs w:val="24"/>
          <w:lang w:val="fr-FR" w:eastAsia="zh-CN"/>
        </w:rPr>
        <w:t xml:space="preserve">, décrivant un exemple de redéploiement du spectre fondé sur l'expérience du </w:t>
      </w:r>
      <w:r w:rsidRPr="001A242E">
        <w:rPr>
          <w:szCs w:val="24"/>
          <w:lang w:val="fr-FR" w:eastAsia="zh-CN"/>
        </w:rPr>
        <w:t>B</w:t>
      </w:r>
      <w:r>
        <w:rPr>
          <w:szCs w:val="24"/>
          <w:lang w:val="fr-FR" w:eastAsia="zh-CN"/>
        </w:rPr>
        <w:t>é</w:t>
      </w:r>
      <w:r w:rsidRPr="001A242E">
        <w:rPr>
          <w:szCs w:val="24"/>
          <w:lang w:val="fr-FR" w:eastAsia="zh-CN"/>
        </w:rPr>
        <w:t>nin.</w:t>
      </w:r>
    </w:p>
    <w:p w:rsidR="00E376FB" w:rsidRPr="001A242E" w:rsidRDefault="00E376FB" w:rsidP="00627814">
      <w:pPr>
        <w:pStyle w:val="enumlev1"/>
        <w:tabs>
          <w:tab w:val="clear" w:pos="794"/>
        </w:tabs>
        <w:spacing w:line="240" w:lineRule="auto"/>
        <w:jc w:val="left"/>
        <w:rPr>
          <w:szCs w:val="24"/>
          <w:lang w:val="fr-FR" w:eastAsia="zh-CN"/>
        </w:rPr>
      </w:pPr>
      <w:r w:rsidRPr="001A242E">
        <w:rPr>
          <w:szCs w:val="24"/>
          <w:lang w:val="fr-FR" w:eastAsia="zh-CN"/>
        </w:rPr>
        <w:t>3)</w:t>
      </w:r>
      <w:r w:rsidRPr="001A242E">
        <w:rPr>
          <w:szCs w:val="24"/>
          <w:lang w:val="fr-FR" w:eastAsia="zh-CN"/>
        </w:rPr>
        <w:tab/>
      </w:r>
      <w:r>
        <w:rPr>
          <w:szCs w:val="24"/>
          <w:lang w:val="fr-FR" w:eastAsia="zh-CN"/>
        </w:rPr>
        <w:t>Ajouter une nouvelle Pièce jointe 5</w:t>
      </w:r>
      <w:r w:rsidRPr="001A242E">
        <w:rPr>
          <w:szCs w:val="24"/>
          <w:lang w:val="fr-FR" w:eastAsia="zh-CN"/>
        </w:rPr>
        <w:t xml:space="preserve"> </w:t>
      </w:r>
      <w:r>
        <w:rPr>
          <w:szCs w:val="24"/>
          <w:lang w:val="fr-FR" w:eastAsia="zh-CN"/>
        </w:rPr>
        <w:t>à l'</w:t>
      </w:r>
      <w:r w:rsidRPr="001A242E">
        <w:rPr>
          <w:szCs w:val="24"/>
          <w:lang w:val="fr-FR" w:eastAsia="zh-CN"/>
        </w:rPr>
        <w:t>Annex</w:t>
      </w:r>
      <w:r>
        <w:rPr>
          <w:szCs w:val="24"/>
          <w:lang w:val="fr-FR" w:eastAsia="zh-CN"/>
        </w:rPr>
        <w:t>e </w:t>
      </w:r>
      <w:r w:rsidRPr="001A242E">
        <w:rPr>
          <w:szCs w:val="24"/>
          <w:lang w:val="fr-FR" w:eastAsia="zh-CN"/>
        </w:rPr>
        <w:t>1</w:t>
      </w:r>
      <w:r>
        <w:rPr>
          <w:szCs w:val="24"/>
          <w:lang w:val="fr-FR" w:eastAsia="zh-CN"/>
        </w:rPr>
        <w:t>,</w:t>
      </w:r>
      <w:r w:rsidRPr="001A242E">
        <w:rPr>
          <w:szCs w:val="24"/>
          <w:lang w:val="fr-FR" w:eastAsia="zh-CN"/>
        </w:rPr>
        <w:t xml:space="preserve"> </w:t>
      </w:r>
      <w:r>
        <w:rPr>
          <w:szCs w:val="24"/>
          <w:lang w:val="fr-FR" w:eastAsia="zh-CN"/>
        </w:rPr>
        <w:t>décrivant un exemple de redéploiement du spectre fondé sur l'expérience de l'Ukraine</w:t>
      </w:r>
      <w:r w:rsidRPr="001A242E">
        <w:rPr>
          <w:szCs w:val="24"/>
          <w:lang w:val="fr-FR" w:eastAsia="zh-CN"/>
        </w:rPr>
        <w:t>.</w:t>
      </w:r>
    </w:p>
    <w:p w:rsidR="00E376FB" w:rsidRPr="001A242E" w:rsidRDefault="00E376FB" w:rsidP="00627814">
      <w:pPr>
        <w:tabs>
          <w:tab w:val="clear" w:pos="794"/>
        </w:tabs>
        <w:spacing w:before="80" w:line="240" w:lineRule="auto"/>
        <w:ind w:left="794" w:hanging="794"/>
        <w:jc w:val="left"/>
        <w:rPr>
          <w:rFonts w:eastAsia="Batang"/>
          <w:szCs w:val="24"/>
          <w:lang w:val="fr-FR" w:eastAsia="zh-CN"/>
        </w:rPr>
      </w:pPr>
      <w:r w:rsidRPr="001A242E">
        <w:rPr>
          <w:szCs w:val="24"/>
          <w:lang w:val="fr-FR" w:eastAsia="zh-CN"/>
        </w:rPr>
        <w:t>4)</w:t>
      </w:r>
      <w:r w:rsidRPr="001A242E">
        <w:rPr>
          <w:szCs w:val="24"/>
          <w:lang w:val="fr-FR" w:eastAsia="zh-CN"/>
        </w:rPr>
        <w:tab/>
      </w:r>
      <w:r>
        <w:rPr>
          <w:szCs w:val="24"/>
          <w:lang w:val="fr-FR" w:eastAsia="ko-KR"/>
        </w:rPr>
        <w:t xml:space="preserve">Ajouter des précisions au </w:t>
      </w:r>
      <w:r w:rsidRPr="001A242E">
        <w:rPr>
          <w:szCs w:val="24"/>
          <w:lang w:val="fr-FR" w:eastAsia="zh-CN"/>
        </w:rPr>
        <w:t>§ 3.2.2.</w:t>
      </w:r>
      <w:r w:rsidRPr="001A242E">
        <w:rPr>
          <w:szCs w:val="24"/>
          <w:lang w:val="fr-FR" w:eastAsia="ko-KR"/>
        </w:rPr>
        <w:t>3</w:t>
      </w:r>
      <w:r w:rsidRPr="001A242E">
        <w:rPr>
          <w:szCs w:val="24"/>
          <w:lang w:val="fr-FR" w:eastAsia="zh-CN"/>
        </w:rPr>
        <w:t xml:space="preserve"> </w:t>
      </w:r>
      <w:r>
        <w:rPr>
          <w:szCs w:val="24"/>
          <w:lang w:val="fr-FR" w:eastAsia="zh-CN"/>
        </w:rPr>
        <w:t>de l'</w:t>
      </w:r>
      <w:r w:rsidRPr="001A242E">
        <w:rPr>
          <w:szCs w:val="24"/>
          <w:lang w:val="fr-FR" w:eastAsia="zh-CN"/>
        </w:rPr>
        <w:t>Annex</w:t>
      </w:r>
      <w:r>
        <w:rPr>
          <w:szCs w:val="24"/>
          <w:lang w:val="fr-FR" w:eastAsia="zh-CN"/>
        </w:rPr>
        <w:t>e</w:t>
      </w:r>
      <w:r w:rsidRPr="001A242E">
        <w:rPr>
          <w:szCs w:val="24"/>
          <w:lang w:val="fr-FR" w:eastAsia="zh-CN"/>
        </w:rPr>
        <w:t xml:space="preserve"> 1</w:t>
      </w:r>
      <w:r w:rsidRPr="001A242E">
        <w:rPr>
          <w:szCs w:val="24"/>
          <w:lang w:val="fr-FR" w:eastAsia="ko-KR"/>
        </w:rPr>
        <w:t xml:space="preserve"> </w:t>
      </w:r>
      <w:r>
        <w:rPr>
          <w:szCs w:val="24"/>
          <w:lang w:val="fr-FR" w:eastAsia="ko-KR"/>
        </w:rPr>
        <w:t xml:space="preserve">concernant le </w:t>
      </w:r>
      <w:r>
        <w:rPr>
          <w:szCs w:val="24"/>
          <w:lang w:val="fr-FR" w:eastAsia="zh-CN"/>
        </w:rPr>
        <w:t>«</w:t>
      </w:r>
      <w:r w:rsidRPr="00D93A82">
        <w:rPr>
          <w:szCs w:val="24"/>
          <w:lang w:val="fr-FR" w:eastAsia="ko-KR"/>
        </w:rPr>
        <w:t>Redéploiement du spectre dans des bandes non assujetties à une licence</w:t>
      </w:r>
      <w:r>
        <w:rPr>
          <w:szCs w:val="24"/>
          <w:lang w:val="fr-FR" w:eastAsia="zh-CN"/>
        </w:rPr>
        <w:t>»</w:t>
      </w:r>
      <w:r w:rsidRPr="001A242E">
        <w:rPr>
          <w:szCs w:val="24"/>
          <w:lang w:val="fr-FR" w:eastAsia="zh-CN"/>
        </w:rPr>
        <w:t>.</w:t>
      </w:r>
    </w:p>
    <w:p w:rsidR="00E376FB" w:rsidRPr="001A242E" w:rsidRDefault="00E376FB" w:rsidP="00627814">
      <w:pPr>
        <w:tabs>
          <w:tab w:val="clear" w:pos="794"/>
        </w:tabs>
        <w:spacing w:before="80" w:line="240" w:lineRule="auto"/>
        <w:ind w:left="794" w:hanging="794"/>
        <w:jc w:val="left"/>
        <w:rPr>
          <w:szCs w:val="24"/>
          <w:lang w:val="fr-FR" w:eastAsia="ko-KR"/>
        </w:rPr>
      </w:pPr>
      <w:r w:rsidRPr="001A242E">
        <w:rPr>
          <w:szCs w:val="24"/>
          <w:lang w:val="fr-FR" w:eastAsia="zh-CN"/>
        </w:rPr>
        <w:t>5)</w:t>
      </w:r>
      <w:r w:rsidRPr="001A242E">
        <w:rPr>
          <w:szCs w:val="24"/>
          <w:lang w:val="fr-FR" w:eastAsia="zh-CN"/>
        </w:rPr>
        <w:tab/>
      </w:r>
      <w:r>
        <w:rPr>
          <w:szCs w:val="24"/>
          <w:lang w:val="fr-FR" w:eastAsia="zh-CN"/>
        </w:rPr>
        <w:t xml:space="preserve">Ajouter un nouveau </w:t>
      </w:r>
      <w:r w:rsidRPr="001A242E">
        <w:rPr>
          <w:szCs w:val="24"/>
          <w:lang w:val="fr-FR" w:eastAsia="zh-CN"/>
        </w:rPr>
        <w:t xml:space="preserve">§ </w:t>
      </w:r>
      <w:r w:rsidRPr="001A242E">
        <w:rPr>
          <w:szCs w:val="24"/>
          <w:lang w:val="fr-FR" w:eastAsia="ko-KR"/>
        </w:rPr>
        <w:t>4</w:t>
      </w:r>
      <w:r w:rsidRPr="001A242E">
        <w:rPr>
          <w:szCs w:val="24"/>
          <w:lang w:val="fr-FR" w:eastAsia="zh-CN"/>
        </w:rPr>
        <w:t>.2.</w:t>
      </w:r>
      <w:r w:rsidRPr="001A242E">
        <w:rPr>
          <w:szCs w:val="24"/>
          <w:lang w:val="fr-FR" w:eastAsia="ko-KR"/>
        </w:rPr>
        <w:t>3</w:t>
      </w:r>
      <w:r w:rsidRPr="001A242E">
        <w:rPr>
          <w:szCs w:val="24"/>
          <w:lang w:val="fr-FR" w:eastAsia="zh-CN"/>
        </w:rPr>
        <w:t xml:space="preserve"> </w:t>
      </w:r>
      <w:r>
        <w:rPr>
          <w:szCs w:val="24"/>
          <w:lang w:val="fr-FR" w:eastAsia="zh-CN"/>
        </w:rPr>
        <w:t>dans l'</w:t>
      </w:r>
      <w:r w:rsidRPr="001A242E">
        <w:rPr>
          <w:szCs w:val="24"/>
          <w:lang w:val="fr-FR" w:eastAsia="zh-CN"/>
        </w:rPr>
        <w:t>Annex</w:t>
      </w:r>
      <w:r>
        <w:rPr>
          <w:szCs w:val="24"/>
          <w:lang w:val="fr-FR" w:eastAsia="zh-CN"/>
        </w:rPr>
        <w:t>e </w:t>
      </w:r>
      <w:r w:rsidRPr="001A242E">
        <w:rPr>
          <w:szCs w:val="24"/>
          <w:lang w:val="fr-FR" w:eastAsia="zh-CN"/>
        </w:rPr>
        <w:t>1</w:t>
      </w:r>
      <w:r w:rsidRPr="001A242E">
        <w:rPr>
          <w:szCs w:val="24"/>
          <w:lang w:val="fr-FR" w:eastAsia="ko-KR"/>
        </w:rPr>
        <w:t xml:space="preserve"> </w:t>
      </w:r>
      <w:r>
        <w:rPr>
          <w:szCs w:val="24"/>
          <w:lang w:val="fr-FR" w:eastAsia="ko-KR"/>
        </w:rPr>
        <w:t xml:space="preserve">portant sur la </w:t>
      </w:r>
      <w:r>
        <w:rPr>
          <w:szCs w:val="24"/>
          <w:lang w:val="fr-FR" w:eastAsia="zh-CN"/>
        </w:rPr>
        <w:t>«</w:t>
      </w:r>
      <w:r w:rsidRPr="001A242E">
        <w:rPr>
          <w:szCs w:val="24"/>
          <w:lang w:val="fr-FR" w:eastAsia="ko-KR"/>
        </w:rPr>
        <w:t xml:space="preserve">Compensation </w:t>
      </w:r>
      <w:r>
        <w:rPr>
          <w:szCs w:val="24"/>
          <w:lang w:val="fr-FR" w:eastAsia="ko-KR"/>
        </w:rPr>
        <w:t xml:space="preserve">des pertes en cas de redéploiement du spectre dans des bandes non assujetties à une </w:t>
      </w:r>
      <w:r w:rsidRPr="001A242E">
        <w:rPr>
          <w:szCs w:val="24"/>
          <w:lang w:val="fr-FR" w:eastAsia="ko-KR"/>
        </w:rPr>
        <w:t>licence</w:t>
      </w:r>
      <w:r>
        <w:rPr>
          <w:szCs w:val="24"/>
          <w:lang w:val="fr-FR" w:eastAsia="zh-CN"/>
        </w:rPr>
        <w:t>»</w:t>
      </w:r>
      <w:r w:rsidRPr="001A242E">
        <w:rPr>
          <w:szCs w:val="24"/>
          <w:lang w:val="fr-FR" w:eastAsia="zh-CN"/>
        </w:rPr>
        <w:t>.</w:t>
      </w:r>
    </w:p>
    <w:p w:rsidR="00627814" w:rsidRDefault="00E376FB" w:rsidP="00627814">
      <w:pPr>
        <w:pStyle w:val="enumlev1"/>
        <w:tabs>
          <w:tab w:val="clear" w:pos="794"/>
        </w:tabs>
        <w:spacing w:line="240" w:lineRule="auto"/>
        <w:jc w:val="left"/>
        <w:rPr>
          <w:szCs w:val="24"/>
          <w:lang w:val="fr-FR" w:eastAsia="zh-CN"/>
        </w:rPr>
      </w:pPr>
      <w:r>
        <w:rPr>
          <w:szCs w:val="24"/>
          <w:lang w:val="fr-FR" w:eastAsia="zh-CN"/>
        </w:rPr>
        <w:t>6</w:t>
      </w:r>
      <w:r w:rsidRPr="001A242E">
        <w:rPr>
          <w:szCs w:val="24"/>
          <w:lang w:val="fr-FR" w:eastAsia="zh-CN"/>
        </w:rPr>
        <w:t>)</w:t>
      </w:r>
      <w:r w:rsidRPr="001A242E">
        <w:rPr>
          <w:szCs w:val="24"/>
          <w:lang w:val="fr-FR" w:eastAsia="zh-CN"/>
        </w:rPr>
        <w:tab/>
      </w:r>
      <w:r>
        <w:rPr>
          <w:szCs w:val="24"/>
          <w:lang w:val="fr-FR" w:eastAsia="zh-CN"/>
        </w:rPr>
        <w:t>Ajouter une nouvelle Pièce jointe 6</w:t>
      </w:r>
      <w:r w:rsidRPr="001A242E">
        <w:rPr>
          <w:szCs w:val="24"/>
          <w:lang w:val="fr-FR" w:eastAsia="zh-CN"/>
        </w:rPr>
        <w:t xml:space="preserve"> </w:t>
      </w:r>
      <w:r>
        <w:rPr>
          <w:szCs w:val="24"/>
          <w:lang w:val="fr-FR" w:eastAsia="zh-CN"/>
        </w:rPr>
        <w:t>à l'</w:t>
      </w:r>
      <w:r w:rsidRPr="001A242E">
        <w:rPr>
          <w:szCs w:val="24"/>
          <w:lang w:val="fr-FR" w:eastAsia="zh-CN"/>
        </w:rPr>
        <w:t>Annex</w:t>
      </w:r>
      <w:r>
        <w:rPr>
          <w:szCs w:val="24"/>
          <w:lang w:val="fr-FR" w:eastAsia="zh-CN"/>
        </w:rPr>
        <w:t>e </w:t>
      </w:r>
      <w:r w:rsidRPr="001A242E">
        <w:rPr>
          <w:szCs w:val="24"/>
          <w:lang w:val="fr-FR" w:eastAsia="zh-CN"/>
        </w:rPr>
        <w:t>1</w:t>
      </w:r>
      <w:r>
        <w:rPr>
          <w:szCs w:val="24"/>
          <w:lang w:val="fr-FR" w:eastAsia="zh-CN"/>
        </w:rPr>
        <w:t>,</w:t>
      </w:r>
      <w:r w:rsidRPr="001A242E">
        <w:rPr>
          <w:szCs w:val="24"/>
          <w:lang w:val="fr-FR" w:eastAsia="zh-CN"/>
        </w:rPr>
        <w:t xml:space="preserve"> </w:t>
      </w:r>
      <w:r>
        <w:rPr>
          <w:szCs w:val="24"/>
          <w:lang w:val="fr-FR" w:eastAsia="zh-CN"/>
        </w:rPr>
        <w:t>décrivant un exemple de redéploiement du spectre fondé sur l'expérience des Etats-Unis d'Amérique</w:t>
      </w:r>
      <w:r w:rsidRPr="001A242E">
        <w:rPr>
          <w:szCs w:val="24"/>
          <w:lang w:val="fr-FR" w:eastAsia="zh-CN"/>
        </w:rPr>
        <w:t>.</w:t>
      </w:r>
    </w:p>
    <w:p w:rsidR="004256F2" w:rsidRPr="00773F7E" w:rsidRDefault="00E376FB" w:rsidP="007617D3">
      <w:pPr>
        <w:pStyle w:val="enumlev1"/>
        <w:tabs>
          <w:tab w:val="clear" w:pos="794"/>
        </w:tabs>
        <w:spacing w:before="140" w:line="240" w:lineRule="auto"/>
        <w:jc w:val="center"/>
        <w:rPr>
          <w:lang w:val="fr-FR"/>
        </w:rPr>
      </w:pPr>
      <w:r>
        <w:t>______________</w:t>
      </w:r>
    </w:p>
    <w:sectPr w:rsidR="004256F2" w:rsidRPr="00773F7E" w:rsidSect="00031E64">
      <w:headerReference w:type="even" r:id="rId18"/>
      <w:headerReference w:type="default" r:id="rId19"/>
      <w:footerReference w:type="even" r:id="rId20"/>
      <w:foot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3CD" w:rsidRDefault="003A13CD">
      <w:r>
        <w:separator/>
      </w:r>
    </w:p>
  </w:endnote>
  <w:endnote w:type="continuationSeparator" w:id="0">
    <w:p w:rsidR="003A13CD" w:rsidRDefault="003A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FD" w:rsidRDefault="008536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FD" w:rsidRDefault="008536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A54301">
      <w:rPr>
        <w:sz w:val="18"/>
        <w:szCs w:val="18"/>
        <w:lang w:val="fr-CH"/>
      </w:rPr>
      <w:t>.</w:t>
    </w:r>
    <w:r w:rsidRPr="009E2358">
      <w:rPr>
        <w:sz w:val="18"/>
        <w:szCs w:val="18"/>
        <w:lang w:val="fr-CH"/>
      </w:rPr>
      <w:t xml:space="preserve">: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3CD" w:rsidRDefault="003A13CD">
      <w:r>
        <w:t>____________________</w:t>
      </w:r>
    </w:p>
  </w:footnote>
  <w:footnote w:type="continuationSeparator" w:id="0">
    <w:p w:rsidR="003A13CD" w:rsidRDefault="003A1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4F6260" w:rsidRDefault="00E915AF" w:rsidP="007617D3">
    <w:pPr>
      <w:pStyle w:val="Header"/>
      <w:rPr>
        <w:sz w:val="18"/>
        <w:szCs w:val="18"/>
      </w:rPr>
    </w:pPr>
    <w:r>
      <w:tab/>
    </w:r>
    <w:r>
      <w:tab/>
    </w:r>
    <w:r w:rsidR="007617D3">
      <w:rPr>
        <w:sz w:val="18"/>
        <w:szCs w:val="18"/>
        <w:lang w:val="en-GB"/>
      </w:rPr>
      <w:t>-</w:t>
    </w:r>
    <w:r w:rsidRPr="004F6260">
      <w:rPr>
        <w:sz w:val="18"/>
        <w:szCs w:val="18"/>
      </w:rPr>
      <w:t xml:space="preserve"> </w:t>
    </w:r>
    <w:r w:rsidR="001B42C9" w:rsidRPr="004F6260">
      <w:rPr>
        <w:rStyle w:val="PageNumber"/>
        <w:sz w:val="18"/>
        <w:szCs w:val="18"/>
      </w:rPr>
      <w:fldChar w:fldCharType="begin"/>
    </w:r>
    <w:r w:rsidRPr="004F6260">
      <w:rPr>
        <w:rStyle w:val="PageNumber"/>
        <w:sz w:val="18"/>
        <w:szCs w:val="18"/>
      </w:rPr>
      <w:instrText xml:space="preserve"> PAGE </w:instrText>
    </w:r>
    <w:r w:rsidR="001B42C9" w:rsidRPr="004F6260">
      <w:rPr>
        <w:rStyle w:val="PageNumber"/>
        <w:sz w:val="18"/>
        <w:szCs w:val="18"/>
      </w:rPr>
      <w:fldChar w:fldCharType="separate"/>
    </w:r>
    <w:r w:rsidR="0021361D">
      <w:rPr>
        <w:rStyle w:val="PageNumber"/>
        <w:noProof/>
        <w:sz w:val="18"/>
        <w:szCs w:val="18"/>
      </w:rPr>
      <w:t>4</w:t>
    </w:r>
    <w:r w:rsidR="001B42C9" w:rsidRPr="004F6260">
      <w:rPr>
        <w:rStyle w:val="PageNumber"/>
        <w:sz w:val="18"/>
        <w:szCs w:val="18"/>
      </w:rPr>
      <w:fldChar w:fldCharType="end"/>
    </w:r>
    <w:r w:rsidRPr="004F6260">
      <w:rPr>
        <w:rStyle w:val="PageNumber"/>
        <w:sz w:val="18"/>
        <w:szCs w:val="18"/>
      </w:rPr>
      <w:t xml:space="preserve"> </w:t>
    </w:r>
    <w:r w:rsidR="007617D3">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4F6260" w:rsidRDefault="007617D3" w:rsidP="008536FD">
    <w:pPr>
      <w:pStyle w:val="Header"/>
      <w:jc w:val="center"/>
      <w:rPr>
        <w:sz w:val="18"/>
        <w:szCs w:val="18"/>
      </w:rPr>
    </w:pPr>
    <w:r>
      <w:rPr>
        <w:sz w:val="18"/>
        <w:szCs w:val="18"/>
      </w:rPr>
      <w:t>-</w:t>
    </w:r>
    <w:r w:rsidR="00847A64" w:rsidRPr="004F6260">
      <w:rPr>
        <w:sz w:val="18"/>
        <w:szCs w:val="18"/>
      </w:rPr>
      <w:t xml:space="preserve"> </w:t>
    </w:r>
    <w:r w:rsidR="00847A64" w:rsidRPr="004F6260">
      <w:rPr>
        <w:rStyle w:val="PageNumber"/>
        <w:sz w:val="18"/>
        <w:szCs w:val="18"/>
      </w:rPr>
      <w:fldChar w:fldCharType="begin"/>
    </w:r>
    <w:r w:rsidR="00847A64" w:rsidRPr="004F6260">
      <w:rPr>
        <w:rStyle w:val="PageNumber"/>
        <w:sz w:val="18"/>
        <w:szCs w:val="18"/>
      </w:rPr>
      <w:instrText xml:space="preserve"> PAGE </w:instrText>
    </w:r>
    <w:r w:rsidR="00847A64" w:rsidRPr="004F6260">
      <w:rPr>
        <w:rStyle w:val="PageNumber"/>
        <w:sz w:val="18"/>
        <w:szCs w:val="18"/>
      </w:rPr>
      <w:fldChar w:fldCharType="separate"/>
    </w:r>
    <w:r w:rsidR="0021361D">
      <w:rPr>
        <w:rStyle w:val="PageNumber"/>
        <w:noProof/>
        <w:sz w:val="18"/>
        <w:szCs w:val="18"/>
      </w:rPr>
      <w:t>3</w:t>
    </w:r>
    <w:r w:rsidR="00847A64" w:rsidRPr="004F6260">
      <w:rPr>
        <w:rStyle w:val="PageNumber"/>
        <w:sz w:val="18"/>
        <w:szCs w:val="18"/>
      </w:rPr>
      <w:fldChar w:fldCharType="end"/>
    </w:r>
    <w:r w:rsidR="00847A64" w:rsidRPr="004F6260">
      <w:rPr>
        <w:rStyle w:val="PageNumber"/>
        <w:sz w:val="18"/>
        <w:szCs w:val="18"/>
      </w:rPr>
      <w:t xml:space="preserve"> </w:t>
    </w:r>
    <w:r>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A13CD"/>
    <w:rsid w:val="000032E5"/>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7773"/>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A1B31"/>
    <w:rsid w:val="001B351B"/>
    <w:rsid w:val="001B42C9"/>
    <w:rsid w:val="001C06DB"/>
    <w:rsid w:val="001C6971"/>
    <w:rsid w:val="001D2785"/>
    <w:rsid w:val="001D7070"/>
    <w:rsid w:val="001F2170"/>
    <w:rsid w:val="001F3948"/>
    <w:rsid w:val="001F5A49"/>
    <w:rsid w:val="00201097"/>
    <w:rsid w:val="00201B6E"/>
    <w:rsid w:val="0021361D"/>
    <w:rsid w:val="002302B3"/>
    <w:rsid w:val="00230C66"/>
    <w:rsid w:val="00235A29"/>
    <w:rsid w:val="00241526"/>
    <w:rsid w:val="002443A2"/>
    <w:rsid w:val="00266E74"/>
    <w:rsid w:val="00283C3B"/>
    <w:rsid w:val="002861E6"/>
    <w:rsid w:val="00287D18"/>
    <w:rsid w:val="0029204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3CD"/>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56F2"/>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4F6260"/>
    <w:rsid w:val="00505309"/>
    <w:rsid w:val="0050789B"/>
    <w:rsid w:val="005224A1"/>
    <w:rsid w:val="00534372"/>
    <w:rsid w:val="00543DF8"/>
    <w:rsid w:val="00546101"/>
    <w:rsid w:val="00553DD7"/>
    <w:rsid w:val="005638CF"/>
    <w:rsid w:val="0056741E"/>
    <w:rsid w:val="0057325A"/>
    <w:rsid w:val="0057469A"/>
    <w:rsid w:val="00580814"/>
    <w:rsid w:val="00583A0B"/>
    <w:rsid w:val="00583F1D"/>
    <w:rsid w:val="005A03A3"/>
    <w:rsid w:val="005A2B92"/>
    <w:rsid w:val="005A3F66"/>
    <w:rsid w:val="005A79E9"/>
    <w:rsid w:val="005B214C"/>
    <w:rsid w:val="005B4CDA"/>
    <w:rsid w:val="005B62F0"/>
    <w:rsid w:val="005D3669"/>
    <w:rsid w:val="005E5EB3"/>
    <w:rsid w:val="005F3CB6"/>
    <w:rsid w:val="005F657C"/>
    <w:rsid w:val="00602D53"/>
    <w:rsid w:val="006047E5"/>
    <w:rsid w:val="00627814"/>
    <w:rsid w:val="0064371D"/>
    <w:rsid w:val="00650543"/>
    <w:rsid w:val="00650B2A"/>
    <w:rsid w:val="00651777"/>
    <w:rsid w:val="006550F8"/>
    <w:rsid w:val="0066286A"/>
    <w:rsid w:val="006829F3"/>
    <w:rsid w:val="006A518B"/>
    <w:rsid w:val="006B0590"/>
    <w:rsid w:val="006B49DA"/>
    <w:rsid w:val="006C53F8"/>
    <w:rsid w:val="006C7CDE"/>
    <w:rsid w:val="007052AA"/>
    <w:rsid w:val="007234B1"/>
    <w:rsid w:val="00723D08"/>
    <w:rsid w:val="00725FDA"/>
    <w:rsid w:val="00727816"/>
    <w:rsid w:val="00730B9A"/>
    <w:rsid w:val="00750CFA"/>
    <w:rsid w:val="007553DA"/>
    <w:rsid w:val="007617D3"/>
    <w:rsid w:val="00773F7E"/>
    <w:rsid w:val="00775DB8"/>
    <w:rsid w:val="00782354"/>
    <w:rsid w:val="007921A7"/>
    <w:rsid w:val="007B3DB1"/>
    <w:rsid w:val="007C2E1E"/>
    <w:rsid w:val="007D183E"/>
    <w:rsid w:val="007D43D0"/>
    <w:rsid w:val="007E1833"/>
    <w:rsid w:val="007E3F13"/>
    <w:rsid w:val="007F751A"/>
    <w:rsid w:val="00800012"/>
    <w:rsid w:val="008018B7"/>
    <w:rsid w:val="0080261F"/>
    <w:rsid w:val="00806160"/>
    <w:rsid w:val="008143A4"/>
    <w:rsid w:val="0081513E"/>
    <w:rsid w:val="00847A64"/>
    <w:rsid w:val="008536FD"/>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25DC"/>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5430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0D84"/>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376FB"/>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339EC"/>
    <w:rsid w:val="00F424BF"/>
    <w:rsid w:val="00F44FC3"/>
    <w:rsid w:val="00F46107"/>
    <w:rsid w:val="00F468C5"/>
    <w:rsid w:val="00F52F39"/>
    <w:rsid w:val="00F6184F"/>
    <w:rsid w:val="00F8310E"/>
    <w:rsid w:val="00F83166"/>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4256F2"/>
    <w:rPr>
      <w:b/>
      <w:sz w:val="24"/>
      <w:szCs w:val="22"/>
      <w:lang w:val="en-US" w:eastAsia="en-US"/>
    </w:rPr>
  </w:style>
  <w:style w:type="paragraph" w:customStyle="1" w:styleId="Reasons">
    <w:name w:val="Reasons"/>
    <w:basedOn w:val="Normal"/>
    <w:qFormat/>
    <w:rsid w:val="00A543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RectitleChar">
    <w:name w:val="Rec_title Char"/>
    <w:link w:val="Rectitle"/>
    <w:rsid w:val="00E376FB"/>
    <w:rPr>
      <w:b/>
      <w:sz w:val="28"/>
      <w:szCs w:val="22"/>
      <w:lang w:val="en-US" w:eastAsia="en-US"/>
    </w:rPr>
  </w:style>
  <w:style w:type="character" w:customStyle="1" w:styleId="enumlev1Char">
    <w:name w:val="enumlev1 Char"/>
    <w:link w:val="enumlev1"/>
    <w:locked/>
    <w:rsid w:val="00E376FB"/>
    <w:rPr>
      <w:sz w:val="24"/>
      <w:szCs w:val="22"/>
      <w:lang w:val="en-US" w:eastAsia="en-US"/>
    </w:rPr>
  </w:style>
  <w:style w:type="character" w:styleId="FollowedHyperlink">
    <w:name w:val="FollowedHyperlink"/>
    <w:basedOn w:val="DefaultParagraphFont"/>
    <w:rsid w:val="007617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4256F2"/>
    <w:rPr>
      <w:b/>
      <w:sz w:val="24"/>
      <w:szCs w:val="22"/>
      <w:lang w:val="en-US" w:eastAsia="en-US"/>
    </w:rPr>
  </w:style>
  <w:style w:type="paragraph" w:customStyle="1" w:styleId="Reasons">
    <w:name w:val="Reasons"/>
    <w:basedOn w:val="Normal"/>
    <w:qFormat/>
    <w:rsid w:val="00A543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RectitleChar">
    <w:name w:val="Rec_title Char"/>
    <w:link w:val="Rectitle"/>
    <w:rsid w:val="00E376FB"/>
    <w:rPr>
      <w:b/>
      <w:sz w:val="28"/>
      <w:szCs w:val="22"/>
      <w:lang w:val="en-US" w:eastAsia="en-US"/>
    </w:rPr>
  </w:style>
  <w:style w:type="character" w:customStyle="1" w:styleId="enumlev1Char">
    <w:name w:val="enumlev1 Char"/>
    <w:link w:val="enumlev1"/>
    <w:locked/>
    <w:rsid w:val="00E376FB"/>
    <w:rPr>
      <w:sz w:val="24"/>
      <w:szCs w:val="22"/>
      <w:lang w:val="en-US" w:eastAsia="en-US"/>
    </w:rPr>
  </w:style>
  <w:style w:type="character" w:styleId="FollowedHyperlink">
    <w:name w:val="FollowedHyperlink"/>
    <w:basedOn w:val="DefaultParagraphFont"/>
    <w:rsid w:val="007617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1-C-0098/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md/R12-SG01-C-0097/en" TargetMode="External"/><Relationship Id="rId17" Type="http://schemas.openxmlformats.org/officeDocument/2006/relationships/hyperlink" Target="http://www.itu.int/pub/R-REP-SM.225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12-SG01-C/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1-C-0096/e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R12-SG01-C-0103/en" TargetMode="External"/><Relationship Id="rId23" Type="http://schemas.openxmlformats.org/officeDocument/2006/relationships/footer" Target="footer3.xml"/><Relationship Id="rId10" Type="http://schemas.openxmlformats.org/officeDocument/2006/relationships/hyperlink" Target="http://www.itu.int/en/ITU-T/ipr/Pages/policy.aspx"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yperlink" Target="http://www.itu.int/md/R12-SG01-C-0102/en"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2D276-773F-4C9A-BBF6-9BE045D5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45</TotalTime>
  <Pages>4</Pages>
  <Words>1285</Words>
  <Characters>8064</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9331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 Nathalie</dc:creator>
  <cp:lastModifiedBy>ITU</cp:lastModifiedBy>
  <cp:revision>14</cp:revision>
  <cp:lastPrinted>2013-10-29T20:38:00Z</cp:lastPrinted>
  <dcterms:created xsi:type="dcterms:W3CDTF">2014-06-18T09:23:00Z</dcterms:created>
  <dcterms:modified xsi:type="dcterms:W3CDTF">2014-06-26T12:43:00Z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