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86" w:type="dxa"/>
        <w:tblInd w:w="7763" w:type="dxa"/>
        <w:tblBorders>
          <w:left w:val="single" w:sz="18" w:space="0" w:color="808080"/>
        </w:tblBorders>
        <w:tblLook w:val="0000"/>
      </w:tblPr>
      <w:tblGrid>
        <w:gridCol w:w="2693"/>
        <w:gridCol w:w="2693"/>
      </w:tblGrid>
      <w:tr w:rsidR="00B15C09" w:rsidRPr="003C5D6B" w:rsidTr="00B15C09">
        <w:trPr>
          <w:cantSplit/>
        </w:trPr>
        <w:tc>
          <w:tcPr>
            <w:tcW w:w="2693" w:type="dxa"/>
            <w:tcBorders>
              <w:left w:val="nil"/>
              <w:bottom w:val="single" w:sz="4" w:space="0" w:color="auto"/>
            </w:tcBorders>
          </w:tcPr>
          <w:p w:rsidR="00B15C09" w:rsidRPr="003C5D6B" w:rsidRDefault="002D0BA1" w:rsidP="002D0BA1">
            <w:pPr>
              <w:pStyle w:val="Heading3"/>
              <w:tabs>
                <w:tab w:val="clear" w:pos="794"/>
              </w:tabs>
              <w:spacing w:before="240"/>
              <w:ind w:left="0" w:firstLine="0"/>
              <w:jc w:val="left"/>
              <w:rPr>
                <w:rFonts w:ascii="Trebuchet MS" w:hAnsi="Trebuchet MS"/>
                <w:i/>
                <w:iCs/>
                <w:lang w:val="es-E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bookmarkStart w:id="7" w:name="_Toc277853421"/>
            <w:r w:rsidRPr="003C5D6B">
              <w:rPr>
                <w:rFonts w:ascii="Trebuchet MS" w:hAnsi="Trebuchet MS"/>
                <w:i/>
                <w:iCs/>
                <w:lang w:val="es-ES"/>
              </w:rPr>
              <w:t>RESOLUCIÓN 9</w:t>
            </w:r>
            <w:r w:rsidRPr="003C5D6B">
              <w:rPr>
                <w:rFonts w:ascii="Trebuchet MS" w:hAnsi="Trebuchet MS"/>
                <w:i/>
                <w:iCs/>
                <w:lang w:val="es-ES"/>
              </w:rPr>
              <w:br/>
              <w:t>(Rev. Doha, 2006</w:t>
            </w:r>
            <w:bookmarkEnd w:id="0"/>
            <w:bookmarkEnd w:id="1"/>
            <w:bookmarkEnd w:id="2"/>
            <w:bookmarkEnd w:id="3"/>
            <w:bookmarkEnd w:id="4"/>
            <w:bookmarkEnd w:id="5"/>
            <w:bookmarkEnd w:id="6"/>
            <w:bookmarkEnd w:id="7"/>
            <w:r w:rsidR="00A535F4" w:rsidRPr="003C5D6B">
              <w:rPr>
                <w:rFonts w:ascii="Trebuchet MS" w:hAnsi="Trebuchet MS"/>
                <w:i/>
                <w:iCs/>
                <w:lang w:val="es-ES"/>
              </w:rPr>
              <w:t>)</w:t>
            </w:r>
          </w:p>
        </w:tc>
        <w:tc>
          <w:tcPr>
            <w:tcW w:w="2693" w:type="dxa"/>
            <w:tcBorders>
              <w:left w:val="nil"/>
              <w:bottom w:val="single" w:sz="4" w:space="0" w:color="auto"/>
            </w:tcBorders>
          </w:tcPr>
          <w:p w:rsidR="00B15C09" w:rsidRPr="003C5D6B" w:rsidRDefault="00B15C09" w:rsidP="00237D3E">
            <w:pPr>
              <w:pStyle w:val="Heading3"/>
              <w:tabs>
                <w:tab w:val="clear" w:pos="794"/>
              </w:tabs>
              <w:spacing w:before="240"/>
              <w:ind w:left="0" w:firstLine="0"/>
              <w:jc w:val="left"/>
              <w:rPr>
                <w:rFonts w:ascii="Trebuchet MS" w:hAnsi="Trebuchet MS"/>
                <w:i/>
                <w:iCs/>
                <w:lang w:val="es-ES"/>
              </w:rPr>
            </w:pPr>
          </w:p>
        </w:tc>
      </w:tr>
      <w:tr w:rsidR="00B15C09" w:rsidRPr="003C5D6B" w:rsidTr="00B15C09">
        <w:trPr>
          <w:cantSplit/>
          <w:trHeight w:val="895"/>
        </w:trPr>
        <w:tc>
          <w:tcPr>
            <w:tcW w:w="2693" w:type="dxa"/>
            <w:tcBorders>
              <w:top w:val="single" w:sz="4" w:space="0" w:color="auto"/>
              <w:left w:val="nil"/>
            </w:tcBorders>
          </w:tcPr>
          <w:p w:rsidR="00B15C09" w:rsidRPr="003C5D6B" w:rsidRDefault="006242B5" w:rsidP="006242B5">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s-ES"/>
              </w:rPr>
            </w:pPr>
            <w:r w:rsidRPr="003C5D6B">
              <w:rPr>
                <w:rFonts w:ascii="Trebuchet MS" w:hAnsi="Trebuchet MS" w:cs="Arial"/>
                <w:b w:val="0"/>
                <w:bCs/>
                <w:i/>
                <w:iCs/>
                <w:lang w:val="es-ES"/>
              </w:rPr>
              <w:t>D</w:t>
            </w:r>
            <w:r w:rsidR="0023394E" w:rsidRPr="003C5D6B">
              <w:rPr>
                <w:rFonts w:ascii="Trebuchet MS" w:hAnsi="Trebuchet MS" w:cs="Arial"/>
                <w:b w:val="0"/>
                <w:bCs/>
                <w:i/>
                <w:iCs/>
                <w:lang w:val="es-ES"/>
              </w:rPr>
              <w:t>irect</w:t>
            </w:r>
            <w:r w:rsidR="008F60B9" w:rsidRPr="003C5D6B">
              <w:rPr>
                <w:rFonts w:ascii="Trebuchet MS" w:hAnsi="Trebuchet MS" w:cs="Arial"/>
                <w:b w:val="0"/>
                <w:bCs/>
                <w:i/>
                <w:iCs/>
                <w:lang w:val="es-ES"/>
              </w:rPr>
              <w:t>rices</w:t>
            </w:r>
          </w:p>
          <w:p w:rsidR="00B15C09" w:rsidRPr="003C5D6B" w:rsidRDefault="00B15C09" w:rsidP="00AB7CE3">
            <w:pPr>
              <w:pStyle w:val="Heading3"/>
              <w:ind w:left="0"/>
              <w:jc w:val="left"/>
              <w:rPr>
                <w:rFonts w:ascii="Trebuchet MS" w:hAnsi="Trebuchet MS" w:cs="Arial"/>
                <w:i/>
                <w:iCs/>
                <w:lang w:val="es-ES"/>
              </w:rPr>
            </w:pPr>
          </w:p>
        </w:tc>
        <w:tc>
          <w:tcPr>
            <w:tcW w:w="2693" w:type="dxa"/>
            <w:tcBorders>
              <w:top w:val="single" w:sz="4" w:space="0" w:color="auto"/>
              <w:left w:val="nil"/>
            </w:tcBorders>
          </w:tcPr>
          <w:p w:rsidR="00B15C09" w:rsidRPr="003C5D6B" w:rsidRDefault="00B15C09" w:rsidP="0006325B">
            <w:pPr>
              <w:pStyle w:val="Heading3"/>
              <w:ind w:left="0"/>
              <w:jc w:val="left"/>
              <w:rPr>
                <w:rFonts w:ascii="Trebuchet MS" w:hAnsi="Trebuchet MS" w:cs="Arial"/>
                <w:i/>
                <w:iCs/>
                <w:lang w:val="es-ES"/>
              </w:rPr>
            </w:pPr>
          </w:p>
        </w:tc>
      </w:tr>
    </w:tbl>
    <w:p w:rsidR="00EB6A81" w:rsidRPr="003C5D6B" w:rsidRDefault="00EB6A81" w:rsidP="00EB6A81">
      <w:pPr>
        <w:rPr>
          <w:rFonts w:ascii="Arial" w:hAnsi="Arial" w:cs="Arial"/>
          <w:lang w:val="es-ES"/>
        </w:rPr>
      </w:pPr>
    </w:p>
    <w:p w:rsidR="00EB6A81" w:rsidRPr="003C5D6B" w:rsidRDefault="00EB6A81" w:rsidP="00EB6A81">
      <w:pPr>
        <w:rPr>
          <w:rFonts w:ascii="Arial" w:hAnsi="Arial" w:cs="Arial"/>
          <w:lang w:val="es-ES"/>
        </w:rPr>
      </w:pPr>
    </w:p>
    <w:p w:rsidR="00EB6A81" w:rsidRPr="003C5D6B" w:rsidRDefault="00EB6A81" w:rsidP="00EB6A81">
      <w:pPr>
        <w:pStyle w:val="Normalaftertitle"/>
        <w:spacing w:before="120"/>
        <w:rPr>
          <w:rFonts w:ascii="Arial" w:hAnsi="Arial" w:cs="Arial"/>
          <w:lang w:val="es-ES"/>
        </w:rPr>
      </w:pPr>
    </w:p>
    <w:p w:rsidR="00EB6A81" w:rsidRPr="003C5D6B" w:rsidRDefault="00EB6A81" w:rsidP="00EB6A81">
      <w:pPr>
        <w:rPr>
          <w:rFonts w:ascii="Arial" w:hAnsi="Arial" w:cs="Arial"/>
          <w:lang w:val="es-ES"/>
        </w:rPr>
      </w:pPr>
    </w:p>
    <w:p w:rsidR="00CE7324" w:rsidRPr="003C5D6B" w:rsidRDefault="00CE7324" w:rsidP="00EB6A81">
      <w:pPr>
        <w:rPr>
          <w:rFonts w:ascii="Arial" w:hAnsi="Arial" w:cs="Arial"/>
          <w:lang w:val="es-ES"/>
        </w:rPr>
      </w:pPr>
    </w:p>
    <w:p w:rsidR="00CE7324" w:rsidRPr="003C5D6B" w:rsidRDefault="00CE7324" w:rsidP="00EB6A81">
      <w:pPr>
        <w:rPr>
          <w:rFonts w:ascii="Arial" w:hAnsi="Arial" w:cs="Arial"/>
          <w:lang w:val="es-ES"/>
        </w:rPr>
      </w:pPr>
    </w:p>
    <w:p w:rsidR="00EB6A81" w:rsidRPr="003C5D6B" w:rsidRDefault="00EB6A81" w:rsidP="00EB6A81">
      <w:pPr>
        <w:rPr>
          <w:rFonts w:ascii="Arial" w:hAnsi="Arial" w:cs="Arial"/>
          <w:lang w:val="es-ES"/>
        </w:rPr>
      </w:pPr>
    </w:p>
    <w:p w:rsidR="00EB6A81" w:rsidRPr="003C5D6B" w:rsidRDefault="00EB6A81" w:rsidP="00EB6A81">
      <w:pPr>
        <w:rPr>
          <w:rFonts w:ascii="Arial" w:hAnsi="Arial" w:cs="Arial"/>
          <w:lang w:val="es-ES"/>
        </w:rPr>
      </w:pPr>
    </w:p>
    <w:p w:rsidR="008772C6" w:rsidRPr="003C5D6B" w:rsidRDefault="008772C6" w:rsidP="00091B85">
      <w:pPr>
        <w:shd w:val="clear" w:color="auto" w:fill="B3B3B3"/>
        <w:tabs>
          <w:tab w:val="clear" w:pos="794"/>
          <w:tab w:val="clear" w:pos="1191"/>
          <w:tab w:val="clear" w:pos="1588"/>
          <w:tab w:val="clear" w:pos="1985"/>
          <w:tab w:val="left" w:pos="1134"/>
          <w:tab w:val="left" w:pos="4820"/>
        </w:tabs>
        <w:spacing w:before="160"/>
        <w:ind w:right="-142"/>
        <w:jc w:val="left"/>
        <w:rPr>
          <w:rFonts w:ascii="Trebuchet MS" w:hAnsi="Trebuchet MS" w:cs="Arial"/>
          <w:color w:val="FFFFFF"/>
          <w:sz w:val="32"/>
          <w:szCs w:val="32"/>
          <w:lang w:val="es-ES"/>
        </w:rPr>
      </w:pPr>
      <w:r w:rsidRPr="003C5D6B">
        <w:rPr>
          <w:rFonts w:ascii="Trebuchet MS" w:hAnsi="Trebuchet MS" w:cs="Arial"/>
          <w:b/>
          <w:bCs/>
          <w:color w:val="FFFFFF"/>
          <w:sz w:val="32"/>
          <w:szCs w:val="32"/>
          <w:lang w:val="es-ES"/>
        </w:rPr>
        <w:t>UIT-D</w:t>
      </w:r>
      <w:r w:rsidRPr="003C5D6B">
        <w:rPr>
          <w:rFonts w:ascii="Trebuchet MS" w:hAnsi="Trebuchet MS" w:cs="Arial"/>
          <w:color w:val="FFFFFF"/>
          <w:sz w:val="32"/>
          <w:szCs w:val="32"/>
          <w:lang w:val="es-ES"/>
        </w:rPr>
        <w:tab/>
        <w:t>COMISIÓN DE ESTUDIO 2</w:t>
      </w:r>
      <w:r w:rsidRPr="003C5D6B">
        <w:rPr>
          <w:rFonts w:ascii="Trebuchet MS" w:hAnsi="Trebuchet MS" w:cs="Arial"/>
          <w:color w:val="FFFFFF"/>
          <w:sz w:val="32"/>
          <w:szCs w:val="32"/>
          <w:lang w:val="es-ES"/>
        </w:rPr>
        <w:tab/>
        <w:t>4.˚ PERIODO DE ESTUDIOS (2006-2010)</w:t>
      </w:r>
    </w:p>
    <w:p w:rsidR="00EB6A81" w:rsidRPr="003C5D6B" w:rsidRDefault="00EB6A81" w:rsidP="00EB6A81">
      <w:pPr>
        <w:ind w:right="2520"/>
        <w:jc w:val="right"/>
        <w:rPr>
          <w:rFonts w:ascii="Arial" w:hAnsi="Arial" w:cs="Arial"/>
          <w:lang w:val="es-ES"/>
        </w:rPr>
      </w:pPr>
    </w:p>
    <w:p w:rsidR="00EB6A81" w:rsidRPr="003C5D6B" w:rsidRDefault="00EB6A81" w:rsidP="00EB6A81">
      <w:pPr>
        <w:ind w:right="2520"/>
        <w:jc w:val="right"/>
        <w:rPr>
          <w:rFonts w:ascii="Arial" w:hAnsi="Arial" w:cs="Arial"/>
          <w:lang w:val="es-ES"/>
        </w:rPr>
      </w:pPr>
    </w:p>
    <w:p w:rsidR="00EB6A81" w:rsidRPr="003C5D6B" w:rsidRDefault="00EB6A81" w:rsidP="00EB6A81">
      <w:pPr>
        <w:ind w:right="2520"/>
        <w:jc w:val="right"/>
        <w:rPr>
          <w:rFonts w:ascii="Arial" w:hAnsi="Arial" w:cs="Arial"/>
          <w:lang w:val="es-ES"/>
        </w:rPr>
      </w:pPr>
    </w:p>
    <w:p w:rsidR="001308DA" w:rsidRPr="003C5D6B" w:rsidRDefault="001308DA" w:rsidP="00E31ADA">
      <w:pPr>
        <w:spacing w:line="600" w:lineRule="exact"/>
        <w:ind w:right="2517"/>
        <w:jc w:val="right"/>
        <w:rPr>
          <w:rFonts w:ascii="Trebuchet MS" w:hAnsi="Trebuchet MS" w:cs="Tahoma"/>
          <w:b/>
          <w:i/>
          <w:iCs/>
          <w:sz w:val="44"/>
          <w:szCs w:val="44"/>
          <w:lang w:val="es-ES"/>
        </w:rPr>
      </w:pPr>
      <w:bookmarkStart w:id="8" w:name="OLE_LINK1"/>
      <w:bookmarkStart w:id="9" w:name="OLE_LINK2"/>
      <w:r w:rsidRPr="003C5D6B">
        <w:rPr>
          <w:rFonts w:ascii="Trebuchet MS" w:hAnsi="Trebuchet MS" w:cs="Tahoma"/>
          <w:b/>
          <w:i/>
          <w:iCs/>
          <w:sz w:val="44"/>
          <w:szCs w:val="44"/>
          <w:lang w:val="es-ES"/>
        </w:rPr>
        <w:t>R</w:t>
      </w:r>
      <w:r w:rsidR="00E31ADA" w:rsidRPr="003C5D6B">
        <w:rPr>
          <w:rFonts w:ascii="Trebuchet MS" w:hAnsi="Trebuchet MS" w:cs="Tahoma"/>
          <w:b/>
          <w:i/>
          <w:iCs/>
          <w:sz w:val="44"/>
          <w:szCs w:val="44"/>
          <w:lang w:val="es-ES"/>
        </w:rPr>
        <w:t>E</w:t>
      </w:r>
      <w:r w:rsidRPr="003C5D6B">
        <w:rPr>
          <w:rFonts w:ascii="Trebuchet MS" w:hAnsi="Trebuchet MS" w:cs="Tahoma"/>
          <w:b/>
          <w:i/>
          <w:iCs/>
          <w:sz w:val="44"/>
          <w:szCs w:val="44"/>
          <w:lang w:val="es-ES"/>
        </w:rPr>
        <w:t>SOLU</w:t>
      </w:r>
      <w:r w:rsidR="00E31ADA" w:rsidRPr="003C5D6B">
        <w:rPr>
          <w:rFonts w:ascii="Trebuchet MS" w:hAnsi="Trebuchet MS" w:cs="Tahoma"/>
          <w:b/>
          <w:i/>
          <w:iCs/>
          <w:sz w:val="44"/>
          <w:szCs w:val="44"/>
          <w:lang w:val="es-ES"/>
        </w:rPr>
        <w:t>C</w:t>
      </w:r>
      <w:r w:rsidRPr="003C5D6B">
        <w:rPr>
          <w:rFonts w:ascii="Trebuchet MS" w:hAnsi="Trebuchet MS" w:cs="Tahoma"/>
          <w:b/>
          <w:i/>
          <w:iCs/>
          <w:sz w:val="44"/>
          <w:szCs w:val="44"/>
          <w:lang w:val="es-ES"/>
        </w:rPr>
        <w:t>I</w:t>
      </w:r>
      <w:r w:rsidR="00E31ADA" w:rsidRPr="003C5D6B">
        <w:rPr>
          <w:rFonts w:ascii="Trebuchet MS" w:hAnsi="Trebuchet MS" w:cs="Tahoma"/>
          <w:b/>
          <w:i/>
          <w:iCs/>
          <w:sz w:val="44"/>
          <w:szCs w:val="44"/>
          <w:lang w:val="es-ES"/>
        </w:rPr>
        <w:t>Ó</w:t>
      </w:r>
      <w:r w:rsidRPr="003C5D6B">
        <w:rPr>
          <w:rFonts w:ascii="Trebuchet MS" w:hAnsi="Trebuchet MS" w:cs="Tahoma"/>
          <w:b/>
          <w:i/>
          <w:iCs/>
          <w:sz w:val="44"/>
          <w:szCs w:val="44"/>
          <w:lang w:val="es-ES"/>
        </w:rPr>
        <w:t>N 9:</w:t>
      </w:r>
    </w:p>
    <w:bookmarkEnd w:id="8"/>
    <w:bookmarkEnd w:id="9"/>
    <w:p w:rsidR="003070F7" w:rsidRPr="003C5D6B" w:rsidRDefault="00EC6E3D" w:rsidP="00FC262E">
      <w:pPr>
        <w:spacing w:line="600" w:lineRule="exact"/>
        <w:ind w:right="2517"/>
        <w:jc w:val="right"/>
        <w:rPr>
          <w:rFonts w:ascii="Trebuchet MS" w:hAnsi="Trebuchet MS" w:cs="Tahoma"/>
          <w:b/>
          <w:i/>
          <w:iCs/>
          <w:sz w:val="44"/>
          <w:szCs w:val="44"/>
          <w:lang w:val="es-ES"/>
        </w:rPr>
      </w:pPr>
      <w:r w:rsidRPr="003C5D6B">
        <w:rPr>
          <w:rFonts w:ascii="Trebuchet MS" w:hAnsi="Trebuchet MS" w:cs="Tahoma"/>
          <w:b/>
          <w:i/>
          <w:iCs/>
          <w:sz w:val="44"/>
          <w:szCs w:val="44"/>
          <w:lang w:val="es-ES"/>
        </w:rPr>
        <w:t>Directrices para el establecimiento</w:t>
      </w:r>
      <w:r w:rsidR="00FC262E" w:rsidRPr="003C5D6B">
        <w:rPr>
          <w:rFonts w:ascii="Trebuchet MS" w:hAnsi="Trebuchet MS" w:cs="Tahoma"/>
          <w:b/>
          <w:i/>
          <w:iCs/>
          <w:sz w:val="44"/>
          <w:szCs w:val="44"/>
          <w:lang w:val="es-ES"/>
        </w:rPr>
        <w:br/>
      </w:r>
      <w:r w:rsidRPr="003C5D6B">
        <w:rPr>
          <w:rFonts w:ascii="Trebuchet MS" w:hAnsi="Trebuchet MS" w:cs="Tahoma"/>
          <w:b/>
          <w:i/>
          <w:iCs/>
          <w:sz w:val="44"/>
          <w:szCs w:val="44"/>
          <w:lang w:val="es-ES"/>
        </w:rPr>
        <w:t>de un sistema coherente de</w:t>
      </w:r>
      <w:r w:rsidR="00FC262E" w:rsidRPr="003C5D6B">
        <w:rPr>
          <w:rFonts w:ascii="Trebuchet MS" w:hAnsi="Trebuchet MS" w:cs="Tahoma"/>
          <w:b/>
          <w:i/>
          <w:iCs/>
          <w:sz w:val="44"/>
          <w:szCs w:val="44"/>
          <w:lang w:val="es-ES"/>
        </w:rPr>
        <w:br/>
      </w:r>
      <w:r w:rsidRPr="003C5D6B">
        <w:rPr>
          <w:rFonts w:ascii="Trebuchet MS" w:hAnsi="Trebuchet MS" w:cs="Tahoma"/>
          <w:b/>
          <w:i/>
          <w:iCs/>
          <w:sz w:val="44"/>
          <w:szCs w:val="44"/>
          <w:lang w:val="es-ES"/>
        </w:rPr>
        <w:t>cánones relativos a la utilización</w:t>
      </w:r>
      <w:r w:rsidR="00FC262E" w:rsidRPr="003C5D6B">
        <w:rPr>
          <w:rFonts w:ascii="Trebuchet MS" w:hAnsi="Trebuchet MS" w:cs="Tahoma"/>
          <w:b/>
          <w:i/>
          <w:iCs/>
          <w:sz w:val="44"/>
          <w:szCs w:val="44"/>
          <w:lang w:val="es-ES"/>
        </w:rPr>
        <w:br/>
      </w:r>
      <w:r w:rsidRPr="003C5D6B">
        <w:rPr>
          <w:rFonts w:ascii="Trebuchet MS" w:hAnsi="Trebuchet MS" w:cs="Tahoma"/>
          <w:b/>
          <w:i/>
          <w:iCs/>
          <w:sz w:val="44"/>
          <w:szCs w:val="44"/>
          <w:lang w:val="es-ES"/>
        </w:rPr>
        <w:t>de frecuencias radioeléctricas</w:t>
      </w:r>
    </w:p>
    <w:p w:rsidR="00EB6A81" w:rsidRPr="003C5D6B" w:rsidRDefault="00EB6A81" w:rsidP="00EB6A81">
      <w:pPr>
        <w:spacing w:before="0"/>
        <w:ind w:right="2520"/>
        <w:jc w:val="right"/>
        <w:rPr>
          <w:rFonts w:ascii="Arial Rounded MT Bold" w:hAnsi="Arial Rounded MT Bold" w:cs="Tahoma"/>
          <w:b/>
          <w:bCs/>
          <w:i/>
          <w:iCs/>
          <w:sz w:val="52"/>
          <w:lang w:val="es-ES"/>
        </w:rPr>
      </w:pPr>
    </w:p>
    <w:p w:rsidR="00EB6A81" w:rsidRPr="003C5D6B" w:rsidRDefault="00EB6A81" w:rsidP="00EB6A81">
      <w:pPr>
        <w:rPr>
          <w:rFonts w:ascii="FrugalSans Th" w:hAnsi="FrugalSans Th"/>
          <w:i/>
          <w:iCs/>
          <w:lang w:val="es-ES"/>
        </w:rPr>
      </w:pPr>
    </w:p>
    <w:p w:rsidR="00EB6A81" w:rsidRPr="003C5D6B" w:rsidRDefault="00EB6A81" w:rsidP="00EB6A81">
      <w:pPr>
        <w:rPr>
          <w:lang w:val="es-ES"/>
        </w:rPr>
      </w:pPr>
    </w:p>
    <w:p w:rsidR="00115571" w:rsidRPr="003C5D6B" w:rsidRDefault="00115571" w:rsidP="00EB6A81">
      <w:pPr>
        <w:rPr>
          <w:lang w:val="es-ES"/>
        </w:rPr>
      </w:pPr>
    </w:p>
    <w:p w:rsidR="00115571" w:rsidRPr="003C5D6B" w:rsidRDefault="00115571" w:rsidP="00EB6A81">
      <w:pPr>
        <w:rPr>
          <w:lang w:val="es-ES"/>
        </w:rPr>
      </w:pPr>
    </w:p>
    <w:p w:rsidR="00115571" w:rsidRPr="003C5D6B" w:rsidRDefault="00115571" w:rsidP="00EB6A81">
      <w:pPr>
        <w:rPr>
          <w:lang w:val="es-ES"/>
        </w:rPr>
      </w:pPr>
    </w:p>
    <w:p w:rsidR="00E83FA2" w:rsidRPr="003C5D6B" w:rsidRDefault="00E83FA2" w:rsidP="00EB6A81">
      <w:pPr>
        <w:jc w:val="right"/>
        <w:rPr>
          <w:bCs/>
          <w:lang w:val="es-ES"/>
        </w:rPr>
      </w:pPr>
    </w:p>
    <w:p w:rsidR="00B27BCC" w:rsidRPr="003C5D6B" w:rsidRDefault="00B27BCC" w:rsidP="00E83FA2">
      <w:pPr>
        <w:pStyle w:val="Heading1"/>
        <w:jc w:val="center"/>
        <w:rPr>
          <w:lang w:val="es-ES"/>
        </w:rPr>
        <w:sectPr w:rsidR="00B27BCC" w:rsidRPr="003C5D6B"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3C5D6B" w:rsidRDefault="00B27BCC" w:rsidP="00B27BCC">
      <w:pPr>
        <w:rPr>
          <w:b/>
          <w:bCs/>
          <w:lang w:val="es-ES"/>
        </w:rPr>
      </w:pPr>
    </w:p>
    <w:tbl>
      <w:tblPr>
        <w:tblStyle w:val="TableGrid"/>
        <w:tblW w:w="0" w:type="auto"/>
        <w:jc w:val="center"/>
        <w:tblLook w:val="04A0"/>
      </w:tblPr>
      <w:tblGrid>
        <w:gridCol w:w="9606"/>
      </w:tblGrid>
      <w:tr w:rsidR="00237D3E" w:rsidRPr="00E92FFB" w:rsidTr="001308DA">
        <w:trPr>
          <w:jc w:val="center"/>
        </w:trPr>
        <w:tc>
          <w:tcPr>
            <w:tcW w:w="9606" w:type="dxa"/>
          </w:tcPr>
          <w:p w:rsidR="00237D3E" w:rsidRPr="003C5D6B" w:rsidRDefault="00FE6C97" w:rsidP="00F03A4B">
            <w:pPr>
              <w:jc w:val="center"/>
              <w:rPr>
                <w:b/>
                <w:lang w:val="es-ES"/>
              </w:rPr>
            </w:pPr>
            <w:r w:rsidRPr="003C5D6B">
              <w:rPr>
                <w:b/>
                <w:sz w:val="24"/>
                <w:szCs w:val="24"/>
                <w:lang w:val="es-ES"/>
              </w:rPr>
              <w:t>AGRADECIMIENTOS</w:t>
            </w:r>
          </w:p>
          <w:p w:rsidR="00BD0061" w:rsidRPr="003C5D6B" w:rsidRDefault="005F70AC" w:rsidP="00BD0061">
            <w:pPr>
              <w:rPr>
                <w:bCs/>
                <w:lang w:val="es-ES"/>
              </w:rPr>
            </w:pPr>
            <w:r w:rsidRPr="003C5D6B">
              <w:rPr>
                <w:bCs/>
                <w:szCs w:val="24"/>
                <w:lang w:val="es-ES"/>
              </w:rPr>
              <w:t>Agradecemos a los autores de las contribuciones la ayuda que no dejaron de prestar para la elaboración del presente Informe:</w:t>
            </w:r>
          </w:p>
          <w:p w:rsidR="00BD0061" w:rsidRPr="003C5D6B" w:rsidRDefault="008F38ED" w:rsidP="00BD0061">
            <w:pPr>
              <w:rPr>
                <w:bCs/>
                <w:lang w:val="es-ES"/>
              </w:rPr>
            </w:pPr>
            <w:r w:rsidRPr="003C5D6B">
              <w:rPr>
                <w:bCs/>
                <w:szCs w:val="24"/>
                <w:lang w:val="es-ES"/>
              </w:rPr>
              <w:t>Por el conjunto de las labores:</w:t>
            </w:r>
          </w:p>
          <w:p w:rsidR="008F38ED" w:rsidRPr="00E92FFB" w:rsidRDefault="008F38ED" w:rsidP="008F38ED">
            <w:pPr>
              <w:pStyle w:val="Headingb"/>
              <w:rPr>
                <w:b w:val="0"/>
                <w:bCs/>
                <w:szCs w:val="24"/>
                <w:lang w:val="fr-CH"/>
              </w:rPr>
            </w:pPr>
            <w:r w:rsidRPr="00E92FFB">
              <w:rPr>
                <w:b w:val="0"/>
                <w:bCs/>
                <w:szCs w:val="24"/>
                <w:lang w:val="fr-CH"/>
              </w:rPr>
              <w:t>Sr. Jean-Pierre Huynh (Francia)</w:t>
            </w:r>
          </w:p>
          <w:p w:rsidR="008F38ED" w:rsidRPr="003C5D6B" w:rsidRDefault="008F38ED" w:rsidP="008F38ED">
            <w:pPr>
              <w:pStyle w:val="Headingb"/>
              <w:spacing w:before="0"/>
              <w:rPr>
                <w:b w:val="0"/>
                <w:bCs/>
                <w:szCs w:val="24"/>
                <w:lang w:val="es-ES"/>
              </w:rPr>
            </w:pPr>
            <w:r w:rsidRPr="003C5D6B">
              <w:rPr>
                <w:b w:val="0"/>
                <w:bCs/>
                <w:szCs w:val="24"/>
                <w:lang w:val="es-ES"/>
              </w:rPr>
              <w:t>Sr. André Chaminade (Francia)</w:t>
            </w:r>
          </w:p>
          <w:p w:rsidR="008F38ED" w:rsidRPr="003C5D6B" w:rsidRDefault="008F38ED" w:rsidP="008F38ED">
            <w:pPr>
              <w:pStyle w:val="Headingb"/>
              <w:spacing w:before="0"/>
              <w:rPr>
                <w:b w:val="0"/>
                <w:bCs/>
                <w:szCs w:val="24"/>
                <w:lang w:val="es-ES"/>
              </w:rPr>
            </w:pPr>
            <w:r w:rsidRPr="003C5D6B">
              <w:rPr>
                <w:b w:val="0"/>
                <w:bCs/>
                <w:szCs w:val="24"/>
                <w:lang w:val="es-ES"/>
              </w:rPr>
              <w:t>Sr. Dirk-Olivier Von der Emden (Suiza)</w:t>
            </w:r>
          </w:p>
          <w:p w:rsidR="008F38ED" w:rsidRPr="003C5D6B" w:rsidRDefault="008F38ED" w:rsidP="008F38ED">
            <w:pPr>
              <w:pStyle w:val="Headingb"/>
              <w:spacing w:before="0"/>
              <w:rPr>
                <w:b w:val="0"/>
                <w:bCs/>
                <w:szCs w:val="24"/>
                <w:lang w:val="es-ES"/>
              </w:rPr>
            </w:pPr>
            <w:r w:rsidRPr="003C5D6B">
              <w:rPr>
                <w:b w:val="0"/>
                <w:bCs/>
                <w:szCs w:val="24"/>
                <w:lang w:val="es-ES"/>
              </w:rPr>
              <w:t>Sres. Naser Alrashedi y Hasan Sharif (Emiratos Árabes Unidos)</w:t>
            </w:r>
          </w:p>
          <w:p w:rsidR="008F38ED" w:rsidRPr="00E92FFB" w:rsidRDefault="008F38ED" w:rsidP="008F38ED">
            <w:pPr>
              <w:pStyle w:val="Headingb"/>
              <w:spacing w:before="0"/>
              <w:rPr>
                <w:b w:val="0"/>
                <w:bCs/>
                <w:szCs w:val="24"/>
                <w:lang w:val="fr-CH"/>
              </w:rPr>
            </w:pPr>
            <w:r w:rsidRPr="00E92FFB">
              <w:rPr>
                <w:b w:val="0"/>
                <w:bCs/>
                <w:szCs w:val="24"/>
                <w:lang w:val="fr-CH"/>
              </w:rPr>
              <w:t>Sr. Istvan Bozsoki et Sra. Alessandra Pileri (UIT-BDT)</w:t>
            </w:r>
          </w:p>
          <w:p w:rsidR="008F38ED" w:rsidRPr="00E92FFB" w:rsidRDefault="008F38ED" w:rsidP="008F38ED">
            <w:pPr>
              <w:pStyle w:val="Headingb"/>
              <w:spacing w:before="0"/>
              <w:rPr>
                <w:b w:val="0"/>
                <w:bCs/>
                <w:szCs w:val="24"/>
                <w:lang w:val="fr-CH"/>
              </w:rPr>
            </w:pPr>
            <w:r w:rsidRPr="00E92FFB">
              <w:rPr>
                <w:b w:val="0"/>
                <w:bCs/>
                <w:szCs w:val="24"/>
                <w:lang w:val="fr-CH"/>
              </w:rPr>
              <w:t>Sr. Philippe Aubineau (UIT-BR)</w:t>
            </w:r>
          </w:p>
          <w:p w:rsidR="00BD0061" w:rsidRPr="00E92FFB" w:rsidRDefault="008F38ED" w:rsidP="008F38ED">
            <w:pPr>
              <w:spacing w:before="0"/>
              <w:rPr>
                <w:bCs/>
                <w:szCs w:val="24"/>
                <w:lang w:val="fr-CH"/>
              </w:rPr>
            </w:pPr>
            <w:r w:rsidRPr="00E92FFB">
              <w:rPr>
                <w:bCs/>
                <w:szCs w:val="24"/>
                <w:lang w:val="fr-CH"/>
              </w:rPr>
              <w:t>La Commission de Valorisation du Spectre (</w:t>
            </w:r>
            <w:r w:rsidRPr="00E92FFB">
              <w:rPr>
                <w:bCs/>
                <w:i/>
                <w:iCs/>
                <w:szCs w:val="24"/>
                <w:lang w:val="fr-CH"/>
              </w:rPr>
              <w:t>Agence Nationale des Fréquences</w:t>
            </w:r>
            <w:r w:rsidRPr="00E92FFB">
              <w:rPr>
                <w:bCs/>
                <w:szCs w:val="24"/>
                <w:lang w:val="fr-CH"/>
              </w:rPr>
              <w:t>, Francia)</w:t>
            </w:r>
          </w:p>
          <w:p w:rsidR="002E3B5D" w:rsidRPr="00E92FFB" w:rsidRDefault="002E3B5D" w:rsidP="008F38ED">
            <w:pPr>
              <w:spacing w:before="0"/>
              <w:rPr>
                <w:bCs/>
                <w:lang w:val="fr-CH"/>
              </w:rPr>
            </w:pPr>
          </w:p>
          <w:p w:rsidR="00BD0061" w:rsidRPr="003C5D6B" w:rsidRDefault="008F38ED" w:rsidP="00BD0061">
            <w:pPr>
              <w:rPr>
                <w:bCs/>
                <w:lang w:val="es-ES"/>
              </w:rPr>
            </w:pPr>
            <w:r w:rsidRPr="003C5D6B">
              <w:rPr>
                <w:bCs/>
                <w:szCs w:val="24"/>
                <w:lang w:val="es-ES"/>
              </w:rPr>
              <w:t>Por las necesidades específicas de los países en desarrollo en materia de tarificación del espectro:</w:t>
            </w:r>
          </w:p>
          <w:p w:rsidR="008F38ED" w:rsidRPr="003C5D6B" w:rsidRDefault="008F38ED" w:rsidP="008F38ED">
            <w:pPr>
              <w:pStyle w:val="Headingb"/>
              <w:rPr>
                <w:b w:val="0"/>
                <w:bCs/>
                <w:szCs w:val="24"/>
                <w:lang w:val="es-ES"/>
              </w:rPr>
            </w:pPr>
            <w:r w:rsidRPr="003C5D6B">
              <w:rPr>
                <w:b w:val="0"/>
                <w:bCs/>
                <w:szCs w:val="24"/>
                <w:lang w:val="es-ES"/>
              </w:rPr>
              <w:t>Sra. Roukétou Bagoro y Sr. Souleimane Zabre (Burkina Faso)</w:t>
            </w:r>
          </w:p>
          <w:p w:rsidR="008F38ED" w:rsidRPr="00E92FFB" w:rsidRDefault="008F38ED" w:rsidP="008F38ED">
            <w:pPr>
              <w:pStyle w:val="Headingb"/>
              <w:spacing w:before="0"/>
              <w:rPr>
                <w:b w:val="0"/>
                <w:bCs/>
                <w:szCs w:val="24"/>
                <w:lang w:val="fr-CH"/>
              </w:rPr>
            </w:pPr>
            <w:r w:rsidRPr="00E92FFB">
              <w:rPr>
                <w:b w:val="0"/>
                <w:bCs/>
                <w:szCs w:val="24"/>
                <w:lang w:val="fr-CH"/>
              </w:rPr>
              <w:t>Sr. Roger Manga Ayissi (Camerún)</w:t>
            </w:r>
          </w:p>
          <w:p w:rsidR="008F38ED" w:rsidRPr="00E92FFB" w:rsidRDefault="008F38ED" w:rsidP="008F38ED">
            <w:pPr>
              <w:pStyle w:val="Headingb"/>
              <w:spacing w:before="0"/>
              <w:rPr>
                <w:b w:val="0"/>
                <w:bCs/>
                <w:szCs w:val="24"/>
                <w:lang w:val="fr-CH"/>
              </w:rPr>
            </w:pPr>
            <w:r w:rsidRPr="00E92FFB">
              <w:rPr>
                <w:b w:val="0"/>
                <w:bCs/>
                <w:szCs w:val="24"/>
                <w:lang w:val="fr-CH"/>
              </w:rPr>
              <w:t>Sr. Jean Jacques Massima (Gabón)</w:t>
            </w:r>
          </w:p>
          <w:p w:rsidR="008F38ED" w:rsidRPr="00E92FFB" w:rsidRDefault="008F38ED" w:rsidP="008F38ED">
            <w:pPr>
              <w:pStyle w:val="Headingb"/>
              <w:spacing w:before="0"/>
              <w:rPr>
                <w:b w:val="0"/>
                <w:bCs/>
                <w:szCs w:val="24"/>
                <w:lang w:val="fr-CH"/>
              </w:rPr>
            </w:pPr>
            <w:r w:rsidRPr="00E92FFB">
              <w:rPr>
                <w:b w:val="0"/>
                <w:bCs/>
                <w:szCs w:val="24"/>
                <w:lang w:val="fr-CH"/>
              </w:rPr>
              <w:t>Sr. Abdoulaye Kebé (Guinea)</w:t>
            </w:r>
          </w:p>
          <w:p w:rsidR="00BD0061" w:rsidRPr="00E92FFB" w:rsidRDefault="008F38ED" w:rsidP="008F38ED">
            <w:pPr>
              <w:spacing w:before="0"/>
              <w:rPr>
                <w:bCs/>
                <w:szCs w:val="24"/>
                <w:lang w:val="fr-CH"/>
              </w:rPr>
            </w:pPr>
            <w:r w:rsidRPr="00E92FFB">
              <w:rPr>
                <w:bCs/>
                <w:szCs w:val="24"/>
                <w:lang w:val="fr-CH"/>
              </w:rPr>
              <w:t>Sr. Abdoulaye Dembélé (Malí)</w:t>
            </w:r>
          </w:p>
          <w:p w:rsidR="002E3B5D" w:rsidRPr="00E92FFB" w:rsidRDefault="002E3B5D" w:rsidP="008F38ED">
            <w:pPr>
              <w:spacing w:before="0"/>
              <w:rPr>
                <w:bCs/>
                <w:lang w:val="fr-CH"/>
              </w:rPr>
            </w:pPr>
          </w:p>
          <w:p w:rsidR="00BD0061" w:rsidRPr="003C5D6B" w:rsidRDefault="008F38ED" w:rsidP="00BD0061">
            <w:pPr>
              <w:rPr>
                <w:bCs/>
                <w:lang w:val="es-ES"/>
              </w:rPr>
            </w:pPr>
            <w:r w:rsidRPr="003C5D6B">
              <w:rPr>
                <w:bCs/>
                <w:szCs w:val="24"/>
                <w:lang w:val="es-ES"/>
              </w:rPr>
              <w:t>Por el conjunto del Informe:</w:t>
            </w:r>
          </w:p>
          <w:p w:rsidR="00BD0061" w:rsidRPr="003C5D6B" w:rsidRDefault="008F38ED" w:rsidP="00BD0061">
            <w:pPr>
              <w:rPr>
                <w:bCs/>
                <w:lang w:val="es-ES"/>
              </w:rPr>
            </w:pPr>
            <w:r w:rsidRPr="003C5D6B">
              <w:rPr>
                <w:bCs/>
                <w:szCs w:val="24"/>
                <w:lang w:val="es-ES"/>
              </w:rPr>
              <w:t>Sr. Nabil Kisrawi (Siria, Presidente de la Comisión de Estudio 2 del UIT-D)</w:t>
            </w:r>
          </w:p>
          <w:p w:rsidR="00BD0061" w:rsidRPr="003C5D6B" w:rsidRDefault="008F38ED" w:rsidP="00441826">
            <w:pPr>
              <w:spacing w:before="0"/>
              <w:rPr>
                <w:bCs/>
                <w:lang w:val="es-ES"/>
              </w:rPr>
            </w:pPr>
            <w:r w:rsidRPr="003C5D6B">
              <w:rPr>
                <w:bCs/>
                <w:szCs w:val="24"/>
                <w:lang w:val="es-ES"/>
              </w:rPr>
              <w:t>Sr. Jean Pierre Huynh (Francia, Copresidente del Grupo de Trabajo Mixto sobre la Resolución 9, representante del UIT-D)</w:t>
            </w:r>
          </w:p>
          <w:p w:rsidR="00237D3E" w:rsidRPr="003C5D6B" w:rsidRDefault="00237D3E" w:rsidP="00F03A4B">
            <w:pPr>
              <w:spacing w:before="0"/>
              <w:jc w:val="left"/>
              <w:rPr>
                <w:lang w:val="es-ES"/>
              </w:rPr>
            </w:pPr>
          </w:p>
          <w:p w:rsidR="00BF0AC2" w:rsidRPr="003C5D6B" w:rsidRDefault="00BF0AC2" w:rsidP="00F03A4B">
            <w:pPr>
              <w:spacing w:before="0"/>
              <w:jc w:val="left"/>
              <w:rPr>
                <w:lang w:val="es-ES"/>
              </w:rPr>
            </w:pPr>
          </w:p>
        </w:tc>
      </w:tr>
    </w:tbl>
    <w:p w:rsidR="00B27BCC" w:rsidRPr="003C5D6B" w:rsidRDefault="00B27BCC" w:rsidP="00B27BCC">
      <w:pPr>
        <w:jc w:val="left"/>
        <w:rPr>
          <w:b/>
          <w:bCs/>
          <w:lang w:val="es-ES"/>
        </w:rPr>
      </w:pPr>
    </w:p>
    <w:p w:rsidR="00B27BCC" w:rsidRPr="003C5D6B" w:rsidRDefault="00B27BCC" w:rsidP="00B27BCC">
      <w:pPr>
        <w:jc w:val="left"/>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E92FFB" w:rsidTr="00115571">
        <w:trPr>
          <w:trHeight w:val="1145"/>
          <w:jc w:val="center"/>
        </w:trPr>
        <w:tc>
          <w:tcPr>
            <w:tcW w:w="9620" w:type="dxa"/>
            <w:shd w:val="clear" w:color="auto" w:fill="FFFFFF"/>
          </w:tcPr>
          <w:p w:rsidR="00084345" w:rsidRPr="003C5D6B" w:rsidRDefault="00084345" w:rsidP="00084345">
            <w:pPr>
              <w:rPr>
                <w:b/>
                <w:bCs/>
                <w:szCs w:val="24"/>
                <w:lang w:val="es-ES"/>
              </w:rPr>
            </w:pPr>
            <w:r w:rsidRPr="003C5D6B">
              <w:rPr>
                <w:b/>
                <w:bCs/>
                <w:szCs w:val="24"/>
                <w:lang w:val="es-ES"/>
              </w:rPr>
              <w:t>DECLINACIÓN  DE  RESPONSABILIDAD</w:t>
            </w:r>
          </w:p>
          <w:p w:rsidR="00B27BCC" w:rsidRPr="003C5D6B" w:rsidRDefault="00084345" w:rsidP="00084345">
            <w:pPr>
              <w:pStyle w:val="Normalaftertitle"/>
              <w:spacing w:before="160" w:after="160"/>
              <w:rPr>
                <w:lang w:val="es-ES"/>
              </w:rPr>
            </w:pPr>
            <w:r w:rsidRPr="003C5D6B">
              <w:rPr>
                <w:b/>
                <w:bCs/>
                <w:lang w:val="es-ES"/>
              </w:rPr>
              <w:t>En la elaboración del presente Informe han participado muchos voluntarios, provenientes de diversas administraciones y empresas. Cualquier mención de empresas o productos concretos no implica en ningún caso un apoyo o recomendación por parte de la UIT</w:t>
            </w:r>
          </w:p>
        </w:tc>
      </w:tr>
    </w:tbl>
    <w:p w:rsidR="00B27BCC" w:rsidRPr="003C5D6B" w:rsidRDefault="00B27BCC" w:rsidP="00B27BCC">
      <w:pPr>
        <w:rPr>
          <w:lang w:val="es-ES"/>
        </w:rPr>
      </w:pPr>
    </w:p>
    <w:p w:rsidR="00747593" w:rsidRPr="003C5D6B" w:rsidRDefault="00747593" w:rsidP="00747593">
      <w:pPr>
        <w:pStyle w:val="FigureNotitle"/>
        <w:rPr>
          <w:sz w:val="28"/>
          <w:lang w:val="es-ES"/>
        </w:rPr>
        <w:sectPr w:rsidR="00747593" w:rsidRPr="003C5D6B" w:rsidSect="00654857">
          <w:headerReference w:type="even" r:id="rId13"/>
          <w:headerReference w:type="default" r:id="rId14"/>
          <w:footerReference w:type="default" r:id="rId15"/>
          <w:pgSz w:w="11907" w:h="16840" w:code="9"/>
          <w:pgMar w:top="1418" w:right="1134" w:bottom="1418" w:left="1134" w:header="720" w:footer="720" w:gutter="0"/>
          <w:paperSrc w:first="15" w:other="15"/>
          <w:pgNumType w:fmt="lowerRoman"/>
          <w:cols w:space="720"/>
          <w:vAlign w:val="both"/>
        </w:sectPr>
      </w:pPr>
    </w:p>
    <w:p w:rsidR="00E83FA2" w:rsidRPr="003C5D6B" w:rsidRDefault="000F026C" w:rsidP="000F026C">
      <w:pPr>
        <w:pStyle w:val="Figure"/>
        <w:keepNext w:val="0"/>
        <w:keepLines w:val="0"/>
        <w:spacing w:before="120" w:after="0"/>
        <w:rPr>
          <w:b/>
          <w:bCs/>
          <w:sz w:val="28"/>
          <w:szCs w:val="22"/>
          <w:lang w:val="es-ES"/>
        </w:rPr>
      </w:pPr>
      <w:r w:rsidRPr="003C5D6B">
        <w:rPr>
          <w:b/>
          <w:bCs/>
          <w:sz w:val="28"/>
          <w:szCs w:val="22"/>
          <w:lang w:val="es-ES"/>
        </w:rPr>
        <w:lastRenderedPageBreak/>
        <w:t>ÍNDICE</w:t>
      </w:r>
    </w:p>
    <w:p w:rsidR="00096FCD" w:rsidRPr="003C5D6B" w:rsidRDefault="0008342F" w:rsidP="000F026C">
      <w:pPr>
        <w:pStyle w:val="Recdate"/>
        <w:keepLines w:val="0"/>
        <w:tabs>
          <w:tab w:val="right" w:pos="9639"/>
        </w:tabs>
        <w:jc w:val="left"/>
        <w:rPr>
          <w:b/>
          <w:iCs/>
          <w:lang w:val="es-ES"/>
        </w:rPr>
      </w:pPr>
      <w:r w:rsidRPr="003C5D6B">
        <w:rPr>
          <w:iCs/>
          <w:lang w:val="es-ES"/>
        </w:rPr>
        <w:tab/>
      </w:r>
      <w:r w:rsidRPr="003C5D6B">
        <w:rPr>
          <w:b/>
          <w:iCs/>
          <w:lang w:val="es-ES"/>
        </w:rPr>
        <w:t>P</w:t>
      </w:r>
      <w:r w:rsidR="000F026C" w:rsidRPr="003C5D6B">
        <w:rPr>
          <w:b/>
          <w:iCs/>
          <w:lang w:val="es-ES"/>
        </w:rPr>
        <w:t>á</w:t>
      </w:r>
      <w:r w:rsidRPr="003C5D6B">
        <w:rPr>
          <w:b/>
          <w:iCs/>
          <w:lang w:val="es-ES"/>
        </w:rPr>
        <w:t>g</w:t>
      </w:r>
      <w:r w:rsidR="000F026C" w:rsidRPr="003C5D6B">
        <w:rPr>
          <w:b/>
          <w:iCs/>
          <w:lang w:val="es-ES"/>
        </w:rPr>
        <w:t>ina</w:t>
      </w:r>
    </w:p>
    <w:p w:rsidR="00D81BE1" w:rsidRPr="003C5D6B" w:rsidRDefault="003B6168">
      <w:pPr>
        <w:pStyle w:val="TOC1"/>
        <w:rPr>
          <w:rFonts w:asciiTheme="minorHAnsi" w:eastAsia="SimSun" w:hAnsiTheme="minorHAnsi" w:cstheme="minorBidi"/>
          <w:szCs w:val="22"/>
          <w:lang w:val="es-ES" w:eastAsia="zh-CN"/>
        </w:rPr>
      </w:pPr>
      <w:r w:rsidRPr="003C5D6B">
        <w:rPr>
          <w:rFonts w:eastAsia="SimSun"/>
          <w:lang w:val="es-ES"/>
        </w:rPr>
        <w:fldChar w:fldCharType="begin"/>
      </w:r>
      <w:r w:rsidR="00D81BE1" w:rsidRPr="003C5D6B">
        <w:rPr>
          <w:rFonts w:eastAsia="SimSun"/>
          <w:lang w:val="es-ES"/>
        </w:rPr>
        <w:instrText xml:space="preserve"> TOC \o "1-1" \h \z \t "Heading 2;2;Annex_No &amp; title;1;Appendix_No &amp; title;1" </w:instrText>
      </w:r>
      <w:r w:rsidRPr="003C5D6B">
        <w:rPr>
          <w:rFonts w:eastAsia="SimSun"/>
          <w:lang w:val="es-ES"/>
        </w:rPr>
        <w:fldChar w:fldCharType="separate"/>
      </w:r>
      <w:hyperlink w:anchor="_Toc287523303" w:history="1">
        <w:r w:rsidR="00D81BE1" w:rsidRPr="003C5D6B">
          <w:rPr>
            <w:rStyle w:val="Hyperlink"/>
            <w:lang w:val="es-ES"/>
          </w:rPr>
          <w:t>1</w:t>
        </w:r>
        <w:r w:rsidR="00D81BE1" w:rsidRPr="003C5D6B">
          <w:rPr>
            <w:rFonts w:asciiTheme="minorHAnsi" w:eastAsia="SimSun" w:hAnsiTheme="minorHAnsi" w:cstheme="minorBidi"/>
            <w:szCs w:val="22"/>
            <w:lang w:val="es-ES" w:eastAsia="zh-CN"/>
          </w:rPr>
          <w:tab/>
        </w:r>
        <w:r w:rsidR="00D81BE1" w:rsidRPr="003C5D6B">
          <w:rPr>
            <w:rStyle w:val="Hyperlink"/>
            <w:lang w:val="es-ES"/>
          </w:rPr>
          <w:t>Introducción</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_Toc287523303 \h </w:instrText>
        </w:r>
        <w:r w:rsidRPr="003C5D6B">
          <w:rPr>
            <w:webHidden/>
            <w:lang w:val="es-ES"/>
          </w:rPr>
        </w:r>
        <w:r w:rsidRPr="003C5D6B">
          <w:rPr>
            <w:webHidden/>
            <w:lang w:val="es-ES"/>
          </w:rPr>
          <w:fldChar w:fldCharType="separate"/>
        </w:r>
        <w:r w:rsidR="00D81BE1" w:rsidRPr="003C5D6B">
          <w:rPr>
            <w:webHidden/>
            <w:lang w:val="es-ES"/>
          </w:rPr>
          <w:t>1</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04" w:history="1">
        <w:r w:rsidR="00D81BE1" w:rsidRPr="003C5D6B">
          <w:rPr>
            <w:rStyle w:val="Hyperlink"/>
            <w:lang w:val="es-ES"/>
          </w:rPr>
          <w:t>2</w:t>
        </w:r>
        <w:r w:rsidR="00D81BE1" w:rsidRPr="003C5D6B">
          <w:rPr>
            <w:rFonts w:asciiTheme="minorHAnsi" w:eastAsia="SimSun" w:hAnsiTheme="minorHAnsi" w:cstheme="minorBidi"/>
            <w:szCs w:val="22"/>
            <w:lang w:val="es-ES" w:eastAsia="zh-CN"/>
          </w:rPr>
          <w:tab/>
        </w:r>
        <w:r w:rsidR="00D81BE1" w:rsidRPr="003C5D6B">
          <w:rPr>
            <w:rStyle w:val="Hyperlink"/>
            <w:lang w:val="es-ES"/>
          </w:rPr>
          <w:t>Definiciones utilizadas en el presente documento</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_Toc287523304 \h </w:instrText>
        </w:r>
        <w:r w:rsidRPr="003C5D6B">
          <w:rPr>
            <w:webHidden/>
            <w:lang w:val="es-ES"/>
          </w:rPr>
        </w:r>
        <w:r w:rsidRPr="003C5D6B">
          <w:rPr>
            <w:webHidden/>
            <w:lang w:val="es-ES"/>
          </w:rPr>
          <w:fldChar w:fldCharType="separate"/>
        </w:r>
        <w:r w:rsidR="00D81BE1" w:rsidRPr="003C5D6B">
          <w:rPr>
            <w:webHidden/>
            <w:lang w:val="es-ES"/>
          </w:rPr>
          <w:t>1</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05" w:history="1">
        <w:r w:rsidR="00D81BE1" w:rsidRPr="003C5D6B">
          <w:rPr>
            <w:rStyle w:val="Hyperlink"/>
            <w:lang w:val="es-ES"/>
          </w:rPr>
          <w:t>3</w:t>
        </w:r>
        <w:r w:rsidR="00D81BE1" w:rsidRPr="003C5D6B">
          <w:rPr>
            <w:rFonts w:asciiTheme="minorHAnsi" w:eastAsia="SimSun" w:hAnsiTheme="minorHAnsi" w:cstheme="minorBidi"/>
            <w:szCs w:val="22"/>
            <w:lang w:val="es-ES" w:eastAsia="zh-CN"/>
          </w:rPr>
          <w:tab/>
        </w:r>
        <w:r w:rsidR="00D81BE1" w:rsidRPr="003C5D6B">
          <w:rPr>
            <w:rStyle w:val="Hyperlink"/>
            <w:lang w:val="es-ES"/>
          </w:rPr>
          <w:t>Principios básicos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_Toc287523305 \h </w:instrText>
        </w:r>
        <w:r w:rsidRPr="003C5D6B">
          <w:rPr>
            <w:webHidden/>
            <w:lang w:val="es-ES"/>
          </w:rPr>
        </w:r>
        <w:r w:rsidRPr="003C5D6B">
          <w:rPr>
            <w:webHidden/>
            <w:lang w:val="es-ES"/>
          </w:rPr>
          <w:fldChar w:fldCharType="separate"/>
        </w:r>
        <w:r w:rsidR="00D81BE1" w:rsidRPr="003C5D6B">
          <w:rPr>
            <w:webHidden/>
            <w:lang w:val="es-ES"/>
          </w:rPr>
          <w:t>1</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06" w:history="1">
        <w:r w:rsidR="00D81BE1" w:rsidRPr="003C5D6B">
          <w:rPr>
            <w:rStyle w:val="Hyperlink"/>
            <w:lang w:val="es-ES"/>
          </w:rPr>
          <w:t>3.1</w:t>
        </w:r>
        <w:r w:rsidR="00D81BE1" w:rsidRPr="003C5D6B">
          <w:rPr>
            <w:rFonts w:asciiTheme="minorHAnsi" w:eastAsia="SimSun" w:hAnsiTheme="minorHAnsi" w:cstheme="minorBidi"/>
            <w:szCs w:val="22"/>
            <w:lang w:val="es-ES" w:eastAsia="zh-CN"/>
          </w:rPr>
          <w:tab/>
        </w:r>
        <w:r w:rsidR="00D81BE1" w:rsidRPr="003C5D6B">
          <w:rPr>
            <w:rStyle w:val="Hyperlink"/>
            <w:lang w:val="es-ES"/>
          </w:rPr>
          <w:t>Principios jurídicos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_Toc287523306 \h </w:instrText>
        </w:r>
        <w:r w:rsidRPr="003C5D6B">
          <w:rPr>
            <w:webHidden/>
            <w:lang w:val="es-ES"/>
          </w:rPr>
        </w:r>
        <w:r w:rsidRPr="003C5D6B">
          <w:rPr>
            <w:webHidden/>
            <w:lang w:val="es-ES"/>
          </w:rPr>
          <w:fldChar w:fldCharType="separate"/>
        </w:r>
        <w:r w:rsidR="00D81BE1" w:rsidRPr="003C5D6B">
          <w:rPr>
            <w:webHidden/>
            <w:lang w:val="es-ES"/>
          </w:rPr>
          <w:t>1</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07" w:history="1">
        <w:r w:rsidR="00D81BE1" w:rsidRPr="003C5D6B">
          <w:rPr>
            <w:rStyle w:val="Hyperlink"/>
            <w:lang w:val="es-ES"/>
          </w:rPr>
          <w:t>3.2</w:t>
        </w:r>
        <w:r w:rsidR="00D81BE1" w:rsidRPr="003C5D6B">
          <w:rPr>
            <w:rFonts w:asciiTheme="minorHAnsi" w:eastAsia="SimSun" w:hAnsiTheme="minorHAnsi" w:cstheme="minorBidi"/>
            <w:szCs w:val="22"/>
            <w:lang w:val="es-ES" w:eastAsia="zh-CN"/>
          </w:rPr>
          <w:tab/>
        </w:r>
        <w:r w:rsidR="00D81BE1" w:rsidRPr="003C5D6B">
          <w:rPr>
            <w:rStyle w:val="Hyperlink"/>
            <w:lang w:val="es-ES"/>
          </w:rPr>
          <w:t>Principios económicos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_Toc287523307 \h </w:instrText>
        </w:r>
        <w:r w:rsidRPr="003C5D6B">
          <w:rPr>
            <w:webHidden/>
            <w:lang w:val="es-ES"/>
          </w:rPr>
        </w:r>
        <w:r w:rsidRPr="003C5D6B">
          <w:rPr>
            <w:webHidden/>
            <w:lang w:val="es-ES"/>
          </w:rPr>
          <w:fldChar w:fldCharType="separate"/>
        </w:r>
        <w:r w:rsidR="00D81BE1" w:rsidRPr="003C5D6B">
          <w:rPr>
            <w:webHidden/>
            <w:lang w:val="es-ES"/>
          </w:rPr>
          <w:t>2</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08" w:history="1">
        <w:r w:rsidR="00D81BE1" w:rsidRPr="003C5D6B">
          <w:rPr>
            <w:rStyle w:val="Hyperlink"/>
            <w:lang w:val="es-ES"/>
          </w:rPr>
          <w:t>3.3</w:t>
        </w:r>
        <w:r w:rsidR="00D81BE1" w:rsidRPr="003C5D6B">
          <w:rPr>
            <w:rFonts w:asciiTheme="minorHAnsi" w:eastAsia="SimSun" w:hAnsiTheme="minorHAnsi" w:cstheme="minorBidi"/>
            <w:szCs w:val="22"/>
            <w:lang w:val="es-ES" w:eastAsia="zh-CN"/>
          </w:rPr>
          <w:tab/>
        </w:r>
        <w:r w:rsidR="00D81BE1" w:rsidRPr="003C5D6B">
          <w:rPr>
            <w:rStyle w:val="Hyperlink"/>
            <w:lang w:val="es-ES"/>
          </w:rPr>
          <w:t>Principios de realidad</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_Toc287523308 \h </w:instrText>
        </w:r>
        <w:r w:rsidRPr="003C5D6B">
          <w:rPr>
            <w:webHidden/>
            <w:lang w:val="es-ES"/>
          </w:rPr>
        </w:r>
        <w:r w:rsidRPr="003C5D6B">
          <w:rPr>
            <w:webHidden/>
            <w:lang w:val="es-ES"/>
          </w:rPr>
          <w:fldChar w:fldCharType="separate"/>
        </w:r>
        <w:r w:rsidR="00D81BE1" w:rsidRPr="003C5D6B">
          <w:rPr>
            <w:webHidden/>
            <w:lang w:val="es-ES"/>
          </w:rPr>
          <w:t>3</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09" w:history="1">
        <w:r w:rsidR="00D81BE1" w:rsidRPr="003C5D6B">
          <w:rPr>
            <w:rStyle w:val="Hyperlink"/>
            <w:lang w:val="es-ES"/>
          </w:rPr>
          <w:t>4</w:t>
        </w:r>
        <w:r w:rsidR="00D81BE1" w:rsidRPr="003C5D6B">
          <w:rPr>
            <w:rFonts w:asciiTheme="minorHAnsi" w:eastAsia="SimSun" w:hAnsiTheme="minorHAnsi" w:cstheme="minorBidi"/>
            <w:szCs w:val="22"/>
            <w:lang w:val="es-ES" w:eastAsia="zh-CN"/>
          </w:rPr>
          <w:tab/>
        </w:r>
        <w:r w:rsidR="00D81BE1" w:rsidRPr="003C5D6B">
          <w:rPr>
            <w:rStyle w:val="Hyperlink"/>
            <w:lang w:val="es-ES"/>
          </w:rPr>
          <w:t>Directrices para el establecimiento de cánones administrativos (o tasas administrativas)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_Toc287523309 \h </w:instrText>
        </w:r>
        <w:r w:rsidRPr="003C5D6B">
          <w:rPr>
            <w:webHidden/>
            <w:lang w:val="es-ES"/>
          </w:rPr>
        </w:r>
        <w:r w:rsidRPr="003C5D6B">
          <w:rPr>
            <w:webHidden/>
            <w:lang w:val="es-ES"/>
          </w:rPr>
          <w:fldChar w:fldCharType="separate"/>
        </w:r>
        <w:r w:rsidR="00D81BE1" w:rsidRPr="003C5D6B">
          <w:rPr>
            <w:webHidden/>
            <w:lang w:val="es-ES"/>
          </w:rPr>
          <w:t>3</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10" w:history="1">
        <w:r w:rsidR="00D81BE1" w:rsidRPr="003C5D6B">
          <w:rPr>
            <w:rStyle w:val="Hyperlink"/>
            <w:lang w:val="es-ES"/>
          </w:rPr>
          <w:t>4.1</w:t>
        </w:r>
        <w:r w:rsidR="00D81BE1" w:rsidRPr="003C5D6B">
          <w:rPr>
            <w:rFonts w:asciiTheme="minorHAnsi" w:eastAsia="SimSun" w:hAnsiTheme="minorHAnsi" w:cstheme="minorBidi"/>
            <w:szCs w:val="22"/>
            <w:lang w:val="es-ES" w:eastAsia="zh-CN"/>
          </w:rPr>
          <w:tab/>
        </w:r>
        <w:r w:rsidR="00D81BE1" w:rsidRPr="003C5D6B">
          <w:rPr>
            <w:rStyle w:val="Hyperlink"/>
            <w:lang w:val="es-ES"/>
          </w:rPr>
          <w:t>Observaciones y disposiciones generales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_Toc287523310 \h </w:instrText>
        </w:r>
        <w:r w:rsidRPr="003C5D6B">
          <w:rPr>
            <w:webHidden/>
            <w:lang w:val="es-ES"/>
          </w:rPr>
        </w:r>
        <w:r w:rsidRPr="003C5D6B">
          <w:rPr>
            <w:webHidden/>
            <w:lang w:val="es-ES"/>
          </w:rPr>
          <w:fldChar w:fldCharType="separate"/>
        </w:r>
        <w:r w:rsidR="00D81BE1" w:rsidRPr="003C5D6B">
          <w:rPr>
            <w:webHidden/>
            <w:lang w:val="es-ES"/>
          </w:rPr>
          <w:t>3</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11" w:history="1">
        <w:r w:rsidR="00D81BE1" w:rsidRPr="003C5D6B">
          <w:rPr>
            <w:rStyle w:val="Hyperlink"/>
            <w:lang w:val="es-ES"/>
          </w:rPr>
          <w:t>4.2</w:t>
        </w:r>
        <w:r w:rsidR="00D81BE1" w:rsidRPr="003C5D6B">
          <w:rPr>
            <w:rFonts w:asciiTheme="minorHAnsi" w:eastAsia="SimSun" w:hAnsiTheme="minorHAnsi" w:cstheme="minorBidi"/>
            <w:szCs w:val="22"/>
            <w:lang w:val="es-ES" w:eastAsia="zh-CN"/>
          </w:rPr>
          <w:tab/>
        </w:r>
        <w:r w:rsidR="00D81BE1" w:rsidRPr="003C5D6B">
          <w:rPr>
            <w:rStyle w:val="Hyperlink"/>
            <w:lang w:val="es-ES"/>
          </w:rPr>
          <w:t>Regla de distribución de gastos administrativos – Ejemplo 1</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_Toc287523311 \h </w:instrText>
        </w:r>
        <w:r w:rsidRPr="003C5D6B">
          <w:rPr>
            <w:webHidden/>
            <w:lang w:val="es-ES"/>
          </w:rPr>
        </w:r>
        <w:r w:rsidRPr="003C5D6B">
          <w:rPr>
            <w:webHidden/>
            <w:lang w:val="es-ES"/>
          </w:rPr>
          <w:fldChar w:fldCharType="separate"/>
        </w:r>
        <w:r w:rsidR="00D81BE1" w:rsidRPr="003C5D6B">
          <w:rPr>
            <w:webHidden/>
            <w:lang w:val="es-ES"/>
          </w:rPr>
          <w:t>4</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12" w:history="1">
        <w:r w:rsidR="00D81BE1" w:rsidRPr="003C5D6B">
          <w:rPr>
            <w:rStyle w:val="Hyperlink"/>
            <w:lang w:val="es-ES"/>
          </w:rPr>
          <w:t>4.3</w:t>
        </w:r>
        <w:r w:rsidR="00D81BE1" w:rsidRPr="003C5D6B">
          <w:rPr>
            <w:rFonts w:asciiTheme="minorHAnsi" w:eastAsia="SimSun" w:hAnsiTheme="minorHAnsi" w:cstheme="minorBidi"/>
            <w:szCs w:val="22"/>
            <w:lang w:val="es-ES" w:eastAsia="zh-CN"/>
          </w:rPr>
          <w:tab/>
        </w:r>
        <w:r w:rsidR="00D81BE1" w:rsidRPr="003C5D6B">
          <w:rPr>
            <w:rStyle w:val="Hyperlink"/>
            <w:lang w:val="es-ES"/>
          </w:rPr>
          <w:t>Regla de distribución de gastos administrativos – Ejemplo 2</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_Toc287523312 \h </w:instrText>
        </w:r>
        <w:r w:rsidRPr="003C5D6B">
          <w:rPr>
            <w:webHidden/>
            <w:lang w:val="es-ES"/>
          </w:rPr>
        </w:r>
        <w:r w:rsidRPr="003C5D6B">
          <w:rPr>
            <w:webHidden/>
            <w:lang w:val="es-ES"/>
          </w:rPr>
          <w:fldChar w:fldCharType="separate"/>
        </w:r>
        <w:r w:rsidR="00D81BE1" w:rsidRPr="003C5D6B">
          <w:rPr>
            <w:webHidden/>
            <w:lang w:val="es-ES"/>
          </w:rPr>
          <w:t>4</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13" w:history="1">
        <w:r w:rsidR="00D81BE1" w:rsidRPr="003C5D6B">
          <w:rPr>
            <w:rStyle w:val="Hyperlink"/>
            <w:lang w:val="es-ES"/>
          </w:rPr>
          <w:t>5</w:t>
        </w:r>
        <w:r w:rsidR="00D81BE1" w:rsidRPr="003C5D6B">
          <w:rPr>
            <w:rFonts w:asciiTheme="minorHAnsi" w:eastAsia="SimSun" w:hAnsiTheme="minorHAnsi" w:cstheme="minorBidi"/>
            <w:szCs w:val="22"/>
            <w:lang w:val="es-ES" w:eastAsia="zh-CN"/>
          </w:rPr>
          <w:tab/>
        </w:r>
        <w:r w:rsidR="00D81BE1" w:rsidRPr="003C5D6B">
          <w:rPr>
            <w:rStyle w:val="Hyperlink"/>
            <w:lang w:val="es-ES"/>
          </w:rPr>
          <w:t>Directrices para el establecimiento de cánones del espectro</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_Toc287523313 \h </w:instrText>
        </w:r>
        <w:r w:rsidRPr="003C5D6B">
          <w:rPr>
            <w:webHidden/>
            <w:lang w:val="es-ES"/>
          </w:rPr>
        </w:r>
        <w:r w:rsidRPr="003C5D6B">
          <w:rPr>
            <w:webHidden/>
            <w:lang w:val="es-ES"/>
          </w:rPr>
          <w:fldChar w:fldCharType="separate"/>
        </w:r>
        <w:r w:rsidR="00D81BE1" w:rsidRPr="003C5D6B">
          <w:rPr>
            <w:webHidden/>
            <w:lang w:val="es-ES"/>
          </w:rPr>
          <w:t>4</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14" w:history="1">
        <w:r w:rsidR="00D81BE1" w:rsidRPr="003C5D6B">
          <w:rPr>
            <w:rStyle w:val="Hyperlink"/>
            <w:lang w:val="es-ES"/>
          </w:rPr>
          <w:t>5.1</w:t>
        </w:r>
        <w:r w:rsidR="00D81BE1" w:rsidRPr="003C5D6B">
          <w:rPr>
            <w:rFonts w:asciiTheme="minorHAnsi" w:eastAsia="SimSun" w:hAnsiTheme="minorHAnsi" w:cstheme="minorBidi"/>
            <w:szCs w:val="22"/>
            <w:lang w:val="es-ES" w:eastAsia="zh-CN"/>
          </w:rPr>
          <w:tab/>
        </w:r>
        <w:r w:rsidR="00D81BE1" w:rsidRPr="003C5D6B">
          <w:rPr>
            <w:rStyle w:val="Hyperlink"/>
            <w:lang w:val="es-ES"/>
          </w:rPr>
          <w:t>Observaciones y disposiciones generales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_Toc287523314 \h </w:instrText>
        </w:r>
        <w:r w:rsidRPr="003C5D6B">
          <w:rPr>
            <w:webHidden/>
            <w:lang w:val="es-ES"/>
          </w:rPr>
        </w:r>
        <w:r w:rsidRPr="003C5D6B">
          <w:rPr>
            <w:webHidden/>
            <w:lang w:val="es-ES"/>
          </w:rPr>
          <w:fldChar w:fldCharType="separate"/>
        </w:r>
        <w:r w:rsidR="00D81BE1" w:rsidRPr="003C5D6B">
          <w:rPr>
            <w:webHidden/>
            <w:lang w:val="es-ES"/>
          </w:rPr>
          <w:t>4</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15" w:history="1">
        <w:r w:rsidR="00D81BE1" w:rsidRPr="003C5D6B">
          <w:rPr>
            <w:rStyle w:val="Hyperlink"/>
            <w:lang w:val="es-ES"/>
          </w:rPr>
          <w:t>5.2</w:t>
        </w:r>
        <w:r w:rsidR="00D81BE1" w:rsidRPr="003C5D6B">
          <w:rPr>
            <w:rFonts w:asciiTheme="minorHAnsi" w:eastAsia="SimSun" w:hAnsiTheme="minorHAnsi" w:cstheme="minorBidi"/>
            <w:szCs w:val="22"/>
            <w:lang w:val="es-ES" w:eastAsia="zh-CN"/>
          </w:rPr>
          <w:tab/>
        </w:r>
        <w:r w:rsidR="00D81BE1" w:rsidRPr="003C5D6B">
          <w:rPr>
            <w:rStyle w:val="Hyperlink"/>
            <w:lang w:val="es-ES"/>
          </w:rPr>
          <w:t>Cánones del espectro relativos a frecuencias destinadas a necesidades propias de los usuarios</w:t>
        </w:r>
        <w:r w:rsidR="00D81BE1" w:rsidRPr="003C5D6B">
          <w:rPr>
            <w:webHidden/>
            <w:lang w:val="es-ES"/>
          </w:rPr>
          <w:tab/>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_Toc287523315 \h </w:instrText>
        </w:r>
        <w:r w:rsidRPr="003C5D6B">
          <w:rPr>
            <w:webHidden/>
            <w:lang w:val="es-ES"/>
          </w:rPr>
        </w:r>
        <w:r w:rsidRPr="003C5D6B">
          <w:rPr>
            <w:webHidden/>
            <w:lang w:val="es-ES"/>
          </w:rPr>
          <w:fldChar w:fldCharType="separate"/>
        </w:r>
        <w:r w:rsidR="00D81BE1" w:rsidRPr="003C5D6B">
          <w:rPr>
            <w:webHidden/>
            <w:lang w:val="es-ES"/>
          </w:rPr>
          <w:t>6</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16" w:history="1">
        <w:r w:rsidR="00D81BE1" w:rsidRPr="003C5D6B">
          <w:rPr>
            <w:rStyle w:val="Hyperlink"/>
            <w:lang w:val="es-ES"/>
          </w:rPr>
          <w:t>5.3</w:t>
        </w:r>
        <w:r w:rsidR="00D81BE1" w:rsidRPr="003C5D6B">
          <w:rPr>
            <w:rFonts w:asciiTheme="minorHAnsi" w:eastAsia="SimSun" w:hAnsiTheme="minorHAnsi" w:cstheme="minorBidi"/>
            <w:szCs w:val="22"/>
            <w:lang w:val="es-ES" w:eastAsia="zh-CN"/>
          </w:rPr>
          <w:tab/>
        </w:r>
        <w:r w:rsidR="00D81BE1" w:rsidRPr="003C5D6B">
          <w:rPr>
            <w:rStyle w:val="Hyperlink"/>
            <w:lang w:val="es-ES"/>
          </w:rPr>
          <w:t>Cánones del espectro relativos a las frecuencias utilizadas para ofrecer o comercializar servicios destinados a un mercado de usuarios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_Toc287523316 \h </w:instrText>
        </w:r>
        <w:r w:rsidRPr="003C5D6B">
          <w:rPr>
            <w:webHidden/>
            <w:lang w:val="es-ES"/>
          </w:rPr>
        </w:r>
        <w:r w:rsidRPr="003C5D6B">
          <w:rPr>
            <w:webHidden/>
            <w:lang w:val="es-ES"/>
          </w:rPr>
          <w:fldChar w:fldCharType="separate"/>
        </w:r>
        <w:r w:rsidR="00D81BE1" w:rsidRPr="003C5D6B">
          <w:rPr>
            <w:webHidden/>
            <w:lang w:val="es-ES"/>
          </w:rPr>
          <w:t>7</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17" w:history="1">
        <w:r w:rsidR="00D81BE1" w:rsidRPr="003C5D6B">
          <w:rPr>
            <w:rStyle w:val="Hyperlink"/>
            <w:lang w:val="es-ES"/>
          </w:rPr>
          <w:t>6</w:t>
        </w:r>
        <w:r w:rsidR="00D81BE1" w:rsidRPr="003C5D6B">
          <w:rPr>
            <w:rFonts w:asciiTheme="minorHAnsi" w:eastAsia="SimSun" w:hAnsiTheme="minorHAnsi" w:cstheme="minorBidi"/>
            <w:szCs w:val="22"/>
            <w:lang w:val="es-ES" w:eastAsia="zh-CN"/>
          </w:rPr>
          <w:tab/>
        </w:r>
        <w:r w:rsidR="00D81BE1" w:rsidRPr="003C5D6B">
          <w:rPr>
            <w:rStyle w:val="Hyperlink"/>
            <w:lang w:val="es-ES"/>
          </w:rPr>
          <w:t>Recomendaciones para establecer una comparación internacional entre los importes de los cánones aplicados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_Toc287523317 \h </w:instrText>
        </w:r>
        <w:r w:rsidRPr="003C5D6B">
          <w:rPr>
            <w:webHidden/>
            <w:lang w:val="es-ES"/>
          </w:rPr>
        </w:r>
        <w:r w:rsidRPr="003C5D6B">
          <w:rPr>
            <w:webHidden/>
            <w:lang w:val="es-ES"/>
          </w:rPr>
          <w:fldChar w:fldCharType="separate"/>
        </w:r>
        <w:r w:rsidR="00D81BE1" w:rsidRPr="003C5D6B">
          <w:rPr>
            <w:webHidden/>
            <w:lang w:val="es-ES"/>
          </w:rPr>
          <w:t>9</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18" w:history="1">
        <w:r w:rsidR="00D81BE1" w:rsidRPr="003C5D6B">
          <w:rPr>
            <w:rStyle w:val="Hyperlink"/>
            <w:lang w:val="es-ES"/>
          </w:rPr>
          <w:t>7</w:t>
        </w:r>
        <w:r w:rsidR="00D81BE1" w:rsidRPr="003C5D6B">
          <w:rPr>
            <w:rFonts w:asciiTheme="minorHAnsi" w:eastAsia="SimSun" w:hAnsiTheme="minorHAnsi" w:cstheme="minorBidi"/>
            <w:szCs w:val="22"/>
            <w:lang w:val="es-ES" w:eastAsia="zh-CN"/>
          </w:rPr>
          <w:tab/>
        </w:r>
        <w:r w:rsidR="00D81BE1" w:rsidRPr="003C5D6B">
          <w:rPr>
            <w:rStyle w:val="Hyperlink"/>
            <w:rFonts w:asciiTheme="majorBidi" w:hAnsiTheme="majorBidi" w:cstheme="majorBidi"/>
            <w:u w:val="none"/>
            <w:lang w:val="es-ES"/>
          </w:rPr>
          <w:t>Esquema del sistema de cánones recomendado</w:t>
        </w:r>
        <w:r w:rsidR="00D81BE1" w:rsidRPr="003C5D6B">
          <w:rPr>
            <w:rFonts w:asciiTheme="majorBidi" w:hAnsiTheme="majorBidi" w:cstheme="majorBidi"/>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_Toc287523318 \h </w:instrText>
        </w:r>
        <w:r w:rsidRPr="003C5D6B">
          <w:rPr>
            <w:webHidden/>
            <w:lang w:val="es-ES"/>
          </w:rPr>
        </w:r>
        <w:r w:rsidRPr="003C5D6B">
          <w:rPr>
            <w:webHidden/>
            <w:lang w:val="es-ES"/>
          </w:rPr>
          <w:fldChar w:fldCharType="separate"/>
        </w:r>
        <w:r w:rsidR="00D81BE1" w:rsidRPr="003C5D6B">
          <w:rPr>
            <w:webHidden/>
            <w:lang w:val="es-ES"/>
          </w:rPr>
          <w:t>9</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19" w:history="1">
        <w:r w:rsidR="00D81BE1" w:rsidRPr="003C5D6B">
          <w:rPr>
            <w:rStyle w:val="Hyperlink"/>
            <w:lang w:val="es-ES"/>
          </w:rPr>
          <w:t>8</w:t>
        </w:r>
        <w:r w:rsidR="00D81BE1" w:rsidRPr="003C5D6B">
          <w:rPr>
            <w:rFonts w:asciiTheme="minorHAnsi" w:eastAsia="SimSun" w:hAnsiTheme="minorHAnsi" w:cstheme="minorBidi"/>
            <w:szCs w:val="22"/>
            <w:lang w:val="es-ES" w:eastAsia="zh-CN"/>
          </w:rPr>
          <w:tab/>
        </w:r>
        <w:r w:rsidR="00D81BE1" w:rsidRPr="003C5D6B">
          <w:rPr>
            <w:rStyle w:val="Hyperlink"/>
            <w:lang w:val="es-ES"/>
          </w:rPr>
          <w:t>Ejemplos de cánones aplicados por administraciones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_Toc287523319 \h </w:instrText>
        </w:r>
        <w:r w:rsidRPr="003C5D6B">
          <w:rPr>
            <w:webHidden/>
            <w:lang w:val="es-ES"/>
          </w:rPr>
        </w:r>
        <w:r w:rsidRPr="003C5D6B">
          <w:rPr>
            <w:webHidden/>
            <w:lang w:val="es-ES"/>
          </w:rPr>
          <w:fldChar w:fldCharType="separate"/>
        </w:r>
        <w:r w:rsidR="00D81BE1" w:rsidRPr="003C5D6B">
          <w:rPr>
            <w:webHidden/>
            <w:lang w:val="es-ES"/>
          </w:rPr>
          <w:t>9</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20" w:history="1">
        <w:r w:rsidR="00D81BE1" w:rsidRPr="003C5D6B">
          <w:rPr>
            <w:rStyle w:val="Hyperlink"/>
            <w:lang w:val="es-ES"/>
          </w:rPr>
          <w:t>8.1</w:t>
        </w:r>
        <w:r w:rsidR="00D81BE1" w:rsidRPr="003C5D6B">
          <w:rPr>
            <w:rFonts w:asciiTheme="minorHAnsi" w:eastAsia="SimSun" w:hAnsiTheme="minorHAnsi" w:cstheme="minorBidi"/>
            <w:szCs w:val="22"/>
            <w:lang w:val="es-ES" w:eastAsia="zh-CN"/>
          </w:rPr>
          <w:tab/>
        </w:r>
        <w:r w:rsidR="00D81BE1" w:rsidRPr="003C5D6B">
          <w:rPr>
            <w:rStyle w:val="Hyperlink"/>
            <w:lang w:val="es-ES"/>
          </w:rPr>
          <w:t>Caso de los Emiratos Árabes Unidos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_Toc287523320 \h </w:instrText>
        </w:r>
        <w:r w:rsidRPr="003C5D6B">
          <w:rPr>
            <w:webHidden/>
            <w:lang w:val="es-ES"/>
          </w:rPr>
        </w:r>
        <w:r w:rsidRPr="003C5D6B">
          <w:rPr>
            <w:webHidden/>
            <w:lang w:val="es-ES"/>
          </w:rPr>
          <w:fldChar w:fldCharType="separate"/>
        </w:r>
        <w:r w:rsidR="00D81BE1" w:rsidRPr="003C5D6B">
          <w:rPr>
            <w:webHidden/>
            <w:lang w:val="es-ES"/>
          </w:rPr>
          <w:t>9</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21" w:history="1">
        <w:r w:rsidR="00D81BE1" w:rsidRPr="003C5D6B">
          <w:rPr>
            <w:rStyle w:val="Hyperlink"/>
            <w:lang w:val="es-ES"/>
          </w:rPr>
          <w:t>8.2</w:t>
        </w:r>
        <w:r w:rsidR="00D81BE1" w:rsidRPr="003C5D6B">
          <w:rPr>
            <w:rFonts w:asciiTheme="minorHAnsi" w:eastAsia="SimSun" w:hAnsiTheme="minorHAnsi" w:cstheme="minorBidi"/>
            <w:szCs w:val="22"/>
            <w:lang w:val="es-ES" w:eastAsia="zh-CN"/>
          </w:rPr>
          <w:tab/>
        </w:r>
        <w:r w:rsidR="00D81BE1" w:rsidRPr="003C5D6B">
          <w:rPr>
            <w:rStyle w:val="Hyperlink"/>
            <w:lang w:val="es-ES"/>
          </w:rPr>
          <w:t>Caso de Suiza</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_Toc287523321 \h </w:instrText>
        </w:r>
        <w:r w:rsidRPr="003C5D6B">
          <w:rPr>
            <w:webHidden/>
            <w:lang w:val="es-ES"/>
          </w:rPr>
        </w:r>
        <w:r w:rsidRPr="003C5D6B">
          <w:rPr>
            <w:webHidden/>
            <w:lang w:val="es-ES"/>
          </w:rPr>
          <w:fldChar w:fldCharType="separate"/>
        </w:r>
        <w:r w:rsidR="00D81BE1" w:rsidRPr="003C5D6B">
          <w:rPr>
            <w:webHidden/>
            <w:lang w:val="es-ES"/>
          </w:rPr>
          <w:t>10</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22" w:history="1">
        <w:r w:rsidR="00D81BE1" w:rsidRPr="003C5D6B">
          <w:rPr>
            <w:rStyle w:val="Hyperlink"/>
            <w:lang w:val="es-ES"/>
          </w:rPr>
          <w:t>8.3</w:t>
        </w:r>
        <w:r w:rsidR="00D81BE1" w:rsidRPr="003C5D6B">
          <w:rPr>
            <w:rFonts w:asciiTheme="minorHAnsi" w:eastAsia="SimSun" w:hAnsiTheme="minorHAnsi" w:cstheme="minorBidi"/>
            <w:szCs w:val="22"/>
            <w:lang w:val="es-ES" w:eastAsia="zh-CN"/>
          </w:rPr>
          <w:tab/>
        </w:r>
        <w:r w:rsidR="00D81BE1" w:rsidRPr="003C5D6B">
          <w:rPr>
            <w:rStyle w:val="Hyperlink"/>
            <w:lang w:val="es-ES"/>
          </w:rPr>
          <w:t>Caso de Francia</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_Toc287523322 \h </w:instrText>
        </w:r>
        <w:r w:rsidRPr="003C5D6B">
          <w:rPr>
            <w:webHidden/>
            <w:lang w:val="es-ES"/>
          </w:rPr>
        </w:r>
        <w:r w:rsidRPr="003C5D6B">
          <w:rPr>
            <w:webHidden/>
            <w:lang w:val="es-ES"/>
          </w:rPr>
          <w:fldChar w:fldCharType="separate"/>
        </w:r>
        <w:r w:rsidR="00D81BE1" w:rsidRPr="003C5D6B">
          <w:rPr>
            <w:webHidden/>
            <w:lang w:val="es-ES"/>
          </w:rPr>
          <w:t>10</w:t>
        </w:r>
        <w:r w:rsidRPr="003C5D6B">
          <w:rPr>
            <w:webHidden/>
            <w:lang w:val="es-ES"/>
          </w:rPr>
          <w:fldChar w:fldCharType="end"/>
        </w:r>
      </w:hyperlink>
    </w:p>
    <w:p w:rsidR="00D81BE1" w:rsidRPr="003C5D6B" w:rsidRDefault="003B6168">
      <w:pPr>
        <w:pStyle w:val="TOC2"/>
        <w:rPr>
          <w:rFonts w:asciiTheme="minorHAnsi" w:eastAsia="SimSun" w:hAnsiTheme="minorHAnsi" w:cstheme="minorBidi"/>
          <w:szCs w:val="22"/>
          <w:lang w:val="es-ES" w:eastAsia="zh-CN"/>
        </w:rPr>
      </w:pPr>
      <w:hyperlink w:anchor="_Toc287523323" w:history="1">
        <w:r w:rsidR="00D81BE1" w:rsidRPr="003C5D6B">
          <w:rPr>
            <w:rStyle w:val="Hyperlink"/>
            <w:lang w:val="es-ES"/>
          </w:rPr>
          <w:t>8.4</w:t>
        </w:r>
        <w:r w:rsidR="00D81BE1" w:rsidRPr="003C5D6B">
          <w:rPr>
            <w:rFonts w:asciiTheme="minorHAnsi" w:eastAsia="SimSun" w:hAnsiTheme="minorHAnsi" w:cstheme="minorBidi"/>
            <w:szCs w:val="22"/>
            <w:lang w:val="es-ES" w:eastAsia="zh-CN"/>
          </w:rPr>
          <w:tab/>
        </w:r>
        <w:r w:rsidR="00D81BE1" w:rsidRPr="003C5D6B">
          <w:rPr>
            <w:rStyle w:val="Hyperlink"/>
            <w:lang w:val="es-ES"/>
          </w:rPr>
          <w:t>Caso de Côte d’Ivoire</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_Toc287523323 \h </w:instrText>
        </w:r>
        <w:r w:rsidRPr="003C5D6B">
          <w:rPr>
            <w:webHidden/>
            <w:lang w:val="es-ES"/>
          </w:rPr>
        </w:r>
        <w:r w:rsidRPr="003C5D6B">
          <w:rPr>
            <w:webHidden/>
            <w:lang w:val="es-ES"/>
          </w:rPr>
          <w:fldChar w:fldCharType="separate"/>
        </w:r>
        <w:r w:rsidR="00D81BE1" w:rsidRPr="003C5D6B">
          <w:rPr>
            <w:webHidden/>
            <w:lang w:val="es-ES"/>
          </w:rPr>
          <w:t>10</w:t>
        </w:r>
        <w:r w:rsidRPr="003C5D6B">
          <w:rPr>
            <w:webHidden/>
            <w:lang w:val="es-ES"/>
          </w:rPr>
          <w:fldChar w:fldCharType="end"/>
        </w:r>
      </w:hyperlink>
    </w:p>
    <w:p w:rsidR="00D81BE1" w:rsidRPr="003C5D6B" w:rsidRDefault="003B6168" w:rsidP="00D81BE1">
      <w:pPr>
        <w:pStyle w:val="TOC1"/>
        <w:rPr>
          <w:rFonts w:asciiTheme="minorHAnsi" w:eastAsia="SimSun" w:hAnsiTheme="minorHAnsi" w:cstheme="minorBidi"/>
          <w:szCs w:val="22"/>
          <w:lang w:val="es-ES" w:eastAsia="zh-CN"/>
        </w:rPr>
      </w:pPr>
      <w:hyperlink w:anchor="_Toc287523324" w:history="1">
        <w:r w:rsidR="00D81BE1" w:rsidRPr="003C5D6B">
          <w:rPr>
            <w:rStyle w:val="Hyperlink"/>
            <w:lang w:val="es-ES"/>
          </w:rPr>
          <w:t>Anexo 1 – Ejemplo simplificado de cuadro con el valor del coeficiente “bf” en función de la banda de frecuencias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_Toc287523324 \h </w:instrText>
        </w:r>
        <w:r w:rsidRPr="003C5D6B">
          <w:rPr>
            <w:webHidden/>
            <w:lang w:val="es-ES"/>
          </w:rPr>
        </w:r>
        <w:r w:rsidRPr="003C5D6B">
          <w:rPr>
            <w:webHidden/>
            <w:lang w:val="es-ES"/>
          </w:rPr>
          <w:fldChar w:fldCharType="separate"/>
        </w:r>
        <w:r w:rsidR="00D81BE1" w:rsidRPr="003C5D6B">
          <w:rPr>
            <w:webHidden/>
            <w:lang w:val="es-ES"/>
          </w:rPr>
          <w:t>11</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25" w:history="1">
        <w:r w:rsidR="00D81BE1" w:rsidRPr="003C5D6B">
          <w:rPr>
            <w:rStyle w:val="Hyperlink"/>
            <w:lang w:val="es-ES"/>
          </w:rPr>
          <w:t>Anexo 2 – Ejemplo de cuadro con el valor del coeficiente “a” en función de los servicios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_Toc287523325 \h </w:instrText>
        </w:r>
        <w:r w:rsidRPr="003C5D6B">
          <w:rPr>
            <w:webHidden/>
            <w:lang w:val="es-ES"/>
          </w:rPr>
        </w:r>
        <w:r w:rsidRPr="003C5D6B">
          <w:rPr>
            <w:webHidden/>
            <w:lang w:val="es-ES"/>
          </w:rPr>
          <w:fldChar w:fldCharType="separate"/>
        </w:r>
        <w:r w:rsidR="00D81BE1" w:rsidRPr="003C5D6B">
          <w:rPr>
            <w:webHidden/>
            <w:lang w:val="es-ES"/>
          </w:rPr>
          <w:t>12</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26" w:history="1">
        <w:r w:rsidR="00D81BE1" w:rsidRPr="003C5D6B">
          <w:rPr>
            <w:rStyle w:val="Hyperlink"/>
            <w:lang w:val="es-ES"/>
          </w:rPr>
          <w:t>Anexo 3 – Ejemplo de cuadro con el valor del coeficiente “c” en función  de la zona de la superficie de atribución</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_Toc287523326 \h </w:instrText>
        </w:r>
        <w:r w:rsidRPr="003C5D6B">
          <w:rPr>
            <w:webHidden/>
            <w:lang w:val="es-ES"/>
          </w:rPr>
        </w:r>
        <w:r w:rsidRPr="003C5D6B">
          <w:rPr>
            <w:webHidden/>
            <w:lang w:val="es-ES"/>
          </w:rPr>
          <w:fldChar w:fldCharType="separate"/>
        </w:r>
        <w:r w:rsidR="00D81BE1" w:rsidRPr="003C5D6B">
          <w:rPr>
            <w:webHidden/>
            <w:lang w:val="es-ES"/>
          </w:rPr>
          <w:t>13</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27" w:history="1">
        <w:r w:rsidR="00D81BE1" w:rsidRPr="003C5D6B">
          <w:rPr>
            <w:rStyle w:val="Hyperlink"/>
            <w:lang w:val="es-ES"/>
          </w:rPr>
          <w:t>Anexo 4 – Elementos que pueden tenerse en cuenta para efectuar una comparación internacional de los importes de los cánones</w:t>
        </w:r>
        <w:r w:rsidR="00D81BE1" w:rsidRPr="003C5D6B">
          <w:rPr>
            <w:webHidden/>
            <w:lang w:val="es-ES"/>
          </w:rPr>
          <w:tab/>
        </w:r>
        <w:r w:rsidR="00D81BE1" w:rsidRPr="003C5D6B">
          <w:rPr>
            <w:webHidden/>
            <w:lang w:val="es-ES"/>
          </w:rPr>
          <w:tab/>
        </w:r>
        <w:r w:rsidRPr="003C5D6B">
          <w:rPr>
            <w:webHidden/>
            <w:lang w:val="es-ES"/>
          </w:rPr>
          <w:fldChar w:fldCharType="begin"/>
        </w:r>
        <w:r w:rsidR="00D81BE1" w:rsidRPr="003C5D6B">
          <w:rPr>
            <w:webHidden/>
            <w:lang w:val="es-ES"/>
          </w:rPr>
          <w:instrText xml:space="preserve"> PAGEREF _Toc287523327 \h </w:instrText>
        </w:r>
        <w:r w:rsidRPr="003C5D6B">
          <w:rPr>
            <w:webHidden/>
            <w:lang w:val="es-ES"/>
          </w:rPr>
        </w:r>
        <w:r w:rsidRPr="003C5D6B">
          <w:rPr>
            <w:webHidden/>
            <w:lang w:val="es-ES"/>
          </w:rPr>
          <w:fldChar w:fldCharType="separate"/>
        </w:r>
        <w:r w:rsidR="00D81BE1" w:rsidRPr="003C5D6B">
          <w:rPr>
            <w:webHidden/>
            <w:lang w:val="es-ES"/>
          </w:rPr>
          <w:t>14</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36" w:history="1">
        <w:r w:rsidR="00D81BE1" w:rsidRPr="003C5D6B">
          <w:rPr>
            <w:rStyle w:val="Hyperlink"/>
            <w:lang w:val="es-ES"/>
          </w:rPr>
          <w:t>Apéndice 1.1 (inglés) –</w:t>
        </w:r>
        <w:r w:rsidR="00D81BE1" w:rsidRPr="003C5D6B">
          <w:rPr>
            <w:rStyle w:val="Hyperlink"/>
            <w:bCs/>
            <w:lang w:val="es-ES"/>
          </w:rPr>
          <w:t xml:space="preserve"> </w:t>
        </w:r>
        <w:r w:rsidR="00D81BE1" w:rsidRPr="003C5D6B">
          <w:rPr>
            <w:rStyle w:val="Hyperlink"/>
            <w:i/>
            <w:iCs/>
            <w:lang w:val="es-ES"/>
          </w:rPr>
          <w:t>United Arab Emirates: Basic elements of spectrum fees policy</w:t>
        </w:r>
        <w:r w:rsidR="00D81BE1" w:rsidRPr="003C5D6B">
          <w:rPr>
            <w:webHidden/>
            <w:lang w:val="es-ES"/>
          </w:rPr>
          <w:tab/>
        </w:r>
        <w:r w:rsidR="007C70CA" w:rsidRPr="003C5D6B">
          <w:rPr>
            <w:webHidden/>
            <w:lang w:val="es-ES"/>
          </w:rPr>
          <w:tab/>
        </w:r>
        <w:r w:rsidRPr="003C5D6B">
          <w:rPr>
            <w:webHidden/>
            <w:lang w:val="es-ES"/>
          </w:rPr>
          <w:fldChar w:fldCharType="begin"/>
        </w:r>
        <w:r w:rsidR="00D81BE1" w:rsidRPr="003C5D6B">
          <w:rPr>
            <w:webHidden/>
            <w:lang w:val="es-ES"/>
          </w:rPr>
          <w:instrText xml:space="preserve"> PAGEREF _Toc287523336 \h </w:instrText>
        </w:r>
        <w:r w:rsidRPr="003C5D6B">
          <w:rPr>
            <w:webHidden/>
            <w:lang w:val="es-ES"/>
          </w:rPr>
        </w:r>
        <w:r w:rsidRPr="003C5D6B">
          <w:rPr>
            <w:webHidden/>
            <w:lang w:val="es-ES"/>
          </w:rPr>
          <w:fldChar w:fldCharType="separate"/>
        </w:r>
        <w:r w:rsidR="00D81BE1" w:rsidRPr="003C5D6B">
          <w:rPr>
            <w:webHidden/>
            <w:lang w:val="es-ES"/>
          </w:rPr>
          <w:t>18</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53" w:history="1">
        <w:r w:rsidR="00D81BE1" w:rsidRPr="003C5D6B">
          <w:rPr>
            <w:rStyle w:val="Hyperlink"/>
            <w:lang w:val="es-ES"/>
          </w:rPr>
          <w:t xml:space="preserve">Apéndice 1.1 (francés) </w:t>
        </w:r>
        <w:r w:rsidR="007C70CA" w:rsidRPr="003C5D6B">
          <w:rPr>
            <w:rStyle w:val="Hyperlink"/>
            <w:lang w:val="es-ES"/>
          </w:rPr>
          <w:t>–</w:t>
        </w:r>
        <w:r w:rsidR="00D81BE1" w:rsidRPr="003C5D6B">
          <w:rPr>
            <w:rStyle w:val="Hyperlink"/>
            <w:i/>
            <w:iCs/>
            <w:lang w:val="es-ES"/>
          </w:rPr>
          <w:t xml:space="preserve"> Emirats arabes unis: Eléments fondamentaux de la politique en matière de redevances d'utilisation du spectre</w:t>
        </w:r>
        <w:r w:rsidR="00D81BE1" w:rsidRPr="003C5D6B">
          <w:rPr>
            <w:webHidden/>
            <w:lang w:val="es-ES"/>
          </w:rPr>
          <w:tab/>
        </w:r>
        <w:r w:rsidR="007C70CA" w:rsidRPr="003C5D6B">
          <w:rPr>
            <w:webHidden/>
            <w:lang w:val="es-ES"/>
          </w:rPr>
          <w:tab/>
        </w:r>
        <w:r w:rsidRPr="003C5D6B">
          <w:rPr>
            <w:webHidden/>
            <w:lang w:val="es-ES"/>
          </w:rPr>
          <w:fldChar w:fldCharType="begin"/>
        </w:r>
        <w:r w:rsidR="00D81BE1" w:rsidRPr="003C5D6B">
          <w:rPr>
            <w:webHidden/>
            <w:lang w:val="es-ES"/>
          </w:rPr>
          <w:instrText xml:space="preserve"> PAGEREF _Toc287523353 \h </w:instrText>
        </w:r>
        <w:r w:rsidRPr="003C5D6B">
          <w:rPr>
            <w:webHidden/>
            <w:lang w:val="es-ES"/>
          </w:rPr>
        </w:r>
        <w:r w:rsidRPr="003C5D6B">
          <w:rPr>
            <w:webHidden/>
            <w:lang w:val="es-ES"/>
          </w:rPr>
          <w:fldChar w:fldCharType="separate"/>
        </w:r>
        <w:r w:rsidR="00D81BE1" w:rsidRPr="003C5D6B">
          <w:rPr>
            <w:webHidden/>
            <w:lang w:val="es-ES"/>
          </w:rPr>
          <w:t>21</w:t>
        </w:r>
        <w:r w:rsidRPr="003C5D6B">
          <w:rPr>
            <w:webHidden/>
            <w:lang w:val="es-ES"/>
          </w:rPr>
          <w:fldChar w:fldCharType="end"/>
        </w:r>
      </w:hyperlink>
    </w:p>
    <w:p w:rsidR="007C70CA" w:rsidRPr="003C5D6B" w:rsidRDefault="007C70CA" w:rsidP="007C70CA">
      <w:pPr>
        <w:pStyle w:val="Recdate"/>
        <w:keepLines w:val="0"/>
        <w:tabs>
          <w:tab w:val="right" w:pos="9639"/>
        </w:tabs>
        <w:jc w:val="left"/>
        <w:rPr>
          <w:b/>
          <w:iCs/>
          <w:lang w:val="es-ES"/>
        </w:rPr>
      </w:pPr>
      <w:r w:rsidRPr="003C5D6B">
        <w:rPr>
          <w:iCs/>
          <w:lang w:val="es-ES"/>
        </w:rPr>
        <w:lastRenderedPageBreak/>
        <w:tab/>
      </w:r>
      <w:r w:rsidRPr="003C5D6B">
        <w:rPr>
          <w:b/>
          <w:iCs/>
          <w:lang w:val="es-ES"/>
        </w:rPr>
        <w:t>Página</w:t>
      </w:r>
    </w:p>
    <w:p w:rsidR="00D81BE1" w:rsidRPr="003C5D6B" w:rsidRDefault="003B6168">
      <w:pPr>
        <w:pStyle w:val="TOC1"/>
        <w:rPr>
          <w:rFonts w:asciiTheme="minorHAnsi" w:eastAsia="SimSun" w:hAnsiTheme="minorHAnsi" w:cstheme="minorBidi"/>
          <w:szCs w:val="22"/>
          <w:lang w:val="es-ES" w:eastAsia="zh-CN"/>
        </w:rPr>
      </w:pPr>
      <w:hyperlink w:anchor="_Toc287523370" w:history="1">
        <w:r w:rsidR="00D81BE1" w:rsidRPr="003C5D6B">
          <w:rPr>
            <w:rStyle w:val="Hyperlink"/>
            <w:lang w:val="es-ES"/>
          </w:rPr>
          <w:t>Apéndix 1.2 (inglés)</w:t>
        </w:r>
        <w:r w:rsidR="00D81BE1" w:rsidRPr="003C5D6B">
          <w:rPr>
            <w:rStyle w:val="Hyperlink"/>
            <w:bCs/>
            <w:lang w:val="es-ES"/>
          </w:rPr>
          <w:t xml:space="preserve"> </w:t>
        </w:r>
        <w:r w:rsidR="007C70CA" w:rsidRPr="003C5D6B">
          <w:rPr>
            <w:rStyle w:val="Hyperlink"/>
            <w:bCs/>
            <w:lang w:val="es-ES"/>
          </w:rPr>
          <w:t>–</w:t>
        </w:r>
        <w:r w:rsidR="00D81BE1" w:rsidRPr="003C5D6B">
          <w:rPr>
            <w:rStyle w:val="Hyperlink"/>
            <w:bCs/>
            <w:lang w:val="es-ES"/>
          </w:rPr>
          <w:t xml:space="preserve"> </w:t>
        </w:r>
        <w:r w:rsidR="00D81BE1" w:rsidRPr="003C5D6B">
          <w:rPr>
            <w:rStyle w:val="Hyperlink"/>
            <w:i/>
            <w:iCs/>
            <w:lang w:val="es-ES"/>
          </w:rPr>
          <w:t>United Arab Emirates: Proposed example on spectrum fees policy</w:t>
        </w:r>
        <w:r w:rsidR="00D81BE1" w:rsidRPr="003C5D6B">
          <w:rPr>
            <w:webHidden/>
            <w:lang w:val="es-ES"/>
          </w:rPr>
          <w:tab/>
        </w:r>
        <w:r w:rsidR="007C70CA" w:rsidRPr="003C5D6B">
          <w:rPr>
            <w:webHidden/>
            <w:lang w:val="es-ES"/>
          </w:rPr>
          <w:tab/>
        </w:r>
        <w:r w:rsidRPr="003C5D6B">
          <w:rPr>
            <w:webHidden/>
            <w:lang w:val="es-ES"/>
          </w:rPr>
          <w:fldChar w:fldCharType="begin"/>
        </w:r>
        <w:r w:rsidR="00D81BE1" w:rsidRPr="003C5D6B">
          <w:rPr>
            <w:webHidden/>
            <w:lang w:val="es-ES"/>
          </w:rPr>
          <w:instrText xml:space="preserve"> PAGEREF _Toc287523370 \h </w:instrText>
        </w:r>
        <w:r w:rsidRPr="003C5D6B">
          <w:rPr>
            <w:webHidden/>
            <w:lang w:val="es-ES"/>
          </w:rPr>
        </w:r>
        <w:r w:rsidRPr="003C5D6B">
          <w:rPr>
            <w:webHidden/>
            <w:lang w:val="es-ES"/>
          </w:rPr>
          <w:fldChar w:fldCharType="separate"/>
        </w:r>
        <w:r w:rsidR="00D81BE1" w:rsidRPr="003C5D6B">
          <w:rPr>
            <w:webHidden/>
            <w:lang w:val="es-ES"/>
          </w:rPr>
          <w:t>24</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73" w:history="1">
        <w:r w:rsidR="00D81BE1" w:rsidRPr="003C5D6B">
          <w:rPr>
            <w:rStyle w:val="Hyperlink"/>
            <w:lang w:val="es-ES"/>
          </w:rPr>
          <w:t xml:space="preserve">Apéndice 1.2 (francés) </w:t>
        </w:r>
        <w:r w:rsidR="007C70CA" w:rsidRPr="003C5D6B">
          <w:rPr>
            <w:rStyle w:val="Hyperlink"/>
            <w:lang w:val="es-ES"/>
          </w:rPr>
          <w:t>–</w:t>
        </w:r>
        <w:r w:rsidR="00D81BE1" w:rsidRPr="003C5D6B">
          <w:rPr>
            <w:rStyle w:val="Hyperlink"/>
            <w:lang w:val="es-ES"/>
          </w:rPr>
          <w:t xml:space="preserve"> </w:t>
        </w:r>
        <w:r w:rsidR="00D81BE1" w:rsidRPr="003C5D6B">
          <w:rPr>
            <w:rStyle w:val="Hyperlink"/>
            <w:i/>
            <w:iCs/>
            <w:lang w:val="es-ES"/>
          </w:rPr>
          <w:t>Emirats arabes unis: Exemple de directive en matière de droits d'utilisation du spectre</w:t>
        </w:r>
        <w:r w:rsidR="00D81BE1" w:rsidRPr="003C5D6B">
          <w:rPr>
            <w:webHidden/>
            <w:lang w:val="es-ES"/>
          </w:rPr>
          <w:tab/>
        </w:r>
        <w:r w:rsidR="007C70CA" w:rsidRPr="003C5D6B">
          <w:rPr>
            <w:webHidden/>
            <w:lang w:val="es-ES"/>
          </w:rPr>
          <w:tab/>
        </w:r>
        <w:r w:rsidRPr="003C5D6B">
          <w:rPr>
            <w:webHidden/>
            <w:lang w:val="es-ES"/>
          </w:rPr>
          <w:fldChar w:fldCharType="begin"/>
        </w:r>
        <w:r w:rsidR="00D81BE1" w:rsidRPr="003C5D6B">
          <w:rPr>
            <w:webHidden/>
            <w:lang w:val="es-ES"/>
          </w:rPr>
          <w:instrText xml:space="preserve"> PAGEREF _Toc287523373 \h </w:instrText>
        </w:r>
        <w:r w:rsidRPr="003C5D6B">
          <w:rPr>
            <w:webHidden/>
            <w:lang w:val="es-ES"/>
          </w:rPr>
        </w:r>
        <w:r w:rsidRPr="003C5D6B">
          <w:rPr>
            <w:webHidden/>
            <w:lang w:val="es-ES"/>
          </w:rPr>
          <w:fldChar w:fldCharType="separate"/>
        </w:r>
        <w:r w:rsidR="00D81BE1" w:rsidRPr="003C5D6B">
          <w:rPr>
            <w:webHidden/>
            <w:lang w:val="es-ES"/>
          </w:rPr>
          <w:t>41</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76" w:history="1">
        <w:r w:rsidR="00D81BE1" w:rsidRPr="003C5D6B">
          <w:rPr>
            <w:rStyle w:val="Hyperlink"/>
            <w:lang w:val="es-ES"/>
          </w:rPr>
          <w:t xml:space="preserve">Apéndice 2.1 (inglés) </w:t>
        </w:r>
        <w:r w:rsidR="007C70CA" w:rsidRPr="003C5D6B">
          <w:rPr>
            <w:rStyle w:val="Hyperlink"/>
            <w:lang w:val="es-ES"/>
          </w:rPr>
          <w:t>–</w:t>
        </w:r>
        <w:r w:rsidR="00D81BE1" w:rsidRPr="003C5D6B">
          <w:rPr>
            <w:rStyle w:val="Hyperlink"/>
            <w:lang w:val="es-ES"/>
          </w:rPr>
          <w:t xml:space="preserve"> </w:t>
        </w:r>
        <w:r w:rsidR="00D81BE1" w:rsidRPr="003C5D6B">
          <w:rPr>
            <w:rStyle w:val="Hyperlink"/>
            <w:i/>
            <w:iCs/>
            <w:lang w:val="es-ES"/>
          </w:rPr>
          <w:t>Switzerland</w:t>
        </w:r>
        <w:r w:rsidR="00D81BE1" w:rsidRPr="003C5D6B">
          <w:rPr>
            <w:rStyle w:val="Hyperlink"/>
            <w:bCs/>
            <w:i/>
            <w:iCs/>
            <w:lang w:val="es-ES"/>
          </w:rPr>
          <w:t xml:space="preserve"> </w:t>
        </w:r>
        <w:r w:rsidR="00D81BE1" w:rsidRPr="003C5D6B">
          <w:rPr>
            <w:rStyle w:val="Hyperlink"/>
            <w:i/>
            <w:iCs/>
            <w:lang w:val="es-ES"/>
          </w:rPr>
          <w:t>Financing of spectrum management activities in Switzerland: Abstract</w:t>
        </w:r>
        <w:r w:rsidR="00D81BE1" w:rsidRPr="003C5D6B">
          <w:rPr>
            <w:webHidden/>
            <w:lang w:val="es-ES"/>
          </w:rPr>
          <w:tab/>
        </w:r>
        <w:r w:rsidR="007C70CA" w:rsidRPr="003C5D6B">
          <w:rPr>
            <w:webHidden/>
            <w:lang w:val="es-ES"/>
          </w:rPr>
          <w:tab/>
        </w:r>
        <w:r w:rsidRPr="003C5D6B">
          <w:rPr>
            <w:webHidden/>
            <w:lang w:val="es-ES"/>
          </w:rPr>
          <w:fldChar w:fldCharType="begin"/>
        </w:r>
        <w:r w:rsidR="00D81BE1" w:rsidRPr="003C5D6B">
          <w:rPr>
            <w:webHidden/>
            <w:lang w:val="es-ES"/>
          </w:rPr>
          <w:instrText xml:space="preserve"> PAGEREF _Toc287523376 \h </w:instrText>
        </w:r>
        <w:r w:rsidRPr="003C5D6B">
          <w:rPr>
            <w:webHidden/>
            <w:lang w:val="es-ES"/>
          </w:rPr>
        </w:r>
        <w:r w:rsidRPr="003C5D6B">
          <w:rPr>
            <w:webHidden/>
            <w:lang w:val="es-ES"/>
          </w:rPr>
          <w:fldChar w:fldCharType="separate"/>
        </w:r>
        <w:r w:rsidR="00D81BE1" w:rsidRPr="003C5D6B">
          <w:rPr>
            <w:webHidden/>
            <w:lang w:val="es-ES"/>
          </w:rPr>
          <w:t>60</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77" w:history="1">
        <w:r w:rsidR="00D81BE1" w:rsidRPr="003C5D6B">
          <w:rPr>
            <w:rStyle w:val="Hyperlink"/>
            <w:lang w:val="es-ES"/>
          </w:rPr>
          <w:t xml:space="preserve">Apéndice 2.1 (francés) </w:t>
        </w:r>
        <w:r w:rsidR="007C70CA" w:rsidRPr="003C5D6B">
          <w:rPr>
            <w:rStyle w:val="Hyperlink"/>
            <w:lang w:val="es-ES"/>
          </w:rPr>
          <w:t>–</w:t>
        </w:r>
        <w:r w:rsidR="00D81BE1" w:rsidRPr="003C5D6B">
          <w:rPr>
            <w:rStyle w:val="Hyperlink"/>
            <w:lang w:val="es-ES"/>
          </w:rPr>
          <w:t xml:space="preserve"> </w:t>
        </w:r>
        <w:r w:rsidR="00D81BE1" w:rsidRPr="003C5D6B">
          <w:rPr>
            <w:rStyle w:val="Hyperlink"/>
            <w:i/>
            <w:iCs/>
            <w:lang w:val="es-ES"/>
          </w:rPr>
          <w:t>Suisse Financement des activités de gestion du spectre en Suisse: Résumé</w:t>
        </w:r>
        <w:r w:rsidR="00D81BE1" w:rsidRPr="003C5D6B">
          <w:rPr>
            <w:webHidden/>
            <w:lang w:val="es-ES"/>
          </w:rPr>
          <w:tab/>
        </w:r>
        <w:r w:rsidR="007C70CA" w:rsidRPr="003C5D6B">
          <w:rPr>
            <w:webHidden/>
            <w:lang w:val="es-ES"/>
          </w:rPr>
          <w:tab/>
        </w:r>
        <w:r w:rsidRPr="003C5D6B">
          <w:rPr>
            <w:webHidden/>
            <w:lang w:val="es-ES"/>
          </w:rPr>
          <w:fldChar w:fldCharType="begin"/>
        </w:r>
        <w:r w:rsidR="00D81BE1" w:rsidRPr="003C5D6B">
          <w:rPr>
            <w:webHidden/>
            <w:lang w:val="es-ES"/>
          </w:rPr>
          <w:instrText xml:space="preserve"> PAGEREF _Toc287523377 \h </w:instrText>
        </w:r>
        <w:r w:rsidRPr="003C5D6B">
          <w:rPr>
            <w:webHidden/>
            <w:lang w:val="es-ES"/>
          </w:rPr>
        </w:r>
        <w:r w:rsidRPr="003C5D6B">
          <w:rPr>
            <w:webHidden/>
            <w:lang w:val="es-ES"/>
          </w:rPr>
          <w:fldChar w:fldCharType="separate"/>
        </w:r>
        <w:r w:rsidR="00D81BE1" w:rsidRPr="003C5D6B">
          <w:rPr>
            <w:webHidden/>
            <w:lang w:val="es-ES"/>
          </w:rPr>
          <w:t>61</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78" w:history="1">
        <w:r w:rsidR="00D81BE1" w:rsidRPr="003C5D6B">
          <w:rPr>
            <w:rStyle w:val="Hyperlink"/>
            <w:lang w:val="es-ES"/>
          </w:rPr>
          <w:t xml:space="preserve">Apéndice 2.2 (francés) </w:t>
        </w:r>
        <w:r w:rsidR="007C70CA" w:rsidRPr="003C5D6B">
          <w:rPr>
            <w:rStyle w:val="Hyperlink"/>
            <w:lang w:val="es-ES"/>
          </w:rPr>
          <w:t>–</w:t>
        </w:r>
        <w:r w:rsidR="00D81BE1" w:rsidRPr="003C5D6B">
          <w:rPr>
            <w:rStyle w:val="Hyperlink"/>
            <w:lang w:val="es-ES"/>
          </w:rPr>
          <w:t xml:space="preserve"> </w:t>
        </w:r>
        <w:r w:rsidR="00D81BE1" w:rsidRPr="003C5D6B">
          <w:rPr>
            <w:rStyle w:val="Hyperlink"/>
            <w:i/>
            <w:iCs/>
            <w:lang w:val="es-ES"/>
          </w:rPr>
          <w:t>Financement des activités de gestion du spectre en Suisse</w:t>
        </w:r>
        <w:r w:rsidR="00D81BE1" w:rsidRPr="003C5D6B">
          <w:rPr>
            <w:webHidden/>
            <w:lang w:val="es-ES"/>
          </w:rPr>
          <w:tab/>
        </w:r>
        <w:r w:rsidR="007C70CA" w:rsidRPr="003C5D6B">
          <w:rPr>
            <w:webHidden/>
            <w:lang w:val="es-ES"/>
          </w:rPr>
          <w:tab/>
        </w:r>
        <w:r w:rsidRPr="003C5D6B">
          <w:rPr>
            <w:webHidden/>
            <w:lang w:val="es-ES"/>
          </w:rPr>
          <w:fldChar w:fldCharType="begin"/>
        </w:r>
        <w:r w:rsidR="00D81BE1" w:rsidRPr="003C5D6B">
          <w:rPr>
            <w:webHidden/>
            <w:lang w:val="es-ES"/>
          </w:rPr>
          <w:instrText xml:space="preserve"> PAGEREF _Toc287523378 \h </w:instrText>
        </w:r>
        <w:r w:rsidRPr="003C5D6B">
          <w:rPr>
            <w:webHidden/>
            <w:lang w:val="es-ES"/>
          </w:rPr>
        </w:r>
        <w:r w:rsidRPr="003C5D6B">
          <w:rPr>
            <w:webHidden/>
            <w:lang w:val="es-ES"/>
          </w:rPr>
          <w:fldChar w:fldCharType="separate"/>
        </w:r>
        <w:r w:rsidR="00D81BE1" w:rsidRPr="003C5D6B">
          <w:rPr>
            <w:webHidden/>
            <w:lang w:val="es-ES"/>
          </w:rPr>
          <w:t>62</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88" w:history="1">
        <w:r w:rsidR="00D81BE1" w:rsidRPr="003C5D6B">
          <w:rPr>
            <w:rStyle w:val="Hyperlink"/>
            <w:i/>
            <w:iCs/>
            <w:lang w:val="es-ES"/>
          </w:rPr>
          <w:t xml:space="preserve">Apéndice 3.1 (inglés) </w:t>
        </w:r>
        <w:r w:rsidR="007C70CA" w:rsidRPr="003C5D6B">
          <w:rPr>
            <w:rStyle w:val="Hyperlink"/>
            <w:i/>
            <w:iCs/>
            <w:lang w:val="es-ES"/>
          </w:rPr>
          <w:t>–</w:t>
        </w:r>
        <w:r w:rsidR="00D81BE1" w:rsidRPr="003C5D6B">
          <w:rPr>
            <w:rStyle w:val="Hyperlink"/>
            <w:i/>
            <w:iCs/>
            <w:lang w:val="es-ES"/>
          </w:rPr>
          <w:t xml:space="preserve"> </w:t>
        </w:r>
        <w:r w:rsidR="00D81BE1" w:rsidRPr="003C5D6B">
          <w:rPr>
            <w:rStyle w:val="Hyperlink"/>
            <w:bCs/>
            <w:i/>
            <w:iCs/>
            <w:lang w:val="es-ES"/>
          </w:rPr>
          <w:t>Example of fee system for frequency utilization in Côte d'Ivoire</w:t>
        </w:r>
        <w:r w:rsidR="00D81BE1" w:rsidRPr="003C5D6B">
          <w:rPr>
            <w:webHidden/>
            <w:lang w:val="es-ES"/>
          </w:rPr>
          <w:tab/>
        </w:r>
        <w:r w:rsidR="007C70CA" w:rsidRPr="003C5D6B">
          <w:rPr>
            <w:webHidden/>
            <w:lang w:val="es-ES"/>
          </w:rPr>
          <w:tab/>
        </w:r>
        <w:r w:rsidRPr="003C5D6B">
          <w:rPr>
            <w:webHidden/>
            <w:lang w:val="es-ES"/>
          </w:rPr>
          <w:fldChar w:fldCharType="begin"/>
        </w:r>
        <w:r w:rsidR="00D81BE1" w:rsidRPr="003C5D6B">
          <w:rPr>
            <w:webHidden/>
            <w:lang w:val="es-ES"/>
          </w:rPr>
          <w:instrText xml:space="preserve"> PAGEREF _Toc287523388 \h </w:instrText>
        </w:r>
        <w:r w:rsidRPr="003C5D6B">
          <w:rPr>
            <w:webHidden/>
            <w:lang w:val="es-ES"/>
          </w:rPr>
        </w:r>
        <w:r w:rsidRPr="003C5D6B">
          <w:rPr>
            <w:webHidden/>
            <w:lang w:val="es-ES"/>
          </w:rPr>
          <w:fldChar w:fldCharType="separate"/>
        </w:r>
        <w:r w:rsidR="00D81BE1" w:rsidRPr="003C5D6B">
          <w:rPr>
            <w:webHidden/>
            <w:lang w:val="es-ES"/>
          </w:rPr>
          <w:t>68</w:t>
        </w:r>
        <w:r w:rsidRPr="003C5D6B">
          <w:rPr>
            <w:webHidden/>
            <w:lang w:val="es-ES"/>
          </w:rPr>
          <w:fldChar w:fldCharType="end"/>
        </w:r>
      </w:hyperlink>
    </w:p>
    <w:p w:rsidR="00D81BE1" w:rsidRPr="003C5D6B" w:rsidRDefault="003B6168">
      <w:pPr>
        <w:pStyle w:val="TOC1"/>
        <w:rPr>
          <w:rFonts w:asciiTheme="minorHAnsi" w:eastAsia="SimSun" w:hAnsiTheme="minorHAnsi" w:cstheme="minorBidi"/>
          <w:szCs w:val="22"/>
          <w:lang w:val="es-ES" w:eastAsia="zh-CN"/>
        </w:rPr>
      </w:pPr>
      <w:hyperlink w:anchor="_Toc287523392" w:history="1">
        <w:r w:rsidR="00D81BE1" w:rsidRPr="003C5D6B">
          <w:rPr>
            <w:rStyle w:val="Hyperlink"/>
            <w:lang w:val="es-ES"/>
          </w:rPr>
          <w:t xml:space="preserve">Apéndice 3.1 (francés) </w:t>
        </w:r>
        <w:r w:rsidR="007C70CA" w:rsidRPr="003C5D6B">
          <w:rPr>
            <w:rStyle w:val="Hyperlink"/>
            <w:lang w:val="es-ES"/>
          </w:rPr>
          <w:t>–</w:t>
        </w:r>
        <w:r w:rsidR="00D81BE1" w:rsidRPr="003C5D6B">
          <w:rPr>
            <w:rStyle w:val="Hyperlink"/>
            <w:lang w:val="es-ES"/>
          </w:rPr>
          <w:t xml:space="preserve"> </w:t>
        </w:r>
        <w:r w:rsidR="00D81BE1" w:rsidRPr="003C5D6B">
          <w:rPr>
            <w:rStyle w:val="Hyperlink"/>
            <w:i/>
            <w:iCs/>
            <w:lang w:val="es-ES"/>
          </w:rPr>
          <w:t>Exemple de système de redevances liées à l'utilisation des fréquences en Côte d'Ivoire</w:t>
        </w:r>
        <w:r w:rsidR="00D81BE1" w:rsidRPr="003C5D6B">
          <w:rPr>
            <w:webHidden/>
            <w:lang w:val="es-ES"/>
          </w:rPr>
          <w:tab/>
        </w:r>
        <w:r w:rsidR="007C70CA" w:rsidRPr="003C5D6B">
          <w:rPr>
            <w:webHidden/>
            <w:lang w:val="es-ES"/>
          </w:rPr>
          <w:tab/>
        </w:r>
        <w:r w:rsidRPr="003C5D6B">
          <w:rPr>
            <w:webHidden/>
            <w:lang w:val="es-ES"/>
          </w:rPr>
          <w:fldChar w:fldCharType="begin"/>
        </w:r>
        <w:r w:rsidR="00D81BE1" w:rsidRPr="003C5D6B">
          <w:rPr>
            <w:webHidden/>
            <w:lang w:val="es-ES"/>
          </w:rPr>
          <w:instrText xml:space="preserve"> PAGEREF _Toc287523392 \h </w:instrText>
        </w:r>
        <w:r w:rsidRPr="003C5D6B">
          <w:rPr>
            <w:webHidden/>
            <w:lang w:val="es-ES"/>
          </w:rPr>
        </w:r>
        <w:r w:rsidRPr="003C5D6B">
          <w:rPr>
            <w:webHidden/>
            <w:lang w:val="es-ES"/>
          </w:rPr>
          <w:fldChar w:fldCharType="separate"/>
        </w:r>
        <w:r w:rsidR="00D81BE1" w:rsidRPr="003C5D6B">
          <w:rPr>
            <w:webHidden/>
            <w:lang w:val="es-ES"/>
          </w:rPr>
          <w:t>71</w:t>
        </w:r>
        <w:r w:rsidRPr="003C5D6B">
          <w:rPr>
            <w:webHidden/>
            <w:lang w:val="es-ES"/>
          </w:rPr>
          <w:fldChar w:fldCharType="end"/>
        </w:r>
      </w:hyperlink>
    </w:p>
    <w:p w:rsidR="00D81BE1" w:rsidRPr="003C5D6B" w:rsidRDefault="003B6168" w:rsidP="00792758">
      <w:pPr>
        <w:pStyle w:val="TOC1"/>
        <w:rPr>
          <w:rFonts w:asciiTheme="minorHAnsi" w:eastAsia="SimSun" w:hAnsiTheme="minorHAnsi" w:cstheme="minorBidi"/>
          <w:szCs w:val="22"/>
          <w:lang w:val="es-ES" w:eastAsia="zh-CN"/>
        </w:rPr>
      </w:pPr>
      <w:hyperlink w:anchor="_Toc287523396" w:history="1">
        <w:r w:rsidR="00D81BE1" w:rsidRPr="003C5D6B">
          <w:rPr>
            <w:rStyle w:val="Hyperlink"/>
            <w:lang w:val="es-ES"/>
          </w:rPr>
          <w:t>Apéndice 3.2 (francés)</w:t>
        </w:r>
        <w:r w:rsidR="007C70CA" w:rsidRPr="003C5D6B">
          <w:rPr>
            <w:rStyle w:val="Hyperlink"/>
            <w:lang w:val="es-ES"/>
          </w:rPr>
          <w:t xml:space="preserve"> –</w:t>
        </w:r>
        <w:r w:rsidR="00792758" w:rsidRPr="003C5D6B">
          <w:rPr>
            <w:lang w:val="es-ES"/>
          </w:rPr>
          <w:t xml:space="preserve"> </w:t>
        </w:r>
        <w:r w:rsidR="00792758" w:rsidRPr="003C5D6B">
          <w:rPr>
            <w:rStyle w:val="Hyperlink"/>
            <w:lang w:val="es-ES"/>
          </w:rPr>
          <w:t>Ordonnance N° 97-173 du 19 mars 1997 relative aux droits, taxes et redevances sur les radiocommunidations</w:t>
        </w:r>
        <w:r w:rsidR="00D81BE1" w:rsidRPr="003C5D6B">
          <w:rPr>
            <w:webHidden/>
            <w:lang w:val="es-ES"/>
          </w:rPr>
          <w:tab/>
        </w:r>
        <w:r w:rsidR="007C70CA" w:rsidRPr="003C5D6B">
          <w:rPr>
            <w:webHidden/>
            <w:lang w:val="es-ES"/>
          </w:rPr>
          <w:tab/>
        </w:r>
        <w:r w:rsidRPr="003C5D6B">
          <w:rPr>
            <w:webHidden/>
            <w:lang w:val="es-ES"/>
          </w:rPr>
          <w:fldChar w:fldCharType="begin"/>
        </w:r>
        <w:r w:rsidR="00D81BE1" w:rsidRPr="003C5D6B">
          <w:rPr>
            <w:webHidden/>
            <w:lang w:val="es-ES"/>
          </w:rPr>
          <w:instrText xml:space="preserve"> PAGEREF _Toc287523396 \h </w:instrText>
        </w:r>
        <w:r w:rsidRPr="003C5D6B">
          <w:rPr>
            <w:webHidden/>
            <w:lang w:val="es-ES"/>
          </w:rPr>
        </w:r>
        <w:r w:rsidRPr="003C5D6B">
          <w:rPr>
            <w:webHidden/>
            <w:lang w:val="es-ES"/>
          </w:rPr>
          <w:fldChar w:fldCharType="separate"/>
        </w:r>
        <w:r w:rsidR="00D81BE1" w:rsidRPr="003C5D6B">
          <w:rPr>
            <w:webHidden/>
            <w:lang w:val="es-ES"/>
          </w:rPr>
          <w:t>74</w:t>
        </w:r>
        <w:r w:rsidRPr="003C5D6B">
          <w:rPr>
            <w:webHidden/>
            <w:lang w:val="es-ES"/>
          </w:rPr>
          <w:fldChar w:fldCharType="end"/>
        </w:r>
      </w:hyperlink>
    </w:p>
    <w:p w:rsidR="00956525" w:rsidRPr="003C5D6B" w:rsidRDefault="003B6168" w:rsidP="00956525">
      <w:pPr>
        <w:pStyle w:val="TOC1"/>
        <w:rPr>
          <w:rFonts w:eastAsia="SimSun"/>
          <w:lang w:val="es-ES"/>
        </w:rPr>
      </w:pPr>
      <w:r w:rsidRPr="003C5D6B">
        <w:rPr>
          <w:rFonts w:eastAsia="SimSun"/>
          <w:lang w:val="es-ES"/>
        </w:rPr>
        <w:fldChar w:fldCharType="end"/>
      </w:r>
    </w:p>
    <w:p w:rsidR="00485128" w:rsidRPr="003C5D6B" w:rsidRDefault="00485128" w:rsidP="00D849CD">
      <w:pPr>
        <w:rPr>
          <w:rFonts w:eastAsia="SimSun"/>
          <w:webHidden/>
          <w:lang w:val="es-ES"/>
        </w:rPr>
      </w:pPr>
    </w:p>
    <w:p w:rsidR="00D849CD" w:rsidRPr="003C5D6B" w:rsidRDefault="00D849CD" w:rsidP="00D849CD">
      <w:pPr>
        <w:rPr>
          <w:rFonts w:eastAsia="SimSun"/>
          <w:webHidden/>
          <w:lang w:val="es-ES"/>
        </w:rPr>
      </w:pPr>
    </w:p>
    <w:p w:rsidR="00D849CD" w:rsidRPr="003C5D6B" w:rsidRDefault="00D849CD" w:rsidP="00D849CD">
      <w:pPr>
        <w:rPr>
          <w:rFonts w:eastAsia="SimSun"/>
          <w:webHidden/>
          <w:lang w:val="es-ES"/>
        </w:rPr>
      </w:pPr>
    </w:p>
    <w:p w:rsidR="00D849CD" w:rsidRPr="003C5D6B" w:rsidRDefault="00D849CD" w:rsidP="00D849CD">
      <w:pPr>
        <w:rPr>
          <w:rFonts w:eastAsia="SimSun"/>
          <w:webHidden/>
          <w:lang w:val="es-ES"/>
        </w:rPr>
      </w:pPr>
    </w:p>
    <w:p w:rsidR="00D849CD" w:rsidRPr="003C5D6B" w:rsidRDefault="00D849CD" w:rsidP="00D849CD">
      <w:pPr>
        <w:rPr>
          <w:rFonts w:eastAsia="SimSun"/>
          <w:webHidden/>
          <w:lang w:val="es-ES"/>
        </w:rPr>
      </w:pPr>
    </w:p>
    <w:p w:rsidR="00D849CD" w:rsidRPr="003C5D6B" w:rsidRDefault="00D849CD" w:rsidP="00D849CD">
      <w:pPr>
        <w:rPr>
          <w:rFonts w:eastAsia="SimSun"/>
          <w:webHidden/>
          <w:lang w:val="es-ES"/>
        </w:rPr>
      </w:pPr>
    </w:p>
    <w:p w:rsidR="00D849CD" w:rsidRPr="003C5D6B" w:rsidRDefault="00D849CD" w:rsidP="00D849CD">
      <w:pPr>
        <w:rPr>
          <w:rFonts w:eastAsia="SimSun"/>
          <w:webHidden/>
          <w:lang w:val="es-ES"/>
        </w:rPr>
      </w:pPr>
    </w:p>
    <w:p w:rsidR="00D849CD" w:rsidRPr="003C5D6B" w:rsidRDefault="00D849CD" w:rsidP="00D849CD">
      <w:pPr>
        <w:rPr>
          <w:rFonts w:eastAsia="SimSun"/>
          <w:webHidden/>
          <w:lang w:val="es-ES"/>
        </w:rPr>
      </w:pPr>
    </w:p>
    <w:p w:rsidR="00D849CD" w:rsidRPr="003C5D6B" w:rsidRDefault="00D849CD" w:rsidP="00D849CD">
      <w:pPr>
        <w:rPr>
          <w:rFonts w:eastAsia="SimSun"/>
          <w:webHidden/>
          <w:lang w:val="es-ES"/>
        </w:rPr>
      </w:pPr>
    </w:p>
    <w:p w:rsidR="00D849CD" w:rsidRPr="003C5D6B" w:rsidRDefault="00D849CD" w:rsidP="00D849CD">
      <w:pPr>
        <w:rPr>
          <w:rFonts w:eastAsia="SimSun"/>
          <w:webHidden/>
          <w:lang w:val="es-ES"/>
        </w:rPr>
      </w:pPr>
    </w:p>
    <w:p w:rsidR="00D849CD" w:rsidRPr="003C5D6B" w:rsidRDefault="00D849CD" w:rsidP="00D849CD">
      <w:pPr>
        <w:rPr>
          <w:rFonts w:eastAsia="SimSun"/>
          <w:webHidden/>
          <w:lang w:val="es-ES"/>
        </w:rPr>
      </w:pPr>
    </w:p>
    <w:p w:rsidR="00D849CD" w:rsidRPr="003C5D6B" w:rsidRDefault="00D849CD" w:rsidP="00D849CD">
      <w:pPr>
        <w:rPr>
          <w:rFonts w:eastAsia="SimSun"/>
          <w:webHidden/>
          <w:lang w:val="es-ES"/>
        </w:rPr>
      </w:pPr>
    </w:p>
    <w:p w:rsidR="00D849CD" w:rsidRPr="003C5D6B" w:rsidRDefault="00D849CD" w:rsidP="00D849CD">
      <w:pPr>
        <w:rPr>
          <w:rFonts w:eastAsia="SimSun"/>
          <w:webHidden/>
          <w:lang w:val="es-ES"/>
        </w:rPr>
      </w:pPr>
    </w:p>
    <w:p w:rsidR="00485128" w:rsidRPr="003C5D6B" w:rsidRDefault="00485128" w:rsidP="003939D6">
      <w:pPr>
        <w:rPr>
          <w:rFonts w:eastAsia="SimSun"/>
          <w:webHidden/>
          <w:lang w:val="es-ES"/>
        </w:rPr>
      </w:pPr>
    </w:p>
    <w:p w:rsidR="00485128" w:rsidRPr="003C5D6B" w:rsidRDefault="00485128" w:rsidP="003939D6">
      <w:pPr>
        <w:rPr>
          <w:rFonts w:eastAsia="SimSun"/>
          <w:webHidden/>
          <w:lang w:val="es-ES"/>
        </w:rPr>
      </w:pPr>
    </w:p>
    <w:p w:rsidR="00D849CD" w:rsidRPr="003C5D6B" w:rsidRDefault="00D849CD" w:rsidP="003939D6">
      <w:pPr>
        <w:rPr>
          <w:rFonts w:eastAsia="SimSun"/>
          <w:webHidden/>
          <w:lang w:val="es-ES"/>
        </w:rPr>
      </w:pPr>
    </w:p>
    <w:p w:rsidR="00D849CD" w:rsidRPr="003C5D6B" w:rsidRDefault="00D849CD" w:rsidP="003939D6">
      <w:pPr>
        <w:rPr>
          <w:rFonts w:eastAsia="SimSun"/>
          <w:webHidden/>
          <w:lang w:val="es-ES"/>
        </w:rPr>
      </w:pPr>
    </w:p>
    <w:p w:rsidR="00D849CD" w:rsidRPr="003C5D6B" w:rsidRDefault="00D849CD" w:rsidP="003939D6">
      <w:pPr>
        <w:rPr>
          <w:rFonts w:eastAsia="SimSun"/>
          <w:webHidden/>
          <w:lang w:val="es-ES"/>
        </w:rPr>
      </w:pPr>
    </w:p>
    <w:p w:rsidR="00D849CD" w:rsidRPr="003C5D6B" w:rsidRDefault="00D849CD" w:rsidP="003939D6">
      <w:pPr>
        <w:rPr>
          <w:rFonts w:eastAsia="SimSun"/>
          <w:webHidden/>
          <w:lang w:val="es-ES"/>
        </w:rPr>
      </w:pPr>
    </w:p>
    <w:p w:rsidR="0010386F" w:rsidRPr="003C5D6B" w:rsidRDefault="0010386F" w:rsidP="00E83FA2">
      <w:pPr>
        <w:rPr>
          <w:lang w:val="es-ES"/>
        </w:rPr>
        <w:sectPr w:rsidR="0010386F" w:rsidRPr="003C5D6B" w:rsidSect="00F41B52">
          <w:headerReference w:type="even" r:id="rId16"/>
          <w:headerReference w:type="default" r:id="rId17"/>
          <w:footerReference w:type="default" r:id="rId18"/>
          <w:type w:val="oddPage"/>
          <w:pgSz w:w="11907" w:h="16840" w:code="9"/>
          <w:pgMar w:top="1418" w:right="1134" w:bottom="1418" w:left="1134" w:header="720" w:footer="720" w:gutter="0"/>
          <w:paperSrc w:first="15" w:other="15"/>
          <w:pgNumType w:fmt="lowerRoman" w:start="1"/>
          <w:cols w:space="720"/>
          <w:vAlign w:val="both"/>
        </w:sectPr>
      </w:pPr>
    </w:p>
    <w:p w:rsidR="001308DA" w:rsidRPr="003C5D6B" w:rsidRDefault="00332C31" w:rsidP="00077525">
      <w:pPr>
        <w:pStyle w:val="Parttitle"/>
        <w:rPr>
          <w:lang w:val="es-ES"/>
        </w:rPr>
      </w:pPr>
      <w:r w:rsidRPr="003C5D6B">
        <w:rPr>
          <w:bCs/>
          <w:szCs w:val="28"/>
          <w:lang w:val="es-ES"/>
        </w:rPr>
        <w:lastRenderedPageBreak/>
        <w:t>Directrices para el establecimiento de un sistema coherente de cánones</w:t>
      </w:r>
      <w:r w:rsidRPr="003C5D6B">
        <w:rPr>
          <w:bCs/>
          <w:szCs w:val="28"/>
          <w:lang w:val="es-ES"/>
        </w:rPr>
        <w:br/>
        <w:t>relativos a la utilización de frecuencias radioeléctricas</w:t>
      </w:r>
    </w:p>
    <w:p w:rsidR="00931133" w:rsidRPr="003C5D6B" w:rsidRDefault="00931133" w:rsidP="00931133">
      <w:pPr>
        <w:pStyle w:val="Heading1"/>
        <w:rPr>
          <w:szCs w:val="24"/>
          <w:lang w:val="es-ES"/>
        </w:rPr>
      </w:pPr>
      <w:bookmarkStart w:id="10" w:name="_Toc208727494"/>
      <w:bookmarkStart w:id="11" w:name="_Toc208739185"/>
      <w:bookmarkStart w:id="12" w:name="_Toc248048807"/>
      <w:bookmarkStart w:id="13" w:name="_Toc277598621"/>
      <w:bookmarkStart w:id="14" w:name="_Toc284499149"/>
      <w:bookmarkStart w:id="15" w:name="_Toc287523303"/>
      <w:bookmarkStart w:id="16" w:name="_Toc277853425"/>
      <w:r w:rsidRPr="003C5D6B">
        <w:rPr>
          <w:szCs w:val="24"/>
          <w:lang w:val="es-ES"/>
        </w:rPr>
        <w:t>1</w:t>
      </w:r>
      <w:r w:rsidRPr="003C5D6B">
        <w:rPr>
          <w:szCs w:val="24"/>
          <w:lang w:val="es-ES"/>
        </w:rPr>
        <w:tab/>
        <w:t>Introducción</w:t>
      </w:r>
      <w:bookmarkEnd w:id="10"/>
      <w:bookmarkEnd w:id="11"/>
      <w:bookmarkEnd w:id="12"/>
      <w:bookmarkEnd w:id="13"/>
      <w:bookmarkEnd w:id="14"/>
      <w:bookmarkEnd w:id="15"/>
    </w:p>
    <w:p w:rsidR="00931133" w:rsidRPr="003C5D6B" w:rsidRDefault="00931133" w:rsidP="00C11B4A">
      <w:pPr>
        <w:rPr>
          <w:szCs w:val="24"/>
          <w:lang w:val="es-ES"/>
        </w:rPr>
      </w:pPr>
      <w:r w:rsidRPr="003C5D6B">
        <w:rPr>
          <w:szCs w:val="24"/>
          <w:lang w:val="es-ES"/>
        </w:rPr>
        <w:t xml:space="preserve">El presente documento contribuye a responder a la demanda planteada en la Resolución 9 (Rev. Doha, 2006), en cuyo </w:t>
      </w:r>
      <w:r w:rsidRPr="003C5D6B">
        <w:rPr>
          <w:i/>
          <w:szCs w:val="24"/>
          <w:lang w:val="es-ES"/>
        </w:rPr>
        <w:t>resuelve</w:t>
      </w:r>
      <w:r w:rsidRPr="003C5D6B">
        <w:rPr>
          <w:szCs w:val="24"/>
          <w:lang w:val="es-ES"/>
        </w:rPr>
        <w:t xml:space="preserve"> 2 se prevé </w:t>
      </w:r>
      <w:r w:rsidR="00C11B4A" w:rsidRPr="003C5D6B">
        <w:rPr>
          <w:szCs w:val="24"/>
          <w:lang w:val="es-ES"/>
        </w:rPr>
        <w:t>“</w:t>
      </w:r>
      <w:r w:rsidRPr="003C5D6B">
        <w:rPr>
          <w:i/>
          <w:szCs w:val="24"/>
          <w:lang w:val="es-ES"/>
        </w:rPr>
        <w:t>proseguir el desarrollo de la base de datos TE y ofrecer líneas directrices adicionales y casos prácticos, basados en experiencias concretas de las administraciones</w:t>
      </w:r>
      <w:r w:rsidR="00C11B4A" w:rsidRPr="003C5D6B">
        <w:rPr>
          <w:iCs/>
          <w:szCs w:val="24"/>
          <w:lang w:val="es-ES"/>
        </w:rPr>
        <w:t>”</w:t>
      </w:r>
      <w:r w:rsidRPr="003C5D6B">
        <w:rPr>
          <w:szCs w:val="24"/>
          <w:lang w:val="es-ES"/>
        </w:rPr>
        <w:t>.</w:t>
      </w:r>
    </w:p>
    <w:p w:rsidR="00931133" w:rsidRPr="003C5D6B" w:rsidRDefault="00931133" w:rsidP="00931133">
      <w:pPr>
        <w:rPr>
          <w:szCs w:val="24"/>
          <w:lang w:val="es-ES"/>
        </w:rPr>
      </w:pPr>
      <w:r w:rsidRPr="003C5D6B">
        <w:rPr>
          <w:szCs w:val="24"/>
          <w:lang w:val="es-ES"/>
        </w:rPr>
        <w:t>Las directrices que figuran a continuación contemplan la experiencia práctica de un cierto número de administraciones y apuntan a crear un sistema coherente de cánones que tenga en cuenta los siguientes aspectos:</w:t>
      </w:r>
    </w:p>
    <w:p w:rsidR="00931133" w:rsidRPr="003C5D6B" w:rsidRDefault="00931133" w:rsidP="00931133">
      <w:pPr>
        <w:pStyle w:val="enumlev1"/>
        <w:rPr>
          <w:szCs w:val="24"/>
          <w:lang w:val="es-ES"/>
        </w:rPr>
      </w:pPr>
      <w:r w:rsidRPr="003C5D6B">
        <w:rPr>
          <w:szCs w:val="24"/>
          <w:lang w:val="es-ES"/>
        </w:rPr>
        <w:t>–</w:t>
      </w:r>
      <w:r w:rsidRPr="003C5D6B">
        <w:rPr>
          <w:szCs w:val="24"/>
          <w:lang w:val="es-ES"/>
        </w:rPr>
        <w:tab/>
        <w:t>la financiación de la gestión del espectro;</w:t>
      </w:r>
    </w:p>
    <w:p w:rsidR="00931133" w:rsidRPr="003C5D6B" w:rsidRDefault="00931133" w:rsidP="00931133">
      <w:pPr>
        <w:pStyle w:val="enumlev1"/>
        <w:rPr>
          <w:szCs w:val="24"/>
          <w:lang w:val="es-ES"/>
        </w:rPr>
      </w:pPr>
      <w:r w:rsidRPr="003C5D6B">
        <w:rPr>
          <w:szCs w:val="24"/>
          <w:lang w:val="es-ES"/>
        </w:rPr>
        <w:t>–</w:t>
      </w:r>
      <w:r w:rsidRPr="003C5D6B">
        <w:rPr>
          <w:szCs w:val="24"/>
          <w:lang w:val="es-ES"/>
        </w:rPr>
        <w:tab/>
        <w:t>objetivos presupuestarios y de desarrollo de los poderes públicos;</w:t>
      </w:r>
    </w:p>
    <w:p w:rsidR="00931133" w:rsidRPr="003C5D6B" w:rsidRDefault="00931133" w:rsidP="00931133">
      <w:pPr>
        <w:pStyle w:val="enumlev1"/>
        <w:rPr>
          <w:szCs w:val="24"/>
          <w:lang w:val="es-ES"/>
        </w:rPr>
      </w:pPr>
      <w:r w:rsidRPr="003C5D6B">
        <w:rPr>
          <w:szCs w:val="24"/>
          <w:lang w:val="es-ES"/>
        </w:rPr>
        <w:t>–</w:t>
      </w:r>
      <w:r w:rsidRPr="003C5D6B">
        <w:rPr>
          <w:szCs w:val="24"/>
          <w:lang w:val="es-ES"/>
        </w:rPr>
        <w:tab/>
        <w:t>objetivos de una gestión eficaz del espectro y de una utilización adecuada de las frecuencias.</w:t>
      </w:r>
    </w:p>
    <w:p w:rsidR="00931133" w:rsidRPr="003C5D6B" w:rsidRDefault="00931133" w:rsidP="00931133">
      <w:pPr>
        <w:rPr>
          <w:szCs w:val="24"/>
          <w:lang w:val="es-ES"/>
        </w:rPr>
      </w:pPr>
      <w:r w:rsidRPr="003C5D6B">
        <w:rPr>
          <w:szCs w:val="24"/>
          <w:lang w:val="es-ES"/>
        </w:rPr>
        <w:t>Estas directrices son el resultado de los trabajos efectuados durante el periodo de estudios 2006</w:t>
      </w:r>
      <w:r w:rsidRPr="003C5D6B">
        <w:rPr>
          <w:szCs w:val="24"/>
          <w:lang w:val="es-ES"/>
        </w:rPr>
        <w:noBreakHyphen/>
        <w:t>2010 que han tenido especialmente en cuenta los documentos siguientes:</w:t>
      </w:r>
    </w:p>
    <w:p w:rsidR="00931133" w:rsidRPr="003C5D6B" w:rsidRDefault="00931133" w:rsidP="00931133">
      <w:pPr>
        <w:pStyle w:val="enumlev1"/>
        <w:rPr>
          <w:szCs w:val="24"/>
          <w:lang w:val="es-ES"/>
        </w:rPr>
      </w:pPr>
      <w:r w:rsidRPr="003C5D6B">
        <w:rPr>
          <w:szCs w:val="24"/>
          <w:lang w:val="es-ES"/>
        </w:rPr>
        <w:t>–</w:t>
      </w:r>
      <w:r w:rsidRPr="003C5D6B">
        <w:rPr>
          <w:szCs w:val="24"/>
          <w:lang w:val="es-ES"/>
        </w:rPr>
        <w:tab/>
        <w:t>Informe UIT</w:t>
      </w:r>
      <w:r w:rsidRPr="003C5D6B">
        <w:rPr>
          <w:szCs w:val="24"/>
          <w:lang w:val="es-ES"/>
        </w:rPr>
        <w:noBreakHyphen/>
        <w:t>R SM.2012</w:t>
      </w:r>
      <w:r w:rsidRPr="003C5D6B">
        <w:rPr>
          <w:szCs w:val="24"/>
          <w:lang w:val="es-ES"/>
        </w:rPr>
        <w:noBreakHyphen/>
        <w:t>2 – Aspectos económicos de la gestión del espectro.</w:t>
      </w:r>
    </w:p>
    <w:p w:rsidR="00931133" w:rsidRPr="003C5D6B" w:rsidRDefault="00931133" w:rsidP="00931133">
      <w:pPr>
        <w:pStyle w:val="enumlev1"/>
        <w:rPr>
          <w:szCs w:val="24"/>
          <w:lang w:val="es-ES"/>
        </w:rPr>
      </w:pPr>
      <w:r w:rsidRPr="003C5D6B">
        <w:rPr>
          <w:szCs w:val="24"/>
          <w:lang w:val="es-ES"/>
        </w:rPr>
        <w:t>–</w:t>
      </w:r>
      <w:r w:rsidRPr="003C5D6B">
        <w:rPr>
          <w:szCs w:val="24"/>
          <w:lang w:val="es-ES"/>
        </w:rPr>
        <w:tab/>
        <w:t>Proyecto de mercado común de África occidental: Armonización de las políticas que rigen el mercado de las TIC en el espacio UEMOA-CEDEAO. Directrices finales adoptadas en la 3ª Asamblea General Ordinaria de ARTAO, celebrada el 9 de septiembre de 2005.</w:t>
      </w:r>
    </w:p>
    <w:p w:rsidR="00931133" w:rsidRPr="003C5D6B" w:rsidRDefault="00931133" w:rsidP="00931133">
      <w:pPr>
        <w:pStyle w:val="enumlev1"/>
        <w:rPr>
          <w:szCs w:val="24"/>
          <w:lang w:val="es-ES"/>
        </w:rPr>
      </w:pPr>
      <w:r w:rsidRPr="003C5D6B">
        <w:rPr>
          <w:szCs w:val="24"/>
          <w:lang w:val="es-ES"/>
        </w:rPr>
        <w:t>–</w:t>
      </w:r>
      <w:r w:rsidRPr="003C5D6B">
        <w:rPr>
          <w:szCs w:val="24"/>
          <w:lang w:val="es-ES"/>
        </w:rPr>
        <w:tab/>
        <w:t xml:space="preserve">Cabe citar en particular los países siguientes que aprueban los principios y aplican ya parte o la totalidad de las directrices presentadas a continuación: Brasil, China, Côte d'Ivoire, Emiratos Árabes Unidos, España, Estonia, Finlandia, Francia, Hungría, </w:t>
      </w:r>
      <w:r w:rsidR="003C5D6B" w:rsidRPr="003C5D6B">
        <w:rPr>
          <w:szCs w:val="24"/>
          <w:lang w:val="es-ES"/>
        </w:rPr>
        <w:t>Lesot</w:t>
      </w:r>
      <w:r w:rsidR="003C5D6B">
        <w:rPr>
          <w:szCs w:val="24"/>
          <w:lang w:val="es-ES"/>
        </w:rPr>
        <w:t>h</w:t>
      </w:r>
      <w:r w:rsidR="003C5D6B" w:rsidRPr="003C5D6B">
        <w:rPr>
          <w:szCs w:val="24"/>
          <w:lang w:val="es-ES"/>
        </w:rPr>
        <w:t>o</w:t>
      </w:r>
      <w:r w:rsidRPr="003C5D6B">
        <w:rPr>
          <w:szCs w:val="24"/>
          <w:lang w:val="es-ES"/>
        </w:rPr>
        <w:t>, Marruecos, Suiza y Tanzanía.</w:t>
      </w:r>
    </w:p>
    <w:p w:rsidR="00623DFD" w:rsidRPr="003C5D6B" w:rsidRDefault="00931133" w:rsidP="00931133">
      <w:pPr>
        <w:rPr>
          <w:b/>
          <w:bCs/>
          <w:lang w:val="es-ES"/>
        </w:rPr>
      </w:pPr>
      <w:r w:rsidRPr="003C5D6B">
        <w:rPr>
          <w:b/>
          <w:szCs w:val="24"/>
          <w:lang w:val="es-ES"/>
        </w:rPr>
        <w:t>Las directrices que figuran en este documento se refieren exclusivamente a la utilización no pública del espectro radioeléctrico.</w:t>
      </w:r>
    </w:p>
    <w:p w:rsidR="006C0E7E" w:rsidRPr="003C5D6B" w:rsidRDefault="006C0E7E" w:rsidP="006C0E7E">
      <w:pPr>
        <w:pStyle w:val="Heading1"/>
        <w:rPr>
          <w:szCs w:val="24"/>
          <w:lang w:val="es-ES"/>
        </w:rPr>
      </w:pPr>
      <w:bookmarkStart w:id="17" w:name="_Toc208727495"/>
      <w:bookmarkStart w:id="18" w:name="_Toc208739186"/>
      <w:bookmarkStart w:id="19" w:name="_Toc248048808"/>
      <w:bookmarkStart w:id="20" w:name="_Toc277598622"/>
      <w:bookmarkStart w:id="21" w:name="_Toc284499150"/>
      <w:bookmarkStart w:id="22" w:name="_Toc287523304"/>
      <w:bookmarkStart w:id="23" w:name="_Toc278266896"/>
      <w:bookmarkStart w:id="24" w:name="_Toc284414112"/>
      <w:bookmarkStart w:id="25" w:name="_Toc280259979"/>
      <w:bookmarkStart w:id="26" w:name="_Toc280260861"/>
      <w:bookmarkStart w:id="27" w:name="_Toc280272440"/>
      <w:r w:rsidRPr="003C5D6B">
        <w:rPr>
          <w:szCs w:val="24"/>
          <w:lang w:val="es-ES"/>
        </w:rPr>
        <w:t>2</w:t>
      </w:r>
      <w:r w:rsidRPr="003C5D6B">
        <w:rPr>
          <w:szCs w:val="24"/>
          <w:lang w:val="es-ES"/>
        </w:rPr>
        <w:tab/>
        <w:t>Definiciones utilizadas en el presente documento</w:t>
      </w:r>
      <w:bookmarkEnd w:id="17"/>
      <w:bookmarkEnd w:id="18"/>
      <w:bookmarkEnd w:id="19"/>
      <w:bookmarkEnd w:id="20"/>
      <w:bookmarkEnd w:id="21"/>
      <w:bookmarkEnd w:id="22"/>
    </w:p>
    <w:p w:rsidR="006C0E7E" w:rsidRPr="003C5D6B" w:rsidRDefault="006C0E7E" w:rsidP="00C11B4A">
      <w:pPr>
        <w:rPr>
          <w:szCs w:val="24"/>
          <w:lang w:val="es-ES"/>
        </w:rPr>
      </w:pPr>
      <w:r w:rsidRPr="003C5D6B">
        <w:rPr>
          <w:szCs w:val="24"/>
          <w:lang w:val="es-ES"/>
        </w:rPr>
        <w:t xml:space="preserve">Por motivos de conveniencia y claridad, en este documento se han utilizado las siguientes definiciones, que son ligeramente diferentes a las que figuran en los Artículos 1.17 y 1.18 del RR relativas a los términos </w:t>
      </w:r>
      <w:r w:rsidR="00C11B4A" w:rsidRPr="003C5D6B">
        <w:rPr>
          <w:szCs w:val="24"/>
          <w:lang w:val="es-ES"/>
        </w:rPr>
        <w:t>“</w:t>
      </w:r>
      <w:r w:rsidRPr="003C5D6B">
        <w:rPr>
          <w:szCs w:val="24"/>
          <w:lang w:val="es-ES"/>
        </w:rPr>
        <w:t>adjudicación</w:t>
      </w:r>
      <w:r w:rsidR="00C11B4A" w:rsidRPr="003C5D6B">
        <w:rPr>
          <w:szCs w:val="24"/>
          <w:lang w:val="es-ES"/>
        </w:rPr>
        <w:t>”</w:t>
      </w:r>
      <w:r w:rsidRPr="003C5D6B">
        <w:rPr>
          <w:szCs w:val="24"/>
          <w:lang w:val="es-ES"/>
        </w:rPr>
        <w:t xml:space="preserve"> y </w:t>
      </w:r>
      <w:r w:rsidR="00C11B4A" w:rsidRPr="003C5D6B">
        <w:rPr>
          <w:szCs w:val="24"/>
          <w:lang w:val="es-ES"/>
        </w:rPr>
        <w:t>“</w:t>
      </w:r>
      <w:r w:rsidRPr="003C5D6B">
        <w:rPr>
          <w:szCs w:val="24"/>
          <w:lang w:val="es-ES"/>
        </w:rPr>
        <w:t>asignación</w:t>
      </w:r>
      <w:r w:rsidR="00C11B4A" w:rsidRPr="003C5D6B">
        <w:rPr>
          <w:szCs w:val="24"/>
          <w:lang w:val="es-ES"/>
        </w:rPr>
        <w:t>”</w:t>
      </w:r>
      <w:r w:rsidRPr="003C5D6B">
        <w:rPr>
          <w:szCs w:val="24"/>
          <w:lang w:val="es-ES"/>
        </w:rPr>
        <w:t>, respectivamente.</w:t>
      </w:r>
    </w:p>
    <w:p w:rsidR="006C0E7E" w:rsidRPr="003C5D6B" w:rsidRDefault="006C0E7E" w:rsidP="006C0E7E">
      <w:pPr>
        <w:rPr>
          <w:szCs w:val="24"/>
          <w:lang w:val="es-ES"/>
        </w:rPr>
      </w:pPr>
      <w:r w:rsidRPr="003C5D6B">
        <w:rPr>
          <w:szCs w:val="24"/>
          <w:lang w:val="es-ES"/>
        </w:rPr>
        <w:t>[1]</w:t>
      </w:r>
      <w:r w:rsidRPr="003C5D6B">
        <w:rPr>
          <w:szCs w:val="24"/>
          <w:lang w:val="es-ES"/>
        </w:rPr>
        <w:tab/>
        <w:t xml:space="preserve">Se entiende por </w:t>
      </w:r>
      <w:r w:rsidRPr="003C5D6B">
        <w:rPr>
          <w:i/>
          <w:szCs w:val="24"/>
          <w:lang w:val="es-ES"/>
        </w:rPr>
        <w:t>asignación</w:t>
      </w:r>
      <w:r w:rsidRPr="003C5D6B">
        <w:rPr>
          <w:szCs w:val="24"/>
          <w:lang w:val="es-ES"/>
        </w:rPr>
        <w:t xml:space="preserve"> la autorización acordada para la utilización de una frecuencia en un emplazamiento determinado y según condiciones identificadas. Una frecuencia de este tipo se conoce como </w:t>
      </w:r>
      <w:r w:rsidRPr="003C5D6B">
        <w:rPr>
          <w:i/>
          <w:szCs w:val="24"/>
          <w:lang w:val="es-ES"/>
        </w:rPr>
        <w:t>frecuencia asignada</w:t>
      </w:r>
      <w:r w:rsidRPr="003C5D6B">
        <w:rPr>
          <w:szCs w:val="24"/>
          <w:lang w:val="es-ES"/>
        </w:rPr>
        <w:t>.</w:t>
      </w:r>
    </w:p>
    <w:p w:rsidR="006C0E7E" w:rsidRPr="003C5D6B" w:rsidRDefault="006C0E7E" w:rsidP="006C0E7E">
      <w:pPr>
        <w:rPr>
          <w:szCs w:val="24"/>
          <w:lang w:val="es-ES"/>
        </w:rPr>
      </w:pPr>
      <w:r w:rsidRPr="003C5D6B">
        <w:rPr>
          <w:szCs w:val="24"/>
          <w:lang w:val="es-ES"/>
        </w:rPr>
        <w:t>[2]</w:t>
      </w:r>
      <w:r w:rsidRPr="003C5D6B">
        <w:rPr>
          <w:szCs w:val="24"/>
          <w:lang w:val="es-ES"/>
        </w:rPr>
        <w:tab/>
        <w:t xml:space="preserve">Se entiende por </w:t>
      </w:r>
      <w:r w:rsidRPr="003C5D6B">
        <w:rPr>
          <w:i/>
          <w:szCs w:val="24"/>
          <w:lang w:val="es-ES"/>
        </w:rPr>
        <w:t>superficie de atribución</w:t>
      </w:r>
      <w:r w:rsidRPr="003C5D6B">
        <w:rPr>
          <w:szCs w:val="24"/>
          <w:lang w:val="es-ES"/>
        </w:rPr>
        <w:t xml:space="preserve"> de una asignación la parte del territorio en la que puede utilizarse la frecuencia asignada.</w:t>
      </w:r>
    </w:p>
    <w:p w:rsidR="006C0E7E" w:rsidRPr="003C5D6B" w:rsidRDefault="006C0E7E" w:rsidP="006C0E7E">
      <w:pPr>
        <w:rPr>
          <w:szCs w:val="24"/>
          <w:lang w:val="es-ES"/>
        </w:rPr>
      </w:pPr>
      <w:r w:rsidRPr="003C5D6B">
        <w:rPr>
          <w:szCs w:val="24"/>
          <w:lang w:val="es-ES"/>
        </w:rPr>
        <w:t>[3]</w:t>
      </w:r>
      <w:r w:rsidRPr="003C5D6B">
        <w:rPr>
          <w:szCs w:val="24"/>
          <w:lang w:val="es-ES"/>
        </w:rPr>
        <w:tab/>
        <w:t xml:space="preserve">Se entiende por </w:t>
      </w:r>
      <w:r w:rsidRPr="003C5D6B">
        <w:rPr>
          <w:i/>
          <w:szCs w:val="24"/>
          <w:lang w:val="es-ES"/>
        </w:rPr>
        <w:t>adjudicación</w:t>
      </w:r>
      <w:r w:rsidRPr="003C5D6B">
        <w:rPr>
          <w:szCs w:val="24"/>
          <w:lang w:val="es-ES"/>
        </w:rPr>
        <w:t xml:space="preserve"> la autorización acordada para la utilización de un bloque de frecuencias en una zona geográfica determinada. Ese tipo de frecuencias recibe el nombre de </w:t>
      </w:r>
      <w:r w:rsidRPr="003C5D6B">
        <w:rPr>
          <w:i/>
          <w:szCs w:val="24"/>
          <w:lang w:val="es-ES"/>
        </w:rPr>
        <w:t>frecuencias adjudicadas</w:t>
      </w:r>
      <w:r w:rsidRPr="003C5D6B">
        <w:rPr>
          <w:szCs w:val="24"/>
          <w:lang w:val="es-ES"/>
        </w:rPr>
        <w:t>.</w:t>
      </w:r>
    </w:p>
    <w:p w:rsidR="006C0E7E" w:rsidRPr="003C5D6B" w:rsidRDefault="006C0E7E" w:rsidP="006C0E7E">
      <w:pPr>
        <w:pStyle w:val="Heading1"/>
        <w:rPr>
          <w:szCs w:val="24"/>
          <w:lang w:val="es-ES"/>
        </w:rPr>
      </w:pPr>
      <w:bookmarkStart w:id="28" w:name="_Toc208727496"/>
      <w:bookmarkStart w:id="29" w:name="_Toc208739187"/>
      <w:bookmarkStart w:id="30" w:name="_Toc248048809"/>
      <w:bookmarkStart w:id="31" w:name="_Toc277598623"/>
      <w:bookmarkStart w:id="32" w:name="_Toc284499151"/>
      <w:bookmarkStart w:id="33" w:name="_Toc287523305"/>
      <w:bookmarkStart w:id="34" w:name="_Toc278266898"/>
      <w:bookmarkStart w:id="35" w:name="_Toc284414113"/>
      <w:bookmarkEnd w:id="23"/>
      <w:bookmarkEnd w:id="24"/>
      <w:bookmarkEnd w:id="25"/>
      <w:bookmarkEnd w:id="26"/>
      <w:bookmarkEnd w:id="27"/>
      <w:r w:rsidRPr="003C5D6B">
        <w:rPr>
          <w:szCs w:val="24"/>
          <w:lang w:val="es-ES"/>
        </w:rPr>
        <w:t>3</w:t>
      </w:r>
      <w:r w:rsidRPr="003C5D6B">
        <w:rPr>
          <w:szCs w:val="24"/>
          <w:lang w:val="es-ES"/>
        </w:rPr>
        <w:tab/>
        <w:t>Principios básicos</w:t>
      </w:r>
      <w:bookmarkEnd w:id="28"/>
      <w:bookmarkEnd w:id="29"/>
      <w:bookmarkEnd w:id="30"/>
      <w:bookmarkEnd w:id="31"/>
      <w:bookmarkEnd w:id="32"/>
      <w:bookmarkEnd w:id="33"/>
    </w:p>
    <w:p w:rsidR="006C0E7E" w:rsidRPr="003C5D6B" w:rsidRDefault="006C0E7E" w:rsidP="006C0E7E">
      <w:pPr>
        <w:rPr>
          <w:szCs w:val="24"/>
          <w:lang w:val="es-ES"/>
        </w:rPr>
      </w:pPr>
      <w:r w:rsidRPr="003C5D6B">
        <w:rPr>
          <w:szCs w:val="24"/>
          <w:lang w:val="es-ES"/>
        </w:rPr>
        <w:t>En el establecimiento de un sistema de cánones, deberían tenerse en cuenta los siguientes principios, en los que se basan las directrices del presente documento.</w:t>
      </w:r>
    </w:p>
    <w:p w:rsidR="006C0E7E" w:rsidRPr="003C5D6B" w:rsidRDefault="006C0E7E" w:rsidP="006C0E7E">
      <w:pPr>
        <w:pStyle w:val="Heading2"/>
        <w:rPr>
          <w:szCs w:val="24"/>
          <w:lang w:val="es-ES"/>
        </w:rPr>
      </w:pPr>
      <w:bookmarkStart w:id="36" w:name="_Toc208727497"/>
      <w:bookmarkStart w:id="37" w:name="_Toc208739188"/>
      <w:bookmarkStart w:id="38" w:name="_Toc248048810"/>
      <w:bookmarkStart w:id="39" w:name="_Toc277598624"/>
      <w:bookmarkStart w:id="40" w:name="_Toc284499152"/>
      <w:bookmarkStart w:id="41" w:name="_Toc287523306"/>
      <w:r w:rsidRPr="003C5D6B">
        <w:rPr>
          <w:szCs w:val="24"/>
          <w:lang w:val="es-ES"/>
        </w:rPr>
        <w:t>3.1</w:t>
      </w:r>
      <w:r w:rsidRPr="003C5D6B">
        <w:rPr>
          <w:szCs w:val="24"/>
          <w:lang w:val="es-ES"/>
        </w:rPr>
        <w:tab/>
        <w:t>Principios jurídicos</w:t>
      </w:r>
      <w:bookmarkEnd w:id="36"/>
      <w:bookmarkEnd w:id="37"/>
      <w:bookmarkEnd w:id="38"/>
      <w:bookmarkEnd w:id="39"/>
      <w:bookmarkEnd w:id="40"/>
      <w:bookmarkEnd w:id="41"/>
    </w:p>
    <w:p w:rsidR="006C0E7E" w:rsidRPr="003C5D6B" w:rsidRDefault="006C0E7E" w:rsidP="006C0E7E">
      <w:pPr>
        <w:rPr>
          <w:szCs w:val="24"/>
          <w:lang w:val="es-ES"/>
        </w:rPr>
      </w:pPr>
      <w:r w:rsidRPr="003C5D6B">
        <w:rPr>
          <w:szCs w:val="24"/>
          <w:lang w:val="es-ES"/>
        </w:rPr>
        <w:t>[4]</w:t>
      </w:r>
      <w:r w:rsidRPr="003C5D6B">
        <w:rPr>
          <w:szCs w:val="24"/>
          <w:lang w:val="es-ES"/>
        </w:rPr>
        <w:tab/>
        <w:t>El espectro radioeléctrico pertenece al Estado y, por lo tanto, su ocupación para llevar a cabo actividades no gubernamentales se considera una ocupación a título privado.</w:t>
      </w:r>
    </w:p>
    <w:p w:rsidR="006C0E7E" w:rsidRPr="003C5D6B" w:rsidRDefault="006C0E7E" w:rsidP="006C0E7E">
      <w:pPr>
        <w:rPr>
          <w:szCs w:val="24"/>
          <w:lang w:val="es-ES"/>
        </w:rPr>
      </w:pPr>
      <w:r w:rsidRPr="003C5D6B">
        <w:rPr>
          <w:szCs w:val="24"/>
          <w:lang w:val="es-ES"/>
        </w:rPr>
        <w:lastRenderedPageBreak/>
        <w:t>[5]</w:t>
      </w:r>
      <w:r w:rsidRPr="003C5D6B">
        <w:rPr>
          <w:szCs w:val="24"/>
          <w:lang w:val="es-ES"/>
        </w:rPr>
        <w:tab/>
        <w:t>Dado que es de dominio público del Estado, la gestión del espectro debe responder a los intereses de la colectividad nacional en su conjunto.</w:t>
      </w:r>
    </w:p>
    <w:p w:rsidR="006C0E7E" w:rsidRPr="003C5D6B" w:rsidRDefault="006C0E7E" w:rsidP="006C0E7E">
      <w:pPr>
        <w:rPr>
          <w:szCs w:val="24"/>
          <w:lang w:val="es-ES"/>
        </w:rPr>
      </w:pPr>
      <w:r w:rsidRPr="003C5D6B">
        <w:rPr>
          <w:szCs w:val="24"/>
          <w:lang w:val="es-ES"/>
        </w:rPr>
        <w:t>[6]</w:t>
      </w:r>
      <w:r w:rsidRPr="003C5D6B">
        <w:rPr>
          <w:szCs w:val="24"/>
          <w:lang w:val="es-ES"/>
        </w:rPr>
        <w:tab/>
        <w:t xml:space="preserve">En su calidad de propietario del espectro, el Estado tiene legitimidad para exigir a los ocupantes a título privado del espectro el pago de </w:t>
      </w:r>
      <w:r w:rsidRPr="003C5D6B">
        <w:rPr>
          <w:i/>
          <w:szCs w:val="24"/>
          <w:u w:val="single"/>
          <w:lang w:val="es-ES"/>
        </w:rPr>
        <w:t>cánones del espectro</w:t>
      </w:r>
      <w:r w:rsidRPr="003C5D6B">
        <w:rPr>
          <w:szCs w:val="24"/>
          <w:lang w:val="es-ES"/>
        </w:rPr>
        <w:t xml:space="preserve"> (llamados también </w:t>
      </w:r>
      <w:r w:rsidRPr="003C5D6B">
        <w:rPr>
          <w:i/>
          <w:szCs w:val="24"/>
          <w:lang w:val="es-ES"/>
        </w:rPr>
        <w:t>cánones de ocupación del espectro</w:t>
      </w:r>
      <w:r w:rsidRPr="003C5D6B">
        <w:rPr>
          <w:szCs w:val="24"/>
          <w:lang w:val="es-ES"/>
        </w:rPr>
        <w:t xml:space="preserve">, o </w:t>
      </w:r>
      <w:r w:rsidRPr="003C5D6B">
        <w:rPr>
          <w:i/>
          <w:szCs w:val="24"/>
          <w:lang w:val="es-ES"/>
        </w:rPr>
        <w:t>cánones de disponibilidad de frecuencias</w:t>
      </w:r>
      <w:r w:rsidRPr="003C5D6B">
        <w:rPr>
          <w:szCs w:val="24"/>
          <w:lang w:val="es-ES"/>
        </w:rPr>
        <w:t xml:space="preserve"> o incluso </w:t>
      </w:r>
      <w:r w:rsidRPr="003C5D6B">
        <w:rPr>
          <w:i/>
          <w:szCs w:val="24"/>
          <w:lang w:val="es-ES"/>
        </w:rPr>
        <w:t>cánones de utilización de frecuencias</w:t>
      </w:r>
      <w:r w:rsidRPr="003C5D6B">
        <w:rPr>
          <w:iCs/>
          <w:szCs w:val="24"/>
          <w:lang w:val="es-ES"/>
        </w:rPr>
        <w:t xml:space="preserve"> o simplemente </w:t>
      </w:r>
      <w:r w:rsidRPr="003C5D6B">
        <w:rPr>
          <w:i/>
          <w:szCs w:val="24"/>
          <w:lang w:val="es-ES"/>
        </w:rPr>
        <w:t>cánones</w:t>
      </w:r>
      <w:r w:rsidRPr="003C5D6B">
        <w:rPr>
          <w:iCs/>
          <w:szCs w:val="24"/>
          <w:lang w:val="es-ES"/>
        </w:rPr>
        <w:t xml:space="preserve"> cuando no haya ambigüedad</w:t>
      </w:r>
      <w:r w:rsidRPr="003C5D6B">
        <w:rPr>
          <w:szCs w:val="24"/>
          <w:lang w:val="es-ES"/>
        </w:rPr>
        <w:t>).</w:t>
      </w:r>
    </w:p>
    <w:p w:rsidR="006C0E7E" w:rsidRPr="003C5D6B" w:rsidRDefault="006C0E7E" w:rsidP="006C0E7E">
      <w:pPr>
        <w:rPr>
          <w:szCs w:val="24"/>
          <w:lang w:val="es-ES"/>
        </w:rPr>
      </w:pPr>
      <w:r w:rsidRPr="003C5D6B">
        <w:rPr>
          <w:szCs w:val="24"/>
          <w:lang w:val="es-ES"/>
        </w:rPr>
        <w:t>[7]</w:t>
      </w:r>
      <w:r w:rsidRPr="003C5D6B">
        <w:rPr>
          <w:szCs w:val="24"/>
          <w:lang w:val="es-ES"/>
        </w:rPr>
        <w:tab/>
        <w:t>La planificación, la gestión y el control del espectro están garantizados por el Estado o por organismos que hayan recibido del Estado una delegación de competencias al respecto. Esas actividades, así como los equipos e inversiones correspondientes, son indispensables para una utilización del espectro en condiciones satisfactorias.</w:t>
      </w:r>
    </w:p>
    <w:p w:rsidR="006C0E7E" w:rsidRPr="003C5D6B" w:rsidRDefault="006C0E7E" w:rsidP="006C0E7E">
      <w:pPr>
        <w:rPr>
          <w:szCs w:val="24"/>
          <w:lang w:val="es-ES"/>
        </w:rPr>
      </w:pPr>
      <w:r w:rsidRPr="003C5D6B">
        <w:rPr>
          <w:szCs w:val="24"/>
          <w:lang w:val="es-ES"/>
        </w:rPr>
        <w:t>[8]</w:t>
      </w:r>
      <w:r w:rsidRPr="003C5D6B">
        <w:rPr>
          <w:szCs w:val="24"/>
          <w:lang w:val="es-ES"/>
        </w:rPr>
        <w:tab/>
        <w:t xml:space="preserve">Por este motivo, es legítimo que los poderes públicos exijan además, a los ocupantes a título privado del espectro, el pago de </w:t>
      </w:r>
      <w:r w:rsidRPr="003C5D6B">
        <w:rPr>
          <w:i/>
          <w:szCs w:val="24"/>
          <w:u w:val="single"/>
          <w:lang w:val="es-ES"/>
        </w:rPr>
        <w:t>cánones administrativos</w:t>
      </w:r>
      <w:r w:rsidRPr="003C5D6B">
        <w:rPr>
          <w:szCs w:val="24"/>
          <w:lang w:val="es-ES"/>
        </w:rPr>
        <w:t xml:space="preserve"> (llamados también </w:t>
      </w:r>
      <w:r w:rsidRPr="003C5D6B">
        <w:rPr>
          <w:i/>
          <w:szCs w:val="24"/>
          <w:lang w:val="es-ES"/>
        </w:rPr>
        <w:t xml:space="preserve">cánones de gestión de frecuencias </w:t>
      </w:r>
      <w:r w:rsidRPr="003C5D6B">
        <w:rPr>
          <w:szCs w:val="24"/>
          <w:lang w:val="es-ES"/>
        </w:rPr>
        <w:t xml:space="preserve">o incluso </w:t>
      </w:r>
      <w:r w:rsidRPr="003C5D6B">
        <w:rPr>
          <w:i/>
          <w:szCs w:val="24"/>
          <w:lang w:val="es-ES"/>
        </w:rPr>
        <w:t>cánones por el servicio prestado</w:t>
      </w:r>
      <w:r w:rsidRPr="003C5D6B">
        <w:rPr>
          <w:iCs/>
          <w:szCs w:val="24"/>
          <w:lang w:val="es-ES"/>
        </w:rPr>
        <w:t xml:space="preserve"> o bien </w:t>
      </w:r>
      <w:r w:rsidRPr="003C5D6B">
        <w:rPr>
          <w:i/>
          <w:szCs w:val="24"/>
          <w:lang w:val="es-ES"/>
        </w:rPr>
        <w:t xml:space="preserve">tasas administrativas </w:t>
      </w:r>
      <w:r w:rsidRPr="003C5D6B">
        <w:rPr>
          <w:iCs/>
          <w:szCs w:val="24"/>
          <w:lang w:val="es-ES"/>
        </w:rPr>
        <w:t xml:space="preserve">o sencillamente </w:t>
      </w:r>
      <w:r w:rsidRPr="003C5D6B">
        <w:rPr>
          <w:i/>
          <w:szCs w:val="24"/>
          <w:lang w:val="es-ES"/>
        </w:rPr>
        <w:t xml:space="preserve">tasas </w:t>
      </w:r>
      <w:r w:rsidRPr="003C5D6B">
        <w:rPr>
          <w:iCs/>
          <w:szCs w:val="24"/>
          <w:lang w:val="es-ES"/>
        </w:rPr>
        <w:t>cuando no haya ambigüedad</w:t>
      </w:r>
      <w:r w:rsidRPr="003C5D6B">
        <w:rPr>
          <w:szCs w:val="24"/>
          <w:lang w:val="es-ES"/>
        </w:rPr>
        <w:t>) para cubrir todos los costos derivados de las actividades de planificación, gestión y control del espectro.</w:t>
      </w:r>
    </w:p>
    <w:p w:rsidR="006C0E7E" w:rsidRPr="003C5D6B" w:rsidRDefault="006C0E7E" w:rsidP="006C0E7E">
      <w:pPr>
        <w:rPr>
          <w:szCs w:val="24"/>
          <w:lang w:val="es-ES"/>
        </w:rPr>
      </w:pPr>
      <w:r w:rsidRPr="003C5D6B">
        <w:rPr>
          <w:szCs w:val="24"/>
          <w:lang w:val="es-ES"/>
        </w:rPr>
        <w:t>[9]</w:t>
      </w:r>
      <w:r w:rsidRPr="003C5D6B">
        <w:rPr>
          <w:szCs w:val="24"/>
          <w:lang w:val="es-ES"/>
        </w:rPr>
        <w:tab/>
        <w:t>Los cánones del espectro y los cánones administrativos deben establecerse cumpliendo las normas de transparencia, objetividad, proporcionalidad y no discriminación. En particular, la transparencia exige ante todo que las reglas para establecer esos cánones sean simples y de comprensión fácil para todos.</w:t>
      </w:r>
    </w:p>
    <w:p w:rsidR="006C0E7E" w:rsidRPr="003C5D6B" w:rsidRDefault="006C0E7E" w:rsidP="006C0E7E">
      <w:pPr>
        <w:rPr>
          <w:szCs w:val="24"/>
          <w:lang w:val="es-ES"/>
        </w:rPr>
      </w:pPr>
      <w:r w:rsidRPr="003C5D6B">
        <w:rPr>
          <w:szCs w:val="24"/>
          <w:lang w:val="es-ES"/>
        </w:rPr>
        <w:t>[10]</w:t>
      </w:r>
      <w:r w:rsidRPr="003C5D6B">
        <w:rPr>
          <w:szCs w:val="24"/>
          <w:lang w:val="es-ES"/>
        </w:rPr>
        <w:tab/>
        <w:t>Las reglas aplicadas al establecimiento de cánones deben ser relativamente estables a lo largo del tiempo con miras a ofrecer a los ocupantes del espectro la visibilidad y seguridad jurídica necesarias.</w:t>
      </w:r>
    </w:p>
    <w:p w:rsidR="006C0E7E" w:rsidRPr="003C5D6B" w:rsidRDefault="006C0E7E" w:rsidP="006C0E7E">
      <w:pPr>
        <w:rPr>
          <w:szCs w:val="24"/>
          <w:lang w:val="es-ES"/>
        </w:rPr>
      </w:pPr>
      <w:r w:rsidRPr="003C5D6B">
        <w:rPr>
          <w:szCs w:val="24"/>
          <w:lang w:val="es-ES"/>
        </w:rPr>
        <w:t>[11]</w:t>
      </w:r>
      <w:r w:rsidRPr="003C5D6B">
        <w:rPr>
          <w:szCs w:val="24"/>
          <w:lang w:val="es-ES"/>
        </w:rPr>
        <w:tab/>
        <w:t xml:space="preserve">En contrapartida, un usuario de frecuencias asignadas o adjudicadas se beneficia de una protección, según las disposiciones de la reglamentación en vigor. En cambio, un usuario de frecuencias de acceso libre (ejemplos de utilización: equipos de poco alcance y baja potencia, </w:t>
      </w:r>
      <w:r w:rsidR="00A535F4" w:rsidRPr="003C5D6B">
        <w:rPr>
          <w:szCs w:val="24"/>
          <w:lang w:val="es-ES"/>
        </w:rPr>
        <w:t>Wi-Fi</w:t>
      </w:r>
      <w:r w:rsidRPr="003C5D6B">
        <w:rPr>
          <w:szCs w:val="24"/>
          <w:lang w:val="es-ES"/>
        </w:rPr>
        <w:t>, Bluetooth, servicio de radioaficionados y otros) no recibe protección y, por lo tanto, no estará obligado al pago de un canon. A ese principio jurídico se suma un principio de realidad para no aplicar cánones a las frecuencias de acceso libre (véase el § [17]).</w:t>
      </w:r>
    </w:p>
    <w:p w:rsidR="006C0E7E" w:rsidRPr="003C5D6B" w:rsidRDefault="006C0E7E" w:rsidP="006C0E7E">
      <w:pPr>
        <w:pStyle w:val="Heading2"/>
        <w:rPr>
          <w:szCs w:val="24"/>
          <w:lang w:val="es-ES"/>
        </w:rPr>
      </w:pPr>
      <w:bookmarkStart w:id="42" w:name="_Toc208727498"/>
      <w:bookmarkStart w:id="43" w:name="_Toc208739189"/>
      <w:bookmarkStart w:id="44" w:name="_Toc248048811"/>
      <w:bookmarkStart w:id="45" w:name="_Toc277598625"/>
      <w:bookmarkStart w:id="46" w:name="_Toc284499153"/>
      <w:bookmarkStart w:id="47" w:name="_Toc287523307"/>
      <w:r w:rsidRPr="003C5D6B">
        <w:rPr>
          <w:szCs w:val="24"/>
          <w:lang w:val="es-ES"/>
        </w:rPr>
        <w:t>3.2</w:t>
      </w:r>
      <w:r w:rsidRPr="003C5D6B">
        <w:rPr>
          <w:szCs w:val="24"/>
          <w:lang w:val="es-ES"/>
        </w:rPr>
        <w:tab/>
        <w:t>Principios económicos</w:t>
      </w:r>
      <w:bookmarkEnd w:id="42"/>
      <w:bookmarkEnd w:id="43"/>
      <w:bookmarkEnd w:id="44"/>
      <w:bookmarkEnd w:id="45"/>
      <w:bookmarkEnd w:id="46"/>
      <w:bookmarkEnd w:id="47"/>
    </w:p>
    <w:p w:rsidR="006C0E7E" w:rsidRPr="003C5D6B" w:rsidRDefault="006C0E7E" w:rsidP="006C0E7E">
      <w:pPr>
        <w:rPr>
          <w:szCs w:val="24"/>
          <w:lang w:val="es-ES"/>
        </w:rPr>
      </w:pPr>
      <w:r w:rsidRPr="003C5D6B">
        <w:rPr>
          <w:szCs w:val="24"/>
          <w:lang w:val="es-ES"/>
        </w:rPr>
        <w:t>[12]</w:t>
      </w:r>
      <w:r w:rsidRPr="003C5D6B">
        <w:rPr>
          <w:szCs w:val="24"/>
          <w:lang w:val="es-ES"/>
        </w:rPr>
        <w:tab/>
        <w:t>El espectro radioeléctrico es un recurso limitado y raro en un cierto número de casos. El objetivo principal del administrador del espectro es obtener a la vez una ocupación óptima del espectro y una buena utilización de sus frecuencias.</w:t>
      </w:r>
    </w:p>
    <w:p w:rsidR="006C0E7E" w:rsidRPr="003C5D6B" w:rsidRDefault="006C0E7E" w:rsidP="006C0E7E">
      <w:pPr>
        <w:rPr>
          <w:szCs w:val="24"/>
          <w:lang w:val="es-ES"/>
        </w:rPr>
      </w:pPr>
      <w:r w:rsidRPr="003C5D6B">
        <w:rPr>
          <w:szCs w:val="24"/>
          <w:lang w:val="es-ES"/>
        </w:rPr>
        <w:t>[13]</w:t>
      </w:r>
      <w:r w:rsidRPr="003C5D6B">
        <w:rPr>
          <w:szCs w:val="24"/>
          <w:lang w:val="es-ES"/>
        </w:rPr>
        <w:tab/>
        <w:t xml:space="preserve">Dado que los fundamentos y finalidades de los cánones del espectro y de los cánones administrativos son diferentes, se deben definir </w:t>
      </w:r>
      <w:r w:rsidRPr="003C5D6B">
        <w:rPr>
          <w:szCs w:val="24"/>
          <w:u w:val="single"/>
          <w:lang w:val="es-ES"/>
        </w:rPr>
        <w:t>dos modalidades distintas para establecer, por una parte, los cánones administrativos y, por la otra, los cánones del espectro</w:t>
      </w:r>
      <w:r w:rsidRPr="003C5D6B">
        <w:rPr>
          <w:szCs w:val="24"/>
          <w:lang w:val="es-ES"/>
        </w:rPr>
        <w:t>.</w:t>
      </w:r>
    </w:p>
    <w:p w:rsidR="006C0E7E" w:rsidRPr="003C5D6B" w:rsidRDefault="006C0E7E" w:rsidP="006C0E7E">
      <w:pPr>
        <w:rPr>
          <w:szCs w:val="24"/>
          <w:lang w:val="es-ES"/>
        </w:rPr>
      </w:pPr>
      <w:r w:rsidRPr="003C5D6B">
        <w:rPr>
          <w:szCs w:val="24"/>
          <w:lang w:val="es-ES"/>
        </w:rPr>
        <w:t>[14]</w:t>
      </w:r>
      <w:r w:rsidRPr="003C5D6B">
        <w:rPr>
          <w:szCs w:val="24"/>
          <w:lang w:val="es-ES"/>
        </w:rPr>
        <w:tab/>
        <w:t>En este sentido, los cánones administrativos deberían aplicarse exclusivamente al pago del servicio prestado por los poderes públicos.</w:t>
      </w:r>
    </w:p>
    <w:p w:rsidR="006C0E7E" w:rsidRPr="003C5D6B" w:rsidRDefault="006C0E7E" w:rsidP="006C0E7E">
      <w:pPr>
        <w:rPr>
          <w:szCs w:val="24"/>
          <w:lang w:val="es-ES"/>
        </w:rPr>
      </w:pPr>
      <w:r w:rsidRPr="003C5D6B">
        <w:rPr>
          <w:szCs w:val="24"/>
          <w:lang w:val="es-ES"/>
        </w:rPr>
        <w:t>[15]</w:t>
      </w:r>
      <w:r w:rsidRPr="003C5D6B">
        <w:rPr>
          <w:szCs w:val="24"/>
          <w:lang w:val="es-ES"/>
        </w:rPr>
        <w:tab/>
        <w:t>En cambio, la finalidad de los cánones del espectro tiene varios factores (véanse los § [4] y [5]) ya que deberían a la vez:</w:t>
      </w:r>
    </w:p>
    <w:p w:rsidR="006C0E7E" w:rsidRPr="003C5D6B" w:rsidRDefault="006C0E7E" w:rsidP="007D3BA8">
      <w:pPr>
        <w:pStyle w:val="enumlev1"/>
        <w:rPr>
          <w:szCs w:val="24"/>
          <w:lang w:val="es-ES"/>
        </w:rPr>
      </w:pPr>
      <w:r w:rsidRPr="003C5D6B">
        <w:rPr>
          <w:szCs w:val="24"/>
          <w:lang w:val="es-ES"/>
        </w:rPr>
        <w:tab/>
        <w:t>[15.1]</w:t>
      </w:r>
      <w:r w:rsidRPr="003C5D6B">
        <w:rPr>
          <w:szCs w:val="24"/>
          <w:lang w:val="es-ES"/>
        </w:rPr>
        <w:tab/>
        <w:t>Permitir el cumplimiento del objetivo presupuestario fijado por los poderes públicos.</w:t>
      </w:r>
    </w:p>
    <w:p w:rsidR="006C0E7E" w:rsidRPr="003C5D6B" w:rsidRDefault="006C0E7E" w:rsidP="007D3BA8">
      <w:pPr>
        <w:pStyle w:val="enumlev1"/>
        <w:ind w:left="1588" w:hanging="1588"/>
        <w:rPr>
          <w:szCs w:val="24"/>
          <w:lang w:val="es-ES"/>
        </w:rPr>
      </w:pPr>
      <w:r w:rsidRPr="003C5D6B">
        <w:rPr>
          <w:szCs w:val="24"/>
          <w:lang w:val="es-ES"/>
        </w:rPr>
        <w:tab/>
        <w:t>[15.2]</w:t>
      </w:r>
      <w:r w:rsidRPr="003C5D6B">
        <w:rPr>
          <w:szCs w:val="24"/>
          <w:lang w:val="es-ES"/>
        </w:rPr>
        <w:tab/>
        <w:t>No perjudicar los objetivos económicos de los poderes públicos relativos al desarrollo del país y de nuevos servicios.</w:t>
      </w:r>
    </w:p>
    <w:p w:rsidR="006C0E7E" w:rsidRPr="003C5D6B" w:rsidRDefault="006C0E7E" w:rsidP="007D3BA8">
      <w:pPr>
        <w:pStyle w:val="enumlev1"/>
        <w:ind w:left="1588" w:hanging="1588"/>
        <w:rPr>
          <w:szCs w:val="24"/>
          <w:lang w:val="es-ES"/>
        </w:rPr>
      </w:pPr>
      <w:r w:rsidRPr="003C5D6B">
        <w:rPr>
          <w:szCs w:val="24"/>
          <w:lang w:val="es-ES"/>
        </w:rPr>
        <w:tab/>
        <w:t>[15.3]</w:t>
      </w:r>
      <w:r w:rsidRPr="003C5D6B">
        <w:rPr>
          <w:szCs w:val="24"/>
          <w:lang w:val="es-ES"/>
        </w:rPr>
        <w:tab/>
        <w:t>Tener en cuenta todas las ventajas que los ocupantes del espectro obtienen de su utilización.</w:t>
      </w:r>
    </w:p>
    <w:p w:rsidR="006C0E7E" w:rsidRPr="003C5D6B" w:rsidRDefault="006C0E7E" w:rsidP="007D3BA8">
      <w:pPr>
        <w:pStyle w:val="enumlev1"/>
        <w:rPr>
          <w:szCs w:val="24"/>
          <w:lang w:val="es-ES"/>
        </w:rPr>
      </w:pPr>
      <w:r w:rsidRPr="003C5D6B">
        <w:rPr>
          <w:szCs w:val="24"/>
          <w:lang w:val="es-ES"/>
        </w:rPr>
        <w:tab/>
        <w:t>[15.4]</w:t>
      </w:r>
      <w:r w:rsidRPr="003C5D6B">
        <w:rPr>
          <w:szCs w:val="24"/>
          <w:lang w:val="es-ES"/>
        </w:rPr>
        <w:tab/>
        <w:t>Constituir una herramienta de gestión del espectro.</w:t>
      </w:r>
    </w:p>
    <w:p w:rsidR="006C0E7E" w:rsidRPr="003C5D6B" w:rsidRDefault="006C0E7E" w:rsidP="007D3BA8">
      <w:pPr>
        <w:rPr>
          <w:szCs w:val="24"/>
          <w:lang w:val="es-ES"/>
        </w:rPr>
      </w:pPr>
      <w:r w:rsidRPr="003C5D6B">
        <w:rPr>
          <w:szCs w:val="24"/>
          <w:lang w:val="es-ES"/>
        </w:rPr>
        <w:t>[16]</w:t>
      </w:r>
      <w:r w:rsidRPr="003C5D6B">
        <w:rPr>
          <w:szCs w:val="24"/>
          <w:lang w:val="es-ES"/>
        </w:rPr>
        <w:tab/>
        <w:t>Los cánones constituyen recursos financieros para el Estado y para el administrador del espectro, y sus importes deben adaptarse automáticamente a la inflación o a la evolución del presupuesto del administrador.</w:t>
      </w:r>
    </w:p>
    <w:p w:rsidR="00EF43B4" w:rsidRPr="003C5D6B" w:rsidRDefault="00EF43B4" w:rsidP="00EF43B4">
      <w:pPr>
        <w:pStyle w:val="Heading2"/>
        <w:rPr>
          <w:szCs w:val="24"/>
          <w:lang w:val="es-ES"/>
        </w:rPr>
      </w:pPr>
      <w:bookmarkStart w:id="48" w:name="_Toc208727499"/>
      <w:bookmarkStart w:id="49" w:name="_Toc208739190"/>
      <w:bookmarkStart w:id="50" w:name="_Toc248048812"/>
      <w:bookmarkStart w:id="51" w:name="_Toc277598626"/>
      <w:bookmarkStart w:id="52" w:name="_Toc284499154"/>
      <w:bookmarkStart w:id="53" w:name="_Toc287523308"/>
      <w:bookmarkStart w:id="54" w:name="_Toc278266901"/>
      <w:bookmarkStart w:id="55" w:name="_Toc284414116"/>
      <w:bookmarkStart w:id="56" w:name="_Toc280259986"/>
      <w:bookmarkStart w:id="57" w:name="_Toc280272447"/>
      <w:bookmarkStart w:id="58" w:name="_Toc284414118"/>
      <w:bookmarkEnd w:id="34"/>
      <w:bookmarkEnd w:id="35"/>
      <w:r w:rsidRPr="003C5D6B">
        <w:rPr>
          <w:szCs w:val="24"/>
          <w:lang w:val="es-ES"/>
        </w:rPr>
        <w:lastRenderedPageBreak/>
        <w:t>3.3</w:t>
      </w:r>
      <w:r w:rsidRPr="003C5D6B">
        <w:rPr>
          <w:szCs w:val="24"/>
          <w:lang w:val="es-ES"/>
        </w:rPr>
        <w:tab/>
        <w:t>Principios de realidad</w:t>
      </w:r>
      <w:bookmarkEnd w:id="48"/>
      <w:bookmarkEnd w:id="49"/>
      <w:bookmarkEnd w:id="50"/>
      <w:bookmarkEnd w:id="51"/>
      <w:bookmarkEnd w:id="52"/>
      <w:bookmarkEnd w:id="53"/>
    </w:p>
    <w:p w:rsidR="00EF43B4" w:rsidRPr="003C5D6B" w:rsidRDefault="00EF43B4" w:rsidP="00EF43B4">
      <w:pPr>
        <w:rPr>
          <w:szCs w:val="24"/>
          <w:lang w:val="es-ES"/>
        </w:rPr>
      </w:pPr>
      <w:r w:rsidRPr="003C5D6B">
        <w:rPr>
          <w:szCs w:val="24"/>
          <w:lang w:val="es-ES"/>
        </w:rPr>
        <w:t>[17]</w:t>
      </w:r>
      <w:r w:rsidRPr="003C5D6B">
        <w:rPr>
          <w:szCs w:val="24"/>
          <w:lang w:val="es-ES"/>
        </w:rPr>
        <w:tab/>
        <w:t>Habría que evitar la creación de cánones en los que sea difícil identificar a quienes deben pagarlos, como ocurre con los usuarios de frecuencias de acceso libre, dado que su cobro será incierto y probablemente muy parcial (véase el § [11]).</w:t>
      </w:r>
    </w:p>
    <w:p w:rsidR="00EF43B4" w:rsidRPr="003C5D6B" w:rsidRDefault="00EF43B4" w:rsidP="00EF43B4">
      <w:pPr>
        <w:rPr>
          <w:szCs w:val="24"/>
          <w:lang w:val="es-ES"/>
        </w:rPr>
      </w:pPr>
      <w:r w:rsidRPr="003C5D6B">
        <w:rPr>
          <w:szCs w:val="24"/>
          <w:lang w:val="es-ES"/>
        </w:rPr>
        <w:t>[18]</w:t>
      </w:r>
      <w:r w:rsidRPr="003C5D6B">
        <w:rPr>
          <w:szCs w:val="24"/>
          <w:lang w:val="es-ES"/>
        </w:rPr>
        <w:tab/>
        <w:t>Con respecto a los parámetros que intervienen en el cálculo de los cánones, convendría no tener en cuenta parámetros para los cuales es difícil o imposible, en la práctica, verificar los valores declarados en comparación con el conjunto de usuarios sujetos a dichos cánones (por ejemplo, la altura de la antena de una estación o el número de estaciones móviles de una red privada). De esta forma, se evitarán declaraciones inexactas que disminuirán el importe de los cánones que deben pagarse.</w:t>
      </w:r>
    </w:p>
    <w:p w:rsidR="00EF43B4" w:rsidRPr="003C5D6B" w:rsidRDefault="00EF43B4" w:rsidP="00EF43B4">
      <w:pPr>
        <w:rPr>
          <w:szCs w:val="24"/>
          <w:lang w:val="es-ES"/>
        </w:rPr>
      </w:pPr>
      <w:r w:rsidRPr="003C5D6B">
        <w:rPr>
          <w:szCs w:val="24"/>
          <w:lang w:val="es-ES"/>
        </w:rPr>
        <w:t>[19]</w:t>
      </w:r>
      <w:r w:rsidRPr="003C5D6B">
        <w:rPr>
          <w:szCs w:val="24"/>
          <w:lang w:val="es-ES"/>
        </w:rPr>
        <w:tab/>
        <w:t>El establecimiento de un sistema de cánones debe lograr el consenso de todos los actores interesados, lo que permitirá obtener un buen nivel de percepción de los cánones fijados.</w:t>
      </w:r>
    </w:p>
    <w:p w:rsidR="008B6E9F" w:rsidRPr="003C5D6B" w:rsidRDefault="008B6E9F" w:rsidP="008B6E9F">
      <w:pPr>
        <w:pStyle w:val="Heading1"/>
        <w:rPr>
          <w:szCs w:val="24"/>
          <w:lang w:val="es-ES"/>
        </w:rPr>
      </w:pPr>
      <w:bookmarkStart w:id="59" w:name="_Toc208727500"/>
      <w:bookmarkStart w:id="60" w:name="_Toc208739191"/>
      <w:bookmarkStart w:id="61" w:name="_Toc248048813"/>
      <w:bookmarkStart w:id="62" w:name="_Toc277598627"/>
      <w:bookmarkStart w:id="63" w:name="_Toc284499155"/>
      <w:bookmarkStart w:id="64" w:name="_Toc287523309"/>
      <w:bookmarkEnd w:id="54"/>
      <w:bookmarkEnd w:id="55"/>
      <w:r w:rsidRPr="003C5D6B">
        <w:rPr>
          <w:szCs w:val="24"/>
          <w:lang w:val="es-ES"/>
        </w:rPr>
        <w:t>4</w:t>
      </w:r>
      <w:r w:rsidRPr="003C5D6B">
        <w:rPr>
          <w:szCs w:val="24"/>
          <w:lang w:val="es-ES"/>
        </w:rPr>
        <w:tab/>
        <w:t>Directrices para el establecimiento de cánones administrativos</w:t>
      </w:r>
      <w:bookmarkEnd w:id="59"/>
      <w:bookmarkEnd w:id="60"/>
      <w:r w:rsidRPr="003C5D6B">
        <w:rPr>
          <w:szCs w:val="24"/>
          <w:lang w:val="es-ES"/>
        </w:rPr>
        <w:t xml:space="preserve"> (o tasas administrativas)</w:t>
      </w:r>
      <w:bookmarkEnd w:id="61"/>
      <w:bookmarkEnd w:id="62"/>
      <w:bookmarkEnd w:id="63"/>
      <w:bookmarkEnd w:id="64"/>
    </w:p>
    <w:p w:rsidR="008B6E9F" w:rsidRPr="003C5D6B" w:rsidRDefault="008B6E9F" w:rsidP="008B6E9F">
      <w:pPr>
        <w:pStyle w:val="Heading2"/>
        <w:rPr>
          <w:szCs w:val="24"/>
          <w:lang w:val="es-ES"/>
        </w:rPr>
      </w:pPr>
      <w:bookmarkStart w:id="65" w:name="_Toc208727501"/>
      <w:bookmarkStart w:id="66" w:name="_Toc208739192"/>
      <w:bookmarkStart w:id="67" w:name="_Toc248048814"/>
      <w:bookmarkStart w:id="68" w:name="_Toc277598628"/>
      <w:bookmarkStart w:id="69" w:name="_Toc284499156"/>
      <w:bookmarkStart w:id="70" w:name="_Toc287523310"/>
      <w:r w:rsidRPr="003C5D6B">
        <w:rPr>
          <w:szCs w:val="24"/>
          <w:lang w:val="es-ES"/>
        </w:rPr>
        <w:t>4.1</w:t>
      </w:r>
      <w:r w:rsidRPr="003C5D6B">
        <w:rPr>
          <w:szCs w:val="24"/>
          <w:lang w:val="es-ES"/>
        </w:rPr>
        <w:tab/>
        <w:t>Observaciones y disposiciones generales</w:t>
      </w:r>
      <w:bookmarkEnd w:id="65"/>
      <w:bookmarkEnd w:id="66"/>
      <w:bookmarkEnd w:id="67"/>
      <w:bookmarkEnd w:id="68"/>
      <w:bookmarkEnd w:id="69"/>
      <w:bookmarkEnd w:id="70"/>
    </w:p>
    <w:p w:rsidR="008B6E9F" w:rsidRPr="003C5D6B" w:rsidRDefault="008B6E9F" w:rsidP="008B6E9F">
      <w:pPr>
        <w:rPr>
          <w:szCs w:val="24"/>
          <w:lang w:val="es-ES"/>
        </w:rPr>
      </w:pPr>
      <w:r w:rsidRPr="003C5D6B">
        <w:rPr>
          <w:szCs w:val="24"/>
          <w:lang w:val="es-ES"/>
        </w:rPr>
        <w:t>[20]</w:t>
      </w:r>
      <w:r w:rsidRPr="003C5D6B">
        <w:rPr>
          <w:szCs w:val="24"/>
          <w:lang w:val="es-ES"/>
        </w:rPr>
        <w:tab/>
        <w:t>Los cánones administrativos deben cubrir el conjunto de costos de las actividades:</w:t>
      </w:r>
    </w:p>
    <w:p w:rsidR="008B6E9F" w:rsidRPr="003C5D6B" w:rsidRDefault="008B6E9F" w:rsidP="008B6E9F">
      <w:pPr>
        <w:pStyle w:val="enumlev1"/>
        <w:rPr>
          <w:szCs w:val="24"/>
          <w:lang w:val="es-ES"/>
        </w:rPr>
      </w:pPr>
      <w:r w:rsidRPr="003C5D6B">
        <w:rPr>
          <w:szCs w:val="24"/>
          <w:lang w:val="es-ES"/>
        </w:rPr>
        <w:t>–</w:t>
      </w:r>
      <w:r w:rsidRPr="003C5D6B">
        <w:rPr>
          <w:szCs w:val="24"/>
          <w:lang w:val="es-ES"/>
        </w:rPr>
        <w:tab/>
        <w:t>relativas a la planificación, la gestión y el control del espectro;</w:t>
      </w:r>
    </w:p>
    <w:p w:rsidR="008B6E9F" w:rsidRPr="003C5D6B" w:rsidRDefault="008B6E9F" w:rsidP="008B6E9F">
      <w:pPr>
        <w:pStyle w:val="enumlev1"/>
        <w:rPr>
          <w:szCs w:val="24"/>
          <w:lang w:val="es-ES"/>
        </w:rPr>
      </w:pPr>
      <w:r w:rsidRPr="003C5D6B">
        <w:rPr>
          <w:szCs w:val="24"/>
          <w:lang w:val="es-ES"/>
        </w:rPr>
        <w:t>–</w:t>
      </w:r>
      <w:r w:rsidRPr="003C5D6B">
        <w:rPr>
          <w:szCs w:val="24"/>
          <w:lang w:val="es-ES"/>
        </w:rPr>
        <w:tab/>
        <w:t>realizadas por todos los poderes públicos y organismos delegados en relación con el espectro;</w:t>
      </w:r>
    </w:p>
    <w:p w:rsidR="008B6E9F" w:rsidRPr="003C5D6B" w:rsidRDefault="008B6E9F" w:rsidP="008B6E9F">
      <w:pPr>
        <w:pStyle w:val="enumlev1"/>
        <w:rPr>
          <w:szCs w:val="24"/>
          <w:lang w:val="es-ES"/>
        </w:rPr>
      </w:pPr>
      <w:r w:rsidRPr="003C5D6B">
        <w:rPr>
          <w:szCs w:val="24"/>
          <w:lang w:val="es-ES"/>
        </w:rPr>
        <w:t>–</w:t>
      </w:r>
      <w:r w:rsidRPr="003C5D6B">
        <w:rPr>
          <w:szCs w:val="24"/>
          <w:lang w:val="es-ES"/>
        </w:rPr>
        <w:tab/>
        <w:t>relativas exclusivamente a la ocupación del espectro a título privado.</w:t>
      </w:r>
    </w:p>
    <w:p w:rsidR="008B6E9F" w:rsidRPr="003C5D6B" w:rsidRDefault="008B6E9F" w:rsidP="006B3C91">
      <w:pPr>
        <w:rPr>
          <w:szCs w:val="24"/>
          <w:lang w:val="es-ES"/>
        </w:rPr>
      </w:pPr>
      <w:r w:rsidRPr="003C5D6B">
        <w:rPr>
          <w:szCs w:val="24"/>
          <w:lang w:val="es-ES"/>
        </w:rPr>
        <w:t xml:space="preserve">Esos costos se denominarán </w:t>
      </w:r>
      <w:r w:rsidR="006B3C91" w:rsidRPr="003C5D6B">
        <w:rPr>
          <w:szCs w:val="24"/>
          <w:lang w:val="es-ES"/>
        </w:rPr>
        <w:t>“</w:t>
      </w:r>
      <w:r w:rsidR="009448CE" w:rsidRPr="003C5D6B">
        <w:rPr>
          <w:szCs w:val="24"/>
          <w:lang w:val="es-ES"/>
        </w:rPr>
        <w:t>gastos administrativos</w:t>
      </w:r>
      <w:r w:rsidR="006B3C91" w:rsidRPr="003C5D6B">
        <w:rPr>
          <w:szCs w:val="24"/>
          <w:lang w:val="es-ES"/>
        </w:rPr>
        <w:t>”</w:t>
      </w:r>
      <w:r w:rsidRPr="003C5D6B">
        <w:rPr>
          <w:szCs w:val="24"/>
          <w:lang w:val="es-ES"/>
        </w:rPr>
        <w:t>.</w:t>
      </w:r>
    </w:p>
    <w:p w:rsidR="008B6E9F" w:rsidRPr="003C5D6B" w:rsidRDefault="008B6E9F" w:rsidP="008B6E9F">
      <w:pPr>
        <w:rPr>
          <w:szCs w:val="24"/>
          <w:lang w:val="es-ES"/>
        </w:rPr>
      </w:pPr>
      <w:r w:rsidRPr="003C5D6B">
        <w:rPr>
          <w:szCs w:val="24"/>
          <w:lang w:val="es-ES"/>
        </w:rPr>
        <w:t>La gestión comprende en especial las actividades vinculadas a la entrega de licencias y autorizaciones de utilización de frecuencias así como al establecimiento y a la percepción de cánones.</w:t>
      </w:r>
    </w:p>
    <w:p w:rsidR="008B6E9F" w:rsidRPr="003C5D6B" w:rsidRDefault="008B6E9F" w:rsidP="008B6E9F">
      <w:pPr>
        <w:rPr>
          <w:szCs w:val="24"/>
          <w:lang w:val="es-ES"/>
        </w:rPr>
      </w:pPr>
      <w:r w:rsidRPr="003C5D6B">
        <w:rPr>
          <w:szCs w:val="24"/>
          <w:lang w:val="es-ES"/>
        </w:rPr>
        <w:t>Los gastos administrativos comprenden los gastos de personal, los gastos de funcionamiento y los gastos (amortización) de los edificios y equipos correspondientes a las actividades citadas.</w:t>
      </w:r>
    </w:p>
    <w:p w:rsidR="008B6E9F" w:rsidRPr="003C5D6B" w:rsidRDefault="008B6E9F" w:rsidP="008B6E9F">
      <w:pPr>
        <w:rPr>
          <w:szCs w:val="24"/>
          <w:lang w:val="es-ES"/>
        </w:rPr>
      </w:pPr>
      <w:r w:rsidRPr="003C5D6B">
        <w:rPr>
          <w:szCs w:val="24"/>
          <w:lang w:val="es-ES"/>
        </w:rPr>
        <w:t>A título de ejemplo, los organismos que se mencionan a continuación pueden desempeñar una parte más o menos importante de sus actividades en relación con el espectro, situación que habría que tener en cuenta en la determinación de los gastos administrativos: administrador del espectro, regulador del mercado de las telecomunicaciones, organismo encargado de las telecomunicaciones, ministerio o secretaría de Estado de telecomunicaciones y ministerio de asuntos exteriores.</w:t>
      </w:r>
    </w:p>
    <w:p w:rsidR="008B6E9F" w:rsidRPr="003C5D6B" w:rsidRDefault="008B6E9F" w:rsidP="008B6E9F">
      <w:pPr>
        <w:rPr>
          <w:szCs w:val="24"/>
          <w:lang w:val="es-ES"/>
        </w:rPr>
      </w:pPr>
      <w:r w:rsidRPr="003C5D6B">
        <w:rPr>
          <w:szCs w:val="24"/>
          <w:lang w:val="es-ES"/>
        </w:rPr>
        <w:t xml:space="preserve">Habitualmente, el importe de los cánones se establece durante un año. Cuando el periodo de utilización de las frecuencias es inferior a un año, los importes correspondientes se determinan </w:t>
      </w:r>
      <w:r w:rsidRPr="003C5D6B">
        <w:rPr>
          <w:i/>
          <w:szCs w:val="24"/>
          <w:lang w:val="es-ES"/>
        </w:rPr>
        <w:t>prorata temporis</w:t>
      </w:r>
      <w:r w:rsidRPr="003C5D6B">
        <w:rPr>
          <w:szCs w:val="24"/>
          <w:lang w:val="es-ES"/>
        </w:rPr>
        <w:t>. Si esos importes son inferiores al mínimo de percepción, se aplica ese mínimo (el importe mínimo de percepción corresponde a un umbral por debajo del cual el costo del cobro de un canon será superior al propio canon).</w:t>
      </w:r>
    </w:p>
    <w:p w:rsidR="008B6E9F" w:rsidRPr="003C5D6B" w:rsidRDefault="008B6E9F" w:rsidP="008B6E9F">
      <w:pPr>
        <w:rPr>
          <w:szCs w:val="24"/>
          <w:lang w:val="es-ES"/>
        </w:rPr>
      </w:pPr>
      <w:r w:rsidRPr="003C5D6B">
        <w:rPr>
          <w:szCs w:val="24"/>
          <w:lang w:val="es-ES"/>
        </w:rPr>
        <w:t>El importe total anual de los cánones administrativos impuestos debe ser el más próximo posible al importe total anual de los gastos administrativos (véanse los § [14] y [20]). Por lo tanto, es conveniente evaluar los gastos administrativos anuales con el fin de distribuirlos entre todos los usuarios de frecuencias asignadas o adjudicadas.</w:t>
      </w:r>
    </w:p>
    <w:p w:rsidR="008B6E9F" w:rsidRPr="003C5D6B" w:rsidRDefault="008B6E9F" w:rsidP="008B6E9F">
      <w:pPr>
        <w:rPr>
          <w:szCs w:val="24"/>
          <w:lang w:val="es-ES"/>
        </w:rPr>
      </w:pPr>
      <w:r w:rsidRPr="003C5D6B">
        <w:rPr>
          <w:szCs w:val="24"/>
          <w:lang w:val="es-ES"/>
        </w:rPr>
        <w:t>La aplicación de un sistema de contabilidad analítica adaptado permite determinar con relativa exactitud los gastos administrativos.</w:t>
      </w:r>
    </w:p>
    <w:p w:rsidR="008B6E9F" w:rsidRPr="003C5D6B" w:rsidRDefault="008B6E9F" w:rsidP="008B6E9F">
      <w:pPr>
        <w:rPr>
          <w:szCs w:val="24"/>
          <w:lang w:val="es-ES"/>
        </w:rPr>
      </w:pPr>
      <w:r w:rsidRPr="003C5D6B">
        <w:rPr>
          <w:szCs w:val="24"/>
          <w:lang w:val="es-ES"/>
        </w:rPr>
        <w:t>Al final del año civil o fiscal y si se constata realmente una diferencia considerable entre el importe de los cánones impuestos y el importe de los gastos administrativos, se recomienda proceder a una regularización con objeto de reabsorber esa diferencia (véanse los § [14] y [20]).</w:t>
      </w:r>
    </w:p>
    <w:p w:rsidR="008B6E9F" w:rsidRPr="003C5D6B" w:rsidRDefault="008B6E9F" w:rsidP="008B6E9F">
      <w:pPr>
        <w:rPr>
          <w:szCs w:val="24"/>
          <w:lang w:val="es-ES"/>
        </w:rPr>
      </w:pPr>
      <w:r w:rsidRPr="003C5D6B">
        <w:rPr>
          <w:szCs w:val="24"/>
          <w:lang w:val="es-ES"/>
        </w:rPr>
        <w:t>Para distribuir el importe de los gastos administrativos entre los contribuyentes del canon administrativo, se recomienda aplicar una regla de distribución simple que, en la medida de lo posible, sea representativa del trabajo administrativo consagrado respectivamente a cada uno de los contribuyentes (véase el § [9]).</w:t>
      </w:r>
    </w:p>
    <w:p w:rsidR="00D91FAC" w:rsidRPr="003C5D6B" w:rsidRDefault="00D91FAC" w:rsidP="00D91FAC">
      <w:pPr>
        <w:pStyle w:val="Heading2"/>
        <w:rPr>
          <w:szCs w:val="24"/>
          <w:lang w:val="es-ES"/>
        </w:rPr>
      </w:pPr>
      <w:bookmarkStart w:id="71" w:name="_Toc208727502"/>
      <w:bookmarkStart w:id="72" w:name="_Toc208739193"/>
      <w:bookmarkStart w:id="73" w:name="_Toc248048815"/>
      <w:bookmarkStart w:id="74" w:name="_Toc277598629"/>
      <w:bookmarkStart w:id="75" w:name="_Toc284499157"/>
      <w:bookmarkStart w:id="76" w:name="_Toc287523311"/>
      <w:bookmarkStart w:id="77" w:name="_Toc278266904"/>
      <w:bookmarkStart w:id="78" w:name="_Toc284414119"/>
      <w:bookmarkEnd w:id="56"/>
      <w:bookmarkEnd w:id="57"/>
      <w:bookmarkEnd w:id="58"/>
      <w:r w:rsidRPr="003C5D6B">
        <w:rPr>
          <w:szCs w:val="24"/>
          <w:lang w:val="es-ES"/>
        </w:rPr>
        <w:lastRenderedPageBreak/>
        <w:t>4.2</w:t>
      </w:r>
      <w:r w:rsidRPr="003C5D6B">
        <w:rPr>
          <w:szCs w:val="24"/>
          <w:lang w:val="es-ES"/>
        </w:rPr>
        <w:tab/>
        <w:t>Regla de distribu</w:t>
      </w:r>
      <w:r w:rsidR="00BC098E" w:rsidRPr="003C5D6B">
        <w:rPr>
          <w:szCs w:val="24"/>
          <w:lang w:val="es-ES"/>
        </w:rPr>
        <w:t>ción de gastos administrativos –</w:t>
      </w:r>
      <w:r w:rsidRPr="003C5D6B">
        <w:rPr>
          <w:szCs w:val="24"/>
          <w:lang w:val="es-ES"/>
        </w:rPr>
        <w:t xml:space="preserve"> Ejemplo 1</w:t>
      </w:r>
      <w:bookmarkEnd w:id="71"/>
      <w:bookmarkEnd w:id="72"/>
      <w:bookmarkEnd w:id="73"/>
      <w:bookmarkEnd w:id="74"/>
      <w:bookmarkEnd w:id="75"/>
      <w:bookmarkEnd w:id="76"/>
    </w:p>
    <w:p w:rsidR="00D91FAC" w:rsidRPr="003C5D6B" w:rsidRDefault="00D91FAC" w:rsidP="00D91FAC">
      <w:pPr>
        <w:rPr>
          <w:szCs w:val="24"/>
          <w:lang w:val="es-ES"/>
        </w:rPr>
      </w:pPr>
      <w:r w:rsidRPr="003C5D6B">
        <w:rPr>
          <w:szCs w:val="24"/>
          <w:lang w:val="es-ES"/>
        </w:rPr>
        <w:t>Los gastos administrativos anuales se distribuyen entre todos los contribuyentes del canon de gestión y proporcionalmente a su respectivo volumen de negocio.</w:t>
      </w:r>
    </w:p>
    <w:p w:rsidR="00D91FAC" w:rsidRPr="003C5D6B" w:rsidRDefault="00D91FAC" w:rsidP="00D91FAC">
      <w:pPr>
        <w:rPr>
          <w:szCs w:val="24"/>
          <w:lang w:val="es-ES"/>
        </w:rPr>
      </w:pPr>
      <w:r w:rsidRPr="003C5D6B">
        <w:rPr>
          <w:szCs w:val="24"/>
          <w:lang w:val="es-ES"/>
        </w:rPr>
        <w:t xml:space="preserve">Por ejemplo, para un contribuyente cuyo volumen de negocio es igual a CA, el importe anual del canon administrativo </w:t>
      </w:r>
      <w:r w:rsidRPr="003C5D6B">
        <w:rPr>
          <w:i/>
          <w:iCs/>
          <w:szCs w:val="24"/>
          <w:lang w:val="es-ES"/>
        </w:rPr>
        <w:t>Ra</w:t>
      </w:r>
      <w:r w:rsidRPr="003C5D6B">
        <w:rPr>
          <w:szCs w:val="24"/>
          <w:lang w:val="es-ES"/>
        </w:rPr>
        <w:t xml:space="preserve"> para el año considerado es el siguiente:</w:t>
      </w:r>
    </w:p>
    <w:p w:rsidR="003B7969" w:rsidRPr="003C5D6B" w:rsidRDefault="00BD12C3" w:rsidP="008650D4">
      <w:pPr>
        <w:pBdr>
          <w:top w:val="single" w:sz="4" w:space="1" w:color="auto"/>
          <w:left w:val="single" w:sz="4" w:space="4" w:color="auto"/>
          <w:bottom w:val="single" w:sz="4" w:space="1" w:color="auto"/>
          <w:right w:val="single" w:sz="4" w:space="4" w:color="auto"/>
        </w:pBdr>
        <w:rPr>
          <w:szCs w:val="24"/>
          <w:lang w:val="es-ES"/>
        </w:rPr>
      </w:pPr>
      <m:oMathPara>
        <m:oMath>
          <m:r>
            <w:rPr>
              <w:rFonts w:ascii="Cambria Math" w:hAnsi="Cambria Math" w:cstheme="majorBidi"/>
              <w:lang w:val="es-ES"/>
            </w:rPr>
            <m:t>Ra</m:t>
          </m:r>
          <m:r>
            <w:rPr>
              <w:rFonts w:ascii="Cambria Math" w:hAnsiTheme="majorBidi" w:cstheme="majorBidi"/>
              <w:lang w:val="es-ES"/>
            </w:rPr>
            <m:t xml:space="preserve">= </m:t>
          </m:r>
          <m:f>
            <m:fPr>
              <m:ctrlPr>
                <w:rPr>
                  <w:rFonts w:ascii="Cambria Math" w:hAnsiTheme="majorBidi" w:cstheme="majorBidi"/>
                  <w:i/>
                  <w:lang w:val="es-ES"/>
                </w:rPr>
              </m:ctrlPr>
            </m:fPr>
            <m:num>
              <m:r>
                <w:rPr>
                  <w:rFonts w:ascii="Cambria Math" w:hAnsiTheme="majorBidi" w:cstheme="majorBidi"/>
                  <w:lang w:val="es-ES"/>
                </w:rPr>
                <m:t>gastos administrat</m:t>
              </m:r>
              <m:r>
                <w:rPr>
                  <w:rFonts w:ascii="Cambria Math" w:hAnsiTheme="majorBidi" w:cstheme="majorBidi"/>
                  <w:lang w:val="es-ES"/>
                </w:rPr>
                <m:t>ivos del a</m:t>
              </m:r>
              <m:r>
                <w:rPr>
                  <w:rFonts w:ascii="Cambria Math" w:hAnsiTheme="majorBidi" w:cstheme="majorBidi"/>
                  <w:lang w:val="es-ES"/>
                </w:rPr>
                <m:t>ñ</m:t>
              </m:r>
              <m:r>
                <w:rPr>
                  <w:rFonts w:ascii="Cambria Math" w:hAnsiTheme="majorBidi" w:cstheme="majorBidi"/>
                  <w:lang w:val="es-ES"/>
                </w:rPr>
                <m:t>o considerado</m:t>
              </m:r>
            </m:num>
            <m:den>
              <m:r>
                <w:rPr>
                  <w:rFonts w:ascii="Cambria Math" w:hAnsiTheme="majorBidi" w:cstheme="majorBidi"/>
                  <w:lang w:val="es-ES"/>
                </w:rPr>
                <m:t>suma del volumen de negocio de todos los contribuyentes para el a</m:t>
              </m:r>
              <m:r>
                <w:rPr>
                  <w:rFonts w:ascii="Cambria Math" w:hAnsiTheme="majorBidi" w:cstheme="majorBidi"/>
                  <w:lang w:val="es-ES"/>
                </w:rPr>
                <m:t>ñ</m:t>
              </m:r>
              <m:r>
                <w:rPr>
                  <w:rFonts w:ascii="Cambria Math" w:hAnsiTheme="majorBidi" w:cstheme="majorBidi"/>
                  <w:lang w:val="es-ES"/>
                </w:rPr>
                <m:t>o considerado</m:t>
              </m:r>
            </m:den>
          </m:f>
          <m:r>
            <w:rPr>
              <w:rFonts w:ascii="Cambria Math" w:hAnsi="Cambria Math" w:cstheme="majorBidi"/>
              <w:lang w:val="es-ES"/>
            </w:rPr>
            <m:t>*CA</m:t>
          </m:r>
        </m:oMath>
      </m:oMathPara>
    </w:p>
    <w:p w:rsidR="00D91FAC" w:rsidRPr="003C5D6B" w:rsidRDefault="00D91FAC" w:rsidP="003B7969">
      <w:pPr>
        <w:rPr>
          <w:lang w:val="es-ES"/>
        </w:rPr>
      </w:pPr>
      <w:r w:rsidRPr="003C5D6B">
        <w:rPr>
          <w:lang w:val="es-ES"/>
        </w:rPr>
        <w:t>Esta regla, pese a la ventaja de ser simple, puede penalizar particularmente a los contribuyentes que sólo poseen una red radioeléctrica privada y cuya actividad industrial o comercial es importante pero no guarda relación con el dominio de las frecuencias, ya que podrían estar obligados a pagar un canon muy superior al costo del servicio prestado.</w:t>
      </w:r>
    </w:p>
    <w:p w:rsidR="00D91FAC" w:rsidRPr="003C5D6B" w:rsidRDefault="00D91FAC" w:rsidP="00D91FAC">
      <w:pPr>
        <w:rPr>
          <w:szCs w:val="24"/>
          <w:lang w:val="es-ES"/>
        </w:rPr>
      </w:pPr>
      <w:r w:rsidRPr="003C5D6B">
        <w:rPr>
          <w:szCs w:val="24"/>
          <w:lang w:val="es-ES"/>
        </w:rPr>
        <w:t>Esta regla podría utilizarse en lugar de la regla descrita en el § 4.3.</w:t>
      </w:r>
    </w:p>
    <w:p w:rsidR="0049099C" w:rsidRPr="003C5D6B" w:rsidRDefault="0049099C" w:rsidP="0049099C">
      <w:pPr>
        <w:pStyle w:val="Heading2"/>
        <w:rPr>
          <w:szCs w:val="22"/>
          <w:lang w:val="es-ES"/>
        </w:rPr>
      </w:pPr>
      <w:bookmarkStart w:id="79" w:name="_Toc208727503"/>
      <w:bookmarkStart w:id="80" w:name="_Toc208739194"/>
      <w:bookmarkStart w:id="81" w:name="_Toc248048816"/>
      <w:bookmarkStart w:id="82" w:name="_Toc277598630"/>
      <w:bookmarkStart w:id="83" w:name="_Toc284499158"/>
      <w:bookmarkStart w:id="84" w:name="_Toc287523312"/>
      <w:bookmarkEnd w:id="77"/>
      <w:bookmarkEnd w:id="78"/>
      <w:r w:rsidRPr="003C5D6B">
        <w:rPr>
          <w:szCs w:val="22"/>
          <w:lang w:val="es-ES"/>
        </w:rPr>
        <w:t>4.3</w:t>
      </w:r>
      <w:r w:rsidRPr="003C5D6B">
        <w:rPr>
          <w:szCs w:val="22"/>
          <w:lang w:val="es-ES"/>
        </w:rPr>
        <w:tab/>
        <w:t>Regla de distribución de gastos administrativos – Ejemplo 2</w:t>
      </w:r>
      <w:bookmarkEnd w:id="79"/>
      <w:bookmarkEnd w:id="80"/>
      <w:bookmarkEnd w:id="81"/>
      <w:bookmarkEnd w:id="82"/>
      <w:bookmarkEnd w:id="83"/>
      <w:bookmarkEnd w:id="84"/>
    </w:p>
    <w:p w:rsidR="0049099C" w:rsidRPr="003C5D6B" w:rsidRDefault="0049099C" w:rsidP="0049099C">
      <w:pPr>
        <w:rPr>
          <w:szCs w:val="22"/>
          <w:lang w:val="es-ES"/>
        </w:rPr>
      </w:pPr>
      <w:r w:rsidRPr="003C5D6B">
        <w:rPr>
          <w:szCs w:val="22"/>
          <w:lang w:val="es-ES"/>
        </w:rPr>
        <w:t>Los gastos administrativos se distribuyen tras efectuar un prorrateo con el número de asignaciones y adjudicaciones atribuidas respectivamente a cada uno de los contribuyentes del canon de gestión (ver § [1] y [2]).</w:t>
      </w:r>
    </w:p>
    <w:p w:rsidR="0049099C" w:rsidRPr="003C5D6B" w:rsidRDefault="0049099C" w:rsidP="0049099C">
      <w:pPr>
        <w:rPr>
          <w:szCs w:val="22"/>
          <w:lang w:val="es-ES"/>
        </w:rPr>
      </w:pPr>
      <w:r w:rsidRPr="003C5D6B">
        <w:rPr>
          <w:szCs w:val="22"/>
          <w:lang w:val="es-ES"/>
        </w:rPr>
        <w:t>En la práctica, se determinan dos valores monetarios de referencia que corresponden respectivamente al importe del canon administrativo para una frecuencia asignada (G) y al importe del canon administrativo para una banda de frecuencias de 1 MHz atribuidas (G').</w:t>
      </w:r>
    </w:p>
    <w:p w:rsidR="0049099C" w:rsidRPr="003C5D6B" w:rsidRDefault="0049099C" w:rsidP="0049099C">
      <w:pPr>
        <w:rPr>
          <w:szCs w:val="22"/>
          <w:lang w:val="es-ES"/>
        </w:rPr>
      </w:pPr>
      <w:r w:rsidRPr="003C5D6B">
        <w:rPr>
          <w:szCs w:val="22"/>
          <w:lang w:val="es-ES"/>
        </w:rPr>
        <w:t>La determinación de los valores G y G' debería permitir realizar de la mejor manera posible el siguiente cálculo para un año considerado (véanse los § [14] y [20]):</w:t>
      </w:r>
    </w:p>
    <w:p w:rsidR="00226A5C" w:rsidRPr="003C5D6B" w:rsidRDefault="00226A5C" w:rsidP="00E34144">
      <w:pPr>
        <w:pBdr>
          <w:top w:val="single" w:sz="4" w:space="1" w:color="auto"/>
          <w:left w:val="single" w:sz="4" w:space="4" w:color="auto"/>
          <w:bottom w:val="single" w:sz="4" w:space="1" w:color="auto"/>
          <w:right w:val="single" w:sz="4" w:space="4" w:color="auto"/>
        </w:pBdr>
        <w:rPr>
          <w:lang w:val="es-ES"/>
        </w:rPr>
      </w:pPr>
      <m:oMathPara>
        <m:oMath>
          <m:r>
            <m:rPr>
              <m:sty m:val="p"/>
            </m:rPr>
            <w:rPr>
              <w:rFonts w:ascii="Cambria Math" w:hAnsi="Cambria Math"/>
              <w:lang w:val="es-ES"/>
            </w:rPr>
            <m:t>Gastos administrativos=</m:t>
          </m:r>
          <m:r>
            <w:rPr>
              <w:rFonts w:ascii="Cambria Math" w:hAnsi="Cambria Math"/>
              <w:lang w:val="es-ES"/>
            </w:rPr>
            <m:t xml:space="preserve"> </m:t>
          </m:r>
          <m:m>
            <m:mPr>
              <m:mcs>
                <m:mc>
                  <m:mcPr>
                    <m:count m:val="1"/>
                    <m:mcJc m:val="center"/>
                  </m:mcPr>
                </m:mc>
              </m:mcs>
              <m:ctrlPr>
                <w:rPr>
                  <w:rFonts w:ascii="Cambria Math" w:hAnsi="Cambria Math"/>
                  <w:iCs/>
                  <w:lang w:val="es-ES"/>
                </w:rPr>
              </m:ctrlPr>
            </m:mPr>
            <m:mr>
              <m:e>
                <m:r>
                  <m:rPr>
                    <m:sty m:val="p"/>
                  </m:rPr>
                  <w:rPr>
                    <w:rFonts w:ascii="Cambria Math" w:hAnsi="Cambria Math"/>
                    <w:lang w:val="es-ES"/>
                  </w:rPr>
                  <m:t>número total de frecuencias asignadas en el conjunto del territorio*G</m:t>
                </m:r>
              </m:e>
            </m:mr>
            <m:mr>
              <m:e>
                <m:r>
                  <m:rPr>
                    <m:sty m:val="p"/>
                  </m:rPr>
                  <w:rPr>
                    <w:rFonts w:ascii="Cambria Math" w:hAnsi="Cambria Math"/>
                    <w:lang w:val="es-ES"/>
                  </w:rPr>
                  <m:t>+ número total de MHz atribuidos en el conjunto del territorio*G'</m:t>
                </m:r>
              </m:e>
            </m:mr>
          </m:m>
        </m:oMath>
      </m:oMathPara>
    </w:p>
    <w:p w:rsidR="0049099C" w:rsidRPr="003C5D6B" w:rsidRDefault="0049099C" w:rsidP="00226A5C">
      <w:pPr>
        <w:rPr>
          <w:lang w:val="es-ES"/>
        </w:rPr>
      </w:pPr>
      <w:r w:rsidRPr="003C5D6B">
        <w:rPr>
          <w:lang w:val="es-ES"/>
        </w:rPr>
        <w:t xml:space="preserve">A título de ejemplo, un contribuyente, que se beneficia de 50 frecuencias asignadas y de 20 MHz atribuidos, paga un canon administrativo anual </w:t>
      </w:r>
      <w:r w:rsidRPr="003C5D6B">
        <w:rPr>
          <w:i/>
          <w:lang w:val="es-ES"/>
        </w:rPr>
        <w:t>Ra</w:t>
      </w:r>
      <w:r w:rsidRPr="003C5D6B">
        <w:rPr>
          <w:lang w:val="es-ES"/>
        </w:rPr>
        <w:t xml:space="preserve"> igual a:</w:t>
      </w:r>
    </w:p>
    <w:p w:rsidR="0049099C" w:rsidRPr="003C5D6B" w:rsidRDefault="0049099C" w:rsidP="0049099C">
      <w:pPr>
        <w:jc w:val="center"/>
        <w:rPr>
          <w:szCs w:val="22"/>
          <w:lang w:val="es-ES"/>
        </w:rPr>
      </w:pPr>
      <w:r w:rsidRPr="003C5D6B">
        <w:rPr>
          <w:szCs w:val="22"/>
          <w:lang w:val="es-ES"/>
        </w:rPr>
        <w:t>Ra = 50 * G + 20 * G'</w:t>
      </w:r>
    </w:p>
    <w:p w:rsidR="0049099C" w:rsidRPr="003C5D6B" w:rsidRDefault="0049099C" w:rsidP="0049099C">
      <w:pPr>
        <w:rPr>
          <w:szCs w:val="22"/>
          <w:lang w:val="es-ES"/>
        </w:rPr>
      </w:pPr>
      <w:r w:rsidRPr="003C5D6B">
        <w:rPr>
          <w:szCs w:val="22"/>
          <w:lang w:val="es-ES"/>
        </w:rPr>
        <w:t>Con frecuencia, el trabajo administrativo relativo a una adjudicación es superior al de una asignación. Por lo tanto, se recomienda tenerlo en cuenta atribuyendo un lugar más importante a las adjudicaciones en el desglose de los gastos administrativos, es decir, cuando se determinan los valores de G y G'.</w:t>
      </w:r>
    </w:p>
    <w:p w:rsidR="0049099C" w:rsidRPr="003C5D6B" w:rsidRDefault="0049099C" w:rsidP="0049099C">
      <w:pPr>
        <w:rPr>
          <w:szCs w:val="22"/>
          <w:lang w:val="es-ES"/>
        </w:rPr>
      </w:pPr>
      <w:r w:rsidRPr="003C5D6B">
        <w:rPr>
          <w:szCs w:val="22"/>
          <w:lang w:val="es-ES"/>
        </w:rPr>
        <w:t>Un sistema de contabilidad analítica adaptada permite determinar con facilidad los valores de G y G'.</w:t>
      </w:r>
    </w:p>
    <w:p w:rsidR="006031CD" w:rsidRPr="003C5D6B" w:rsidRDefault="0049099C" w:rsidP="0049099C">
      <w:pPr>
        <w:rPr>
          <w:lang w:val="es-ES"/>
        </w:rPr>
      </w:pPr>
      <w:r w:rsidRPr="003C5D6B">
        <w:rPr>
          <w:szCs w:val="22"/>
          <w:lang w:val="es-ES"/>
        </w:rPr>
        <w:t>Esta regla de distribución de los gastos administrativos tiene la ventaja de reflejar de manera adecuada el servicio prestado dado que el trabajo administrativo realizado aumenta con el número de frecuencias asignadas y el número de MHz adjudicados que se atribuyen a un mismo</w:t>
      </w:r>
      <w:r w:rsidRPr="003C5D6B">
        <w:rPr>
          <w:sz w:val="24"/>
          <w:szCs w:val="24"/>
          <w:lang w:val="es-ES"/>
        </w:rPr>
        <w:t xml:space="preserve"> contribuyente.</w:t>
      </w:r>
    </w:p>
    <w:p w:rsidR="0056750E" w:rsidRPr="003C5D6B" w:rsidRDefault="0056750E" w:rsidP="0056750E">
      <w:pPr>
        <w:pStyle w:val="Heading1"/>
        <w:rPr>
          <w:szCs w:val="24"/>
          <w:lang w:val="es-ES"/>
        </w:rPr>
      </w:pPr>
      <w:bookmarkStart w:id="85" w:name="_Toc208727504"/>
      <w:bookmarkStart w:id="86" w:name="_Toc208739195"/>
      <w:bookmarkStart w:id="87" w:name="_Toc248048817"/>
      <w:bookmarkStart w:id="88" w:name="_Toc277598631"/>
      <w:bookmarkStart w:id="89" w:name="_Toc284499159"/>
      <w:bookmarkStart w:id="90" w:name="_Toc287523313"/>
      <w:r w:rsidRPr="003C5D6B">
        <w:rPr>
          <w:szCs w:val="24"/>
          <w:lang w:val="es-ES"/>
        </w:rPr>
        <w:t>5</w:t>
      </w:r>
      <w:r w:rsidRPr="003C5D6B">
        <w:rPr>
          <w:szCs w:val="24"/>
          <w:lang w:val="es-ES"/>
        </w:rPr>
        <w:tab/>
        <w:t>Directrices para el establecimiento de cánones del espectro</w:t>
      </w:r>
      <w:bookmarkEnd w:id="85"/>
      <w:bookmarkEnd w:id="86"/>
      <w:bookmarkEnd w:id="87"/>
      <w:bookmarkEnd w:id="88"/>
      <w:bookmarkEnd w:id="89"/>
      <w:bookmarkEnd w:id="90"/>
    </w:p>
    <w:p w:rsidR="0056750E" w:rsidRPr="003C5D6B" w:rsidRDefault="0056750E" w:rsidP="0056750E">
      <w:pPr>
        <w:pStyle w:val="Heading2"/>
        <w:rPr>
          <w:szCs w:val="24"/>
          <w:lang w:val="es-ES"/>
        </w:rPr>
      </w:pPr>
      <w:bookmarkStart w:id="91" w:name="_Toc208727505"/>
      <w:bookmarkStart w:id="92" w:name="_Toc208739196"/>
      <w:bookmarkStart w:id="93" w:name="_Toc248048818"/>
      <w:bookmarkStart w:id="94" w:name="_Toc277598632"/>
      <w:bookmarkStart w:id="95" w:name="_Toc284499160"/>
      <w:bookmarkStart w:id="96" w:name="_Toc287523314"/>
      <w:r w:rsidRPr="003C5D6B">
        <w:rPr>
          <w:szCs w:val="24"/>
          <w:lang w:val="es-ES"/>
        </w:rPr>
        <w:t>5.1</w:t>
      </w:r>
      <w:r w:rsidRPr="003C5D6B">
        <w:rPr>
          <w:szCs w:val="24"/>
          <w:lang w:val="es-ES"/>
        </w:rPr>
        <w:tab/>
        <w:t>Observaciones y disposiciones generales</w:t>
      </w:r>
      <w:bookmarkEnd w:id="91"/>
      <w:bookmarkEnd w:id="92"/>
      <w:bookmarkEnd w:id="93"/>
      <w:bookmarkEnd w:id="94"/>
      <w:bookmarkEnd w:id="95"/>
      <w:bookmarkEnd w:id="96"/>
    </w:p>
    <w:p w:rsidR="0056750E" w:rsidRPr="003C5D6B" w:rsidRDefault="0056750E" w:rsidP="0056750E">
      <w:pPr>
        <w:rPr>
          <w:szCs w:val="24"/>
          <w:lang w:val="es-ES"/>
        </w:rPr>
      </w:pPr>
      <w:r w:rsidRPr="003C5D6B">
        <w:rPr>
          <w:szCs w:val="24"/>
          <w:lang w:val="es-ES"/>
        </w:rPr>
        <w:t>El sistema de cánones del espectro debe respetar en especial los principios económicos que figuran en los § [12], [15] y [16].</w:t>
      </w:r>
    </w:p>
    <w:p w:rsidR="0056750E" w:rsidRPr="003C5D6B" w:rsidRDefault="0056750E" w:rsidP="0056750E">
      <w:pPr>
        <w:rPr>
          <w:szCs w:val="24"/>
          <w:lang w:val="es-ES"/>
        </w:rPr>
      </w:pPr>
      <w:r w:rsidRPr="003C5D6B">
        <w:rPr>
          <w:szCs w:val="24"/>
          <w:lang w:val="es-ES"/>
        </w:rPr>
        <w:t>Además, debe tener en cuenta los principios de realidad, (véanse los § [18] y [19]) para fijar la base del cálculo de los cánones.</w:t>
      </w:r>
    </w:p>
    <w:p w:rsidR="0056750E" w:rsidRPr="003C5D6B" w:rsidRDefault="0056750E" w:rsidP="0056750E">
      <w:pPr>
        <w:pStyle w:val="Heading3"/>
        <w:rPr>
          <w:szCs w:val="24"/>
          <w:lang w:val="es-ES"/>
        </w:rPr>
      </w:pPr>
      <w:bookmarkStart w:id="97" w:name="_Toc248048819"/>
      <w:bookmarkStart w:id="98" w:name="_Toc277598633"/>
      <w:r w:rsidRPr="003C5D6B">
        <w:rPr>
          <w:szCs w:val="24"/>
          <w:lang w:val="es-ES"/>
        </w:rPr>
        <w:t>5.1.1</w:t>
      </w:r>
      <w:r w:rsidRPr="003C5D6B">
        <w:rPr>
          <w:szCs w:val="24"/>
          <w:lang w:val="es-ES"/>
        </w:rPr>
        <w:tab/>
        <w:t>Objetivo presupuestario de los poderes públicos</w:t>
      </w:r>
      <w:bookmarkEnd w:id="97"/>
      <w:bookmarkEnd w:id="98"/>
    </w:p>
    <w:p w:rsidR="0056750E" w:rsidRPr="003C5D6B" w:rsidRDefault="0056750E" w:rsidP="0056750E">
      <w:pPr>
        <w:rPr>
          <w:szCs w:val="24"/>
          <w:lang w:val="es-ES"/>
        </w:rPr>
      </w:pPr>
      <w:r w:rsidRPr="003C5D6B">
        <w:rPr>
          <w:szCs w:val="24"/>
          <w:lang w:val="es-ES"/>
        </w:rPr>
        <w:t xml:space="preserve">En general, el objetivo presupuestario se expresa mediante un importe </w:t>
      </w:r>
      <w:r w:rsidRPr="003C5D6B">
        <w:rPr>
          <w:szCs w:val="24"/>
          <w:u w:val="single"/>
          <w:lang w:val="es-ES"/>
        </w:rPr>
        <w:t>global</w:t>
      </w:r>
      <w:r w:rsidRPr="003C5D6B">
        <w:rPr>
          <w:szCs w:val="24"/>
          <w:lang w:val="es-ES"/>
        </w:rPr>
        <w:t xml:space="preserve"> de los ingresos que los cánones deben representar para el Estado.</w:t>
      </w:r>
    </w:p>
    <w:p w:rsidR="0056750E" w:rsidRPr="003C5D6B" w:rsidRDefault="0056750E" w:rsidP="0056750E">
      <w:pPr>
        <w:rPr>
          <w:szCs w:val="24"/>
          <w:lang w:val="es-ES"/>
        </w:rPr>
      </w:pPr>
      <w:r w:rsidRPr="003C5D6B">
        <w:rPr>
          <w:szCs w:val="24"/>
          <w:lang w:val="es-ES"/>
        </w:rPr>
        <w:lastRenderedPageBreak/>
        <w:t>[21]</w:t>
      </w:r>
      <w:r w:rsidRPr="003C5D6B">
        <w:rPr>
          <w:szCs w:val="24"/>
          <w:lang w:val="es-ES"/>
        </w:rPr>
        <w:tab/>
        <w:t>Ateniéndose al importe global de ingresos fijado por los poderes públicos, se recomienda adaptar el importe de los cánones según las aplicaciones con objeto de respetar mejor las otras tres funciones de los cánones del espectro (véanse los § [15.2], [15.3] y [15.4]).</w:t>
      </w:r>
    </w:p>
    <w:p w:rsidR="0056750E" w:rsidRPr="003C5D6B" w:rsidRDefault="0056750E" w:rsidP="0056750E">
      <w:pPr>
        <w:pStyle w:val="Heading3"/>
        <w:rPr>
          <w:szCs w:val="24"/>
          <w:lang w:val="es-ES"/>
        </w:rPr>
      </w:pPr>
      <w:bookmarkStart w:id="99" w:name="_Toc248048820"/>
      <w:bookmarkStart w:id="100" w:name="_Toc277598634"/>
      <w:r w:rsidRPr="003C5D6B">
        <w:rPr>
          <w:szCs w:val="24"/>
          <w:lang w:val="es-ES"/>
        </w:rPr>
        <w:t>5.1.2</w:t>
      </w:r>
      <w:r w:rsidRPr="003C5D6B">
        <w:rPr>
          <w:szCs w:val="24"/>
          <w:lang w:val="es-ES"/>
        </w:rPr>
        <w:tab/>
        <w:t>Objetivos económicos de los poderes públicos</w:t>
      </w:r>
      <w:bookmarkEnd w:id="99"/>
      <w:bookmarkEnd w:id="100"/>
    </w:p>
    <w:p w:rsidR="0056750E" w:rsidRPr="003C5D6B" w:rsidRDefault="0056750E" w:rsidP="0056750E">
      <w:pPr>
        <w:rPr>
          <w:szCs w:val="24"/>
          <w:lang w:val="es-ES"/>
        </w:rPr>
      </w:pPr>
      <w:r w:rsidRPr="003C5D6B">
        <w:rPr>
          <w:szCs w:val="24"/>
          <w:lang w:val="es-ES"/>
        </w:rPr>
        <w:t>[22]</w:t>
      </w:r>
      <w:r w:rsidRPr="003C5D6B">
        <w:rPr>
          <w:szCs w:val="24"/>
          <w:lang w:val="es-ES"/>
        </w:rPr>
        <w:tab/>
        <w:t>En la mayoría de los casos, la utilización de las frecuencias contribuye a aumentar la eficacia y la productividad de los agentes económicos y participa de esa manera en el desarrollo del país. A título ilustrativo, se podría mencionar la utilización de las comunicaciones móviles por parte de las empresas de trabajos públicos en las obras en construcción con objeto de mejorar su productividad. Para este tipo de utilización de frecuencias, aplicar cánones muy elevados podría restringir dicha utilización y afectar los objetivos de desarrollo del país.</w:t>
      </w:r>
    </w:p>
    <w:p w:rsidR="0056750E" w:rsidRPr="003C5D6B" w:rsidRDefault="0056750E" w:rsidP="0056750E">
      <w:pPr>
        <w:rPr>
          <w:szCs w:val="24"/>
          <w:lang w:val="es-ES"/>
        </w:rPr>
      </w:pPr>
      <w:r w:rsidRPr="003C5D6B">
        <w:rPr>
          <w:szCs w:val="24"/>
          <w:lang w:val="es-ES"/>
        </w:rPr>
        <w:t>[23]</w:t>
      </w:r>
      <w:r w:rsidRPr="003C5D6B">
        <w:rPr>
          <w:szCs w:val="24"/>
          <w:lang w:val="es-ES"/>
        </w:rPr>
        <w:tab/>
        <w:t xml:space="preserve">En un cierto número de casos, la introducción de un nuevo servicio de radiocomunicaciones exige importantes inversiones. Por este motivo, cuando ello ocurre y durante la fase de introducción y de inicio del servicio, la aplicación de un </w:t>
      </w:r>
      <w:r w:rsidR="00D7085B" w:rsidRPr="003C5D6B">
        <w:rPr>
          <w:szCs w:val="24"/>
          <w:lang w:val="es-ES"/>
        </w:rPr>
        <w:t>“</w:t>
      </w:r>
      <w:r w:rsidRPr="003C5D6B">
        <w:rPr>
          <w:szCs w:val="24"/>
          <w:lang w:val="es-ES"/>
        </w:rPr>
        <w:t>derecho de entrada</w:t>
      </w:r>
      <w:r w:rsidR="00D7085B" w:rsidRPr="003C5D6B">
        <w:rPr>
          <w:szCs w:val="24"/>
          <w:lang w:val="es-ES"/>
        </w:rPr>
        <w:t>”</w:t>
      </w:r>
      <w:r w:rsidRPr="003C5D6B">
        <w:rPr>
          <w:szCs w:val="24"/>
          <w:lang w:val="es-ES"/>
        </w:rPr>
        <w:t xml:space="preserve"> o canon anual muy elevado podría reducir la capacidad de la inversión de los operadores interesados y retardar de esa manera la difusión del servicio.</w:t>
      </w:r>
    </w:p>
    <w:p w:rsidR="0056750E" w:rsidRPr="003C5D6B" w:rsidRDefault="0056750E" w:rsidP="0056750E">
      <w:pPr>
        <w:rPr>
          <w:szCs w:val="24"/>
          <w:lang w:val="es-ES"/>
        </w:rPr>
      </w:pPr>
      <w:r w:rsidRPr="003C5D6B">
        <w:rPr>
          <w:szCs w:val="24"/>
          <w:lang w:val="es-ES"/>
        </w:rPr>
        <w:t>Los poderes públicos también pueden tener objetivos de ordenación del territorio. Llegado el caso, el importe de los cánones podría adaptarse para contemplar esos objetivos (véase el § [5]).</w:t>
      </w:r>
    </w:p>
    <w:p w:rsidR="0056750E" w:rsidRPr="003C5D6B" w:rsidRDefault="0056750E" w:rsidP="0056750E">
      <w:pPr>
        <w:pStyle w:val="Heading3"/>
        <w:rPr>
          <w:szCs w:val="24"/>
          <w:lang w:val="es-ES"/>
        </w:rPr>
      </w:pPr>
      <w:bookmarkStart w:id="101" w:name="_Toc248048821"/>
      <w:bookmarkStart w:id="102" w:name="_Toc277598635"/>
      <w:r w:rsidRPr="003C5D6B">
        <w:rPr>
          <w:szCs w:val="24"/>
          <w:lang w:val="es-ES"/>
        </w:rPr>
        <w:t>5.1.3</w:t>
      </w:r>
      <w:r w:rsidRPr="003C5D6B">
        <w:rPr>
          <w:szCs w:val="24"/>
          <w:lang w:val="es-ES"/>
        </w:rPr>
        <w:tab/>
        <w:t>Consideración de las ventajas derivadas de la ocupación del espectro</w:t>
      </w:r>
      <w:bookmarkEnd w:id="101"/>
      <w:bookmarkEnd w:id="102"/>
    </w:p>
    <w:p w:rsidR="0056750E" w:rsidRPr="003C5D6B" w:rsidRDefault="0056750E" w:rsidP="0056750E">
      <w:pPr>
        <w:rPr>
          <w:szCs w:val="24"/>
          <w:lang w:val="es-ES"/>
        </w:rPr>
      </w:pPr>
      <w:r w:rsidRPr="003C5D6B">
        <w:rPr>
          <w:szCs w:val="24"/>
          <w:lang w:val="es-ES"/>
        </w:rPr>
        <w:t>Las ventajas que aporta la ocupación del espectro dependen de la utilización que hacen los ocupantes en relación a las frecuencias atribuidas.</w:t>
      </w:r>
    </w:p>
    <w:p w:rsidR="0056750E" w:rsidRPr="003C5D6B" w:rsidRDefault="0056750E" w:rsidP="0056750E">
      <w:pPr>
        <w:rPr>
          <w:szCs w:val="24"/>
          <w:lang w:val="es-ES"/>
        </w:rPr>
      </w:pPr>
      <w:r w:rsidRPr="003C5D6B">
        <w:rPr>
          <w:szCs w:val="24"/>
          <w:lang w:val="es-ES"/>
        </w:rPr>
        <w:t>[24]</w:t>
      </w:r>
      <w:r w:rsidRPr="003C5D6B">
        <w:rPr>
          <w:szCs w:val="24"/>
          <w:lang w:val="es-ES"/>
        </w:rPr>
        <w:tab/>
        <w:t>Cuando un agente económico utiliza las frecuencias para satisfacer necesidades propias, las ventajas que aporta esa utilización son limitadas en términos de aumento de la productividad. Estos aumentos se reflejan en una mayor eficacia y en una disminución de los costos de explotación. Por ejemplo, una empresa de taxis utiliza una red privada de comunicaciones móviles para aumentar su eficacia comercial o un operador de telecomunicaciones utiliza una red de relevadores radioeléctricos si los costos de explotación son menores que los de un sistema de cable.</w:t>
      </w:r>
    </w:p>
    <w:p w:rsidR="0056750E" w:rsidRPr="003C5D6B" w:rsidRDefault="0056750E" w:rsidP="0056750E">
      <w:pPr>
        <w:rPr>
          <w:szCs w:val="24"/>
          <w:lang w:val="es-ES"/>
        </w:rPr>
      </w:pPr>
      <w:r w:rsidRPr="003C5D6B">
        <w:rPr>
          <w:szCs w:val="24"/>
          <w:lang w:val="es-ES"/>
        </w:rPr>
        <w:t>[25]</w:t>
      </w:r>
      <w:r w:rsidRPr="003C5D6B">
        <w:rPr>
          <w:szCs w:val="24"/>
          <w:lang w:val="es-ES"/>
        </w:rPr>
        <w:tab/>
        <w:t>Cuando un agente económico utiliza una banda de frecuencias para ofrecer o comercializar servicios destinados a un mercado de usuarios, obtiene por ello una renta de situación de la que no se benefician quienes no tienen acceso a dicha banda de frecuencias o a una equivalente desde el punto de vista económico. Por ejemplo, éste es el caso, en especial, de los editores de programas de televisión o de los operadores de servicios móviles GSM.</w:t>
      </w:r>
    </w:p>
    <w:p w:rsidR="0056750E" w:rsidRPr="003C5D6B" w:rsidRDefault="0056750E" w:rsidP="0056750E">
      <w:pPr>
        <w:rPr>
          <w:szCs w:val="24"/>
          <w:lang w:val="es-ES"/>
        </w:rPr>
      </w:pPr>
      <w:r w:rsidRPr="003C5D6B">
        <w:rPr>
          <w:szCs w:val="24"/>
          <w:lang w:val="es-ES"/>
        </w:rPr>
        <w:t xml:space="preserve">El valor de las rentas de situación es en general muy superior al valor de los aumentos de productividad citados, en particular, cuando los recursos del espectro son escasos. </w:t>
      </w:r>
    </w:p>
    <w:p w:rsidR="0056750E" w:rsidRPr="003C5D6B" w:rsidRDefault="0056750E" w:rsidP="0056750E">
      <w:pPr>
        <w:rPr>
          <w:szCs w:val="24"/>
          <w:lang w:val="es-ES"/>
        </w:rPr>
      </w:pPr>
      <w:r w:rsidRPr="003C5D6B">
        <w:rPr>
          <w:szCs w:val="24"/>
          <w:lang w:val="es-ES"/>
        </w:rPr>
        <w:t>Las modalidades de establecimiento de cánones del espectro deben pues reflejar la diferencia que existe entre el valor de las rentas de situación y el valor de los aumentos de productividad (véase el § [15.3]).</w:t>
      </w:r>
    </w:p>
    <w:p w:rsidR="0056750E" w:rsidRPr="003C5D6B" w:rsidRDefault="0056750E" w:rsidP="0056750E">
      <w:pPr>
        <w:pStyle w:val="Heading3"/>
        <w:rPr>
          <w:szCs w:val="24"/>
          <w:lang w:val="es-ES"/>
        </w:rPr>
      </w:pPr>
      <w:bookmarkStart w:id="103" w:name="_Toc248048822"/>
      <w:bookmarkStart w:id="104" w:name="_Toc277598636"/>
      <w:r w:rsidRPr="003C5D6B">
        <w:rPr>
          <w:szCs w:val="24"/>
          <w:lang w:val="es-ES"/>
        </w:rPr>
        <w:t>5.1.4</w:t>
      </w:r>
      <w:r w:rsidRPr="003C5D6B">
        <w:rPr>
          <w:szCs w:val="24"/>
          <w:lang w:val="es-ES"/>
        </w:rPr>
        <w:tab/>
        <w:t>Herramienta de gestión del espectro</w:t>
      </w:r>
      <w:bookmarkEnd w:id="103"/>
      <w:bookmarkEnd w:id="104"/>
    </w:p>
    <w:p w:rsidR="0056750E" w:rsidRPr="003C5D6B" w:rsidRDefault="0056750E" w:rsidP="0056750E">
      <w:pPr>
        <w:rPr>
          <w:szCs w:val="24"/>
          <w:lang w:val="es-ES"/>
        </w:rPr>
      </w:pPr>
      <w:r w:rsidRPr="003C5D6B">
        <w:rPr>
          <w:szCs w:val="24"/>
          <w:lang w:val="es-ES"/>
        </w:rPr>
        <w:t>Para establecer la base del cálculo de los cánones del espectro, pueden tenerse en cuenta diversos elementos. Los que mencionamos a continuación permiten obtener una gestión eficaz del espectro y una utilización adecuada de sus frecuencias.</w:t>
      </w:r>
    </w:p>
    <w:p w:rsidR="0056750E" w:rsidRPr="003C5D6B" w:rsidRDefault="0056750E" w:rsidP="0056750E">
      <w:pPr>
        <w:pStyle w:val="Headingi"/>
        <w:rPr>
          <w:szCs w:val="24"/>
          <w:lang w:val="es-ES"/>
        </w:rPr>
      </w:pPr>
      <w:r w:rsidRPr="003C5D6B">
        <w:rPr>
          <w:szCs w:val="24"/>
          <w:lang w:val="es-ES"/>
        </w:rPr>
        <w:t>Anchura de la banda de frecuencias atribuida</w:t>
      </w:r>
    </w:p>
    <w:p w:rsidR="0056750E" w:rsidRPr="003C5D6B" w:rsidRDefault="0056750E" w:rsidP="0056750E">
      <w:pPr>
        <w:rPr>
          <w:szCs w:val="24"/>
          <w:lang w:val="es-ES"/>
        </w:rPr>
      </w:pPr>
      <w:r w:rsidRPr="003C5D6B">
        <w:rPr>
          <w:szCs w:val="24"/>
          <w:lang w:val="es-ES"/>
        </w:rPr>
        <w:t>Un canon del espectro, cuyo importe será proporcional a la anchura de banda atribuida, incitará a los usuarios a determinar sus necesidades en materia de recursos del espectro de manera bien precisa. Este elemento podría aplicarse a todo tipo de utilización.</w:t>
      </w:r>
    </w:p>
    <w:p w:rsidR="0056750E" w:rsidRPr="003C5D6B" w:rsidRDefault="0056750E" w:rsidP="0056750E">
      <w:pPr>
        <w:pStyle w:val="Headingi"/>
        <w:rPr>
          <w:szCs w:val="24"/>
          <w:lang w:val="es-ES"/>
        </w:rPr>
      </w:pPr>
      <w:r w:rsidRPr="003C5D6B">
        <w:rPr>
          <w:szCs w:val="24"/>
          <w:lang w:val="es-ES"/>
        </w:rPr>
        <w:t>Zona de la superficie de atribución</w:t>
      </w:r>
    </w:p>
    <w:p w:rsidR="0056750E" w:rsidRPr="003C5D6B" w:rsidRDefault="0056750E" w:rsidP="0056750E">
      <w:pPr>
        <w:rPr>
          <w:szCs w:val="24"/>
          <w:lang w:val="es-ES"/>
        </w:rPr>
      </w:pPr>
      <w:r w:rsidRPr="003C5D6B">
        <w:rPr>
          <w:szCs w:val="24"/>
          <w:lang w:val="es-ES"/>
        </w:rPr>
        <w:t xml:space="preserve">Un canon del espectro, cuyo importe aumentaría con la zona de la superficie de atribución, incitaría a los usuarios a solicitar únicamente, llegado el caso, la parte del territorio que corresponde estrictamente a sus necesidades y permitiría al administrador del espectro reatribuir las mismas frecuencias en la parte restante </w:t>
      </w:r>
      <w:r w:rsidRPr="003C5D6B">
        <w:rPr>
          <w:szCs w:val="24"/>
          <w:lang w:val="es-ES"/>
        </w:rPr>
        <w:lastRenderedPageBreak/>
        <w:t>del territorio. De esta forma se lograría una utilización más intensiva de las frecuencias. Este elemento no se aplica a las asignaciones del servicio fijo punto a punto (el número de enlace o el número de estación transmisora pueden sustituirlas de manera apropiada) ni a los servicios por satélite.</w:t>
      </w:r>
    </w:p>
    <w:p w:rsidR="0056750E" w:rsidRPr="003C5D6B" w:rsidRDefault="0056750E" w:rsidP="0056750E">
      <w:pPr>
        <w:pStyle w:val="Headingi"/>
        <w:rPr>
          <w:szCs w:val="24"/>
          <w:lang w:val="es-ES"/>
        </w:rPr>
      </w:pPr>
      <w:r w:rsidRPr="003C5D6B">
        <w:rPr>
          <w:szCs w:val="24"/>
          <w:lang w:val="es-ES"/>
        </w:rPr>
        <w:t>Posición en el espectro de la banda de frecuencias atribuida</w:t>
      </w:r>
    </w:p>
    <w:p w:rsidR="00C97A8D" w:rsidRPr="003C5D6B" w:rsidRDefault="0056750E" w:rsidP="0056750E">
      <w:pPr>
        <w:rPr>
          <w:lang w:val="es-ES"/>
        </w:rPr>
      </w:pPr>
      <w:r w:rsidRPr="003C5D6B">
        <w:rPr>
          <w:szCs w:val="24"/>
          <w:lang w:val="es-ES"/>
        </w:rPr>
        <w:t>Un canon del espectro, cuyo importe se podría ajustar en función de la posición en el espectro de la banda de frecuencias atribuida, permitiría al administrador distribuir mejor la ocupación del espectro. Este elemento no se aplica a las aplicaciones cuyas bandas de frecuencias están armonizadas a escala internacional (GSM, IMT</w:t>
      </w:r>
      <w:r w:rsidRPr="003C5D6B">
        <w:rPr>
          <w:szCs w:val="24"/>
          <w:lang w:val="es-ES"/>
        </w:rPr>
        <w:noBreakHyphen/>
        <w:t>2000 y otras).</w:t>
      </w:r>
    </w:p>
    <w:p w:rsidR="000E5D76" w:rsidRPr="003C5D6B" w:rsidRDefault="000E5D76" w:rsidP="000E5D76">
      <w:pPr>
        <w:pStyle w:val="Heading2"/>
        <w:rPr>
          <w:szCs w:val="24"/>
          <w:lang w:val="es-ES"/>
        </w:rPr>
      </w:pPr>
      <w:bookmarkStart w:id="105" w:name="_Toc208727506"/>
      <w:bookmarkStart w:id="106" w:name="_Toc208739197"/>
      <w:bookmarkStart w:id="107" w:name="_Toc248048823"/>
      <w:bookmarkStart w:id="108" w:name="_Toc277598637"/>
      <w:bookmarkStart w:id="109" w:name="_Toc284499161"/>
      <w:bookmarkStart w:id="110" w:name="_Toc287523315"/>
      <w:r w:rsidRPr="003C5D6B">
        <w:rPr>
          <w:szCs w:val="24"/>
          <w:lang w:val="es-ES"/>
        </w:rPr>
        <w:t>5.2</w:t>
      </w:r>
      <w:r w:rsidRPr="003C5D6B">
        <w:rPr>
          <w:szCs w:val="24"/>
          <w:lang w:val="es-ES"/>
        </w:rPr>
        <w:tab/>
        <w:t>Cánones del espectro relativos a frecuencias destinadas a necesidades propias de los usuarios</w:t>
      </w:r>
      <w:bookmarkEnd w:id="105"/>
      <w:bookmarkEnd w:id="106"/>
      <w:bookmarkEnd w:id="107"/>
      <w:bookmarkEnd w:id="108"/>
      <w:bookmarkEnd w:id="109"/>
      <w:bookmarkEnd w:id="110"/>
    </w:p>
    <w:p w:rsidR="000E5D76" w:rsidRPr="003C5D6B" w:rsidRDefault="000E5D76" w:rsidP="000E5D76">
      <w:pPr>
        <w:rPr>
          <w:szCs w:val="24"/>
          <w:lang w:val="es-ES"/>
        </w:rPr>
      </w:pPr>
      <w:r w:rsidRPr="003C5D6B">
        <w:rPr>
          <w:szCs w:val="24"/>
          <w:lang w:val="es-ES"/>
        </w:rPr>
        <w:t>Véase el § [24].</w:t>
      </w:r>
    </w:p>
    <w:p w:rsidR="000E5D76" w:rsidRPr="003C5D6B" w:rsidRDefault="000E5D76" w:rsidP="000E5D76">
      <w:pPr>
        <w:pStyle w:val="Heading3"/>
        <w:rPr>
          <w:szCs w:val="24"/>
          <w:lang w:val="es-ES"/>
        </w:rPr>
      </w:pPr>
      <w:bookmarkStart w:id="111" w:name="_Toc248048824"/>
      <w:bookmarkStart w:id="112" w:name="_Toc277598638"/>
      <w:r w:rsidRPr="003C5D6B">
        <w:rPr>
          <w:szCs w:val="24"/>
          <w:lang w:val="es-ES"/>
        </w:rPr>
        <w:t>5.2.1</w:t>
      </w:r>
      <w:r w:rsidRPr="003C5D6B">
        <w:rPr>
          <w:szCs w:val="24"/>
          <w:lang w:val="es-ES"/>
        </w:rPr>
        <w:tab/>
        <w:t>Observaciones y disposiciones generales</w:t>
      </w:r>
      <w:bookmarkEnd w:id="111"/>
      <w:bookmarkEnd w:id="112"/>
    </w:p>
    <w:p w:rsidR="000E5D76" w:rsidRPr="003C5D6B" w:rsidRDefault="000E5D76" w:rsidP="000E5D76">
      <w:pPr>
        <w:rPr>
          <w:szCs w:val="24"/>
          <w:lang w:val="es-ES"/>
        </w:rPr>
      </w:pPr>
      <w:r w:rsidRPr="003C5D6B">
        <w:rPr>
          <w:szCs w:val="24"/>
          <w:lang w:val="es-ES"/>
        </w:rPr>
        <w:t>La determinación de modalidades de establecimiento de cánones debería tener principalmente en cuenta los elementos indicados en los § 5.1.4 y [22].</w:t>
      </w:r>
    </w:p>
    <w:p w:rsidR="000E5D76" w:rsidRPr="003C5D6B" w:rsidRDefault="000E5D76" w:rsidP="000E5D76">
      <w:pPr>
        <w:rPr>
          <w:szCs w:val="24"/>
          <w:lang w:val="es-ES"/>
        </w:rPr>
      </w:pPr>
      <w:r w:rsidRPr="003C5D6B">
        <w:rPr>
          <w:szCs w:val="24"/>
          <w:lang w:val="es-ES"/>
        </w:rPr>
        <w:t>Para establecer la base del cálculo de los cánones, se recomienda tener sólo en cuenta el mínimo de elementos necesarios para alcanzar los objetivos de buena gestión del espectro y correcta utilización de sus frecuencias.</w:t>
      </w:r>
    </w:p>
    <w:p w:rsidR="000E5D76" w:rsidRPr="003C5D6B" w:rsidRDefault="000E5D76" w:rsidP="000E5D76">
      <w:pPr>
        <w:rPr>
          <w:szCs w:val="24"/>
          <w:lang w:val="es-ES"/>
        </w:rPr>
      </w:pPr>
      <w:r w:rsidRPr="003C5D6B">
        <w:rPr>
          <w:szCs w:val="24"/>
          <w:lang w:val="es-ES"/>
        </w:rPr>
        <w:t>Se recomienda utilizar una forma de cálculo simple (véase el § [9]). La multiplicación resulta una fórmula muy bien adaptada para determinar el importe de los cánones a partir de elementos elegidos para constituir la base del cálculo.</w:t>
      </w:r>
    </w:p>
    <w:p w:rsidR="000E5D76" w:rsidRPr="003C5D6B" w:rsidRDefault="000E5D76" w:rsidP="008C2009">
      <w:pPr>
        <w:rPr>
          <w:szCs w:val="24"/>
          <w:lang w:val="es-ES"/>
        </w:rPr>
      </w:pPr>
      <w:r w:rsidRPr="003C5D6B">
        <w:rPr>
          <w:szCs w:val="24"/>
          <w:lang w:val="es-ES"/>
        </w:rPr>
        <w:t xml:space="preserve">Para ajustar los importes de los cánones según las aplicaciones (véase el § [21]), se recomienda determinar, para cada aplicación considerada, un </w:t>
      </w:r>
      <w:r w:rsidRPr="003C5D6B">
        <w:rPr>
          <w:i/>
          <w:iCs/>
          <w:szCs w:val="24"/>
          <w:lang w:val="es-ES"/>
        </w:rPr>
        <w:t>valor monetario de referencia</w:t>
      </w:r>
      <w:r w:rsidRPr="003C5D6B">
        <w:rPr>
          <w:szCs w:val="24"/>
          <w:lang w:val="es-ES"/>
        </w:rPr>
        <w:t xml:space="preserve"> </w:t>
      </w:r>
      <w:r w:rsidR="008C2009" w:rsidRPr="003C5D6B">
        <w:rPr>
          <w:szCs w:val="24"/>
          <w:lang w:val="es-ES"/>
        </w:rPr>
        <w:t>“</w:t>
      </w:r>
      <w:r w:rsidRPr="003C5D6B">
        <w:rPr>
          <w:i/>
          <w:szCs w:val="24"/>
          <w:lang w:val="es-ES"/>
        </w:rPr>
        <w:t>k</w:t>
      </w:r>
      <w:r w:rsidR="008C2009" w:rsidRPr="003C5D6B">
        <w:rPr>
          <w:i/>
          <w:szCs w:val="24"/>
          <w:lang w:val="es-ES"/>
        </w:rPr>
        <w:t xml:space="preserve"> </w:t>
      </w:r>
      <w:r w:rsidR="008C2009" w:rsidRPr="003C5D6B">
        <w:rPr>
          <w:iCs/>
          <w:szCs w:val="24"/>
          <w:lang w:val="es-ES"/>
        </w:rPr>
        <w:t>”</w:t>
      </w:r>
      <w:r w:rsidRPr="003C5D6B">
        <w:rPr>
          <w:i/>
          <w:szCs w:val="24"/>
          <w:lang w:val="es-ES"/>
        </w:rPr>
        <w:t xml:space="preserve"> </w:t>
      </w:r>
      <w:r w:rsidRPr="003C5D6B">
        <w:rPr>
          <w:szCs w:val="24"/>
          <w:lang w:val="es-ES"/>
        </w:rPr>
        <w:t xml:space="preserve">expresado en la moneda en uso. </w:t>
      </w:r>
      <w:r w:rsidR="008C2009" w:rsidRPr="003C5D6B">
        <w:rPr>
          <w:szCs w:val="24"/>
          <w:lang w:val="es-ES"/>
        </w:rPr>
        <w:t>“</w:t>
      </w:r>
      <w:r w:rsidRPr="003C5D6B">
        <w:rPr>
          <w:i/>
          <w:szCs w:val="24"/>
          <w:lang w:val="es-ES"/>
        </w:rPr>
        <w:t>k</w:t>
      </w:r>
      <w:r w:rsidR="008C2009" w:rsidRPr="003C5D6B">
        <w:rPr>
          <w:szCs w:val="24"/>
          <w:lang w:val="es-ES"/>
        </w:rPr>
        <w:t xml:space="preserve"> </w:t>
      </w:r>
      <w:r w:rsidR="008C2009" w:rsidRPr="003C5D6B">
        <w:rPr>
          <w:iCs/>
          <w:szCs w:val="24"/>
          <w:lang w:val="es-ES"/>
        </w:rPr>
        <w:t>”</w:t>
      </w:r>
      <w:r w:rsidRPr="003C5D6B">
        <w:rPr>
          <w:szCs w:val="24"/>
          <w:lang w:val="es-ES"/>
        </w:rPr>
        <w:t xml:space="preserve"> será uno de los factores de la multiplicación indicada.</w:t>
      </w:r>
    </w:p>
    <w:p w:rsidR="000E5D76" w:rsidRPr="003C5D6B" w:rsidRDefault="000E5D76" w:rsidP="000E5D76">
      <w:pPr>
        <w:pStyle w:val="Heading3"/>
        <w:rPr>
          <w:szCs w:val="24"/>
          <w:lang w:val="es-ES"/>
        </w:rPr>
      </w:pPr>
      <w:bookmarkStart w:id="113" w:name="_Toc248048825"/>
      <w:bookmarkStart w:id="114" w:name="_Toc277598639"/>
      <w:r w:rsidRPr="003C5D6B">
        <w:rPr>
          <w:szCs w:val="24"/>
          <w:lang w:val="es-ES"/>
        </w:rPr>
        <w:t>5.2.2</w:t>
      </w:r>
      <w:r w:rsidRPr="003C5D6B">
        <w:rPr>
          <w:szCs w:val="24"/>
          <w:lang w:val="es-ES"/>
        </w:rPr>
        <w:tab/>
        <w:t>Ejemplos de fórmulas de cálculo de los importes de los cánones</w:t>
      </w:r>
      <w:bookmarkEnd w:id="113"/>
      <w:bookmarkEnd w:id="114"/>
    </w:p>
    <w:p w:rsidR="000E5D76" w:rsidRPr="003C5D6B" w:rsidRDefault="000E5D76" w:rsidP="000E5D76">
      <w:pPr>
        <w:pStyle w:val="Heading4"/>
        <w:rPr>
          <w:szCs w:val="24"/>
          <w:lang w:val="es-ES"/>
        </w:rPr>
      </w:pPr>
      <w:r w:rsidRPr="003C5D6B">
        <w:rPr>
          <w:szCs w:val="24"/>
          <w:lang w:val="es-ES"/>
        </w:rPr>
        <w:t>5.2.2.1</w:t>
      </w:r>
      <w:r w:rsidRPr="003C5D6B">
        <w:rPr>
          <w:szCs w:val="24"/>
          <w:lang w:val="es-ES"/>
        </w:rPr>
        <w:tab/>
        <w:t>Notaciones y definiciones de coeficientes</w:t>
      </w:r>
    </w:p>
    <w:p w:rsidR="000E5D76" w:rsidRPr="003C5D6B" w:rsidRDefault="000E5D76" w:rsidP="000E5D76">
      <w:pPr>
        <w:rPr>
          <w:szCs w:val="24"/>
          <w:lang w:val="es-ES"/>
        </w:rPr>
      </w:pPr>
      <w:r w:rsidRPr="003C5D6B">
        <w:rPr>
          <w:szCs w:val="24"/>
          <w:lang w:val="es-ES"/>
        </w:rPr>
        <w:t>Los coeficientes definidos a continuación se utilizan en los ejemplos de fórmulas para el cálculo de los importes de los cánones:</w:t>
      </w:r>
    </w:p>
    <w:p w:rsidR="000E5D76" w:rsidRPr="003C5D6B" w:rsidRDefault="00E338D6" w:rsidP="008C2009">
      <w:pPr>
        <w:rPr>
          <w:szCs w:val="24"/>
          <w:lang w:val="es-ES"/>
        </w:rPr>
      </w:pPr>
      <w:r w:rsidRPr="003C5D6B">
        <w:rPr>
          <w:szCs w:val="24"/>
          <w:lang w:val="es-ES"/>
        </w:rPr>
        <w:t xml:space="preserve">El coeficiente </w:t>
      </w:r>
      <w:r w:rsidR="008C2009" w:rsidRPr="003C5D6B">
        <w:rPr>
          <w:szCs w:val="24"/>
          <w:lang w:val="es-ES"/>
        </w:rPr>
        <w:t>“</w:t>
      </w:r>
      <w:r w:rsidR="000E5D76" w:rsidRPr="003C5D6B">
        <w:rPr>
          <w:szCs w:val="24"/>
          <w:lang w:val="es-ES"/>
        </w:rPr>
        <w:t>L</w:t>
      </w:r>
      <w:r w:rsidR="008C2009" w:rsidRPr="003C5D6B">
        <w:rPr>
          <w:szCs w:val="24"/>
          <w:lang w:val="es-ES"/>
        </w:rPr>
        <w:t>”</w:t>
      </w:r>
      <w:r w:rsidR="000E5D76" w:rsidRPr="003C5D6B">
        <w:rPr>
          <w:szCs w:val="24"/>
          <w:lang w:val="es-ES"/>
        </w:rPr>
        <w:t xml:space="preserve"> representa la anchura de la banda de frecuencias atribuida.</w:t>
      </w:r>
    </w:p>
    <w:p w:rsidR="000E5D76" w:rsidRPr="003C5D6B" w:rsidRDefault="008C2009" w:rsidP="008C2009">
      <w:pPr>
        <w:rPr>
          <w:szCs w:val="24"/>
          <w:lang w:val="es-ES"/>
        </w:rPr>
      </w:pPr>
      <w:r w:rsidRPr="003C5D6B">
        <w:rPr>
          <w:szCs w:val="24"/>
          <w:lang w:val="es-ES"/>
        </w:rPr>
        <w:t>El coeficiente “</w:t>
      </w:r>
      <w:r w:rsidR="000E5D76" w:rsidRPr="003C5D6B">
        <w:rPr>
          <w:szCs w:val="24"/>
          <w:lang w:val="es-ES"/>
        </w:rPr>
        <w:t>bf</w:t>
      </w:r>
      <w:r w:rsidRPr="003C5D6B">
        <w:rPr>
          <w:szCs w:val="24"/>
          <w:lang w:val="es-ES"/>
        </w:rPr>
        <w:t>”</w:t>
      </w:r>
      <w:r w:rsidR="000E5D76" w:rsidRPr="003C5D6B">
        <w:rPr>
          <w:szCs w:val="24"/>
          <w:lang w:val="es-ES"/>
        </w:rPr>
        <w:t xml:space="preserve"> caracteriza la posición en el espectro radioeléctrico de la frecuencia o de la banda de frecuencias atribuida.</w:t>
      </w:r>
    </w:p>
    <w:p w:rsidR="000E5D76" w:rsidRPr="003C5D6B" w:rsidRDefault="000E5D76" w:rsidP="008C2009">
      <w:pPr>
        <w:rPr>
          <w:szCs w:val="24"/>
          <w:lang w:val="es-ES"/>
        </w:rPr>
      </w:pPr>
      <w:r w:rsidRPr="003C5D6B">
        <w:rPr>
          <w:szCs w:val="24"/>
          <w:lang w:val="es-ES"/>
        </w:rPr>
        <w:t>En la práctica, para cada bloque de frecuencias considerado, se prepara un cuadro en el que f</w:t>
      </w:r>
      <w:r w:rsidR="008C2009" w:rsidRPr="003C5D6B">
        <w:rPr>
          <w:szCs w:val="24"/>
          <w:lang w:val="es-ES"/>
        </w:rPr>
        <w:t>igura el valor del coeficiente “</w:t>
      </w:r>
      <w:r w:rsidRPr="003C5D6B">
        <w:rPr>
          <w:szCs w:val="24"/>
          <w:lang w:val="es-ES"/>
        </w:rPr>
        <w:t>bf</w:t>
      </w:r>
      <w:r w:rsidR="008C2009" w:rsidRPr="003C5D6B">
        <w:rPr>
          <w:szCs w:val="24"/>
          <w:lang w:val="es-ES"/>
        </w:rPr>
        <w:t>”</w:t>
      </w:r>
      <w:r w:rsidRPr="003C5D6B">
        <w:rPr>
          <w:szCs w:val="24"/>
          <w:lang w:val="es-ES"/>
        </w:rPr>
        <w:t xml:space="preserve"> correspondiente. En</w:t>
      </w:r>
      <w:r w:rsidR="008C2009" w:rsidRPr="003C5D6B">
        <w:rPr>
          <w:szCs w:val="24"/>
          <w:lang w:val="es-ES"/>
        </w:rPr>
        <w:t xml:space="preserve"> el Anexo </w:t>
      </w:r>
      <w:r w:rsidRPr="003C5D6B">
        <w:rPr>
          <w:szCs w:val="24"/>
          <w:lang w:val="es-ES"/>
        </w:rPr>
        <w:t>1 figura un ejemplo de este tipo de cuadro.</w:t>
      </w:r>
    </w:p>
    <w:p w:rsidR="000E5D76" w:rsidRPr="003C5D6B" w:rsidRDefault="008C2009" w:rsidP="008C2009">
      <w:pPr>
        <w:rPr>
          <w:szCs w:val="24"/>
          <w:lang w:val="es-ES"/>
        </w:rPr>
      </w:pPr>
      <w:r w:rsidRPr="003C5D6B">
        <w:rPr>
          <w:szCs w:val="24"/>
          <w:lang w:val="es-ES"/>
        </w:rPr>
        <w:t>El coeficiente “</w:t>
      </w:r>
      <w:r w:rsidR="00E338D6" w:rsidRPr="003C5D6B">
        <w:rPr>
          <w:szCs w:val="24"/>
          <w:lang w:val="es-ES"/>
        </w:rPr>
        <w:t>a</w:t>
      </w:r>
      <w:r w:rsidRPr="003C5D6B">
        <w:rPr>
          <w:szCs w:val="24"/>
          <w:lang w:val="es-ES"/>
        </w:rPr>
        <w:t>”</w:t>
      </w:r>
      <w:r w:rsidR="000E5D76" w:rsidRPr="003C5D6B">
        <w:rPr>
          <w:szCs w:val="24"/>
          <w:lang w:val="es-ES"/>
        </w:rPr>
        <w:t xml:space="preserve"> indica las autorizaciones de utilización de frecuencias mediante adjudicación (véase el § [3]).</w:t>
      </w:r>
    </w:p>
    <w:p w:rsidR="000E5D76" w:rsidRPr="003C5D6B" w:rsidRDefault="008C2009" w:rsidP="008C2009">
      <w:pPr>
        <w:rPr>
          <w:szCs w:val="24"/>
          <w:lang w:val="es-ES"/>
        </w:rPr>
      </w:pPr>
      <w:r w:rsidRPr="003C5D6B">
        <w:rPr>
          <w:szCs w:val="24"/>
          <w:lang w:val="es-ES"/>
        </w:rPr>
        <w:t>En el Anexo </w:t>
      </w:r>
      <w:r w:rsidR="000E5D76" w:rsidRPr="003C5D6B">
        <w:rPr>
          <w:szCs w:val="24"/>
          <w:lang w:val="es-ES"/>
        </w:rPr>
        <w:t>2 figura un ejemplo de cuadro en el que figuran</w:t>
      </w:r>
      <w:r w:rsidR="00E338D6" w:rsidRPr="003C5D6B">
        <w:rPr>
          <w:szCs w:val="24"/>
          <w:lang w:val="es-ES"/>
        </w:rPr>
        <w:t xml:space="preserve"> los valores del coeficien</w:t>
      </w:r>
      <w:r w:rsidRPr="003C5D6B">
        <w:rPr>
          <w:szCs w:val="24"/>
          <w:lang w:val="es-ES"/>
        </w:rPr>
        <w:t>te “</w:t>
      </w:r>
      <w:r w:rsidR="00E338D6" w:rsidRPr="003C5D6B">
        <w:rPr>
          <w:szCs w:val="24"/>
          <w:lang w:val="es-ES"/>
        </w:rPr>
        <w:t>a</w:t>
      </w:r>
      <w:r w:rsidRPr="003C5D6B">
        <w:rPr>
          <w:szCs w:val="24"/>
          <w:lang w:val="es-ES"/>
        </w:rPr>
        <w:t>”</w:t>
      </w:r>
      <w:r w:rsidR="000E5D76" w:rsidRPr="003C5D6B">
        <w:rPr>
          <w:szCs w:val="24"/>
          <w:lang w:val="es-ES"/>
        </w:rPr>
        <w:t xml:space="preserve"> en función de los servicios.</w:t>
      </w:r>
    </w:p>
    <w:p w:rsidR="000E5D76" w:rsidRPr="003C5D6B" w:rsidRDefault="008C2009" w:rsidP="008C2009">
      <w:pPr>
        <w:rPr>
          <w:szCs w:val="24"/>
          <w:lang w:val="es-ES"/>
        </w:rPr>
      </w:pPr>
      <w:r w:rsidRPr="003C5D6B">
        <w:rPr>
          <w:szCs w:val="24"/>
          <w:lang w:val="es-ES"/>
        </w:rPr>
        <w:t>El coeficiente “</w:t>
      </w:r>
      <w:r w:rsidR="000E5D76" w:rsidRPr="003C5D6B">
        <w:rPr>
          <w:szCs w:val="24"/>
          <w:lang w:val="es-ES"/>
        </w:rPr>
        <w:t>c</w:t>
      </w:r>
      <w:r w:rsidRPr="003C5D6B">
        <w:rPr>
          <w:szCs w:val="24"/>
          <w:lang w:val="es-ES"/>
        </w:rPr>
        <w:t>”</w:t>
      </w:r>
      <w:r w:rsidR="000E5D76" w:rsidRPr="003C5D6B">
        <w:rPr>
          <w:szCs w:val="24"/>
          <w:lang w:val="es-ES"/>
        </w:rPr>
        <w:t xml:space="preserve"> indica la superficie que abarca la autorización de utilización de frecuencias (véase el § [2]). En general, la superficie de atribución de una asignación es un círculo centrado en la estación considerada y cuyo radio es igual a la distancia máxima de utilización de la frecuencia asignada cuando la antena de la estación es omnidireccional, o un sector de ese círculo que corresponde al ángulo de abertura de la antena cuando se trata de una antena directiva.</w:t>
      </w:r>
    </w:p>
    <w:p w:rsidR="000E5D76" w:rsidRPr="003C5D6B" w:rsidRDefault="000E5D76" w:rsidP="008C2009">
      <w:pPr>
        <w:rPr>
          <w:szCs w:val="24"/>
          <w:lang w:val="es-ES"/>
        </w:rPr>
      </w:pPr>
      <w:r w:rsidRPr="003C5D6B">
        <w:rPr>
          <w:szCs w:val="24"/>
          <w:lang w:val="es-ES"/>
        </w:rPr>
        <w:t>En la práctica se prepara un cuadro en el que f</w:t>
      </w:r>
      <w:r w:rsidR="008C2009" w:rsidRPr="003C5D6B">
        <w:rPr>
          <w:szCs w:val="24"/>
          <w:lang w:val="es-ES"/>
        </w:rPr>
        <w:t>igure el valor del coeficiente “</w:t>
      </w:r>
      <w:r w:rsidRPr="003C5D6B">
        <w:rPr>
          <w:szCs w:val="24"/>
          <w:lang w:val="es-ES"/>
        </w:rPr>
        <w:t>c</w:t>
      </w:r>
      <w:r w:rsidR="008C2009" w:rsidRPr="003C5D6B">
        <w:rPr>
          <w:szCs w:val="24"/>
          <w:lang w:val="es-ES"/>
        </w:rPr>
        <w:t>”</w:t>
      </w:r>
      <w:r w:rsidRPr="003C5D6B">
        <w:rPr>
          <w:szCs w:val="24"/>
          <w:lang w:val="es-ES"/>
        </w:rPr>
        <w:t xml:space="preserve"> correspondiente a los valores de las superficies consideradas. Este tipo de cuadro tiene la ventaja de corregir la gran dispersión de los importes de los cánones que se habrían obtenido si se hubiera considerado directamente la zona de la superfi</w:t>
      </w:r>
      <w:r w:rsidR="008C2009" w:rsidRPr="003C5D6B">
        <w:rPr>
          <w:szCs w:val="24"/>
          <w:lang w:val="es-ES"/>
        </w:rPr>
        <w:t>cie de atribución. En el Anexo </w:t>
      </w:r>
      <w:r w:rsidRPr="003C5D6B">
        <w:rPr>
          <w:szCs w:val="24"/>
          <w:lang w:val="es-ES"/>
        </w:rPr>
        <w:t>3 figura un ejemplo de este cuadro.</w:t>
      </w:r>
    </w:p>
    <w:p w:rsidR="000E5D76" w:rsidRPr="003C5D6B" w:rsidRDefault="000A64D9" w:rsidP="000A64D9">
      <w:pPr>
        <w:rPr>
          <w:szCs w:val="24"/>
          <w:lang w:val="es-ES"/>
        </w:rPr>
      </w:pPr>
      <w:r w:rsidRPr="003C5D6B">
        <w:rPr>
          <w:szCs w:val="24"/>
          <w:lang w:val="es-ES"/>
        </w:rPr>
        <w:lastRenderedPageBreak/>
        <w:t>Los coeficientes “</w:t>
      </w:r>
      <w:r w:rsidR="000E5D76" w:rsidRPr="003C5D6B">
        <w:rPr>
          <w:szCs w:val="24"/>
          <w:lang w:val="es-ES"/>
        </w:rPr>
        <w:t>k1</w:t>
      </w:r>
      <w:r w:rsidRPr="003C5D6B">
        <w:rPr>
          <w:szCs w:val="24"/>
          <w:lang w:val="es-ES"/>
        </w:rPr>
        <w:t>”</w:t>
      </w:r>
      <w:r w:rsidR="00E338D6" w:rsidRPr="003C5D6B">
        <w:rPr>
          <w:szCs w:val="24"/>
          <w:lang w:val="es-ES"/>
        </w:rPr>
        <w:t xml:space="preserve">, </w:t>
      </w:r>
      <w:r w:rsidRPr="003C5D6B">
        <w:rPr>
          <w:szCs w:val="24"/>
          <w:lang w:val="es-ES"/>
        </w:rPr>
        <w:t>“</w:t>
      </w:r>
      <w:r w:rsidR="000E5D76" w:rsidRPr="003C5D6B">
        <w:rPr>
          <w:szCs w:val="24"/>
          <w:lang w:val="es-ES"/>
        </w:rPr>
        <w:t>k2</w:t>
      </w:r>
      <w:r w:rsidRPr="003C5D6B">
        <w:rPr>
          <w:szCs w:val="24"/>
          <w:lang w:val="es-ES"/>
        </w:rPr>
        <w:t>”</w:t>
      </w:r>
      <w:r w:rsidR="00E338D6" w:rsidRPr="003C5D6B">
        <w:rPr>
          <w:szCs w:val="24"/>
          <w:lang w:val="es-ES"/>
        </w:rPr>
        <w:t xml:space="preserve">, </w:t>
      </w:r>
      <w:r w:rsidRPr="003C5D6B">
        <w:rPr>
          <w:szCs w:val="24"/>
          <w:lang w:val="es-ES"/>
        </w:rPr>
        <w:t>“</w:t>
      </w:r>
      <w:r w:rsidR="000E5D76" w:rsidRPr="003C5D6B">
        <w:rPr>
          <w:szCs w:val="24"/>
          <w:lang w:val="es-ES"/>
        </w:rPr>
        <w:t>k3</w:t>
      </w:r>
      <w:r w:rsidRPr="003C5D6B">
        <w:rPr>
          <w:szCs w:val="24"/>
          <w:lang w:val="es-ES"/>
        </w:rPr>
        <w:t>”</w:t>
      </w:r>
      <w:r w:rsidR="000E5D76" w:rsidRPr="003C5D6B">
        <w:rPr>
          <w:szCs w:val="24"/>
          <w:lang w:val="es-ES"/>
        </w:rPr>
        <w:t xml:space="preserve"> y </w:t>
      </w:r>
      <w:r w:rsidRPr="003C5D6B">
        <w:rPr>
          <w:szCs w:val="24"/>
          <w:lang w:val="es-ES"/>
        </w:rPr>
        <w:t>“</w:t>
      </w:r>
      <w:r w:rsidR="000E5D76" w:rsidRPr="003C5D6B">
        <w:rPr>
          <w:szCs w:val="24"/>
          <w:lang w:val="es-ES"/>
        </w:rPr>
        <w:t>k4</w:t>
      </w:r>
      <w:r w:rsidRPr="003C5D6B">
        <w:rPr>
          <w:szCs w:val="24"/>
          <w:lang w:val="es-ES"/>
        </w:rPr>
        <w:t>”</w:t>
      </w:r>
      <w:r w:rsidR="000E5D76" w:rsidRPr="003C5D6B">
        <w:rPr>
          <w:szCs w:val="24"/>
          <w:lang w:val="es-ES"/>
        </w:rPr>
        <w:t xml:space="preserve"> son valores monetarios de referencia, específicos de las aplicaciones consideradas. La determinación de esos valores deberá dar prioridad a lo dispuesto en [15.2] y [15.1].</w:t>
      </w:r>
    </w:p>
    <w:p w:rsidR="000E5D76" w:rsidRPr="003C5D6B" w:rsidRDefault="000E5D76" w:rsidP="000E5D76">
      <w:pPr>
        <w:pStyle w:val="Heading4"/>
        <w:rPr>
          <w:szCs w:val="24"/>
          <w:lang w:val="es-ES"/>
        </w:rPr>
      </w:pPr>
      <w:r w:rsidRPr="003C5D6B">
        <w:rPr>
          <w:szCs w:val="24"/>
          <w:lang w:val="es-ES"/>
        </w:rPr>
        <w:t>5.2.2.2</w:t>
      </w:r>
      <w:r w:rsidRPr="003C5D6B">
        <w:rPr>
          <w:szCs w:val="24"/>
          <w:lang w:val="es-ES"/>
        </w:rPr>
        <w:tab/>
        <w:t>Canon aplicado a una asignación del servicio fijo punto a punto</w:t>
      </w:r>
    </w:p>
    <w:p w:rsidR="000E5D76" w:rsidRPr="003C5D6B" w:rsidRDefault="000E5D76" w:rsidP="000E5D76">
      <w:pPr>
        <w:rPr>
          <w:szCs w:val="24"/>
          <w:lang w:val="es-ES"/>
        </w:rPr>
      </w:pPr>
      <w:r w:rsidRPr="003C5D6B">
        <w:rPr>
          <w:szCs w:val="24"/>
          <w:lang w:val="es-ES"/>
        </w:rPr>
        <w:t xml:space="preserve">La determinación del importe anual </w:t>
      </w:r>
      <w:r w:rsidRPr="003C5D6B">
        <w:rPr>
          <w:i/>
          <w:szCs w:val="24"/>
          <w:lang w:val="es-ES"/>
        </w:rPr>
        <w:t>Rs</w:t>
      </w:r>
      <w:r w:rsidRPr="003C5D6B">
        <w:rPr>
          <w:szCs w:val="24"/>
          <w:lang w:val="es-ES"/>
        </w:rPr>
        <w:t xml:space="preserve"> del canon del espectro podría utilizar la siguiente fórmula:</w:t>
      </w:r>
    </w:p>
    <w:p w:rsidR="000E5D76" w:rsidRPr="003C5D6B" w:rsidRDefault="000E5D76" w:rsidP="000E5D76">
      <w:pPr>
        <w:tabs>
          <w:tab w:val="left" w:pos="-1190"/>
          <w:tab w:val="left" w:pos="0"/>
        </w:tabs>
        <w:jc w:val="center"/>
        <w:rPr>
          <w:szCs w:val="24"/>
          <w:lang w:val="es-ES"/>
        </w:rPr>
      </w:pPr>
      <w:r w:rsidRPr="003C5D6B">
        <w:rPr>
          <w:szCs w:val="24"/>
          <w:lang w:val="es-ES"/>
        </w:rPr>
        <w:t>Rs = L * bf * k1</w:t>
      </w:r>
    </w:p>
    <w:p w:rsidR="000E5D76" w:rsidRPr="003C5D6B" w:rsidRDefault="000E5D76" w:rsidP="000E5D76">
      <w:pPr>
        <w:pStyle w:val="Heading4"/>
        <w:rPr>
          <w:szCs w:val="24"/>
          <w:lang w:val="es-ES"/>
        </w:rPr>
      </w:pPr>
      <w:r w:rsidRPr="003C5D6B">
        <w:rPr>
          <w:szCs w:val="24"/>
          <w:lang w:val="es-ES"/>
        </w:rPr>
        <w:t>5.2.2.3</w:t>
      </w:r>
      <w:r w:rsidRPr="003C5D6B">
        <w:rPr>
          <w:szCs w:val="24"/>
          <w:lang w:val="es-ES"/>
        </w:rPr>
        <w:tab/>
        <w:t>Canon aplicado a una adjudicación del servicio fijo punto a punto</w:t>
      </w:r>
    </w:p>
    <w:p w:rsidR="000E5D76" w:rsidRPr="003C5D6B" w:rsidRDefault="000E5D76" w:rsidP="000E5D76">
      <w:pPr>
        <w:rPr>
          <w:szCs w:val="24"/>
          <w:lang w:val="es-ES"/>
        </w:rPr>
      </w:pPr>
      <w:r w:rsidRPr="003C5D6B">
        <w:rPr>
          <w:szCs w:val="24"/>
          <w:lang w:val="es-ES"/>
        </w:rPr>
        <w:t xml:space="preserve">La determinación del importe anual </w:t>
      </w:r>
      <w:r w:rsidRPr="003C5D6B">
        <w:rPr>
          <w:i/>
          <w:szCs w:val="24"/>
          <w:lang w:val="es-ES"/>
        </w:rPr>
        <w:t>Rs</w:t>
      </w:r>
      <w:r w:rsidRPr="003C5D6B">
        <w:rPr>
          <w:szCs w:val="24"/>
          <w:lang w:val="es-ES"/>
        </w:rPr>
        <w:t xml:space="preserve"> del canon del espectro podría utilizar la siguiente fórmula:</w:t>
      </w:r>
    </w:p>
    <w:p w:rsidR="000E5D76" w:rsidRPr="003C5D6B" w:rsidRDefault="000E5D76" w:rsidP="000E5D76">
      <w:pPr>
        <w:tabs>
          <w:tab w:val="left" w:pos="-1190"/>
          <w:tab w:val="left" w:pos="0"/>
        </w:tabs>
        <w:jc w:val="center"/>
        <w:rPr>
          <w:szCs w:val="24"/>
          <w:lang w:val="es-ES"/>
        </w:rPr>
      </w:pPr>
      <w:r w:rsidRPr="003C5D6B">
        <w:rPr>
          <w:szCs w:val="24"/>
          <w:lang w:val="es-ES"/>
        </w:rPr>
        <w:t>Rs = L * bf * a * c * k1</w:t>
      </w:r>
    </w:p>
    <w:p w:rsidR="000E5D76" w:rsidRPr="003C5D6B" w:rsidRDefault="00E338D6" w:rsidP="00C656B7">
      <w:pPr>
        <w:tabs>
          <w:tab w:val="left" w:pos="-1190"/>
          <w:tab w:val="left" w:pos="0"/>
        </w:tabs>
        <w:rPr>
          <w:szCs w:val="24"/>
          <w:lang w:val="es-ES"/>
        </w:rPr>
      </w:pPr>
      <w:r w:rsidRPr="003C5D6B">
        <w:rPr>
          <w:szCs w:val="24"/>
          <w:lang w:val="es-ES"/>
        </w:rPr>
        <w:t xml:space="preserve">siendo </w:t>
      </w:r>
      <w:r w:rsidR="00C656B7" w:rsidRPr="003C5D6B">
        <w:rPr>
          <w:szCs w:val="24"/>
          <w:lang w:val="es-ES"/>
        </w:rPr>
        <w:t>“</w:t>
      </w:r>
      <w:r w:rsidR="000E5D76" w:rsidRPr="003C5D6B">
        <w:rPr>
          <w:szCs w:val="24"/>
          <w:lang w:val="es-ES"/>
        </w:rPr>
        <w:t>c</w:t>
      </w:r>
      <w:r w:rsidR="00C656B7" w:rsidRPr="003C5D6B">
        <w:rPr>
          <w:szCs w:val="24"/>
          <w:lang w:val="es-ES"/>
        </w:rPr>
        <w:t>”</w:t>
      </w:r>
      <w:r w:rsidR="000E5D76" w:rsidRPr="003C5D6B">
        <w:rPr>
          <w:szCs w:val="24"/>
          <w:lang w:val="es-ES"/>
        </w:rPr>
        <w:t xml:space="preserve"> la relación entre la superficie que abarca la adjudicación y la superficie total del territorio nacional.</w:t>
      </w:r>
    </w:p>
    <w:p w:rsidR="000E5D76" w:rsidRPr="003C5D6B" w:rsidRDefault="000E5D76" w:rsidP="000E5D76">
      <w:pPr>
        <w:pStyle w:val="Heading4"/>
        <w:rPr>
          <w:szCs w:val="24"/>
          <w:lang w:val="es-ES"/>
        </w:rPr>
      </w:pPr>
      <w:r w:rsidRPr="003C5D6B">
        <w:rPr>
          <w:szCs w:val="24"/>
          <w:lang w:val="es-ES"/>
        </w:rPr>
        <w:t>5.2.2.4</w:t>
      </w:r>
      <w:r w:rsidRPr="003C5D6B">
        <w:rPr>
          <w:szCs w:val="24"/>
          <w:lang w:val="es-ES"/>
        </w:rPr>
        <w:tab/>
        <w:t>Canon aplicado a una adjudicación del servicio fijo del bucle local radioeléctrico (véase también el § 5.3.4)</w:t>
      </w:r>
    </w:p>
    <w:p w:rsidR="000E5D76" w:rsidRPr="003C5D6B" w:rsidRDefault="000E5D76" w:rsidP="000E5D76">
      <w:pPr>
        <w:rPr>
          <w:szCs w:val="24"/>
          <w:lang w:val="es-ES"/>
        </w:rPr>
      </w:pPr>
      <w:r w:rsidRPr="003C5D6B">
        <w:rPr>
          <w:szCs w:val="24"/>
          <w:lang w:val="es-ES"/>
        </w:rPr>
        <w:t xml:space="preserve">La determinación del importe anual </w:t>
      </w:r>
      <w:r w:rsidRPr="003C5D6B">
        <w:rPr>
          <w:i/>
          <w:szCs w:val="24"/>
          <w:lang w:val="es-ES"/>
        </w:rPr>
        <w:t>Rs</w:t>
      </w:r>
      <w:r w:rsidRPr="003C5D6B">
        <w:rPr>
          <w:szCs w:val="24"/>
          <w:lang w:val="es-ES"/>
        </w:rPr>
        <w:t xml:space="preserve"> del canon del espectro podría utilizar la siguiente fórmula:</w:t>
      </w:r>
    </w:p>
    <w:p w:rsidR="000E5D76" w:rsidRPr="003C5D6B" w:rsidRDefault="000E5D76" w:rsidP="000E5D76">
      <w:pPr>
        <w:tabs>
          <w:tab w:val="left" w:pos="-1190"/>
          <w:tab w:val="left" w:pos="0"/>
        </w:tabs>
        <w:jc w:val="center"/>
        <w:rPr>
          <w:szCs w:val="24"/>
          <w:lang w:val="es-ES"/>
        </w:rPr>
      </w:pPr>
      <w:r w:rsidRPr="003C5D6B">
        <w:rPr>
          <w:szCs w:val="24"/>
          <w:lang w:val="es-ES"/>
        </w:rPr>
        <w:t>Rs = L * bf * a * c * k2</w:t>
      </w:r>
    </w:p>
    <w:p w:rsidR="000E5D76" w:rsidRPr="003C5D6B" w:rsidRDefault="00C656B7" w:rsidP="000E5D76">
      <w:pPr>
        <w:tabs>
          <w:tab w:val="left" w:pos="-1190"/>
          <w:tab w:val="left" w:pos="0"/>
        </w:tabs>
        <w:rPr>
          <w:szCs w:val="24"/>
          <w:lang w:val="es-ES"/>
        </w:rPr>
      </w:pPr>
      <w:r w:rsidRPr="003C5D6B">
        <w:rPr>
          <w:szCs w:val="24"/>
          <w:lang w:val="es-ES"/>
        </w:rPr>
        <w:t>siendo “c”</w:t>
      </w:r>
      <w:r w:rsidR="000E5D76" w:rsidRPr="003C5D6B">
        <w:rPr>
          <w:szCs w:val="24"/>
          <w:lang w:val="es-ES"/>
        </w:rPr>
        <w:t xml:space="preserve"> la relación entre la superficie que abarca la adjudicación y la superficie total del territorio nacional.</w:t>
      </w:r>
    </w:p>
    <w:p w:rsidR="000E5D76" w:rsidRPr="003C5D6B" w:rsidRDefault="000E5D76" w:rsidP="000E5D76">
      <w:pPr>
        <w:pStyle w:val="Heading4"/>
        <w:rPr>
          <w:szCs w:val="24"/>
          <w:lang w:val="es-ES"/>
        </w:rPr>
      </w:pPr>
      <w:r w:rsidRPr="003C5D6B">
        <w:rPr>
          <w:szCs w:val="24"/>
          <w:lang w:val="es-ES"/>
        </w:rPr>
        <w:t>5.2.2.5</w:t>
      </w:r>
      <w:r w:rsidRPr="003C5D6B">
        <w:rPr>
          <w:szCs w:val="24"/>
          <w:lang w:val="es-ES"/>
        </w:rPr>
        <w:tab/>
        <w:t>Canon aplicado a una asignación de la estación terrena del servicio fijo o móvil por satélite</w:t>
      </w:r>
    </w:p>
    <w:p w:rsidR="000E5D76" w:rsidRPr="003C5D6B" w:rsidRDefault="000E5D76" w:rsidP="000E5D76">
      <w:pPr>
        <w:rPr>
          <w:szCs w:val="24"/>
          <w:lang w:val="es-ES"/>
        </w:rPr>
      </w:pPr>
      <w:r w:rsidRPr="003C5D6B">
        <w:rPr>
          <w:szCs w:val="24"/>
          <w:lang w:val="es-ES"/>
        </w:rPr>
        <w:t xml:space="preserve">La determinación del importe anual </w:t>
      </w:r>
      <w:r w:rsidRPr="003C5D6B">
        <w:rPr>
          <w:i/>
          <w:szCs w:val="24"/>
          <w:lang w:val="es-ES"/>
        </w:rPr>
        <w:t>Rs</w:t>
      </w:r>
      <w:r w:rsidRPr="003C5D6B">
        <w:rPr>
          <w:szCs w:val="24"/>
          <w:lang w:val="es-ES"/>
        </w:rPr>
        <w:t xml:space="preserve"> del canon del espectro podría utilizar la siguiente fórmula:</w:t>
      </w:r>
    </w:p>
    <w:p w:rsidR="000E5D76" w:rsidRPr="003C5D6B" w:rsidRDefault="000E5D76" w:rsidP="000E5D76">
      <w:pPr>
        <w:tabs>
          <w:tab w:val="left" w:pos="-1190"/>
          <w:tab w:val="left" w:pos="0"/>
        </w:tabs>
        <w:jc w:val="center"/>
        <w:rPr>
          <w:szCs w:val="24"/>
          <w:lang w:val="es-ES"/>
        </w:rPr>
      </w:pPr>
      <w:r w:rsidRPr="003C5D6B">
        <w:rPr>
          <w:szCs w:val="24"/>
          <w:lang w:val="es-ES"/>
        </w:rPr>
        <w:t>Rs = L * bf * k3</w:t>
      </w:r>
    </w:p>
    <w:p w:rsidR="000E5D76" w:rsidRPr="003C5D6B" w:rsidRDefault="000E5D76" w:rsidP="000E5D76">
      <w:pPr>
        <w:pStyle w:val="Heading4"/>
        <w:rPr>
          <w:szCs w:val="24"/>
          <w:lang w:val="es-ES"/>
        </w:rPr>
      </w:pPr>
      <w:r w:rsidRPr="003C5D6B">
        <w:rPr>
          <w:szCs w:val="24"/>
          <w:lang w:val="es-ES"/>
        </w:rPr>
        <w:t>5.2.2.6</w:t>
      </w:r>
      <w:r w:rsidRPr="003C5D6B">
        <w:rPr>
          <w:szCs w:val="24"/>
          <w:lang w:val="es-ES"/>
        </w:rPr>
        <w:tab/>
        <w:t>Canon aplicado a una adjudicación del servicio fijo o móvil por satélite</w:t>
      </w:r>
    </w:p>
    <w:p w:rsidR="000E5D76" w:rsidRPr="003C5D6B" w:rsidRDefault="000E5D76" w:rsidP="000E5D76">
      <w:pPr>
        <w:rPr>
          <w:szCs w:val="24"/>
          <w:lang w:val="es-ES"/>
        </w:rPr>
      </w:pPr>
      <w:r w:rsidRPr="003C5D6B">
        <w:rPr>
          <w:szCs w:val="24"/>
          <w:lang w:val="es-ES"/>
        </w:rPr>
        <w:t xml:space="preserve">La determinación del importe anual </w:t>
      </w:r>
      <w:r w:rsidRPr="003C5D6B">
        <w:rPr>
          <w:i/>
          <w:szCs w:val="24"/>
          <w:lang w:val="es-ES"/>
        </w:rPr>
        <w:t>Rs</w:t>
      </w:r>
      <w:r w:rsidRPr="003C5D6B">
        <w:rPr>
          <w:szCs w:val="24"/>
          <w:lang w:val="es-ES"/>
        </w:rPr>
        <w:t xml:space="preserve"> del canon del espectro podría utilizar la siguiente fórmula:</w:t>
      </w:r>
    </w:p>
    <w:p w:rsidR="000E5D76" w:rsidRPr="003C5D6B" w:rsidRDefault="000E5D76" w:rsidP="000E5D76">
      <w:pPr>
        <w:tabs>
          <w:tab w:val="left" w:pos="-1190"/>
          <w:tab w:val="left" w:pos="0"/>
        </w:tabs>
        <w:jc w:val="center"/>
        <w:rPr>
          <w:szCs w:val="24"/>
          <w:lang w:val="es-ES"/>
        </w:rPr>
      </w:pPr>
      <w:r w:rsidRPr="003C5D6B">
        <w:rPr>
          <w:szCs w:val="24"/>
          <w:lang w:val="es-ES"/>
        </w:rPr>
        <w:t>Rs = L * bf * k3 * a</w:t>
      </w:r>
    </w:p>
    <w:p w:rsidR="000E5D76" w:rsidRPr="003C5D6B" w:rsidRDefault="000E5D76" w:rsidP="000E5D76">
      <w:pPr>
        <w:pStyle w:val="Heading4"/>
        <w:rPr>
          <w:szCs w:val="24"/>
          <w:lang w:val="es-ES"/>
        </w:rPr>
      </w:pPr>
      <w:r w:rsidRPr="003C5D6B">
        <w:rPr>
          <w:szCs w:val="24"/>
          <w:lang w:val="es-ES"/>
        </w:rPr>
        <w:t>5.2.2.7</w:t>
      </w:r>
      <w:r w:rsidRPr="003C5D6B">
        <w:rPr>
          <w:szCs w:val="24"/>
          <w:lang w:val="es-ES"/>
        </w:rPr>
        <w:tab/>
        <w:t>Canon aplicado a una asignación del servicio móvil de redes privadas</w:t>
      </w:r>
    </w:p>
    <w:p w:rsidR="000E5D76" w:rsidRPr="003C5D6B" w:rsidRDefault="000E5D76" w:rsidP="000E5D76">
      <w:pPr>
        <w:rPr>
          <w:szCs w:val="24"/>
          <w:lang w:val="es-ES"/>
        </w:rPr>
      </w:pPr>
      <w:r w:rsidRPr="003C5D6B">
        <w:rPr>
          <w:szCs w:val="24"/>
          <w:lang w:val="es-ES"/>
        </w:rPr>
        <w:t xml:space="preserve">La determinación del importe anual </w:t>
      </w:r>
      <w:r w:rsidRPr="003C5D6B">
        <w:rPr>
          <w:i/>
          <w:szCs w:val="24"/>
          <w:lang w:val="es-ES"/>
        </w:rPr>
        <w:t>Rs</w:t>
      </w:r>
      <w:r w:rsidRPr="003C5D6B">
        <w:rPr>
          <w:szCs w:val="24"/>
          <w:lang w:val="es-ES"/>
        </w:rPr>
        <w:t xml:space="preserve"> del canon del espectro podría utilizar la siguiente fórmula:</w:t>
      </w:r>
    </w:p>
    <w:p w:rsidR="00352084" w:rsidRPr="003C5D6B" w:rsidRDefault="000E5D76" w:rsidP="000E5D76">
      <w:pPr>
        <w:keepNext/>
        <w:keepLines/>
        <w:jc w:val="center"/>
        <w:rPr>
          <w:szCs w:val="24"/>
          <w:lang w:val="es-ES"/>
        </w:rPr>
      </w:pPr>
      <w:r w:rsidRPr="003C5D6B">
        <w:rPr>
          <w:szCs w:val="24"/>
          <w:lang w:val="es-ES"/>
        </w:rPr>
        <w:t>Rs = L * bf * c * k4</w:t>
      </w:r>
    </w:p>
    <w:p w:rsidR="00845CFD" w:rsidRPr="003C5D6B" w:rsidRDefault="00845CFD" w:rsidP="00845CFD">
      <w:pPr>
        <w:pStyle w:val="Heading2"/>
        <w:rPr>
          <w:szCs w:val="24"/>
          <w:lang w:val="es-ES"/>
        </w:rPr>
      </w:pPr>
      <w:bookmarkStart w:id="115" w:name="_Toc208727507"/>
      <w:bookmarkStart w:id="116" w:name="_Toc208739198"/>
      <w:bookmarkStart w:id="117" w:name="_Toc248048826"/>
      <w:bookmarkStart w:id="118" w:name="_Toc277598640"/>
      <w:bookmarkStart w:id="119" w:name="_Toc284499162"/>
      <w:bookmarkStart w:id="120" w:name="_Toc287523316"/>
      <w:bookmarkStart w:id="121" w:name="_Toc278266920"/>
      <w:bookmarkStart w:id="122" w:name="_Toc284414124"/>
      <w:r w:rsidRPr="003C5D6B">
        <w:rPr>
          <w:szCs w:val="24"/>
          <w:lang w:val="es-ES"/>
        </w:rPr>
        <w:t>5.3</w:t>
      </w:r>
      <w:r w:rsidRPr="003C5D6B">
        <w:rPr>
          <w:szCs w:val="24"/>
          <w:lang w:val="es-ES"/>
        </w:rPr>
        <w:tab/>
        <w:t>Cánones del espectro relativos a las frecuencias utilizadas para ofrecer o comercializar servicios destinados a un mercado de usuarios</w:t>
      </w:r>
      <w:bookmarkEnd w:id="115"/>
      <w:bookmarkEnd w:id="116"/>
      <w:bookmarkEnd w:id="117"/>
      <w:bookmarkEnd w:id="118"/>
      <w:bookmarkEnd w:id="119"/>
      <w:bookmarkEnd w:id="120"/>
    </w:p>
    <w:p w:rsidR="00845CFD" w:rsidRPr="003C5D6B" w:rsidRDefault="00845CFD" w:rsidP="00845CFD">
      <w:pPr>
        <w:pStyle w:val="Heading3"/>
        <w:rPr>
          <w:szCs w:val="24"/>
          <w:lang w:val="es-ES"/>
        </w:rPr>
      </w:pPr>
      <w:bookmarkStart w:id="123" w:name="_Toc248048827"/>
      <w:bookmarkStart w:id="124" w:name="_Toc277598641"/>
      <w:r w:rsidRPr="003C5D6B">
        <w:rPr>
          <w:szCs w:val="24"/>
          <w:lang w:val="es-ES"/>
        </w:rPr>
        <w:t>5.3.1</w:t>
      </w:r>
      <w:r w:rsidRPr="003C5D6B">
        <w:rPr>
          <w:szCs w:val="24"/>
          <w:lang w:val="es-ES"/>
        </w:rPr>
        <w:tab/>
        <w:t>Observaciones y disposiciones generales</w:t>
      </w:r>
      <w:bookmarkEnd w:id="123"/>
      <w:bookmarkEnd w:id="124"/>
    </w:p>
    <w:p w:rsidR="00845CFD" w:rsidRPr="003C5D6B" w:rsidRDefault="00845CFD" w:rsidP="00845CFD">
      <w:pPr>
        <w:tabs>
          <w:tab w:val="left" w:pos="-1190"/>
          <w:tab w:val="left" w:pos="0"/>
        </w:tabs>
        <w:rPr>
          <w:szCs w:val="24"/>
          <w:lang w:val="es-ES"/>
        </w:rPr>
      </w:pPr>
      <w:r w:rsidRPr="003C5D6B">
        <w:rPr>
          <w:szCs w:val="24"/>
          <w:lang w:val="es-ES"/>
        </w:rPr>
        <w:t>Al determinar las modalidades de establecimiento de cánones debería tenerse principalmente en cuenta los elementos indicados en los § 5.1.1 y 5.1.3, sin olvidar el aspecto relativo a la gestión del espectro.</w:t>
      </w:r>
    </w:p>
    <w:p w:rsidR="00845CFD" w:rsidRPr="003C5D6B" w:rsidRDefault="00845CFD" w:rsidP="00845CFD">
      <w:pPr>
        <w:tabs>
          <w:tab w:val="left" w:pos="-1190"/>
          <w:tab w:val="left" w:pos="0"/>
        </w:tabs>
        <w:rPr>
          <w:szCs w:val="24"/>
          <w:lang w:val="es-ES"/>
        </w:rPr>
      </w:pPr>
      <w:r w:rsidRPr="003C5D6B">
        <w:rPr>
          <w:szCs w:val="24"/>
          <w:lang w:val="es-ES"/>
        </w:rPr>
        <w:t xml:space="preserve">En general, los cánones aplicados a esas frecuencias representan la parte más importante de los ingresos presupuestarios del Estado que provienen de los cánones relativos al espectro radioeléctrico. </w:t>
      </w:r>
    </w:p>
    <w:p w:rsidR="00845CFD" w:rsidRPr="003C5D6B" w:rsidRDefault="00845CFD" w:rsidP="00845CFD">
      <w:pPr>
        <w:tabs>
          <w:tab w:val="left" w:pos="-1190"/>
          <w:tab w:val="left" w:pos="0"/>
        </w:tabs>
        <w:rPr>
          <w:szCs w:val="24"/>
          <w:lang w:val="es-ES"/>
        </w:rPr>
      </w:pPr>
      <w:r w:rsidRPr="003C5D6B">
        <w:rPr>
          <w:szCs w:val="24"/>
          <w:lang w:val="es-ES"/>
        </w:rPr>
        <w:t>Para reflejar los beneficios de la renta de situación pueden tenerse en cuenta diversos elementos como, por ejemplo, la población a la que da cobertura la licencia, la parte del territorio que abarca la licencia o el volumen de negocio logrado por la oferta o la comercialización de los servicios.</w:t>
      </w:r>
    </w:p>
    <w:p w:rsidR="00845CFD" w:rsidRPr="003C5D6B" w:rsidRDefault="00845CFD" w:rsidP="00845CFD">
      <w:pPr>
        <w:tabs>
          <w:tab w:val="left" w:pos="-1190"/>
          <w:tab w:val="left" w:pos="0"/>
        </w:tabs>
        <w:rPr>
          <w:szCs w:val="24"/>
          <w:lang w:val="es-ES"/>
        </w:rPr>
      </w:pPr>
      <w:r w:rsidRPr="003C5D6B">
        <w:rPr>
          <w:szCs w:val="24"/>
          <w:lang w:val="es-ES"/>
        </w:rPr>
        <w:t>El volumen de negocio aparece habitualmente como el elemento más representativo de la renta de situación.</w:t>
      </w:r>
    </w:p>
    <w:p w:rsidR="00845CFD" w:rsidRPr="003C5D6B" w:rsidRDefault="00845CFD" w:rsidP="00845CFD">
      <w:pPr>
        <w:tabs>
          <w:tab w:val="left" w:pos="-1190"/>
          <w:tab w:val="left" w:pos="0"/>
        </w:tabs>
        <w:rPr>
          <w:szCs w:val="24"/>
          <w:lang w:val="es-ES"/>
        </w:rPr>
      </w:pPr>
      <w:r w:rsidRPr="003C5D6B">
        <w:rPr>
          <w:szCs w:val="24"/>
          <w:lang w:val="es-ES"/>
        </w:rPr>
        <w:t>Si el volumen de negocio se tiene en cuenta para establecer la base de los cánones, se recomienda definir con precisión sus límites y su contenido.</w:t>
      </w:r>
    </w:p>
    <w:p w:rsidR="00845CFD" w:rsidRPr="003C5D6B" w:rsidRDefault="00845CFD" w:rsidP="00845CFD">
      <w:pPr>
        <w:pStyle w:val="Heading3"/>
        <w:rPr>
          <w:szCs w:val="24"/>
          <w:lang w:val="es-ES"/>
        </w:rPr>
      </w:pPr>
      <w:bookmarkStart w:id="125" w:name="_Toc248048828"/>
      <w:bookmarkStart w:id="126" w:name="_Toc277598642"/>
      <w:r w:rsidRPr="003C5D6B">
        <w:rPr>
          <w:szCs w:val="24"/>
          <w:lang w:val="es-ES"/>
        </w:rPr>
        <w:lastRenderedPageBreak/>
        <w:t>5.3.2</w:t>
      </w:r>
      <w:r w:rsidRPr="003C5D6B">
        <w:rPr>
          <w:szCs w:val="24"/>
          <w:lang w:val="es-ES"/>
        </w:rPr>
        <w:tab/>
        <w:t>Ejemplo de canon aplicado al servicio móvil 2G</w:t>
      </w:r>
      <w:bookmarkEnd w:id="125"/>
      <w:bookmarkEnd w:id="126"/>
    </w:p>
    <w:p w:rsidR="00845CFD" w:rsidRPr="003C5D6B" w:rsidRDefault="00845CFD" w:rsidP="00845CFD">
      <w:pPr>
        <w:rPr>
          <w:szCs w:val="24"/>
          <w:lang w:val="es-ES"/>
        </w:rPr>
      </w:pPr>
      <w:r w:rsidRPr="003C5D6B">
        <w:rPr>
          <w:szCs w:val="24"/>
          <w:lang w:val="es-ES"/>
        </w:rPr>
        <w:t xml:space="preserve">Para determinar el importe anual </w:t>
      </w:r>
      <w:r w:rsidRPr="003C5D6B">
        <w:rPr>
          <w:i/>
          <w:szCs w:val="24"/>
          <w:lang w:val="es-ES"/>
        </w:rPr>
        <w:t>Rs</w:t>
      </w:r>
      <w:r w:rsidRPr="003C5D6B">
        <w:rPr>
          <w:szCs w:val="24"/>
          <w:lang w:val="es-ES"/>
        </w:rPr>
        <w:t xml:space="preserve"> del canon del espectro podría utilizarse la siguiente fórmula:</w:t>
      </w:r>
    </w:p>
    <w:p w:rsidR="00845CFD" w:rsidRPr="003C5D6B" w:rsidRDefault="00845CFD" w:rsidP="00845CFD">
      <w:pPr>
        <w:tabs>
          <w:tab w:val="left" w:pos="-1190"/>
          <w:tab w:val="left" w:pos="0"/>
        </w:tabs>
        <w:jc w:val="center"/>
        <w:rPr>
          <w:szCs w:val="24"/>
          <w:lang w:val="es-ES"/>
        </w:rPr>
      </w:pPr>
      <w:r w:rsidRPr="003C5D6B">
        <w:rPr>
          <w:szCs w:val="24"/>
          <w:lang w:val="es-ES"/>
        </w:rPr>
        <w:t>Rs = F + t% * CA</w:t>
      </w:r>
    </w:p>
    <w:p w:rsidR="00845CFD" w:rsidRPr="003C5D6B" w:rsidRDefault="00845CFD" w:rsidP="00845CFD">
      <w:pPr>
        <w:tabs>
          <w:tab w:val="left" w:pos="-1190"/>
          <w:tab w:val="left" w:pos="0"/>
        </w:tabs>
        <w:rPr>
          <w:szCs w:val="24"/>
          <w:lang w:val="es-ES"/>
        </w:rPr>
      </w:pPr>
      <w:r w:rsidRPr="003C5D6B">
        <w:rPr>
          <w:szCs w:val="24"/>
          <w:lang w:val="es-ES"/>
        </w:rPr>
        <w:t>en la cual:</w:t>
      </w:r>
    </w:p>
    <w:p w:rsidR="00845CFD" w:rsidRPr="003C5D6B" w:rsidRDefault="00845CFD" w:rsidP="00845CFD">
      <w:pPr>
        <w:pStyle w:val="enumlev1"/>
        <w:rPr>
          <w:szCs w:val="24"/>
          <w:lang w:val="es-ES"/>
        </w:rPr>
      </w:pPr>
      <w:r w:rsidRPr="003C5D6B">
        <w:rPr>
          <w:szCs w:val="24"/>
          <w:lang w:val="es-ES"/>
        </w:rPr>
        <w:t>–</w:t>
      </w:r>
      <w:r w:rsidRPr="003C5D6B">
        <w:rPr>
          <w:szCs w:val="24"/>
          <w:lang w:val="es-ES"/>
        </w:rPr>
        <w:tab/>
        <w:t>F representa un importe fijo que debe pagarse cada año. Ese importe puede ser proporcional a la anchura de la banda total atribuida para el servicio 2G al operador de que se trate;</w:t>
      </w:r>
    </w:p>
    <w:p w:rsidR="00845CFD" w:rsidRPr="003C5D6B" w:rsidRDefault="00845CFD" w:rsidP="00845CFD">
      <w:pPr>
        <w:pStyle w:val="enumlev1"/>
        <w:rPr>
          <w:szCs w:val="24"/>
          <w:lang w:val="es-ES"/>
        </w:rPr>
      </w:pPr>
      <w:r w:rsidRPr="003C5D6B">
        <w:rPr>
          <w:szCs w:val="24"/>
          <w:lang w:val="es-ES"/>
        </w:rPr>
        <w:t>–</w:t>
      </w:r>
      <w:r w:rsidRPr="003C5D6B">
        <w:rPr>
          <w:szCs w:val="24"/>
          <w:lang w:val="es-ES"/>
        </w:rPr>
        <w:tab/>
        <w:t>CA representa el volumen de negocios del operador relativo a las frecuencias del servicio móvil 2G para el año correspondiente;</w:t>
      </w:r>
    </w:p>
    <w:p w:rsidR="00845CFD" w:rsidRPr="003C5D6B" w:rsidRDefault="00845CFD" w:rsidP="00845CFD">
      <w:pPr>
        <w:pStyle w:val="enumlev1"/>
        <w:rPr>
          <w:szCs w:val="24"/>
          <w:lang w:val="es-ES"/>
        </w:rPr>
      </w:pPr>
      <w:r w:rsidRPr="003C5D6B">
        <w:rPr>
          <w:szCs w:val="24"/>
          <w:lang w:val="es-ES"/>
        </w:rPr>
        <w:t>–</w:t>
      </w:r>
      <w:r w:rsidRPr="003C5D6B">
        <w:rPr>
          <w:szCs w:val="24"/>
          <w:lang w:val="es-ES"/>
        </w:rPr>
        <w:tab/>
        <w:t>t% representa el porcentaje que se quiere deducir del volumen de negocio del operador. En general, el valor de t% aplicado por las administraciones es del 1% aproximadamente.</w:t>
      </w:r>
    </w:p>
    <w:p w:rsidR="00845CFD" w:rsidRPr="003C5D6B" w:rsidRDefault="00845CFD" w:rsidP="00845CFD">
      <w:pPr>
        <w:pStyle w:val="Heading3"/>
        <w:rPr>
          <w:szCs w:val="24"/>
          <w:lang w:val="es-ES"/>
        </w:rPr>
      </w:pPr>
      <w:bookmarkStart w:id="127" w:name="_Toc248048829"/>
      <w:bookmarkStart w:id="128" w:name="_Toc277598643"/>
      <w:r w:rsidRPr="003C5D6B">
        <w:rPr>
          <w:szCs w:val="24"/>
          <w:lang w:val="es-ES"/>
        </w:rPr>
        <w:t>5.3.3</w:t>
      </w:r>
      <w:r w:rsidRPr="003C5D6B">
        <w:rPr>
          <w:szCs w:val="24"/>
          <w:lang w:val="es-ES"/>
        </w:rPr>
        <w:tab/>
        <w:t>Ejemplo de canon aplicado al servicio móvil 3G</w:t>
      </w:r>
      <w:bookmarkEnd w:id="127"/>
      <w:bookmarkEnd w:id="128"/>
    </w:p>
    <w:p w:rsidR="00845CFD" w:rsidRPr="003C5D6B" w:rsidRDefault="00845CFD" w:rsidP="00845CFD">
      <w:pPr>
        <w:rPr>
          <w:szCs w:val="24"/>
          <w:lang w:val="es-ES"/>
        </w:rPr>
      </w:pPr>
      <w:r w:rsidRPr="003C5D6B">
        <w:rPr>
          <w:szCs w:val="24"/>
          <w:lang w:val="es-ES"/>
        </w:rPr>
        <w:t xml:space="preserve">Para determinar el importe anual </w:t>
      </w:r>
      <w:r w:rsidRPr="003C5D6B">
        <w:rPr>
          <w:i/>
          <w:szCs w:val="24"/>
          <w:lang w:val="es-ES"/>
        </w:rPr>
        <w:t>Rs</w:t>
      </w:r>
      <w:r w:rsidRPr="003C5D6B">
        <w:rPr>
          <w:szCs w:val="24"/>
          <w:lang w:val="es-ES"/>
        </w:rPr>
        <w:t xml:space="preserve"> del canon del espectro podría utilizarse la siguiente fórmula:</w:t>
      </w:r>
    </w:p>
    <w:p w:rsidR="00845CFD" w:rsidRPr="003C5D6B" w:rsidRDefault="00845CFD" w:rsidP="00845CFD">
      <w:pPr>
        <w:tabs>
          <w:tab w:val="left" w:pos="-1190"/>
          <w:tab w:val="left" w:pos="0"/>
        </w:tabs>
        <w:jc w:val="center"/>
        <w:rPr>
          <w:szCs w:val="24"/>
          <w:lang w:val="es-ES"/>
        </w:rPr>
      </w:pPr>
      <w:r w:rsidRPr="003C5D6B">
        <w:rPr>
          <w:szCs w:val="24"/>
          <w:lang w:val="es-ES"/>
        </w:rPr>
        <w:t>Rs = t% * CA</w:t>
      </w:r>
    </w:p>
    <w:p w:rsidR="00845CFD" w:rsidRPr="003C5D6B" w:rsidRDefault="00845CFD" w:rsidP="00845CFD">
      <w:pPr>
        <w:tabs>
          <w:tab w:val="left" w:pos="-1190"/>
          <w:tab w:val="left" w:pos="0"/>
        </w:tabs>
        <w:rPr>
          <w:szCs w:val="24"/>
          <w:lang w:val="es-ES"/>
        </w:rPr>
      </w:pPr>
      <w:r w:rsidRPr="003C5D6B">
        <w:rPr>
          <w:szCs w:val="24"/>
          <w:lang w:val="es-ES"/>
        </w:rPr>
        <w:t>en la cual:</w:t>
      </w:r>
    </w:p>
    <w:p w:rsidR="00845CFD" w:rsidRPr="003C5D6B" w:rsidRDefault="00845CFD" w:rsidP="00845CFD">
      <w:pPr>
        <w:pStyle w:val="enumlev1"/>
        <w:rPr>
          <w:szCs w:val="24"/>
          <w:lang w:val="es-ES"/>
        </w:rPr>
      </w:pPr>
      <w:r w:rsidRPr="003C5D6B">
        <w:rPr>
          <w:szCs w:val="24"/>
          <w:lang w:val="es-ES"/>
        </w:rPr>
        <w:t>–</w:t>
      </w:r>
      <w:r w:rsidRPr="003C5D6B">
        <w:rPr>
          <w:szCs w:val="24"/>
          <w:lang w:val="es-ES"/>
        </w:rPr>
        <w:tab/>
        <w:t>CA representa el volumen de negocios del operador relativo a las frecuencias del servicio móvil 3G para el año correspondiente;</w:t>
      </w:r>
    </w:p>
    <w:p w:rsidR="00845CFD" w:rsidRPr="003C5D6B" w:rsidRDefault="00845CFD" w:rsidP="00845CFD">
      <w:pPr>
        <w:pStyle w:val="enumlev1"/>
        <w:rPr>
          <w:szCs w:val="24"/>
          <w:lang w:val="es-ES"/>
        </w:rPr>
      </w:pPr>
      <w:r w:rsidRPr="003C5D6B">
        <w:rPr>
          <w:szCs w:val="24"/>
          <w:lang w:val="es-ES"/>
        </w:rPr>
        <w:t>–</w:t>
      </w:r>
      <w:r w:rsidRPr="003C5D6B">
        <w:rPr>
          <w:szCs w:val="24"/>
          <w:lang w:val="es-ES"/>
        </w:rPr>
        <w:tab/>
        <w:t>t% representa el porcentaje que se quiere deducir del volumen de negocio del operador.</w:t>
      </w:r>
    </w:p>
    <w:p w:rsidR="00845CFD" w:rsidRPr="003C5D6B" w:rsidRDefault="00845CFD" w:rsidP="00F10589">
      <w:pPr>
        <w:rPr>
          <w:szCs w:val="24"/>
          <w:lang w:val="es-ES"/>
        </w:rPr>
      </w:pPr>
      <w:r w:rsidRPr="003C5D6B">
        <w:rPr>
          <w:szCs w:val="24"/>
          <w:lang w:val="es-ES"/>
        </w:rPr>
        <w:t xml:space="preserve">Este canon anual se completa con un </w:t>
      </w:r>
      <w:r w:rsidR="00F10589" w:rsidRPr="003C5D6B">
        <w:rPr>
          <w:szCs w:val="24"/>
          <w:lang w:val="es-ES"/>
        </w:rPr>
        <w:t>“</w:t>
      </w:r>
      <w:r w:rsidRPr="003C5D6B">
        <w:rPr>
          <w:szCs w:val="24"/>
          <w:lang w:val="es-ES"/>
        </w:rPr>
        <w:t>derecho de entrada</w:t>
      </w:r>
      <w:r w:rsidR="00F10589" w:rsidRPr="003C5D6B">
        <w:rPr>
          <w:szCs w:val="24"/>
          <w:lang w:val="es-ES"/>
        </w:rPr>
        <w:t>”</w:t>
      </w:r>
      <w:r w:rsidRPr="003C5D6B">
        <w:rPr>
          <w:szCs w:val="24"/>
          <w:lang w:val="es-ES"/>
        </w:rPr>
        <w:t>, que se paga en el momento de la atribución de la licencia. El importe del derecho de entrada, que debe ser proporcional a la anchura de la banda atribuida se debería fijar teniendo en cuenta especialmente lo indicado en el § [23] para que, llegado el caso, no obstaculice la implantación de las redes de los nuevos operadores.</w:t>
      </w:r>
    </w:p>
    <w:p w:rsidR="00845CFD" w:rsidRPr="003C5D6B" w:rsidRDefault="00845CFD" w:rsidP="00845CFD">
      <w:pPr>
        <w:pStyle w:val="Heading3"/>
        <w:rPr>
          <w:szCs w:val="24"/>
          <w:lang w:val="es-ES"/>
        </w:rPr>
      </w:pPr>
      <w:bookmarkStart w:id="129" w:name="_Toc248048830"/>
      <w:bookmarkStart w:id="130" w:name="_Toc277598644"/>
      <w:r w:rsidRPr="003C5D6B">
        <w:rPr>
          <w:szCs w:val="24"/>
          <w:lang w:val="es-ES"/>
        </w:rPr>
        <w:t>5.3.4</w:t>
      </w:r>
      <w:r w:rsidRPr="003C5D6B">
        <w:rPr>
          <w:szCs w:val="24"/>
          <w:lang w:val="es-ES"/>
        </w:rPr>
        <w:tab/>
        <w:t>Otro ejemplo de canon aplicado al servicio fijo del bucle local radioeléctrico</w:t>
      </w:r>
      <w:bookmarkEnd w:id="129"/>
      <w:bookmarkEnd w:id="130"/>
    </w:p>
    <w:p w:rsidR="00845CFD" w:rsidRPr="003C5D6B" w:rsidRDefault="00845CFD" w:rsidP="00845CFD">
      <w:pPr>
        <w:tabs>
          <w:tab w:val="left" w:pos="-1190"/>
          <w:tab w:val="left" w:pos="0"/>
        </w:tabs>
        <w:rPr>
          <w:szCs w:val="24"/>
          <w:lang w:val="es-ES"/>
        </w:rPr>
      </w:pPr>
      <w:r w:rsidRPr="003C5D6B">
        <w:rPr>
          <w:szCs w:val="24"/>
          <w:lang w:val="es-ES"/>
        </w:rPr>
        <w:t xml:space="preserve">La determinación del importe anual </w:t>
      </w:r>
      <w:r w:rsidRPr="003C5D6B">
        <w:rPr>
          <w:i/>
          <w:szCs w:val="24"/>
          <w:lang w:val="es-ES"/>
        </w:rPr>
        <w:t>Rs</w:t>
      </w:r>
      <w:r w:rsidRPr="003C5D6B">
        <w:rPr>
          <w:szCs w:val="24"/>
          <w:lang w:val="es-ES"/>
        </w:rPr>
        <w:t xml:space="preserve"> del canon del espectro podría utilizar la siguiente fórmula:</w:t>
      </w:r>
    </w:p>
    <w:p w:rsidR="00845CFD" w:rsidRPr="003C5D6B" w:rsidRDefault="00845CFD" w:rsidP="00845CFD">
      <w:pPr>
        <w:tabs>
          <w:tab w:val="left" w:pos="-1190"/>
          <w:tab w:val="left" w:pos="0"/>
        </w:tabs>
        <w:jc w:val="center"/>
        <w:rPr>
          <w:szCs w:val="24"/>
          <w:lang w:val="es-ES"/>
        </w:rPr>
      </w:pPr>
      <w:r w:rsidRPr="003C5D6B">
        <w:rPr>
          <w:szCs w:val="24"/>
          <w:lang w:val="es-ES"/>
        </w:rPr>
        <w:t>Rs = t% * CA</w:t>
      </w:r>
    </w:p>
    <w:p w:rsidR="00845CFD" w:rsidRPr="003C5D6B" w:rsidRDefault="00845CFD" w:rsidP="00845CFD">
      <w:pPr>
        <w:rPr>
          <w:szCs w:val="24"/>
          <w:lang w:val="es-ES"/>
        </w:rPr>
      </w:pPr>
      <w:r w:rsidRPr="003C5D6B">
        <w:rPr>
          <w:szCs w:val="24"/>
          <w:lang w:val="es-ES"/>
        </w:rPr>
        <w:t>en la cual:</w:t>
      </w:r>
    </w:p>
    <w:p w:rsidR="00845CFD" w:rsidRPr="003C5D6B" w:rsidRDefault="00845CFD" w:rsidP="00845CFD">
      <w:pPr>
        <w:pStyle w:val="enumlev1"/>
        <w:rPr>
          <w:szCs w:val="24"/>
          <w:lang w:val="es-ES"/>
        </w:rPr>
      </w:pPr>
      <w:r w:rsidRPr="003C5D6B">
        <w:rPr>
          <w:szCs w:val="24"/>
          <w:lang w:val="es-ES"/>
        </w:rPr>
        <w:t>–</w:t>
      </w:r>
      <w:r w:rsidRPr="003C5D6B">
        <w:rPr>
          <w:szCs w:val="24"/>
          <w:lang w:val="es-ES"/>
        </w:rPr>
        <w:tab/>
        <w:t>CA representa el volumen de negocios del operador relativo a las frecuencias del servicio fijo del bucle local radioeléctrico para el año correspondiente;</w:t>
      </w:r>
    </w:p>
    <w:p w:rsidR="00845CFD" w:rsidRPr="003C5D6B" w:rsidRDefault="00845CFD" w:rsidP="00845CFD">
      <w:pPr>
        <w:pStyle w:val="enumlev1"/>
        <w:rPr>
          <w:szCs w:val="24"/>
          <w:lang w:val="es-ES"/>
        </w:rPr>
      </w:pPr>
      <w:r w:rsidRPr="003C5D6B">
        <w:rPr>
          <w:szCs w:val="24"/>
          <w:lang w:val="es-ES"/>
        </w:rPr>
        <w:t>–</w:t>
      </w:r>
      <w:r w:rsidRPr="003C5D6B">
        <w:rPr>
          <w:szCs w:val="24"/>
          <w:lang w:val="es-ES"/>
        </w:rPr>
        <w:tab/>
        <w:t>t% representa el porcentaje que se quiere deducir del volumen de negocio del operador.</w:t>
      </w:r>
    </w:p>
    <w:p w:rsidR="00845CFD" w:rsidRPr="003C5D6B" w:rsidRDefault="00845CFD" w:rsidP="00845CFD">
      <w:pPr>
        <w:rPr>
          <w:szCs w:val="24"/>
          <w:lang w:val="es-ES"/>
        </w:rPr>
      </w:pPr>
      <w:r w:rsidRPr="003C5D6B">
        <w:rPr>
          <w:szCs w:val="24"/>
          <w:lang w:val="es-ES"/>
        </w:rPr>
        <w:t>Este canon anual se comp</w:t>
      </w:r>
      <w:r w:rsidR="00F10589" w:rsidRPr="003C5D6B">
        <w:rPr>
          <w:szCs w:val="24"/>
          <w:lang w:val="es-ES"/>
        </w:rPr>
        <w:t>leta con un “derecho de entrada”</w:t>
      </w:r>
      <w:r w:rsidRPr="003C5D6B">
        <w:rPr>
          <w:szCs w:val="24"/>
          <w:lang w:val="es-ES"/>
        </w:rPr>
        <w:t>, que se paga en el momento de la atribución de la licencia. El importe del derecho de entrada, que debe ser proporcional a la anchura de la banda atribuida se debería fijar teniendo en cuenta especialmente lo ya indicado en el § [23] para que, llegado el caso, no obstaculice la implantación de las redes de los nuevos operadores.</w:t>
      </w:r>
    </w:p>
    <w:p w:rsidR="00845CFD" w:rsidRPr="003C5D6B" w:rsidRDefault="00845CFD" w:rsidP="004C1F9C">
      <w:pPr>
        <w:pStyle w:val="Heading3"/>
        <w:rPr>
          <w:szCs w:val="24"/>
          <w:lang w:val="es-ES"/>
        </w:rPr>
      </w:pPr>
      <w:bookmarkStart w:id="131" w:name="_Toc248048831"/>
      <w:bookmarkStart w:id="132" w:name="_Toc277598645"/>
      <w:r w:rsidRPr="003C5D6B">
        <w:rPr>
          <w:szCs w:val="24"/>
          <w:lang w:val="es-ES"/>
        </w:rPr>
        <w:t>5.3.5</w:t>
      </w:r>
      <w:r w:rsidRPr="003C5D6B">
        <w:rPr>
          <w:szCs w:val="24"/>
          <w:lang w:val="es-ES"/>
        </w:rPr>
        <w:tab/>
        <w:t>Ejemplo de canon aplicado a un editor de programas de televisión</w:t>
      </w:r>
      <w:bookmarkEnd w:id="131"/>
      <w:bookmarkEnd w:id="132"/>
    </w:p>
    <w:p w:rsidR="00845CFD" w:rsidRPr="003C5D6B" w:rsidRDefault="00845CFD" w:rsidP="00845CFD">
      <w:pPr>
        <w:rPr>
          <w:szCs w:val="24"/>
          <w:lang w:val="es-ES"/>
        </w:rPr>
      </w:pPr>
      <w:r w:rsidRPr="003C5D6B">
        <w:rPr>
          <w:szCs w:val="24"/>
          <w:lang w:val="es-ES"/>
        </w:rPr>
        <w:t xml:space="preserve">La determinación del importe anual </w:t>
      </w:r>
      <w:r w:rsidRPr="003C5D6B">
        <w:rPr>
          <w:i/>
          <w:szCs w:val="24"/>
          <w:lang w:val="es-ES"/>
        </w:rPr>
        <w:t>Rs</w:t>
      </w:r>
      <w:r w:rsidRPr="003C5D6B">
        <w:rPr>
          <w:szCs w:val="24"/>
          <w:lang w:val="es-ES"/>
        </w:rPr>
        <w:t xml:space="preserve"> del canon del espectro podría utilizar la siguiente fórmula:</w:t>
      </w:r>
    </w:p>
    <w:p w:rsidR="00845CFD" w:rsidRPr="003C5D6B" w:rsidRDefault="00845CFD" w:rsidP="00845CFD">
      <w:pPr>
        <w:tabs>
          <w:tab w:val="left" w:pos="-1190"/>
          <w:tab w:val="left" w:pos="0"/>
        </w:tabs>
        <w:jc w:val="center"/>
        <w:rPr>
          <w:szCs w:val="24"/>
          <w:lang w:val="es-ES"/>
        </w:rPr>
      </w:pPr>
      <w:r w:rsidRPr="003C5D6B">
        <w:rPr>
          <w:szCs w:val="24"/>
          <w:lang w:val="es-ES"/>
        </w:rPr>
        <w:t>Rs = F + t% * CA</w:t>
      </w:r>
    </w:p>
    <w:p w:rsidR="00845CFD" w:rsidRPr="003C5D6B" w:rsidRDefault="00845CFD" w:rsidP="00845CFD">
      <w:pPr>
        <w:tabs>
          <w:tab w:val="left" w:pos="-1190"/>
          <w:tab w:val="left" w:pos="0"/>
        </w:tabs>
        <w:rPr>
          <w:szCs w:val="24"/>
          <w:lang w:val="es-ES"/>
        </w:rPr>
      </w:pPr>
      <w:r w:rsidRPr="003C5D6B">
        <w:rPr>
          <w:szCs w:val="24"/>
          <w:lang w:val="es-ES"/>
        </w:rPr>
        <w:t>en la cual:</w:t>
      </w:r>
    </w:p>
    <w:p w:rsidR="00845CFD" w:rsidRPr="003C5D6B" w:rsidRDefault="00845CFD" w:rsidP="00845CFD">
      <w:pPr>
        <w:pStyle w:val="enumlev1"/>
        <w:rPr>
          <w:szCs w:val="24"/>
          <w:lang w:val="es-ES"/>
        </w:rPr>
      </w:pPr>
      <w:r w:rsidRPr="003C5D6B">
        <w:rPr>
          <w:szCs w:val="24"/>
          <w:lang w:val="es-ES"/>
        </w:rPr>
        <w:t>–</w:t>
      </w:r>
      <w:r w:rsidRPr="003C5D6B">
        <w:rPr>
          <w:szCs w:val="24"/>
          <w:lang w:val="es-ES"/>
        </w:rPr>
        <w:tab/>
        <w:t>F representa un importe fijo que debe pagarse cada año. Este importe puede ser proporcional a la anchura de la banda total atribuida para el servicio de radiodifusión al operador de que se trate;</w:t>
      </w:r>
    </w:p>
    <w:p w:rsidR="00845CFD" w:rsidRPr="003C5D6B" w:rsidRDefault="00845CFD" w:rsidP="00845CFD">
      <w:pPr>
        <w:pStyle w:val="enumlev1"/>
        <w:rPr>
          <w:szCs w:val="24"/>
          <w:lang w:val="es-ES"/>
        </w:rPr>
      </w:pPr>
      <w:r w:rsidRPr="003C5D6B">
        <w:rPr>
          <w:szCs w:val="24"/>
          <w:lang w:val="es-ES"/>
        </w:rPr>
        <w:t>–</w:t>
      </w:r>
      <w:r w:rsidRPr="003C5D6B">
        <w:rPr>
          <w:szCs w:val="24"/>
          <w:lang w:val="es-ES"/>
        </w:rPr>
        <w:tab/>
        <w:t>CA representa el volumen de negocios del operador para el año correspondiente que proviene de los ingresos obtenidos por la publicidad, a los que se añaden, llegado el caso, los ingresos provenientes de los abonos y los pagos por sesión;</w:t>
      </w:r>
    </w:p>
    <w:p w:rsidR="00845CFD" w:rsidRPr="003C5D6B" w:rsidRDefault="00845CFD" w:rsidP="00845CFD">
      <w:pPr>
        <w:pStyle w:val="enumlev1"/>
        <w:rPr>
          <w:szCs w:val="24"/>
          <w:lang w:val="es-ES"/>
        </w:rPr>
      </w:pPr>
      <w:r w:rsidRPr="003C5D6B">
        <w:rPr>
          <w:szCs w:val="24"/>
          <w:lang w:val="es-ES"/>
        </w:rPr>
        <w:t>–</w:t>
      </w:r>
      <w:r w:rsidRPr="003C5D6B">
        <w:rPr>
          <w:szCs w:val="24"/>
          <w:lang w:val="es-ES"/>
        </w:rPr>
        <w:tab/>
        <w:t>t% representa el porcentaje que se quiere deducir del volumen de negocio del operador.</w:t>
      </w:r>
    </w:p>
    <w:p w:rsidR="001E0D38" w:rsidRPr="003C5D6B" w:rsidRDefault="001E0D38" w:rsidP="001E0D38">
      <w:pPr>
        <w:pStyle w:val="Heading1"/>
        <w:rPr>
          <w:szCs w:val="22"/>
          <w:lang w:val="es-ES"/>
        </w:rPr>
      </w:pPr>
      <w:bookmarkStart w:id="133" w:name="_Toc208727508"/>
      <w:bookmarkStart w:id="134" w:name="_Toc208739199"/>
      <w:bookmarkStart w:id="135" w:name="_Toc248048832"/>
      <w:bookmarkStart w:id="136" w:name="_Toc277598646"/>
      <w:bookmarkStart w:id="137" w:name="_Toc284499163"/>
      <w:bookmarkStart w:id="138" w:name="_Toc287523317"/>
      <w:bookmarkStart w:id="139" w:name="_Toc278266921"/>
      <w:bookmarkStart w:id="140" w:name="_Toc284414125"/>
      <w:bookmarkEnd w:id="121"/>
      <w:bookmarkEnd w:id="122"/>
      <w:r w:rsidRPr="003C5D6B">
        <w:rPr>
          <w:szCs w:val="22"/>
          <w:lang w:val="es-ES"/>
        </w:rPr>
        <w:lastRenderedPageBreak/>
        <w:t>6</w:t>
      </w:r>
      <w:r w:rsidRPr="003C5D6B">
        <w:rPr>
          <w:szCs w:val="22"/>
          <w:lang w:val="es-ES"/>
        </w:rPr>
        <w:tab/>
        <w:t>Recomendaciones para establecer una comparación internacional entre los importes de los cánones aplicados</w:t>
      </w:r>
      <w:bookmarkEnd w:id="133"/>
      <w:bookmarkEnd w:id="134"/>
      <w:bookmarkEnd w:id="135"/>
      <w:bookmarkEnd w:id="136"/>
      <w:bookmarkEnd w:id="137"/>
      <w:bookmarkEnd w:id="138"/>
    </w:p>
    <w:p w:rsidR="001E0D38" w:rsidRPr="003C5D6B" w:rsidRDefault="001E0D38" w:rsidP="001E0D38">
      <w:pPr>
        <w:tabs>
          <w:tab w:val="left" w:pos="-1190"/>
          <w:tab w:val="left" w:pos="0"/>
        </w:tabs>
        <w:rPr>
          <w:szCs w:val="22"/>
          <w:lang w:val="es-ES"/>
        </w:rPr>
      </w:pPr>
      <w:r w:rsidRPr="003C5D6B">
        <w:rPr>
          <w:szCs w:val="22"/>
          <w:lang w:val="es-ES"/>
        </w:rPr>
        <w:t xml:space="preserve">En la base de datos </w:t>
      </w:r>
      <w:r w:rsidRPr="003C5D6B">
        <w:rPr>
          <w:i/>
          <w:szCs w:val="22"/>
          <w:lang w:val="es-ES"/>
        </w:rPr>
        <w:t>Spectrum Fees</w:t>
      </w:r>
      <w:r w:rsidRPr="003C5D6B">
        <w:rPr>
          <w:iCs/>
          <w:szCs w:val="22"/>
          <w:lang w:val="es-ES"/>
        </w:rPr>
        <w:t xml:space="preserve"> (cánones del espectro)</w:t>
      </w:r>
      <w:r w:rsidRPr="003C5D6B">
        <w:rPr>
          <w:szCs w:val="22"/>
          <w:lang w:val="es-ES"/>
        </w:rPr>
        <w:t>, creada en la página web de la UIT en el marco de la Resolución 9, figuran datos relativos a los sistemas de cánones aplicados por diversas administraciones.</w:t>
      </w:r>
    </w:p>
    <w:p w:rsidR="001E0D38" w:rsidRPr="003C5D6B" w:rsidRDefault="001E0D38" w:rsidP="002C08E0">
      <w:pPr>
        <w:rPr>
          <w:szCs w:val="22"/>
          <w:lang w:val="es-ES"/>
        </w:rPr>
      </w:pPr>
      <w:r w:rsidRPr="003C5D6B">
        <w:rPr>
          <w:szCs w:val="22"/>
          <w:lang w:val="es-ES"/>
        </w:rPr>
        <w:t>Al efectuar una comparación internacional entre los importes de los cánones aplicados respectivamente por cada uno de los países considerados, pueden tenerse en cuenta numerosos elementos (véase el Anexo 4).</w:t>
      </w:r>
    </w:p>
    <w:p w:rsidR="001E0D38" w:rsidRPr="003C5D6B" w:rsidRDefault="001E0D38" w:rsidP="002C08E0">
      <w:pPr>
        <w:rPr>
          <w:szCs w:val="22"/>
          <w:lang w:val="es-ES"/>
        </w:rPr>
      </w:pPr>
      <w:r w:rsidRPr="003C5D6B">
        <w:rPr>
          <w:szCs w:val="22"/>
          <w:lang w:val="es-ES"/>
        </w:rPr>
        <w:t xml:space="preserve">Entre esos elementos, cuya determinación en algunos casos puede exigir tiempo y medios importantes, se recomienda utilizar el </w:t>
      </w:r>
      <w:r w:rsidR="004C1F9C" w:rsidRPr="003C5D6B">
        <w:rPr>
          <w:szCs w:val="22"/>
          <w:lang w:val="es-ES"/>
        </w:rPr>
        <w:t>“</w:t>
      </w:r>
      <w:r w:rsidRPr="003C5D6B">
        <w:rPr>
          <w:szCs w:val="22"/>
          <w:lang w:val="es-ES"/>
        </w:rPr>
        <w:t>PIB</w:t>
      </w:r>
      <w:r w:rsidR="002C08E0" w:rsidRPr="003C5D6B">
        <w:rPr>
          <w:szCs w:val="22"/>
          <w:lang w:val="es-ES"/>
        </w:rPr>
        <w:t>”</w:t>
      </w:r>
      <w:r w:rsidRPr="003C5D6B">
        <w:rPr>
          <w:szCs w:val="22"/>
          <w:lang w:val="es-ES"/>
        </w:rPr>
        <w:t xml:space="preserve"> o el </w:t>
      </w:r>
      <w:r w:rsidR="002C08E0" w:rsidRPr="003C5D6B">
        <w:rPr>
          <w:szCs w:val="22"/>
          <w:lang w:val="es-ES"/>
        </w:rPr>
        <w:t>“</w:t>
      </w:r>
      <w:r w:rsidRPr="003C5D6B">
        <w:rPr>
          <w:szCs w:val="22"/>
          <w:lang w:val="es-ES"/>
        </w:rPr>
        <w:t>PIB por habitante</w:t>
      </w:r>
      <w:r w:rsidR="002C08E0" w:rsidRPr="003C5D6B">
        <w:rPr>
          <w:szCs w:val="22"/>
          <w:lang w:val="es-ES"/>
        </w:rPr>
        <w:t>”</w:t>
      </w:r>
      <w:r w:rsidRPr="003C5D6B">
        <w:rPr>
          <w:szCs w:val="22"/>
          <w:lang w:val="es-ES"/>
        </w:rPr>
        <w:t xml:space="preserve"> como indicadores de corrección de los datos brutos para obtener, con facilidad y rapidez, una comparación entre los importes de los cánones relativamente satisfactoria a primera vista.</w:t>
      </w:r>
    </w:p>
    <w:p w:rsidR="004374B1" w:rsidRPr="003C5D6B" w:rsidRDefault="009F2C74" w:rsidP="001E0D38">
      <w:pPr>
        <w:pStyle w:val="Heading1"/>
        <w:rPr>
          <w:lang w:val="es-ES"/>
        </w:rPr>
      </w:pPr>
      <w:bookmarkStart w:id="141" w:name="_Toc284499164"/>
      <w:bookmarkStart w:id="142" w:name="_Toc287523318"/>
      <w:r w:rsidRPr="003C5D6B">
        <w:rPr>
          <w:lang w:val="es-ES"/>
        </w:rPr>
        <w:t>7</w:t>
      </w:r>
      <w:r w:rsidRPr="003C5D6B">
        <w:rPr>
          <w:lang w:val="es-ES"/>
        </w:rPr>
        <w:tab/>
      </w:r>
      <w:r w:rsidR="001E0D38" w:rsidRPr="003C5D6B">
        <w:rPr>
          <w:rFonts w:ascii="Times New Roman Bold" w:hAnsi="Times New Roman Bold" w:cs="Times New Roman Bold"/>
          <w:szCs w:val="24"/>
          <w:lang w:val="es-ES"/>
        </w:rPr>
        <w:t>Esquema del sistema de cánones recomendado</w:t>
      </w:r>
      <w:bookmarkEnd w:id="141"/>
      <w:bookmarkEnd w:id="142"/>
      <w:r w:rsidR="001E0D38" w:rsidRPr="003C5D6B">
        <w:rPr>
          <w:lang w:val="es-ES"/>
        </w:rPr>
        <w:t xml:space="preserve"> </w:t>
      </w:r>
      <w:bookmarkEnd w:id="139"/>
      <w:bookmarkEnd w:id="140"/>
    </w:p>
    <w:p w:rsidR="00CF3737" w:rsidRPr="003C5D6B" w:rsidRDefault="00CF3737" w:rsidP="00CF3737">
      <w:pPr>
        <w:spacing w:before="0"/>
        <w:rPr>
          <w:lang w:val="es-ES"/>
        </w:rPr>
      </w:pPr>
    </w:p>
    <w:p w:rsidR="00CF3737" w:rsidRPr="003C5D6B" w:rsidRDefault="00CF3737" w:rsidP="00CF3737">
      <w:pPr>
        <w:pStyle w:val="FigureTitle"/>
        <w:rPr>
          <w:highlight w:val="yellow"/>
          <w:lang w:val="es-ES"/>
        </w:rPr>
      </w:pPr>
    </w:p>
    <w:p w:rsidR="004374B1" w:rsidRPr="003C5D6B" w:rsidRDefault="003B6168" w:rsidP="008852D5">
      <w:pPr>
        <w:jc w:val="center"/>
        <w:rPr>
          <w:lang w:val="es-ES"/>
        </w:rPr>
      </w:pPr>
      <w:r w:rsidRPr="003B6168">
        <w:rPr>
          <w:lang w:val="es-ES"/>
        </w:rPr>
      </w:r>
      <w:r>
        <w:rPr>
          <w:lang w:val="es-ES"/>
        </w:rPr>
        <w:pict>
          <v:group id="_x0000_s1030" editas="canvas" style="width:359.55pt;height:269.75pt;mso-position-horizontal-relative:char;mso-position-vertical-relative:line" coordorigin="-2,-2" coordsize="7191,5395">
            <o:lock v:ext="edit" aspectratio="t"/>
            <v:shape id="_x0000_s1029" type="#_x0000_t75" style="position:absolute;left:-2;top:-2;width:7191;height:5395" o:preferrelative="f">
              <v:fill o:detectmouseclick="t"/>
              <v:path o:extrusionok="t" o:connecttype="none"/>
              <o:lock v:ext="edit" text="t"/>
            </v:shape>
            <v:rect id="_x0000_s1032" style="position:absolute;left:443;top:110;width:6050;height:403" filled="f" strokecolor="#e46c0a" strokeweight="19e-5mm">
              <v:stroke endcap="round"/>
            </v:rect>
            <v:rect id="_x0000_s1033" style="position:absolute;left:470;top:148;width:5977;height:342" filled="f" stroked="f">
              <v:textbox style="mso-next-textbox:#_x0000_s1033;mso-fit-shape-to-text:t" inset="0,0,0,0">
                <w:txbxContent>
                  <w:p w:rsidR="003C5D6B" w:rsidRDefault="003C5D6B" w:rsidP="00500204">
                    <w:pPr>
                      <w:spacing w:before="0"/>
                      <w:jc w:val="center"/>
                    </w:pPr>
                    <w:r>
                      <w:rPr>
                        <w:rFonts w:ascii="Calibri" w:hAnsi="Calibri" w:cs="Calibri"/>
                        <w:color w:val="7030A0"/>
                        <w:sz w:val="28"/>
                        <w:szCs w:val="28"/>
                      </w:rPr>
                      <w:t>Utilidad de la distinción entre dos tipos de canon</w:t>
                    </w:r>
                  </w:p>
                </w:txbxContent>
              </v:textbox>
            </v:rect>
            <v:shape id="_x0000_s1036" style="position:absolute;left:276;top:728;width:2335;height:730" coordsize="7875,2437" path="m406,hdc182,,,182,,406hal,2031hdc,2256,182,2437,406,2437hal7469,2437hdc7693,2437,7875,2256,7875,2031hal7875,406hdc7875,182,7693,,7469,hal406,hdxe" filled="f" strokecolor="#385d8a" strokeweight="56e-5mm">
              <v:stroke endcap="round"/>
              <v:path arrowok="t"/>
            </v:shape>
            <v:rect id="_x0000_s1037" style="position:absolute;left:431;top:845;width:2000;height:439" filled="f" stroked="f">
              <v:textbox style="mso-next-textbox:#_x0000_s1037;mso-fit-shape-to-text:t" inset="0,0,0,0">
                <w:txbxContent>
                  <w:p w:rsidR="003C5D6B" w:rsidRPr="007417B5" w:rsidRDefault="003C5D6B" w:rsidP="007417B5">
                    <w:pPr>
                      <w:spacing w:before="0"/>
                      <w:jc w:val="center"/>
                      <w:rPr>
                        <w:sz w:val="18"/>
                      </w:rPr>
                    </w:pPr>
                    <w:r w:rsidRPr="007417B5">
                      <w:rPr>
                        <w:rFonts w:ascii="Calibri" w:hAnsi="Calibri" w:cs="Calibri"/>
                        <w:color w:val="FF0000"/>
                        <w:sz w:val="18"/>
                      </w:rPr>
                      <w:t>Planificación, gestión y</w:t>
                    </w:r>
                    <w:r w:rsidRPr="007417B5">
                      <w:rPr>
                        <w:rFonts w:ascii="Calibri" w:hAnsi="Calibri" w:cs="Calibri"/>
                        <w:color w:val="FF0000"/>
                        <w:sz w:val="18"/>
                      </w:rPr>
                      <w:br/>
                      <w:t>control del espectro</w:t>
                    </w:r>
                  </w:p>
                </w:txbxContent>
              </v:textbox>
            </v:rect>
            <v:oval id="_x0000_s1039" style="position:absolute;left:443;top:2132;width:1946;height:562" filled="f" strokecolor="#385d8a" strokeweight="56e-5mm">
              <v:stroke endcap="round"/>
            </v:oval>
            <v:rect id="_x0000_s1040" style="position:absolute;left:585;top:2319;width:1667;height:220;mso-wrap-style:none" filled="f" stroked="f">
              <v:textbox style="mso-next-textbox:#_x0000_s1040;mso-fit-shape-to-text:t" inset="0,0,0,0">
                <w:txbxContent>
                  <w:p w:rsidR="003C5D6B" w:rsidRPr="007417B5" w:rsidRDefault="003C5D6B" w:rsidP="007417B5">
                    <w:pPr>
                      <w:spacing w:before="0"/>
                      <w:rPr>
                        <w:sz w:val="18"/>
                        <w:lang w:val="en-US"/>
                      </w:rPr>
                    </w:pPr>
                    <w:r w:rsidRPr="007417B5">
                      <w:rPr>
                        <w:rFonts w:ascii="Calibri" w:hAnsi="Calibri" w:cs="Calibri"/>
                        <w:color w:val="FF0000"/>
                        <w:sz w:val="18"/>
                        <w:szCs w:val="18"/>
                        <w:lang w:val="en-US"/>
                      </w:rPr>
                      <w:t>Gastos administrativos</w:t>
                    </w:r>
                  </w:p>
                </w:txbxContent>
              </v:textbox>
            </v:rect>
            <v:rect id="_x0000_s1043" style="position:absolute;left:387;top:3368;width:2280;height:1068" filled="f" strokecolor="#385d8a" strokeweight="56e-5mm">
              <v:stroke endcap="round"/>
            </v:rect>
            <v:rect id="_x0000_s1044" style="position:absolute;left:526;top:3540;width:2073;height:755" filled="f" stroked="f">
              <v:textbox style="mso-next-textbox:#_x0000_s1044" inset="0,0,0,0">
                <w:txbxContent>
                  <w:p w:rsidR="003C5D6B" w:rsidRPr="007417B5" w:rsidRDefault="003C5D6B" w:rsidP="007417B5">
                    <w:pPr>
                      <w:spacing w:before="0"/>
                      <w:jc w:val="center"/>
                      <w:rPr>
                        <w:sz w:val="18"/>
                      </w:rPr>
                    </w:pPr>
                    <w:r w:rsidRPr="007417B5">
                      <w:rPr>
                        <w:rFonts w:ascii="Calibri" w:hAnsi="Calibri" w:cs="Calibri"/>
                        <w:color w:val="FF0000"/>
                        <w:sz w:val="18"/>
                        <w:szCs w:val="18"/>
                      </w:rPr>
                      <w:t>Cánones administrativos</w:t>
                    </w:r>
                    <w:r w:rsidRPr="007417B5">
                      <w:rPr>
                        <w:rFonts w:ascii="Calibri" w:hAnsi="Calibri" w:cs="Calibri"/>
                        <w:color w:val="FF0000"/>
                        <w:sz w:val="18"/>
                        <w:szCs w:val="18"/>
                      </w:rPr>
                      <w:br/>
                      <w:t>para cubrir los gastos administrativos</w:t>
                    </w:r>
                  </w:p>
                </w:txbxContent>
              </v:textbox>
            </v:rect>
            <v:group id="_x0000_s1051" style="position:absolute;left:1388;top:2750;width:167;height:562" coordorigin="1388,2750" coordsize="167,562">
              <v:shape id="_x0000_s1049" style="position:absolute;left:1388;top:2750;width:167;height:562" coordsize="167,562" path="m,84r42,l42,562r83,l125,84r42,l83,,,84xe" fillcolor="#4f81bd" stroked="f">
                <v:path arrowok="t"/>
              </v:shape>
              <v:shape id="_x0000_s1050" style="position:absolute;left:1388;top:2750;width:167;height:562" coordsize="167,562" path="m,84r42,l42,562r83,l125,84r42,l83,,,84xe" filled="f" strokecolor="#385d8a" strokeweight="56e-5mm">
                <v:stroke joinstyle="miter" endcap="round"/>
                <v:path arrowok="t"/>
              </v:shape>
            </v:group>
            <v:group id="_x0000_s1054" style="position:absolute;left:3777;top:619;width:2228;height:955" coordorigin="3777,619" coordsize="2228,955">
              <v:shape id="_x0000_s1052" style="position:absolute;left:3777;top:619;width:2228;height:955" coordsize="7510,3189" path="m684,1050r-1,hdc676,1020,673,989,673,959v,-375,525,-678,1172,-678c2054,281,2258,313,2438,374hal2438,374hdc2598,199,2913,89,3256,89v242,,476,55,649,154hal3905,243hdc4033,94,4296,,4583,v236,,459,64,603,173hal5186,173hdc5346,64,5581,1,5829,1v408,,758,169,830,400hal6659,401hdc7062,465,7342,677,7342,919v,73,-26,145,-75,212hal7267,1131hdc7424,1249,7510,1395,7510,1545v,339,-430,626,-1010,673hal6500,2218hdc6496,2537,6047,2794,5496,2794v-188,,-373,-30,-532,-88hal4964,2706hdc4814,2993,4359,3189,3842,3189v-391,,-757,-113,-974,-302hal2868,2887hdc2659,2960,2420,2998,2177,2998v-480,,-924,-149,-1163,-391hal1014,2607hdc985,2609,955,2610,926,2610v-418,,-757,-195,-757,-437c169,2063,242,1956,373,1875hal373,1875hdc142,1796,,1652,,1497,,1272,292,1083,677,1060hal684,1050xe" filled="f" strokecolor="#385d8a" strokeweight="56e-5mm">
                <v:path arrowok="t"/>
              </v:shape>
              <v:shape id="_x0000_s1053" style="position:absolute;left:3890;top:668;width:2041;height:812" coordsize="6882,2711" path="m440,1758r,hdc421,1759,401,1760,382,1760,248,1760,116,1739,,1700t828,702hal828,2402hdc766,2416,702,2426,636,2430t1850,281hal2486,2711hdc2440,2671,2401,2628,2370,2583m4630,2391hal4630,2391hdc4623,2439,4608,2486,4584,2532m5551,1521hal5550,1521hdc5896,1618,6115,1820,6115,2043v,1,,3,,4m6882,960hal6882,960hdc6826,1036,6740,1104,6631,1157m6279,227hal6279,227hdc6288,256,6292,285,6292,314v,2,,4,,7m4674,119hal4674,119hdc4706,76,4750,35,4803,m3469,175hal3469,175hdc3483,140,3504,105,3532,73m2056,210hal2056,210hdc2138,238,2214,271,2282,310m342,992hal342,992hdc324,958,311,923,303,887hae" filled="f" strokecolor="#385d8a" strokeweight="56e-5mm">
                <v:path arrowok="t"/>
                <o:lock v:ext="edit" verticies="t"/>
              </v:shape>
            </v:group>
            <v:rect id="_x0000_s1055" style="position:absolute;left:3920;top:900;width:1969;height:586" filled="f" stroked="f">
              <v:textbox style="mso-next-textbox:#_x0000_s1055" inset="0,0,0,0">
                <w:txbxContent>
                  <w:p w:rsidR="003C5D6B" w:rsidRPr="00D0795F" w:rsidRDefault="003C5D6B" w:rsidP="00D0795F">
                    <w:pPr>
                      <w:spacing w:before="0"/>
                      <w:jc w:val="center"/>
                      <w:rPr>
                        <w:rFonts w:ascii="Calibri" w:hAnsi="Calibri" w:cs="Calibri"/>
                        <w:color w:val="BF11B3"/>
                        <w:sz w:val="18"/>
                        <w:szCs w:val="18"/>
                      </w:rPr>
                    </w:pPr>
                    <w:r>
                      <w:rPr>
                        <w:rFonts w:ascii="Calibri" w:hAnsi="Calibri" w:cs="Calibri"/>
                        <w:color w:val="BF11B3"/>
                        <w:sz w:val="18"/>
                        <w:szCs w:val="18"/>
                      </w:rPr>
                      <w:t>Ocupación del espectro a título privado</w:t>
                    </w:r>
                  </w:p>
                </w:txbxContent>
              </v:textbox>
            </v:rect>
            <v:rect id="_x0000_s1058" style="position:absolute;left:3835;top:2076;width:2391;height:899" filled="f" strokecolor="#385d8a" strokeweight="56e-5mm">
              <v:stroke endcap="round"/>
            </v:rect>
            <v:rect id="_x0000_s1059" style="position:absolute;left:3962;top:2224;width:2120;height:659" filled="f" stroked="f">
              <v:textbox style="mso-next-textbox:#_x0000_s1059;mso-fit-shape-to-text:t" inset="0,0,0,0">
                <w:txbxContent>
                  <w:p w:rsidR="003C5D6B" w:rsidRDefault="003C5D6B" w:rsidP="00891829">
                    <w:pPr>
                      <w:spacing w:before="0"/>
                      <w:jc w:val="center"/>
                    </w:pPr>
                    <w:r>
                      <w:rPr>
                        <w:rFonts w:ascii="Calibri" w:hAnsi="Calibri" w:cs="Calibri"/>
                        <w:color w:val="BF11B3"/>
                        <w:sz w:val="18"/>
                        <w:szCs w:val="18"/>
                      </w:rPr>
                      <w:t>Cánones del espectro en función de las ventajas obtenidas</w:t>
                    </w:r>
                  </w:p>
                </w:txbxContent>
              </v:textbox>
            </v:rect>
            <v:group id="_x0000_s1066" style="position:absolute;left:1388;top:1514;width:167;height:562" coordorigin="1388,1514" coordsize="167,562">
              <v:shape id="_x0000_s1064" style="position:absolute;left:1388;top:1514;width:167;height:562" coordsize="167,562" path="m,478r42,l42,r83,l125,478r42,l83,562,,478xe" fillcolor="#4f81bd" stroked="f">
                <v:path arrowok="t"/>
              </v:shape>
              <v:shape id="_x0000_s1065" style="position:absolute;left:1388;top:1514;width:167;height:562" coordsize="167,562" path="m,478r42,l42,r83,l125,478r42,l83,562,,478xe" filled="f" strokecolor="#385d8a" strokeweight="56e-5mm">
                <v:stroke joinstyle="miter" endcap="round"/>
                <v:path arrowok="t"/>
              </v:shape>
            </v:group>
            <v:oval id="_x0000_s1067" style="position:absolute;left:3223;top:3368;width:1223;height:730" filled="f" strokecolor="#385d8a" strokeweight="56e-5mm">
              <v:stroke endcap="round"/>
            </v:oval>
            <v:rect id="_x0000_s1069" style="position:absolute;left:3450;top:3462;width:793;height:693" filled="f" stroked="f">
              <v:textbox style="mso-next-textbox:#_x0000_s1069" inset="0,0,0,0">
                <w:txbxContent>
                  <w:p w:rsidR="003C5D6B" w:rsidRPr="00891829" w:rsidRDefault="003C5D6B" w:rsidP="00891829">
                    <w:pPr>
                      <w:spacing w:before="0"/>
                      <w:jc w:val="center"/>
                      <w:rPr>
                        <w:lang w:val="en-US"/>
                      </w:rPr>
                    </w:pPr>
                    <w:r>
                      <w:rPr>
                        <w:rFonts w:ascii="Calibri" w:hAnsi="Calibri" w:cs="Calibri"/>
                        <w:color w:val="BF11B3"/>
                        <w:sz w:val="12"/>
                        <w:szCs w:val="12"/>
                      </w:rPr>
                      <w:t>Frecuencias utilizadas para necesidades propias</w:t>
                    </w:r>
                  </w:p>
                </w:txbxContent>
              </v:textbox>
            </v:rect>
            <v:rect id="_x0000_s1075" style="position:absolute;left:5463;top:3505;width:1152;height:586" filled="f" stroked="f">
              <v:textbox style="mso-next-textbox:#_x0000_s1075;mso-fit-shape-to-text:t" inset="0,0,0,0">
                <w:txbxContent>
                  <w:p w:rsidR="003C5D6B" w:rsidRDefault="003C5D6B" w:rsidP="00891829">
                    <w:pPr>
                      <w:spacing w:before="0"/>
                      <w:jc w:val="center"/>
                    </w:pPr>
                    <w:r>
                      <w:rPr>
                        <w:rFonts w:ascii="Calibri" w:hAnsi="Calibri" w:cs="Calibri"/>
                        <w:color w:val="BF11B3"/>
                        <w:sz w:val="12"/>
                        <w:szCs w:val="12"/>
                      </w:rPr>
                      <w:t>Frecuencias utilizadas para llegar a un mercado de consumidores</w:t>
                    </w:r>
                  </w:p>
                </w:txbxContent>
              </v:textbox>
            </v:rect>
            <v:shape id="_x0000_s1085" style="position:absolute;left:5336;top:3424;width:1390;height:731" coordsize="1390,731" path="m181,l,366,181,731r1029,l1390,366,1210,,181,xe" filled="f" strokecolor="#385d8a" strokeweight="56e-5mm">
              <v:stroke joinstyle="miter" endcap="round"/>
              <v:path arrowok="t"/>
            </v:shape>
            <v:rect id="_x0000_s1086" style="position:absolute;left:3334;top:4436;width:1279;height:580" fillcolor="yellow" stroked="f"/>
            <v:rect id="_x0000_s1087" style="position:absolute;left:3407;top:4468;width:1155;height:513" filled="f" stroked="f">
              <v:textbox style="mso-next-textbox:#_x0000_s1087;mso-fit-shape-to-text:t" inset="0,0,0,0">
                <w:txbxContent>
                  <w:p w:rsidR="003C5D6B" w:rsidRDefault="003C5D6B" w:rsidP="00E66798">
                    <w:pPr>
                      <w:spacing w:before="0"/>
                      <w:jc w:val="center"/>
                    </w:pPr>
                    <w:r>
                      <w:rPr>
                        <w:rFonts w:ascii="Calibri" w:hAnsi="Calibri" w:cs="Calibri"/>
                        <w:color w:val="000000"/>
                        <w:sz w:val="14"/>
                        <w:szCs w:val="14"/>
                      </w:rPr>
                      <w:t>Cánones basados en los objectivos de gestión del espectro</w:t>
                    </w:r>
                  </w:p>
                </w:txbxContent>
              </v:textbox>
            </v:rect>
            <v:rect id="_x0000_s1092" style="position:absolute;left:5114;top:4436;width:1390;height:580" fillcolor="#92d050" stroked="f"/>
            <v:rect id="_x0000_s1093" style="position:absolute;left:5187;top:4485;width:1260;height:496" filled="f" stroked="f">
              <v:textbox style="mso-next-textbox:#_x0000_s1093" inset="0,0,0,0">
                <w:txbxContent>
                  <w:p w:rsidR="003C5D6B" w:rsidRDefault="003C5D6B" w:rsidP="00317150">
                    <w:pPr>
                      <w:spacing w:before="0"/>
                      <w:jc w:val="center"/>
                    </w:pPr>
                    <w:r>
                      <w:rPr>
                        <w:rFonts w:ascii="Calibri" w:hAnsi="Calibri" w:cs="Calibri"/>
                        <w:color w:val="000000"/>
                        <w:sz w:val="14"/>
                        <w:szCs w:val="14"/>
                      </w:rPr>
                      <w:t>Cánones basados en la extración de la renta de situación</w:t>
                    </w:r>
                  </w:p>
                </w:txbxContent>
              </v:textbox>
            </v:rect>
            <v:shape id="_x0000_s1100" style="position:absolute;left:4664;top:1565;width:376;height:445" coordsize="1267,1484" path="m34,17r3,70l47,155,82,288r-1,-2l137,413r-1,-2l208,525r-2,-3l291,618r45,39l383,690r49,26l482,735r50,12l529,747r53,4l635,755hdc636,755,637,755,638,755hal690,768r53,21l794,817r51,35l892,893r87,97hdc980,991,980,992,981,993hal1053,1107hdc1053,1107,1053,1108,1054,1109hal1110,1236hdc1110,1237,1110,1237,1111,1238hal1146,1373r10,72l1156,1450hdc1157,1459,1150,1467,1140,1468v-9,,-17,-7,-17,-16hal1123,1450r-10,-68l1078,1247r1,2l1023,1122r1,2l952,1010r2,3l871,918,826,879,779,846,730,820,681,801,629,788r3,l579,784r-53,-4hdc525,780,524,780,523,780hal469,766,417,745,364,717,315,682,266,641,181,545hdc180,544,180,543,179,542hal107,428hdc107,428,107,427,106,426hal50,299hdc50,298,50,298,49,297hal14,160,4,88,1,18hdc,9,8,1,17,1,26,,34,8,34,17haxm1262,1254r-121,230l1000,1265hdc995,1257,998,1247,1005,1242v8,-5,19,-3,24,5hal1154,1442r-29,1l1233,1238hdc1237,1230,1247,1227,1255,1231v9,5,12,15,7,23haxe" fillcolor="#4a7ebb" strokecolor="#4a7ebb" strokeweight="1e-4mm">
              <v:stroke joinstyle="bevel"/>
              <v:path arrowok="t"/>
              <o:lock v:ext="edit" verticies="t"/>
            </v:shape>
            <v:shape id="_x0000_s1101" style="position:absolute;left:4290;top:2970;width:746;height:492" coordsize="2517,1643" path="m2516,18r-4,70l2501,160r-17,71l2458,303r-31,70l2389,442r-45,69l2295,578,2180,709,2044,834,1889,953r-172,109l1530,1164r-199,92l1121,1336r-220,68l674,1460r-233,40l205,1525r-171,7hdc25,1532,17,1525,16,1516v,-10,7,-17,16,-18hal202,1492r234,-25l667,1427r225,-54l1110,1305r208,-80l1515,1135r184,-101l1868,926,2021,809,2155,686,2268,559r49,-67l2360,427r36,-67l2427,292r24,-68l2468,155r11,-68l2483,17hdc2483,7,2491,,2500,1v10,,17,8,16,17haxm230,1639l,1516,220,1377hdc227,1372,238,1374,243,1382v5,8,2,18,-6,23hal42,1529r-1,-29l245,1609hdc253,1614,256,1624,252,1632v-4,8,-14,11,-22,7haxe" fillcolor="#4a7ebb" strokecolor="#4a7ebb" strokeweight="1e-4mm">
              <v:stroke joinstyle="bevel"/>
              <v:path arrowok="t"/>
              <o:lock v:ext="edit" verticies="t"/>
            </v:shape>
            <v:shape id="_x0000_s1102" style="position:absolute;left:5026;top:2970;width:525;height:445" coordsize="1772,1484" path="m34,16r5,70l52,154r-1,-2l74,220r29,66l140,349r42,61l286,522r-2,-2l408,616r66,39l543,688r72,27l688,734r74,13l837,751r77,4l992,768r76,20l1143,816r72,34l1284,891r126,97hdc1410,989,1411,989,1412,990hal1517,1104r44,64l1600,1234r30,69l1653,1372hdc1654,1373,1654,1374,1654,1374hal1667,1444r,6hdc1668,1459,1661,1467,1652,1468v-9,,-17,-7,-18,-16hal1634,1451r-13,-70l1622,1383r-23,-67l1571,1251r-37,-64l1492,1127,1387,1013r2,2l1267,920r-67,-40l1132,847r-73,-26l987,801,913,788r-77,-4l757,780,679,767,604,746,528,718,457,684,387,643,263,547hdc263,546,262,545,261,545hal155,429,111,366,72,299,43,231,20,163hdc19,162,19,161,19,161hal6,89,1,19hdc,9,7,2,16,1,25,,33,7,34,16haxm1768,1251r-115,233l1506,1269hdc1501,1262,1503,1251,1511,1246v7,-5,18,-3,23,4hal1664,1442r-28,2l1738,1236hdc1742,1228,1752,1224,1760,1228v8,4,12,14,8,23haxe" fillcolor="#4a7ebb" strokecolor="#4a7ebb" strokeweight="1e-4mm">
              <v:stroke joinstyle="bevel"/>
              <v:path arrowok="t"/>
              <o:lock v:ext="edit" verticies="t"/>
            </v:shape>
            <v:group id="_x0000_s1107" style="position:absolute;left:2778;top:3930;width:501;height:832" coordorigin="2778,3930" coordsize="501,832">
              <v:shape id="_x0000_s1103" style="position:absolute;left:2778;top:3930;width:501;height:832" coordsize="1688,2778" path="m1688,hdc756,,,488,,1090hal,1512hdc,2009,521,2443,1266,2567hal1266,2778r422,-387l1266,1935r,211hdc638,2041,158,1712,32,1301hal32,1301hdc188,790,882,422,1688,422hal1688,hdxe" fillcolor="#4f81bd" strokeweight="0">
                <v:path arrowok="t"/>
              </v:shape>
              <v:shape id="_x0000_s1104" style="position:absolute;left:2778;top:3930;width:501;height:390" coordsize="1688,1301" path="m1688,hdc756,,,488,,1090v,71,11,142,32,211hal32,1301hdc188,790,882,422,1688,422hal1688,hdxe" fillcolor="#3f6898" strokeweight="0">
                <v:path arrowok="t"/>
              </v:shape>
              <v:shape id="_x0000_s1105" style="position:absolute;left:2778;top:3930;width:501;height:832" coordsize="1688,2778" path="m1688,hdc756,,,488,,1090hal,1512hdc,2009,521,2443,1266,2567hal1266,2778r422,-387l1266,1935r,211hdc638,2041,158,1712,32,1301hal32,1301hdc188,790,882,422,1688,422hal1688,hdxe" filled="f" strokecolor="#385d8a" strokeweight="56e-5mm">
                <v:stroke joinstyle="miter"/>
                <v:path arrowok="t"/>
              </v:shape>
              <v:shape id="_x0000_s1106" style="position:absolute;left:2778;top:4256;width:10;height:64" coordsize="10,64" path="m,hdc,22,3,43,10,64e" filled="f" strokecolor="#385d8a" strokeweight="56e-5mm">
                <v:stroke joinstyle="miter"/>
                <v:path arrowok="t"/>
              </v:shape>
            </v:group>
            <v:group id="_x0000_s1112" style="position:absolute;left:6615;top:4042;width:334;height:832" coordorigin="6615,4042" coordsize="334,832">
              <v:shape id="_x0000_s1108" style="position:absolute;left:6615;top:4042;width:334;height:832" coordsize="1125,2775" path="m,hdc621,,1125,536,1125,1196hal1125,1477hdc1125,2022,778,2498,281,2634hal281,2775,,2532,281,2212r,141hdc731,2230,1063,1826,1117,1336hal1117,1336hdc1050,735,570,282,,282hal,hdxe" fillcolor="#4f81bd" strokeweight="0">
                <v:path arrowok="t"/>
              </v:shape>
              <v:shape id="_x0000_s1109" style="position:absolute;left:6615;top:4042;width:334;height:443" coordsize="1125,1477" path="m,hdc621,,1125,536,1125,1196hal1125,1477hdc1125,817,621,282,,282hal,hdxe" fillcolor="#3f6898" strokeweight="0">
                <v:path arrowok="t"/>
              </v:shape>
              <v:shape id="_x0000_s1110" style="position:absolute;left:6615;top:4042;width:334;height:832" coordsize="1125,2775" path="m,hdc621,,1125,536,1125,1196hal1125,1477hdc1125,2022,778,2498,281,2634hal281,2775,,2532,281,2212r,141hdc731,2230,1063,1826,1117,1336hal1117,1336hdc1050,735,570,282,,282hal,hdxe" filled="f" strokecolor="#385d8a" strokeweight="56e-5mm">
                <v:stroke joinstyle="miter"/>
                <v:path arrowok="t"/>
              </v:shape>
              <v:shape id="_x0000_s1111" style="position:absolute;left:6947;top:4442;width:2;height:43" coordsize="2,43" path="m2,43hdc2,29,1,15,,e" filled="f" strokecolor="#385d8a" strokeweight="56e-5mm">
                <v:stroke joinstyle="miter"/>
                <v:path arrowok="t"/>
              </v:shape>
            </v:group>
            <w10:wrap type="none"/>
            <w10:anchorlock/>
          </v:group>
        </w:pict>
      </w:r>
    </w:p>
    <w:p w:rsidR="00CF3737" w:rsidRPr="003C5D6B" w:rsidRDefault="00CF3737" w:rsidP="00CF3737">
      <w:pPr>
        <w:pStyle w:val="FigureSource"/>
        <w:rPr>
          <w:lang w:val="es-ES"/>
        </w:rPr>
      </w:pPr>
    </w:p>
    <w:p w:rsidR="004C19EF" w:rsidRPr="003C5D6B" w:rsidRDefault="004C19EF" w:rsidP="004C19EF">
      <w:pPr>
        <w:pStyle w:val="Heading1"/>
        <w:rPr>
          <w:lang w:val="es-ES"/>
        </w:rPr>
      </w:pPr>
      <w:bookmarkStart w:id="143" w:name="_Toc277598647"/>
      <w:bookmarkStart w:id="144" w:name="_Toc284499165"/>
      <w:bookmarkStart w:id="145" w:name="_Toc287523319"/>
      <w:r w:rsidRPr="003C5D6B">
        <w:rPr>
          <w:lang w:val="es-ES"/>
        </w:rPr>
        <w:t>8</w:t>
      </w:r>
      <w:r w:rsidRPr="003C5D6B">
        <w:rPr>
          <w:lang w:val="es-ES"/>
        </w:rPr>
        <w:tab/>
        <w:t>Ejemplos de cánones aplicados por administraciones</w:t>
      </w:r>
      <w:bookmarkEnd w:id="143"/>
      <w:bookmarkEnd w:id="144"/>
      <w:bookmarkEnd w:id="145"/>
      <w:r w:rsidRPr="003C5D6B">
        <w:rPr>
          <w:lang w:val="es-ES"/>
        </w:rPr>
        <w:t xml:space="preserve"> </w:t>
      </w:r>
    </w:p>
    <w:p w:rsidR="004C19EF" w:rsidRPr="003C5D6B" w:rsidRDefault="004C19EF" w:rsidP="004C19EF">
      <w:pPr>
        <w:rPr>
          <w:sz w:val="24"/>
          <w:szCs w:val="24"/>
          <w:lang w:val="es-ES"/>
        </w:rPr>
      </w:pPr>
      <w:r w:rsidRPr="003C5D6B">
        <w:rPr>
          <w:sz w:val="24"/>
          <w:szCs w:val="24"/>
          <w:lang w:val="es-ES"/>
        </w:rPr>
        <w:t xml:space="preserve">A título de ejemplo, se facilitan a continuación algunos ejemplos en que las administraciones ponen en práctica principios y líneas directrices enunciadas anteriormente. </w:t>
      </w:r>
    </w:p>
    <w:p w:rsidR="004C19EF" w:rsidRPr="003C5D6B" w:rsidRDefault="004C19EF" w:rsidP="004C19EF">
      <w:pPr>
        <w:pStyle w:val="Heading2"/>
        <w:rPr>
          <w:lang w:val="es-ES"/>
        </w:rPr>
      </w:pPr>
      <w:bookmarkStart w:id="146" w:name="_Toc277598648"/>
      <w:bookmarkStart w:id="147" w:name="_Toc284499166"/>
      <w:bookmarkStart w:id="148" w:name="_Toc287523320"/>
      <w:r w:rsidRPr="003C5D6B">
        <w:rPr>
          <w:lang w:val="es-ES"/>
        </w:rPr>
        <w:t>8.1</w:t>
      </w:r>
      <w:r w:rsidRPr="003C5D6B">
        <w:rPr>
          <w:lang w:val="es-ES"/>
        </w:rPr>
        <w:tab/>
        <w:t>Caso de los Emiratos Árabes Unidos</w:t>
      </w:r>
      <w:bookmarkEnd w:id="146"/>
      <w:bookmarkEnd w:id="147"/>
      <w:bookmarkEnd w:id="148"/>
    </w:p>
    <w:p w:rsidR="004C19EF" w:rsidRPr="003C5D6B" w:rsidRDefault="004C19EF" w:rsidP="004C19EF">
      <w:pPr>
        <w:rPr>
          <w:sz w:val="24"/>
          <w:szCs w:val="24"/>
          <w:lang w:val="es-ES"/>
        </w:rPr>
      </w:pPr>
      <w:r w:rsidRPr="003C5D6B">
        <w:rPr>
          <w:sz w:val="24"/>
          <w:szCs w:val="24"/>
          <w:lang w:val="es-ES"/>
        </w:rPr>
        <w:t xml:space="preserve">El régimen de cánones adoptado por la Administración refleja de manera concreta los principios jurídicos {5} y {6}, económicos {12} y {15.4}, el principio de realidad {18} y constituye una herramienta adecuada para la gestión del espectro. </w:t>
      </w:r>
    </w:p>
    <w:p w:rsidR="004C19EF" w:rsidRPr="003C5D6B" w:rsidRDefault="004C19EF" w:rsidP="004C19EF">
      <w:pPr>
        <w:rPr>
          <w:sz w:val="24"/>
          <w:szCs w:val="24"/>
          <w:lang w:val="es-ES"/>
        </w:rPr>
      </w:pPr>
      <w:r w:rsidRPr="003C5D6B">
        <w:rPr>
          <w:sz w:val="24"/>
          <w:szCs w:val="24"/>
          <w:lang w:val="es-ES"/>
        </w:rPr>
        <w:t xml:space="preserve">En efecto, para los haces hercianos, el bucle local radio y los enlaces entre estaciones, el cálculo de los cánones toma en consideración el ancho de banda atribuido y la posición en el espectro de la frecuencia central utilizada. </w:t>
      </w:r>
    </w:p>
    <w:p w:rsidR="004C19EF" w:rsidRPr="003C5D6B" w:rsidRDefault="004C19EF" w:rsidP="004C19EF">
      <w:pPr>
        <w:rPr>
          <w:sz w:val="24"/>
          <w:szCs w:val="24"/>
          <w:lang w:val="es-ES"/>
        </w:rPr>
      </w:pPr>
      <w:r w:rsidRPr="003C5D6B">
        <w:rPr>
          <w:sz w:val="24"/>
          <w:szCs w:val="24"/>
          <w:lang w:val="es-ES"/>
        </w:rPr>
        <w:lastRenderedPageBreak/>
        <w:t xml:space="preserve">Al tomar en consideración el ancho de banda atribuido, la Administración quiere incitar a los usuarios a no solicitar más que el mínimo de recurso espectral que corresponde a sus necesidades. </w:t>
      </w:r>
    </w:p>
    <w:p w:rsidR="004C19EF" w:rsidRPr="003C5D6B" w:rsidRDefault="004C19EF" w:rsidP="004C19EF">
      <w:pPr>
        <w:rPr>
          <w:sz w:val="24"/>
          <w:szCs w:val="24"/>
          <w:lang w:val="es-ES"/>
        </w:rPr>
      </w:pPr>
      <w:r w:rsidRPr="003C5D6B">
        <w:rPr>
          <w:sz w:val="24"/>
          <w:szCs w:val="24"/>
          <w:lang w:val="es-ES"/>
        </w:rPr>
        <w:t xml:space="preserve">Al tomar en consideración la posición de la frecuencia central utilizada en el espectro, la Administración trata de lograr una ocupación óptima del espectro.  </w:t>
      </w:r>
    </w:p>
    <w:p w:rsidR="004C19EF" w:rsidRPr="003C5D6B" w:rsidRDefault="004C19EF" w:rsidP="004C19EF">
      <w:pPr>
        <w:rPr>
          <w:sz w:val="24"/>
          <w:szCs w:val="24"/>
          <w:lang w:val="es-ES"/>
        </w:rPr>
      </w:pPr>
      <w:r w:rsidRPr="003C5D6B">
        <w:rPr>
          <w:sz w:val="24"/>
          <w:szCs w:val="24"/>
          <w:lang w:val="es-ES"/>
        </w:rPr>
        <w:t>Véase la contribución de los Emiratos Árabes Unidos en los Apéndices 1.1 y 1.2.</w:t>
      </w:r>
    </w:p>
    <w:p w:rsidR="004C19EF" w:rsidRPr="003C5D6B" w:rsidRDefault="004C19EF" w:rsidP="004C19EF">
      <w:pPr>
        <w:pStyle w:val="Heading2"/>
        <w:rPr>
          <w:lang w:val="es-ES"/>
        </w:rPr>
      </w:pPr>
      <w:bookmarkStart w:id="149" w:name="_Toc277598649"/>
      <w:bookmarkStart w:id="150" w:name="_Toc284499167"/>
      <w:bookmarkStart w:id="151" w:name="_Toc287523321"/>
      <w:r w:rsidRPr="003C5D6B">
        <w:rPr>
          <w:lang w:val="es-ES"/>
        </w:rPr>
        <w:t>8.2</w:t>
      </w:r>
      <w:r w:rsidRPr="003C5D6B">
        <w:rPr>
          <w:lang w:val="es-ES"/>
        </w:rPr>
        <w:tab/>
        <w:t>Caso de Suiza</w:t>
      </w:r>
      <w:bookmarkEnd w:id="149"/>
      <w:bookmarkEnd w:id="150"/>
      <w:bookmarkEnd w:id="151"/>
    </w:p>
    <w:p w:rsidR="004C19EF" w:rsidRPr="003C5D6B" w:rsidRDefault="004C19EF" w:rsidP="004C19EF">
      <w:pPr>
        <w:rPr>
          <w:sz w:val="24"/>
          <w:szCs w:val="24"/>
          <w:lang w:val="es-ES"/>
        </w:rPr>
      </w:pPr>
      <w:r w:rsidRPr="003C5D6B">
        <w:rPr>
          <w:sz w:val="24"/>
          <w:szCs w:val="24"/>
          <w:lang w:val="es-ES"/>
        </w:rPr>
        <w:t>El régimen de cánones adoptado por la Administración refleja concretamente los principios jurídicos {6} y {8}, los principios económicos {13}, {14} y {15.3} y la disposición {20}.</w:t>
      </w:r>
    </w:p>
    <w:p w:rsidR="004C19EF" w:rsidRPr="003C5D6B" w:rsidRDefault="004C19EF" w:rsidP="004C19EF">
      <w:pPr>
        <w:rPr>
          <w:sz w:val="24"/>
          <w:szCs w:val="24"/>
          <w:lang w:val="es-ES"/>
        </w:rPr>
      </w:pPr>
      <w:r w:rsidRPr="003C5D6B">
        <w:rPr>
          <w:sz w:val="24"/>
          <w:szCs w:val="24"/>
          <w:lang w:val="es-ES"/>
        </w:rPr>
        <w:t>En efecto, los cánones administrativos que se aplican deben respetar el principio de la cobertura de los gastos de la Administración. De este modo, es posible revisar cada año los cánones tanto al alza como a la baja, en función de la ejecución real del presupuesto de la administración encargada de la gestión del espectro.</w:t>
      </w:r>
    </w:p>
    <w:p w:rsidR="004C19EF" w:rsidRPr="003C5D6B" w:rsidRDefault="004C19EF" w:rsidP="004C19EF">
      <w:pPr>
        <w:rPr>
          <w:sz w:val="24"/>
          <w:szCs w:val="24"/>
          <w:lang w:val="es-ES"/>
        </w:rPr>
      </w:pPr>
      <w:r w:rsidRPr="003C5D6B">
        <w:rPr>
          <w:sz w:val="24"/>
          <w:szCs w:val="24"/>
          <w:lang w:val="es-ES"/>
        </w:rPr>
        <w:t xml:space="preserve">Además, en 2008 se introdujo una nueva disposición legislativa a fin de que los cánones del espectro tomen también en consideración el valor económico de las frecuencias. </w:t>
      </w:r>
    </w:p>
    <w:p w:rsidR="004C19EF" w:rsidRPr="003C5D6B" w:rsidRDefault="004C19EF" w:rsidP="004C19EF">
      <w:pPr>
        <w:rPr>
          <w:sz w:val="24"/>
          <w:szCs w:val="24"/>
          <w:lang w:val="es-ES"/>
        </w:rPr>
      </w:pPr>
      <w:r w:rsidRPr="003C5D6B">
        <w:rPr>
          <w:sz w:val="24"/>
          <w:szCs w:val="24"/>
          <w:lang w:val="es-ES"/>
        </w:rPr>
        <w:t>Véase la contribución de Suiza en los Apéndices 2.1 y 2.2.</w:t>
      </w:r>
    </w:p>
    <w:p w:rsidR="004C19EF" w:rsidRPr="003C5D6B" w:rsidRDefault="004C19EF" w:rsidP="004C19EF">
      <w:pPr>
        <w:pStyle w:val="Heading2"/>
        <w:rPr>
          <w:lang w:val="es-ES"/>
        </w:rPr>
      </w:pPr>
      <w:bookmarkStart w:id="152" w:name="_Toc277598650"/>
      <w:bookmarkStart w:id="153" w:name="_Toc284499168"/>
      <w:bookmarkStart w:id="154" w:name="_Toc287523322"/>
      <w:r w:rsidRPr="003C5D6B">
        <w:rPr>
          <w:lang w:val="es-ES"/>
        </w:rPr>
        <w:t>8.3</w:t>
      </w:r>
      <w:r w:rsidRPr="003C5D6B">
        <w:rPr>
          <w:lang w:val="es-ES"/>
        </w:rPr>
        <w:tab/>
        <w:t>Caso de Francia</w:t>
      </w:r>
      <w:bookmarkEnd w:id="152"/>
      <w:bookmarkEnd w:id="153"/>
      <w:bookmarkEnd w:id="154"/>
    </w:p>
    <w:p w:rsidR="004C19EF" w:rsidRPr="003C5D6B" w:rsidRDefault="004C19EF" w:rsidP="004C19EF">
      <w:pPr>
        <w:rPr>
          <w:sz w:val="24"/>
          <w:szCs w:val="24"/>
          <w:lang w:val="es-ES"/>
        </w:rPr>
      </w:pPr>
      <w:r w:rsidRPr="003C5D6B">
        <w:rPr>
          <w:sz w:val="24"/>
          <w:szCs w:val="24"/>
          <w:lang w:val="es-ES"/>
        </w:rPr>
        <w:t>El régimen de cánones adoptado por la Administración refleja concretamente los principios jurídicos {6} y {8}, los principios económicos {13}, {14}, {15.2}, {15.3} y {15.4} y las disposiciones {20}, {24} y {25}.</w:t>
      </w:r>
    </w:p>
    <w:p w:rsidR="004C19EF" w:rsidRPr="003C5D6B" w:rsidRDefault="004C19EF" w:rsidP="004C19EF">
      <w:pPr>
        <w:rPr>
          <w:sz w:val="24"/>
          <w:szCs w:val="24"/>
          <w:lang w:val="es-ES"/>
        </w:rPr>
      </w:pPr>
      <w:r w:rsidRPr="003C5D6B">
        <w:rPr>
          <w:sz w:val="24"/>
          <w:szCs w:val="24"/>
          <w:lang w:val="es-ES"/>
        </w:rPr>
        <w:t xml:space="preserve">En efecto, la Administración aplica dos categorías de canon. </w:t>
      </w:r>
    </w:p>
    <w:p w:rsidR="004C19EF" w:rsidRPr="003C5D6B" w:rsidRDefault="004C19EF" w:rsidP="004C19EF">
      <w:pPr>
        <w:rPr>
          <w:sz w:val="24"/>
          <w:szCs w:val="24"/>
          <w:lang w:val="es-ES"/>
        </w:rPr>
      </w:pPr>
      <w:r w:rsidRPr="003C5D6B">
        <w:rPr>
          <w:sz w:val="24"/>
          <w:szCs w:val="24"/>
          <w:lang w:val="es-ES"/>
        </w:rPr>
        <w:t>Los cánones administrativos son proporcionales al número de asignaciones y al número de adjudicaciones atribuidas. Su importe anual total corresponde al coste anual total de la gestión del espectro, de las licencias y de las autorizaciones.</w:t>
      </w:r>
    </w:p>
    <w:p w:rsidR="004C19EF" w:rsidRPr="003C5D6B" w:rsidRDefault="004C19EF" w:rsidP="004C19EF">
      <w:pPr>
        <w:rPr>
          <w:sz w:val="24"/>
          <w:szCs w:val="24"/>
          <w:lang w:val="es-ES"/>
        </w:rPr>
      </w:pPr>
      <w:r w:rsidRPr="003C5D6B">
        <w:rPr>
          <w:sz w:val="24"/>
          <w:szCs w:val="24"/>
          <w:lang w:val="es-ES"/>
        </w:rPr>
        <w:t xml:space="preserve">Para el cálculo de los cánones del espectro, relativos a las frecuencias destinadas a las necesidades propias de los usuarios, sólo se tiene en cuenta el ancho de banda atribuido y la superficie de atribución. </w:t>
      </w:r>
    </w:p>
    <w:p w:rsidR="004C19EF" w:rsidRPr="003C5D6B" w:rsidRDefault="004C19EF" w:rsidP="004C19EF">
      <w:pPr>
        <w:rPr>
          <w:sz w:val="24"/>
          <w:szCs w:val="24"/>
          <w:lang w:val="es-ES"/>
        </w:rPr>
      </w:pPr>
      <w:r w:rsidRPr="003C5D6B">
        <w:rPr>
          <w:sz w:val="24"/>
          <w:szCs w:val="24"/>
          <w:lang w:val="es-ES"/>
        </w:rPr>
        <w:t xml:space="preserve">Para el cálculo de los cánones del espectro, relativos a las frecuencias utilizadas para ofrecer o comercializar servicios destinados a un mercado de consumo (caso de las frecuencias GSM y UMTS), se tiene en cuenta el volumen de negocio realizado por las operadoras. </w:t>
      </w:r>
    </w:p>
    <w:p w:rsidR="004C19EF" w:rsidRPr="003C5D6B" w:rsidRDefault="004C19EF" w:rsidP="004C19EF">
      <w:pPr>
        <w:pStyle w:val="Heading2"/>
        <w:rPr>
          <w:lang w:val="es-ES"/>
        </w:rPr>
      </w:pPr>
      <w:bookmarkStart w:id="155" w:name="_Toc277598651"/>
      <w:bookmarkStart w:id="156" w:name="_Toc284499169"/>
      <w:bookmarkStart w:id="157" w:name="_Toc287523323"/>
      <w:r w:rsidRPr="003C5D6B">
        <w:rPr>
          <w:lang w:val="es-ES"/>
        </w:rPr>
        <w:t>8.4</w:t>
      </w:r>
      <w:r w:rsidRPr="003C5D6B">
        <w:rPr>
          <w:lang w:val="es-ES"/>
        </w:rPr>
        <w:tab/>
        <w:t>Caso de Côte d’Ivoire</w:t>
      </w:r>
      <w:bookmarkEnd w:id="155"/>
      <w:bookmarkEnd w:id="156"/>
      <w:bookmarkEnd w:id="157"/>
    </w:p>
    <w:p w:rsidR="004C19EF" w:rsidRPr="003C5D6B" w:rsidRDefault="004C19EF" w:rsidP="004C19EF">
      <w:pPr>
        <w:rPr>
          <w:sz w:val="24"/>
          <w:szCs w:val="24"/>
          <w:lang w:val="es-ES"/>
        </w:rPr>
      </w:pPr>
      <w:r w:rsidRPr="003C5D6B">
        <w:rPr>
          <w:sz w:val="24"/>
          <w:szCs w:val="24"/>
          <w:lang w:val="es-ES"/>
        </w:rPr>
        <w:t>La Administración de Côte d’Ivoire aplica plenamente los principios jurídicos {6}, {7} y {8}, y los económicos {15.1}, {15.2}, {15.3} y {15.4}.</w:t>
      </w:r>
    </w:p>
    <w:p w:rsidR="004C19EF" w:rsidRPr="003C5D6B" w:rsidRDefault="004C19EF" w:rsidP="004C19EF">
      <w:pPr>
        <w:rPr>
          <w:sz w:val="24"/>
          <w:szCs w:val="24"/>
          <w:lang w:val="es-ES"/>
        </w:rPr>
      </w:pPr>
      <w:r w:rsidRPr="003C5D6B">
        <w:rPr>
          <w:sz w:val="24"/>
          <w:szCs w:val="24"/>
          <w:lang w:val="es-ES"/>
        </w:rPr>
        <w:t>Aplica concretamente las disposiciones del § 5.1.4.</w:t>
      </w:r>
    </w:p>
    <w:p w:rsidR="00FC4833" w:rsidRPr="003C5D6B" w:rsidRDefault="004C19EF" w:rsidP="004C19EF">
      <w:pPr>
        <w:rPr>
          <w:lang w:val="es-ES"/>
        </w:rPr>
      </w:pPr>
      <w:r w:rsidRPr="003C5D6B">
        <w:rPr>
          <w:sz w:val="24"/>
          <w:szCs w:val="24"/>
          <w:lang w:val="es-ES"/>
        </w:rPr>
        <w:t>Véase la contribución de Côte d’Ivoire en el Apéndice 3.</w:t>
      </w:r>
    </w:p>
    <w:p w:rsidR="004735E4" w:rsidRPr="003C5D6B" w:rsidRDefault="004735E4">
      <w:pPr>
        <w:tabs>
          <w:tab w:val="clear" w:pos="794"/>
          <w:tab w:val="clear" w:pos="1191"/>
          <w:tab w:val="clear" w:pos="1588"/>
          <w:tab w:val="clear" w:pos="1985"/>
        </w:tabs>
        <w:overflowPunct/>
        <w:autoSpaceDE/>
        <w:autoSpaceDN/>
        <w:adjustRightInd/>
        <w:spacing w:before="0"/>
        <w:jc w:val="left"/>
        <w:textAlignment w:val="auto"/>
        <w:rPr>
          <w:b/>
          <w:sz w:val="28"/>
          <w:lang w:val="es-ES"/>
        </w:rPr>
      </w:pPr>
      <w:r w:rsidRPr="003C5D6B">
        <w:rPr>
          <w:lang w:val="es-ES"/>
        </w:rPr>
        <w:br w:type="page"/>
      </w:r>
    </w:p>
    <w:p w:rsidR="00194F2A" w:rsidRPr="003C5D6B" w:rsidRDefault="00902654" w:rsidP="00551BF2">
      <w:pPr>
        <w:pStyle w:val="AnnexNotitle"/>
        <w:rPr>
          <w:lang w:val="es-ES"/>
        </w:rPr>
      </w:pPr>
      <w:bookmarkStart w:id="158" w:name="_Toc278266927"/>
      <w:bookmarkStart w:id="159" w:name="_Toc284414131"/>
      <w:bookmarkStart w:id="160" w:name="_Toc284499170"/>
      <w:bookmarkStart w:id="161" w:name="_Toc287523324"/>
      <w:r w:rsidRPr="003C5D6B">
        <w:rPr>
          <w:lang w:val="es-ES"/>
        </w:rPr>
        <w:lastRenderedPageBreak/>
        <w:t>An</w:t>
      </w:r>
      <w:r w:rsidR="00B3462E" w:rsidRPr="003C5D6B">
        <w:rPr>
          <w:lang w:val="es-ES"/>
        </w:rPr>
        <w:t>ex</w:t>
      </w:r>
      <w:r w:rsidRPr="003C5D6B">
        <w:rPr>
          <w:lang w:val="es-ES"/>
        </w:rPr>
        <w:t>o</w:t>
      </w:r>
      <w:r w:rsidR="00B3462E" w:rsidRPr="003C5D6B">
        <w:rPr>
          <w:lang w:val="es-ES"/>
        </w:rPr>
        <w:t xml:space="preserve"> 1</w:t>
      </w:r>
      <w:r w:rsidR="00B3462E" w:rsidRPr="003C5D6B">
        <w:rPr>
          <w:lang w:val="es-ES"/>
        </w:rPr>
        <w:br/>
      </w:r>
      <w:r w:rsidR="00B3462E" w:rsidRPr="003C5D6B">
        <w:rPr>
          <w:lang w:val="es-ES"/>
        </w:rPr>
        <w:br/>
      </w:r>
      <w:bookmarkEnd w:id="158"/>
      <w:bookmarkEnd w:id="159"/>
      <w:r w:rsidRPr="003C5D6B">
        <w:rPr>
          <w:szCs w:val="24"/>
          <w:lang w:val="es-ES"/>
        </w:rPr>
        <w:t xml:space="preserve">Ejemplo simplificado de cuadro con el valor del coeficiente </w:t>
      </w:r>
      <w:r w:rsidR="00551BF2" w:rsidRPr="003C5D6B">
        <w:rPr>
          <w:szCs w:val="24"/>
          <w:lang w:val="es-ES"/>
        </w:rPr>
        <w:t>“</w:t>
      </w:r>
      <w:r w:rsidRPr="003C5D6B">
        <w:rPr>
          <w:szCs w:val="24"/>
          <w:lang w:val="es-ES"/>
        </w:rPr>
        <w:t>bf</w:t>
      </w:r>
      <w:r w:rsidR="00551BF2" w:rsidRPr="003C5D6B">
        <w:rPr>
          <w:szCs w:val="24"/>
          <w:lang w:val="es-ES"/>
        </w:rPr>
        <w:t>”</w:t>
      </w:r>
      <w:r w:rsidRPr="003C5D6B">
        <w:rPr>
          <w:szCs w:val="24"/>
          <w:lang w:val="es-ES"/>
        </w:rPr>
        <w:t xml:space="preserve"> </w:t>
      </w:r>
      <w:r w:rsidRPr="003C5D6B">
        <w:rPr>
          <w:szCs w:val="24"/>
          <w:lang w:val="es-ES"/>
        </w:rPr>
        <w:br/>
        <w:t>en función de la banda de frecuencias</w:t>
      </w:r>
      <w:bookmarkEnd w:id="160"/>
      <w:bookmarkEnd w:id="161"/>
    </w:p>
    <w:p w:rsidR="00D92A1F" w:rsidRPr="003C5D6B" w:rsidRDefault="00D57904" w:rsidP="00E0647F">
      <w:pPr>
        <w:rPr>
          <w:lang w:val="es-ES"/>
        </w:rPr>
      </w:pPr>
      <w:r w:rsidRPr="003C5D6B">
        <w:rPr>
          <w:sz w:val="24"/>
          <w:szCs w:val="24"/>
          <w:lang w:val="es-ES"/>
        </w:rPr>
        <w:t>Los coeficientes más bajos alientan a los usuarios a ocupar las bandas correspondientes y, a la inversa, los coeficientes más elevados, a abandonar las bandas correspondientes.</w:t>
      </w:r>
    </w:p>
    <w:p w:rsidR="006F4487" w:rsidRPr="003C5D6B" w:rsidRDefault="006F4487" w:rsidP="00E0647F">
      <w:pPr>
        <w:rPr>
          <w:b/>
          <w:bCs/>
          <w:lang w:val="es-ES"/>
        </w:rPr>
      </w:pPr>
    </w:p>
    <w:p w:rsidR="00194F2A" w:rsidRPr="003C5D6B" w:rsidRDefault="00194F2A" w:rsidP="006F4487">
      <w:pPr>
        <w:pStyle w:val="FigureTitle"/>
        <w:rPr>
          <w:lang w:val="es-ES"/>
        </w:rPr>
      </w:pPr>
    </w:p>
    <w:tbl>
      <w:tblPr>
        <w:tblW w:w="0" w:type="auto"/>
        <w:jc w:val="center"/>
        <w:tblLayout w:type="fixed"/>
        <w:tblCellMar>
          <w:top w:w="55" w:type="dxa"/>
          <w:left w:w="55" w:type="dxa"/>
          <w:bottom w:w="55" w:type="dxa"/>
          <w:right w:w="55" w:type="dxa"/>
        </w:tblCellMar>
        <w:tblLook w:val="0000"/>
      </w:tblPr>
      <w:tblGrid>
        <w:gridCol w:w="6915"/>
        <w:gridCol w:w="2722"/>
      </w:tblGrid>
      <w:tr w:rsidR="00436C2A" w:rsidRPr="003C5D6B" w:rsidTr="00436C2A">
        <w:trPr>
          <w:jc w:val="center"/>
        </w:trPr>
        <w:tc>
          <w:tcPr>
            <w:tcW w:w="6915" w:type="dxa"/>
            <w:tcBorders>
              <w:top w:val="single" w:sz="1" w:space="0" w:color="000000"/>
              <w:left w:val="single" w:sz="1" w:space="0" w:color="000000"/>
              <w:bottom w:val="single" w:sz="1" w:space="0" w:color="000000"/>
            </w:tcBorders>
            <w:vAlign w:val="center"/>
          </w:tcPr>
          <w:p w:rsidR="00436C2A" w:rsidRPr="003C5D6B" w:rsidRDefault="00436C2A" w:rsidP="00AB7CE3">
            <w:pPr>
              <w:pStyle w:val="Tablehead"/>
              <w:rPr>
                <w:sz w:val="24"/>
                <w:szCs w:val="24"/>
                <w:lang w:val="es-ES"/>
              </w:rPr>
            </w:pPr>
            <w:r w:rsidRPr="003C5D6B">
              <w:rPr>
                <w:sz w:val="24"/>
                <w:szCs w:val="24"/>
                <w:lang w:val="es-ES"/>
              </w:rPr>
              <w:t>Posición de la banda de frecuencias atribuida</w:t>
            </w:r>
          </w:p>
        </w:tc>
        <w:tc>
          <w:tcPr>
            <w:tcW w:w="2722" w:type="dxa"/>
            <w:tcBorders>
              <w:top w:val="single" w:sz="1" w:space="0" w:color="000000"/>
              <w:left w:val="single" w:sz="1" w:space="0" w:color="000000"/>
              <w:bottom w:val="single" w:sz="1" w:space="0" w:color="000000"/>
              <w:right w:val="single" w:sz="1" w:space="0" w:color="000000"/>
            </w:tcBorders>
          </w:tcPr>
          <w:p w:rsidR="00436C2A" w:rsidRPr="003C5D6B" w:rsidRDefault="00436C2A" w:rsidP="00551BF2">
            <w:pPr>
              <w:pStyle w:val="Tablehead"/>
              <w:rPr>
                <w:sz w:val="24"/>
                <w:szCs w:val="24"/>
                <w:lang w:val="es-ES"/>
              </w:rPr>
            </w:pPr>
            <w:r w:rsidRPr="003C5D6B">
              <w:rPr>
                <w:sz w:val="24"/>
                <w:szCs w:val="24"/>
                <w:lang w:val="es-ES"/>
              </w:rPr>
              <w:t xml:space="preserve">Valor del coeficiente </w:t>
            </w:r>
            <w:r w:rsidR="00551BF2" w:rsidRPr="003C5D6B">
              <w:rPr>
                <w:sz w:val="24"/>
                <w:szCs w:val="24"/>
                <w:lang w:val="es-ES"/>
              </w:rPr>
              <w:t>“</w:t>
            </w:r>
            <w:r w:rsidRPr="003C5D6B">
              <w:rPr>
                <w:sz w:val="24"/>
                <w:szCs w:val="24"/>
                <w:lang w:val="es-ES"/>
              </w:rPr>
              <w:t>bf</w:t>
            </w:r>
            <w:r w:rsidR="00551BF2" w:rsidRPr="003C5D6B">
              <w:rPr>
                <w:sz w:val="24"/>
                <w:szCs w:val="24"/>
                <w:lang w:val="es-ES"/>
              </w:rPr>
              <w:t>”</w:t>
            </w:r>
          </w:p>
        </w:tc>
      </w:tr>
      <w:tr w:rsidR="004C2DEA" w:rsidRPr="003C5D6B" w:rsidTr="004C2DEA">
        <w:trPr>
          <w:trHeight w:val="510"/>
          <w:jc w:val="center"/>
        </w:trPr>
        <w:tc>
          <w:tcPr>
            <w:tcW w:w="6915" w:type="dxa"/>
            <w:tcBorders>
              <w:left w:val="single" w:sz="1" w:space="0" w:color="000000"/>
              <w:bottom w:val="single" w:sz="1" w:space="0" w:color="000000"/>
            </w:tcBorders>
            <w:vAlign w:val="center"/>
          </w:tcPr>
          <w:p w:rsidR="004C2DEA" w:rsidRPr="003C5D6B" w:rsidRDefault="004C2DEA" w:rsidP="00AB7CE3">
            <w:pPr>
              <w:pStyle w:val="Tabletext"/>
              <w:jc w:val="center"/>
              <w:rPr>
                <w:sz w:val="24"/>
                <w:szCs w:val="24"/>
                <w:lang w:val="es-ES"/>
              </w:rPr>
            </w:pPr>
            <w:r w:rsidRPr="003C5D6B">
              <w:rPr>
                <w:sz w:val="24"/>
                <w:szCs w:val="24"/>
                <w:lang w:val="es-ES"/>
              </w:rPr>
              <w:t xml:space="preserve">29,7 MHz </w:t>
            </w:r>
            <w:r w:rsidRPr="003C5D6B">
              <w:rPr>
                <w:sz w:val="24"/>
                <w:szCs w:val="24"/>
                <w:u w:val="single"/>
                <w:lang w:val="es-ES"/>
              </w:rPr>
              <w:t>&lt;</w:t>
            </w:r>
            <w:r w:rsidRPr="003C5D6B">
              <w:rPr>
                <w:sz w:val="24"/>
                <w:szCs w:val="24"/>
                <w:lang w:val="es-ES"/>
              </w:rPr>
              <w:t xml:space="preserve"> banda de frecuencias &lt; 1 375 MHz</w:t>
            </w:r>
          </w:p>
        </w:tc>
        <w:tc>
          <w:tcPr>
            <w:tcW w:w="2722" w:type="dxa"/>
            <w:tcBorders>
              <w:left w:val="single" w:sz="1" w:space="0" w:color="000000"/>
              <w:bottom w:val="single" w:sz="1" w:space="0" w:color="000000"/>
              <w:right w:val="single" w:sz="1" w:space="0" w:color="000000"/>
            </w:tcBorders>
            <w:vAlign w:val="center"/>
          </w:tcPr>
          <w:p w:rsidR="004C2DEA" w:rsidRPr="003C5D6B" w:rsidRDefault="004C2DEA" w:rsidP="003D3377">
            <w:pPr>
              <w:pStyle w:val="TableText0"/>
              <w:jc w:val="center"/>
              <w:rPr>
                <w:bCs/>
                <w:lang w:val="es-ES"/>
              </w:rPr>
            </w:pPr>
            <w:r w:rsidRPr="003C5D6B">
              <w:rPr>
                <w:lang w:val="es-ES"/>
              </w:rPr>
              <w:t>1</w:t>
            </w:r>
          </w:p>
        </w:tc>
      </w:tr>
      <w:tr w:rsidR="004C2DEA" w:rsidRPr="003C5D6B" w:rsidTr="004C2DEA">
        <w:trPr>
          <w:trHeight w:val="510"/>
          <w:jc w:val="center"/>
        </w:trPr>
        <w:tc>
          <w:tcPr>
            <w:tcW w:w="6915" w:type="dxa"/>
            <w:tcBorders>
              <w:left w:val="single" w:sz="1" w:space="0" w:color="000000"/>
              <w:bottom w:val="single" w:sz="1" w:space="0" w:color="000000"/>
            </w:tcBorders>
            <w:vAlign w:val="center"/>
          </w:tcPr>
          <w:p w:rsidR="004C2DEA" w:rsidRPr="003C5D6B" w:rsidRDefault="004C2DEA" w:rsidP="00AB7CE3">
            <w:pPr>
              <w:pStyle w:val="Tabletext"/>
              <w:jc w:val="center"/>
              <w:rPr>
                <w:sz w:val="24"/>
                <w:szCs w:val="24"/>
                <w:lang w:val="es-ES"/>
              </w:rPr>
            </w:pPr>
            <w:r w:rsidRPr="003C5D6B">
              <w:rPr>
                <w:sz w:val="24"/>
                <w:szCs w:val="24"/>
                <w:lang w:val="es-ES"/>
              </w:rPr>
              <w:t xml:space="preserve">1 375 MHz </w:t>
            </w:r>
            <w:r w:rsidRPr="003C5D6B">
              <w:rPr>
                <w:sz w:val="24"/>
                <w:szCs w:val="24"/>
                <w:u w:val="single"/>
                <w:lang w:val="es-ES"/>
              </w:rPr>
              <w:t>&lt;</w:t>
            </w:r>
            <w:r w:rsidRPr="003C5D6B">
              <w:rPr>
                <w:sz w:val="24"/>
                <w:szCs w:val="24"/>
                <w:lang w:val="es-ES"/>
              </w:rPr>
              <w:t xml:space="preserve"> banda de frecuencias &lt; 3 400 MHz</w:t>
            </w:r>
          </w:p>
        </w:tc>
        <w:tc>
          <w:tcPr>
            <w:tcW w:w="2722" w:type="dxa"/>
            <w:tcBorders>
              <w:left w:val="single" w:sz="1" w:space="0" w:color="000000"/>
              <w:bottom w:val="single" w:sz="1" w:space="0" w:color="000000"/>
              <w:right w:val="single" w:sz="1" w:space="0" w:color="000000"/>
            </w:tcBorders>
            <w:vAlign w:val="center"/>
          </w:tcPr>
          <w:p w:rsidR="004C2DEA" w:rsidRPr="003C5D6B" w:rsidRDefault="004C2DEA" w:rsidP="003D3377">
            <w:pPr>
              <w:pStyle w:val="TableText0"/>
              <w:jc w:val="center"/>
              <w:rPr>
                <w:bCs/>
                <w:lang w:val="es-ES"/>
              </w:rPr>
            </w:pPr>
            <w:r w:rsidRPr="003C5D6B">
              <w:rPr>
                <w:lang w:val="es-ES"/>
              </w:rPr>
              <w:t>8</w:t>
            </w:r>
          </w:p>
        </w:tc>
      </w:tr>
      <w:tr w:rsidR="004C2DEA" w:rsidRPr="003C5D6B" w:rsidTr="004C2DEA">
        <w:trPr>
          <w:trHeight w:val="510"/>
          <w:jc w:val="center"/>
        </w:trPr>
        <w:tc>
          <w:tcPr>
            <w:tcW w:w="6915" w:type="dxa"/>
            <w:tcBorders>
              <w:left w:val="single" w:sz="1" w:space="0" w:color="000000"/>
              <w:bottom w:val="single" w:sz="1" w:space="0" w:color="000000"/>
            </w:tcBorders>
            <w:vAlign w:val="center"/>
          </w:tcPr>
          <w:p w:rsidR="004C2DEA" w:rsidRPr="003C5D6B" w:rsidRDefault="004C2DEA" w:rsidP="00AB7CE3">
            <w:pPr>
              <w:pStyle w:val="Tabletext"/>
              <w:jc w:val="center"/>
              <w:rPr>
                <w:sz w:val="24"/>
                <w:szCs w:val="24"/>
                <w:lang w:val="es-ES"/>
              </w:rPr>
            </w:pPr>
            <w:r w:rsidRPr="003C5D6B">
              <w:rPr>
                <w:sz w:val="24"/>
                <w:szCs w:val="24"/>
                <w:lang w:val="es-ES"/>
              </w:rPr>
              <w:t xml:space="preserve">3 400 MHz </w:t>
            </w:r>
            <w:r w:rsidRPr="003C5D6B">
              <w:rPr>
                <w:sz w:val="24"/>
                <w:szCs w:val="24"/>
                <w:u w:val="single"/>
                <w:lang w:val="es-ES"/>
              </w:rPr>
              <w:t>&lt;</w:t>
            </w:r>
            <w:r w:rsidRPr="003C5D6B">
              <w:rPr>
                <w:sz w:val="24"/>
                <w:szCs w:val="24"/>
                <w:lang w:val="es-ES"/>
              </w:rPr>
              <w:t xml:space="preserve"> banda de frecuencias &lt; 7 110 MHz</w:t>
            </w:r>
          </w:p>
        </w:tc>
        <w:tc>
          <w:tcPr>
            <w:tcW w:w="2722" w:type="dxa"/>
            <w:tcBorders>
              <w:left w:val="single" w:sz="1" w:space="0" w:color="000000"/>
              <w:bottom w:val="single" w:sz="1" w:space="0" w:color="000000"/>
              <w:right w:val="single" w:sz="1" w:space="0" w:color="000000"/>
            </w:tcBorders>
            <w:vAlign w:val="center"/>
          </w:tcPr>
          <w:p w:rsidR="004C2DEA" w:rsidRPr="003C5D6B" w:rsidRDefault="004C2DEA" w:rsidP="003D3377">
            <w:pPr>
              <w:pStyle w:val="TableText0"/>
              <w:jc w:val="center"/>
              <w:rPr>
                <w:bCs/>
                <w:lang w:val="es-ES"/>
              </w:rPr>
            </w:pPr>
            <w:r w:rsidRPr="003C5D6B">
              <w:rPr>
                <w:lang w:val="es-ES"/>
              </w:rPr>
              <w:t>2</w:t>
            </w:r>
          </w:p>
        </w:tc>
      </w:tr>
      <w:tr w:rsidR="004C2DEA" w:rsidRPr="003C5D6B" w:rsidTr="004C2DEA">
        <w:trPr>
          <w:trHeight w:val="510"/>
          <w:jc w:val="center"/>
        </w:trPr>
        <w:tc>
          <w:tcPr>
            <w:tcW w:w="6915" w:type="dxa"/>
            <w:tcBorders>
              <w:left w:val="single" w:sz="1" w:space="0" w:color="000000"/>
              <w:bottom w:val="single" w:sz="1" w:space="0" w:color="000000"/>
            </w:tcBorders>
            <w:vAlign w:val="center"/>
          </w:tcPr>
          <w:p w:rsidR="004C2DEA" w:rsidRPr="003C5D6B" w:rsidRDefault="004C2DEA" w:rsidP="00AB7CE3">
            <w:pPr>
              <w:pStyle w:val="Tabletext"/>
              <w:jc w:val="center"/>
              <w:rPr>
                <w:sz w:val="24"/>
                <w:szCs w:val="24"/>
                <w:lang w:val="es-ES"/>
              </w:rPr>
            </w:pPr>
            <w:r w:rsidRPr="003C5D6B">
              <w:rPr>
                <w:sz w:val="24"/>
                <w:szCs w:val="24"/>
                <w:lang w:val="es-ES"/>
              </w:rPr>
              <w:t xml:space="preserve">7 110 MHz </w:t>
            </w:r>
            <w:r w:rsidRPr="003C5D6B">
              <w:rPr>
                <w:sz w:val="24"/>
                <w:szCs w:val="24"/>
                <w:u w:val="single"/>
                <w:lang w:val="es-ES"/>
              </w:rPr>
              <w:t>&lt;</w:t>
            </w:r>
            <w:r w:rsidRPr="003C5D6B">
              <w:rPr>
                <w:sz w:val="24"/>
                <w:szCs w:val="24"/>
                <w:lang w:val="es-ES"/>
              </w:rPr>
              <w:t xml:space="preserve"> banda de frecuencias &lt; 12,75 GHz</w:t>
            </w:r>
          </w:p>
        </w:tc>
        <w:tc>
          <w:tcPr>
            <w:tcW w:w="2722" w:type="dxa"/>
            <w:tcBorders>
              <w:left w:val="single" w:sz="1" w:space="0" w:color="000000"/>
              <w:bottom w:val="single" w:sz="1" w:space="0" w:color="000000"/>
              <w:right w:val="single" w:sz="1" w:space="0" w:color="000000"/>
            </w:tcBorders>
            <w:vAlign w:val="center"/>
          </w:tcPr>
          <w:p w:rsidR="004C2DEA" w:rsidRPr="003C5D6B" w:rsidRDefault="004C2DEA" w:rsidP="003D3377">
            <w:pPr>
              <w:pStyle w:val="TableText0"/>
              <w:jc w:val="center"/>
              <w:rPr>
                <w:bCs/>
                <w:lang w:val="es-ES"/>
              </w:rPr>
            </w:pPr>
            <w:r w:rsidRPr="003C5D6B">
              <w:rPr>
                <w:lang w:val="es-ES"/>
              </w:rPr>
              <w:t>1,5</w:t>
            </w:r>
          </w:p>
        </w:tc>
      </w:tr>
      <w:tr w:rsidR="004C2DEA" w:rsidRPr="003C5D6B" w:rsidTr="004C2DEA">
        <w:trPr>
          <w:trHeight w:val="510"/>
          <w:jc w:val="center"/>
        </w:trPr>
        <w:tc>
          <w:tcPr>
            <w:tcW w:w="6915" w:type="dxa"/>
            <w:tcBorders>
              <w:left w:val="single" w:sz="1" w:space="0" w:color="000000"/>
              <w:bottom w:val="single" w:sz="1" w:space="0" w:color="000000"/>
            </w:tcBorders>
            <w:vAlign w:val="center"/>
          </w:tcPr>
          <w:p w:rsidR="004C2DEA" w:rsidRPr="003C5D6B" w:rsidRDefault="004C2DEA" w:rsidP="00AB7CE3">
            <w:pPr>
              <w:pStyle w:val="Tabletext"/>
              <w:jc w:val="center"/>
              <w:rPr>
                <w:sz w:val="24"/>
                <w:szCs w:val="24"/>
                <w:lang w:val="es-ES"/>
              </w:rPr>
            </w:pPr>
            <w:r w:rsidRPr="003C5D6B">
              <w:rPr>
                <w:sz w:val="24"/>
                <w:szCs w:val="24"/>
                <w:lang w:val="es-ES"/>
              </w:rPr>
              <w:t xml:space="preserve">12,75 GHz </w:t>
            </w:r>
            <w:r w:rsidRPr="003C5D6B">
              <w:rPr>
                <w:sz w:val="24"/>
                <w:szCs w:val="24"/>
                <w:u w:val="single"/>
                <w:lang w:val="es-ES"/>
              </w:rPr>
              <w:t>&lt;</w:t>
            </w:r>
            <w:r w:rsidRPr="003C5D6B">
              <w:rPr>
                <w:sz w:val="24"/>
                <w:szCs w:val="24"/>
                <w:lang w:val="es-ES"/>
              </w:rPr>
              <w:t xml:space="preserve"> banda de frecuencias &lt; 14,5 GHz</w:t>
            </w:r>
          </w:p>
        </w:tc>
        <w:tc>
          <w:tcPr>
            <w:tcW w:w="2722" w:type="dxa"/>
            <w:tcBorders>
              <w:left w:val="single" w:sz="1" w:space="0" w:color="000000"/>
              <w:bottom w:val="single" w:sz="1" w:space="0" w:color="000000"/>
              <w:right w:val="single" w:sz="1" w:space="0" w:color="000000"/>
            </w:tcBorders>
            <w:vAlign w:val="center"/>
          </w:tcPr>
          <w:p w:rsidR="004C2DEA" w:rsidRPr="003C5D6B" w:rsidRDefault="004C2DEA" w:rsidP="003D3377">
            <w:pPr>
              <w:pStyle w:val="TableText0"/>
              <w:jc w:val="center"/>
              <w:rPr>
                <w:bCs/>
                <w:lang w:val="es-ES"/>
              </w:rPr>
            </w:pPr>
            <w:r w:rsidRPr="003C5D6B">
              <w:rPr>
                <w:lang w:val="es-ES"/>
              </w:rPr>
              <w:t>1</w:t>
            </w:r>
          </w:p>
        </w:tc>
      </w:tr>
      <w:tr w:rsidR="004C2DEA" w:rsidRPr="003C5D6B" w:rsidTr="004C2DEA">
        <w:trPr>
          <w:trHeight w:val="510"/>
          <w:jc w:val="center"/>
        </w:trPr>
        <w:tc>
          <w:tcPr>
            <w:tcW w:w="6915" w:type="dxa"/>
            <w:tcBorders>
              <w:left w:val="single" w:sz="1" w:space="0" w:color="000000"/>
              <w:bottom w:val="single" w:sz="1" w:space="0" w:color="000000"/>
            </w:tcBorders>
            <w:vAlign w:val="center"/>
          </w:tcPr>
          <w:p w:rsidR="004C2DEA" w:rsidRPr="003C5D6B" w:rsidRDefault="004C2DEA" w:rsidP="00AB7CE3">
            <w:pPr>
              <w:pStyle w:val="Tabletext"/>
              <w:jc w:val="center"/>
              <w:rPr>
                <w:sz w:val="24"/>
                <w:szCs w:val="24"/>
                <w:lang w:val="es-ES"/>
              </w:rPr>
            </w:pPr>
            <w:r w:rsidRPr="003C5D6B">
              <w:rPr>
                <w:sz w:val="24"/>
                <w:szCs w:val="24"/>
                <w:lang w:val="es-ES"/>
              </w:rPr>
              <w:t xml:space="preserve">14,5 GHz </w:t>
            </w:r>
            <w:r w:rsidRPr="003C5D6B">
              <w:rPr>
                <w:sz w:val="24"/>
                <w:szCs w:val="24"/>
                <w:u w:val="single"/>
                <w:lang w:val="es-ES"/>
              </w:rPr>
              <w:t>&lt;</w:t>
            </w:r>
            <w:r w:rsidRPr="003C5D6B">
              <w:rPr>
                <w:sz w:val="24"/>
                <w:szCs w:val="24"/>
                <w:lang w:val="es-ES"/>
              </w:rPr>
              <w:t xml:space="preserve"> banda de frecuencias &lt; 20,2 GHz</w:t>
            </w:r>
          </w:p>
        </w:tc>
        <w:tc>
          <w:tcPr>
            <w:tcW w:w="2722" w:type="dxa"/>
            <w:tcBorders>
              <w:left w:val="single" w:sz="1" w:space="0" w:color="000000"/>
              <w:bottom w:val="single" w:sz="1" w:space="0" w:color="000000"/>
              <w:right w:val="single" w:sz="1" w:space="0" w:color="000000"/>
            </w:tcBorders>
            <w:vAlign w:val="center"/>
          </w:tcPr>
          <w:p w:rsidR="004C2DEA" w:rsidRPr="003C5D6B" w:rsidRDefault="004C2DEA" w:rsidP="003D3377">
            <w:pPr>
              <w:pStyle w:val="TableText0"/>
              <w:jc w:val="center"/>
              <w:rPr>
                <w:bCs/>
                <w:lang w:val="es-ES"/>
              </w:rPr>
            </w:pPr>
            <w:r w:rsidRPr="003C5D6B">
              <w:rPr>
                <w:lang w:val="es-ES"/>
              </w:rPr>
              <w:t>0,7</w:t>
            </w:r>
          </w:p>
        </w:tc>
      </w:tr>
      <w:tr w:rsidR="004C2DEA" w:rsidRPr="003C5D6B" w:rsidTr="004C2DEA">
        <w:trPr>
          <w:trHeight w:val="510"/>
          <w:jc w:val="center"/>
        </w:trPr>
        <w:tc>
          <w:tcPr>
            <w:tcW w:w="6915" w:type="dxa"/>
            <w:tcBorders>
              <w:left w:val="single" w:sz="1" w:space="0" w:color="000000"/>
              <w:bottom w:val="single" w:sz="1" w:space="0" w:color="000000"/>
            </w:tcBorders>
            <w:vAlign w:val="center"/>
          </w:tcPr>
          <w:p w:rsidR="004C2DEA" w:rsidRPr="003C5D6B" w:rsidRDefault="004C2DEA" w:rsidP="00AB7CE3">
            <w:pPr>
              <w:pStyle w:val="Tabletext"/>
              <w:jc w:val="center"/>
              <w:rPr>
                <w:sz w:val="24"/>
                <w:szCs w:val="24"/>
                <w:lang w:val="es-ES"/>
              </w:rPr>
            </w:pPr>
            <w:r w:rsidRPr="003C5D6B">
              <w:rPr>
                <w:sz w:val="24"/>
                <w:szCs w:val="24"/>
                <w:lang w:val="es-ES"/>
              </w:rPr>
              <w:t>20,2 GHz &lt; banda de frecuencias &lt; 37,5 GHz</w:t>
            </w:r>
          </w:p>
        </w:tc>
        <w:tc>
          <w:tcPr>
            <w:tcW w:w="2722" w:type="dxa"/>
            <w:tcBorders>
              <w:left w:val="single" w:sz="1" w:space="0" w:color="000000"/>
              <w:bottom w:val="single" w:sz="1" w:space="0" w:color="000000"/>
              <w:right w:val="single" w:sz="1" w:space="0" w:color="000000"/>
            </w:tcBorders>
            <w:vAlign w:val="center"/>
          </w:tcPr>
          <w:p w:rsidR="004C2DEA" w:rsidRPr="003C5D6B" w:rsidRDefault="004C2DEA" w:rsidP="0095734C">
            <w:pPr>
              <w:pStyle w:val="TableText0"/>
              <w:jc w:val="center"/>
              <w:rPr>
                <w:bCs/>
                <w:lang w:val="es-ES"/>
              </w:rPr>
            </w:pPr>
            <w:r w:rsidRPr="003C5D6B">
              <w:rPr>
                <w:lang w:val="es-ES"/>
              </w:rPr>
              <w:t>0,3</w:t>
            </w:r>
          </w:p>
        </w:tc>
      </w:tr>
      <w:tr w:rsidR="004C2DEA" w:rsidRPr="003C5D6B" w:rsidTr="004C2DEA">
        <w:trPr>
          <w:trHeight w:val="510"/>
          <w:jc w:val="center"/>
        </w:trPr>
        <w:tc>
          <w:tcPr>
            <w:tcW w:w="6915" w:type="dxa"/>
            <w:tcBorders>
              <w:left w:val="single" w:sz="1" w:space="0" w:color="000000"/>
              <w:bottom w:val="single" w:sz="1" w:space="0" w:color="000000"/>
            </w:tcBorders>
            <w:vAlign w:val="center"/>
          </w:tcPr>
          <w:p w:rsidR="004C2DEA" w:rsidRPr="003C5D6B" w:rsidRDefault="004C2DEA" w:rsidP="00AB7CE3">
            <w:pPr>
              <w:pStyle w:val="Tabletext"/>
              <w:jc w:val="center"/>
              <w:rPr>
                <w:sz w:val="24"/>
                <w:szCs w:val="24"/>
                <w:lang w:val="es-ES"/>
              </w:rPr>
            </w:pPr>
            <w:r w:rsidRPr="003C5D6B">
              <w:rPr>
                <w:sz w:val="24"/>
                <w:szCs w:val="24"/>
                <w:lang w:val="es-ES"/>
              </w:rPr>
              <w:t xml:space="preserve">37,5 GHz </w:t>
            </w:r>
            <w:r w:rsidRPr="003C5D6B">
              <w:rPr>
                <w:sz w:val="24"/>
                <w:szCs w:val="24"/>
                <w:u w:val="single"/>
                <w:lang w:val="es-ES"/>
              </w:rPr>
              <w:t>&lt;</w:t>
            </w:r>
            <w:r w:rsidRPr="003C5D6B">
              <w:rPr>
                <w:sz w:val="24"/>
                <w:szCs w:val="24"/>
                <w:lang w:val="es-ES"/>
              </w:rPr>
              <w:t xml:space="preserve"> banda de frecuencias</w:t>
            </w:r>
          </w:p>
        </w:tc>
        <w:tc>
          <w:tcPr>
            <w:tcW w:w="2722" w:type="dxa"/>
            <w:tcBorders>
              <w:left w:val="single" w:sz="1" w:space="0" w:color="000000"/>
              <w:bottom w:val="single" w:sz="1" w:space="0" w:color="000000"/>
              <w:right w:val="single" w:sz="1" w:space="0" w:color="000000"/>
            </w:tcBorders>
            <w:vAlign w:val="center"/>
          </w:tcPr>
          <w:p w:rsidR="004C2DEA" w:rsidRPr="003C5D6B" w:rsidRDefault="004C2DEA" w:rsidP="0095734C">
            <w:pPr>
              <w:pStyle w:val="TableText0"/>
              <w:jc w:val="center"/>
              <w:rPr>
                <w:lang w:val="es-ES"/>
              </w:rPr>
            </w:pPr>
          </w:p>
        </w:tc>
      </w:tr>
    </w:tbl>
    <w:p w:rsidR="00194F2A" w:rsidRPr="003C5D6B" w:rsidRDefault="00194F2A" w:rsidP="006F4487">
      <w:pPr>
        <w:pStyle w:val="FigureSource"/>
        <w:rPr>
          <w:lang w:val="es-ES"/>
        </w:rPr>
      </w:pPr>
    </w:p>
    <w:p w:rsidR="004322D9" w:rsidRPr="003C5D6B" w:rsidRDefault="004322D9" w:rsidP="00996B72">
      <w:pPr>
        <w:rPr>
          <w:lang w:val="es-ES"/>
        </w:rPr>
      </w:pPr>
    </w:p>
    <w:p w:rsidR="005D3DF4" w:rsidRPr="003C5D6B" w:rsidRDefault="005D3DF4">
      <w:pPr>
        <w:tabs>
          <w:tab w:val="clear" w:pos="794"/>
          <w:tab w:val="clear" w:pos="1191"/>
          <w:tab w:val="clear" w:pos="1588"/>
          <w:tab w:val="clear" w:pos="1985"/>
        </w:tabs>
        <w:overflowPunct/>
        <w:autoSpaceDE/>
        <w:autoSpaceDN/>
        <w:adjustRightInd/>
        <w:spacing w:before="0"/>
        <w:jc w:val="left"/>
        <w:textAlignment w:val="auto"/>
        <w:rPr>
          <w:lang w:val="es-ES"/>
        </w:rPr>
      </w:pPr>
      <w:r w:rsidRPr="003C5D6B">
        <w:rPr>
          <w:lang w:val="es-ES"/>
        </w:rPr>
        <w:br w:type="page"/>
      </w:r>
    </w:p>
    <w:p w:rsidR="005D3DF4" w:rsidRPr="003C5D6B" w:rsidRDefault="001C4923" w:rsidP="0054323D">
      <w:pPr>
        <w:pStyle w:val="AnnexNotitle"/>
        <w:rPr>
          <w:lang w:val="es-ES"/>
        </w:rPr>
      </w:pPr>
      <w:bookmarkStart w:id="162" w:name="_Toc284499171"/>
      <w:bookmarkStart w:id="163" w:name="_Toc287523325"/>
      <w:bookmarkStart w:id="164" w:name="_Toc278266928"/>
      <w:bookmarkStart w:id="165" w:name="_Toc284414132"/>
      <w:r w:rsidRPr="003C5D6B">
        <w:rPr>
          <w:lang w:val="es-ES"/>
        </w:rPr>
        <w:lastRenderedPageBreak/>
        <w:t>Anex</w:t>
      </w:r>
      <w:r w:rsidR="0054323D" w:rsidRPr="003C5D6B">
        <w:rPr>
          <w:lang w:val="es-ES"/>
        </w:rPr>
        <w:t>o</w:t>
      </w:r>
      <w:r w:rsidRPr="003C5D6B">
        <w:rPr>
          <w:lang w:val="es-ES"/>
        </w:rPr>
        <w:t xml:space="preserve"> 2</w:t>
      </w:r>
      <w:r w:rsidRPr="003C5D6B">
        <w:rPr>
          <w:lang w:val="es-ES"/>
        </w:rPr>
        <w:br/>
      </w:r>
      <w:r w:rsidRPr="003C5D6B">
        <w:rPr>
          <w:lang w:val="es-ES"/>
        </w:rPr>
        <w:br/>
      </w:r>
      <w:r w:rsidR="0054323D" w:rsidRPr="003C5D6B">
        <w:rPr>
          <w:szCs w:val="24"/>
          <w:lang w:val="es-ES"/>
        </w:rPr>
        <w:t xml:space="preserve">Ejemplo de cuadro con el valor del coeficiente </w:t>
      </w:r>
      <w:r w:rsidR="000D4D81" w:rsidRPr="003C5D6B">
        <w:rPr>
          <w:szCs w:val="24"/>
          <w:lang w:val="es-ES"/>
        </w:rPr>
        <w:t>“</w:t>
      </w:r>
      <w:r w:rsidR="0054323D" w:rsidRPr="003C5D6B">
        <w:rPr>
          <w:szCs w:val="24"/>
          <w:lang w:val="es-ES"/>
        </w:rPr>
        <w:t>a</w:t>
      </w:r>
      <w:r w:rsidR="000D4D81" w:rsidRPr="003C5D6B">
        <w:rPr>
          <w:szCs w:val="24"/>
          <w:lang w:val="es-ES"/>
        </w:rPr>
        <w:t>”</w:t>
      </w:r>
      <w:r w:rsidR="0054323D" w:rsidRPr="003C5D6B">
        <w:rPr>
          <w:szCs w:val="24"/>
          <w:lang w:val="es-ES"/>
        </w:rPr>
        <w:br/>
        <w:t>en función de los servicios</w:t>
      </w:r>
      <w:bookmarkEnd w:id="162"/>
      <w:bookmarkEnd w:id="163"/>
      <w:r w:rsidR="0054323D" w:rsidRPr="003C5D6B">
        <w:rPr>
          <w:lang w:val="es-ES"/>
        </w:rPr>
        <w:t xml:space="preserve"> </w:t>
      </w:r>
      <w:bookmarkEnd w:id="164"/>
      <w:bookmarkEnd w:id="165"/>
    </w:p>
    <w:p w:rsidR="00B46CB9" w:rsidRPr="003C5D6B" w:rsidRDefault="00B46CB9" w:rsidP="00B46CB9">
      <w:pPr>
        <w:pStyle w:val="Normalaftertitle"/>
        <w:rPr>
          <w:lang w:val="es-ES"/>
        </w:rPr>
      </w:pPr>
    </w:p>
    <w:p w:rsidR="005D3DF4" w:rsidRPr="003C5D6B" w:rsidRDefault="005D3DF4" w:rsidP="00B46CB9">
      <w:pPr>
        <w:pStyle w:val="FigureTitle"/>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0"/>
        <w:gridCol w:w="3336"/>
      </w:tblGrid>
      <w:tr w:rsidR="0054323D" w:rsidRPr="003C5D6B" w:rsidTr="0054323D">
        <w:trPr>
          <w:trHeight w:val="510"/>
          <w:jc w:val="center"/>
        </w:trPr>
        <w:tc>
          <w:tcPr>
            <w:tcW w:w="6240" w:type="dxa"/>
            <w:vAlign w:val="center"/>
          </w:tcPr>
          <w:p w:rsidR="0054323D" w:rsidRPr="003C5D6B" w:rsidRDefault="0054323D" w:rsidP="00AB7CE3">
            <w:pPr>
              <w:pStyle w:val="Tablehead"/>
              <w:rPr>
                <w:sz w:val="24"/>
                <w:szCs w:val="24"/>
                <w:lang w:val="es-ES"/>
              </w:rPr>
            </w:pPr>
            <w:r w:rsidRPr="003C5D6B">
              <w:rPr>
                <w:sz w:val="24"/>
                <w:szCs w:val="24"/>
                <w:lang w:val="es-ES"/>
              </w:rPr>
              <w:t>Banda de frecuencias</w:t>
            </w:r>
          </w:p>
        </w:tc>
        <w:tc>
          <w:tcPr>
            <w:tcW w:w="3336" w:type="dxa"/>
            <w:vAlign w:val="center"/>
          </w:tcPr>
          <w:p w:rsidR="0054323D" w:rsidRPr="003C5D6B" w:rsidRDefault="0054323D" w:rsidP="000D4D81">
            <w:pPr>
              <w:pStyle w:val="Tablehead"/>
              <w:rPr>
                <w:sz w:val="24"/>
                <w:szCs w:val="24"/>
                <w:lang w:val="es-ES"/>
              </w:rPr>
            </w:pPr>
            <w:r w:rsidRPr="003C5D6B">
              <w:rPr>
                <w:sz w:val="24"/>
                <w:szCs w:val="24"/>
                <w:lang w:val="es-ES"/>
              </w:rPr>
              <w:t xml:space="preserve">Valor del coeficiente </w:t>
            </w:r>
            <w:r w:rsidR="000D4D81" w:rsidRPr="003C5D6B">
              <w:rPr>
                <w:sz w:val="24"/>
                <w:szCs w:val="24"/>
                <w:lang w:val="es-ES"/>
              </w:rPr>
              <w:t>“</w:t>
            </w:r>
            <w:r w:rsidRPr="003C5D6B">
              <w:rPr>
                <w:sz w:val="24"/>
                <w:szCs w:val="24"/>
                <w:lang w:val="es-ES"/>
              </w:rPr>
              <w:t>a</w:t>
            </w:r>
            <w:r w:rsidR="000D4D81" w:rsidRPr="003C5D6B">
              <w:rPr>
                <w:sz w:val="24"/>
                <w:szCs w:val="24"/>
                <w:lang w:val="es-ES"/>
              </w:rPr>
              <w:t>”</w:t>
            </w:r>
          </w:p>
        </w:tc>
      </w:tr>
      <w:tr w:rsidR="005E5EF0" w:rsidRPr="003C5D6B" w:rsidTr="005E5EF0">
        <w:trPr>
          <w:trHeight w:val="510"/>
          <w:jc w:val="center"/>
        </w:trPr>
        <w:tc>
          <w:tcPr>
            <w:tcW w:w="6240" w:type="dxa"/>
            <w:vAlign w:val="center"/>
          </w:tcPr>
          <w:p w:rsidR="005E5EF0" w:rsidRPr="003C5D6B" w:rsidRDefault="005E5EF0" w:rsidP="00AB7CE3">
            <w:pPr>
              <w:pStyle w:val="Tabletext"/>
              <w:rPr>
                <w:sz w:val="24"/>
                <w:szCs w:val="24"/>
                <w:lang w:val="es-ES"/>
              </w:rPr>
            </w:pPr>
            <w:r w:rsidRPr="003C5D6B">
              <w:rPr>
                <w:sz w:val="24"/>
                <w:szCs w:val="24"/>
                <w:lang w:val="es-ES"/>
              </w:rPr>
              <w:t xml:space="preserve">Frecuencias del servicio fijo inferiores a 20 GHz </w:t>
            </w:r>
          </w:p>
        </w:tc>
        <w:tc>
          <w:tcPr>
            <w:tcW w:w="3336" w:type="dxa"/>
            <w:vAlign w:val="center"/>
          </w:tcPr>
          <w:p w:rsidR="005E5EF0" w:rsidRPr="003C5D6B" w:rsidRDefault="005E5EF0" w:rsidP="000B61AC">
            <w:pPr>
              <w:pStyle w:val="TableText0"/>
              <w:jc w:val="center"/>
              <w:rPr>
                <w:lang w:val="es-ES"/>
              </w:rPr>
            </w:pPr>
            <w:r w:rsidRPr="003C5D6B">
              <w:rPr>
                <w:lang w:val="es-ES"/>
              </w:rPr>
              <w:t>400</w:t>
            </w:r>
          </w:p>
        </w:tc>
      </w:tr>
      <w:tr w:rsidR="005E5EF0" w:rsidRPr="003C5D6B" w:rsidTr="005E5EF0">
        <w:trPr>
          <w:trHeight w:val="510"/>
          <w:jc w:val="center"/>
        </w:trPr>
        <w:tc>
          <w:tcPr>
            <w:tcW w:w="6240" w:type="dxa"/>
            <w:vAlign w:val="center"/>
          </w:tcPr>
          <w:p w:rsidR="005E5EF0" w:rsidRPr="003C5D6B" w:rsidRDefault="005E5EF0" w:rsidP="00AB7CE3">
            <w:pPr>
              <w:pStyle w:val="Tabletext"/>
              <w:rPr>
                <w:sz w:val="24"/>
                <w:szCs w:val="24"/>
                <w:lang w:val="es-ES"/>
              </w:rPr>
            </w:pPr>
            <w:r w:rsidRPr="003C5D6B">
              <w:rPr>
                <w:sz w:val="24"/>
                <w:szCs w:val="24"/>
                <w:lang w:val="es-ES"/>
              </w:rPr>
              <w:t xml:space="preserve">Frecuencias del servicio fijo superiores o iguales a 20 GHz </w:t>
            </w:r>
          </w:p>
        </w:tc>
        <w:tc>
          <w:tcPr>
            <w:tcW w:w="3336" w:type="dxa"/>
            <w:vAlign w:val="center"/>
          </w:tcPr>
          <w:p w:rsidR="005E5EF0" w:rsidRPr="003C5D6B" w:rsidRDefault="005E5EF0" w:rsidP="000B61AC">
            <w:pPr>
              <w:pStyle w:val="TableText0"/>
              <w:jc w:val="center"/>
              <w:rPr>
                <w:lang w:val="es-ES"/>
              </w:rPr>
            </w:pPr>
            <w:r w:rsidRPr="003C5D6B">
              <w:rPr>
                <w:lang w:val="es-ES"/>
              </w:rPr>
              <w:t>1 000</w:t>
            </w:r>
          </w:p>
        </w:tc>
      </w:tr>
      <w:tr w:rsidR="005E5EF0" w:rsidRPr="003C5D6B" w:rsidTr="005E5EF0">
        <w:trPr>
          <w:trHeight w:val="510"/>
          <w:jc w:val="center"/>
        </w:trPr>
        <w:tc>
          <w:tcPr>
            <w:tcW w:w="6240" w:type="dxa"/>
            <w:vAlign w:val="center"/>
          </w:tcPr>
          <w:p w:rsidR="005E5EF0" w:rsidRPr="003C5D6B" w:rsidRDefault="005E5EF0" w:rsidP="00AB7CE3">
            <w:pPr>
              <w:pStyle w:val="Tabletext"/>
              <w:rPr>
                <w:sz w:val="24"/>
                <w:szCs w:val="24"/>
                <w:lang w:val="es-ES"/>
              </w:rPr>
            </w:pPr>
            <w:r w:rsidRPr="003C5D6B">
              <w:rPr>
                <w:sz w:val="24"/>
                <w:szCs w:val="24"/>
                <w:lang w:val="es-ES"/>
              </w:rPr>
              <w:t>Frecuencias del servicio móvil por satélite</w:t>
            </w:r>
          </w:p>
        </w:tc>
        <w:tc>
          <w:tcPr>
            <w:tcW w:w="3336" w:type="dxa"/>
            <w:vAlign w:val="center"/>
          </w:tcPr>
          <w:p w:rsidR="005E5EF0" w:rsidRPr="003C5D6B" w:rsidRDefault="005E5EF0" w:rsidP="000B61AC">
            <w:pPr>
              <w:pStyle w:val="TableText0"/>
              <w:jc w:val="center"/>
              <w:rPr>
                <w:lang w:val="es-ES"/>
              </w:rPr>
            </w:pPr>
            <w:r w:rsidRPr="003C5D6B">
              <w:rPr>
                <w:lang w:val="es-ES"/>
              </w:rPr>
              <w:t>30</w:t>
            </w:r>
          </w:p>
        </w:tc>
      </w:tr>
      <w:tr w:rsidR="005E5EF0" w:rsidRPr="003C5D6B" w:rsidTr="005E5EF0">
        <w:trPr>
          <w:trHeight w:val="510"/>
          <w:jc w:val="center"/>
        </w:trPr>
        <w:tc>
          <w:tcPr>
            <w:tcW w:w="6240" w:type="dxa"/>
            <w:vAlign w:val="center"/>
          </w:tcPr>
          <w:p w:rsidR="005E5EF0" w:rsidRPr="003C5D6B" w:rsidRDefault="005E5EF0" w:rsidP="00AB7CE3">
            <w:pPr>
              <w:pStyle w:val="Tabletext"/>
              <w:rPr>
                <w:sz w:val="24"/>
                <w:szCs w:val="24"/>
                <w:lang w:val="es-ES"/>
              </w:rPr>
            </w:pPr>
            <w:r w:rsidRPr="003C5D6B">
              <w:rPr>
                <w:sz w:val="24"/>
                <w:szCs w:val="24"/>
                <w:lang w:val="es-ES"/>
              </w:rPr>
              <w:t xml:space="preserve">Frecuencias del servicio fijo por satélite </w:t>
            </w:r>
          </w:p>
        </w:tc>
        <w:tc>
          <w:tcPr>
            <w:tcW w:w="3336" w:type="dxa"/>
            <w:vAlign w:val="center"/>
          </w:tcPr>
          <w:p w:rsidR="005E5EF0" w:rsidRPr="003C5D6B" w:rsidRDefault="005E5EF0" w:rsidP="000B61AC">
            <w:pPr>
              <w:pStyle w:val="TableText0"/>
              <w:jc w:val="center"/>
              <w:rPr>
                <w:lang w:val="es-ES"/>
              </w:rPr>
            </w:pPr>
            <w:r w:rsidRPr="003C5D6B">
              <w:rPr>
                <w:lang w:val="es-ES"/>
              </w:rPr>
              <w:t>2,5</w:t>
            </w:r>
          </w:p>
        </w:tc>
      </w:tr>
    </w:tbl>
    <w:p w:rsidR="005D3DF4" w:rsidRPr="003C5D6B" w:rsidRDefault="005D3DF4" w:rsidP="00B46CB9">
      <w:pPr>
        <w:pStyle w:val="FigureSource"/>
        <w:rPr>
          <w:lang w:val="es-ES"/>
        </w:rPr>
      </w:pPr>
    </w:p>
    <w:p w:rsidR="00996B72" w:rsidRPr="003C5D6B" w:rsidRDefault="00996B72" w:rsidP="00996B72">
      <w:pPr>
        <w:rPr>
          <w:lang w:val="es-ES"/>
        </w:rPr>
      </w:pPr>
    </w:p>
    <w:p w:rsidR="00724CAD" w:rsidRPr="003C5D6B" w:rsidRDefault="00724CAD">
      <w:pPr>
        <w:tabs>
          <w:tab w:val="clear" w:pos="794"/>
          <w:tab w:val="clear" w:pos="1191"/>
          <w:tab w:val="clear" w:pos="1588"/>
          <w:tab w:val="clear" w:pos="1985"/>
        </w:tabs>
        <w:overflowPunct/>
        <w:autoSpaceDE/>
        <w:autoSpaceDN/>
        <w:adjustRightInd/>
        <w:spacing w:before="0"/>
        <w:jc w:val="left"/>
        <w:textAlignment w:val="auto"/>
        <w:rPr>
          <w:b/>
          <w:sz w:val="24"/>
          <w:szCs w:val="24"/>
          <w:lang w:val="es-ES"/>
        </w:rPr>
      </w:pPr>
      <w:r w:rsidRPr="003C5D6B">
        <w:rPr>
          <w:b/>
          <w:sz w:val="24"/>
          <w:szCs w:val="24"/>
          <w:lang w:val="es-ES"/>
        </w:rPr>
        <w:br w:type="page"/>
      </w:r>
    </w:p>
    <w:p w:rsidR="00724CAD" w:rsidRPr="003C5D6B" w:rsidRDefault="00FF47A9" w:rsidP="0011377C">
      <w:pPr>
        <w:pStyle w:val="AnnexNotitle"/>
        <w:rPr>
          <w:lang w:val="es-ES"/>
        </w:rPr>
      </w:pPr>
      <w:bookmarkStart w:id="166" w:name="_Toc284499172"/>
      <w:bookmarkStart w:id="167" w:name="_Toc287523326"/>
      <w:bookmarkStart w:id="168" w:name="_Toc278266929"/>
      <w:bookmarkStart w:id="169" w:name="_Toc284414133"/>
      <w:r w:rsidRPr="003C5D6B">
        <w:rPr>
          <w:lang w:val="es-ES"/>
        </w:rPr>
        <w:lastRenderedPageBreak/>
        <w:t>An</w:t>
      </w:r>
      <w:r w:rsidR="00B149EC" w:rsidRPr="003C5D6B">
        <w:rPr>
          <w:lang w:val="es-ES"/>
        </w:rPr>
        <w:t>ex</w:t>
      </w:r>
      <w:r w:rsidRPr="003C5D6B">
        <w:rPr>
          <w:lang w:val="es-ES"/>
        </w:rPr>
        <w:t>o</w:t>
      </w:r>
      <w:r w:rsidR="00B149EC" w:rsidRPr="003C5D6B">
        <w:rPr>
          <w:lang w:val="es-ES"/>
        </w:rPr>
        <w:t> 3</w:t>
      </w:r>
      <w:r w:rsidR="00B149EC" w:rsidRPr="003C5D6B">
        <w:rPr>
          <w:lang w:val="es-ES"/>
        </w:rPr>
        <w:br/>
      </w:r>
      <w:r w:rsidR="00B149EC" w:rsidRPr="003C5D6B">
        <w:rPr>
          <w:lang w:val="es-ES"/>
        </w:rPr>
        <w:br/>
      </w:r>
      <w:r w:rsidRPr="003C5D6B">
        <w:rPr>
          <w:szCs w:val="24"/>
          <w:lang w:val="es-ES"/>
        </w:rPr>
        <w:t>Ejemplo de cuadr</w:t>
      </w:r>
      <w:r w:rsidR="0011377C" w:rsidRPr="003C5D6B">
        <w:rPr>
          <w:szCs w:val="24"/>
          <w:lang w:val="es-ES"/>
        </w:rPr>
        <w:t>o con el valor del coeficiente “</w:t>
      </w:r>
      <w:r w:rsidRPr="003C5D6B">
        <w:rPr>
          <w:szCs w:val="24"/>
          <w:lang w:val="es-ES"/>
        </w:rPr>
        <w:t>c</w:t>
      </w:r>
      <w:r w:rsidR="0011377C" w:rsidRPr="003C5D6B">
        <w:rPr>
          <w:szCs w:val="24"/>
          <w:lang w:val="es-ES"/>
        </w:rPr>
        <w:t>”</w:t>
      </w:r>
      <w:r w:rsidRPr="003C5D6B">
        <w:rPr>
          <w:szCs w:val="24"/>
          <w:lang w:val="es-ES"/>
        </w:rPr>
        <w:t xml:space="preserve"> en función </w:t>
      </w:r>
      <w:r w:rsidRPr="003C5D6B">
        <w:rPr>
          <w:szCs w:val="24"/>
          <w:lang w:val="es-ES"/>
        </w:rPr>
        <w:br/>
        <w:t>de la zona de la superficie de atribución</w:t>
      </w:r>
      <w:bookmarkEnd w:id="166"/>
      <w:bookmarkEnd w:id="167"/>
      <w:r w:rsidRPr="003C5D6B">
        <w:rPr>
          <w:lang w:val="es-ES"/>
        </w:rPr>
        <w:t xml:space="preserve"> </w:t>
      </w:r>
      <w:bookmarkEnd w:id="168"/>
      <w:bookmarkEnd w:id="169"/>
    </w:p>
    <w:p w:rsidR="009301CE" w:rsidRPr="003C5D6B" w:rsidRDefault="009301CE" w:rsidP="009301CE">
      <w:pPr>
        <w:pStyle w:val="Normalaftertitle"/>
        <w:rPr>
          <w:lang w:val="es-ES"/>
        </w:rPr>
      </w:pPr>
    </w:p>
    <w:p w:rsidR="00724CAD" w:rsidRPr="003C5D6B" w:rsidRDefault="00724CAD" w:rsidP="009301CE">
      <w:pPr>
        <w:pStyle w:val="FigureTitle"/>
        <w:rPr>
          <w:lang w:val="es-ES"/>
        </w:rPr>
      </w:pPr>
    </w:p>
    <w:tbl>
      <w:tblPr>
        <w:tblW w:w="0" w:type="auto"/>
        <w:tblInd w:w="588" w:type="dxa"/>
        <w:tblLayout w:type="fixed"/>
        <w:tblLook w:val="0000"/>
      </w:tblPr>
      <w:tblGrid>
        <w:gridCol w:w="6269"/>
        <w:gridCol w:w="2366"/>
      </w:tblGrid>
      <w:tr w:rsidR="00E94542" w:rsidRPr="003C5D6B" w:rsidTr="00AB7CE3">
        <w:tc>
          <w:tcPr>
            <w:tcW w:w="6269" w:type="dxa"/>
            <w:tcBorders>
              <w:top w:val="single" w:sz="4" w:space="0" w:color="000000"/>
              <w:left w:val="single" w:sz="4" w:space="0" w:color="000000"/>
              <w:bottom w:val="single" w:sz="4" w:space="0" w:color="000000"/>
            </w:tcBorders>
            <w:vAlign w:val="center"/>
          </w:tcPr>
          <w:p w:rsidR="00E94542" w:rsidRPr="003C5D6B" w:rsidRDefault="00E94542" w:rsidP="00AB7CE3">
            <w:pPr>
              <w:pStyle w:val="Tablehead"/>
              <w:rPr>
                <w:sz w:val="24"/>
                <w:szCs w:val="24"/>
                <w:lang w:val="es-ES"/>
              </w:rPr>
            </w:pPr>
            <w:r w:rsidRPr="003C5D6B">
              <w:rPr>
                <w:sz w:val="24"/>
                <w:szCs w:val="24"/>
                <w:lang w:val="es-ES"/>
              </w:rPr>
              <w:t xml:space="preserve">Zona de la superficie de atribución o suma </w:t>
            </w:r>
            <w:r w:rsidRPr="003C5D6B">
              <w:rPr>
                <w:sz w:val="24"/>
                <w:szCs w:val="24"/>
                <w:lang w:val="es-ES"/>
              </w:rPr>
              <w:br/>
              <w:t>de varias de esas zonas</w:t>
            </w:r>
          </w:p>
        </w:tc>
        <w:tc>
          <w:tcPr>
            <w:tcW w:w="2366" w:type="dxa"/>
            <w:tcBorders>
              <w:top w:val="single" w:sz="4" w:space="0" w:color="000000"/>
              <w:left w:val="single" w:sz="4" w:space="0" w:color="000000"/>
              <w:bottom w:val="single" w:sz="4" w:space="0" w:color="000000"/>
              <w:right w:val="single" w:sz="4" w:space="0" w:color="000000"/>
            </w:tcBorders>
            <w:vAlign w:val="center"/>
          </w:tcPr>
          <w:p w:rsidR="00E94542" w:rsidRPr="003C5D6B" w:rsidRDefault="00E94542" w:rsidP="0011377C">
            <w:pPr>
              <w:pStyle w:val="Tablehead"/>
              <w:rPr>
                <w:sz w:val="24"/>
                <w:szCs w:val="24"/>
                <w:lang w:val="es-ES"/>
              </w:rPr>
            </w:pPr>
            <w:r w:rsidRPr="003C5D6B">
              <w:rPr>
                <w:sz w:val="24"/>
                <w:szCs w:val="24"/>
                <w:lang w:val="es-ES"/>
              </w:rPr>
              <w:t xml:space="preserve">Valor del coeficiente </w:t>
            </w:r>
            <w:r w:rsidR="0011377C" w:rsidRPr="003C5D6B">
              <w:rPr>
                <w:sz w:val="24"/>
                <w:szCs w:val="24"/>
                <w:lang w:val="es-ES"/>
              </w:rPr>
              <w:t>“</w:t>
            </w:r>
            <w:r w:rsidRPr="003C5D6B">
              <w:rPr>
                <w:sz w:val="24"/>
                <w:szCs w:val="24"/>
                <w:lang w:val="es-ES"/>
              </w:rPr>
              <w:t>c</w:t>
            </w:r>
            <w:r w:rsidR="0011377C" w:rsidRPr="003C5D6B">
              <w:rPr>
                <w:sz w:val="24"/>
                <w:szCs w:val="24"/>
                <w:lang w:val="es-ES"/>
              </w:rPr>
              <w:t>”</w:t>
            </w:r>
          </w:p>
        </w:tc>
      </w:tr>
      <w:tr w:rsidR="008246FA" w:rsidRPr="003C5D6B" w:rsidTr="008246FA">
        <w:trPr>
          <w:trHeight w:val="510"/>
        </w:trPr>
        <w:tc>
          <w:tcPr>
            <w:tcW w:w="6269" w:type="dxa"/>
            <w:tcBorders>
              <w:top w:val="single" w:sz="4" w:space="0" w:color="000000"/>
              <w:left w:val="single" w:sz="4" w:space="0" w:color="000000"/>
              <w:bottom w:val="single" w:sz="4" w:space="0" w:color="000000"/>
            </w:tcBorders>
            <w:vAlign w:val="center"/>
          </w:tcPr>
          <w:p w:rsidR="008246FA" w:rsidRPr="003C5D6B" w:rsidRDefault="008246FA" w:rsidP="00AB7CE3">
            <w:pPr>
              <w:pStyle w:val="Tabletext"/>
              <w:rPr>
                <w:sz w:val="24"/>
                <w:szCs w:val="24"/>
                <w:vertAlign w:val="superscript"/>
                <w:lang w:val="es-ES"/>
              </w:rPr>
            </w:pPr>
            <w:r w:rsidRPr="003C5D6B">
              <w:rPr>
                <w:sz w:val="24"/>
                <w:szCs w:val="24"/>
                <w:lang w:val="es-ES"/>
              </w:rPr>
              <w:t>Superior a 300 000 km</w:t>
            </w:r>
            <w:r w:rsidRPr="003C5D6B">
              <w:rPr>
                <w:sz w:val="24"/>
                <w:szCs w:val="24"/>
                <w:vertAlign w:val="superscript"/>
                <w:lang w:val="es-ES"/>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8246FA" w:rsidRPr="003C5D6B" w:rsidRDefault="008246FA" w:rsidP="00E671B3">
            <w:pPr>
              <w:pStyle w:val="TableText0"/>
              <w:jc w:val="center"/>
              <w:rPr>
                <w:lang w:val="es-ES"/>
              </w:rPr>
            </w:pPr>
            <w:r w:rsidRPr="003C5D6B">
              <w:rPr>
                <w:lang w:val="es-ES"/>
              </w:rPr>
              <w:t>1</w:t>
            </w:r>
          </w:p>
        </w:tc>
      </w:tr>
      <w:tr w:rsidR="008246FA" w:rsidRPr="003C5D6B" w:rsidTr="008246FA">
        <w:trPr>
          <w:trHeight w:val="510"/>
        </w:trPr>
        <w:tc>
          <w:tcPr>
            <w:tcW w:w="6269" w:type="dxa"/>
            <w:tcBorders>
              <w:top w:val="single" w:sz="4" w:space="0" w:color="000000"/>
              <w:left w:val="single" w:sz="4" w:space="0" w:color="000000"/>
              <w:bottom w:val="single" w:sz="4" w:space="0" w:color="000000"/>
            </w:tcBorders>
            <w:vAlign w:val="center"/>
          </w:tcPr>
          <w:p w:rsidR="008246FA" w:rsidRPr="003C5D6B" w:rsidRDefault="008246FA" w:rsidP="00AB7CE3">
            <w:pPr>
              <w:pStyle w:val="Tabletext"/>
              <w:rPr>
                <w:sz w:val="24"/>
                <w:szCs w:val="24"/>
                <w:vertAlign w:val="superscript"/>
                <w:lang w:val="es-ES"/>
              </w:rPr>
            </w:pPr>
            <w:r w:rsidRPr="003C5D6B">
              <w:rPr>
                <w:sz w:val="24"/>
                <w:szCs w:val="24"/>
                <w:lang w:val="es-ES"/>
              </w:rPr>
              <w:t>Superior a 125 000 km</w:t>
            </w:r>
            <w:r w:rsidRPr="003C5D6B">
              <w:rPr>
                <w:sz w:val="24"/>
                <w:szCs w:val="24"/>
                <w:vertAlign w:val="superscript"/>
                <w:lang w:val="es-ES"/>
              </w:rPr>
              <w:t>2</w:t>
            </w:r>
            <w:r w:rsidRPr="003C5D6B">
              <w:rPr>
                <w:sz w:val="24"/>
                <w:szCs w:val="24"/>
                <w:lang w:val="es-ES"/>
              </w:rPr>
              <w:t xml:space="preserve"> e inferior o igual a 300 000 km</w:t>
            </w:r>
            <w:r w:rsidRPr="003C5D6B">
              <w:rPr>
                <w:sz w:val="24"/>
                <w:szCs w:val="24"/>
                <w:vertAlign w:val="superscript"/>
                <w:lang w:val="es-ES"/>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8246FA" w:rsidRPr="003C5D6B" w:rsidRDefault="008246FA" w:rsidP="00E671B3">
            <w:pPr>
              <w:pStyle w:val="TableText0"/>
              <w:jc w:val="center"/>
              <w:rPr>
                <w:lang w:val="es-ES"/>
              </w:rPr>
            </w:pPr>
            <w:r w:rsidRPr="003C5D6B">
              <w:rPr>
                <w:lang w:val="es-ES"/>
              </w:rPr>
              <w:t>0,75</w:t>
            </w:r>
          </w:p>
        </w:tc>
      </w:tr>
      <w:tr w:rsidR="008246FA" w:rsidRPr="003C5D6B" w:rsidTr="008246FA">
        <w:trPr>
          <w:trHeight w:val="510"/>
        </w:trPr>
        <w:tc>
          <w:tcPr>
            <w:tcW w:w="6269" w:type="dxa"/>
            <w:tcBorders>
              <w:top w:val="single" w:sz="4" w:space="0" w:color="000000"/>
              <w:left w:val="single" w:sz="4" w:space="0" w:color="000000"/>
              <w:bottom w:val="single" w:sz="4" w:space="0" w:color="000000"/>
            </w:tcBorders>
            <w:vAlign w:val="center"/>
          </w:tcPr>
          <w:p w:rsidR="008246FA" w:rsidRPr="003C5D6B" w:rsidRDefault="008246FA" w:rsidP="00AB7CE3">
            <w:pPr>
              <w:pStyle w:val="Tabletext"/>
              <w:rPr>
                <w:sz w:val="24"/>
                <w:szCs w:val="24"/>
                <w:vertAlign w:val="superscript"/>
                <w:lang w:val="es-ES"/>
              </w:rPr>
            </w:pPr>
            <w:r w:rsidRPr="003C5D6B">
              <w:rPr>
                <w:sz w:val="24"/>
                <w:szCs w:val="24"/>
                <w:lang w:val="es-ES"/>
              </w:rPr>
              <w:t>Superior a 30 000 km</w:t>
            </w:r>
            <w:r w:rsidRPr="003C5D6B">
              <w:rPr>
                <w:sz w:val="24"/>
                <w:szCs w:val="24"/>
                <w:vertAlign w:val="superscript"/>
                <w:lang w:val="es-ES"/>
              </w:rPr>
              <w:t>2</w:t>
            </w:r>
            <w:r w:rsidRPr="003C5D6B">
              <w:rPr>
                <w:sz w:val="24"/>
                <w:szCs w:val="24"/>
                <w:lang w:val="es-ES"/>
              </w:rPr>
              <w:t xml:space="preserve"> e inferior o igual a 125 000 km</w:t>
            </w:r>
            <w:r w:rsidRPr="003C5D6B">
              <w:rPr>
                <w:sz w:val="24"/>
                <w:szCs w:val="24"/>
                <w:vertAlign w:val="superscript"/>
                <w:lang w:val="es-ES"/>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8246FA" w:rsidRPr="003C5D6B" w:rsidRDefault="008246FA" w:rsidP="000B5B9C">
            <w:pPr>
              <w:pStyle w:val="TableText0"/>
              <w:jc w:val="center"/>
              <w:rPr>
                <w:lang w:val="es-ES"/>
              </w:rPr>
            </w:pPr>
            <w:r w:rsidRPr="003C5D6B">
              <w:rPr>
                <w:lang w:val="es-ES"/>
              </w:rPr>
              <w:t>0,5</w:t>
            </w:r>
          </w:p>
        </w:tc>
      </w:tr>
      <w:tr w:rsidR="008246FA" w:rsidRPr="003C5D6B" w:rsidTr="008246FA">
        <w:trPr>
          <w:trHeight w:val="510"/>
        </w:trPr>
        <w:tc>
          <w:tcPr>
            <w:tcW w:w="6269" w:type="dxa"/>
            <w:tcBorders>
              <w:top w:val="single" w:sz="4" w:space="0" w:color="000000"/>
              <w:left w:val="single" w:sz="4" w:space="0" w:color="000000"/>
              <w:bottom w:val="single" w:sz="4" w:space="0" w:color="000000"/>
            </w:tcBorders>
            <w:vAlign w:val="center"/>
          </w:tcPr>
          <w:p w:rsidR="008246FA" w:rsidRPr="003C5D6B" w:rsidRDefault="008246FA" w:rsidP="00AB7CE3">
            <w:pPr>
              <w:pStyle w:val="Tabletext"/>
              <w:rPr>
                <w:sz w:val="24"/>
                <w:szCs w:val="24"/>
                <w:vertAlign w:val="superscript"/>
                <w:lang w:val="es-ES"/>
              </w:rPr>
            </w:pPr>
            <w:r w:rsidRPr="003C5D6B">
              <w:rPr>
                <w:sz w:val="24"/>
                <w:szCs w:val="24"/>
                <w:lang w:val="es-ES"/>
              </w:rPr>
              <w:t>Superior a 8 000 km</w:t>
            </w:r>
            <w:r w:rsidRPr="003C5D6B">
              <w:rPr>
                <w:sz w:val="24"/>
                <w:szCs w:val="24"/>
                <w:vertAlign w:val="superscript"/>
                <w:lang w:val="es-ES"/>
              </w:rPr>
              <w:t>2</w:t>
            </w:r>
            <w:r w:rsidRPr="003C5D6B">
              <w:rPr>
                <w:sz w:val="24"/>
                <w:szCs w:val="24"/>
                <w:lang w:val="es-ES"/>
              </w:rPr>
              <w:t xml:space="preserve"> e inferior o igual a 30 000 km</w:t>
            </w:r>
            <w:r w:rsidRPr="003C5D6B">
              <w:rPr>
                <w:sz w:val="24"/>
                <w:szCs w:val="24"/>
                <w:vertAlign w:val="superscript"/>
                <w:lang w:val="es-ES"/>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8246FA" w:rsidRPr="003C5D6B" w:rsidRDefault="008246FA" w:rsidP="00E671B3">
            <w:pPr>
              <w:pStyle w:val="TableText0"/>
              <w:jc w:val="center"/>
              <w:rPr>
                <w:lang w:val="es-ES"/>
              </w:rPr>
            </w:pPr>
            <w:r w:rsidRPr="003C5D6B">
              <w:rPr>
                <w:lang w:val="es-ES"/>
              </w:rPr>
              <w:t>0,25</w:t>
            </w:r>
          </w:p>
        </w:tc>
      </w:tr>
      <w:tr w:rsidR="008246FA" w:rsidRPr="003C5D6B" w:rsidTr="008246FA">
        <w:trPr>
          <w:trHeight w:val="510"/>
        </w:trPr>
        <w:tc>
          <w:tcPr>
            <w:tcW w:w="6269" w:type="dxa"/>
            <w:tcBorders>
              <w:top w:val="single" w:sz="4" w:space="0" w:color="000000"/>
              <w:left w:val="single" w:sz="4" w:space="0" w:color="000000"/>
              <w:bottom w:val="single" w:sz="4" w:space="0" w:color="000000"/>
            </w:tcBorders>
            <w:vAlign w:val="center"/>
          </w:tcPr>
          <w:p w:rsidR="008246FA" w:rsidRPr="003C5D6B" w:rsidRDefault="008246FA" w:rsidP="00AB7CE3">
            <w:pPr>
              <w:pStyle w:val="Tabletext"/>
              <w:rPr>
                <w:sz w:val="24"/>
                <w:szCs w:val="24"/>
                <w:vertAlign w:val="superscript"/>
                <w:lang w:val="es-ES"/>
              </w:rPr>
            </w:pPr>
            <w:r w:rsidRPr="003C5D6B">
              <w:rPr>
                <w:sz w:val="24"/>
                <w:szCs w:val="24"/>
                <w:lang w:val="es-ES"/>
              </w:rPr>
              <w:t>Superior a 800 km</w:t>
            </w:r>
            <w:r w:rsidRPr="003C5D6B">
              <w:rPr>
                <w:sz w:val="24"/>
                <w:szCs w:val="24"/>
                <w:vertAlign w:val="superscript"/>
                <w:lang w:val="es-ES"/>
              </w:rPr>
              <w:t>2</w:t>
            </w:r>
            <w:r w:rsidRPr="003C5D6B">
              <w:rPr>
                <w:sz w:val="24"/>
                <w:szCs w:val="24"/>
                <w:lang w:val="es-ES"/>
              </w:rPr>
              <w:t xml:space="preserve"> e inferior o igual a 8 000 km</w:t>
            </w:r>
            <w:r w:rsidRPr="003C5D6B">
              <w:rPr>
                <w:sz w:val="24"/>
                <w:szCs w:val="24"/>
                <w:vertAlign w:val="superscript"/>
                <w:lang w:val="es-ES"/>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8246FA" w:rsidRPr="003C5D6B" w:rsidRDefault="008246FA" w:rsidP="000B5B9C">
            <w:pPr>
              <w:pStyle w:val="TableText0"/>
              <w:jc w:val="center"/>
              <w:rPr>
                <w:lang w:val="es-ES"/>
              </w:rPr>
            </w:pPr>
            <w:r w:rsidRPr="003C5D6B">
              <w:rPr>
                <w:lang w:val="es-ES"/>
              </w:rPr>
              <w:t>0,1</w:t>
            </w:r>
          </w:p>
        </w:tc>
      </w:tr>
      <w:tr w:rsidR="008246FA" w:rsidRPr="003C5D6B" w:rsidTr="008246FA">
        <w:trPr>
          <w:trHeight w:val="510"/>
        </w:trPr>
        <w:tc>
          <w:tcPr>
            <w:tcW w:w="6269" w:type="dxa"/>
            <w:tcBorders>
              <w:top w:val="single" w:sz="4" w:space="0" w:color="000000"/>
              <w:left w:val="single" w:sz="4" w:space="0" w:color="000000"/>
              <w:bottom w:val="single" w:sz="4" w:space="0" w:color="000000"/>
            </w:tcBorders>
            <w:vAlign w:val="center"/>
          </w:tcPr>
          <w:p w:rsidR="008246FA" w:rsidRPr="003C5D6B" w:rsidRDefault="008246FA" w:rsidP="00AB7CE3">
            <w:pPr>
              <w:pStyle w:val="Tabletext"/>
              <w:rPr>
                <w:sz w:val="24"/>
                <w:szCs w:val="24"/>
                <w:vertAlign w:val="superscript"/>
                <w:lang w:val="es-ES"/>
              </w:rPr>
            </w:pPr>
            <w:r w:rsidRPr="003C5D6B">
              <w:rPr>
                <w:sz w:val="24"/>
                <w:szCs w:val="24"/>
                <w:lang w:val="es-ES"/>
              </w:rPr>
              <w:t>Superior a 80 km</w:t>
            </w:r>
            <w:r w:rsidRPr="003C5D6B">
              <w:rPr>
                <w:sz w:val="24"/>
                <w:szCs w:val="24"/>
                <w:vertAlign w:val="superscript"/>
                <w:lang w:val="es-ES"/>
              </w:rPr>
              <w:t>2</w:t>
            </w:r>
            <w:r w:rsidRPr="003C5D6B">
              <w:rPr>
                <w:sz w:val="24"/>
                <w:szCs w:val="24"/>
                <w:lang w:val="es-ES"/>
              </w:rPr>
              <w:t xml:space="preserve"> e inferior o igual a 800 km</w:t>
            </w:r>
            <w:r w:rsidRPr="003C5D6B">
              <w:rPr>
                <w:sz w:val="24"/>
                <w:szCs w:val="24"/>
                <w:vertAlign w:val="superscript"/>
                <w:lang w:val="es-ES"/>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8246FA" w:rsidRPr="003C5D6B" w:rsidRDefault="008246FA" w:rsidP="000B5B9C">
            <w:pPr>
              <w:pStyle w:val="TableText0"/>
              <w:jc w:val="center"/>
              <w:rPr>
                <w:lang w:val="es-ES"/>
              </w:rPr>
            </w:pPr>
            <w:r w:rsidRPr="003C5D6B">
              <w:rPr>
                <w:lang w:val="es-ES"/>
              </w:rPr>
              <w:t>0,03</w:t>
            </w:r>
          </w:p>
        </w:tc>
      </w:tr>
      <w:tr w:rsidR="008246FA" w:rsidRPr="003C5D6B" w:rsidTr="008246FA">
        <w:trPr>
          <w:trHeight w:val="510"/>
        </w:trPr>
        <w:tc>
          <w:tcPr>
            <w:tcW w:w="6269" w:type="dxa"/>
            <w:tcBorders>
              <w:top w:val="single" w:sz="4" w:space="0" w:color="000000"/>
              <w:left w:val="single" w:sz="4" w:space="0" w:color="000000"/>
              <w:bottom w:val="single" w:sz="4" w:space="0" w:color="000000"/>
            </w:tcBorders>
            <w:vAlign w:val="center"/>
          </w:tcPr>
          <w:p w:rsidR="008246FA" w:rsidRPr="003C5D6B" w:rsidRDefault="008246FA" w:rsidP="00AB7CE3">
            <w:pPr>
              <w:pStyle w:val="Tabletext"/>
              <w:rPr>
                <w:sz w:val="24"/>
                <w:szCs w:val="24"/>
                <w:vertAlign w:val="superscript"/>
                <w:lang w:val="es-ES"/>
              </w:rPr>
            </w:pPr>
            <w:r w:rsidRPr="003C5D6B">
              <w:rPr>
                <w:sz w:val="24"/>
                <w:szCs w:val="24"/>
                <w:lang w:val="es-ES"/>
              </w:rPr>
              <w:t>Superior a 20 km</w:t>
            </w:r>
            <w:r w:rsidRPr="003C5D6B">
              <w:rPr>
                <w:sz w:val="24"/>
                <w:szCs w:val="24"/>
                <w:vertAlign w:val="superscript"/>
                <w:lang w:val="es-ES"/>
              </w:rPr>
              <w:t>2</w:t>
            </w:r>
            <w:r w:rsidRPr="003C5D6B">
              <w:rPr>
                <w:sz w:val="24"/>
                <w:szCs w:val="24"/>
                <w:lang w:val="es-ES"/>
              </w:rPr>
              <w:t xml:space="preserve"> e inferior o igual a 80 km</w:t>
            </w:r>
            <w:r w:rsidRPr="003C5D6B">
              <w:rPr>
                <w:sz w:val="24"/>
                <w:szCs w:val="24"/>
                <w:vertAlign w:val="superscript"/>
                <w:lang w:val="es-ES"/>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8246FA" w:rsidRPr="003C5D6B" w:rsidRDefault="008246FA" w:rsidP="00E671B3">
            <w:pPr>
              <w:pStyle w:val="TableText0"/>
              <w:jc w:val="center"/>
              <w:rPr>
                <w:lang w:val="es-ES"/>
              </w:rPr>
            </w:pPr>
            <w:r w:rsidRPr="003C5D6B">
              <w:rPr>
                <w:lang w:val="es-ES"/>
              </w:rPr>
              <w:t>0,01</w:t>
            </w:r>
          </w:p>
        </w:tc>
      </w:tr>
      <w:tr w:rsidR="008246FA" w:rsidRPr="003C5D6B" w:rsidTr="008246FA">
        <w:trPr>
          <w:trHeight w:val="510"/>
        </w:trPr>
        <w:tc>
          <w:tcPr>
            <w:tcW w:w="6269" w:type="dxa"/>
            <w:tcBorders>
              <w:top w:val="single" w:sz="4" w:space="0" w:color="000000"/>
              <w:left w:val="single" w:sz="4" w:space="0" w:color="000000"/>
              <w:bottom w:val="single" w:sz="4" w:space="0" w:color="000000"/>
            </w:tcBorders>
            <w:vAlign w:val="center"/>
          </w:tcPr>
          <w:p w:rsidR="008246FA" w:rsidRPr="003C5D6B" w:rsidRDefault="008246FA" w:rsidP="00AB7CE3">
            <w:pPr>
              <w:pStyle w:val="Tabletext"/>
              <w:rPr>
                <w:sz w:val="24"/>
                <w:szCs w:val="24"/>
                <w:vertAlign w:val="superscript"/>
                <w:lang w:val="es-ES"/>
              </w:rPr>
            </w:pPr>
            <w:r w:rsidRPr="003C5D6B">
              <w:rPr>
                <w:sz w:val="24"/>
                <w:szCs w:val="24"/>
                <w:lang w:val="es-ES"/>
              </w:rPr>
              <w:t>Inferior o igual a 20 km</w:t>
            </w:r>
            <w:r w:rsidRPr="003C5D6B">
              <w:rPr>
                <w:sz w:val="24"/>
                <w:szCs w:val="24"/>
                <w:vertAlign w:val="superscript"/>
                <w:lang w:val="es-ES"/>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8246FA" w:rsidRPr="003C5D6B" w:rsidRDefault="008246FA" w:rsidP="00E671B3">
            <w:pPr>
              <w:pStyle w:val="TableText0"/>
              <w:jc w:val="center"/>
              <w:rPr>
                <w:lang w:val="es-ES"/>
              </w:rPr>
            </w:pPr>
            <w:r w:rsidRPr="003C5D6B">
              <w:rPr>
                <w:lang w:val="es-ES"/>
              </w:rPr>
              <w:t>0,005</w:t>
            </w:r>
          </w:p>
        </w:tc>
      </w:tr>
    </w:tbl>
    <w:p w:rsidR="00724CAD" w:rsidRPr="003C5D6B" w:rsidRDefault="00724CAD" w:rsidP="009301CE">
      <w:pPr>
        <w:pStyle w:val="FigureSource"/>
        <w:rPr>
          <w:lang w:val="es-ES"/>
        </w:rPr>
      </w:pPr>
    </w:p>
    <w:p w:rsidR="00B533E9" w:rsidRPr="003C5D6B" w:rsidRDefault="00B533E9" w:rsidP="00996B72">
      <w:pPr>
        <w:rPr>
          <w:lang w:val="es-ES"/>
        </w:rPr>
      </w:pPr>
    </w:p>
    <w:p w:rsidR="00BA7D6D" w:rsidRPr="003C5D6B" w:rsidRDefault="00BA7D6D">
      <w:pPr>
        <w:tabs>
          <w:tab w:val="clear" w:pos="794"/>
          <w:tab w:val="clear" w:pos="1191"/>
          <w:tab w:val="clear" w:pos="1588"/>
          <w:tab w:val="clear" w:pos="1985"/>
        </w:tabs>
        <w:overflowPunct/>
        <w:autoSpaceDE/>
        <w:autoSpaceDN/>
        <w:adjustRightInd/>
        <w:spacing w:before="0"/>
        <w:jc w:val="left"/>
        <w:textAlignment w:val="auto"/>
        <w:rPr>
          <w:b/>
          <w:sz w:val="24"/>
          <w:szCs w:val="24"/>
          <w:lang w:val="es-ES"/>
        </w:rPr>
      </w:pPr>
      <w:r w:rsidRPr="003C5D6B">
        <w:rPr>
          <w:b/>
          <w:sz w:val="24"/>
          <w:szCs w:val="24"/>
          <w:lang w:val="es-ES"/>
        </w:rPr>
        <w:br w:type="page"/>
      </w:r>
    </w:p>
    <w:p w:rsidR="00BA7D6D" w:rsidRPr="003C5D6B" w:rsidRDefault="00B36671" w:rsidP="00C36255">
      <w:pPr>
        <w:pStyle w:val="AnnexNotitle"/>
        <w:rPr>
          <w:lang w:val="es-ES"/>
        </w:rPr>
      </w:pPr>
      <w:bookmarkStart w:id="170" w:name="_Toc278266930"/>
      <w:bookmarkStart w:id="171" w:name="_Toc284414134"/>
      <w:bookmarkStart w:id="172" w:name="_Toc284499173"/>
      <w:bookmarkStart w:id="173" w:name="_Toc287523327"/>
      <w:r w:rsidRPr="003C5D6B">
        <w:rPr>
          <w:lang w:val="es-ES"/>
        </w:rPr>
        <w:lastRenderedPageBreak/>
        <w:t>Anex</w:t>
      </w:r>
      <w:r w:rsidR="00C36255" w:rsidRPr="003C5D6B">
        <w:rPr>
          <w:lang w:val="es-ES"/>
        </w:rPr>
        <w:t>o</w:t>
      </w:r>
      <w:r w:rsidRPr="003C5D6B">
        <w:rPr>
          <w:lang w:val="es-ES"/>
        </w:rPr>
        <w:t xml:space="preserve"> 4</w:t>
      </w:r>
      <w:r w:rsidRPr="003C5D6B">
        <w:rPr>
          <w:lang w:val="es-ES"/>
        </w:rPr>
        <w:br/>
      </w:r>
      <w:r w:rsidRPr="003C5D6B">
        <w:rPr>
          <w:lang w:val="es-ES"/>
        </w:rPr>
        <w:br/>
      </w:r>
      <w:bookmarkEnd w:id="170"/>
      <w:bookmarkEnd w:id="171"/>
      <w:r w:rsidR="00C36255" w:rsidRPr="003C5D6B">
        <w:rPr>
          <w:szCs w:val="24"/>
          <w:lang w:val="es-ES"/>
        </w:rPr>
        <w:t>Elementos que pueden tenerse en cuenta para efectuar una comparación</w:t>
      </w:r>
      <w:r w:rsidR="00C36255" w:rsidRPr="003C5D6B">
        <w:rPr>
          <w:szCs w:val="24"/>
          <w:lang w:val="es-ES"/>
        </w:rPr>
        <w:br/>
        <w:t>internacional de los importes de los cánones</w:t>
      </w:r>
      <w:bookmarkEnd w:id="172"/>
      <w:bookmarkEnd w:id="173"/>
    </w:p>
    <w:p w:rsidR="00B14A2B" w:rsidRPr="003C5D6B" w:rsidRDefault="00B14A2B" w:rsidP="00B14A2B">
      <w:pPr>
        <w:rPr>
          <w:lang w:val="es-ES"/>
        </w:rPr>
      </w:pPr>
    </w:p>
    <w:p w:rsidR="00DB1791" w:rsidRPr="003C5D6B" w:rsidRDefault="00DB1791" w:rsidP="00DB1791">
      <w:pPr>
        <w:pStyle w:val="Heading1"/>
        <w:rPr>
          <w:sz w:val="24"/>
          <w:szCs w:val="24"/>
          <w:lang w:val="es-ES"/>
        </w:rPr>
      </w:pPr>
      <w:bookmarkStart w:id="174" w:name="_Toc208727514"/>
      <w:bookmarkStart w:id="175" w:name="_Toc208739205"/>
      <w:bookmarkStart w:id="176" w:name="_Toc248048838"/>
      <w:bookmarkStart w:id="177" w:name="_Toc277598656"/>
      <w:bookmarkStart w:id="178" w:name="_Toc284499174"/>
      <w:bookmarkStart w:id="179" w:name="_Toc287523328"/>
      <w:r w:rsidRPr="003C5D6B">
        <w:rPr>
          <w:sz w:val="24"/>
          <w:szCs w:val="24"/>
          <w:lang w:val="es-ES"/>
        </w:rPr>
        <w:t>1</w:t>
      </w:r>
      <w:r w:rsidRPr="003C5D6B">
        <w:rPr>
          <w:sz w:val="24"/>
          <w:szCs w:val="24"/>
          <w:lang w:val="es-ES"/>
        </w:rPr>
        <w:tab/>
        <w:t>Introducción</w:t>
      </w:r>
      <w:bookmarkEnd w:id="174"/>
      <w:bookmarkEnd w:id="175"/>
      <w:bookmarkEnd w:id="176"/>
      <w:bookmarkEnd w:id="177"/>
      <w:bookmarkEnd w:id="178"/>
      <w:bookmarkEnd w:id="179"/>
    </w:p>
    <w:p w:rsidR="00DB1791" w:rsidRPr="003C5D6B" w:rsidRDefault="00DB1791" w:rsidP="00DB1791">
      <w:pPr>
        <w:rPr>
          <w:bCs/>
          <w:sz w:val="24"/>
          <w:szCs w:val="24"/>
          <w:lang w:val="es-ES"/>
        </w:rPr>
      </w:pPr>
      <w:r w:rsidRPr="003C5D6B">
        <w:rPr>
          <w:bCs/>
          <w:sz w:val="24"/>
          <w:szCs w:val="24"/>
          <w:lang w:val="es-ES"/>
        </w:rPr>
        <w:t xml:space="preserve">En la base de datos </w:t>
      </w:r>
      <w:r w:rsidRPr="003C5D6B">
        <w:rPr>
          <w:bCs/>
          <w:i/>
          <w:iCs/>
          <w:sz w:val="24"/>
          <w:szCs w:val="24"/>
          <w:lang w:val="es-ES"/>
        </w:rPr>
        <w:t>Spectrum Fees</w:t>
      </w:r>
      <w:r w:rsidRPr="003C5D6B">
        <w:rPr>
          <w:bCs/>
          <w:sz w:val="24"/>
          <w:szCs w:val="24"/>
          <w:lang w:val="es-ES"/>
        </w:rPr>
        <w:t xml:space="preserve"> se encuentran los importes de los cánones aplicados en varios países y, por lo tanto, se plantea la pregunta siguiente: ¿qué importes se han de adoptar, y pueden utilizarse directamente sin modificarlos o se ha de efectuar, sin modificar los demás parámetros, una adaptación de esos importes antes de aplicarlos?</w:t>
      </w:r>
    </w:p>
    <w:p w:rsidR="00DB1791" w:rsidRPr="003C5D6B" w:rsidRDefault="00DB1791" w:rsidP="00DB1791">
      <w:pPr>
        <w:rPr>
          <w:sz w:val="24"/>
          <w:szCs w:val="24"/>
          <w:lang w:val="es-ES"/>
        </w:rPr>
      </w:pPr>
      <w:r w:rsidRPr="003C5D6B">
        <w:rPr>
          <w:sz w:val="24"/>
          <w:szCs w:val="24"/>
          <w:lang w:val="es-ES"/>
        </w:rPr>
        <w:t>Para responder a esta pregunta, se propone demostrar que se han de analizar las condiciones económicas de explotación de las licencias y, a partir de ese análisis, establecer una lista (no exhaustiva) de elementos que podrían tenerse en cuenta al adaptar los importes de los cánones aplicados por uno de los países indicados en la base de datos a otro país.</w:t>
      </w:r>
    </w:p>
    <w:p w:rsidR="00DB1791" w:rsidRPr="003C5D6B" w:rsidRDefault="00DB1791" w:rsidP="00DB1791">
      <w:pPr>
        <w:rPr>
          <w:sz w:val="24"/>
          <w:szCs w:val="24"/>
          <w:lang w:val="es-ES"/>
        </w:rPr>
      </w:pPr>
      <w:r w:rsidRPr="003C5D6B">
        <w:rPr>
          <w:sz w:val="24"/>
          <w:szCs w:val="24"/>
          <w:lang w:val="es-ES"/>
        </w:rPr>
        <w:t>Sólo se examinará el caso de los cánones fijados administrativamente y aplicables a los operadores de telecomunicaciones que han recibido una autorización de utilización de las frecuencias (licencias).</w:t>
      </w:r>
    </w:p>
    <w:p w:rsidR="007C6239" w:rsidRPr="003C5D6B" w:rsidRDefault="00DB1791" w:rsidP="00DB1791">
      <w:pPr>
        <w:rPr>
          <w:lang w:val="es-ES"/>
        </w:rPr>
      </w:pPr>
      <w:r w:rsidRPr="003C5D6B">
        <w:rPr>
          <w:sz w:val="24"/>
          <w:szCs w:val="24"/>
          <w:lang w:val="es-ES"/>
        </w:rPr>
        <w:t>Algunos de los elementos mencionados podrán conservarse como criterios para comparar las condiciones económicas de explotación de las licencias en los países en cuestión. Esa comparación debería permitir a las administraciones interesadas definir modalidades de adaptación sobre una base económica.</w:t>
      </w:r>
    </w:p>
    <w:p w:rsidR="002F05FE" w:rsidRPr="003C5D6B" w:rsidRDefault="002F05FE" w:rsidP="002F05FE">
      <w:pPr>
        <w:pStyle w:val="Heading1"/>
        <w:rPr>
          <w:sz w:val="24"/>
          <w:szCs w:val="24"/>
          <w:lang w:val="es-ES"/>
        </w:rPr>
      </w:pPr>
      <w:bookmarkStart w:id="180" w:name="_Toc208727515"/>
      <w:bookmarkStart w:id="181" w:name="_Toc208739206"/>
      <w:bookmarkStart w:id="182" w:name="_Toc248048839"/>
      <w:bookmarkStart w:id="183" w:name="_Toc277598657"/>
      <w:bookmarkStart w:id="184" w:name="_Toc284499175"/>
      <w:bookmarkStart w:id="185" w:name="_Toc287523329"/>
      <w:r w:rsidRPr="003C5D6B">
        <w:rPr>
          <w:sz w:val="24"/>
          <w:szCs w:val="24"/>
          <w:lang w:val="es-ES"/>
        </w:rPr>
        <w:t>2</w:t>
      </w:r>
      <w:r w:rsidRPr="003C5D6B">
        <w:rPr>
          <w:sz w:val="24"/>
          <w:szCs w:val="24"/>
          <w:lang w:val="es-ES"/>
        </w:rPr>
        <w:tab/>
        <w:t>Fundamento e impacto económico de los cánones</w:t>
      </w:r>
      <w:bookmarkEnd w:id="180"/>
      <w:bookmarkEnd w:id="181"/>
      <w:bookmarkEnd w:id="182"/>
      <w:bookmarkEnd w:id="183"/>
      <w:bookmarkEnd w:id="184"/>
      <w:bookmarkEnd w:id="185"/>
    </w:p>
    <w:p w:rsidR="002F05FE" w:rsidRPr="003C5D6B" w:rsidRDefault="002F05FE" w:rsidP="002F05FE">
      <w:pPr>
        <w:rPr>
          <w:sz w:val="24"/>
          <w:szCs w:val="24"/>
          <w:lang w:val="es-ES"/>
        </w:rPr>
      </w:pPr>
      <w:r w:rsidRPr="003C5D6B">
        <w:rPr>
          <w:sz w:val="24"/>
          <w:szCs w:val="24"/>
          <w:lang w:val="es-ES"/>
        </w:rPr>
        <w:t>En todos los países, el espectro radioeléctrico pertenece al dominio público del Estado y su utilización para fines comerciales constituye una utilización privada de este dominio.</w:t>
      </w:r>
    </w:p>
    <w:p w:rsidR="002F05FE" w:rsidRPr="003C5D6B" w:rsidRDefault="002F05FE" w:rsidP="002F05FE">
      <w:pPr>
        <w:rPr>
          <w:sz w:val="24"/>
          <w:szCs w:val="24"/>
          <w:lang w:val="es-ES"/>
        </w:rPr>
      </w:pPr>
      <w:r w:rsidRPr="003C5D6B">
        <w:rPr>
          <w:sz w:val="24"/>
          <w:szCs w:val="24"/>
          <w:lang w:val="es-ES"/>
        </w:rPr>
        <w:t>Esta ocupación está, pues, normalmente sujeta al pago:</w:t>
      </w:r>
    </w:p>
    <w:p w:rsidR="002F05FE" w:rsidRPr="003C5D6B" w:rsidRDefault="002F05FE" w:rsidP="002F05FE">
      <w:pPr>
        <w:pStyle w:val="enumlev1"/>
        <w:rPr>
          <w:sz w:val="24"/>
          <w:szCs w:val="24"/>
          <w:lang w:val="es-ES"/>
        </w:rPr>
      </w:pPr>
      <w:r w:rsidRPr="003C5D6B">
        <w:rPr>
          <w:sz w:val="24"/>
          <w:szCs w:val="24"/>
          <w:lang w:val="es-ES"/>
        </w:rPr>
        <w:t>–</w:t>
      </w:r>
      <w:r w:rsidRPr="003C5D6B">
        <w:rPr>
          <w:sz w:val="24"/>
          <w:szCs w:val="24"/>
          <w:lang w:val="es-ES"/>
        </w:rPr>
        <w:tab/>
        <w:t>por una parte, de un canon de gestión, que debe permitir cubrir los costes administrativos de gestión (en el sentido lato de la expresión, es decir, planificación, gestión nacional y control) del espectro;</w:t>
      </w:r>
    </w:p>
    <w:p w:rsidR="002F05FE" w:rsidRPr="003C5D6B" w:rsidRDefault="002F05FE" w:rsidP="002F05FE">
      <w:pPr>
        <w:pStyle w:val="enumlev1"/>
        <w:rPr>
          <w:sz w:val="24"/>
          <w:szCs w:val="24"/>
          <w:lang w:val="es-ES"/>
        </w:rPr>
      </w:pPr>
      <w:r w:rsidRPr="003C5D6B">
        <w:rPr>
          <w:sz w:val="24"/>
          <w:szCs w:val="24"/>
          <w:lang w:val="es-ES"/>
        </w:rPr>
        <w:t>–</w:t>
      </w:r>
      <w:r w:rsidRPr="003C5D6B">
        <w:rPr>
          <w:sz w:val="24"/>
          <w:szCs w:val="24"/>
          <w:lang w:val="es-ES"/>
        </w:rPr>
        <w:tab/>
        <w:t>por otra, de un canon de utilización de las frecuencias que debe ser proporcional a todas las ventajas que obtiene el beneficiario.</w:t>
      </w:r>
    </w:p>
    <w:p w:rsidR="002F05FE" w:rsidRPr="003C5D6B" w:rsidRDefault="002F05FE" w:rsidP="002F05FE">
      <w:pPr>
        <w:rPr>
          <w:sz w:val="24"/>
          <w:szCs w:val="24"/>
          <w:lang w:val="es-ES"/>
        </w:rPr>
      </w:pPr>
      <w:r w:rsidRPr="003C5D6B">
        <w:rPr>
          <w:sz w:val="24"/>
          <w:szCs w:val="24"/>
          <w:lang w:val="es-ES"/>
        </w:rPr>
        <w:t>Las ventajas que obtiene un operador de telecomunicaciones por la ocupación del espectro pueden evaluarse considerando en particular el beneficio neto de explotación. Por lo tanto, los cánones relacionados con la utilización de las frecuencias y aplicados a un operador deberían guardar relación con el beneficio neto de explotación.</w:t>
      </w:r>
    </w:p>
    <w:p w:rsidR="002F05FE" w:rsidRPr="003C5D6B" w:rsidRDefault="002F05FE" w:rsidP="002F05FE">
      <w:pPr>
        <w:rPr>
          <w:sz w:val="24"/>
          <w:szCs w:val="24"/>
          <w:lang w:val="es-ES"/>
        </w:rPr>
      </w:pPr>
      <w:r w:rsidRPr="003C5D6B">
        <w:rPr>
          <w:sz w:val="24"/>
          <w:szCs w:val="24"/>
          <w:lang w:val="es-ES"/>
        </w:rPr>
        <w:t>Desde un punto de vista económico y contable, los cánones de utilización de las frecuencias constituyen una inmovilización y/o una carga de explotación para los operadores y reducen proporcionalmente su beneficio neto de explotación.</w:t>
      </w:r>
    </w:p>
    <w:p w:rsidR="00BA7D6D" w:rsidRPr="003C5D6B" w:rsidRDefault="002F05FE" w:rsidP="002F05FE">
      <w:pPr>
        <w:tabs>
          <w:tab w:val="left" w:pos="-1190"/>
          <w:tab w:val="left" w:pos="0"/>
        </w:tabs>
        <w:rPr>
          <w:sz w:val="24"/>
          <w:szCs w:val="24"/>
          <w:lang w:val="es-ES"/>
        </w:rPr>
      </w:pPr>
      <w:r w:rsidRPr="003C5D6B">
        <w:rPr>
          <w:sz w:val="24"/>
          <w:szCs w:val="24"/>
          <w:lang w:val="es-ES"/>
        </w:rPr>
        <w:t>Por este motivo, si bien la aplicación de los cánones de utilización de las frecuencias es legítima, los importes no deben ser demasiado elevados a fin de propiciar las iniciativas y no frenar el desarrollo de nuevos servicios. En cualquier caso, el importe de los cánones no puede rebasar la propensión de los operadores a pagar.</w:t>
      </w:r>
    </w:p>
    <w:p w:rsidR="001E5BC1" w:rsidRPr="003C5D6B" w:rsidRDefault="001E5BC1" w:rsidP="001E5BC1">
      <w:pPr>
        <w:pStyle w:val="Heading1"/>
        <w:rPr>
          <w:sz w:val="24"/>
          <w:szCs w:val="24"/>
          <w:lang w:val="es-ES"/>
        </w:rPr>
      </w:pPr>
      <w:bookmarkStart w:id="186" w:name="_Toc208727516"/>
      <w:bookmarkStart w:id="187" w:name="_Toc208739207"/>
      <w:bookmarkStart w:id="188" w:name="_Toc248048840"/>
      <w:bookmarkStart w:id="189" w:name="_Toc277598658"/>
      <w:bookmarkStart w:id="190" w:name="_Toc284499176"/>
      <w:bookmarkStart w:id="191" w:name="_Toc287523330"/>
      <w:r w:rsidRPr="003C5D6B">
        <w:rPr>
          <w:sz w:val="24"/>
          <w:szCs w:val="24"/>
          <w:lang w:val="es-ES"/>
        </w:rPr>
        <w:lastRenderedPageBreak/>
        <w:t>3</w:t>
      </w:r>
      <w:r w:rsidRPr="003C5D6B">
        <w:rPr>
          <w:sz w:val="24"/>
          <w:szCs w:val="24"/>
          <w:lang w:val="es-ES"/>
        </w:rPr>
        <w:tab/>
        <w:t>Condiciones económicas de explotación de las licencias</w:t>
      </w:r>
      <w:bookmarkEnd w:id="186"/>
      <w:bookmarkEnd w:id="187"/>
      <w:bookmarkEnd w:id="188"/>
      <w:bookmarkEnd w:id="189"/>
      <w:bookmarkEnd w:id="190"/>
      <w:bookmarkEnd w:id="191"/>
    </w:p>
    <w:p w:rsidR="001E5BC1" w:rsidRPr="003C5D6B" w:rsidRDefault="001E5BC1" w:rsidP="001E5BC1">
      <w:pPr>
        <w:rPr>
          <w:sz w:val="24"/>
          <w:szCs w:val="24"/>
          <w:lang w:val="es-ES"/>
        </w:rPr>
      </w:pPr>
      <w:r w:rsidRPr="003C5D6B">
        <w:rPr>
          <w:sz w:val="24"/>
          <w:szCs w:val="24"/>
          <w:lang w:val="es-ES"/>
        </w:rPr>
        <w:t>El beneficio neto de explotación de un operador está constituido por la diferencia entre el precio de venta total de los bienes y servicios comercializados (volumen de negocios) y el costo total de la adquisición de esos bienes y servicios (gastos de explotación).</w:t>
      </w:r>
    </w:p>
    <w:p w:rsidR="001E5BC1" w:rsidRPr="003C5D6B" w:rsidRDefault="001E5BC1" w:rsidP="001E5BC1">
      <w:pPr>
        <w:rPr>
          <w:sz w:val="24"/>
          <w:szCs w:val="24"/>
          <w:lang w:val="es-ES"/>
        </w:rPr>
      </w:pPr>
      <w:r w:rsidRPr="003C5D6B">
        <w:rPr>
          <w:sz w:val="24"/>
          <w:szCs w:val="24"/>
          <w:lang w:val="es-ES"/>
        </w:rPr>
        <w:t>Por supuesto, las condiciones económicas de explotación de las licencias repercuten en el volumen de negocios y en los gastos de explotación de los operadores, y de ellas depende, por consiguiente, el beneficio neto de explotación.</w:t>
      </w:r>
    </w:p>
    <w:p w:rsidR="001E5BC1" w:rsidRPr="003C5D6B" w:rsidRDefault="001E5BC1" w:rsidP="001E5BC1">
      <w:pPr>
        <w:rPr>
          <w:sz w:val="24"/>
          <w:szCs w:val="24"/>
          <w:lang w:val="es-ES"/>
        </w:rPr>
      </w:pPr>
      <w:r w:rsidRPr="003C5D6B">
        <w:rPr>
          <w:sz w:val="24"/>
          <w:szCs w:val="24"/>
          <w:lang w:val="es-ES"/>
        </w:rPr>
        <w:t>Así pues, cuanto más favorables son las condiciones de explotación para los operadores, más propensos son a pagar cánones, y viceversa.</w:t>
      </w:r>
    </w:p>
    <w:p w:rsidR="001E5BC1" w:rsidRPr="003C5D6B" w:rsidRDefault="001E5BC1" w:rsidP="001E5BC1">
      <w:pPr>
        <w:rPr>
          <w:sz w:val="24"/>
          <w:szCs w:val="24"/>
          <w:lang w:val="es-ES"/>
        </w:rPr>
      </w:pPr>
      <w:r w:rsidRPr="003C5D6B">
        <w:rPr>
          <w:sz w:val="24"/>
          <w:szCs w:val="24"/>
          <w:lang w:val="es-ES"/>
        </w:rPr>
        <w:t>Por consiguiente, se han de analizar y comparar las condiciones económicas de explotación de las licencias relativas a los países estudiados.</w:t>
      </w:r>
    </w:p>
    <w:p w:rsidR="001E5BC1" w:rsidRPr="003C5D6B" w:rsidRDefault="001E5BC1" w:rsidP="001E5BC1">
      <w:pPr>
        <w:rPr>
          <w:sz w:val="24"/>
          <w:szCs w:val="24"/>
          <w:lang w:val="es-ES"/>
        </w:rPr>
      </w:pPr>
      <w:r w:rsidRPr="003C5D6B">
        <w:rPr>
          <w:sz w:val="24"/>
          <w:szCs w:val="24"/>
          <w:lang w:val="es-ES"/>
        </w:rPr>
        <w:t>Estas condiciones se determinan, en particular, por medio de los elementos siguientes:</w:t>
      </w:r>
    </w:p>
    <w:p w:rsidR="001E5BC1" w:rsidRPr="003C5D6B" w:rsidRDefault="001E5BC1" w:rsidP="001E5BC1">
      <w:pPr>
        <w:pStyle w:val="Heading2"/>
        <w:rPr>
          <w:sz w:val="24"/>
          <w:szCs w:val="24"/>
          <w:lang w:val="es-ES"/>
        </w:rPr>
      </w:pPr>
      <w:bookmarkStart w:id="192" w:name="_Toc208727517"/>
      <w:bookmarkStart w:id="193" w:name="_Toc208739208"/>
      <w:bookmarkStart w:id="194" w:name="_Toc248048841"/>
      <w:bookmarkStart w:id="195" w:name="_Toc277598659"/>
      <w:bookmarkStart w:id="196" w:name="_Toc284499177"/>
      <w:bookmarkStart w:id="197" w:name="_Toc287523331"/>
      <w:r w:rsidRPr="003C5D6B">
        <w:rPr>
          <w:sz w:val="24"/>
          <w:szCs w:val="24"/>
          <w:lang w:val="es-ES"/>
        </w:rPr>
        <w:t>3.1</w:t>
      </w:r>
      <w:r w:rsidRPr="003C5D6B">
        <w:rPr>
          <w:sz w:val="24"/>
          <w:szCs w:val="24"/>
          <w:lang w:val="es-ES"/>
        </w:rPr>
        <w:tab/>
        <w:t>Elementos socioeconómicos de los países estudiados</w:t>
      </w:r>
      <w:bookmarkEnd w:id="192"/>
      <w:bookmarkEnd w:id="193"/>
      <w:bookmarkEnd w:id="194"/>
      <w:bookmarkEnd w:id="195"/>
      <w:bookmarkEnd w:id="196"/>
      <w:bookmarkEnd w:id="197"/>
    </w:p>
    <w:p w:rsidR="001E5BC1" w:rsidRPr="003C5D6B" w:rsidRDefault="001E5BC1" w:rsidP="001E5BC1">
      <w:pPr>
        <w:rPr>
          <w:sz w:val="24"/>
          <w:szCs w:val="24"/>
          <w:lang w:val="es-ES"/>
        </w:rPr>
      </w:pPr>
      <w:r w:rsidRPr="003C5D6B">
        <w:rPr>
          <w:sz w:val="24"/>
          <w:szCs w:val="24"/>
          <w:lang w:val="es-ES"/>
        </w:rPr>
        <w:t>Los elementos que se han de tener en cuenta en el análisis pueden ser:</w:t>
      </w:r>
    </w:p>
    <w:p w:rsidR="001E5BC1" w:rsidRPr="003C5D6B" w:rsidRDefault="001E5BC1" w:rsidP="00D12974">
      <w:pPr>
        <w:pStyle w:val="enumlev1"/>
        <w:spacing w:before="60"/>
        <w:rPr>
          <w:sz w:val="24"/>
          <w:szCs w:val="24"/>
          <w:lang w:val="es-ES"/>
        </w:rPr>
      </w:pPr>
      <w:r w:rsidRPr="003C5D6B">
        <w:rPr>
          <w:sz w:val="24"/>
          <w:szCs w:val="24"/>
          <w:lang w:val="es-ES"/>
        </w:rPr>
        <w:t>–</w:t>
      </w:r>
      <w:r w:rsidRPr="003C5D6B">
        <w:rPr>
          <w:sz w:val="24"/>
          <w:szCs w:val="24"/>
          <w:lang w:val="es-ES"/>
        </w:rPr>
        <w:tab/>
        <w:t>el PIB o el PIB/habitante;</w:t>
      </w:r>
    </w:p>
    <w:p w:rsidR="001E5BC1" w:rsidRPr="003C5D6B" w:rsidRDefault="001E5BC1" w:rsidP="00D12974">
      <w:pPr>
        <w:pStyle w:val="enumlev1"/>
        <w:spacing w:before="60"/>
        <w:rPr>
          <w:sz w:val="24"/>
          <w:szCs w:val="24"/>
          <w:lang w:val="es-ES"/>
        </w:rPr>
      </w:pPr>
      <w:r w:rsidRPr="003C5D6B">
        <w:rPr>
          <w:sz w:val="24"/>
          <w:szCs w:val="24"/>
          <w:lang w:val="es-ES"/>
        </w:rPr>
        <w:t>–</w:t>
      </w:r>
      <w:r w:rsidRPr="003C5D6B">
        <w:rPr>
          <w:sz w:val="24"/>
          <w:szCs w:val="24"/>
          <w:lang w:val="es-ES"/>
        </w:rPr>
        <w:tab/>
        <w:t>la población total o la densidad de población;</w:t>
      </w:r>
    </w:p>
    <w:p w:rsidR="001E5BC1" w:rsidRPr="003C5D6B" w:rsidRDefault="001E5BC1" w:rsidP="00D12974">
      <w:pPr>
        <w:pStyle w:val="enumlev1"/>
        <w:spacing w:before="60"/>
        <w:rPr>
          <w:sz w:val="24"/>
          <w:szCs w:val="24"/>
          <w:lang w:val="es-ES"/>
        </w:rPr>
      </w:pPr>
      <w:r w:rsidRPr="003C5D6B">
        <w:rPr>
          <w:sz w:val="24"/>
          <w:szCs w:val="24"/>
          <w:lang w:val="es-ES"/>
        </w:rPr>
        <w:t>–</w:t>
      </w:r>
      <w:r w:rsidRPr="003C5D6B">
        <w:rPr>
          <w:sz w:val="24"/>
          <w:szCs w:val="24"/>
          <w:lang w:val="es-ES"/>
        </w:rPr>
        <w:tab/>
        <w:t>la distribución geográfica de la población (concentrada en algunas zonas, dispersa ...);</w:t>
      </w:r>
    </w:p>
    <w:p w:rsidR="001E5BC1" w:rsidRPr="003C5D6B" w:rsidRDefault="001E5BC1" w:rsidP="00D12974">
      <w:pPr>
        <w:pStyle w:val="enumlev1"/>
        <w:spacing w:before="60"/>
        <w:rPr>
          <w:sz w:val="24"/>
          <w:szCs w:val="24"/>
          <w:lang w:val="es-ES"/>
        </w:rPr>
      </w:pPr>
      <w:r w:rsidRPr="003C5D6B">
        <w:rPr>
          <w:sz w:val="24"/>
          <w:szCs w:val="24"/>
          <w:lang w:val="es-ES"/>
        </w:rPr>
        <w:t>–</w:t>
      </w:r>
      <w:r w:rsidRPr="003C5D6B">
        <w:rPr>
          <w:sz w:val="24"/>
          <w:szCs w:val="24"/>
          <w:lang w:val="es-ES"/>
        </w:rPr>
        <w:tab/>
        <w:t>las dimensiones, el relieve (llanos, montañas ...) y el carácter insular de los países.</w:t>
      </w:r>
    </w:p>
    <w:p w:rsidR="001E5BC1" w:rsidRPr="003C5D6B" w:rsidRDefault="001E5BC1" w:rsidP="001E5BC1">
      <w:pPr>
        <w:pStyle w:val="Heading2"/>
        <w:rPr>
          <w:sz w:val="24"/>
          <w:szCs w:val="24"/>
          <w:lang w:val="es-ES"/>
        </w:rPr>
      </w:pPr>
      <w:bookmarkStart w:id="198" w:name="_Toc208727518"/>
      <w:bookmarkStart w:id="199" w:name="_Toc208739209"/>
      <w:bookmarkStart w:id="200" w:name="_Toc248048842"/>
      <w:bookmarkStart w:id="201" w:name="_Toc277598660"/>
      <w:bookmarkStart w:id="202" w:name="_Toc284499178"/>
      <w:bookmarkStart w:id="203" w:name="_Toc287523332"/>
      <w:r w:rsidRPr="003C5D6B">
        <w:rPr>
          <w:sz w:val="24"/>
          <w:szCs w:val="24"/>
          <w:lang w:val="es-ES"/>
        </w:rPr>
        <w:t>3.2</w:t>
      </w:r>
      <w:r w:rsidRPr="003C5D6B">
        <w:rPr>
          <w:sz w:val="24"/>
          <w:szCs w:val="24"/>
          <w:lang w:val="es-ES"/>
        </w:rPr>
        <w:tab/>
        <w:t>Características de las autorizaciones o licencias atribuidas</w:t>
      </w:r>
      <w:bookmarkEnd w:id="198"/>
      <w:bookmarkEnd w:id="199"/>
      <w:bookmarkEnd w:id="200"/>
      <w:bookmarkEnd w:id="201"/>
      <w:bookmarkEnd w:id="202"/>
      <w:bookmarkEnd w:id="203"/>
    </w:p>
    <w:p w:rsidR="001E5BC1" w:rsidRPr="003C5D6B" w:rsidRDefault="001E5BC1" w:rsidP="001E5BC1">
      <w:pPr>
        <w:rPr>
          <w:sz w:val="24"/>
          <w:szCs w:val="24"/>
          <w:lang w:val="es-ES"/>
        </w:rPr>
      </w:pPr>
      <w:r w:rsidRPr="003C5D6B">
        <w:rPr>
          <w:sz w:val="24"/>
          <w:szCs w:val="24"/>
          <w:lang w:val="es-ES"/>
        </w:rPr>
        <w:t>Puede considerarse en particular:</w:t>
      </w:r>
    </w:p>
    <w:p w:rsidR="001E5BC1" w:rsidRPr="003C5D6B" w:rsidRDefault="001E5BC1" w:rsidP="00D12974">
      <w:pPr>
        <w:pStyle w:val="enumlev1"/>
        <w:spacing w:before="60"/>
        <w:rPr>
          <w:sz w:val="24"/>
          <w:szCs w:val="24"/>
          <w:lang w:val="es-ES"/>
        </w:rPr>
      </w:pPr>
      <w:r w:rsidRPr="003C5D6B">
        <w:rPr>
          <w:sz w:val="24"/>
          <w:szCs w:val="24"/>
          <w:lang w:val="es-ES"/>
        </w:rPr>
        <w:t>–</w:t>
      </w:r>
      <w:r w:rsidRPr="003C5D6B">
        <w:rPr>
          <w:sz w:val="24"/>
          <w:szCs w:val="24"/>
          <w:lang w:val="es-ES"/>
        </w:rPr>
        <w:tab/>
        <w:t>la duración de las licencias;</w:t>
      </w:r>
    </w:p>
    <w:p w:rsidR="001E5BC1" w:rsidRPr="003C5D6B" w:rsidRDefault="001E5BC1" w:rsidP="00D12974">
      <w:pPr>
        <w:pStyle w:val="enumlev1"/>
        <w:spacing w:before="60"/>
        <w:rPr>
          <w:sz w:val="24"/>
          <w:szCs w:val="24"/>
          <w:lang w:val="es-ES"/>
        </w:rPr>
      </w:pPr>
      <w:r w:rsidRPr="003C5D6B">
        <w:rPr>
          <w:sz w:val="24"/>
          <w:szCs w:val="24"/>
          <w:lang w:val="es-ES"/>
        </w:rPr>
        <w:t>–</w:t>
      </w:r>
      <w:r w:rsidRPr="003C5D6B">
        <w:rPr>
          <w:sz w:val="24"/>
          <w:szCs w:val="24"/>
          <w:lang w:val="es-ES"/>
        </w:rPr>
        <w:tab/>
        <w:t>la estabilidad de las condiciones de explotación;</w:t>
      </w:r>
    </w:p>
    <w:p w:rsidR="001E5BC1" w:rsidRPr="003C5D6B" w:rsidRDefault="001E5BC1" w:rsidP="00D12974">
      <w:pPr>
        <w:pStyle w:val="enumlev1"/>
        <w:spacing w:before="60"/>
        <w:rPr>
          <w:sz w:val="24"/>
          <w:szCs w:val="24"/>
          <w:lang w:val="es-ES"/>
        </w:rPr>
      </w:pPr>
      <w:r w:rsidRPr="003C5D6B">
        <w:rPr>
          <w:sz w:val="24"/>
          <w:szCs w:val="24"/>
          <w:lang w:val="es-ES"/>
        </w:rPr>
        <w:t>–</w:t>
      </w:r>
      <w:r w:rsidRPr="003C5D6B">
        <w:rPr>
          <w:sz w:val="24"/>
          <w:szCs w:val="24"/>
          <w:lang w:val="es-ES"/>
        </w:rPr>
        <w:tab/>
        <w:t>el carácter renovable de las licencias.</w:t>
      </w:r>
    </w:p>
    <w:p w:rsidR="001E5BC1" w:rsidRPr="003C5D6B" w:rsidRDefault="001E5BC1" w:rsidP="001E5BC1">
      <w:pPr>
        <w:pStyle w:val="Heading2"/>
        <w:rPr>
          <w:sz w:val="24"/>
          <w:szCs w:val="24"/>
          <w:lang w:val="es-ES"/>
        </w:rPr>
      </w:pPr>
      <w:bookmarkStart w:id="204" w:name="_Toc208727519"/>
      <w:bookmarkStart w:id="205" w:name="_Toc208739210"/>
      <w:bookmarkStart w:id="206" w:name="_Toc248048843"/>
      <w:bookmarkStart w:id="207" w:name="_Toc277598661"/>
      <w:bookmarkStart w:id="208" w:name="_Toc284499179"/>
      <w:bookmarkStart w:id="209" w:name="_Toc287523333"/>
      <w:r w:rsidRPr="003C5D6B">
        <w:rPr>
          <w:sz w:val="24"/>
          <w:szCs w:val="24"/>
          <w:lang w:val="es-ES"/>
        </w:rPr>
        <w:t>3.3</w:t>
      </w:r>
      <w:r w:rsidRPr="003C5D6B">
        <w:rPr>
          <w:sz w:val="24"/>
          <w:szCs w:val="24"/>
          <w:lang w:val="es-ES"/>
        </w:rPr>
        <w:tab/>
        <w:t>Contenido de los pliegos de condiciones de los operadores autorizados</w:t>
      </w:r>
      <w:bookmarkEnd w:id="204"/>
      <w:bookmarkEnd w:id="205"/>
      <w:bookmarkEnd w:id="206"/>
      <w:bookmarkEnd w:id="207"/>
      <w:bookmarkEnd w:id="208"/>
      <w:bookmarkEnd w:id="209"/>
    </w:p>
    <w:p w:rsidR="001E5BC1" w:rsidRPr="003C5D6B" w:rsidRDefault="001E5BC1" w:rsidP="001E5BC1">
      <w:pPr>
        <w:rPr>
          <w:sz w:val="24"/>
          <w:szCs w:val="24"/>
          <w:lang w:val="es-ES"/>
        </w:rPr>
      </w:pPr>
      <w:r w:rsidRPr="003C5D6B">
        <w:rPr>
          <w:sz w:val="24"/>
          <w:szCs w:val="24"/>
          <w:lang w:val="es-ES"/>
        </w:rPr>
        <w:t>Las obligaciones impuestas a los operadores en los pliegos de condiciones y que aumentan sus gastos de explotación pueden ser:</w:t>
      </w:r>
    </w:p>
    <w:p w:rsidR="001E5BC1" w:rsidRPr="003C5D6B" w:rsidRDefault="001E5BC1" w:rsidP="00D12974">
      <w:pPr>
        <w:pStyle w:val="enumlev1"/>
        <w:spacing w:before="60"/>
        <w:rPr>
          <w:sz w:val="24"/>
          <w:szCs w:val="24"/>
          <w:lang w:val="es-ES"/>
        </w:rPr>
      </w:pPr>
      <w:r w:rsidRPr="003C5D6B">
        <w:rPr>
          <w:sz w:val="24"/>
          <w:szCs w:val="24"/>
          <w:lang w:val="es-ES"/>
        </w:rPr>
        <w:t>–</w:t>
      </w:r>
      <w:r w:rsidRPr="003C5D6B">
        <w:rPr>
          <w:sz w:val="24"/>
          <w:szCs w:val="24"/>
          <w:lang w:val="es-ES"/>
        </w:rPr>
        <w:tab/>
        <w:t>la cobertura del territorio;</w:t>
      </w:r>
    </w:p>
    <w:p w:rsidR="001E5BC1" w:rsidRPr="003C5D6B" w:rsidRDefault="001E5BC1" w:rsidP="00D12974">
      <w:pPr>
        <w:pStyle w:val="enumlev1"/>
        <w:spacing w:before="60"/>
        <w:rPr>
          <w:sz w:val="24"/>
          <w:szCs w:val="24"/>
          <w:lang w:val="es-ES"/>
        </w:rPr>
      </w:pPr>
      <w:r w:rsidRPr="003C5D6B">
        <w:rPr>
          <w:sz w:val="24"/>
          <w:szCs w:val="24"/>
          <w:lang w:val="es-ES"/>
        </w:rPr>
        <w:t>–</w:t>
      </w:r>
      <w:r w:rsidRPr="003C5D6B">
        <w:rPr>
          <w:sz w:val="24"/>
          <w:szCs w:val="24"/>
          <w:lang w:val="es-ES"/>
        </w:rPr>
        <w:tab/>
        <w:t>la calidad de servicio;</w:t>
      </w:r>
    </w:p>
    <w:p w:rsidR="001E5BC1" w:rsidRPr="003C5D6B" w:rsidRDefault="001E5BC1" w:rsidP="00D12974">
      <w:pPr>
        <w:pStyle w:val="enumlev1"/>
        <w:spacing w:before="60"/>
        <w:rPr>
          <w:sz w:val="24"/>
          <w:szCs w:val="24"/>
          <w:lang w:val="es-ES"/>
        </w:rPr>
      </w:pPr>
      <w:r w:rsidRPr="003C5D6B">
        <w:rPr>
          <w:sz w:val="24"/>
          <w:szCs w:val="24"/>
          <w:lang w:val="es-ES"/>
        </w:rPr>
        <w:t>–</w:t>
      </w:r>
      <w:r w:rsidRPr="003C5D6B">
        <w:rPr>
          <w:sz w:val="24"/>
          <w:szCs w:val="24"/>
          <w:lang w:val="es-ES"/>
        </w:rPr>
        <w:tab/>
        <w:t>la participación en el servicio universal;</w:t>
      </w:r>
    </w:p>
    <w:p w:rsidR="001E5BC1" w:rsidRPr="003C5D6B" w:rsidRDefault="001E5BC1" w:rsidP="00D12974">
      <w:pPr>
        <w:pStyle w:val="enumlev1"/>
        <w:spacing w:before="60"/>
        <w:rPr>
          <w:sz w:val="24"/>
          <w:szCs w:val="24"/>
          <w:lang w:val="es-ES"/>
        </w:rPr>
      </w:pPr>
      <w:r w:rsidRPr="003C5D6B">
        <w:rPr>
          <w:sz w:val="24"/>
          <w:szCs w:val="24"/>
          <w:lang w:val="es-ES"/>
        </w:rPr>
        <w:t>–</w:t>
      </w:r>
      <w:r w:rsidRPr="003C5D6B">
        <w:rPr>
          <w:sz w:val="24"/>
          <w:szCs w:val="24"/>
          <w:lang w:val="es-ES"/>
        </w:rPr>
        <w:tab/>
        <w:t>la participación en las actividades de investigación y desarrollo en el ámbito de las telecomunicaciones;</w:t>
      </w:r>
    </w:p>
    <w:p w:rsidR="001E5BC1" w:rsidRPr="003C5D6B" w:rsidRDefault="001E5BC1" w:rsidP="00D12974">
      <w:pPr>
        <w:pStyle w:val="enumlev1"/>
        <w:spacing w:before="60"/>
        <w:rPr>
          <w:bCs/>
          <w:sz w:val="24"/>
          <w:szCs w:val="24"/>
          <w:lang w:val="es-ES"/>
        </w:rPr>
      </w:pPr>
      <w:r w:rsidRPr="003C5D6B">
        <w:rPr>
          <w:sz w:val="24"/>
          <w:szCs w:val="24"/>
          <w:lang w:val="es-ES"/>
        </w:rPr>
        <w:t>–</w:t>
      </w:r>
      <w:r w:rsidRPr="003C5D6B">
        <w:rPr>
          <w:sz w:val="24"/>
          <w:szCs w:val="24"/>
          <w:lang w:val="es-ES"/>
        </w:rPr>
        <w:tab/>
        <w:t>obligaciones adicionales (llamada gratuita hacia determinados números, portabilidad de los números).</w:t>
      </w:r>
    </w:p>
    <w:p w:rsidR="001E5BC1" w:rsidRPr="003C5D6B" w:rsidRDefault="001E5BC1" w:rsidP="001E5BC1">
      <w:pPr>
        <w:pStyle w:val="Heading1"/>
        <w:rPr>
          <w:sz w:val="24"/>
          <w:szCs w:val="24"/>
          <w:lang w:val="es-ES"/>
        </w:rPr>
      </w:pPr>
      <w:bookmarkStart w:id="210" w:name="_Toc208727520"/>
      <w:bookmarkStart w:id="211" w:name="_Toc208739211"/>
      <w:bookmarkStart w:id="212" w:name="_Toc248048844"/>
      <w:bookmarkStart w:id="213" w:name="_Toc277598662"/>
      <w:bookmarkStart w:id="214" w:name="_Toc284499180"/>
      <w:bookmarkStart w:id="215" w:name="_Toc287523334"/>
      <w:r w:rsidRPr="003C5D6B">
        <w:rPr>
          <w:sz w:val="24"/>
          <w:szCs w:val="24"/>
          <w:lang w:val="es-ES"/>
        </w:rPr>
        <w:t>4</w:t>
      </w:r>
      <w:r w:rsidRPr="003C5D6B">
        <w:rPr>
          <w:sz w:val="24"/>
          <w:szCs w:val="24"/>
          <w:lang w:val="es-ES"/>
        </w:rPr>
        <w:tab/>
        <w:t>Comparación/adaptación de los importes de los cánones</w:t>
      </w:r>
      <w:bookmarkEnd w:id="210"/>
      <w:bookmarkEnd w:id="211"/>
      <w:bookmarkEnd w:id="212"/>
      <w:bookmarkEnd w:id="213"/>
      <w:bookmarkEnd w:id="214"/>
      <w:bookmarkEnd w:id="215"/>
    </w:p>
    <w:p w:rsidR="001E5BC1" w:rsidRPr="003C5D6B" w:rsidRDefault="001E5BC1" w:rsidP="001E5BC1">
      <w:pPr>
        <w:rPr>
          <w:sz w:val="24"/>
          <w:szCs w:val="24"/>
          <w:lang w:val="es-ES"/>
        </w:rPr>
      </w:pPr>
      <w:r w:rsidRPr="003C5D6B">
        <w:rPr>
          <w:sz w:val="24"/>
          <w:szCs w:val="24"/>
          <w:lang w:val="es-ES"/>
        </w:rPr>
        <w:t>En el cuadro siguiente se describe la influencia de las condiciones económicas de explotación de las licencias en la propensión de los operadores a pagar cánones.</w:t>
      </w:r>
    </w:p>
    <w:p w:rsidR="001E5BC1" w:rsidRPr="003C5D6B" w:rsidRDefault="001E5BC1" w:rsidP="001E5BC1">
      <w:pPr>
        <w:rPr>
          <w:sz w:val="24"/>
          <w:szCs w:val="24"/>
          <w:lang w:val="es-ES"/>
        </w:rPr>
      </w:pPr>
      <w:r w:rsidRPr="003C5D6B">
        <w:rPr>
          <w:sz w:val="24"/>
          <w:szCs w:val="24"/>
          <w:lang w:val="es-ES"/>
        </w:rPr>
        <w:t>Lógicamente, los elementos que contribuyen a generar el volumen de negocios entrañan un aumento de esa propensión. Por el contrario, las condiciones que tienden a generar gastos de explotación entrañan una disminución de esa propensión.</w:t>
      </w:r>
    </w:p>
    <w:p w:rsidR="001E5BC1" w:rsidRPr="003C5D6B" w:rsidRDefault="001E5BC1" w:rsidP="001E5BC1">
      <w:pPr>
        <w:pStyle w:val="Heading1"/>
        <w:rPr>
          <w:sz w:val="24"/>
          <w:szCs w:val="24"/>
          <w:lang w:val="es-ES"/>
        </w:rPr>
      </w:pPr>
      <w:bookmarkStart w:id="216" w:name="_Toc208727521"/>
      <w:bookmarkStart w:id="217" w:name="_Toc208739212"/>
      <w:bookmarkStart w:id="218" w:name="_Toc248048845"/>
      <w:bookmarkStart w:id="219" w:name="_Toc277598663"/>
      <w:bookmarkStart w:id="220" w:name="_Toc284499181"/>
      <w:bookmarkStart w:id="221" w:name="_Toc287523335"/>
      <w:r w:rsidRPr="003C5D6B">
        <w:rPr>
          <w:sz w:val="24"/>
          <w:szCs w:val="24"/>
          <w:lang w:val="es-ES"/>
        </w:rPr>
        <w:lastRenderedPageBreak/>
        <w:t>5</w:t>
      </w:r>
      <w:r w:rsidRPr="003C5D6B">
        <w:rPr>
          <w:sz w:val="24"/>
          <w:szCs w:val="24"/>
          <w:lang w:val="es-ES"/>
        </w:rPr>
        <w:tab/>
        <w:t>Conclusión</w:t>
      </w:r>
      <w:bookmarkEnd w:id="216"/>
      <w:bookmarkEnd w:id="217"/>
      <w:bookmarkEnd w:id="218"/>
      <w:bookmarkEnd w:id="219"/>
      <w:bookmarkEnd w:id="220"/>
      <w:bookmarkEnd w:id="221"/>
    </w:p>
    <w:p w:rsidR="001E5BC1" w:rsidRPr="003C5D6B" w:rsidRDefault="001E5BC1" w:rsidP="001E5BC1">
      <w:pPr>
        <w:rPr>
          <w:sz w:val="24"/>
          <w:szCs w:val="24"/>
          <w:lang w:val="es-ES"/>
        </w:rPr>
      </w:pPr>
      <w:r w:rsidRPr="003C5D6B">
        <w:rPr>
          <w:sz w:val="24"/>
          <w:szCs w:val="24"/>
          <w:lang w:val="es-ES"/>
        </w:rPr>
        <w:t>Si bien se distingue fácilmente la influencia positiva o negativa que ejercen las condiciones económicas de explotación de las licencias en la propensión de los operadores a pagar cánones, en cambio no siempre es fácil cuantificar esa influencia con precisión si no se dispone de informaciones pertinentes.</w:t>
      </w:r>
    </w:p>
    <w:p w:rsidR="00BA7D6D" w:rsidRPr="003C5D6B" w:rsidRDefault="001E5BC1" w:rsidP="001E5BC1">
      <w:pPr>
        <w:tabs>
          <w:tab w:val="left" w:pos="-1190"/>
          <w:tab w:val="left" w:pos="0"/>
        </w:tabs>
        <w:rPr>
          <w:sz w:val="24"/>
          <w:szCs w:val="24"/>
          <w:lang w:val="es-ES"/>
        </w:rPr>
      </w:pPr>
      <w:r w:rsidRPr="003C5D6B">
        <w:rPr>
          <w:sz w:val="24"/>
          <w:szCs w:val="24"/>
          <w:lang w:val="es-ES"/>
        </w:rPr>
        <w:t>Para efectuar una comparación o una adaptación de los importes de los cánones podrán utilizarse pues uno o varios de los elementos descritos en el § 4 en función de las informaciones disponibles y aplicar una regla de cálculo simple como la de la proporcionalidad.</w:t>
      </w:r>
    </w:p>
    <w:p w:rsidR="00FF6298" w:rsidRPr="003C5D6B" w:rsidRDefault="00FF6298" w:rsidP="00FF6298">
      <w:pPr>
        <w:tabs>
          <w:tab w:val="left" w:pos="-1190"/>
          <w:tab w:val="left" w:pos="0"/>
        </w:tabs>
        <w:spacing w:before="0"/>
        <w:rPr>
          <w:sz w:val="24"/>
          <w:szCs w:val="24"/>
          <w:lang w:val="es-ES"/>
        </w:rPr>
      </w:pPr>
    </w:p>
    <w:p w:rsidR="007A61EF" w:rsidRPr="003C5D6B" w:rsidRDefault="00846C18" w:rsidP="00FF6298">
      <w:pPr>
        <w:spacing w:before="0"/>
        <w:jc w:val="center"/>
        <w:rPr>
          <w:b/>
          <w:bCs/>
          <w:sz w:val="24"/>
          <w:szCs w:val="24"/>
          <w:lang w:val="es-ES"/>
        </w:rPr>
      </w:pPr>
      <w:r w:rsidRPr="003C5D6B">
        <w:rPr>
          <w:b/>
          <w:bCs/>
          <w:sz w:val="24"/>
          <w:szCs w:val="24"/>
          <w:lang w:val="es-ES"/>
        </w:rPr>
        <w:t>Elementos que pueden tenerse en cuenta para comparar</w:t>
      </w:r>
      <w:r w:rsidR="00FF6298" w:rsidRPr="003C5D6B">
        <w:rPr>
          <w:b/>
          <w:bCs/>
          <w:sz w:val="24"/>
          <w:szCs w:val="24"/>
          <w:lang w:val="es-ES"/>
        </w:rPr>
        <w:br/>
      </w:r>
      <w:r w:rsidRPr="003C5D6B">
        <w:rPr>
          <w:b/>
          <w:bCs/>
          <w:sz w:val="24"/>
          <w:szCs w:val="24"/>
          <w:lang w:val="es-ES"/>
        </w:rPr>
        <w:t>o</w:t>
      </w:r>
      <w:r w:rsidR="005E438E" w:rsidRPr="003C5D6B">
        <w:rPr>
          <w:b/>
          <w:bCs/>
          <w:sz w:val="24"/>
          <w:szCs w:val="24"/>
          <w:lang w:val="es-ES"/>
        </w:rPr>
        <w:t xml:space="preserve"> </w:t>
      </w:r>
      <w:r w:rsidRPr="003C5D6B">
        <w:rPr>
          <w:b/>
          <w:bCs/>
          <w:sz w:val="24"/>
          <w:szCs w:val="24"/>
          <w:lang w:val="es-ES"/>
        </w:rPr>
        <w:t>adaptar los importes de los cánones</w:t>
      </w:r>
    </w:p>
    <w:p w:rsidR="000A3545" w:rsidRPr="003C5D6B" w:rsidRDefault="000A3545" w:rsidP="00FF6298">
      <w:pPr>
        <w:spacing w:before="60"/>
        <w:rPr>
          <w:lang w:val="es-ES"/>
        </w:rPr>
      </w:pPr>
    </w:p>
    <w:p w:rsidR="009E0C9D" w:rsidRPr="003C5D6B" w:rsidRDefault="009E0C9D" w:rsidP="00FF6298">
      <w:pPr>
        <w:pStyle w:val="FigureTitle"/>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2835"/>
        <w:gridCol w:w="6804"/>
      </w:tblGrid>
      <w:tr w:rsidR="00BE2ACA" w:rsidRPr="003C5D6B" w:rsidTr="00BE2ACA">
        <w:trPr>
          <w:jc w:val="center"/>
        </w:trPr>
        <w:tc>
          <w:tcPr>
            <w:tcW w:w="2835" w:type="dxa"/>
            <w:vAlign w:val="center"/>
          </w:tcPr>
          <w:p w:rsidR="00BE2ACA" w:rsidRPr="003C5D6B" w:rsidRDefault="00BE2ACA" w:rsidP="00FF6298">
            <w:pPr>
              <w:pStyle w:val="Tablehead"/>
              <w:spacing w:before="40" w:after="40" w:line="260" w:lineRule="exact"/>
              <w:jc w:val="left"/>
              <w:rPr>
                <w:sz w:val="24"/>
                <w:szCs w:val="24"/>
                <w:lang w:val="es-ES"/>
              </w:rPr>
            </w:pPr>
            <w:r w:rsidRPr="003C5D6B">
              <w:rPr>
                <w:sz w:val="24"/>
                <w:szCs w:val="24"/>
                <w:lang w:val="es-ES"/>
              </w:rPr>
              <w:t>Elementos socioeconómicos de los países estudiados</w:t>
            </w:r>
          </w:p>
        </w:tc>
        <w:tc>
          <w:tcPr>
            <w:tcW w:w="6804" w:type="dxa"/>
            <w:vAlign w:val="center"/>
          </w:tcPr>
          <w:p w:rsidR="00BE2ACA" w:rsidRPr="003C5D6B" w:rsidRDefault="00BE2ACA" w:rsidP="00FF6298">
            <w:pPr>
              <w:pStyle w:val="Tablehead"/>
              <w:spacing w:before="40" w:after="40" w:line="260" w:lineRule="exact"/>
              <w:rPr>
                <w:sz w:val="24"/>
                <w:szCs w:val="24"/>
                <w:lang w:val="es-ES"/>
              </w:rPr>
            </w:pPr>
            <w:r w:rsidRPr="003C5D6B">
              <w:rPr>
                <w:sz w:val="24"/>
                <w:szCs w:val="24"/>
                <w:lang w:val="es-ES"/>
              </w:rPr>
              <w:t>Comentarios</w:t>
            </w:r>
          </w:p>
        </w:tc>
      </w:tr>
      <w:tr w:rsidR="00F328E8" w:rsidRPr="00E92FFB" w:rsidTr="009E0C9D">
        <w:trPr>
          <w:jc w:val="center"/>
        </w:trPr>
        <w:tc>
          <w:tcPr>
            <w:tcW w:w="2835" w:type="dxa"/>
          </w:tcPr>
          <w:p w:rsidR="00F328E8" w:rsidRPr="003C5D6B" w:rsidRDefault="00F328E8" w:rsidP="00FF6298">
            <w:pPr>
              <w:pStyle w:val="Tabletext"/>
              <w:spacing w:before="20" w:after="20" w:line="260" w:lineRule="exact"/>
              <w:jc w:val="left"/>
              <w:rPr>
                <w:sz w:val="24"/>
                <w:szCs w:val="24"/>
                <w:lang w:val="es-ES"/>
              </w:rPr>
            </w:pPr>
            <w:r w:rsidRPr="003C5D6B">
              <w:rPr>
                <w:sz w:val="24"/>
                <w:szCs w:val="24"/>
                <w:lang w:val="es-ES"/>
              </w:rPr>
              <w:t>PIB o PIB/habitante</w:t>
            </w:r>
          </w:p>
        </w:tc>
        <w:tc>
          <w:tcPr>
            <w:tcW w:w="6804" w:type="dxa"/>
          </w:tcPr>
          <w:p w:rsidR="00F328E8" w:rsidRPr="003C5D6B" w:rsidRDefault="00F328E8" w:rsidP="00FF6298">
            <w:pPr>
              <w:pStyle w:val="Tabletext"/>
              <w:spacing w:before="20" w:after="20" w:line="260" w:lineRule="exact"/>
              <w:rPr>
                <w:sz w:val="24"/>
                <w:szCs w:val="24"/>
                <w:lang w:val="es-ES"/>
              </w:rPr>
            </w:pPr>
            <w:r w:rsidRPr="003C5D6B">
              <w:rPr>
                <w:sz w:val="24"/>
                <w:szCs w:val="24"/>
                <w:lang w:val="es-ES"/>
              </w:rPr>
              <w:t>La propensión de los operadores a pagar cánones aumenta con el PIB porque el volumen de negocios potencial aumenta con el PIB.</w:t>
            </w:r>
          </w:p>
          <w:p w:rsidR="00F328E8" w:rsidRPr="003C5D6B" w:rsidRDefault="00F328E8" w:rsidP="00FF6298">
            <w:pPr>
              <w:pStyle w:val="Tabletext"/>
              <w:spacing w:before="20" w:after="20" w:line="260" w:lineRule="exact"/>
              <w:rPr>
                <w:sz w:val="24"/>
                <w:szCs w:val="24"/>
                <w:lang w:val="es-ES"/>
              </w:rPr>
            </w:pPr>
            <w:r w:rsidRPr="003C5D6B">
              <w:rPr>
                <w:sz w:val="24"/>
                <w:szCs w:val="24"/>
                <w:lang w:val="es-ES"/>
              </w:rPr>
              <w:t>Observación: La existencia de un sistema de trueque puede conducir a un PIB calculado inferior al PIB real.</w:t>
            </w:r>
          </w:p>
        </w:tc>
      </w:tr>
      <w:tr w:rsidR="00F328E8" w:rsidRPr="00E92FFB" w:rsidTr="009E0C9D">
        <w:trPr>
          <w:jc w:val="center"/>
        </w:trPr>
        <w:tc>
          <w:tcPr>
            <w:tcW w:w="2835" w:type="dxa"/>
          </w:tcPr>
          <w:p w:rsidR="00F328E8" w:rsidRPr="003C5D6B" w:rsidRDefault="00F328E8" w:rsidP="00FF6298">
            <w:pPr>
              <w:pStyle w:val="Tabletext"/>
              <w:spacing w:before="20" w:after="20" w:line="260" w:lineRule="exact"/>
              <w:jc w:val="left"/>
              <w:rPr>
                <w:sz w:val="24"/>
                <w:szCs w:val="24"/>
                <w:lang w:val="es-ES"/>
              </w:rPr>
            </w:pPr>
            <w:r w:rsidRPr="003C5D6B">
              <w:rPr>
                <w:sz w:val="24"/>
                <w:szCs w:val="24"/>
                <w:lang w:val="es-ES"/>
              </w:rPr>
              <w:t>Población total; densidad de población</w:t>
            </w:r>
          </w:p>
        </w:tc>
        <w:tc>
          <w:tcPr>
            <w:tcW w:w="6804" w:type="dxa"/>
          </w:tcPr>
          <w:p w:rsidR="00F328E8" w:rsidRPr="003C5D6B" w:rsidRDefault="00F328E8" w:rsidP="00FF6298">
            <w:pPr>
              <w:pStyle w:val="Tabletext"/>
              <w:spacing w:before="20" w:after="20" w:line="260" w:lineRule="exact"/>
              <w:rPr>
                <w:sz w:val="24"/>
                <w:szCs w:val="24"/>
                <w:lang w:val="es-ES"/>
              </w:rPr>
            </w:pPr>
            <w:r w:rsidRPr="003C5D6B">
              <w:rPr>
                <w:sz w:val="24"/>
                <w:szCs w:val="24"/>
                <w:lang w:val="es-ES"/>
              </w:rPr>
              <w:t>La propensión de los operadores a pagar cánones aumenta con la población porque, en general, el volumen de negocios potencial aumenta con la población.</w:t>
            </w:r>
          </w:p>
        </w:tc>
      </w:tr>
      <w:tr w:rsidR="00F328E8" w:rsidRPr="00E92FFB" w:rsidTr="009E0C9D">
        <w:trPr>
          <w:jc w:val="center"/>
        </w:trPr>
        <w:tc>
          <w:tcPr>
            <w:tcW w:w="2835" w:type="dxa"/>
          </w:tcPr>
          <w:p w:rsidR="00F328E8" w:rsidRPr="003C5D6B" w:rsidRDefault="00F328E8" w:rsidP="00FF6298">
            <w:pPr>
              <w:pStyle w:val="Tabletext"/>
              <w:spacing w:before="20" w:after="20" w:line="260" w:lineRule="exact"/>
              <w:jc w:val="left"/>
              <w:rPr>
                <w:sz w:val="24"/>
                <w:szCs w:val="24"/>
                <w:lang w:val="es-ES"/>
              </w:rPr>
            </w:pPr>
            <w:r w:rsidRPr="003C5D6B">
              <w:rPr>
                <w:sz w:val="24"/>
                <w:szCs w:val="24"/>
                <w:lang w:val="es-ES"/>
              </w:rPr>
              <w:t>Distribución geográfica de la población (concentrada en algunas zonas, dispersa ...)</w:t>
            </w:r>
          </w:p>
        </w:tc>
        <w:tc>
          <w:tcPr>
            <w:tcW w:w="6804" w:type="dxa"/>
          </w:tcPr>
          <w:p w:rsidR="00F328E8" w:rsidRPr="003C5D6B" w:rsidRDefault="00F328E8" w:rsidP="00FF6298">
            <w:pPr>
              <w:pStyle w:val="Tabletext"/>
              <w:spacing w:before="20" w:after="20" w:line="260" w:lineRule="exact"/>
              <w:rPr>
                <w:sz w:val="24"/>
                <w:szCs w:val="24"/>
                <w:lang w:val="es-ES"/>
              </w:rPr>
            </w:pPr>
            <w:r w:rsidRPr="003C5D6B">
              <w:rPr>
                <w:sz w:val="24"/>
                <w:szCs w:val="24"/>
                <w:lang w:val="es-ES"/>
              </w:rPr>
              <w:t>La propensión de los operadores a pagar cánones aumenta con la concentración porque, en general, el costo de instalación de las redes disminuye con la concentración.</w:t>
            </w:r>
          </w:p>
        </w:tc>
      </w:tr>
      <w:tr w:rsidR="00F328E8" w:rsidRPr="00E92FFB" w:rsidTr="009E0C9D">
        <w:trPr>
          <w:jc w:val="center"/>
        </w:trPr>
        <w:tc>
          <w:tcPr>
            <w:tcW w:w="2835" w:type="dxa"/>
          </w:tcPr>
          <w:p w:rsidR="00F328E8" w:rsidRPr="003C5D6B" w:rsidRDefault="00F328E8" w:rsidP="00FF6298">
            <w:pPr>
              <w:pStyle w:val="Tabletext"/>
              <w:spacing w:before="20" w:after="20" w:line="260" w:lineRule="exact"/>
              <w:jc w:val="left"/>
              <w:rPr>
                <w:sz w:val="24"/>
                <w:szCs w:val="24"/>
                <w:lang w:val="es-ES"/>
              </w:rPr>
            </w:pPr>
            <w:r w:rsidRPr="003C5D6B">
              <w:rPr>
                <w:sz w:val="24"/>
                <w:szCs w:val="24"/>
                <w:lang w:val="es-ES"/>
              </w:rPr>
              <w:t>Dimensiones, relieve y carácter insular del país</w:t>
            </w:r>
          </w:p>
        </w:tc>
        <w:tc>
          <w:tcPr>
            <w:tcW w:w="6804" w:type="dxa"/>
          </w:tcPr>
          <w:p w:rsidR="00F328E8" w:rsidRPr="003C5D6B" w:rsidRDefault="00F328E8" w:rsidP="00FF6298">
            <w:pPr>
              <w:pStyle w:val="Tabletext"/>
              <w:spacing w:before="20" w:after="20" w:line="260" w:lineRule="exact"/>
              <w:rPr>
                <w:sz w:val="24"/>
                <w:szCs w:val="24"/>
                <w:lang w:val="es-ES"/>
              </w:rPr>
            </w:pPr>
            <w:r w:rsidRPr="003C5D6B">
              <w:rPr>
                <w:sz w:val="24"/>
                <w:szCs w:val="24"/>
                <w:lang w:val="es-ES"/>
              </w:rPr>
              <w:t>La propensión de los operadores a pagar cánones disminuye con las dimensiones y el relieve del país porque, en general, el coste de instalación de las redes aumenta con esos parámetros.</w:t>
            </w:r>
          </w:p>
        </w:tc>
      </w:tr>
      <w:tr w:rsidR="00F328E8" w:rsidRPr="00E92FFB" w:rsidTr="009E0C9D">
        <w:trPr>
          <w:jc w:val="center"/>
        </w:trPr>
        <w:tc>
          <w:tcPr>
            <w:tcW w:w="2835" w:type="dxa"/>
          </w:tcPr>
          <w:p w:rsidR="00F328E8" w:rsidRPr="003C5D6B" w:rsidRDefault="00D916C4" w:rsidP="00FF6298">
            <w:pPr>
              <w:pStyle w:val="TableNotitle"/>
              <w:keepLines w:val="0"/>
              <w:spacing w:before="40" w:after="40" w:line="260" w:lineRule="exact"/>
              <w:jc w:val="left"/>
              <w:rPr>
                <w:lang w:val="es-ES"/>
              </w:rPr>
            </w:pPr>
            <w:r w:rsidRPr="003C5D6B">
              <w:rPr>
                <w:bCs/>
                <w:sz w:val="24"/>
                <w:szCs w:val="24"/>
                <w:lang w:val="es-ES"/>
              </w:rPr>
              <w:t>Características de las autorizaciones o licencias</w:t>
            </w:r>
          </w:p>
        </w:tc>
        <w:tc>
          <w:tcPr>
            <w:tcW w:w="6804" w:type="dxa"/>
          </w:tcPr>
          <w:p w:rsidR="00F328E8" w:rsidRPr="003C5D6B" w:rsidRDefault="00F328E8" w:rsidP="00FF6298">
            <w:pPr>
              <w:pStyle w:val="TableNotitle"/>
              <w:keepLines w:val="0"/>
              <w:spacing w:before="40" w:after="40" w:line="260" w:lineRule="exact"/>
              <w:rPr>
                <w:lang w:val="es-ES"/>
              </w:rPr>
            </w:pPr>
          </w:p>
        </w:tc>
      </w:tr>
      <w:tr w:rsidR="00166244" w:rsidRPr="00E92FFB" w:rsidTr="009E0C9D">
        <w:trPr>
          <w:jc w:val="center"/>
        </w:trPr>
        <w:tc>
          <w:tcPr>
            <w:tcW w:w="2835" w:type="dxa"/>
          </w:tcPr>
          <w:p w:rsidR="00166244" w:rsidRPr="003C5D6B" w:rsidRDefault="00166244" w:rsidP="00FF6298">
            <w:pPr>
              <w:pStyle w:val="Tabletext"/>
              <w:spacing w:before="20" w:after="20" w:line="260" w:lineRule="exact"/>
              <w:jc w:val="left"/>
              <w:rPr>
                <w:sz w:val="24"/>
                <w:szCs w:val="24"/>
                <w:lang w:val="es-ES"/>
              </w:rPr>
            </w:pPr>
            <w:r w:rsidRPr="003C5D6B">
              <w:rPr>
                <w:sz w:val="24"/>
                <w:szCs w:val="24"/>
                <w:lang w:val="es-ES"/>
              </w:rPr>
              <w:t>Duración de las autorizaciones</w:t>
            </w:r>
          </w:p>
        </w:tc>
        <w:tc>
          <w:tcPr>
            <w:tcW w:w="6804" w:type="dxa"/>
          </w:tcPr>
          <w:p w:rsidR="00166244" w:rsidRPr="003C5D6B" w:rsidRDefault="00166244" w:rsidP="00FF6298">
            <w:pPr>
              <w:pStyle w:val="Tabletext"/>
              <w:spacing w:before="20" w:after="20" w:line="260" w:lineRule="exact"/>
              <w:rPr>
                <w:sz w:val="24"/>
                <w:szCs w:val="24"/>
                <w:lang w:val="es-ES"/>
              </w:rPr>
            </w:pPr>
            <w:r w:rsidRPr="003C5D6B">
              <w:rPr>
                <w:sz w:val="24"/>
                <w:szCs w:val="24"/>
                <w:lang w:val="es-ES"/>
              </w:rPr>
              <w:t>La propensión de los operadores a pagar cánones aumenta con la duración porque la amortización de los equipos es más fácil y los últimos años de explotación suelen ser mucho más rentables que los primeros.</w:t>
            </w:r>
          </w:p>
        </w:tc>
      </w:tr>
      <w:tr w:rsidR="00166244" w:rsidRPr="00E92FFB" w:rsidTr="009E0C9D">
        <w:trPr>
          <w:jc w:val="center"/>
        </w:trPr>
        <w:tc>
          <w:tcPr>
            <w:tcW w:w="2835" w:type="dxa"/>
          </w:tcPr>
          <w:p w:rsidR="00166244" w:rsidRPr="003C5D6B" w:rsidRDefault="00166244" w:rsidP="00FF6298">
            <w:pPr>
              <w:pStyle w:val="Tabletext"/>
              <w:spacing w:before="20" w:after="20" w:line="260" w:lineRule="exact"/>
              <w:jc w:val="left"/>
              <w:rPr>
                <w:sz w:val="24"/>
                <w:szCs w:val="24"/>
                <w:lang w:val="es-ES"/>
              </w:rPr>
            </w:pPr>
            <w:r w:rsidRPr="003C5D6B">
              <w:rPr>
                <w:sz w:val="24"/>
                <w:szCs w:val="24"/>
                <w:lang w:val="es-ES"/>
              </w:rPr>
              <w:t>Estabilidad de las condiciones de explotación</w:t>
            </w:r>
          </w:p>
        </w:tc>
        <w:tc>
          <w:tcPr>
            <w:tcW w:w="6804" w:type="dxa"/>
          </w:tcPr>
          <w:p w:rsidR="00166244" w:rsidRPr="003C5D6B" w:rsidRDefault="00166244" w:rsidP="00FF6298">
            <w:pPr>
              <w:pStyle w:val="Tabletext"/>
              <w:spacing w:before="20" w:after="20" w:line="260" w:lineRule="exact"/>
              <w:rPr>
                <w:sz w:val="24"/>
                <w:szCs w:val="24"/>
                <w:lang w:val="es-ES"/>
              </w:rPr>
            </w:pPr>
            <w:r w:rsidRPr="003C5D6B">
              <w:rPr>
                <w:sz w:val="24"/>
                <w:szCs w:val="24"/>
                <w:lang w:val="es-ES"/>
              </w:rPr>
              <w:t>La propensión de los operadores a pagar cánones aumenta con la estabilidad porque la inestabilidad conduce a los operadores a asegurarse contra los riesgos correspondientes.</w:t>
            </w:r>
          </w:p>
        </w:tc>
      </w:tr>
      <w:tr w:rsidR="00166244" w:rsidRPr="00E92FFB" w:rsidTr="009E0C9D">
        <w:trPr>
          <w:jc w:val="center"/>
        </w:trPr>
        <w:tc>
          <w:tcPr>
            <w:tcW w:w="2835" w:type="dxa"/>
          </w:tcPr>
          <w:p w:rsidR="00166244" w:rsidRPr="003C5D6B" w:rsidRDefault="00166244" w:rsidP="00FF6298">
            <w:pPr>
              <w:pStyle w:val="Tabletext"/>
              <w:spacing w:before="20" w:after="20" w:line="260" w:lineRule="exact"/>
              <w:jc w:val="left"/>
              <w:rPr>
                <w:sz w:val="24"/>
                <w:szCs w:val="24"/>
                <w:lang w:val="es-ES"/>
              </w:rPr>
            </w:pPr>
            <w:r w:rsidRPr="003C5D6B">
              <w:rPr>
                <w:sz w:val="24"/>
                <w:szCs w:val="24"/>
                <w:lang w:val="es-ES"/>
              </w:rPr>
              <w:t>Carácter renovable de las autorizaciones</w:t>
            </w:r>
          </w:p>
        </w:tc>
        <w:tc>
          <w:tcPr>
            <w:tcW w:w="6804" w:type="dxa"/>
          </w:tcPr>
          <w:p w:rsidR="00166244" w:rsidRPr="003C5D6B" w:rsidRDefault="00166244" w:rsidP="00FF6298">
            <w:pPr>
              <w:pStyle w:val="Tabletext"/>
              <w:spacing w:before="20" w:after="20" w:line="260" w:lineRule="exact"/>
              <w:rPr>
                <w:sz w:val="24"/>
                <w:szCs w:val="24"/>
                <w:lang w:val="es-ES"/>
              </w:rPr>
            </w:pPr>
            <w:r w:rsidRPr="003C5D6B">
              <w:rPr>
                <w:sz w:val="24"/>
                <w:szCs w:val="24"/>
                <w:lang w:val="es-ES"/>
              </w:rPr>
              <w:t>La influencia de ese elemento es similar a la de la duración de las autorizaciones.</w:t>
            </w:r>
          </w:p>
        </w:tc>
      </w:tr>
      <w:tr w:rsidR="00A504D8" w:rsidRPr="003C5D6B" w:rsidTr="003C5D6B">
        <w:trPr>
          <w:jc w:val="center"/>
        </w:trPr>
        <w:tc>
          <w:tcPr>
            <w:tcW w:w="2835" w:type="dxa"/>
            <w:vAlign w:val="center"/>
          </w:tcPr>
          <w:p w:rsidR="00A504D8" w:rsidRPr="003C5D6B" w:rsidRDefault="00A504D8" w:rsidP="003C5D6B">
            <w:pPr>
              <w:pStyle w:val="Tablehead"/>
              <w:spacing w:before="40" w:after="40" w:line="260" w:lineRule="exact"/>
              <w:jc w:val="left"/>
              <w:rPr>
                <w:sz w:val="24"/>
                <w:szCs w:val="24"/>
                <w:lang w:val="es-ES"/>
              </w:rPr>
            </w:pPr>
            <w:r w:rsidRPr="003C5D6B">
              <w:rPr>
                <w:sz w:val="24"/>
                <w:szCs w:val="24"/>
                <w:lang w:val="es-ES"/>
              </w:rPr>
              <w:lastRenderedPageBreak/>
              <w:t>Elementos socioeconómicos de los países estudiados</w:t>
            </w:r>
          </w:p>
        </w:tc>
        <w:tc>
          <w:tcPr>
            <w:tcW w:w="6804" w:type="dxa"/>
            <w:vAlign w:val="center"/>
          </w:tcPr>
          <w:p w:rsidR="00A504D8" w:rsidRPr="003C5D6B" w:rsidRDefault="00A504D8" w:rsidP="003C5D6B">
            <w:pPr>
              <w:pStyle w:val="Tablehead"/>
              <w:spacing w:before="40" w:after="40" w:line="260" w:lineRule="exact"/>
              <w:rPr>
                <w:sz w:val="24"/>
                <w:szCs w:val="24"/>
                <w:lang w:val="es-ES"/>
              </w:rPr>
            </w:pPr>
            <w:r w:rsidRPr="003C5D6B">
              <w:rPr>
                <w:sz w:val="24"/>
                <w:szCs w:val="24"/>
                <w:lang w:val="es-ES"/>
              </w:rPr>
              <w:t>Comentarios</w:t>
            </w:r>
          </w:p>
        </w:tc>
      </w:tr>
      <w:tr w:rsidR="00BA59E9" w:rsidRPr="00E92FFB" w:rsidTr="009E0C9D">
        <w:trPr>
          <w:jc w:val="center"/>
        </w:trPr>
        <w:tc>
          <w:tcPr>
            <w:tcW w:w="2835" w:type="dxa"/>
          </w:tcPr>
          <w:p w:rsidR="00BA59E9" w:rsidRPr="003C5D6B" w:rsidRDefault="007F7FA8" w:rsidP="00FB234B">
            <w:pPr>
              <w:pStyle w:val="TableNotitle"/>
              <w:spacing w:before="120"/>
              <w:jc w:val="left"/>
              <w:rPr>
                <w:lang w:val="es-ES"/>
              </w:rPr>
            </w:pPr>
            <w:r w:rsidRPr="003C5D6B">
              <w:rPr>
                <w:bCs/>
                <w:sz w:val="24"/>
                <w:szCs w:val="24"/>
                <w:lang w:val="es-ES"/>
              </w:rPr>
              <w:t>Contenido de los pliegos de condiciones de los operadores autorizados</w:t>
            </w:r>
          </w:p>
        </w:tc>
        <w:tc>
          <w:tcPr>
            <w:tcW w:w="6804" w:type="dxa"/>
          </w:tcPr>
          <w:p w:rsidR="00BA59E9" w:rsidRPr="003C5D6B" w:rsidRDefault="00BA59E9" w:rsidP="00EE2C89">
            <w:pPr>
              <w:pStyle w:val="TableNotitle"/>
              <w:spacing w:before="120"/>
              <w:rPr>
                <w:lang w:val="es-ES"/>
              </w:rPr>
            </w:pPr>
          </w:p>
        </w:tc>
      </w:tr>
      <w:tr w:rsidR="00F07A93" w:rsidRPr="00E92FFB" w:rsidTr="009E0C9D">
        <w:trPr>
          <w:jc w:val="center"/>
        </w:trPr>
        <w:tc>
          <w:tcPr>
            <w:tcW w:w="2835" w:type="dxa"/>
          </w:tcPr>
          <w:p w:rsidR="00F07A93" w:rsidRPr="003C5D6B" w:rsidRDefault="00D76CCA" w:rsidP="00F07A93">
            <w:pPr>
              <w:pStyle w:val="Tabletext"/>
              <w:keepNext/>
              <w:keepLines/>
              <w:jc w:val="left"/>
              <w:rPr>
                <w:lang w:val="es-ES"/>
              </w:rPr>
            </w:pPr>
            <w:r w:rsidRPr="003C5D6B">
              <w:rPr>
                <w:sz w:val="24"/>
                <w:szCs w:val="24"/>
                <w:lang w:val="es-ES"/>
              </w:rPr>
              <w:t>Cobertura del territorio</w:t>
            </w:r>
          </w:p>
        </w:tc>
        <w:tc>
          <w:tcPr>
            <w:tcW w:w="6804" w:type="dxa"/>
            <w:vMerge w:val="restart"/>
          </w:tcPr>
          <w:p w:rsidR="00111BDC" w:rsidRPr="003C5D6B" w:rsidRDefault="00111BDC" w:rsidP="009C39CD">
            <w:pPr>
              <w:rPr>
                <w:lang w:val="es-ES"/>
              </w:rPr>
            </w:pPr>
            <w:r w:rsidRPr="003C5D6B">
              <w:rPr>
                <w:lang w:val="es-ES"/>
              </w:rPr>
              <w:t>La presencia de esas obligaciones en el pliego de condiciones aumenta los gastos de explotación proporcionalmente a su grado de exigencia y reduce en la misma proporción la propensión a pagar de los operadores.</w:t>
            </w:r>
          </w:p>
          <w:p w:rsidR="00EB08F1" w:rsidRPr="003C5D6B" w:rsidRDefault="00EB08F1" w:rsidP="000F2F32">
            <w:pPr>
              <w:pStyle w:val="enumlev1"/>
              <w:ind w:left="0" w:firstLine="0"/>
              <w:rPr>
                <w:lang w:val="es-ES"/>
              </w:rPr>
            </w:pPr>
            <w:r w:rsidRPr="003C5D6B">
              <w:rPr>
                <w:lang w:val="es-ES"/>
              </w:rPr>
              <w:t>Para efectuar una comparación pormenorizada, convendría analizar el grado de exigencia relativo a cada una de esas obligaciones teniendo en cuenta en particular:</w:t>
            </w:r>
          </w:p>
          <w:p w:rsidR="009C39CD" w:rsidRPr="003C5D6B" w:rsidRDefault="009C39CD" w:rsidP="00110F70">
            <w:pPr>
              <w:pStyle w:val="enumlev1"/>
              <w:rPr>
                <w:lang w:val="es-ES"/>
              </w:rPr>
            </w:pPr>
            <w:r w:rsidRPr="003C5D6B">
              <w:rPr>
                <w:lang w:val="es-ES"/>
              </w:rPr>
              <w:t>–</w:t>
            </w:r>
            <w:r w:rsidRPr="003C5D6B">
              <w:rPr>
                <w:lang w:val="es-ES"/>
              </w:rPr>
              <w:tab/>
            </w:r>
            <w:r w:rsidR="00EB08F1" w:rsidRPr="003C5D6B">
              <w:rPr>
                <w:lang w:val="es-ES"/>
              </w:rPr>
              <w:t>las condiciones de acceso al servicio internacional que pueden influenciar la calidad del servicio;</w:t>
            </w:r>
          </w:p>
          <w:p w:rsidR="00F07A93" w:rsidRPr="003C5D6B" w:rsidRDefault="009C39CD" w:rsidP="00110F70">
            <w:pPr>
              <w:pStyle w:val="enumlev1"/>
              <w:rPr>
                <w:lang w:val="es-ES"/>
              </w:rPr>
            </w:pPr>
            <w:r w:rsidRPr="003C5D6B">
              <w:rPr>
                <w:lang w:val="es-ES"/>
              </w:rPr>
              <w:t>–</w:t>
            </w:r>
            <w:r w:rsidRPr="003C5D6B">
              <w:rPr>
                <w:lang w:val="es-ES"/>
              </w:rPr>
              <w:tab/>
            </w:r>
            <w:r w:rsidR="00EB08F1" w:rsidRPr="003C5D6B">
              <w:rPr>
                <w:lang w:val="es-ES"/>
              </w:rPr>
              <w:t>la existencia de prácticas/costumbres locales tales como la gratuidad para ciertos usuarios, que disminuye el beneficio de explotación.</w:t>
            </w:r>
          </w:p>
        </w:tc>
      </w:tr>
      <w:tr w:rsidR="00F07A93" w:rsidRPr="003C5D6B" w:rsidTr="009E0C9D">
        <w:trPr>
          <w:jc w:val="center"/>
        </w:trPr>
        <w:tc>
          <w:tcPr>
            <w:tcW w:w="2835" w:type="dxa"/>
          </w:tcPr>
          <w:p w:rsidR="00F07A93" w:rsidRPr="003C5D6B" w:rsidRDefault="00D76CCA" w:rsidP="00F07A93">
            <w:pPr>
              <w:pStyle w:val="Tabletext"/>
              <w:keepNext/>
              <w:keepLines/>
              <w:jc w:val="left"/>
              <w:rPr>
                <w:lang w:val="es-ES"/>
              </w:rPr>
            </w:pPr>
            <w:r w:rsidRPr="003C5D6B">
              <w:rPr>
                <w:sz w:val="24"/>
                <w:szCs w:val="24"/>
                <w:lang w:val="es-ES"/>
              </w:rPr>
              <w:t>Calidad de servicio</w:t>
            </w:r>
          </w:p>
        </w:tc>
        <w:tc>
          <w:tcPr>
            <w:tcW w:w="6804" w:type="dxa"/>
            <w:vMerge/>
          </w:tcPr>
          <w:p w:rsidR="00F07A93" w:rsidRPr="003C5D6B" w:rsidRDefault="00F07A93" w:rsidP="00B45921">
            <w:pPr>
              <w:spacing w:before="0"/>
              <w:jc w:val="left"/>
              <w:rPr>
                <w:sz w:val="24"/>
                <w:szCs w:val="24"/>
                <w:lang w:val="es-ES"/>
              </w:rPr>
            </w:pPr>
          </w:p>
        </w:tc>
      </w:tr>
      <w:tr w:rsidR="00F07A93" w:rsidRPr="00E92FFB" w:rsidTr="009E0C9D">
        <w:trPr>
          <w:jc w:val="center"/>
        </w:trPr>
        <w:tc>
          <w:tcPr>
            <w:tcW w:w="2835" w:type="dxa"/>
          </w:tcPr>
          <w:p w:rsidR="00F07A93" w:rsidRPr="003C5D6B" w:rsidRDefault="00D76CCA" w:rsidP="00F07A93">
            <w:pPr>
              <w:pStyle w:val="Tabletext"/>
              <w:jc w:val="left"/>
              <w:rPr>
                <w:lang w:val="es-ES"/>
              </w:rPr>
            </w:pPr>
            <w:r w:rsidRPr="003C5D6B">
              <w:rPr>
                <w:sz w:val="24"/>
                <w:szCs w:val="24"/>
                <w:lang w:val="es-ES"/>
              </w:rPr>
              <w:t>Participación en el servicio universal</w:t>
            </w:r>
          </w:p>
        </w:tc>
        <w:tc>
          <w:tcPr>
            <w:tcW w:w="6804" w:type="dxa"/>
            <w:vMerge/>
          </w:tcPr>
          <w:p w:rsidR="00F07A93" w:rsidRPr="003C5D6B" w:rsidRDefault="00F07A93" w:rsidP="00B45921">
            <w:pPr>
              <w:spacing w:before="0"/>
              <w:jc w:val="left"/>
              <w:rPr>
                <w:sz w:val="24"/>
                <w:szCs w:val="24"/>
                <w:lang w:val="es-ES"/>
              </w:rPr>
            </w:pPr>
          </w:p>
        </w:tc>
      </w:tr>
      <w:tr w:rsidR="00F07A93" w:rsidRPr="00E92FFB" w:rsidTr="009E0C9D">
        <w:trPr>
          <w:jc w:val="center"/>
        </w:trPr>
        <w:tc>
          <w:tcPr>
            <w:tcW w:w="2835" w:type="dxa"/>
          </w:tcPr>
          <w:p w:rsidR="00F07A93" w:rsidRPr="003C5D6B" w:rsidRDefault="00D76CCA" w:rsidP="00F07A93">
            <w:pPr>
              <w:pStyle w:val="Tabletext"/>
              <w:jc w:val="left"/>
              <w:rPr>
                <w:lang w:val="es-ES"/>
              </w:rPr>
            </w:pPr>
            <w:r w:rsidRPr="003C5D6B">
              <w:rPr>
                <w:sz w:val="24"/>
                <w:szCs w:val="24"/>
                <w:lang w:val="es-ES"/>
              </w:rPr>
              <w:t>Participación en las actividades de investigación y desarrollo en el ámbito de las telecomunicaciones</w:t>
            </w:r>
          </w:p>
        </w:tc>
        <w:tc>
          <w:tcPr>
            <w:tcW w:w="6804" w:type="dxa"/>
            <w:vMerge/>
          </w:tcPr>
          <w:p w:rsidR="00F07A93" w:rsidRPr="003C5D6B" w:rsidRDefault="00F07A93" w:rsidP="00B45921">
            <w:pPr>
              <w:spacing w:before="0"/>
              <w:jc w:val="left"/>
              <w:rPr>
                <w:sz w:val="24"/>
                <w:szCs w:val="24"/>
                <w:lang w:val="es-ES"/>
              </w:rPr>
            </w:pPr>
          </w:p>
        </w:tc>
      </w:tr>
      <w:tr w:rsidR="00F07A93" w:rsidRPr="00E92FFB" w:rsidTr="009E0C9D">
        <w:trPr>
          <w:jc w:val="center"/>
        </w:trPr>
        <w:tc>
          <w:tcPr>
            <w:tcW w:w="2835" w:type="dxa"/>
          </w:tcPr>
          <w:p w:rsidR="00F07A93" w:rsidRPr="003C5D6B" w:rsidRDefault="00D76CCA" w:rsidP="00F07A93">
            <w:pPr>
              <w:pStyle w:val="Tabletext"/>
              <w:jc w:val="left"/>
              <w:rPr>
                <w:lang w:val="es-ES"/>
              </w:rPr>
            </w:pPr>
            <w:r w:rsidRPr="003C5D6B">
              <w:rPr>
                <w:sz w:val="24"/>
                <w:szCs w:val="24"/>
                <w:lang w:val="es-ES"/>
              </w:rPr>
              <w:t>Otras obligaciones (llamada gratuita hacia determinados números, portabilidad de los números ...)</w:t>
            </w:r>
          </w:p>
        </w:tc>
        <w:tc>
          <w:tcPr>
            <w:tcW w:w="6804" w:type="dxa"/>
            <w:vMerge/>
          </w:tcPr>
          <w:p w:rsidR="00F07A93" w:rsidRPr="003C5D6B" w:rsidRDefault="00F07A93" w:rsidP="00B45921">
            <w:pPr>
              <w:spacing w:before="0"/>
              <w:jc w:val="left"/>
              <w:rPr>
                <w:sz w:val="24"/>
                <w:szCs w:val="24"/>
                <w:lang w:val="es-ES"/>
              </w:rPr>
            </w:pPr>
          </w:p>
        </w:tc>
      </w:tr>
    </w:tbl>
    <w:p w:rsidR="009E0C9D" w:rsidRPr="003C5D6B" w:rsidRDefault="009E0C9D" w:rsidP="000A3545">
      <w:pPr>
        <w:pStyle w:val="FigureSource"/>
        <w:rPr>
          <w:lang w:val="es-ES"/>
        </w:rPr>
      </w:pPr>
    </w:p>
    <w:p w:rsidR="00442D03" w:rsidRPr="003C5D6B" w:rsidRDefault="00442D03" w:rsidP="00996B72">
      <w:pPr>
        <w:rPr>
          <w:lang w:val="es-ES"/>
        </w:rPr>
      </w:pPr>
    </w:p>
    <w:p w:rsidR="000F486E" w:rsidRPr="003C5D6B" w:rsidRDefault="000F486E">
      <w:pPr>
        <w:tabs>
          <w:tab w:val="clear" w:pos="794"/>
          <w:tab w:val="clear" w:pos="1191"/>
          <w:tab w:val="clear" w:pos="1588"/>
          <w:tab w:val="clear" w:pos="1985"/>
        </w:tabs>
        <w:overflowPunct/>
        <w:autoSpaceDE/>
        <w:autoSpaceDN/>
        <w:adjustRightInd/>
        <w:spacing w:before="0"/>
        <w:jc w:val="left"/>
        <w:textAlignment w:val="auto"/>
        <w:rPr>
          <w:b/>
          <w:sz w:val="24"/>
          <w:szCs w:val="24"/>
          <w:lang w:val="es-ES"/>
        </w:rPr>
      </w:pPr>
      <w:r w:rsidRPr="003C5D6B">
        <w:rPr>
          <w:b/>
          <w:sz w:val="24"/>
          <w:szCs w:val="24"/>
          <w:lang w:val="es-ES"/>
        </w:rPr>
        <w:br w:type="page"/>
      </w:r>
    </w:p>
    <w:p w:rsidR="000F486E" w:rsidRPr="003C5D6B" w:rsidDel="004D11AA" w:rsidRDefault="00A06987" w:rsidP="00A06987">
      <w:pPr>
        <w:pStyle w:val="AppendixNotitle"/>
        <w:rPr>
          <w:bCs/>
        </w:rPr>
      </w:pPr>
      <w:bookmarkStart w:id="222" w:name="_Toc280260011"/>
      <w:bookmarkStart w:id="223" w:name="_Toc280260873"/>
      <w:bookmarkStart w:id="224" w:name="_Toc280272472"/>
      <w:bookmarkStart w:id="225" w:name="_Toc284414143"/>
      <w:bookmarkStart w:id="226" w:name="_Toc284499182"/>
      <w:bookmarkStart w:id="227" w:name="_Toc287523336"/>
      <w:r w:rsidRPr="00E92FFB">
        <w:rPr>
          <w:lang w:val="en-US"/>
        </w:rPr>
        <w:lastRenderedPageBreak/>
        <w:t>Apéndice</w:t>
      </w:r>
      <w:r w:rsidR="000F486E" w:rsidRPr="00E92FFB">
        <w:rPr>
          <w:lang w:val="en-US"/>
        </w:rPr>
        <w:t xml:space="preserve"> 1.1</w:t>
      </w:r>
      <w:r w:rsidR="00C862A2" w:rsidRPr="00E92FFB">
        <w:rPr>
          <w:lang w:val="en-US"/>
        </w:rPr>
        <w:t xml:space="preserve"> (</w:t>
      </w:r>
      <w:r w:rsidRPr="00E92FFB">
        <w:rPr>
          <w:lang w:val="en-US"/>
        </w:rPr>
        <w:t>inglés</w:t>
      </w:r>
      <w:r w:rsidR="00C862A2" w:rsidRPr="00E92FFB">
        <w:rPr>
          <w:lang w:val="en-US"/>
        </w:rPr>
        <w:t>)</w:t>
      </w:r>
      <w:r w:rsidR="000F486E" w:rsidRPr="00E92FFB">
        <w:rPr>
          <w:lang w:val="en-US"/>
        </w:rPr>
        <w:br/>
      </w:r>
      <w:r w:rsidR="000F486E" w:rsidRPr="00E92FFB">
        <w:rPr>
          <w:bCs/>
          <w:sz w:val="24"/>
          <w:szCs w:val="24"/>
          <w:lang w:val="en-US"/>
        </w:rPr>
        <w:br/>
      </w:r>
      <w:r w:rsidR="000F486E" w:rsidRPr="003C5D6B">
        <w:t>United Arab Emirates: Basic elements of spectrum fees policy</w:t>
      </w:r>
      <w:bookmarkEnd w:id="222"/>
      <w:bookmarkEnd w:id="223"/>
      <w:bookmarkEnd w:id="224"/>
      <w:bookmarkEnd w:id="225"/>
      <w:bookmarkEnd w:id="226"/>
      <w:bookmarkEnd w:id="227"/>
    </w:p>
    <w:p w:rsidR="008168B7" w:rsidRPr="003C5D6B" w:rsidRDefault="008168B7" w:rsidP="008168B7"/>
    <w:p w:rsidR="00A06987" w:rsidRPr="003C5D6B" w:rsidRDefault="00A06987" w:rsidP="00A06987">
      <w:pPr>
        <w:pStyle w:val="Heading1"/>
      </w:pPr>
      <w:bookmarkStart w:id="228" w:name="_Toc280260012"/>
      <w:bookmarkStart w:id="229" w:name="_Toc280260874"/>
      <w:bookmarkStart w:id="230" w:name="_Toc280272473"/>
      <w:bookmarkStart w:id="231" w:name="_Toc284414144"/>
      <w:bookmarkStart w:id="232" w:name="_Toc286314888"/>
      <w:bookmarkStart w:id="233" w:name="_Toc287523337"/>
      <w:r w:rsidRPr="003C5D6B">
        <w:t>Introduction</w:t>
      </w:r>
      <w:bookmarkEnd w:id="228"/>
      <w:bookmarkEnd w:id="229"/>
      <w:bookmarkEnd w:id="230"/>
      <w:bookmarkEnd w:id="231"/>
      <w:bookmarkEnd w:id="232"/>
      <w:bookmarkEnd w:id="233"/>
    </w:p>
    <w:p w:rsidR="00A06987" w:rsidRPr="003C5D6B" w:rsidRDefault="00A06987" w:rsidP="003C5D6B">
      <w:pPr>
        <w:pStyle w:val="CEONormal"/>
        <w:jc w:val="both"/>
        <w:rPr>
          <w:rFonts w:asciiTheme="majorBidi" w:hAnsiTheme="majorBidi" w:cstheme="majorBidi"/>
          <w:sz w:val="22"/>
          <w:szCs w:val="22"/>
        </w:rPr>
      </w:pPr>
      <w:r w:rsidRPr="003C5D6B">
        <w:rPr>
          <w:rFonts w:asciiTheme="majorBidi" w:hAnsiTheme="majorBidi" w:cstheme="majorBidi"/>
          <w:sz w:val="22"/>
          <w:szCs w:val="22"/>
        </w:rPr>
        <w:t>This document serve</w:t>
      </w:r>
      <w:r w:rsidR="003C5D6B">
        <w:rPr>
          <w:rFonts w:asciiTheme="majorBidi" w:hAnsiTheme="majorBidi" w:cstheme="majorBidi"/>
          <w:sz w:val="22"/>
          <w:szCs w:val="22"/>
        </w:rPr>
        <w:t>s</w:t>
      </w:r>
      <w:r w:rsidRPr="003C5D6B">
        <w:rPr>
          <w:rFonts w:asciiTheme="majorBidi" w:hAnsiTheme="majorBidi" w:cstheme="majorBidi"/>
          <w:sz w:val="22"/>
          <w:szCs w:val="22"/>
        </w:rPr>
        <w:t xml:space="preserve"> the work of preparing the Guidelines for the System of Fees for the Use of the Radio Frequency Spectrum, with the aim to give an actual &amp; comprehensive guidelines as well as example of Spectrum Fees Policy that could be helpful to consider or to use by some of the countries, in particular developing and least developed countries, while drafting new SF policies or revising them.</w:t>
      </w:r>
    </w:p>
    <w:p w:rsidR="00A06987" w:rsidRPr="003C5D6B" w:rsidRDefault="00A06987" w:rsidP="00A06987">
      <w:pPr>
        <w:pStyle w:val="Heading1"/>
      </w:pPr>
      <w:bookmarkStart w:id="234" w:name="_Toc280260013"/>
      <w:bookmarkStart w:id="235" w:name="_Toc280260875"/>
      <w:bookmarkStart w:id="236" w:name="_Toc280272474"/>
      <w:bookmarkStart w:id="237" w:name="_Toc284414145"/>
      <w:bookmarkStart w:id="238" w:name="_Toc286314889"/>
      <w:bookmarkStart w:id="239" w:name="_Toc287523338"/>
      <w:r w:rsidRPr="003C5D6B">
        <w:t>Basic Elements of SF Policy</w:t>
      </w:r>
      <w:bookmarkEnd w:id="234"/>
      <w:bookmarkEnd w:id="235"/>
      <w:bookmarkEnd w:id="236"/>
      <w:bookmarkEnd w:id="237"/>
      <w:bookmarkEnd w:id="238"/>
      <w:bookmarkEnd w:id="239"/>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 xml:space="preserve">It is very important to mention in the beginning </w:t>
      </w:r>
      <w:r w:rsidR="00101375" w:rsidRPr="003C5D6B">
        <w:rPr>
          <w:rFonts w:asciiTheme="majorBidi" w:hAnsiTheme="majorBidi" w:cstheme="majorBidi"/>
          <w:sz w:val="22"/>
          <w:szCs w:val="22"/>
        </w:rPr>
        <w:t>of this document that there is ‘</w:t>
      </w:r>
      <w:r w:rsidRPr="003C5D6B">
        <w:rPr>
          <w:rFonts w:asciiTheme="majorBidi" w:hAnsiTheme="majorBidi" w:cstheme="majorBidi"/>
          <w:sz w:val="22"/>
          <w:szCs w:val="22"/>
        </w:rPr>
        <w:t xml:space="preserve">no one solution fits all’ in spectrum economics. </w:t>
      </w:r>
      <w:r w:rsidRPr="003C5D6B">
        <w:rPr>
          <w:rFonts w:asciiTheme="majorBidi" w:hAnsiTheme="majorBidi" w:cstheme="majorBidi"/>
          <w:sz w:val="22"/>
          <w:szCs w:val="22"/>
          <w:u w:val="single"/>
        </w:rPr>
        <w:t>Each country has its own legal, regulatory and economic objectives, and prevalent conditions based on which a customized solution has to be prepared with provisions to improve upon and at the same time maintaining assurance of stability in the fees regime</w:t>
      </w:r>
      <w:r w:rsidRPr="003C5D6B">
        <w:rPr>
          <w:rFonts w:asciiTheme="majorBidi" w:hAnsiTheme="majorBidi" w:cstheme="majorBidi"/>
          <w:sz w:val="22"/>
          <w:szCs w:val="22"/>
        </w:rPr>
        <w:t xml:space="preserve">. </w:t>
      </w:r>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These guidelines propose some of the essential elements that are considered to be essential for any SF Policy:</w:t>
      </w:r>
    </w:p>
    <w:p w:rsidR="00A06987" w:rsidRPr="003C5D6B" w:rsidRDefault="00A06987" w:rsidP="00A06987">
      <w:pPr>
        <w:pStyle w:val="Heading1"/>
      </w:pPr>
      <w:bookmarkStart w:id="240" w:name="_Toc280260014"/>
      <w:bookmarkStart w:id="241" w:name="_Toc280260876"/>
      <w:bookmarkStart w:id="242" w:name="_Toc280272475"/>
      <w:bookmarkStart w:id="243" w:name="_Toc284414146"/>
      <w:bookmarkStart w:id="244" w:name="_Toc286314890"/>
      <w:bookmarkStart w:id="245" w:name="_Toc287523339"/>
      <w:r w:rsidRPr="003C5D6B">
        <w:t>1</w:t>
      </w:r>
      <w:r w:rsidRPr="003C5D6B">
        <w:tab/>
        <w:t>Reference to the Law</w:t>
      </w:r>
      <w:bookmarkEnd w:id="240"/>
      <w:bookmarkEnd w:id="241"/>
      <w:bookmarkEnd w:id="242"/>
      <w:bookmarkEnd w:id="243"/>
      <w:bookmarkEnd w:id="244"/>
      <w:bookmarkEnd w:id="245"/>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It is important to highlight in the beginning of SF Policy the LAW or the legal authority from where the power to charge for the spectrum management activities are derived.</w:t>
      </w:r>
    </w:p>
    <w:p w:rsidR="00A06987" w:rsidRPr="003C5D6B" w:rsidRDefault="00A06987" w:rsidP="00A06987">
      <w:pPr>
        <w:pStyle w:val="Heading1"/>
      </w:pPr>
      <w:bookmarkStart w:id="246" w:name="_Toc280260015"/>
      <w:bookmarkStart w:id="247" w:name="_Toc280260877"/>
      <w:bookmarkStart w:id="248" w:name="_Toc280272476"/>
      <w:bookmarkStart w:id="249" w:name="_Toc284414147"/>
      <w:bookmarkStart w:id="250" w:name="_Toc286314891"/>
      <w:bookmarkStart w:id="251" w:name="_Toc287523340"/>
      <w:r w:rsidRPr="003C5D6B">
        <w:t>2</w:t>
      </w:r>
      <w:r w:rsidRPr="003C5D6B">
        <w:tab/>
        <w:t>Important Definitions</w:t>
      </w:r>
      <w:bookmarkEnd w:id="246"/>
      <w:bookmarkEnd w:id="247"/>
      <w:bookmarkEnd w:id="248"/>
      <w:bookmarkEnd w:id="249"/>
      <w:bookmarkEnd w:id="250"/>
      <w:bookmarkEnd w:id="251"/>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It is important to have such part, not only to shorten the size of the Policy document but more importantly to remove any ambiguity on the meaning of any of the terms used.</w:t>
      </w:r>
    </w:p>
    <w:p w:rsidR="00A06987" w:rsidRPr="003C5D6B" w:rsidRDefault="00A06987" w:rsidP="00A06987">
      <w:pPr>
        <w:pStyle w:val="Heading1"/>
      </w:pPr>
      <w:bookmarkStart w:id="252" w:name="_Toc280260016"/>
      <w:bookmarkStart w:id="253" w:name="_Toc280260878"/>
      <w:bookmarkStart w:id="254" w:name="_Toc280272477"/>
      <w:bookmarkStart w:id="255" w:name="_Toc284414148"/>
      <w:bookmarkStart w:id="256" w:name="_Toc286314892"/>
      <w:bookmarkStart w:id="257" w:name="_Toc287523341"/>
      <w:r w:rsidRPr="003C5D6B">
        <w:t>3</w:t>
      </w:r>
      <w:r w:rsidRPr="003C5D6B">
        <w:tab/>
        <w:t>Type of Fees</w:t>
      </w:r>
      <w:bookmarkEnd w:id="252"/>
      <w:bookmarkEnd w:id="253"/>
      <w:bookmarkEnd w:id="254"/>
      <w:bookmarkEnd w:id="255"/>
      <w:bookmarkEnd w:id="256"/>
      <w:bookmarkEnd w:id="257"/>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It is useful to divide the fees categories of administrative fees for SM activities into components and details of the factors used for charging the spectrum usage fees; such as:</w:t>
      </w:r>
    </w:p>
    <w:p w:rsidR="00A06987" w:rsidRPr="003C5D6B" w:rsidRDefault="00A06987" w:rsidP="00A06987">
      <w:pPr>
        <w:pStyle w:val="Heading2"/>
      </w:pPr>
      <w:bookmarkStart w:id="258" w:name="_Toc280260017"/>
      <w:bookmarkStart w:id="259" w:name="_Toc280272478"/>
      <w:bookmarkStart w:id="260" w:name="_Toc284414149"/>
      <w:bookmarkStart w:id="261" w:name="_Toc286314893"/>
      <w:bookmarkStart w:id="262" w:name="_Toc287523342"/>
      <w:r w:rsidRPr="003C5D6B">
        <w:t>A</w:t>
      </w:r>
      <w:r w:rsidRPr="003C5D6B">
        <w:tab/>
        <w:t>Basic Fees</w:t>
      </w:r>
      <w:bookmarkEnd w:id="258"/>
      <w:bookmarkEnd w:id="259"/>
      <w:bookmarkEnd w:id="260"/>
      <w:bookmarkEnd w:id="261"/>
      <w:bookmarkEnd w:id="262"/>
    </w:p>
    <w:p w:rsidR="00A06987" w:rsidRPr="003C5D6B" w:rsidRDefault="00A06987" w:rsidP="00A06987">
      <w:pPr>
        <w:pStyle w:val="enumlev1"/>
      </w:pPr>
      <w:r w:rsidRPr="003C5D6B">
        <w:t>–</w:t>
      </w:r>
      <w:r w:rsidRPr="003C5D6B">
        <w:tab/>
        <w:t>Application Processing Fees: flat non-refundable fee for processing the application irrespective of the final status.</w:t>
      </w:r>
    </w:p>
    <w:p w:rsidR="00A06987" w:rsidRPr="003C5D6B" w:rsidRDefault="00A06987" w:rsidP="00A06987">
      <w:pPr>
        <w:pStyle w:val="enumlev1"/>
      </w:pPr>
      <w:r w:rsidRPr="003C5D6B">
        <w:t>–</w:t>
      </w:r>
      <w:r w:rsidRPr="003C5D6B">
        <w:tab/>
        <w:t>Spectrum Fees: fees relative to the utilization of the spectrum.</w:t>
      </w:r>
    </w:p>
    <w:p w:rsidR="00A06987" w:rsidRPr="003C5D6B" w:rsidRDefault="00A06987" w:rsidP="00A06987">
      <w:pPr>
        <w:pStyle w:val="Heading2"/>
      </w:pPr>
      <w:bookmarkStart w:id="263" w:name="_Toc280260018"/>
      <w:bookmarkStart w:id="264" w:name="_Toc280272479"/>
      <w:bookmarkStart w:id="265" w:name="_Toc284414150"/>
      <w:bookmarkStart w:id="266" w:name="_Toc286314894"/>
      <w:bookmarkStart w:id="267" w:name="_Toc287523343"/>
      <w:r w:rsidRPr="003C5D6B">
        <w:t>B</w:t>
      </w:r>
      <w:r w:rsidRPr="003C5D6B">
        <w:tab/>
        <w:t>Additional Fees</w:t>
      </w:r>
      <w:bookmarkEnd w:id="263"/>
      <w:bookmarkEnd w:id="264"/>
      <w:bookmarkEnd w:id="265"/>
      <w:bookmarkEnd w:id="266"/>
      <w:bookmarkEnd w:id="267"/>
    </w:p>
    <w:p w:rsidR="00A06987" w:rsidRPr="003C5D6B" w:rsidRDefault="00A06987" w:rsidP="00A06987">
      <w:pPr>
        <w:pStyle w:val="enumlev1"/>
      </w:pPr>
      <w:r w:rsidRPr="003C5D6B">
        <w:t>–</w:t>
      </w:r>
      <w:r w:rsidRPr="003C5D6B">
        <w:tab/>
        <w:t>Reproduction, Modifications, Cancellation fees: the definition and applied fees for each should be specified.</w:t>
      </w:r>
    </w:p>
    <w:p w:rsidR="00A06987" w:rsidRPr="003C5D6B" w:rsidRDefault="00A06987" w:rsidP="00A06987">
      <w:pPr>
        <w:pStyle w:val="enumlev1"/>
      </w:pPr>
      <w:r w:rsidRPr="003C5D6B">
        <w:t>–</w:t>
      </w:r>
      <w:r w:rsidRPr="003C5D6B">
        <w:tab/>
        <w:t xml:space="preserve">Other Fees due to special services requested from the Authority, such Interference Complaints processing and monitoring, Site Surveys, etc. </w:t>
      </w:r>
    </w:p>
    <w:p w:rsidR="00A06987" w:rsidRPr="003C5D6B" w:rsidRDefault="00A06987" w:rsidP="00A06987">
      <w:pPr>
        <w:pStyle w:val="Heading1"/>
      </w:pPr>
      <w:bookmarkStart w:id="268" w:name="_Toc280260019"/>
      <w:bookmarkStart w:id="269" w:name="_Toc280260879"/>
      <w:bookmarkStart w:id="270" w:name="_Toc280272480"/>
      <w:bookmarkStart w:id="271" w:name="_Toc284414151"/>
      <w:bookmarkStart w:id="272" w:name="_Toc286314895"/>
      <w:bookmarkStart w:id="273" w:name="_Toc287523344"/>
      <w:r w:rsidRPr="003C5D6B">
        <w:t>4</w:t>
      </w:r>
      <w:r w:rsidRPr="003C5D6B">
        <w:tab/>
        <w:t>Method of payment</w:t>
      </w:r>
      <w:bookmarkEnd w:id="268"/>
      <w:bookmarkEnd w:id="269"/>
      <w:bookmarkEnd w:id="270"/>
      <w:bookmarkEnd w:id="271"/>
      <w:bookmarkEnd w:id="272"/>
      <w:bookmarkEnd w:id="273"/>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It should be clear how the Authority would like to receive any of the above fees, for example:</w:t>
      </w:r>
    </w:p>
    <w:p w:rsidR="00A06987" w:rsidRPr="003C5D6B" w:rsidRDefault="00A06987" w:rsidP="00A06987">
      <w:pPr>
        <w:pStyle w:val="enumlev1"/>
      </w:pPr>
      <w:r w:rsidRPr="003C5D6B">
        <w:t>–</w:t>
      </w:r>
      <w:r w:rsidRPr="003C5D6B">
        <w:tab/>
        <w:t>In advance or post payment, etc.</w:t>
      </w:r>
    </w:p>
    <w:p w:rsidR="00A06987" w:rsidRPr="00E92FFB" w:rsidRDefault="00A06987" w:rsidP="00A06987">
      <w:pPr>
        <w:pStyle w:val="enumlev1"/>
        <w:rPr>
          <w:lang w:val="fr-CH"/>
        </w:rPr>
      </w:pPr>
      <w:r w:rsidRPr="00E92FFB">
        <w:rPr>
          <w:lang w:val="fr-CH"/>
        </w:rPr>
        <w:t>–</w:t>
      </w:r>
      <w:r w:rsidRPr="00E92FFB">
        <w:rPr>
          <w:lang w:val="fr-CH"/>
        </w:rPr>
        <w:tab/>
        <w:t>Cheque, direct bank deposits, etc.</w:t>
      </w:r>
    </w:p>
    <w:p w:rsidR="00A06987" w:rsidRPr="003C5D6B" w:rsidRDefault="00A06987" w:rsidP="00A06987">
      <w:pPr>
        <w:pStyle w:val="enumlev1"/>
      </w:pPr>
      <w:r w:rsidRPr="003C5D6B">
        <w:lastRenderedPageBreak/>
        <w:t>–</w:t>
      </w:r>
      <w:r w:rsidRPr="003C5D6B">
        <w:tab/>
        <w:t>Deadline before which the payment should be received the further actions to be taken if the deadline was not met.</w:t>
      </w:r>
    </w:p>
    <w:p w:rsidR="00A06987" w:rsidRPr="003C5D6B" w:rsidRDefault="00A06987" w:rsidP="00A06987">
      <w:pPr>
        <w:pStyle w:val="Heading1"/>
      </w:pPr>
      <w:bookmarkStart w:id="274" w:name="_Toc280260020"/>
      <w:bookmarkStart w:id="275" w:name="_Toc280260880"/>
      <w:bookmarkStart w:id="276" w:name="_Toc280272481"/>
      <w:bookmarkStart w:id="277" w:name="_Toc284414152"/>
      <w:bookmarkStart w:id="278" w:name="_Toc286314896"/>
      <w:bookmarkStart w:id="279" w:name="_Toc287523345"/>
      <w:r w:rsidRPr="003C5D6B">
        <w:t>5</w:t>
      </w:r>
      <w:r w:rsidRPr="003C5D6B">
        <w:tab/>
        <w:t>Fees Exemptions</w:t>
      </w:r>
      <w:bookmarkEnd w:id="274"/>
      <w:bookmarkEnd w:id="275"/>
      <w:bookmarkEnd w:id="276"/>
      <w:bookmarkEnd w:id="277"/>
      <w:bookmarkEnd w:id="278"/>
      <w:bookmarkEnd w:id="279"/>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Exemption of any of the Fees for particular services and/or particular individuals should be indicated clearly in the policy along with any conditions associated with it.</w:t>
      </w:r>
    </w:p>
    <w:p w:rsidR="00A06987" w:rsidRPr="003C5D6B" w:rsidRDefault="00A06987" w:rsidP="00A06987">
      <w:pPr>
        <w:pStyle w:val="Heading1"/>
      </w:pPr>
      <w:bookmarkStart w:id="280" w:name="_Toc280260021"/>
      <w:bookmarkStart w:id="281" w:name="_Toc280260881"/>
      <w:bookmarkStart w:id="282" w:name="_Toc280272482"/>
      <w:bookmarkStart w:id="283" w:name="_Toc284414153"/>
      <w:bookmarkStart w:id="284" w:name="_Toc286314897"/>
      <w:bookmarkStart w:id="285" w:name="_Toc287523346"/>
      <w:r w:rsidRPr="003C5D6B">
        <w:t>6</w:t>
      </w:r>
      <w:r w:rsidRPr="003C5D6B">
        <w:tab/>
        <w:t>Spectrum fees calculation</w:t>
      </w:r>
      <w:bookmarkEnd w:id="280"/>
      <w:bookmarkEnd w:id="281"/>
      <w:bookmarkEnd w:id="282"/>
      <w:bookmarkEnd w:id="283"/>
      <w:bookmarkEnd w:id="284"/>
      <w:bookmarkEnd w:id="285"/>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The calculation of such fees should reflect both Administrative Cost for Spectrum Management activities, as well as the Spectrum Market value.</w:t>
      </w:r>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Method of calculating the Spectrum Fees should be given clearly for each service and its relevant frequency band(s), and should be based on a rational.</w:t>
      </w:r>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There are various calculation methods for Spectrum Fees, varying from having a flat rate to applying very complex formulas.</w:t>
      </w:r>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Some of the factors that could be considered in developing such calculations are:</w:t>
      </w:r>
    </w:p>
    <w:p w:rsidR="00A06987" w:rsidRPr="003C5D6B" w:rsidRDefault="00A06987" w:rsidP="00A06987">
      <w:pPr>
        <w:pStyle w:val="enumlev1"/>
      </w:pPr>
      <w:r w:rsidRPr="003C5D6B">
        <w:t>–</w:t>
      </w:r>
      <w:r w:rsidRPr="003C5D6B">
        <w:tab/>
        <w:t>Frequency band (Spectrum demand and congestion)</w:t>
      </w:r>
    </w:p>
    <w:p w:rsidR="00A06987" w:rsidRPr="003C5D6B" w:rsidRDefault="00A06987" w:rsidP="00A06987">
      <w:pPr>
        <w:pStyle w:val="enumlev1"/>
      </w:pPr>
      <w:r w:rsidRPr="003C5D6B">
        <w:t>–</w:t>
      </w:r>
      <w:r w:rsidRPr="003C5D6B">
        <w:tab/>
        <w:t>Bandwidth</w:t>
      </w:r>
    </w:p>
    <w:p w:rsidR="00A06987" w:rsidRPr="003C5D6B" w:rsidRDefault="00A06987" w:rsidP="00A06987">
      <w:pPr>
        <w:pStyle w:val="enumlev1"/>
      </w:pPr>
      <w:r w:rsidRPr="003C5D6B">
        <w:t>–</w:t>
      </w:r>
      <w:r w:rsidRPr="003C5D6B">
        <w:tab/>
        <w:t>Power, Height, and resulted coverage area</w:t>
      </w:r>
    </w:p>
    <w:p w:rsidR="00A06987" w:rsidRPr="003C5D6B" w:rsidRDefault="00A06987" w:rsidP="00A06987">
      <w:pPr>
        <w:pStyle w:val="enumlev1"/>
      </w:pPr>
      <w:r w:rsidRPr="003C5D6B">
        <w:t>–</w:t>
      </w:r>
      <w:r w:rsidRPr="003C5D6B">
        <w:tab/>
        <w:t>Location (Spectrum demand and congestion)</w:t>
      </w:r>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Bonus factors as well as special temporary discounts could be proposed to encourage the use of some bands or the introduction of particular services.</w:t>
      </w:r>
    </w:p>
    <w:p w:rsidR="00A06987" w:rsidRPr="003C5D6B" w:rsidRDefault="00A06987" w:rsidP="00A06987">
      <w:pPr>
        <w:pStyle w:val="Heading1"/>
      </w:pPr>
      <w:bookmarkStart w:id="286" w:name="_Toc280260022"/>
      <w:bookmarkStart w:id="287" w:name="_Toc280260882"/>
      <w:bookmarkStart w:id="288" w:name="_Toc280272483"/>
      <w:bookmarkStart w:id="289" w:name="_Toc284414154"/>
      <w:bookmarkStart w:id="290" w:name="_Toc286314898"/>
      <w:bookmarkStart w:id="291" w:name="_Toc287523347"/>
      <w:r w:rsidRPr="003C5D6B">
        <w:t>7</w:t>
      </w:r>
      <w:r w:rsidRPr="003C5D6B">
        <w:tab/>
        <w:t>Low Power and Short Range Devices</w:t>
      </w:r>
      <w:bookmarkEnd w:id="286"/>
      <w:bookmarkEnd w:id="287"/>
      <w:bookmarkEnd w:id="288"/>
      <w:bookmarkEnd w:id="289"/>
      <w:bookmarkEnd w:id="290"/>
      <w:bookmarkEnd w:id="291"/>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Treatment of short range devices as well as services which are exempted from the above fees should also be clearly mentioned and any associated conditions could be specified.</w:t>
      </w:r>
    </w:p>
    <w:p w:rsidR="00A06987" w:rsidRPr="003C5D6B" w:rsidRDefault="00A06987" w:rsidP="00A06987">
      <w:pPr>
        <w:pStyle w:val="Heading1"/>
      </w:pPr>
      <w:bookmarkStart w:id="292" w:name="_Toc280260023"/>
      <w:bookmarkStart w:id="293" w:name="_Toc280260883"/>
      <w:bookmarkStart w:id="294" w:name="_Toc280272484"/>
      <w:bookmarkStart w:id="295" w:name="_Toc284414155"/>
      <w:bookmarkStart w:id="296" w:name="_Toc286314899"/>
      <w:bookmarkStart w:id="297" w:name="_Toc287523348"/>
      <w:r w:rsidRPr="003C5D6B">
        <w:t>8</w:t>
      </w:r>
      <w:r w:rsidRPr="003C5D6B">
        <w:tab/>
        <w:t>Fees due to Cancellation, Reproduction, and Modification of an Authorization</w:t>
      </w:r>
      <w:bookmarkEnd w:id="292"/>
      <w:bookmarkEnd w:id="293"/>
      <w:bookmarkEnd w:id="294"/>
      <w:bookmarkEnd w:id="295"/>
      <w:bookmarkEnd w:id="296"/>
      <w:bookmarkEnd w:id="297"/>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The definition and the associated fees, if any, of each should be clearly indicated.</w:t>
      </w:r>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Furthermore, it should be clear if a Modification results more Spectrum fees, how the difference to be paid by the user,</w:t>
      </w:r>
      <w:r w:rsidR="003C5D6B">
        <w:rPr>
          <w:rFonts w:asciiTheme="majorBidi" w:hAnsiTheme="majorBidi" w:cstheme="majorBidi"/>
          <w:sz w:val="22"/>
          <w:szCs w:val="22"/>
        </w:rPr>
        <w:t xml:space="preserve"> </w:t>
      </w:r>
      <w:r w:rsidRPr="003C5D6B">
        <w:rPr>
          <w:rFonts w:asciiTheme="majorBidi" w:hAnsiTheme="majorBidi" w:cstheme="majorBidi"/>
          <w:sz w:val="22"/>
          <w:szCs w:val="22"/>
        </w:rPr>
        <w:t>is calculated. And in case the modification results in less Spectrum fees wither the Telecom Authority has to reimburse the difference back to the user, and if that is the case how it should reimburse the amount.</w:t>
      </w:r>
    </w:p>
    <w:p w:rsidR="00A06987" w:rsidRPr="003C5D6B" w:rsidRDefault="00A06987" w:rsidP="00A06987">
      <w:pPr>
        <w:pStyle w:val="Heading1"/>
      </w:pPr>
      <w:bookmarkStart w:id="298" w:name="_Toc280260024"/>
      <w:bookmarkStart w:id="299" w:name="_Toc280260884"/>
      <w:bookmarkStart w:id="300" w:name="_Toc280272485"/>
      <w:bookmarkStart w:id="301" w:name="_Toc284414156"/>
      <w:bookmarkStart w:id="302" w:name="_Toc286314900"/>
      <w:bookmarkStart w:id="303" w:name="_Toc287523349"/>
      <w:r w:rsidRPr="003C5D6B">
        <w:t>9</w:t>
      </w:r>
      <w:r w:rsidRPr="003C5D6B">
        <w:tab/>
        <w:t>Treatment of Emergency and Disaster frequencies</w:t>
      </w:r>
      <w:bookmarkEnd w:id="298"/>
      <w:bookmarkEnd w:id="299"/>
      <w:bookmarkEnd w:id="300"/>
      <w:bookmarkEnd w:id="301"/>
      <w:bookmarkEnd w:id="302"/>
      <w:bookmarkEnd w:id="303"/>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It is maybe helpful to mention that all such authorized frequencies and equipments are exempted of any fees, or otherwise as the Authority wishes to treat such frequency usage.</w:t>
      </w:r>
    </w:p>
    <w:p w:rsidR="00A06987" w:rsidRPr="003C5D6B" w:rsidRDefault="00A06987" w:rsidP="00A06987">
      <w:pPr>
        <w:pStyle w:val="Heading1"/>
      </w:pPr>
      <w:bookmarkStart w:id="304" w:name="_Toc280260025"/>
      <w:bookmarkStart w:id="305" w:name="_Toc280260885"/>
      <w:bookmarkStart w:id="306" w:name="_Toc280272486"/>
      <w:bookmarkStart w:id="307" w:name="_Toc284414157"/>
      <w:bookmarkStart w:id="308" w:name="_Toc286314901"/>
      <w:bookmarkStart w:id="309" w:name="_Toc287523350"/>
      <w:r w:rsidRPr="003C5D6B">
        <w:t>10</w:t>
      </w:r>
      <w:r w:rsidRPr="003C5D6B">
        <w:tab/>
        <w:t>Temporary Authorizations</w:t>
      </w:r>
      <w:bookmarkEnd w:id="304"/>
      <w:bookmarkEnd w:id="305"/>
      <w:bookmarkEnd w:id="306"/>
      <w:bookmarkEnd w:id="307"/>
      <w:bookmarkEnd w:id="308"/>
      <w:bookmarkEnd w:id="309"/>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 xml:space="preserve">Calculation of fees to be applied for such cases should be clearly specified. </w:t>
      </w:r>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Minimum Fees, Minimum Time Unit used to calculate such Authorizations and other major associated conditions, maybe useful to indicate.</w:t>
      </w:r>
    </w:p>
    <w:p w:rsidR="00A06987" w:rsidRPr="003C5D6B" w:rsidRDefault="00A06987" w:rsidP="00A06987">
      <w:pPr>
        <w:pStyle w:val="Heading1"/>
      </w:pPr>
      <w:bookmarkStart w:id="310" w:name="_Toc280260026"/>
      <w:bookmarkStart w:id="311" w:name="_Toc280260886"/>
      <w:bookmarkStart w:id="312" w:name="_Toc280272487"/>
      <w:bookmarkStart w:id="313" w:name="_Toc284414158"/>
      <w:bookmarkStart w:id="314" w:name="_Toc286314902"/>
      <w:bookmarkStart w:id="315" w:name="_Toc287523351"/>
      <w:r w:rsidRPr="003C5D6B">
        <w:lastRenderedPageBreak/>
        <w:t>11</w:t>
      </w:r>
      <w:r w:rsidRPr="003C5D6B">
        <w:tab/>
        <w:t>Catering for any other Radio Services that are not mentioned</w:t>
      </w:r>
      <w:bookmarkEnd w:id="310"/>
      <w:bookmarkEnd w:id="311"/>
      <w:bookmarkEnd w:id="312"/>
      <w:bookmarkEnd w:id="313"/>
      <w:bookmarkEnd w:id="314"/>
      <w:bookmarkEnd w:id="315"/>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The Policy could include an Article that gives the Authority the total right to decide and apply the appropriate fees for any other Radio/wireless Services that are not mentioned in the policy.</w:t>
      </w:r>
    </w:p>
    <w:p w:rsidR="00A06987" w:rsidRPr="003C5D6B" w:rsidRDefault="00A06987" w:rsidP="00A06987">
      <w:pPr>
        <w:pStyle w:val="Heading1"/>
      </w:pPr>
      <w:bookmarkStart w:id="316" w:name="_Toc280260027"/>
      <w:bookmarkStart w:id="317" w:name="_Toc280260887"/>
      <w:bookmarkStart w:id="318" w:name="_Toc280272488"/>
      <w:bookmarkStart w:id="319" w:name="_Toc284414159"/>
      <w:bookmarkStart w:id="320" w:name="_Toc286314903"/>
      <w:bookmarkStart w:id="321" w:name="_Toc287523352"/>
      <w:r w:rsidRPr="003C5D6B">
        <w:t>12</w:t>
      </w:r>
      <w:r w:rsidRPr="003C5D6B">
        <w:tab/>
        <w:t>Other Fees</w:t>
      </w:r>
      <w:bookmarkEnd w:id="316"/>
      <w:bookmarkEnd w:id="317"/>
      <w:bookmarkEnd w:id="318"/>
      <w:bookmarkEnd w:id="319"/>
      <w:bookmarkEnd w:id="320"/>
      <w:bookmarkEnd w:id="321"/>
    </w:p>
    <w:p w:rsidR="00A06987" w:rsidRPr="003C5D6B" w:rsidRDefault="00A06987" w:rsidP="00A06987">
      <w:pPr>
        <w:pStyle w:val="CEONormal"/>
        <w:jc w:val="both"/>
        <w:rPr>
          <w:rFonts w:asciiTheme="majorBidi" w:hAnsiTheme="majorBidi" w:cstheme="majorBidi"/>
          <w:sz w:val="22"/>
          <w:szCs w:val="22"/>
        </w:rPr>
      </w:pPr>
      <w:r w:rsidRPr="003C5D6B">
        <w:rPr>
          <w:rFonts w:asciiTheme="majorBidi" w:hAnsiTheme="majorBidi" w:cstheme="majorBidi"/>
          <w:sz w:val="22"/>
          <w:szCs w:val="22"/>
        </w:rPr>
        <w:t>Applying of Fees due to special services requested from the Authority, such as Interference Complaints Processing and Monitoring, and making Site Surveys could be mentioned as well.</w:t>
      </w:r>
    </w:p>
    <w:p w:rsidR="006F46C2" w:rsidRPr="00E92FFB" w:rsidRDefault="006F46C2">
      <w:pPr>
        <w:tabs>
          <w:tab w:val="clear" w:pos="794"/>
          <w:tab w:val="clear" w:pos="1191"/>
          <w:tab w:val="clear" w:pos="1588"/>
          <w:tab w:val="clear" w:pos="1985"/>
        </w:tabs>
        <w:overflowPunct/>
        <w:autoSpaceDE/>
        <w:autoSpaceDN/>
        <w:adjustRightInd/>
        <w:spacing w:before="0"/>
        <w:jc w:val="left"/>
        <w:textAlignment w:val="auto"/>
        <w:rPr>
          <w:b/>
          <w:szCs w:val="19"/>
          <w:lang w:val="en-US"/>
        </w:rPr>
      </w:pPr>
      <w:r w:rsidRPr="00E92FFB">
        <w:rPr>
          <w:b/>
          <w:szCs w:val="19"/>
          <w:lang w:val="en-US"/>
        </w:rPr>
        <w:br w:type="page"/>
      </w:r>
    </w:p>
    <w:p w:rsidR="00A81A9F" w:rsidRPr="003C5D6B" w:rsidRDefault="00543677" w:rsidP="002315E1">
      <w:pPr>
        <w:pStyle w:val="AppendixNotitle"/>
        <w:rPr>
          <w:lang w:val="fr-FR"/>
        </w:rPr>
      </w:pPr>
      <w:bookmarkStart w:id="322" w:name="_Toc280260028"/>
      <w:bookmarkStart w:id="323" w:name="_Toc280260888"/>
      <w:bookmarkStart w:id="324" w:name="_Toc280272489"/>
      <w:bookmarkStart w:id="325" w:name="_Toc284414160"/>
      <w:bookmarkStart w:id="326" w:name="_Toc284499199"/>
      <w:bookmarkStart w:id="327" w:name="_Toc287523353"/>
      <w:r w:rsidRPr="00E92FFB">
        <w:rPr>
          <w:lang w:val="fr-CH"/>
        </w:rPr>
        <w:lastRenderedPageBreak/>
        <w:t>Ap</w:t>
      </w:r>
      <w:r w:rsidR="002315E1" w:rsidRPr="00E92FFB">
        <w:rPr>
          <w:lang w:val="fr-CH"/>
        </w:rPr>
        <w:t>é</w:t>
      </w:r>
      <w:r w:rsidRPr="00E92FFB">
        <w:rPr>
          <w:lang w:val="fr-CH"/>
        </w:rPr>
        <w:t>ndice 1.1</w:t>
      </w:r>
      <w:r w:rsidR="009F3278" w:rsidRPr="00E92FFB">
        <w:rPr>
          <w:lang w:val="fr-CH"/>
        </w:rPr>
        <w:t xml:space="preserve"> (</w:t>
      </w:r>
      <w:r w:rsidR="002315E1" w:rsidRPr="00E92FFB">
        <w:rPr>
          <w:lang w:val="fr-CH"/>
        </w:rPr>
        <w:t>francés</w:t>
      </w:r>
      <w:r w:rsidR="009F3278" w:rsidRPr="00E92FFB">
        <w:rPr>
          <w:lang w:val="fr-CH"/>
        </w:rPr>
        <w:t>)</w:t>
      </w:r>
      <w:r w:rsidR="00A81A9F" w:rsidRPr="00E92FFB">
        <w:rPr>
          <w:lang w:val="fr-CH"/>
        </w:rPr>
        <w:br/>
      </w:r>
      <w:r w:rsidR="00A81A9F" w:rsidRPr="00E92FFB">
        <w:rPr>
          <w:lang w:val="fr-CH"/>
        </w:rPr>
        <w:br/>
      </w:r>
      <w:r w:rsidR="00A81A9F" w:rsidRPr="003C5D6B">
        <w:rPr>
          <w:lang w:val="fr-FR"/>
        </w:rPr>
        <w:t xml:space="preserve">Emirats </w:t>
      </w:r>
      <w:r w:rsidR="002315E1" w:rsidRPr="003C5D6B">
        <w:rPr>
          <w:lang w:val="fr-FR"/>
        </w:rPr>
        <w:t>a</w:t>
      </w:r>
      <w:r w:rsidR="00A81A9F" w:rsidRPr="003C5D6B">
        <w:rPr>
          <w:lang w:val="fr-FR"/>
        </w:rPr>
        <w:t xml:space="preserve">rabes </w:t>
      </w:r>
      <w:r w:rsidR="002315E1" w:rsidRPr="003C5D6B">
        <w:rPr>
          <w:lang w:val="fr-FR"/>
        </w:rPr>
        <w:t>u</w:t>
      </w:r>
      <w:r w:rsidR="00A81A9F" w:rsidRPr="003C5D6B">
        <w:rPr>
          <w:lang w:val="fr-FR"/>
        </w:rPr>
        <w:t>nis:</w:t>
      </w:r>
      <w:r w:rsidR="00B902FB" w:rsidRPr="003C5D6B">
        <w:rPr>
          <w:lang w:val="fr-FR"/>
        </w:rPr>
        <w:t xml:space="preserve"> </w:t>
      </w:r>
      <w:r w:rsidR="00A81A9F" w:rsidRPr="003C5D6B">
        <w:rPr>
          <w:lang w:val="fr-FR"/>
        </w:rPr>
        <w:t>Eléments fondamentaux de la politique en matière</w:t>
      </w:r>
      <w:r w:rsidR="00B902FB" w:rsidRPr="003C5D6B">
        <w:rPr>
          <w:lang w:val="fr-FR"/>
        </w:rPr>
        <w:br/>
      </w:r>
      <w:r w:rsidR="00A81A9F" w:rsidRPr="003C5D6B">
        <w:rPr>
          <w:lang w:val="fr-FR"/>
        </w:rPr>
        <w:t>de redevances d'utilisation du spectre</w:t>
      </w:r>
      <w:bookmarkEnd w:id="322"/>
      <w:bookmarkEnd w:id="323"/>
      <w:bookmarkEnd w:id="324"/>
      <w:bookmarkEnd w:id="325"/>
      <w:bookmarkEnd w:id="326"/>
      <w:bookmarkEnd w:id="327"/>
    </w:p>
    <w:p w:rsidR="002315E1" w:rsidRPr="003C5D6B" w:rsidRDefault="002315E1" w:rsidP="002315E1">
      <w:pPr>
        <w:pStyle w:val="Heading1"/>
        <w:rPr>
          <w:lang w:val="fr-FR"/>
        </w:rPr>
      </w:pPr>
      <w:bookmarkStart w:id="328" w:name="_Toc280260029"/>
      <w:bookmarkStart w:id="329" w:name="_Toc280260889"/>
      <w:bookmarkStart w:id="330" w:name="_Toc280272490"/>
      <w:bookmarkStart w:id="331" w:name="_Toc284414161"/>
      <w:bookmarkStart w:id="332" w:name="_Toc286314905"/>
      <w:bookmarkStart w:id="333" w:name="_Toc287523354"/>
      <w:r w:rsidRPr="003C5D6B">
        <w:rPr>
          <w:lang w:val="fr-FR"/>
        </w:rPr>
        <w:t>Introduction</w:t>
      </w:r>
      <w:bookmarkEnd w:id="328"/>
      <w:bookmarkEnd w:id="329"/>
      <w:bookmarkEnd w:id="330"/>
      <w:bookmarkEnd w:id="331"/>
      <w:bookmarkEnd w:id="332"/>
      <w:bookmarkEnd w:id="333"/>
    </w:p>
    <w:p w:rsidR="002315E1" w:rsidRPr="003C5D6B" w:rsidRDefault="002315E1" w:rsidP="003C5D6B">
      <w:pPr>
        <w:rPr>
          <w:lang w:val="fr-FR"/>
        </w:rPr>
      </w:pPr>
      <w:r w:rsidRPr="003C5D6B">
        <w:rPr>
          <w:lang w:val="fr-FR"/>
        </w:rPr>
        <w:t xml:space="preserve">Le présent document </w:t>
      </w:r>
      <w:r w:rsidR="003C5D6B" w:rsidRPr="003C5D6B">
        <w:rPr>
          <w:lang w:val="fr-FR"/>
        </w:rPr>
        <w:t>est</w:t>
      </w:r>
      <w:r w:rsidRPr="003C5D6B">
        <w:rPr>
          <w:lang w:val="fr-FR"/>
        </w:rPr>
        <w:t xml:space="preserve"> soumis en vue d'aider à élaborer les lignes directrices applicables au Système de redevances d'utilisation du spectre des fréquences radioélectriques, l'objectif étant d'établir des lignes directrices concrètes et complètes et de donner un exemple de politique en matière de redevances d'utilisation du spectre permettant d'aider certains pays, en particulier les pays en développement et les pays les moins avancés, à rédiger de nouvelles politiques de ce type ou réviser ces politiques.</w:t>
      </w:r>
    </w:p>
    <w:p w:rsidR="002315E1" w:rsidRPr="003C5D6B" w:rsidRDefault="002315E1" w:rsidP="002315E1">
      <w:pPr>
        <w:pStyle w:val="Heading1"/>
        <w:rPr>
          <w:lang w:val="fr-FR"/>
        </w:rPr>
      </w:pPr>
      <w:bookmarkStart w:id="334" w:name="_Toc280260030"/>
      <w:bookmarkStart w:id="335" w:name="_Toc280260890"/>
      <w:bookmarkStart w:id="336" w:name="_Toc280272491"/>
      <w:bookmarkStart w:id="337" w:name="_Toc284414162"/>
      <w:bookmarkStart w:id="338" w:name="_Toc286314906"/>
      <w:bookmarkStart w:id="339" w:name="_Toc287523355"/>
      <w:r w:rsidRPr="003C5D6B">
        <w:rPr>
          <w:lang w:val="fr-FR"/>
        </w:rPr>
        <w:t>Eléments fondamentaux de la politique en matière de redevances d'utilisation du spectre</w:t>
      </w:r>
      <w:bookmarkEnd w:id="334"/>
      <w:bookmarkEnd w:id="335"/>
      <w:bookmarkEnd w:id="336"/>
      <w:bookmarkEnd w:id="337"/>
      <w:bookmarkEnd w:id="338"/>
      <w:bookmarkEnd w:id="339"/>
    </w:p>
    <w:p w:rsidR="002315E1" w:rsidRPr="003C5D6B" w:rsidRDefault="002315E1" w:rsidP="002315E1">
      <w:pPr>
        <w:rPr>
          <w:lang w:val="fr-FR"/>
        </w:rPr>
      </w:pPr>
      <w:r w:rsidRPr="003C5D6B">
        <w:rPr>
          <w:lang w:val="fr-FR"/>
        </w:rPr>
        <w:t xml:space="preserve">Il est très important de préciser dès le départ qu'il n'existe pas de solution unique concernant les aspects économiques de la gestion du spectre. </w:t>
      </w:r>
      <w:r w:rsidRPr="003C5D6B">
        <w:rPr>
          <w:u w:val="single"/>
          <w:lang w:val="fr-FR"/>
        </w:rPr>
        <w:t>Chaque pays a ses propres objectifs juridiques, réglementaires et économiques et des conditions spécifiques dont il faut tenir compte pour élaborer une solution adaptée contenant des dispositions pouvant être améliorées tout en assurant la stabilité du système de redevances</w:t>
      </w:r>
      <w:r w:rsidRPr="003C5D6B">
        <w:rPr>
          <w:lang w:val="fr-FR"/>
        </w:rPr>
        <w:t xml:space="preserve">. </w:t>
      </w:r>
    </w:p>
    <w:p w:rsidR="002315E1" w:rsidRPr="003C5D6B" w:rsidRDefault="002315E1" w:rsidP="002315E1">
      <w:pPr>
        <w:rPr>
          <w:lang w:val="fr-FR"/>
        </w:rPr>
      </w:pPr>
      <w:r w:rsidRPr="003C5D6B">
        <w:rPr>
          <w:lang w:val="fr-FR"/>
        </w:rPr>
        <w:t>Ces lignes directrices proposent certains éléments fondamentaux considérés comme étant indispensables pour l'établissement d'une politique en matière de redevances d'utilisation du spectre:</w:t>
      </w:r>
    </w:p>
    <w:p w:rsidR="002315E1" w:rsidRPr="003C5D6B" w:rsidRDefault="002315E1" w:rsidP="002315E1">
      <w:pPr>
        <w:pStyle w:val="Heading1"/>
        <w:rPr>
          <w:lang w:val="fr-FR"/>
        </w:rPr>
      </w:pPr>
      <w:bookmarkStart w:id="340" w:name="_Toc280260031"/>
      <w:bookmarkStart w:id="341" w:name="_Toc280260891"/>
      <w:bookmarkStart w:id="342" w:name="_Toc280272492"/>
      <w:bookmarkStart w:id="343" w:name="_Toc284414163"/>
      <w:bookmarkStart w:id="344" w:name="_Toc286314907"/>
      <w:bookmarkStart w:id="345" w:name="_Toc287523356"/>
      <w:r w:rsidRPr="003C5D6B">
        <w:rPr>
          <w:lang w:val="fr-FR"/>
        </w:rPr>
        <w:t>1</w:t>
      </w:r>
      <w:r w:rsidRPr="003C5D6B">
        <w:rPr>
          <w:lang w:val="fr-FR"/>
        </w:rPr>
        <w:tab/>
        <w:t>Référence à la législation</w:t>
      </w:r>
      <w:bookmarkEnd w:id="340"/>
      <w:bookmarkEnd w:id="341"/>
      <w:bookmarkEnd w:id="342"/>
      <w:bookmarkEnd w:id="343"/>
      <w:bookmarkEnd w:id="344"/>
      <w:bookmarkEnd w:id="345"/>
    </w:p>
    <w:p w:rsidR="002315E1" w:rsidRPr="003C5D6B" w:rsidRDefault="002315E1" w:rsidP="002315E1">
      <w:pPr>
        <w:rPr>
          <w:lang w:val="fr-FR"/>
        </w:rPr>
      </w:pPr>
      <w:r w:rsidRPr="003C5D6B">
        <w:rPr>
          <w:lang w:val="fr-FR"/>
        </w:rPr>
        <w:t>Dans ce type de politique, il est important de commencer par indiquer la législation qui fixe les droits à percevoir pour la gestion du spectre ou l'autorité juridique qui est habilitée à les fixer.</w:t>
      </w:r>
    </w:p>
    <w:p w:rsidR="002315E1" w:rsidRPr="003C5D6B" w:rsidRDefault="002315E1" w:rsidP="002315E1">
      <w:pPr>
        <w:pStyle w:val="Heading1"/>
        <w:rPr>
          <w:lang w:val="fr-FR"/>
        </w:rPr>
      </w:pPr>
      <w:bookmarkStart w:id="346" w:name="_Toc280260032"/>
      <w:bookmarkStart w:id="347" w:name="_Toc280260892"/>
      <w:bookmarkStart w:id="348" w:name="_Toc280272493"/>
      <w:bookmarkStart w:id="349" w:name="_Toc284414164"/>
      <w:bookmarkStart w:id="350" w:name="_Toc286314908"/>
      <w:bookmarkStart w:id="351" w:name="_Toc287523357"/>
      <w:r w:rsidRPr="003C5D6B">
        <w:rPr>
          <w:lang w:val="fr-FR"/>
        </w:rPr>
        <w:t>2</w:t>
      </w:r>
      <w:r w:rsidRPr="003C5D6B">
        <w:rPr>
          <w:lang w:val="fr-FR"/>
        </w:rPr>
        <w:tab/>
        <w:t>Définitions importantes</w:t>
      </w:r>
      <w:bookmarkEnd w:id="346"/>
      <w:bookmarkEnd w:id="347"/>
      <w:bookmarkEnd w:id="348"/>
      <w:bookmarkEnd w:id="349"/>
      <w:bookmarkEnd w:id="350"/>
      <w:bookmarkEnd w:id="351"/>
    </w:p>
    <w:p w:rsidR="002315E1" w:rsidRPr="003C5D6B" w:rsidRDefault="002315E1" w:rsidP="002315E1">
      <w:pPr>
        <w:rPr>
          <w:lang w:val="fr-FR"/>
        </w:rPr>
      </w:pPr>
      <w:r w:rsidRPr="003C5D6B">
        <w:rPr>
          <w:lang w:val="fr-FR"/>
        </w:rPr>
        <w:t>Cette partie permet, non seulement de réduire le volume du document relatif à la politique en question, mais, ce qui est plus important encore, de supprimer toute ambigüité quant à la signification des termes utilisés.</w:t>
      </w:r>
    </w:p>
    <w:p w:rsidR="002315E1" w:rsidRPr="003C5D6B" w:rsidRDefault="002315E1" w:rsidP="002315E1">
      <w:pPr>
        <w:pStyle w:val="Heading1"/>
        <w:rPr>
          <w:lang w:val="fr-FR"/>
        </w:rPr>
      </w:pPr>
      <w:bookmarkStart w:id="352" w:name="_Toc280260033"/>
      <w:bookmarkStart w:id="353" w:name="_Toc280260893"/>
      <w:bookmarkStart w:id="354" w:name="_Toc280272494"/>
      <w:bookmarkStart w:id="355" w:name="_Toc284414165"/>
      <w:bookmarkStart w:id="356" w:name="_Toc286314909"/>
      <w:bookmarkStart w:id="357" w:name="_Toc287523358"/>
      <w:r w:rsidRPr="003C5D6B">
        <w:rPr>
          <w:lang w:val="fr-FR"/>
        </w:rPr>
        <w:t>3</w:t>
      </w:r>
      <w:r w:rsidRPr="003C5D6B">
        <w:rPr>
          <w:lang w:val="fr-FR"/>
        </w:rPr>
        <w:tab/>
        <w:t>Type de redevances</w:t>
      </w:r>
      <w:bookmarkEnd w:id="352"/>
      <w:bookmarkEnd w:id="353"/>
      <w:bookmarkEnd w:id="354"/>
      <w:bookmarkEnd w:id="355"/>
      <w:bookmarkEnd w:id="356"/>
      <w:bookmarkEnd w:id="357"/>
    </w:p>
    <w:p w:rsidR="002315E1" w:rsidRPr="003C5D6B" w:rsidRDefault="002315E1" w:rsidP="002315E1">
      <w:pPr>
        <w:rPr>
          <w:lang w:val="fr-FR"/>
        </w:rPr>
      </w:pPr>
      <w:r w:rsidRPr="003C5D6B">
        <w:rPr>
          <w:lang w:val="fr-FR"/>
        </w:rPr>
        <w:t>Il est utile de diviser les catégories de redevances administratives pour la gestion du spectre en composantes et en éléments détaillés utilisés pour percevoir les redevances d'utilisation du spectre, à savoir:</w:t>
      </w:r>
    </w:p>
    <w:p w:rsidR="002315E1" w:rsidRPr="003C5D6B" w:rsidRDefault="002315E1" w:rsidP="002315E1">
      <w:pPr>
        <w:pStyle w:val="Heading2"/>
        <w:rPr>
          <w:lang w:val="fr-FR"/>
        </w:rPr>
      </w:pPr>
      <w:bookmarkStart w:id="358" w:name="_Toc280260034"/>
      <w:bookmarkStart w:id="359" w:name="_Toc280272495"/>
      <w:bookmarkStart w:id="360" w:name="_Toc284414166"/>
      <w:bookmarkStart w:id="361" w:name="_Toc286314910"/>
      <w:bookmarkStart w:id="362" w:name="_Toc287523359"/>
      <w:r w:rsidRPr="003C5D6B">
        <w:rPr>
          <w:lang w:val="fr-FR"/>
        </w:rPr>
        <w:t>A</w:t>
      </w:r>
      <w:r w:rsidRPr="003C5D6B">
        <w:rPr>
          <w:lang w:val="fr-FR"/>
        </w:rPr>
        <w:tab/>
        <w:t>Redevances de base</w:t>
      </w:r>
      <w:bookmarkEnd w:id="358"/>
      <w:bookmarkEnd w:id="359"/>
      <w:bookmarkEnd w:id="360"/>
      <w:bookmarkEnd w:id="361"/>
      <w:bookmarkEnd w:id="362"/>
    </w:p>
    <w:p w:rsidR="002315E1" w:rsidRPr="003C5D6B" w:rsidRDefault="002315E1" w:rsidP="002315E1">
      <w:pPr>
        <w:pStyle w:val="enumlev1"/>
        <w:rPr>
          <w:lang w:val="fr-FR"/>
        </w:rPr>
      </w:pPr>
      <w:r w:rsidRPr="003C5D6B">
        <w:rPr>
          <w:lang w:val="fr-FR"/>
        </w:rPr>
        <w:t>–</w:t>
      </w:r>
      <w:r w:rsidRPr="003C5D6B">
        <w:rPr>
          <w:lang w:val="fr-FR"/>
        </w:rPr>
        <w:tab/>
        <w:t>Redevances pour le traitement des demandes: redevances forfaitaires non remboursables pour le traitement des demandes quel que soit le statut final.</w:t>
      </w:r>
    </w:p>
    <w:p w:rsidR="002315E1" w:rsidRPr="003C5D6B" w:rsidRDefault="002315E1" w:rsidP="002315E1">
      <w:pPr>
        <w:pStyle w:val="enumlev1"/>
        <w:rPr>
          <w:lang w:val="fr-FR"/>
        </w:rPr>
      </w:pPr>
      <w:r w:rsidRPr="003C5D6B">
        <w:rPr>
          <w:lang w:val="fr-FR"/>
        </w:rPr>
        <w:t>–</w:t>
      </w:r>
      <w:r w:rsidRPr="003C5D6B">
        <w:rPr>
          <w:lang w:val="fr-FR"/>
        </w:rPr>
        <w:tab/>
        <w:t>Redevances d'utilisation du spectre: redevances liées à l'utilisation du spectre.</w:t>
      </w:r>
    </w:p>
    <w:p w:rsidR="002315E1" w:rsidRPr="003C5D6B" w:rsidRDefault="002315E1" w:rsidP="002315E1">
      <w:pPr>
        <w:pStyle w:val="Heading2"/>
        <w:rPr>
          <w:lang w:val="fr-FR"/>
        </w:rPr>
      </w:pPr>
      <w:bookmarkStart w:id="363" w:name="_Toc280260035"/>
      <w:bookmarkStart w:id="364" w:name="_Toc280272496"/>
      <w:bookmarkStart w:id="365" w:name="_Toc284414167"/>
      <w:bookmarkStart w:id="366" w:name="_Toc286314911"/>
      <w:bookmarkStart w:id="367" w:name="_Toc287523360"/>
      <w:r w:rsidRPr="003C5D6B">
        <w:rPr>
          <w:lang w:val="fr-FR"/>
        </w:rPr>
        <w:t>B</w:t>
      </w:r>
      <w:r w:rsidRPr="003C5D6B">
        <w:rPr>
          <w:lang w:val="fr-FR"/>
        </w:rPr>
        <w:tab/>
        <w:t>Redevances additionnelles</w:t>
      </w:r>
      <w:bookmarkEnd w:id="363"/>
      <w:bookmarkEnd w:id="364"/>
      <w:bookmarkEnd w:id="365"/>
      <w:bookmarkEnd w:id="366"/>
      <w:bookmarkEnd w:id="367"/>
    </w:p>
    <w:p w:rsidR="002315E1" w:rsidRPr="003C5D6B" w:rsidRDefault="002315E1" w:rsidP="002315E1">
      <w:pPr>
        <w:pStyle w:val="enumlev1"/>
        <w:rPr>
          <w:lang w:val="fr-FR"/>
        </w:rPr>
      </w:pPr>
      <w:r w:rsidRPr="003C5D6B">
        <w:rPr>
          <w:lang w:val="fr-FR"/>
        </w:rPr>
        <w:t>–</w:t>
      </w:r>
      <w:r w:rsidRPr="003C5D6B">
        <w:rPr>
          <w:lang w:val="fr-FR"/>
        </w:rPr>
        <w:tab/>
        <w:t>Redevances afférentes à la reproduction, la modification et l'annulation: il convient de définir et de spécifier les redevances appliquées dans chaque cas.</w:t>
      </w:r>
    </w:p>
    <w:p w:rsidR="002315E1" w:rsidRPr="003C5D6B" w:rsidRDefault="002315E1" w:rsidP="002315E1">
      <w:pPr>
        <w:pStyle w:val="enumlev1"/>
        <w:rPr>
          <w:lang w:val="fr-FR"/>
        </w:rPr>
      </w:pPr>
      <w:r w:rsidRPr="003C5D6B">
        <w:rPr>
          <w:lang w:val="fr-FR"/>
        </w:rPr>
        <w:t>–</w:t>
      </w:r>
      <w:r w:rsidRPr="003C5D6B">
        <w:rPr>
          <w:lang w:val="fr-FR"/>
        </w:rPr>
        <w:tab/>
        <w:t xml:space="preserve">Autres redevances pour les services spéciaux demandés par l'Autorité, comme le traitement et le suivi des plaintes concernant les brouillages, les études de site, etc. </w:t>
      </w:r>
    </w:p>
    <w:p w:rsidR="002315E1" w:rsidRPr="003C5D6B" w:rsidRDefault="002315E1" w:rsidP="002315E1">
      <w:pPr>
        <w:pStyle w:val="Heading1"/>
        <w:rPr>
          <w:lang w:val="fr-FR"/>
        </w:rPr>
      </w:pPr>
      <w:bookmarkStart w:id="368" w:name="_Toc280260036"/>
      <w:bookmarkStart w:id="369" w:name="_Toc280260894"/>
      <w:bookmarkStart w:id="370" w:name="_Toc280272497"/>
      <w:bookmarkStart w:id="371" w:name="_Toc284414168"/>
      <w:bookmarkStart w:id="372" w:name="_Toc286314912"/>
      <w:bookmarkStart w:id="373" w:name="_Toc287523361"/>
      <w:r w:rsidRPr="003C5D6B">
        <w:rPr>
          <w:lang w:val="fr-FR"/>
        </w:rPr>
        <w:t>4</w:t>
      </w:r>
      <w:r w:rsidRPr="003C5D6B">
        <w:rPr>
          <w:lang w:val="fr-FR"/>
        </w:rPr>
        <w:tab/>
        <w:t>Mode de paiement</w:t>
      </w:r>
      <w:bookmarkEnd w:id="368"/>
      <w:bookmarkEnd w:id="369"/>
      <w:bookmarkEnd w:id="370"/>
      <w:bookmarkEnd w:id="371"/>
      <w:bookmarkEnd w:id="372"/>
      <w:bookmarkEnd w:id="373"/>
    </w:p>
    <w:p w:rsidR="002315E1" w:rsidRPr="003C5D6B" w:rsidRDefault="002315E1" w:rsidP="002315E1">
      <w:pPr>
        <w:rPr>
          <w:lang w:val="fr-FR"/>
        </w:rPr>
      </w:pPr>
      <w:r w:rsidRPr="003C5D6B">
        <w:rPr>
          <w:lang w:val="fr-FR"/>
        </w:rPr>
        <w:t>Il faut préciser le mode de paiement choisi par l'Autorité pour la perception des redevances susmentionnées, par exemple:</w:t>
      </w:r>
    </w:p>
    <w:p w:rsidR="002315E1" w:rsidRPr="003C5D6B" w:rsidRDefault="002315E1" w:rsidP="002315E1">
      <w:pPr>
        <w:pStyle w:val="enumlev1"/>
        <w:rPr>
          <w:lang w:val="fr-FR"/>
        </w:rPr>
      </w:pPr>
      <w:r w:rsidRPr="003C5D6B">
        <w:rPr>
          <w:lang w:val="fr-FR"/>
        </w:rPr>
        <w:lastRenderedPageBreak/>
        <w:t>–</w:t>
      </w:r>
      <w:r w:rsidRPr="003C5D6B">
        <w:rPr>
          <w:lang w:val="fr-FR"/>
        </w:rPr>
        <w:tab/>
        <w:t>paiement à l'avance ou postpaiement, etc.;</w:t>
      </w:r>
    </w:p>
    <w:p w:rsidR="002315E1" w:rsidRPr="003C5D6B" w:rsidRDefault="002315E1" w:rsidP="002315E1">
      <w:pPr>
        <w:pStyle w:val="enumlev1"/>
        <w:rPr>
          <w:lang w:val="fr-FR"/>
        </w:rPr>
      </w:pPr>
      <w:r w:rsidRPr="003C5D6B">
        <w:rPr>
          <w:lang w:val="fr-FR"/>
        </w:rPr>
        <w:t>–</w:t>
      </w:r>
      <w:r w:rsidRPr="003C5D6B">
        <w:rPr>
          <w:lang w:val="fr-FR"/>
        </w:rPr>
        <w:tab/>
        <w:t>chèque, dépôts bancaires directs, etc.;</w:t>
      </w:r>
    </w:p>
    <w:p w:rsidR="002315E1" w:rsidRPr="003C5D6B" w:rsidRDefault="002315E1" w:rsidP="002315E1">
      <w:pPr>
        <w:pStyle w:val="enumlev1"/>
        <w:rPr>
          <w:lang w:val="fr-FR"/>
        </w:rPr>
      </w:pPr>
      <w:r w:rsidRPr="003C5D6B">
        <w:rPr>
          <w:lang w:val="fr-FR"/>
        </w:rPr>
        <w:t>–</w:t>
      </w:r>
      <w:r w:rsidRPr="003C5D6B">
        <w:rPr>
          <w:lang w:val="fr-FR"/>
        </w:rPr>
        <w:tab/>
        <w:t>date limite avant laquelle le paiement doit être effectué, mesures à prendre si le délai n'est pas respecté.</w:t>
      </w:r>
    </w:p>
    <w:p w:rsidR="002315E1" w:rsidRPr="003C5D6B" w:rsidRDefault="002315E1" w:rsidP="002315E1">
      <w:pPr>
        <w:pStyle w:val="Heading1"/>
        <w:rPr>
          <w:lang w:val="fr-FR"/>
        </w:rPr>
      </w:pPr>
      <w:bookmarkStart w:id="374" w:name="_Toc280260037"/>
      <w:bookmarkStart w:id="375" w:name="_Toc280260895"/>
      <w:bookmarkStart w:id="376" w:name="_Toc280272498"/>
      <w:bookmarkStart w:id="377" w:name="_Toc284414169"/>
      <w:bookmarkStart w:id="378" w:name="_Toc286314913"/>
      <w:bookmarkStart w:id="379" w:name="_Toc287523362"/>
      <w:r w:rsidRPr="003C5D6B">
        <w:rPr>
          <w:lang w:val="fr-FR"/>
        </w:rPr>
        <w:t>5</w:t>
      </w:r>
      <w:r w:rsidRPr="003C5D6B">
        <w:rPr>
          <w:lang w:val="fr-FR"/>
        </w:rPr>
        <w:tab/>
        <w:t>Exemption de redevances</w:t>
      </w:r>
      <w:bookmarkEnd w:id="374"/>
      <w:bookmarkEnd w:id="375"/>
      <w:bookmarkEnd w:id="376"/>
      <w:bookmarkEnd w:id="377"/>
      <w:bookmarkEnd w:id="378"/>
      <w:bookmarkEnd w:id="379"/>
    </w:p>
    <w:p w:rsidR="002315E1" w:rsidRPr="003C5D6B" w:rsidRDefault="002315E1" w:rsidP="002315E1">
      <w:pPr>
        <w:rPr>
          <w:lang w:val="fr-FR"/>
        </w:rPr>
      </w:pPr>
      <w:r w:rsidRPr="003C5D6B">
        <w:rPr>
          <w:lang w:val="fr-FR"/>
        </w:rPr>
        <w:t>L'exemption de tout type de redevances pour des services spécifiques et/ou des personnes données doit être clairement indiquée dans la politique ainsi que les conditions qui y sont associées.</w:t>
      </w:r>
    </w:p>
    <w:p w:rsidR="002315E1" w:rsidRPr="003C5D6B" w:rsidRDefault="002315E1" w:rsidP="002315E1">
      <w:pPr>
        <w:pStyle w:val="Heading1"/>
        <w:rPr>
          <w:lang w:val="fr-FR"/>
        </w:rPr>
      </w:pPr>
      <w:bookmarkStart w:id="380" w:name="_Toc280260038"/>
      <w:bookmarkStart w:id="381" w:name="_Toc280260896"/>
      <w:bookmarkStart w:id="382" w:name="_Toc280272499"/>
      <w:bookmarkStart w:id="383" w:name="_Toc284414170"/>
      <w:bookmarkStart w:id="384" w:name="_Toc286314914"/>
      <w:bookmarkStart w:id="385" w:name="_Toc287523363"/>
      <w:r w:rsidRPr="003C5D6B">
        <w:rPr>
          <w:lang w:val="fr-FR"/>
        </w:rPr>
        <w:t>6</w:t>
      </w:r>
      <w:r w:rsidRPr="003C5D6B">
        <w:rPr>
          <w:lang w:val="fr-FR"/>
        </w:rPr>
        <w:tab/>
        <w:t>Calcul des redevances d'utilisation du spectre</w:t>
      </w:r>
      <w:bookmarkEnd w:id="380"/>
      <w:bookmarkEnd w:id="381"/>
      <w:bookmarkEnd w:id="382"/>
      <w:bookmarkEnd w:id="383"/>
      <w:bookmarkEnd w:id="384"/>
      <w:bookmarkEnd w:id="385"/>
    </w:p>
    <w:p w:rsidR="002315E1" w:rsidRPr="003C5D6B" w:rsidRDefault="002315E1" w:rsidP="002315E1">
      <w:pPr>
        <w:rPr>
          <w:lang w:val="fr-FR"/>
        </w:rPr>
      </w:pPr>
      <w:r w:rsidRPr="003C5D6B">
        <w:rPr>
          <w:lang w:val="fr-FR"/>
        </w:rPr>
        <w:t>Pour calculer ces redevances, il faut tenir compte à la fois des frais administratifs de gestion du spectre et de la valeur du marché du spectre.</w:t>
      </w:r>
    </w:p>
    <w:p w:rsidR="002315E1" w:rsidRPr="003C5D6B" w:rsidRDefault="002315E1" w:rsidP="002315E1">
      <w:pPr>
        <w:rPr>
          <w:lang w:val="fr-FR"/>
        </w:rPr>
      </w:pPr>
      <w:r w:rsidRPr="003C5D6B">
        <w:rPr>
          <w:lang w:val="fr-FR"/>
        </w:rPr>
        <w:t>La méthode de calcul de ces redevances doit être clairement définie pour chaque service et sa (ses) bande(s) de fréquences pertinente(s) et doit être fondée sur une logique.</w:t>
      </w:r>
    </w:p>
    <w:p w:rsidR="002315E1" w:rsidRPr="003C5D6B" w:rsidRDefault="002315E1" w:rsidP="002315E1">
      <w:pPr>
        <w:rPr>
          <w:lang w:val="fr-FR"/>
        </w:rPr>
      </w:pPr>
      <w:r w:rsidRPr="003C5D6B">
        <w:rPr>
          <w:lang w:val="fr-FR"/>
        </w:rPr>
        <w:t>Il existe différentes méthodes de calcul allant du forfait à des formules très complexes.</w:t>
      </w:r>
    </w:p>
    <w:p w:rsidR="002315E1" w:rsidRPr="003C5D6B" w:rsidRDefault="002315E1" w:rsidP="002315E1">
      <w:pPr>
        <w:rPr>
          <w:lang w:val="fr-FR"/>
        </w:rPr>
      </w:pPr>
      <w:r w:rsidRPr="003C5D6B">
        <w:rPr>
          <w:lang w:val="fr-FR"/>
        </w:rPr>
        <w:t>Pour ces calculs, on pourrait tenir compte entre autres des facteurs suivants:</w:t>
      </w:r>
    </w:p>
    <w:p w:rsidR="002315E1" w:rsidRPr="003C5D6B" w:rsidRDefault="002315E1" w:rsidP="002315E1">
      <w:pPr>
        <w:pStyle w:val="enumlev1"/>
        <w:rPr>
          <w:lang w:val="fr-FR"/>
        </w:rPr>
      </w:pPr>
      <w:r w:rsidRPr="003C5D6B">
        <w:rPr>
          <w:lang w:val="fr-FR"/>
        </w:rPr>
        <w:t>–</w:t>
      </w:r>
      <w:r w:rsidRPr="003C5D6B">
        <w:rPr>
          <w:lang w:val="fr-FR"/>
        </w:rPr>
        <w:tab/>
        <w:t>Bande de fréquences (demande de fréquences et encombrement du spectre).</w:t>
      </w:r>
    </w:p>
    <w:p w:rsidR="002315E1" w:rsidRPr="003C5D6B" w:rsidRDefault="002315E1" w:rsidP="002315E1">
      <w:pPr>
        <w:pStyle w:val="enumlev1"/>
        <w:rPr>
          <w:lang w:val="fr-FR"/>
        </w:rPr>
      </w:pPr>
      <w:r w:rsidRPr="003C5D6B">
        <w:rPr>
          <w:lang w:val="fr-FR"/>
        </w:rPr>
        <w:t>–</w:t>
      </w:r>
      <w:r w:rsidRPr="003C5D6B">
        <w:rPr>
          <w:lang w:val="fr-FR"/>
        </w:rPr>
        <w:tab/>
        <w:t>Largeur de bande.</w:t>
      </w:r>
    </w:p>
    <w:p w:rsidR="002315E1" w:rsidRPr="003C5D6B" w:rsidRDefault="002315E1" w:rsidP="002315E1">
      <w:pPr>
        <w:pStyle w:val="enumlev1"/>
        <w:rPr>
          <w:lang w:val="fr-FR"/>
        </w:rPr>
      </w:pPr>
      <w:r w:rsidRPr="003C5D6B">
        <w:rPr>
          <w:lang w:val="fr-FR"/>
        </w:rPr>
        <w:t>–</w:t>
      </w:r>
      <w:r w:rsidRPr="003C5D6B">
        <w:rPr>
          <w:lang w:val="fr-FR"/>
        </w:rPr>
        <w:tab/>
        <w:t>Puissance, hauteur et zone de couverture.</w:t>
      </w:r>
    </w:p>
    <w:p w:rsidR="002315E1" w:rsidRPr="003C5D6B" w:rsidRDefault="002315E1" w:rsidP="002315E1">
      <w:pPr>
        <w:pStyle w:val="enumlev1"/>
        <w:rPr>
          <w:lang w:val="fr-FR"/>
        </w:rPr>
      </w:pPr>
      <w:r w:rsidRPr="003C5D6B">
        <w:rPr>
          <w:lang w:val="fr-FR"/>
        </w:rPr>
        <w:t>–</w:t>
      </w:r>
      <w:r w:rsidRPr="003C5D6B">
        <w:rPr>
          <w:lang w:val="fr-FR"/>
        </w:rPr>
        <w:tab/>
        <w:t>Lieu (demande de fréquences et encombrement du spectre).</w:t>
      </w:r>
    </w:p>
    <w:p w:rsidR="002315E1" w:rsidRPr="003C5D6B" w:rsidRDefault="002315E1" w:rsidP="002315E1">
      <w:pPr>
        <w:rPr>
          <w:lang w:val="fr-FR"/>
        </w:rPr>
      </w:pPr>
      <w:r w:rsidRPr="003C5D6B">
        <w:rPr>
          <w:lang w:val="fr-FR"/>
        </w:rPr>
        <w:t>Des primes ainsi que des réductions temporaires spéciales pourraient être proposées pour encourager l'utilisation de certaines bandes ou la mise en œuvre de services spécifiques.</w:t>
      </w:r>
    </w:p>
    <w:p w:rsidR="002315E1" w:rsidRPr="003C5D6B" w:rsidRDefault="002315E1" w:rsidP="002315E1">
      <w:pPr>
        <w:pStyle w:val="Heading1"/>
        <w:rPr>
          <w:lang w:val="fr-FR"/>
        </w:rPr>
      </w:pPr>
      <w:bookmarkStart w:id="386" w:name="_Toc280260039"/>
      <w:bookmarkStart w:id="387" w:name="_Toc280260897"/>
      <w:bookmarkStart w:id="388" w:name="_Toc280272500"/>
      <w:bookmarkStart w:id="389" w:name="_Toc284414171"/>
      <w:bookmarkStart w:id="390" w:name="_Toc286314915"/>
      <w:bookmarkStart w:id="391" w:name="_Toc287523364"/>
      <w:r w:rsidRPr="003C5D6B">
        <w:rPr>
          <w:lang w:val="fr-FR"/>
        </w:rPr>
        <w:t>7</w:t>
      </w:r>
      <w:r w:rsidRPr="003C5D6B">
        <w:rPr>
          <w:lang w:val="fr-FR"/>
        </w:rPr>
        <w:tab/>
        <w:t>Dispositifs à faible puissance et à faible portée</w:t>
      </w:r>
      <w:bookmarkEnd w:id="386"/>
      <w:bookmarkEnd w:id="387"/>
      <w:bookmarkEnd w:id="388"/>
      <w:bookmarkEnd w:id="389"/>
      <w:bookmarkEnd w:id="390"/>
      <w:bookmarkEnd w:id="391"/>
    </w:p>
    <w:p w:rsidR="002315E1" w:rsidRPr="003C5D6B" w:rsidRDefault="002315E1" w:rsidP="002315E1">
      <w:pPr>
        <w:rPr>
          <w:lang w:val="fr-FR"/>
        </w:rPr>
      </w:pPr>
      <w:r w:rsidRPr="003C5D6B">
        <w:rPr>
          <w:lang w:val="fr-FR"/>
        </w:rPr>
        <w:t>Le traitement des dispositifs à faible portée ainsi que des services qui bénéficient de l'exemption des redevances susmentionnées devrait également être clairement défini et les conditions associées pourraient être spécifiées.</w:t>
      </w:r>
    </w:p>
    <w:p w:rsidR="002315E1" w:rsidRPr="003C5D6B" w:rsidRDefault="002315E1" w:rsidP="002315E1">
      <w:pPr>
        <w:pStyle w:val="Heading1"/>
        <w:rPr>
          <w:lang w:val="fr-FR"/>
        </w:rPr>
      </w:pPr>
      <w:bookmarkStart w:id="392" w:name="_Toc280260040"/>
      <w:bookmarkStart w:id="393" w:name="_Toc280260898"/>
      <w:bookmarkStart w:id="394" w:name="_Toc280272501"/>
      <w:bookmarkStart w:id="395" w:name="_Toc284414172"/>
      <w:bookmarkStart w:id="396" w:name="_Toc286314916"/>
      <w:bookmarkStart w:id="397" w:name="_Toc287523365"/>
      <w:r w:rsidRPr="003C5D6B">
        <w:rPr>
          <w:lang w:val="fr-FR"/>
        </w:rPr>
        <w:t>8</w:t>
      </w:r>
      <w:r w:rsidRPr="003C5D6B">
        <w:rPr>
          <w:lang w:val="fr-FR"/>
        </w:rPr>
        <w:tab/>
        <w:t>Redevances afférentes à l'annulation, la reproduction et la modification d'une autorisation</w:t>
      </w:r>
      <w:bookmarkEnd w:id="392"/>
      <w:bookmarkEnd w:id="393"/>
      <w:bookmarkEnd w:id="394"/>
      <w:bookmarkEnd w:id="395"/>
      <w:bookmarkEnd w:id="396"/>
      <w:bookmarkEnd w:id="397"/>
    </w:p>
    <w:p w:rsidR="002315E1" w:rsidRPr="003C5D6B" w:rsidRDefault="002315E1" w:rsidP="002315E1">
      <w:pPr>
        <w:rPr>
          <w:lang w:val="fr-FR"/>
        </w:rPr>
      </w:pPr>
      <w:r w:rsidRPr="003C5D6B">
        <w:rPr>
          <w:lang w:val="fr-FR"/>
        </w:rPr>
        <w:t>Il convient de définir et de spécifier les redevances éventuelles associées dans chaque cas.</w:t>
      </w:r>
    </w:p>
    <w:p w:rsidR="002315E1" w:rsidRPr="003C5D6B" w:rsidRDefault="002315E1" w:rsidP="002315E1">
      <w:pPr>
        <w:rPr>
          <w:lang w:val="fr-FR"/>
        </w:rPr>
      </w:pPr>
      <w:r w:rsidRPr="003C5D6B">
        <w:rPr>
          <w:lang w:val="fr-FR"/>
        </w:rPr>
        <w:t xml:space="preserve">En outre, il convient de préciser, dans le cas où une modification entraîne une augmentation des redevances d'utilisation du spectre, comment est calculée la différence que doit payer l'utilisateur. Dans le cas où la modification entraîne une diminution des redevances d'utilisation du spectre et que l'Autorité des </w:t>
      </w:r>
      <w:r w:rsidRPr="003C5D6B">
        <w:rPr>
          <w:szCs w:val="24"/>
          <w:lang w:val="fr-FR"/>
        </w:rPr>
        <w:t>télécommunications</w:t>
      </w:r>
      <w:r w:rsidRPr="003C5D6B">
        <w:rPr>
          <w:lang w:val="fr-FR"/>
        </w:rPr>
        <w:t xml:space="preserve"> doit rembourser la différence à l'utilisateur, il convient d'indiquer comment elle doit rembourser cette somme. </w:t>
      </w:r>
    </w:p>
    <w:p w:rsidR="002315E1" w:rsidRPr="003C5D6B" w:rsidRDefault="002315E1" w:rsidP="002315E1">
      <w:pPr>
        <w:pStyle w:val="Heading1"/>
        <w:rPr>
          <w:lang w:val="fr-FR"/>
        </w:rPr>
      </w:pPr>
      <w:bookmarkStart w:id="398" w:name="_Toc280260041"/>
      <w:bookmarkStart w:id="399" w:name="_Toc280260899"/>
      <w:bookmarkStart w:id="400" w:name="_Toc280272502"/>
      <w:bookmarkStart w:id="401" w:name="_Toc284414173"/>
      <w:bookmarkStart w:id="402" w:name="_Toc286314917"/>
      <w:bookmarkStart w:id="403" w:name="_Toc287523366"/>
      <w:r w:rsidRPr="003C5D6B">
        <w:rPr>
          <w:lang w:val="fr-FR"/>
        </w:rPr>
        <w:t>9</w:t>
      </w:r>
      <w:r w:rsidRPr="003C5D6B">
        <w:rPr>
          <w:lang w:val="fr-FR"/>
        </w:rPr>
        <w:tab/>
        <w:t>Traitement des fréquences d'urgence et de détresse</w:t>
      </w:r>
      <w:bookmarkEnd w:id="398"/>
      <w:bookmarkEnd w:id="399"/>
      <w:bookmarkEnd w:id="400"/>
      <w:bookmarkEnd w:id="401"/>
      <w:bookmarkEnd w:id="402"/>
      <w:bookmarkEnd w:id="403"/>
    </w:p>
    <w:p w:rsidR="002315E1" w:rsidRPr="003C5D6B" w:rsidRDefault="002315E1" w:rsidP="002315E1">
      <w:pPr>
        <w:rPr>
          <w:lang w:val="fr-FR"/>
        </w:rPr>
      </w:pPr>
      <w:r w:rsidRPr="003C5D6B">
        <w:rPr>
          <w:lang w:val="fr-FR"/>
        </w:rPr>
        <w:t>Il peut être utile d'indiquer que les fréquences et les équipements autorisés de ce type bénéficient d'une exemption de redevances, ou de donner des indications sur la façon dont l'Autorité entend traiter l'utilisation de ces fréquences.</w:t>
      </w:r>
    </w:p>
    <w:p w:rsidR="002315E1" w:rsidRPr="003C5D6B" w:rsidRDefault="002315E1" w:rsidP="002315E1">
      <w:pPr>
        <w:pStyle w:val="Heading1"/>
        <w:rPr>
          <w:lang w:val="fr-FR"/>
        </w:rPr>
      </w:pPr>
      <w:bookmarkStart w:id="404" w:name="_Toc280260042"/>
      <w:bookmarkStart w:id="405" w:name="_Toc280260900"/>
      <w:bookmarkStart w:id="406" w:name="_Toc280272503"/>
      <w:bookmarkStart w:id="407" w:name="_Toc284414174"/>
      <w:bookmarkStart w:id="408" w:name="_Toc286314918"/>
      <w:bookmarkStart w:id="409" w:name="_Toc287523367"/>
      <w:r w:rsidRPr="003C5D6B">
        <w:rPr>
          <w:lang w:val="fr-FR"/>
        </w:rPr>
        <w:t>10</w:t>
      </w:r>
      <w:r w:rsidRPr="003C5D6B">
        <w:rPr>
          <w:lang w:val="fr-FR"/>
        </w:rPr>
        <w:tab/>
        <w:t>Autorisations temporaires</w:t>
      </w:r>
      <w:bookmarkEnd w:id="404"/>
      <w:bookmarkEnd w:id="405"/>
      <w:bookmarkEnd w:id="406"/>
      <w:bookmarkEnd w:id="407"/>
      <w:bookmarkEnd w:id="408"/>
      <w:bookmarkEnd w:id="409"/>
    </w:p>
    <w:p w:rsidR="002315E1" w:rsidRPr="003C5D6B" w:rsidRDefault="002315E1" w:rsidP="002315E1">
      <w:pPr>
        <w:rPr>
          <w:lang w:val="fr-FR"/>
        </w:rPr>
      </w:pPr>
      <w:r w:rsidRPr="003C5D6B">
        <w:rPr>
          <w:lang w:val="fr-FR"/>
        </w:rPr>
        <w:t xml:space="preserve">Il convient de définir clairement le calcul des redevances à appliquer en pareils cas. </w:t>
      </w:r>
    </w:p>
    <w:p w:rsidR="002315E1" w:rsidRPr="003C5D6B" w:rsidRDefault="002315E1" w:rsidP="002315E1">
      <w:pPr>
        <w:rPr>
          <w:lang w:val="fr-FR"/>
        </w:rPr>
      </w:pPr>
      <w:r w:rsidRPr="003C5D6B">
        <w:rPr>
          <w:lang w:val="fr-FR"/>
        </w:rPr>
        <w:t>Il peut être utile d'indiquer les redevances minimales, l'unité de temps minimale utilisée pour calculer les redevances afférentes à ces autorisations, ainsi que d'autres conditions importantes associées.</w:t>
      </w:r>
    </w:p>
    <w:p w:rsidR="002315E1" w:rsidRPr="003C5D6B" w:rsidRDefault="002315E1" w:rsidP="002315E1">
      <w:pPr>
        <w:pStyle w:val="Heading1"/>
        <w:rPr>
          <w:lang w:val="fr-FR"/>
        </w:rPr>
      </w:pPr>
      <w:bookmarkStart w:id="410" w:name="_Toc280260043"/>
      <w:bookmarkStart w:id="411" w:name="_Toc280260901"/>
      <w:bookmarkStart w:id="412" w:name="_Toc280272504"/>
      <w:bookmarkStart w:id="413" w:name="_Toc284414175"/>
      <w:bookmarkStart w:id="414" w:name="_Toc286314919"/>
      <w:bookmarkStart w:id="415" w:name="_Toc287523368"/>
      <w:r w:rsidRPr="003C5D6B">
        <w:rPr>
          <w:lang w:val="fr-FR"/>
        </w:rPr>
        <w:lastRenderedPageBreak/>
        <w:t>11</w:t>
      </w:r>
      <w:r w:rsidRPr="003C5D6B">
        <w:rPr>
          <w:lang w:val="fr-FR"/>
        </w:rPr>
        <w:tab/>
        <w:t>Répondre aux besoins d'autres services de radiocommunication qui ne sont pas mentionnés</w:t>
      </w:r>
      <w:bookmarkEnd w:id="410"/>
      <w:bookmarkEnd w:id="411"/>
      <w:bookmarkEnd w:id="412"/>
      <w:bookmarkEnd w:id="413"/>
      <w:bookmarkEnd w:id="414"/>
      <w:bookmarkEnd w:id="415"/>
      <w:r w:rsidRPr="003C5D6B">
        <w:rPr>
          <w:lang w:val="fr-FR"/>
        </w:rPr>
        <w:t xml:space="preserve"> </w:t>
      </w:r>
    </w:p>
    <w:p w:rsidR="002315E1" w:rsidRPr="003C5D6B" w:rsidRDefault="002315E1" w:rsidP="002315E1">
      <w:pPr>
        <w:rPr>
          <w:lang w:val="fr-FR"/>
        </w:rPr>
      </w:pPr>
      <w:r w:rsidRPr="003C5D6B">
        <w:rPr>
          <w:lang w:val="fr-FR"/>
        </w:rPr>
        <w:t>La politique pourrait inclure un article habilitant l'Autorité à fixer et à appliquer les redevances appropriées pour tout autre service de radiocommunication/hertzien non mentionné dans ladite politique.</w:t>
      </w:r>
    </w:p>
    <w:p w:rsidR="002315E1" w:rsidRPr="003C5D6B" w:rsidRDefault="002315E1" w:rsidP="002315E1">
      <w:pPr>
        <w:pStyle w:val="Heading1"/>
        <w:rPr>
          <w:lang w:val="fr-FR"/>
        </w:rPr>
      </w:pPr>
      <w:bookmarkStart w:id="416" w:name="_Toc280260044"/>
      <w:bookmarkStart w:id="417" w:name="_Toc280260902"/>
      <w:bookmarkStart w:id="418" w:name="_Toc280272505"/>
      <w:bookmarkStart w:id="419" w:name="_Toc284414176"/>
      <w:bookmarkStart w:id="420" w:name="_Toc286314920"/>
      <w:bookmarkStart w:id="421" w:name="_Toc287523369"/>
      <w:r w:rsidRPr="003C5D6B">
        <w:rPr>
          <w:lang w:val="fr-FR"/>
        </w:rPr>
        <w:t>12</w:t>
      </w:r>
      <w:r w:rsidRPr="003C5D6B">
        <w:rPr>
          <w:lang w:val="fr-FR"/>
        </w:rPr>
        <w:tab/>
        <w:t>Autres redevances</w:t>
      </w:r>
      <w:bookmarkEnd w:id="416"/>
      <w:bookmarkEnd w:id="417"/>
      <w:bookmarkEnd w:id="418"/>
      <w:bookmarkEnd w:id="419"/>
      <w:bookmarkEnd w:id="420"/>
      <w:bookmarkEnd w:id="421"/>
    </w:p>
    <w:p w:rsidR="002315E1" w:rsidRPr="003C5D6B" w:rsidRDefault="002315E1" w:rsidP="002315E1">
      <w:pPr>
        <w:rPr>
          <w:lang w:val="fr-FR"/>
        </w:rPr>
      </w:pPr>
      <w:r w:rsidRPr="003C5D6B">
        <w:rPr>
          <w:lang w:val="fr-FR"/>
        </w:rPr>
        <w:t>Il peut être également fait mention de l'application de redevances afférentes à des services spéciaux demandés par l'Autorité, comme le traitement et le suivi des plaintes concernant les brouillages et la réalisation d'études de site.</w:t>
      </w:r>
    </w:p>
    <w:p w:rsidR="00A81A9F" w:rsidRPr="00E92FFB" w:rsidRDefault="00A81A9F">
      <w:pPr>
        <w:tabs>
          <w:tab w:val="clear" w:pos="794"/>
          <w:tab w:val="clear" w:pos="1191"/>
          <w:tab w:val="clear" w:pos="1588"/>
          <w:tab w:val="clear" w:pos="1985"/>
        </w:tabs>
        <w:overflowPunct/>
        <w:autoSpaceDE/>
        <w:autoSpaceDN/>
        <w:adjustRightInd/>
        <w:spacing w:before="0"/>
        <w:jc w:val="left"/>
        <w:textAlignment w:val="auto"/>
        <w:rPr>
          <w:b/>
          <w:szCs w:val="19"/>
          <w:lang w:val="fr-CH"/>
        </w:rPr>
      </w:pPr>
      <w:r w:rsidRPr="00E92FFB">
        <w:rPr>
          <w:b/>
          <w:szCs w:val="19"/>
          <w:lang w:val="fr-CH"/>
        </w:rPr>
        <w:br w:type="page"/>
      </w:r>
    </w:p>
    <w:p w:rsidR="006F46C2" w:rsidRPr="003C5D6B" w:rsidRDefault="009E0A3F" w:rsidP="009E0A3F">
      <w:pPr>
        <w:pStyle w:val="AppendixNotitle"/>
      </w:pPr>
      <w:bookmarkStart w:id="422" w:name="_Toc280260045"/>
      <w:bookmarkStart w:id="423" w:name="_Toc280260903"/>
      <w:bookmarkStart w:id="424" w:name="_Toc280272506"/>
      <w:bookmarkStart w:id="425" w:name="_Toc284414177"/>
      <w:bookmarkStart w:id="426" w:name="_Toc284499216"/>
      <w:bookmarkStart w:id="427" w:name="_Toc287523370"/>
      <w:r w:rsidRPr="00E92FFB">
        <w:rPr>
          <w:lang w:val="en-US"/>
        </w:rPr>
        <w:lastRenderedPageBreak/>
        <w:t>Apé</w:t>
      </w:r>
      <w:r w:rsidR="006F46C2" w:rsidRPr="00E92FFB">
        <w:rPr>
          <w:lang w:val="en-US"/>
        </w:rPr>
        <w:t>ndix 1.2</w:t>
      </w:r>
      <w:r w:rsidR="00956B41" w:rsidRPr="00E92FFB">
        <w:rPr>
          <w:lang w:val="en-US"/>
        </w:rPr>
        <w:t xml:space="preserve"> (</w:t>
      </w:r>
      <w:r w:rsidRPr="00E92FFB">
        <w:rPr>
          <w:lang w:val="en-US"/>
        </w:rPr>
        <w:t>inglés</w:t>
      </w:r>
      <w:r w:rsidR="00956B41" w:rsidRPr="00E92FFB">
        <w:rPr>
          <w:lang w:val="en-US"/>
        </w:rPr>
        <w:t>)</w:t>
      </w:r>
      <w:r w:rsidR="006E1EDC" w:rsidRPr="00E92FFB">
        <w:rPr>
          <w:bCs/>
          <w:lang w:val="en-US"/>
        </w:rPr>
        <w:br/>
      </w:r>
      <w:r w:rsidR="006E1EDC" w:rsidRPr="00E92FFB">
        <w:rPr>
          <w:bCs/>
          <w:lang w:val="en-US"/>
        </w:rPr>
        <w:br/>
      </w:r>
      <w:r w:rsidR="006F46C2" w:rsidRPr="003C5D6B">
        <w:t>United Arab Emirates: Proposed example on spectrum fees policy</w:t>
      </w:r>
      <w:bookmarkEnd w:id="422"/>
      <w:bookmarkEnd w:id="423"/>
      <w:bookmarkEnd w:id="424"/>
      <w:bookmarkEnd w:id="425"/>
      <w:bookmarkEnd w:id="426"/>
      <w:bookmarkEnd w:id="427"/>
    </w:p>
    <w:p w:rsidR="006F46C2" w:rsidRPr="003C5D6B" w:rsidRDefault="006F46C2" w:rsidP="006F46C2"/>
    <w:p w:rsidR="006F46C2" w:rsidRPr="003C5D6B" w:rsidRDefault="006F46C2" w:rsidP="006F46C2">
      <w:pPr>
        <w:suppressAutoHyphens/>
        <w:jc w:val="center"/>
        <w:rPr>
          <w:b/>
        </w:rPr>
      </w:pPr>
      <w:r w:rsidRPr="003C5D6B">
        <w:rPr>
          <w:b/>
        </w:rPr>
        <w:t>TABLE OF CONTENTS</w:t>
      </w:r>
    </w:p>
    <w:p w:rsidR="006F46C2" w:rsidRPr="003C5D6B" w:rsidRDefault="006F46C2" w:rsidP="006F46C2">
      <w:pPr>
        <w:suppressAutoHyphens/>
        <w:rPr>
          <w:bCs/>
        </w:rPr>
      </w:pPr>
    </w:p>
    <w:p w:rsidR="00717F77" w:rsidRPr="003C5D6B" w:rsidRDefault="00717F77" w:rsidP="005E7B66">
      <w:pPr>
        <w:pStyle w:val="Recdate"/>
        <w:keepLines w:val="0"/>
        <w:tabs>
          <w:tab w:val="right" w:pos="9639"/>
        </w:tabs>
        <w:jc w:val="left"/>
        <w:rPr>
          <w:b/>
          <w:iCs/>
        </w:rPr>
      </w:pPr>
      <w:r w:rsidRPr="003C5D6B">
        <w:rPr>
          <w:iCs/>
        </w:rPr>
        <w:tab/>
      </w:r>
      <w:r w:rsidR="005E7B66" w:rsidRPr="003C5D6B">
        <w:rPr>
          <w:b/>
          <w:iCs/>
        </w:rPr>
        <w:t>P</w:t>
      </w:r>
      <w:r w:rsidR="005E6FB1" w:rsidRPr="003C5D6B">
        <w:rPr>
          <w:b/>
          <w:iCs/>
        </w:rPr>
        <w:t>age</w:t>
      </w:r>
    </w:p>
    <w:p w:rsidR="00017277" w:rsidRPr="003C5D6B" w:rsidRDefault="003B6168">
      <w:pPr>
        <w:pStyle w:val="TOC1"/>
        <w:rPr>
          <w:rFonts w:asciiTheme="minorHAnsi" w:eastAsia="SimSun" w:hAnsiTheme="minorHAnsi" w:cstheme="minorBidi"/>
          <w:szCs w:val="22"/>
          <w:lang w:val="en-GB" w:eastAsia="zh-CN"/>
        </w:rPr>
      </w:pPr>
      <w:r w:rsidRPr="003B6168">
        <w:rPr>
          <w:lang w:val="en-GB"/>
        </w:rPr>
        <w:fldChar w:fldCharType="begin"/>
      </w:r>
      <w:r w:rsidR="00017277" w:rsidRPr="003C5D6B">
        <w:rPr>
          <w:lang w:val="en-GB"/>
        </w:rPr>
        <w:instrText xml:space="preserve"> TOC \h \z \t "Art_title;1" </w:instrText>
      </w:r>
      <w:r w:rsidRPr="003B6168">
        <w:rPr>
          <w:lang w:val="en-GB"/>
        </w:rPr>
        <w:fldChar w:fldCharType="separate"/>
      </w:r>
      <w:hyperlink w:anchor="_Toc287523802" w:history="1">
        <w:r w:rsidR="00017277" w:rsidRPr="003C5D6B">
          <w:rPr>
            <w:rStyle w:val="Hyperlink"/>
            <w:lang w:val="en-GB"/>
          </w:rPr>
          <w:t>Article 1 – Purpose</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_Toc287523802 \h </w:instrText>
        </w:r>
        <w:r w:rsidRPr="003C5D6B">
          <w:rPr>
            <w:webHidden/>
            <w:lang w:val="en-GB"/>
          </w:rPr>
        </w:r>
        <w:r w:rsidRPr="003C5D6B">
          <w:rPr>
            <w:webHidden/>
            <w:lang w:val="en-GB"/>
          </w:rPr>
          <w:fldChar w:fldCharType="separate"/>
        </w:r>
        <w:r w:rsidR="00017277" w:rsidRPr="003C5D6B">
          <w:rPr>
            <w:webHidden/>
            <w:lang w:val="en-GB"/>
          </w:rPr>
          <w:t>27</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03" w:history="1">
        <w:r w:rsidR="00017277" w:rsidRPr="003C5D6B">
          <w:rPr>
            <w:rStyle w:val="Hyperlink"/>
            <w:lang w:val="en-GB"/>
          </w:rPr>
          <w:t>Article 2 – Definitions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_Toc287523803 \h </w:instrText>
        </w:r>
        <w:r w:rsidRPr="003C5D6B">
          <w:rPr>
            <w:webHidden/>
            <w:lang w:val="en-GB"/>
          </w:rPr>
        </w:r>
        <w:r w:rsidRPr="003C5D6B">
          <w:rPr>
            <w:webHidden/>
            <w:lang w:val="en-GB"/>
          </w:rPr>
          <w:fldChar w:fldCharType="separate"/>
        </w:r>
        <w:r w:rsidR="00017277" w:rsidRPr="003C5D6B">
          <w:rPr>
            <w:webHidden/>
            <w:lang w:val="en-GB"/>
          </w:rPr>
          <w:t>27</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04" w:history="1">
        <w:r w:rsidR="00017277" w:rsidRPr="003C5D6B">
          <w:rPr>
            <w:rStyle w:val="Hyperlink"/>
            <w:lang w:val="en-GB"/>
          </w:rPr>
          <w:t>Article 3 – Application processing fees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_Toc287523804 \h </w:instrText>
        </w:r>
        <w:r w:rsidRPr="003C5D6B">
          <w:rPr>
            <w:webHidden/>
            <w:lang w:val="en-GB"/>
          </w:rPr>
        </w:r>
        <w:r w:rsidRPr="003C5D6B">
          <w:rPr>
            <w:webHidden/>
            <w:lang w:val="en-GB"/>
          </w:rPr>
          <w:fldChar w:fldCharType="separate"/>
        </w:r>
        <w:r w:rsidR="00017277" w:rsidRPr="003C5D6B">
          <w:rPr>
            <w:webHidden/>
            <w:lang w:val="en-GB"/>
          </w:rPr>
          <w:t>28</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05" w:history="1">
        <w:r w:rsidR="00017277" w:rsidRPr="003C5D6B">
          <w:rPr>
            <w:rStyle w:val="Hyperlink"/>
            <w:lang w:val="en-GB"/>
          </w:rPr>
          <w:t>Article 4 – Exemption from application processing fees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_Toc287523805 \h </w:instrText>
        </w:r>
        <w:r w:rsidRPr="003C5D6B">
          <w:rPr>
            <w:webHidden/>
            <w:lang w:val="en-GB"/>
          </w:rPr>
        </w:r>
        <w:r w:rsidRPr="003C5D6B">
          <w:rPr>
            <w:webHidden/>
            <w:lang w:val="en-GB"/>
          </w:rPr>
          <w:fldChar w:fldCharType="separate"/>
        </w:r>
        <w:r w:rsidR="00017277" w:rsidRPr="003C5D6B">
          <w:rPr>
            <w:webHidden/>
            <w:lang w:val="en-GB"/>
          </w:rPr>
          <w:t>28</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06" w:history="1">
        <w:r w:rsidR="00017277" w:rsidRPr="003C5D6B">
          <w:rPr>
            <w:rStyle w:val="Hyperlink"/>
            <w:lang w:val="en-GB"/>
          </w:rPr>
          <w:t>Article 5 – Spectrum fees for fresh application</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_Toc287523806 \h </w:instrText>
        </w:r>
        <w:r w:rsidRPr="003C5D6B">
          <w:rPr>
            <w:webHidden/>
            <w:lang w:val="en-GB"/>
          </w:rPr>
        </w:r>
        <w:r w:rsidRPr="003C5D6B">
          <w:rPr>
            <w:webHidden/>
            <w:lang w:val="en-GB"/>
          </w:rPr>
          <w:fldChar w:fldCharType="separate"/>
        </w:r>
        <w:r w:rsidR="00017277" w:rsidRPr="003C5D6B">
          <w:rPr>
            <w:webHidden/>
            <w:lang w:val="en-GB"/>
          </w:rPr>
          <w:t>28</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07" w:history="1">
        <w:r w:rsidR="00017277" w:rsidRPr="003C5D6B">
          <w:rPr>
            <w:rStyle w:val="Hyperlink"/>
            <w:lang w:val="en-GB"/>
          </w:rPr>
          <w:t>Article 6 – Spectrum fees for renewal of authorization</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_Toc287523807 \h </w:instrText>
        </w:r>
        <w:r w:rsidRPr="003C5D6B">
          <w:rPr>
            <w:webHidden/>
            <w:lang w:val="en-GB"/>
          </w:rPr>
        </w:r>
        <w:r w:rsidRPr="003C5D6B">
          <w:rPr>
            <w:webHidden/>
            <w:lang w:val="en-GB"/>
          </w:rPr>
          <w:fldChar w:fldCharType="separate"/>
        </w:r>
        <w:r w:rsidR="00017277" w:rsidRPr="003C5D6B">
          <w:rPr>
            <w:webHidden/>
            <w:lang w:val="en-GB"/>
          </w:rPr>
          <w:t>29</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08" w:history="1">
        <w:r w:rsidR="00017277" w:rsidRPr="003C5D6B">
          <w:rPr>
            <w:rStyle w:val="Hyperlink"/>
            <w:lang w:val="en-GB"/>
          </w:rPr>
          <w:t>Article 7 – Additional fees for delayed renewal of authorization</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_Toc287523808 \h </w:instrText>
        </w:r>
        <w:r w:rsidRPr="003C5D6B">
          <w:rPr>
            <w:webHidden/>
            <w:lang w:val="en-GB"/>
          </w:rPr>
        </w:r>
        <w:r w:rsidRPr="003C5D6B">
          <w:rPr>
            <w:webHidden/>
            <w:lang w:val="en-GB"/>
          </w:rPr>
          <w:fldChar w:fldCharType="separate"/>
        </w:r>
        <w:r w:rsidR="00017277" w:rsidRPr="003C5D6B">
          <w:rPr>
            <w:webHidden/>
            <w:lang w:val="en-GB"/>
          </w:rPr>
          <w:t>29</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09" w:history="1">
        <w:r w:rsidR="00017277" w:rsidRPr="003C5D6B">
          <w:rPr>
            <w:rStyle w:val="Hyperlink"/>
            <w:lang w:val="en-GB"/>
          </w:rPr>
          <w:t>Article 8 – Authorization reproduction fees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_Toc287523809 \h </w:instrText>
        </w:r>
        <w:r w:rsidRPr="003C5D6B">
          <w:rPr>
            <w:webHidden/>
            <w:lang w:val="en-GB"/>
          </w:rPr>
        </w:r>
        <w:r w:rsidRPr="003C5D6B">
          <w:rPr>
            <w:webHidden/>
            <w:lang w:val="en-GB"/>
          </w:rPr>
          <w:fldChar w:fldCharType="separate"/>
        </w:r>
        <w:r w:rsidR="00017277" w:rsidRPr="003C5D6B">
          <w:rPr>
            <w:webHidden/>
            <w:lang w:val="en-GB"/>
          </w:rPr>
          <w:t>29</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10" w:history="1">
        <w:r w:rsidR="00017277" w:rsidRPr="003C5D6B">
          <w:rPr>
            <w:rStyle w:val="Hyperlink"/>
            <w:lang w:val="en-GB"/>
          </w:rPr>
          <w:t>Article 9 – Authorization modification fees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_Toc287523810 \h </w:instrText>
        </w:r>
        <w:r w:rsidRPr="003C5D6B">
          <w:rPr>
            <w:webHidden/>
            <w:lang w:val="en-GB"/>
          </w:rPr>
        </w:r>
        <w:r w:rsidRPr="003C5D6B">
          <w:rPr>
            <w:webHidden/>
            <w:lang w:val="en-GB"/>
          </w:rPr>
          <w:fldChar w:fldCharType="separate"/>
        </w:r>
        <w:r w:rsidR="00017277" w:rsidRPr="003C5D6B">
          <w:rPr>
            <w:webHidden/>
            <w:lang w:val="en-GB"/>
          </w:rPr>
          <w:t>29</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11" w:history="1">
        <w:r w:rsidR="00017277" w:rsidRPr="003C5D6B">
          <w:rPr>
            <w:rStyle w:val="Hyperlink"/>
            <w:lang w:val="en-GB"/>
          </w:rPr>
          <w:t>Article 10 – Authorization cancellation fees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_Toc287523811 \h </w:instrText>
        </w:r>
        <w:r w:rsidRPr="003C5D6B">
          <w:rPr>
            <w:webHidden/>
            <w:lang w:val="en-GB"/>
          </w:rPr>
        </w:r>
        <w:r w:rsidRPr="003C5D6B">
          <w:rPr>
            <w:webHidden/>
            <w:lang w:val="en-GB"/>
          </w:rPr>
          <w:fldChar w:fldCharType="separate"/>
        </w:r>
        <w:r w:rsidR="00017277" w:rsidRPr="003C5D6B">
          <w:rPr>
            <w:webHidden/>
            <w:lang w:val="en-GB"/>
          </w:rPr>
          <w:t>29</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12" w:history="1">
        <w:r w:rsidR="00017277" w:rsidRPr="003C5D6B">
          <w:rPr>
            <w:rStyle w:val="Hyperlink"/>
            <w:lang w:val="en-GB"/>
          </w:rPr>
          <w:t>Article 11 – Spectrum fees for public land mobile (cellular) service</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_Toc287523812 \h </w:instrText>
        </w:r>
        <w:r w:rsidRPr="003C5D6B">
          <w:rPr>
            <w:webHidden/>
            <w:lang w:val="en-GB"/>
          </w:rPr>
        </w:r>
        <w:r w:rsidRPr="003C5D6B">
          <w:rPr>
            <w:webHidden/>
            <w:lang w:val="en-GB"/>
          </w:rPr>
          <w:fldChar w:fldCharType="separate"/>
        </w:r>
        <w:r w:rsidR="00017277" w:rsidRPr="003C5D6B">
          <w:rPr>
            <w:webHidden/>
            <w:lang w:val="en-GB"/>
          </w:rPr>
          <w:t>30</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13" w:history="1">
        <w:r w:rsidR="00017277" w:rsidRPr="003C5D6B">
          <w:rPr>
            <w:rStyle w:val="Hyperlink"/>
            <w:lang w:val="en-GB"/>
          </w:rPr>
          <w:t>Article 12 – Spectrum fees for private mobile radio, paging and trunking</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_Toc287523813 \h </w:instrText>
        </w:r>
        <w:r w:rsidRPr="003C5D6B">
          <w:rPr>
            <w:webHidden/>
            <w:lang w:val="en-GB"/>
          </w:rPr>
        </w:r>
        <w:r w:rsidRPr="003C5D6B">
          <w:rPr>
            <w:webHidden/>
            <w:lang w:val="en-GB"/>
          </w:rPr>
          <w:fldChar w:fldCharType="separate"/>
        </w:r>
        <w:r w:rsidR="00017277" w:rsidRPr="003C5D6B">
          <w:rPr>
            <w:webHidden/>
            <w:lang w:val="en-GB"/>
          </w:rPr>
          <w:t>30</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14" w:history="1">
        <w:r w:rsidR="00017277" w:rsidRPr="003C5D6B">
          <w:rPr>
            <w:rStyle w:val="Hyperlink"/>
            <w:lang w:val="en-GB"/>
          </w:rPr>
          <w:t>Article 13 – Spectrum fees for fixed (point-to-point) links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_Toc287523814 \h </w:instrText>
        </w:r>
        <w:r w:rsidRPr="003C5D6B">
          <w:rPr>
            <w:webHidden/>
            <w:lang w:val="en-GB"/>
          </w:rPr>
        </w:r>
        <w:r w:rsidRPr="003C5D6B">
          <w:rPr>
            <w:webHidden/>
            <w:lang w:val="en-GB"/>
          </w:rPr>
          <w:fldChar w:fldCharType="separate"/>
        </w:r>
        <w:r w:rsidR="00017277" w:rsidRPr="003C5D6B">
          <w:rPr>
            <w:webHidden/>
            <w:lang w:val="en-GB"/>
          </w:rPr>
          <w:t>32</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15" w:history="1">
        <w:r w:rsidR="00017277" w:rsidRPr="003C5D6B">
          <w:rPr>
            <w:rStyle w:val="Hyperlink"/>
            <w:lang w:val="en-GB"/>
          </w:rPr>
          <w:t>Article 14 – Spectrum fees for FWA, SCADA, telemetry, mesh networks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_Toc287523815 \h </w:instrText>
        </w:r>
        <w:r w:rsidRPr="003C5D6B">
          <w:rPr>
            <w:webHidden/>
            <w:lang w:val="en-GB"/>
          </w:rPr>
        </w:r>
        <w:r w:rsidRPr="003C5D6B">
          <w:rPr>
            <w:webHidden/>
            <w:lang w:val="en-GB"/>
          </w:rPr>
          <w:fldChar w:fldCharType="separate"/>
        </w:r>
        <w:r w:rsidR="00017277" w:rsidRPr="003C5D6B">
          <w:rPr>
            <w:webHidden/>
            <w:lang w:val="en-GB"/>
          </w:rPr>
          <w:t>32</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16" w:history="1">
        <w:r w:rsidR="00017277" w:rsidRPr="003C5D6B">
          <w:rPr>
            <w:rStyle w:val="Hyperlink"/>
            <w:lang w:val="en-GB"/>
          </w:rPr>
          <w:t>Article 15 – Spectrum fees for mobile broadband wireless access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_Toc287523816 \h </w:instrText>
        </w:r>
        <w:r w:rsidRPr="003C5D6B">
          <w:rPr>
            <w:webHidden/>
            <w:lang w:val="en-GB"/>
          </w:rPr>
        </w:r>
        <w:r w:rsidRPr="003C5D6B">
          <w:rPr>
            <w:webHidden/>
            <w:lang w:val="en-GB"/>
          </w:rPr>
          <w:fldChar w:fldCharType="separate"/>
        </w:r>
        <w:r w:rsidR="00017277" w:rsidRPr="003C5D6B">
          <w:rPr>
            <w:webHidden/>
            <w:lang w:val="en-GB"/>
          </w:rPr>
          <w:t>33</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17" w:history="1">
        <w:r w:rsidR="00017277" w:rsidRPr="003C5D6B">
          <w:rPr>
            <w:rStyle w:val="Hyperlink"/>
            <w:lang w:val="en-GB"/>
          </w:rPr>
          <w:t>Article 16 – Spectrum fees for optical and laser links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_Toc287523817 \h </w:instrText>
        </w:r>
        <w:r w:rsidRPr="003C5D6B">
          <w:rPr>
            <w:webHidden/>
            <w:lang w:val="en-GB"/>
          </w:rPr>
        </w:r>
        <w:r w:rsidRPr="003C5D6B">
          <w:rPr>
            <w:webHidden/>
            <w:lang w:val="en-GB"/>
          </w:rPr>
          <w:fldChar w:fldCharType="separate"/>
        </w:r>
        <w:r w:rsidR="00017277" w:rsidRPr="003C5D6B">
          <w:rPr>
            <w:webHidden/>
            <w:lang w:val="en-GB"/>
          </w:rPr>
          <w:t>33</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18" w:history="1">
        <w:r w:rsidR="00017277" w:rsidRPr="003C5D6B">
          <w:rPr>
            <w:rStyle w:val="Hyperlink"/>
            <w:lang w:val="en-GB"/>
          </w:rPr>
          <w:t>Article 17 – Spectrum fees for WLAN and cordless telephony</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_Toc287523818 \h </w:instrText>
        </w:r>
        <w:r w:rsidRPr="003C5D6B">
          <w:rPr>
            <w:webHidden/>
            <w:lang w:val="en-GB"/>
          </w:rPr>
        </w:r>
        <w:r w:rsidRPr="003C5D6B">
          <w:rPr>
            <w:webHidden/>
            <w:lang w:val="en-GB"/>
          </w:rPr>
          <w:fldChar w:fldCharType="separate"/>
        </w:r>
        <w:r w:rsidR="00017277" w:rsidRPr="003C5D6B">
          <w:rPr>
            <w:webHidden/>
            <w:lang w:val="en-GB"/>
          </w:rPr>
          <w:t>33</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19" w:history="1">
        <w:r w:rsidR="00017277" w:rsidRPr="003C5D6B">
          <w:rPr>
            <w:rStyle w:val="Hyperlink"/>
            <w:lang w:val="en-GB"/>
          </w:rPr>
          <w:t>Article 18 – Spectrum fees for GMPCS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_Toc287523819 \h </w:instrText>
        </w:r>
        <w:r w:rsidRPr="003C5D6B">
          <w:rPr>
            <w:webHidden/>
            <w:lang w:val="en-GB"/>
          </w:rPr>
        </w:r>
        <w:r w:rsidRPr="003C5D6B">
          <w:rPr>
            <w:webHidden/>
            <w:lang w:val="en-GB"/>
          </w:rPr>
          <w:fldChar w:fldCharType="separate"/>
        </w:r>
        <w:r w:rsidR="00017277" w:rsidRPr="003C5D6B">
          <w:rPr>
            <w:webHidden/>
            <w:lang w:val="en-GB"/>
          </w:rPr>
          <w:t>34</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20" w:history="1">
        <w:r w:rsidR="00017277" w:rsidRPr="003C5D6B">
          <w:rPr>
            <w:rStyle w:val="Hyperlink"/>
            <w:lang w:val="en-GB"/>
          </w:rPr>
          <w:t>Article 19 – Spectrum fees for amateur</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_Toc287523820 \h </w:instrText>
        </w:r>
        <w:r w:rsidRPr="003C5D6B">
          <w:rPr>
            <w:webHidden/>
            <w:lang w:val="en-GB"/>
          </w:rPr>
        </w:r>
        <w:r w:rsidRPr="003C5D6B">
          <w:rPr>
            <w:webHidden/>
            <w:lang w:val="en-GB"/>
          </w:rPr>
          <w:fldChar w:fldCharType="separate"/>
        </w:r>
        <w:r w:rsidR="00017277" w:rsidRPr="003C5D6B">
          <w:rPr>
            <w:webHidden/>
            <w:lang w:val="en-GB"/>
          </w:rPr>
          <w:t>34</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21" w:history="1">
        <w:r w:rsidR="00017277" w:rsidRPr="003C5D6B">
          <w:rPr>
            <w:rStyle w:val="Hyperlink"/>
            <w:lang w:val="en-GB"/>
          </w:rPr>
          <w:t>Article 20 – Spectrum fees for aeronautical radio stations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_Toc287523821 \h </w:instrText>
        </w:r>
        <w:r w:rsidRPr="003C5D6B">
          <w:rPr>
            <w:webHidden/>
            <w:lang w:val="en-GB"/>
          </w:rPr>
        </w:r>
        <w:r w:rsidRPr="003C5D6B">
          <w:rPr>
            <w:webHidden/>
            <w:lang w:val="en-GB"/>
          </w:rPr>
          <w:fldChar w:fldCharType="separate"/>
        </w:r>
        <w:r w:rsidR="00017277" w:rsidRPr="003C5D6B">
          <w:rPr>
            <w:webHidden/>
            <w:lang w:val="en-GB"/>
          </w:rPr>
          <w:t>34</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22" w:history="1">
        <w:r w:rsidR="00017277" w:rsidRPr="003C5D6B">
          <w:rPr>
            <w:rStyle w:val="Hyperlink"/>
            <w:lang w:val="en-GB"/>
          </w:rPr>
          <w:t>Article 21 – Spectrum fees for maritime radio services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_Toc287523822 \h </w:instrText>
        </w:r>
        <w:r w:rsidRPr="003C5D6B">
          <w:rPr>
            <w:webHidden/>
            <w:lang w:val="en-GB"/>
          </w:rPr>
        </w:r>
        <w:r w:rsidRPr="003C5D6B">
          <w:rPr>
            <w:webHidden/>
            <w:lang w:val="en-GB"/>
          </w:rPr>
          <w:fldChar w:fldCharType="separate"/>
        </w:r>
        <w:r w:rsidR="00017277" w:rsidRPr="003C5D6B">
          <w:rPr>
            <w:webHidden/>
            <w:lang w:val="en-GB"/>
          </w:rPr>
          <w:t>34</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23" w:history="1">
        <w:r w:rsidR="00017277" w:rsidRPr="003C5D6B">
          <w:rPr>
            <w:rStyle w:val="Hyperlink"/>
            <w:lang w:val="en-GB"/>
          </w:rPr>
          <w:t>Article 22 – Spectrum fees for space services and ancillary</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_Toc287523823 \h </w:instrText>
        </w:r>
        <w:r w:rsidRPr="003C5D6B">
          <w:rPr>
            <w:webHidden/>
            <w:lang w:val="en-GB"/>
          </w:rPr>
        </w:r>
        <w:r w:rsidRPr="003C5D6B">
          <w:rPr>
            <w:webHidden/>
            <w:lang w:val="en-GB"/>
          </w:rPr>
          <w:fldChar w:fldCharType="separate"/>
        </w:r>
        <w:r w:rsidR="00017277" w:rsidRPr="003C5D6B">
          <w:rPr>
            <w:webHidden/>
            <w:lang w:val="en-GB"/>
          </w:rPr>
          <w:t>35</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24" w:history="1">
        <w:r w:rsidR="00017277" w:rsidRPr="003C5D6B">
          <w:rPr>
            <w:rStyle w:val="Hyperlink"/>
            <w:lang w:val="en-GB"/>
          </w:rPr>
          <w:t>Article 23 – Spectrum fees for radionavigation stations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_Toc287523824 \h </w:instrText>
        </w:r>
        <w:r w:rsidRPr="003C5D6B">
          <w:rPr>
            <w:webHidden/>
            <w:lang w:val="en-GB"/>
          </w:rPr>
        </w:r>
        <w:r w:rsidRPr="003C5D6B">
          <w:rPr>
            <w:webHidden/>
            <w:lang w:val="en-GB"/>
          </w:rPr>
          <w:fldChar w:fldCharType="separate"/>
        </w:r>
        <w:r w:rsidR="00017277" w:rsidRPr="003C5D6B">
          <w:rPr>
            <w:webHidden/>
            <w:lang w:val="en-GB"/>
          </w:rPr>
          <w:t>35</w:t>
        </w:r>
        <w:r w:rsidRPr="003C5D6B">
          <w:rPr>
            <w:webHidden/>
            <w:lang w:val="en-GB"/>
          </w:rPr>
          <w:fldChar w:fldCharType="end"/>
        </w:r>
      </w:hyperlink>
    </w:p>
    <w:p w:rsidR="00236250" w:rsidRPr="003C5D6B" w:rsidRDefault="00236250" w:rsidP="00236250">
      <w:pPr>
        <w:pStyle w:val="Recdate"/>
        <w:keepLines w:val="0"/>
        <w:tabs>
          <w:tab w:val="right" w:pos="9639"/>
        </w:tabs>
        <w:jc w:val="left"/>
        <w:rPr>
          <w:b/>
          <w:iCs/>
        </w:rPr>
      </w:pPr>
      <w:r w:rsidRPr="003C5D6B">
        <w:rPr>
          <w:iCs/>
        </w:rPr>
        <w:lastRenderedPageBreak/>
        <w:tab/>
      </w:r>
      <w:r w:rsidRPr="003C5D6B">
        <w:rPr>
          <w:b/>
          <w:iCs/>
        </w:rPr>
        <w:t>Page</w:t>
      </w:r>
    </w:p>
    <w:p w:rsidR="00017277" w:rsidRPr="003C5D6B" w:rsidRDefault="003B6168">
      <w:pPr>
        <w:pStyle w:val="TOC1"/>
        <w:rPr>
          <w:rFonts w:asciiTheme="minorHAnsi" w:eastAsia="SimSun" w:hAnsiTheme="minorHAnsi" w:cstheme="minorBidi"/>
          <w:szCs w:val="22"/>
          <w:lang w:val="en-GB" w:eastAsia="zh-CN"/>
        </w:rPr>
      </w:pPr>
      <w:hyperlink w:anchor="_Toc287523825" w:history="1">
        <w:r w:rsidR="00017277" w:rsidRPr="003C5D6B">
          <w:rPr>
            <w:rStyle w:val="Hyperlink"/>
            <w:lang w:val="en-GB"/>
          </w:rPr>
          <w:t>Article 24 – Spectrum fees for radio astronomy stations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_Toc287523825 \h </w:instrText>
        </w:r>
        <w:r w:rsidRPr="003C5D6B">
          <w:rPr>
            <w:webHidden/>
            <w:lang w:val="en-GB"/>
          </w:rPr>
        </w:r>
        <w:r w:rsidRPr="003C5D6B">
          <w:rPr>
            <w:webHidden/>
            <w:lang w:val="en-GB"/>
          </w:rPr>
          <w:fldChar w:fldCharType="separate"/>
        </w:r>
        <w:r w:rsidR="00017277" w:rsidRPr="003C5D6B">
          <w:rPr>
            <w:webHidden/>
            <w:lang w:val="en-GB"/>
          </w:rPr>
          <w:t>35</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26" w:history="1">
        <w:r w:rsidR="00017277" w:rsidRPr="003C5D6B">
          <w:rPr>
            <w:rStyle w:val="Hyperlink"/>
            <w:lang w:val="en-GB"/>
          </w:rPr>
          <w:t>Article 25 – Spectrum fees for radiolocation stations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_Toc287523826 \h </w:instrText>
        </w:r>
        <w:r w:rsidRPr="003C5D6B">
          <w:rPr>
            <w:webHidden/>
            <w:lang w:val="en-GB"/>
          </w:rPr>
        </w:r>
        <w:r w:rsidRPr="003C5D6B">
          <w:rPr>
            <w:webHidden/>
            <w:lang w:val="en-GB"/>
          </w:rPr>
          <w:fldChar w:fldCharType="separate"/>
        </w:r>
        <w:r w:rsidR="00017277" w:rsidRPr="003C5D6B">
          <w:rPr>
            <w:webHidden/>
            <w:lang w:val="en-GB"/>
          </w:rPr>
          <w:t>35</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27" w:history="1">
        <w:r w:rsidR="00017277" w:rsidRPr="003C5D6B">
          <w:rPr>
            <w:rStyle w:val="Hyperlink"/>
            <w:lang w:val="en-GB"/>
          </w:rPr>
          <w:t>Article 26 – Spectrum fees for broadcasting service</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_Toc287523827 \h </w:instrText>
        </w:r>
        <w:r w:rsidRPr="003C5D6B">
          <w:rPr>
            <w:webHidden/>
            <w:lang w:val="en-GB"/>
          </w:rPr>
        </w:r>
        <w:r w:rsidRPr="003C5D6B">
          <w:rPr>
            <w:webHidden/>
            <w:lang w:val="en-GB"/>
          </w:rPr>
          <w:fldChar w:fldCharType="separate"/>
        </w:r>
        <w:r w:rsidR="00017277" w:rsidRPr="003C5D6B">
          <w:rPr>
            <w:webHidden/>
            <w:lang w:val="en-GB"/>
          </w:rPr>
          <w:t>35</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28" w:history="1">
        <w:r w:rsidR="00017277" w:rsidRPr="003C5D6B">
          <w:rPr>
            <w:rStyle w:val="Hyperlink"/>
            <w:lang w:val="en-GB"/>
          </w:rPr>
          <w:t>Article 27 – Short-range devices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_Toc287523828 \h </w:instrText>
        </w:r>
        <w:r w:rsidRPr="003C5D6B">
          <w:rPr>
            <w:webHidden/>
            <w:lang w:val="en-GB"/>
          </w:rPr>
        </w:r>
        <w:r w:rsidRPr="003C5D6B">
          <w:rPr>
            <w:webHidden/>
            <w:lang w:val="en-GB"/>
          </w:rPr>
          <w:fldChar w:fldCharType="separate"/>
        </w:r>
        <w:r w:rsidR="00017277" w:rsidRPr="003C5D6B">
          <w:rPr>
            <w:webHidden/>
            <w:lang w:val="en-GB"/>
          </w:rPr>
          <w:t>39</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29" w:history="1">
        <w:r w:rsidR="00017277" w:rsidRPr="003C5D6B">
          <w:rPr>
            <w:rStyle w:val="Hyperlink"/>
            <w:lang w:val="en-GB"/>
          </w:rPr>
          <w:t>Article 28</w:t>
        </w:r>
        <w:r w:rsidR="00017277" w:rsidRPr="003C5D6B">
          <w:rPr>
            <w:rStyle w:val="Hyperlink"/>
            <w:bCs/>
            <w:lang w:val="en-GB"/>
          </w:rPr>
          <w:t xml:space="preserve"> – </w:t>
        </w:r>
        <w:r w:rsidR="00017277" w:rsidRPr="003C5D6B">
          <w:rPr>
            <w:rStyle w:val="Hyperlink"/>
            <w:lang w:val="en-GB"/>
          </w:rPr>
          <w:t>Emergency and disaster frequencies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_Toc287523829 \h </w:instrText>
        </w:r>
        <w:r w:rsidRPr="003C5D6B">
          <w:rPr>
            <w:webHidden/>
            <w:lang w:val="en-GB"/>
          </w:rPr>
        </w:r>
        <w:r w:rsidRPr="003C5D6B">
          <w:rPr>
            <w:webHidden/>
            <w:lang w:val="en-GB"/>
          </w:rPr>
          <w:fldChar w:fldCharType="separate"/>
        </w:r>
        <w:r w:rsidR="00017277" w:rsidRPr="003C5D6B">
          <w:rPr>
            <w:webHidden/>
            <w:lang w:val="en-GB"/>
          </w:rPr>
          <w:t>39</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30" w:history="1">
        <w:r w:rsidR="00017277" w:rsidRPr="003C5D6B">
          <w:rPr>
            <w:rStyle w:val="Hyperlink"/>
            <w:lang w:val="en-GB"/>
          </w:rPr>
          <w:t>Article 29 – Temporary authorization</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_Toc287523830 \h </w:instrText>
        </w:r>
        <w:r w:rsidRPr="003C5D6B">
          <w:rPr>
            <w:webHidden/>
            <w:lang w:val="en-GB"/>
          </w:rPr>
        </w:r>
        <w:r w:rsidRPr="003C5D6B">
          <w:rPr>
            <w:webHidden/>
            <w:lang w:val="en-GB"/>
          </w:rPr>
          <w:fldChar w:fldCharType="separate"/>
        </w:r>
        <w:r w:rsidR="00017277" w:rsidRPr="003C5D6B">
          <w:rPr>
            <w:webHidden/>
            <w:lang w:val="en-GB"/>
          </w:rPr>
          <w:t>40</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31" w:history="1">
        <w:r w:rsidR="00017277" w:rsidRPr="003C5D6B">
          <w:rPr>
            <w:rStyle w:val="Hyperlink"/>
            <w:lang w:val="en-GB"/>
          </w:rPr>
          <w:t>Article 30 – Other radio services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_Toc287523831 \h </w:instrText>
        </w:r>
        <w:r w:rsidRPr="003C5D6B">
          <w:rPr>
            <w:webHidden/>
            <w:lang w:val="en-GB"/>
          </w:rPr>
        </w:r>
        <w:r w:rsidRPr="003C5D6B">
          <w:rPr>
            <w:webHidden/>
            <w:lang w:val="en-GB"/>
          </w:rPr>
          <w:fldChar w:fldCharType="separate"/>
        </w:r>
        <w:r w:rsidR="00017277" w:rsidRPr="003C5D6B">
          <w:rPr>
            <w:webHidden/>
            <w:lang w:val="en-GB"/>
          </w:rPr>
          <w:t>40</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32" w:history="1">
        <w:r w:rsidR="00017277" w:rsidRPr="003C5D6B">
          <w:rPr>
            <w:rStyle w:val="Hyperlink"/>
            <w:lang w:val="en-GB"/>
          </w:rPr>
          <w:t>Article 31 – Interference complaints processing and monitoring fees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_Toc287523832 \h </w:instrText>
        </w:r>
        <w:r w:rsidRPr="003C5D6B">
          <w:rPr>
            <w:webHidden/>
            <w:lang w:val="en-GB"/>
          </w:rPr>
        </w:r>
        <w:r w:rsidRPr="003C5D6B">
          <w:rPr>
            <w:webHidden/>
            <w:lang w:val="en-GB"/>
          </w:rPr>
          <w:fldChar w:fldCharType="separate"/>
        </w:r>
        <w:r w:rsidR="00017277" w:rsidRPr="003C5D6B">
          <w:rPr>
            <w:webHidden/>
            <w:lang w:val="en-GB"/>
          </w:rPr>
          <w:t>40</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33" w:history="1">
        <w:r w:rsidR="00017277" w:rsidRPr="003C5D6B">
          <w:rPr>
            <w:rStyle w:val="Hyperlink"/>
            <w:lang w:val="en-GB"/>
          </w:rPr>
          <w:t>Article 32 – Fees for the foreign embassies, consulates and diplomatic missions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_Toc287523833 \h </w:instrText>
        </w:r>
        <w:r w:rsidRPr="003C5D6B">
          <w:rPr>
            <w:webHidden/>
            <w:lang w:val="en-GB"/>
          </w:rPr>
        </w:r>
        <w:r w:rsidRPr="003C5D6B">
          <w:rPr>
            <w:webHidden/>
            <w:lang w:val="en-GB"/>
          </w:rPr>
          <w:fldChar w:fldCharType="separate"/>
        </w:r>
        <w:r w:rsidR="00017277" w:rsidRPr="003C5D6B">
          <w:rPr>
            <w:webHidden/>
            <w:lang w:val="en-GB"/>
          </w:rPr>
          <w:t>40</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34" w:history="1">
        <w:r w:rsidR="00017277" w:rsidRPr="003C5D6B">
          <w:rPr>
            <w:rStyle w:val="Hyperlink"/>
            <w:lang w:val="en-GB"/>
          </w:rPr>
          <w:t>Article 33 – Fees for site surveys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_Toc287523834 \h </w:instrText>
        </w:r>
        <w:r w:rsidRPr="003C5D6B">
          <w:rPr>
            <w:webHidden/>
            <w:lang w:val="en-GB"/>
          </w:rPr>
        </w:r>
        <w:r w:rsidRPr="003C5D6B">
          <w:rPr>
            <w:webHidden/>
            <w:lang w:val="en-GB"/>
          </w:rPr>
          <w:fldChar w:fldCharType="separate"/>
        </w:r>
        <w:r w:rsidR="00017277" w:rsidRPr="003C5D6B">
          <w:rPr>
            <w:webHidden/>
            <w:lang w:val="en-GB"/>
          </w:rPr>
          <w:t>40</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35" w:history="1">
        <w:r w:rsidR="00017277" w:rsidRPr="003C5D6B">
          <w:rPr>
            <w:rStyle w:val="Hyperlink"/>
            <w:lang w:val="en-GB"/>
          </w:rPr>
          <w:t>Article 34 – Obligation to pay</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_Toc287523835 \h </w:instrText>
        </w:r>
        <w:r w:rsidRPr="003C5D6B">
          <w:rPr>
            <w:webHidden/>
            <w:lang w:val="en-GB"/>
          </w:rPr>
        </w:r>
        <w:r w:rsidRPr="003C5D6B">
          <w:rPr>
            <w:webHidden/>
            <w:lang w:val="en-GB"/>
          </w:rPr>
          <w:fldChar w:fldCharType="separate"/>
        </w:r>
        <w:r w:rsidR="00017277" w:rsidRPr="003C5D6B">
          <w:rPr>
            <w:webHidden/>
            <w:lang w:val="en-GB"/>
          </w:rPr>
          <w:t>40</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36" w:history="1">
        <w:r w:rsidR="00017277" w:rsidRPr="003C5D6B">
          <w:rPr>
            <w:rStyle w:val="Hyperlink"/>
            <w:lang w:val="en-GB"/>
          </w:rPr>
          <w:t>Article 35</w:t>
        </w:r>
        <w:r w:rsidR="00017277" w:rsidRPr="003C5D6B">
          <w:rPr>
            <w:rStyle w:val="Hyperlink"/>
            <w:bCs/>
            <w:lang w:val="en-GB"/>
          </w:rPr>
          <w:t xml:space="preserve"> – </w:t>
        </w:r>
        <w:r w:rsidR="00017277" w:rsidRPr="003C5D6B">
          <w:rPr>
            <w:rStyle w:val="Hyperlink"/>
            <w:lang w:val="en-GB"/>
          </w:rPr>
          <w:t>Methods of payments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_Toc287523836 \h </w:instrText>
        </w:r>
        <w:r w:rsidRPr="003C5D6B">
          <w:rPr>
            <w:webHidden/>
            <w:lang w:val="en-GB"/>
          </w:rPr>
        </w:r>
        <w:r w:rsidRPr="003C5D6B">
          <w:rPr>
            <w:webHidden/>
            <w:lang w:val="en-GB"/>
          </w:rPr>
          <w:fldChar w:fldCharType="separate"/>
        </w:r>
        <w:r w:rsidR="00017277" w:rsidRPr="003C5D6B">
          <w:rPr>
            <w:webHidden/>
            <w:lang w:val="en-GB"/>
          </w:rPr>
          <w:t>41</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37" w:history="1">
        <w:r w:rsidR="00017277" w:rsidRPr="003C5D6B">
          <w:rPr>
            <w:rStyle w:val="Hyperlink"/>
            <w:lang w:val="en-GB"/>
          </w:rPr>
          <w:t>Article 36 – Penalties</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_Toc287523837 \h </w:instrText>
        </w:r>
        <w:r w:rsidRPr="003C5D6B">
          <w:rPr>
            <w:webHidden/>
            <w:lang w:val="en-GB"/>
          </w:rPr>
        </w:r>
        <w:r w:rsidRPr="003C5D6B">
          <w:rPr>
            <w:webHidden/>
            <w:lang w:val="en-GB"/>
          </w:rPr>
          <w:fldChar w:fldCharType="separate"/>
        </w:r>
        <w:r w:rsidR="00017277" w:rsidRPr="003C5D6B">
          <w:rPr>
            <w:webHidden/>
            <w:lang w:val="en-GB"/>
          </w:rPr>
          <w:t>41</w:t>
        </w:r>
        <w:r w:rsidRPr="003C5D6B">
          <w:rPr>
            <w:webHidden/>
            <w:lang w:val="en-GB"/>
          </w:rPr>
          <w:fldChar w:fldCharType="end"/>
        </w:r>
      </w:hyperlink>
    </w:p>
    <w:p w:rsidR="00017277" w:rsidRPr="003C5D6B" w:rsidRDefault="003B6168">
      <w:pPr>
        <w:pStyle w:val="TOC1"/>
        <w:rPr>
          <w:rFonts w:asciiTheme="minorHAnsi" w:eastAsia="SimSun" w:hAnsiTheme="minorHAnsi" w:cstheme="minorBidi"/>
          <w:szCs w:val="22"/>
          <w:lang w:val="en-GB" w:eastAsia="zh-CN"/>
        </w:rPr>
      </w:pPr>
      <w:hyperlink w:anchor="_Toc287523838" w:history="1">
        <w:r w:rsidR="00017277" w:rsidRPr="003C5D6B">
          <w:rPr>
            <w:rStyle w:val="Hyperlink"/>
            <w:lang w:val="en-GB"/>
          </w:rPr>
          <w:t>Article 37 – Implementation</w:t>
        </w:r>
        <w:r w:rsidR="00017277" w:rsidRPr="003C5D6B">
          <w:rPr>
            <w:webHidden/>
            <w:lang w:val="en-GB"/>
          </w:rPr>
          <w:tab/>
        </w:r>
        <w:r w:rsidR="00236250" w:rsidRPr="003C5D6B">
          <w:rPr>
            <w:webHidden/>
            <w:lang w:val="en-GB"/>
          </w:rPr>
          <w:tab/>
        </w:r>
        <w:r w:rsidRPr="003C5D6B">
          <w:rPr>
            <w:webHidden/>
            <w:lang w:val="en-GB"/>
          </w:rPr>
          <w:fldChar w:fldCharType="begin"/>
        </w:r>
        <w:r w:rsidR="00017277" w:rsidRPr="003C5D6B">
          <w:rPr>
            <w:webHidden/>
            <w:lang w:val="en-GB"/>
          </w:rPr>
          <w:instrText xml:space="preserve"> PAGEREF _Toc287523838 \h </w:instrText>
        </w:r>
        <w:r w:rsidRPr="003C5D6B">
          <w:rPr>
            <w:webHidden/>
            <w:lang w:val="en-GB"/>
          </w:rPr>
        </w:r>
        <w:r w:rsidRPr="003C5D6B">
          <w:rPr>
            <w:webHidden/>
            <w:lang w:val="en-GB"/>
          </w:rPr>
          <w:fldChar w:fldCharType="separate"/>
        </w:r>
        <w:r w:rsidR="00017277" w:rsidRPr="003C5D6B">
          <w:rPr>
            <w:webHidden/>
            <w:lang w:val="en-GB"/>
          </w:rPr>
          <w:t>41</w:t>
        </w:r>
        <w:r w:rsidRPr="003C5D6B">
          <w:rPr>
            <w:webHidden/>
            <w:lang w:val="en-GB"/>
          </w:rPr>
          <w:fldChar w:fldCharType="end"/>
        </w:r>
      </w:hyperlink>
    </w:p>
    <w:p w:rsidR="00FE3C75" w:rsidRPr="003C5D6B" w:rsidRDefault="003B6168" w:rsidP="00FE3C75">
      <w:r w:rsidRPr="003C5D6B">
        <w:fldChar w:fldCharType="end"/>
      </w:r>
    </w:p>
    <w:p w:rsidR="00D31B12" w:rsidRPr="003C5D6B" w:rsidRDefault="006F46C2" w:rsidP="00D31B12">
      <w:pPr>
        <w:pStyle w:val="Arttitle"/>
      </w:pPr>
      <w:r w:rsidRPr="003C5D6B">
        <w:br w:type="page"/>
      </w:r>
      <w:bookmarkStart w:id="428" w:name="_Toc280261823"/>
      <w:bookmarkStart w:id="429" w:name="_Toc280262321"/>
      <w:bookmarkStart w:id="430" w:name="_Toc280272715"/>
      <w:bookmarkStart w:id="431" w:name="_Toc280272894"/>
      <w:bookmarkStart w:id="432" w:name="_Toc284419409"/>
      <w:bookmarkStart w:id="433" w:name="_Toc286315726"/>
      <w:bookmarkStart w:id="434" w:name="_Toc287523802"/>
      <w:r w:rsidR="00D31B12" w:rsidRPr="003C5D6B">
        <w:lastRenderedPageBreak/>
        <w:t>Article 1</w:t>
      </w:r>
      <w:r w:rsidR="00D31B12" w:rsidRPr="003C5D6B">
        <w:br/>
      </w:r>
      <w:r w:rsidR="00D31B12" w:rsidRPr="003C5D6B">
        <w:br/>
      </w:r>
      <w:bookmarkStart w:id="435" w:name="_Toc199215024"/>
      <w:r w:rsidR="00D31B12" w:rsidRPr="003C5D6B">
        <w:t>Purpose</w:t>
      </w:r>
      <w:bookmarkEnd w:id="428"/>
      <w:bookmarkEnd w:id="429"/>
      <w:bookmarkEnd w:id="430"/>
      <w:bookmarkEnd w:id="431"/>
      <w:bookmarkEnd w:id="432"/>
      <w:bookmarkEnd w:id="433"/>
      <w:bookmarkEnd w:id="434"/>
      <w:bookmarkEnd w:id="435"/>
    </w:p>
    <w:p w:rsidR="00D31B12" w:rsidRPr="003C5D6B" w:rsidRDefault="00D31B12" w:rsidP="00D31B12">
      <w:r w:rsidRPr="003C5D6B">
        <w:t>In accordance with the Federal Law by Decree No. 3 of 2003 as amended and its Executive Order, this Policy sets the spectrum fees schedule for Frequency Spectrum and Wireless Equipment</w:t>
      </w:r>
      <w:r w:rsidRPr="003C5D6B" w:rsidDel="00475BFE">
        <w:t xml:space="preserve"> </w:t>
      </w:r>
      <w:r w:rsidRPr="003C5D6B">
        <w:t>Authorization. The spectrum fees shall be collected in advance for applying, registering, authorizing or renewing unless exempted in this Policy.</w:t>
      </w:r>
    </w:p>
    <w:p w:rsidR="00D31B12" w:rsidRPr="003C5D6B" w:rsidRDefault="00D31B12" w:rsidP="00D31B12">
      <w:pPr>
        <w:pStyle w:val="Arttitle"/>
        <w:spacing w:before="400"/>
      </w:pPr>
      <w:bookmarkStart w:id="436" w:name="_Toc280261824"/>
      <w:bookmarkStart w:id="437" w:name="_Toc280262322"/>
      <w:bookmarkStart w:id="438" w:name="_Toc280272716"/>
      <w:bookmarkStart w:id="439" w:name="_Toc280272895"/>
      <w:bookmarkStart w:id="440" w:name="_Toc284419410"/>
      <w:bookmarkStart w:id="441" w:name="_Toc286315727"/>
      <w:bookmarkStart w:id="442" w:name="_Toc287523803"/>
      <w:r w:rsidRPr="003C5D6B">
        <w:t>Article 2</w:t>
      </w:r>
      <w:r w:rsidRPr="003C5D6B">
        <w:br/>
      </w:r>
      <w:r w:rsidRPr="003C5D6B">
        <w:br/>
      </w:r>
      <w:bookmarkStart w:id="443" w:name="_Toc199215025"/>
      <w:r w:rsidRPr="003C5D6B">
        <w:t>Definitions</w:t>
      </w:r>
      <w:bookmarkEnd w:id="436"/>
      <w:bookmarkEnd w:id="437"/>
      <w:bookmarkEnd w:id="438"/>
      <w:bookmarkEnd w:id="439"/>
      <w:bookmarkEnd w:id="440"/>
      <w:bookmarkEnd w:id="441"/>
      <w:bookmarkEnd w:id="442"/>
      <w:bookmarkEnd w:id="443"/>
    </w:p>
    <w:p w:rsidR="00D31B12" w:rsidRPr="003C5D6B" w:rsidRDefault="00D31B12" w:rsidP="003C5D6B">
      <w:r w:rsidRPr="003C5D6B">
        <w:t>In applying this policy, the following terms shall have the following meanings unless the context requires otherwise, whereas any term undefined in the following shall be defined in</w:t>
      </w:r>
      <w:r w:rsidR="003C5D6B">
        <w:t xml:space="preserve"> </w:t>
      </w:r>
      <w:r w:rsidRPr="003C5D6B">
        <w:t>line with the Federal Law by Decree No. 3 of 2003</w:t>
      </w:r>
      <w:r w:rsidR="003C5D6B">
        <w:t>,</w:t>
      </w:r>
      <w:r w:rsidRPr="003C5D6B">
        <w:t xml:space="preserve"> as amended</w:t>
      </w:r>
      <w:r w:rsidR="003C5D6B">
        <w:t>,</w:t>
      </w:r>
      <w:r w:rsidRPr="003C5D6B">
        <w:t xml:space="preserve"> and its Executive Order:</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2.1</w:t>
      </w:r>
      <w:r w:rsidRPr="003C5D6B">
        <w:rPr>
          <w:rFonts w:asciiTheme="majorBidi" w:hAnsiTheme="majorBidi" w:cstheme="majorBidi"/>
          <w:b/>
          <w:szCs w:val="22"/>
        </w:rPr>
        <w:tab/>
        <w:t>“Allocation”</w:t>
      </w:r>
      <w:r w:rsidRPr="003C5D6B">
        <w:rPr>
          <w:rFonts w:asciiTheme="majorBidi" w:hAnsiTheme="majorBidi" w:cstheme="majorBidi"/>
          <w:szCs w:val="22"/>
        </w:rPr>
        <w:t xml:space="preserve"> means the entry of a designated frequency or frequency band in the National Spectrum Plan for use by one or more users for a terrestrial or space Radiocommunication service in the UAE.</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2.2</w:t>
      </w:r>
      <w:r w:rsidRPr="003C5D6B">
        <w:rPr>
          <w:rFonts w:asciiTheme="majorBidi" w:hAnsiTheme="majorBidi" w:cstheme="majorBidi"/>
          <w:b/>
          <w:szCs w:val="22"/>
        </w:rPr>
        <w:tab/>
        <w:t>“Applicant”</w:t>
      </w:r>
      <w:r w:rsidRPr="003C5D6B">
        <w:rPr>
          <w:rFonts w:asciiTheme="majorBidi" w:hAnsiTheme="majorBidi" w:cstheme="majorBidi"/>
          <w:szCs w:val="22"/>
        </w:rPr>
        <w:t xml:space="preserve"> means any Person who has applied for a License or an Authorization in accordance with the Telecom Law or other Policy Instruments issued by the TRA.</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2.3</w:t>
      </w:r>
      <w:r w:rsidRPr="003C5D6B">
        <w:rPr>
          <w:rFonts w:asciiTheme="majorBidi" w:hAnsiTheme="majorBidi" w:cstheme="majorBidi"/>
          <w:b/>
          <w:szCs w:val="22"/>
        </w:rPr>
        <w:tab/>
        <w:t xml:space="preserve">“Application” </w:t>
      </w:r>
      <w:r w:rsidRPr="003C5D6B">
        <w:rPr>
          <w:rFonts w:asciiTheme="majorBidi" w:hAnsiTheme="majorBidi" w:cstheme="majorBidi"/>
          <w:szCs w:val="22"/>
        </w:rPr>
        <w:t>means the request for issuance of a License or an Authorization, received at the TRA on prescribed forms as per the procedure in vogue.</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2.4</w:t>
      </w:r>
      <w:r w:rsidRPr="003C5D6B">
        <w:rPr>
          <w:rFonts w:asciiTheme="majorBidi" w:hAnsiTheme="majorBidi" w:cstheme="majorBidi"/>
          <w:b/>
          <w:szCs w:val="22"/>
        </w:rPr>
        <w:tab/>
        <w:t xml:space="preserve">“Authorization” </w:t>
      </w:r>
      <w:r w:rsidRPr="003C5D6B">
        <w:rPr>
          <w:rFonts w:asciiTheme="majorBidi" w:hAnsiTheme="majorBidi" w:cstheme="majorBidi"/>
          <w:szCs w:val="22"/>
        </w:rPr>
        <w:t>means a Radio Spectrum Authorization awarded by the TRA.</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2.5</w:t>
      </w:r>
      <w:r w:rsidRPr="003C5D6B">
        <w:rPr>
          <w:rFonts w:asciiTheme="majorBidi" w:hAnsiTheme="majorBidi" w:cstheme="majorBidi"/>
          <w:b/>
          <w:szCs w:val="22"/>
        </w:rPr>
        <w:tab/>
        <w:t xml:space="preserve">“Authorized User” </w:t>
      </w:r>
      <w:r w:rsidRPr="003C5D6B">
        <w:rPr>
          <w:rFonts w:asciiTheme="majorBidi" w:hAnsiTheme="majorBidi" w:cstheme="majorBidi"/>
          <w:szCs w:val="22"/>
        </w:rPr>
        <w:t>means a Person that has been issued a Radio Spectrum Authorization by the TRA.</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2.6</w:t>
      </w:r>
      <w:r w:rsidRPr="003C5D6B">
        <w:rPr>
          <w:rFonts w:asciiTheme="majorBidi" w:hAnsiTheme="majorBidi" w:cstheme="majorBidi"/>
          <w:b/>
          <w:szCs w:val="22"/>
        </w:rPr>
        <w:tab/>
        <w:t>“Class Authorization”</w:t>
      </w:r>
      <w:r w:rsidRPr="003C5D6B">
        <w:rPr>
          <w:rFonts w:asciiTheme="majorBidi" w:hAnsiTheme="majorBidi" w:cstheme="majorBidi"/>
          <w:szCs w:val="22"/>
        </w:rPr>
        <w:t xml:space="preserve"> means a Radio Spectrum Authorization which permits the operation of Wireless Equipment by any Person within designated frequency bands subject to any Terms and Conditions stipulated therein.</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2.7</w:t>
      </w:r>
      <w:r w:rsidRPr="003C5D6B">
        <w:rPr>
          <w:rFonts w:asciiTheme="majorBidi" w:hAnsiTheme="majorBidi" w:cstheme="majorBidi"/>
          <w:b/>
          <w:szCs w:val="22"/>
        </w:rPr>
        <w:tab/>
        <w:t>“Individual Authorization”</w:t>
      </w:r>
      <w:r w:rsidRPr="003C5D6B">
        <w:rPr>
          <w:rFonts w:asciiTheme="majorBidi" w:hAnsiTheme="majorBidi" w:cstheme="majorBidi"/>
          <w:szCs w:val="22"/>
        </w:rPr>
        <w:t xml:space="preserve"> means a Radio Spectrum Authorization which permits the operation of Wireless Equipment by a specified Person to whom frequencies have been allocated or assigned, subject to any Terms and Conditions stipulated therein.</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2.8</w:t>
      </w:r>
      <w:r w:rsidRPr="003C5D6B">
        <w:rPr>
          <w:rFonts w:asciiTheme="majorBidi" w:hAnsiTheme="majorBidi" w:cstheme="majorBidi"/>
          <w:b/>
          <w:szCs w:val="22"/>
        </w:rPr>
        <w:tab/>
        <w:t>“National Spectrum Plan”</w:t>
      </w:r>
      <w:r w:rsidRPr="003C5D6B">
        <w:rPr>
          <w:rFonts w:asciiTheme="majorBidi" w:hAnsiTheme="majorBidi" w:cstheme="majorBidi"/>
          <w:szCs w:val="22"/>
        </w:rPr>
        <w:t xml:space="preserve"> means Radio Frequency Allocation Plan for the UAE approved by the Supreme Committee and any modifications thereof.</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2.9</w:t>
      </w:r>
      <w:r w:rsidRPr="003C5D6B">
        <w:rPr>
          <w:rFonts w:asciiTheme="majorBidi" w:hAnsiTheme="majorBidi" w:cstheme="majorBidi"/>
          <w:b/>
          <w:szCs w:val="22"/>
        </w:rPr>
        <w:tab/>
        <w:t>“Person”</w:t>
      </w:r>
      <w:r w:rsidRPr="003C5D6B">
        <w:rPr>
          <w:rFonts w:asciiTheme="majorBidi" w:hAnsiTheme="majorBidi" w:cstheme="majorBidi"/>
          <w:szCs w:val="22"/>
        </w:rPr>
        <w:t xml:space="preserve"> will include ‘juridical entities’ as well as ‘natural persons’.</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2.10</w:t>
      </w:r>
      <w:r w:rsidRPr="003C5D6B">
        <w:rPr>
          <w:rFonts w:asciiTheme="majorBidi" w:hAnsiTheme="majorBidi" w:cstheme="majorBidi"/>
          <w:b/>
          <w:szCs w:val="22"/>
        </w:rPr>
        <w:tab/>
        <w:t xml:space="preserve">“Radiocommunication” </w:t>
      </w:r>
      <w:r w:rsidRPr="003C5D6B">
        <w:rPr>
          <w:rFonts w:asciiTheme="majorBidi" w:hAnsiTheme="majorBidi" w:cstheme="majorBidi"/>
          <w:szCs w:val="22"/>
        </w:rPr>
        <w:t>means Wireless Transmission by means of radio frequency.</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2.11</w:t>
      </w:r>
      <w:r w:rsidRPr="003C5D6B">
        <w:rPr>
          <w:rFonts w:asciiTheme="majorBidi" w:hAnsiTheme="majorBidi" w:cstheme="majorBidi"/>
          <w:b/>
          <w:szCs w:val="22"/>
        </w:rPr>
        <w:tab/>
        <w:t xml:space="preserve">“Radiocommunication service” </w:t>
      </w:r>
      <w:r w:rsidRPr="003C5D6B">
        <w:rPr>
          <w:rFonts w:asciiTheme="majorBidi" w:hAnsiTheme="majorBidi" w:cstheme="majorBidi"/>
          <w:szCs w:val="22"/>
        </w:rPr>
        <w:t>means a service using Radiocommunication.</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2.12</w:t>
      </w:r>
      <w:r w:rsidRPr="003C5D6B">
        <w:rPr>
          <w:rFonts w:asciiTheme="majorBidi" w:hAnsiTheme="majorBidi" w:cstheme="majorBidi"/>
          <w:b/>
          <w:szCs w:val="22"/>
        </w:rPr>
        <w:tab/>
        <w:t xml:space="preserve">“Radio Frequency” </w:t>
      </w:r>
      <w:r w:rsidRPr="003C5D6B">
        <w:rPr>
          <w:rFonts w:asciiTheme="majorBidi" w:hAnsiTheme="majorBidi" w:cstheme="majorBidi"/>
          <w:szCs w:val="22"/>
        </w:rPr>
        <w:t>means radiated electromagnetic energy measured in Hz or cycles / sec.</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2.13</w:t>
      </w:r>
      <w:r w:rsidRPr="003C5D6B">
        <w:rPr>
          <w:rFonts w:asciiTheme="majorBidi" w:hAnsiTheme="majorBidi" w:cstheme="majorBidi"/>
          <w:b/>
          <w:szCs w:val="22"/>
        </w:rPr>
        <w:tab/>
        <w:t xml:space="preserve">“Radio Spectrum Authorization” </w:t>
      </w:r>
      <w:r w:rsidRPr="003C5D6B">
        <w:rPr>
          <w:rFonts w:asciiTheme="majorBidi" w:hAnsiTheme="majorBidi" w:cstheme="majorBidi"/>
          <w:szCs w:val="22"/>
        </w:rPr>
        <w:t>means a Radio Spectrum Authorization whether Individual or Class issued by the TRA, which permits the use of Radio Frequency subject to terms and conditions set out therein.</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2.14</w:t>
      </w:r>
      <w:r w:rsidRPr="003C5D6B">
        <w:rPr>
          <w:rFonts w:asciiTheme="majorBidi" w:hAnsiTheme="majorBidi" w:cstheme="majorBidi"/>
          <w:b/>
          <w:szCs w:val="22"/>
        </w:rPr>
        <w:tab/>
        <w:t xml:space="preserve">“Regulatory Instruments” </w:t>
      </w:r>
      <w:r w:rsidRPr="003C5D6B">
        <w:rPr>
          <w:rFonts w:asciiTheme="majorBidi" w:hAnsiTheme="majorBidi" w:cstheme="majorBidi"/>
          <w:szCs w:val="22"/>
        </w:rPr>
        <w:t>means any instrument issued by the TRA under its powers, and includes without limitation; Regulations, violation decisions, directives, instructions, guidance and recommendations and regulatory policies.</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2.15</w:t>
      </w:r>
      <w:r w:rsidRPr="003C5D6B">
        <w:rPr>
          <w:rFonts w:asciiTheme="majorBidi" w:hAnsiTheme="majorBidi" w:cstheme="majorBidi"/>
          <w:b/>
          <w:szCs w:val="22"/>
        </w:rPr>
        <w:tab/>
        <w:t xml:space="preserve">“Station” </w:t>
      </w:r>
      <w:r w:rsidRPr="003C5D6B">
        <w:rPr>
          <w:rFonts w:asciiTheme="majorBidi" w:hAnsiTheme="majorBidi" w:cstheme="majorBidi"/>
          <w:szCs w:val="22"/>
        </w:rPr>
        <w:t>means an installation operated by an authorized user, comprising a radio transmitting and or receiving apparatus and the necessary auxiliary equipment or one or more transmitters or receivers or a combination of transmitters or receivers, including the ancillary equipment, necessary at one location for carrying on a Radiocommunication service.</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lastRenderedPageBreak/>
        <w:t>2.16</w:t>
      </w:r>
      <w:r w:rsidRPr="003C5D6B">
        <w:rPr>
          <w:rFonts w:asciiTheme="majorBidi" w:hAnsiTheme="majorBidi" w:cstheme="majorBidi"/>
          <w:b/>
          <w:szCs w:val="22"/>
        </w:rPr>
        <w:tab/>
        <w:t xml:space="preserve">“Telecommunication” </w:t>
      </w:r>
      <w:r w:rsidRPr="003C5D6B">
        <w:rPr>
          <w:rFonts w:asciiTheme="majorBidi" w:hAnsiTheme="majorBidi" w:cstheme="majorBidi"/>
          <w:szCs w:val="22"/>
        </w:rPr>
        <w:t>means any transmission, emission or reception of signs, signals, writings, images and sounds or intelligence of any nature by wire, radio, optical or other electromagnetic systems.</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2.17</w:t>
      </w:r>
      <w:r w:rsidRPr="003C5D6B">
        <w:rPr>
          <w:rFonts w:asciiTheme="majorBidi" w:hAnsiTheme="majorBidi" w:cstheme="majorBidi"/>
          <w:b/>
          <w:szCs w:val="22"/>
        </w:rPr>
        <w:tab/>
        <w:t xml:space="preserve">“Temporary Authorization” </w:t>
      </w:r>
      <w:r w:rsidRPr="003C5D6B">
        <w:rPr>
          <w:rFonts w:asciiTheme="majorBidi" w:hAnsiTheme="majorBidi" w:cstheme="majorBidi"/>
          <w:szCs w:val="22"/>
        </w:rPr>
        <w:t>means Radio Spectrum Authorization issued by the TRA which permits the use of assigned frequency for a period up to 90 days.</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2.18</w:t>
      </w:r>
      <w:r w:rsidRPr="003C5D6B">
        <w:rPr>
          <w:rFonts w:asciiTheme="majorBidi" w:hAnsiTheme="majorBidi" w:cstheme="majorBidi"/>
          <w:b/>
          <w:szCs w:val="22"/>
        </w:rPr>
        <w:tab/>
        <w:t xml:space="preserve">“The TRA” </w:t>
      </w:r>
      <w:r w:rsidRPr="003C5D6B">
        <w:rPr>
          <w:rFonts w:asciiTheme="majorBidi" w:hAnsiTheme="majorBidi" w:cstheme="majorBidi"/>
          <w:szCs w:val="22"/>
        </w:rPr>
        <w:t>means the General Authority for Regulating the Telecommunication Sector known as Telecommunications Regulatory Authority (TRA) established pursuant to the provisions of Article 6 of Federal Law by Decree No. 3 of 2003.</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bCs/>
          <w:szCs w:val="22"/>
        </w:rPr>
        <w:t>2.19</w:t>
      </w:r>
      <w:r w:rsidRPr="003C5D6B">
        <w:rPr>
          <w:rFonts w:asciiTheme="majorBidi" w:hAnsiTheme="majorBidi" w:cstheme="majorBidi"/>
          <w:b/>
          <w:szCs w:val="22"/>
        </w:rPr>
        <w:tab/>
        <w:t xml:space="preserve">“UAE” </w:t>
      </w:r>
      <w:r w:rsidRPr="003C5D6B">
        <w:rPr>
          <w:rFonts w:asciiTheme="majorBidi" w:hAnsiTheme="majorBidi" w:cstheme="majorBidi"/>
          <w:szCs w:val="22"/>
        </w:rPr>
        <w:t>means the United Arab Emirates including its territorial waters and the airspace above.</w:t>
      </w:r>
    </w:p>
    <w:p w:rsidR="00D31B12" w:rsidRPr="003C5D6B" w:rsidRDefault="00D31B12" w:rsidP="00D31B12">
      <w:pPr>
        <w:pStyle w:val="enumlev1"/>
        <w:rPr>
          <w:rFonts w:asciiTheme="majorBidi" w:hAnsiTheme="majorBidi" w:cstheme="majorBidi"/>
          <w:b/>
          <w:szCs w:val="22"/>
        </w:rPr>
      </w:pPr>
      <w:r w:rsidRPr="003C5D6B">
        <w:rPr>
          <w:rFonts w:asciiTheme="majorBidi" w:hAnsiTheme="majorBidi" w:cstheme="majorBidi"/>
          <w:bCs/>
          <w:szCs w:val="22"/>
        </w:rPr>
        <w:t>2.20</w:t>
      </w:r>
      <w:r w:rsidRPr="003C5D6B">
        <w:rPr>
          <w:rFonts w:asciiTheme="majorBidi" w:hAnsiTheme="majorBidi" w:cstheme="majorBidi"/>
          <w:b/>
          <w:szCs w:val="22"/>
        </w:rPr>
        <w:tab/>
        <w:t xml:space="preserve">“Wireless Equipment” </w:t>
      </w:r>
      <w:r w:rsidRPr="003C5D6B">
        <w:rPr>
          <w:rFonts w:asciiTheme="majorBidi" w:hAnsiTheme="majorBidi" w:cstheme="majorBidi"/>
          <w:szCs w:val="22"/>
        </w:rPr>
        <w:t>means a category of Telecommunication Apparatus used for Radiocommunication.</w:t>
      </w:r>
    </w:p>
    <w:p w:rsidR="00D31B12" w:rsidRPr="003C5D6B" w:rsidRDefault="00D31B12" w:rsidP="00D31B12">
      <w:pPr>
        <w:pStyle w:val="Arttitle"/>
        <w:spacing w:before="400"/>
      </w:pPr>
      <w:bookmarkStart w:id="444" w:name="_Toc280261825"/>
      <w:bookmarkStart w:id="445" w:name="_Toc280262323"/>
      <w:bookmarkStart w:id="446" w:name="_Toc280272717"/>
      <w:bookmarkStart w:id="447" w:name="_Toc280272896"/>
      <w:bookmarkStart w:id="448" w:name="_Toc284419411"/>
      <w:bookmarkStart w:id="449" w:name="_Toc286315728"/>
      <w:bookmarkStart w:id="450" w:name="_Toc287523804"/>
      <w:r w:rsidRPr="003C5D6B">
        <w:t>Article 3</w:t>
      </w:r>
      <w:r w:rsidRPr="003C5D6B">
        <w:br/>
      </w:r>
      <w:r w:rsidRPr="003C5D6B">
        <w:br/>
      </w:r>
      <w:bookmarkStart w:id="451" w:name="_Toc199215026"/>
      <w:r w:rsidRPr="003C5D6B">
        <w:t>Application processing fees</w:t>
      </w:r>
      <w:bookmarkEnd w:id="444"/>
      <w:bookmarkEnd w:id="445"/>
      <w:bookmarkEnd w:id="446"/>
      <w:bookmarkEnd w:id="447"/>
      <w:bookmarkEnd w:id="448"/>
      <w:bookmarkEnd w:id="449"/>
      <w:bookmarkEnd w:id="450"/>
      <w:bookmarkEnd w:id="451"/>
    </w:p>
    <w:p w:rsidR="00D31B12" w:rsidRPr="003C5D6B" w:rsidRDefault="00D31B12" w:rsidP="00D31B12">
      <w:pPr>
        <w:rPr>
          <w:szCs w:val="19"/>
        </w:rPr>
      </w:pPr>
      <w:r w:rsidRPr="003C5D6B">
        <w:rPr>
          <w:szCs w:val="19"/>
        </w:rPr>
        <w:t xml:space="preserve">Each application for the Radio Spectrum Authorization requires an advance non-refundable payment of Five Hundred </w:t>
      </w:r>
      <w:r w:rsidRPr="003C5D6B">
        <w:rPr>
          <w:b/>
          <w:szCs w:val="19"/>
        </w:rPr>
        <w:t xml:space="preserve">(500) Dirhams </w:t>
      </w:r>
      <w:r w:rsidRPr="003C5D6B">
        <w:rPr>
          <w:szCs w:val="19"/>
        </w:rPr>
        <w:t xml:space="preserve">for processing the application, irrespective of the final status of the application towards grant or rejection of the application. The TRA may advise certain Government organizations, licensed operators and any major user to accumulate the application processing fees for payment along with the spectrum fees. </w:t>
      </w:r>
    </w:p>
    <w:p w:rsidR="00D31B12" w:rsidRPr="003C5D6B" w:rsidRDefault="00D31B12" w:rsidP="00D31B12">
      <w:pPr>
        <w:pStyle w:val="Arttitle"/>
        <w:spacing w:before="400"/>
      </w:pPr>
      <w:bookmarkStart w:id="452" w:name="_Toc280261826"/>
      <w:bookmarkStart w:id="453" w:name="_Toc280262324"/>
      <w:bookmarkStart w:id="454" w:name="_Toc280272718"/>
      <w:bookmarkStart w:id="455" w:name="_Toc280272897"/>
      <w:bookmarkStart w:id="456" w:name="_Toc284419412"/>
      <w:bookmarkStart w:id="457" w:name="_Toc286315729"/>
      <w:bookmarkStart w:id="458" w:name="_Toc287523805"/>
      <w:r w:rsidRPr="003C5D6B">
        <w:t>Article 4</w:t>
      </w:r>
      <w:r w:rsidRPr="003C5D6B">
        <w:br/>
      </w:r>
      <w:r w:rsidRPr="003C5D6B">
        <w:br/>
      </w:r>
      <w:bookmarkStart w:id="459" w:name="_Toc199215027"/>
      <w:r w:rsidRPr="003C5D6B">
        <w:t>Exemption from application processing fees</w:t>
      </w:r>
      <w:bookmarkEnd w:id="452"/>
      <w:bookmarkEnd w:id="453"/>
      <w:bookmarkEnd w:id="454"/>
      <w:bookmarkEnd w:id="455"/>
      <w:bookmarkEnd w:id="456"/>
      <w:bookmarkEnd w:id="457"/>
      <w:bookmarkEnd w:id="458"/>
      <w:bookmarkEnd w:id="459"/>
    </w:p>
    <w:p w:rsidR="00D31B12" w:rsidRPr="003C5D6B" w:rsidRDefault="00D31B12" w:rsidP="00D31B12">
      <w:pPr>
        <w:rPr>
          <w:szCs w:val="19"/>
        </w:rPr>
      </w:pPr>
      <w:r w:rsidRPr="003C5D6B">
        <w:rPr>
          <w:szCs w:val="19"/>
        </w:rPr>
        <w:t>The following applications shall be exempted from the Application processing Fees:</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4.1</w:t>
      </w:r>
      <w:r w:rsidRPr="003C5D6B">
        <w:rPr>
          <w:rFonts w:asciiTheme="majorBidi" w:hAnsiTheme="majorBidi" w:cstheme="majorBidi"/>
          <w:szCs w:val="22"/>
        </w:rPr>
        <w:tab/>
        <w:t>Application for Small Boat which is categorized as fishing trawler in the Navigation license.</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4.2</w:t>
      </w:r>
      <w:r w:rsidRPr="003C5D6B">
        <w:rPr>
          <w:rFonts w:asciiTheme="majorBidi" w:hAnsiTheme="majorBidi" w:cstheme="majorBidi"/>
          <w:szCs w:val="22"/>
        </w:rPr>
        <w:tab/>
        <w:t>Application for Amateur Authorization if submitted through Emirates Amateur Radio Society.</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4.3</w:t>
      </w:r>
      <w:r w:rsidRPr="003C5D6B">
        <w:rPr>
          <w:rFonts w:asciiTheme="majorBidi" w:hAnsiTheme="majorBidi" w:cstheme="majorBidi"/>
          <w:szCs w:val="22"/>
        </w:rPr>
        <w:tab/>
        <w:t>Application for personal use of Private Mobile Radio for Camel jockeys.</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4.4</w:t>
      </w:r>
      <w:r w:rsidRPr="003C5D6B">
        <w:rPr>
          <w:rFonts w:asciiTheme="majorBidi" w:hAnsiTheme="majorBidi" w:cstheme="majorBidi"/>
          <w:szCs w:val="22"/>
        </w:rPr>
        <w:tab/>
        <w:t>Application by non-commercial clubs for hobbies like Aeromodelling.</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4.5</w:t>
      </w:r>
      <w:r w:rsidRPr="003C5D6B">
        <w:rPr>
          <w:rFonts w:asciiTheme="majorBidi" w:hAnsiTheme="majorBidi" w:cstheme="majorBidi"/>
          <w:szCs w:val="22"/>
        </w:rPr>
        <w:tab/>
        <w:t>Application by research and educational institutions for private use.</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4.6</w:t>
      </w:r>
      <w:r w:rsidRPr="003C5D6B">
        <w:rPr>
          <w:rFonts w:asciiTheme="majorBidi" w:hAnsiTheme="majorBidi" w:cstheme="majorBidi"/>
          <w:szCs w:val="22"/>
        </w:rPr>
        <w:tab/>
        <w:t>Application by Foreign Missions, Consulates and Embassies for official correspondence or visits of dignitaries when submitted through the UAE Ministry of Foreign Affairs.</w:t>
      </w:r>
    </w:p>
    <w:p w:rsidR="00D31B12" w:rsidRPr="003C5D6B" w:rsidRDefault="00D31B12" w:rsidP="00D31B12">
      <w:pPr>
        <w:pStyle w:val="Arttitle"/>
        <w:spacing w:before="400"/>
      </w:pPr>
      <w:bookmarkStart w:id="460" w:name="_Toc280261827"/>
      <w:bookmarkStart w:id="461" w:name="_Toc280262325"/>
      <w:bookmarkStart w:id="462" w:name="_Toc280272719"/>
      <w:bookmarkStart w:id="463" w:name="_Toc280272898"/>
      <w:bookmarkStart w:id="464" w:name="_Toc284419413"/>
      <w:bookmarkStart w:id="465" w:name="_Toc286315730"/>
      <w:bookmarkStart w:id="466" w:name="_Toc287523806"/>
      <w:r w:rsidRPr="003C5D6B">
        <w:t>Article 5</w:t>
      </w:r>
      <w:r w:rsidRPr="003C5D6B">
        <w:br/>
      </w:r>
      <w:r w:rsidRPr="003C5D6B">
        <w:br/>
      </w:r>
      <w:bookmarkStart w:id="467" w:name="_Toc199215028"/>
      <w:r w:rsidRPr="003C5D6B">
        <w:t>Spectrum fees for fresh application</w:t>
      </w:r>
      <w:bookmarkEnd w:id="460"/>
      <w:bookmarkEnd w:id="461"/>
      <w:bookmarkEnd w:id="462"/>
      <w:bookmarkEnd w:id="463"/>
      <w:bookmarkEnd w:id="464"/>
      <w:bookmarkEnd w:id="465"/>
      <w:bookmarkEnd w:id="466"/>
      <w:bookmarkEnd w:id="467"/>
    </w:p>
    <w:p w:rsidR="00D31B12" w:rsidRPr="003C5D6B" w:rsidRDefault="00D31B12" w:rsidP="00D31B12">
      <w:pPr>
        <w:rPr>
          <w:szCs w:val="19"/>
        </w:rPr>
      </w:pPr>
      <w:r w:rsidRPr="003C5D6B">
        <w:rPr>
          <w:szCs w:val="19"/>
        </w:rPr>
        <w:t>The spectrum fees shall be payable in advance. Upon successful processing of a fresh application, the TRA shall inform the Applicant of the spectrum fees in accordance with this policy calculated on prorate for the period of validity of the Authorization starting from the date of invoice. The Applicant shall submit to the TRA, the proof of payment immediately and not later than thirty (30) days. The receipt of the fees by the TRA based on verification by the TRA shall be considered as completion of the payment for issuance of the Authorization. If payment is not received, the TRA shall cancel the application. If the Applicant requires pursuing this Application, the Applicant shall be required to re-submit the application with application processing Fees.</w:t>
      </w:r>
    </w:p>
    <w:p w:rsidR="00D31B12" w:rsidRPr="003C5D6B" w:rsidRDefault="00D31B12" w:rsidP="00D31B12">
      <w:pPr>
        <w:pStyle w:val="Arttitle"/>
        <w:spacing w:before="400"/>
      </w:pPr>
      <w:bookmarkStart w:id="468" w:name="_Toc280261828"/>
      <w:bookmarkStart w:id="469" w:name="_Toc280262326"/>
      <w:bookmarkStart w:id="470" w:name="_Toc280272720"/>
      <w:bookmarkStart w:id="471" w:name="_Toc280272899"/>
      <w:bookmarkStart w:id="472" w:name="_Toc284419414"/>
      <w:bookmarkStart w:id="473" w:name="_Toc286315731"/>
      <w:bookmarkStart w:id="474" w:name="_Toc287523807"/>
      <w:r w:rsidRPr="003C5D6B">
        <w:lastRenderedPageBreak/>
        <w:t>Article 6</w:t>
      </w:r>
      <w:r w:rsidRPr="003C5D6B">
        <w:br/>
      </w:r>
      <w:r w:rsidRPr="003C5D6B">
        <w:br/>
      </w:r>
      <w:bookmarkStart w:id="475" w:name="_Toc199215029"/>
      <w:r w:rsidRPr="003C5D6B">
        <w:t>Spectrum fees for renewal of authorization</w:t>
      </w:r>
      <w:bookmarkEnd w:id="468"/>
      <w:bookmarkEnd w:id="469"/>
      <w:bookmarkEnd w:id="470"/>
      <w:bookmarkEnd w:id="471"/>
      <w:bookmarkEnd w:id="472"/>
      <w:bookmarkEnd w:id="473"/>
      <w:bookmarkEnd w:id="474"/>
      <w:bookmarkEnd w:id="475"/>
    </w:p>
    <w:p w:rsidR="00D31B12" w:rsidRPr="003C5D6B" w:rsidRDefault="00D31B12" w:rsidP="00D31B12">
      <w:pPr>
        <w:rPr>
          <w:szCs w:val="19"/>
        </w:rPr>
      </w:pPr>
      <w:r w:rsidRPr="003C5D6B">
        <w:rPr>
          <w:szCs w:val="19"/>
        </w:rPr>
        <w:t xml:space="preserve">The Authorized User shall be responsible to apply to the TRA for renewal of the Authorization, within the period, thirty (30) days before the expiry of the Authorization. Authorized User may also request for invoice of the Spectrum Fees for renewal of Authorization even before thirty (30) days of the expiry of the Authorization for a period as allowed for that Authorization in the Spectrum Allocation and Assignment Regulations of the TRA. The applicable Spectrum Fees are defined in the relevant articles of this policy. Wherever, the Spectrum Fees are inclusive of Wireless Equipment as a component, the annual renewal of the Spectrum Fees will include all components and not any part thereof. A grace period of fifteen (15) days after expiry may be given to the Authorized User by the TRA to pay the Spectrum Fees for renewal without any additional Fees. </w:t>
      </w:r>
    </w:p>
    <w:p w:rsidR="00D31B12" w:rsidRPr="003C5D6B" w:rsidRDefault="00D31B12" w:rsidP="00D31B12">
      <w:pPr>
        <w:pStyle w:val="Arttitle"/>
        <w:spacing w:before="400"/>
      </w:pPr>
      <w:bookmarkStart w:id="476" w:name="_Toc280261829"/>
      <w:bookmarkStart w:id="477" w:name="_Toc280262327"/>
      <w:bookmarkStart w:id="478" w:name="_Toc280272721"/>
      <w:bookmarkStart w:id="479" w:name="_Toc280272900"/>
      <w:bookmarkStart w:id="480" w:name="_Toc284419415"/>
      <w:bookmarkStart w:id="481" w:name="_Toc286315732"/>
      <w:bookmarkStart w:id="482" w:name="_Toc287523808"/>
      <w:r w:rsidRPr="003C5D6B">
        <w:t>Article 7</w:t>
      </w:r>
      <w:r w:rsidRPr="003C5D6B">
        <w:br/>
      </w:r>
      <w:r w:rsidRPr="003C5D6B">
        <w:br/>
      </w:r>
      <w:bookmarkStart w:id="483" w:name="_Toc199215030"/>
      <w:r w:rsidRPr="003C5D6B">
        <w:t>Additional fees for delayed renewal of authorization</w:t>
      </w:r>
      <w:bookmarkEnd w:id="476"/>
      <w:bookmarkEnd w:id="477"/>
      <w:bookmarkEnd w:id="478"/>
      <w:bookmarkEnd w:id="479"/>
      <w:bookmarkEnd w:id="480"/>
      <w:bookmarkEnd w:id="481"/>
      <w:bookmarkEnd w:id="482"/>
      <w:bookmarkEnd w:id="483"/>
    </w:p>
    <w:p w:rsidR="00D31B12" w:rsidRPr="003C5D6B" w:rsidRDefault="00D31B12" w:rsidP="00D31B12">
      <w:pPr>
        <w:rPr>
          <w:szCs w:val="19"/>
        </w:rPr>
      </w:pPr>
      <w:r w:rsidRPr="003C5D6B">
        <w:rPr>
          <w:szCs w:val="19"/>
        </w:rPr>
        <w:t xml:space="preserve">The TRA shall levy an additional fee of 10% of the amount due for Spectrum Fees if the Authorized User applies for renewal after fifteen days of expiry and before forty-five (45) days of expiry. The TRA shall cancel the Authorization if not applied for renewal within forty-five (45) days of expiry. The TRA shall levy additional fees of 20% of the amount due for Spectrum Fees if a cancelled Authorization is applied for renewal. </w:t>
      </w:r>
    </w:p>
    <w:p w:rsidR="00D31B12" w:rsidRPr="003C5D6B" w:rsidRDefault="00D31B12" w:rsidP="00D31B12">
      <w:pPr>
        <w:pStyle w:val="Arttitle"/>
        <w:spacing w:before="400"/>
      </w:pPr>
      <w:bookmarkStart w:id="484" w:name="_Toc280261830"/>
      <w:bookmarkStart w:id="485" w:name="_Toc280262328"/>
      <w:bookmarkStart w:id="486" w:name="_Toc280272722"/>
      <w:bookmarkStart w:id="487" w:name="_Toc280272901"/>
      <w:bookmarkStart w:id="488" w:name="_Toc284419416"/>
      <w:bookmarkStart w:id="489" w:name="_Toc286315733"/>
      <w:bookmarkStart w:id="490" w:name="_Toc287523809"/>
      <w:r w:rsidRPr="003C5D6B">
        <w:t>Article 8</w:t>
      </w:r>
      <w:r w:rsidRPr="003C5D6B">
        <w:br/>
      </w:r>
      <w:r w:rsidRPr="003C5D6B">
        <w:br/>
      </w:r>
      <w:bookmarkStart w:id="491" w:name="_Toc199215031"/>
      <w:r w:rsidRPr="003C5D6B">
        <w:t>Authorization reproduction fees</w:t>
      </w:r>
      <w:bookmarkEnd w:id="484"/>
      <w:bookmarkEnd w:id="485"/>
      <w:bookmarkEnd w:id="486"/>
      <w:bookmarkEnd w:id="487"/>
      <w:bookmarkEnd w:id="488"/>
      <w:bookmarkEnd w:id="489"/>
      <w:bookmarkEnd w:id="490"/>
      <w:bookmarkEnd w:id="491"/>
    </w:p>
    <w:p w:rsidR="00D31B12" w:rsidRPr="003C5D6B" w:rsidRDefault="00D31B12" w:rsidP="00D31B12">
      <w:pPr>
        <w:rPr>
          <w:szCs w:val="19"/>
        </w:rPr>
      </w:pPr>
      <w:r w:rsidRPr="003C5D6B">
        <w:rPr>
          <w:szCs w:val="19"/>
        </w:rPr>
        <w:t>In case the Authorization is damaged or lost, the Authorized User can apply to the TRA for reproduction of the Authorization. An advance non-refundable payment of One Hundred (100) Dirhams</w:t>
      </w:r>
      <w:r w:rsidRPr="003C5D6B">
        <w:rPr>
          <w:b/>
          <w:szCs w:val="19"/>
        </w:rPr>
        <w:t xml:space="preserve"> </w:t>
      </w:r>
      <w:r w:rsidRPr="003C5D6B">
        <w:rPr>
          <w:szCs w:val="19"/>
        </w:rPr>
        <w:t>shall be levied</w:t>
      </w:r>
      <w:r w:rsidRPr="003C5D6B">
        <w:rPr>
          <w:b/>
          <w:szCs w:val="19"/>
        </w:rPr>
        <w:t xml:space="preserve"> </w:t>
      </w:r>
      <w:r w:rsidRPr="003C5D6B">
        <w:rPr>
          <w:szCs w:val="19"/>
        </w:rPr>
        <w:t xml:space="preserve">for each Authorization requested. </w:t>
      </w:r>
    </w:p>
    <w:p w:rsidR="00D31B12" w:rsidRPr="003C5D6B" w:rsidRDefault="00D31B12" w:rsidP="00D31B12">
      <w:pPr>
        <w:pStyle w:val="Arttitle"/>
        <w:spacing w:before="400"/>
      </w:pPr>
      <w:bookmarkStart w:id="492" w:name="_Toc280261831"/>
      <w:bookmarkStart w:id="493" w:name="_Toc280262329"/>
      <w:bookmarkStart w:id="494" w:name="_Toc280272723"/>
      <w:bookmarkStart w:id="495" w:name="_Toc280272902"/>
      <w:bookmarkStart w:id="496" w:name="_Toc284419417"/>
      <w:bookmarkStart w:id="497" w:name="_Toc286315734"/>
      <w:bookmarkStart w:id="498" w:name="_Toc287523810"/>
      <w:r w:rsidRPr="003C5D6B">
        <w:t>Article 9</w:t>
      </w:r>
      <w:r w:rsidRPr="003C5D6B">
        <w:br/>
      </w:r>
      <w:r w:rsidRPr="003C5D6B">
        <w:br/>
      </w:r>
      <w:bookmarkStart w:id="499" w:name="_Toc199215032"/>
      <w:r w:rsidRPr="003C5D6B">
        <w:t>Authorization modification fees</w:t>
      </w:r>
      <w:bookmarkEnd w:id="492"/>
      <w:bookmarkEnd w:id="493"/>
      <w:bookmarkEnd w:id="494"/>
      <w:bookmarkEnd w:id="495"/>
      <w:bookmarkEnd w:id="496"/>
      <w:bookmarkEnd w:id="497"/>
      <w:bookmarkEnd w:id="498"/>
      <w:bookmarkEnd w:id="499"/>
    </w:p>
    <w:p w:rsidR="00D31B12" w:rsidRPr="003C5D6B" w:rsidRDefault="00D31B12" w:rsidP="00D31B12">
      <w:pPr>
        <w:rPr>
          <w:szCs w:val="19"/>
        </w:rPr>
      </w:pPr>
      <w:r w:rsidRPr="003C5D6B">
        <w:rPr>
          <w:szCs w:val="19"/>
        </w:rPr>
        <w:t xml:space="preserve">The Authorized User can apply for modification of an Authorization. Modifications of contact details in the Authorization at the time of renewal shall not be charged. Modifications of contact details in the Authorization other than the time of renewal shall require the reproduction charges. The modification of any site data or addition of Wireless Equipment, change of technical data shall require payment of application processing fees. In case the modification is approved by the TRA, the annual Spectrum Fees shall be calculated on pro-rata basis. The Authorized User shall pay the difference in advance to the TRA. If the difference is in </w:t>
      </w:r>
      <w:r w:rsidR="003C5D6B" w:rsidRPr="003C5D6B">
        <w:rPr>
          <w:szCs w:val="19"/>
        </w:rPr>
        <w:t>favour</w:t>
      </w:r>
      <w:r w:rsidRPr="003C5D6B">
        <w:rPr>
          <w:szCs w:val="19"/>
        </w:rPr>
        <w:t xml:space="preserve"> of the Authorized User, no reimbursement shall be made by the TRA and the annual Spectrum Fees for subsequent year shall be calculated based on the revised fees. </w:t>
      </w:r>
    </w:p>
    <w:p w:rsidR="00D31B12" w:rsidRPr="003C5D6B" w:rsidRDefault="00D31B12" w:rsidP="00D31B12">
      <w:pPr>
        <w:pStyle w:val="Arttitle"/>
        <w:spacing w:before="400"/>
      </w:pPr>
      <w:bookmarkStart w:id="500" w:name="_Toc280261832"/>
      <w:bookmarkStart w:id="501" w:name="_Toc280262330"/>
      <w:bookmarkStart w:id="502" w:name="_Toc280272724"/>
      <w:bookmarkStart w:id="503" w:name="_Toc280272903"/>
      <w:bookmarkStart w:id="504" w:name="_Toc284419418"/>
      <w:bookmarkStart w:id="505" w:name="_Toc286315735"/>
      <w:bookmarkStart w:id="506" w:name="_Toc287523811"/>
      <w:r w:rsidRPr="003C5D6B">
        <w:t>Article 10</w:t>
      </w:r>
      <w:r w:rsidRPr="003C5D6B">
        <w:br/>
      </w:r>
      <w:r w:rsidRPr="003C5D6B">
        <w:br/>
      </w:r>
      <w:bookmarkStart w:id="507" w:name="_Toc199215033"/>
      <w:r w:rsidRPr="003C5D6B">
        <w:t>Authorization cancellation fees</w:t>
      </w:r>
      <w:bookmarkEnd w:id="500"/>
      <w:bookmarkEnd w:id="501"/>
      <w:bookmarkEnd w:id="502"/>
      <w:bookmarkEnd w:id="503"/>
      <w:bookmarkEnd w:id="504"/>
      <w:bookmarkEnd w:id="505"/>
      <w:bookmarkEnd w:id="506"/>
      <w:bookmarkEnd w:id="507"/>
    </w:p>
    <w:p w:rsidR="00D31B12" w:rsidRPr="003C5D6B" w:rsidRDefault="00D31B12" w:rsidP="00D31B12">
      <w:pPr>
        <w:rPr>
          <w:szCs w:val="19"/>
        </w:rPr>
      </w:pPr>
      <w:r w:rsidRPr="003C5D6B">
        <w:rPr>
          <w:szCs w:val="19"/>
        </w:rPr>
        <w:t xml:space="preserve">The Authorized User can apply for cancellation of the Authorization. There will be no fees for cancellation and no re-imbursements shall be made by the TRA for any balance amount. </w:t>
      </w:r>
    </w:p>
    <w:p w:rsidR="00D31B12" w:rsidRPr="003C5D6B" w:rsidRDefault="00D31B12" w:rsidP="00D31B12">
      <w:pPr>
        <w:pStyle w:val="Arttitle"/>
        <w:spacing w:before="400"/>
      </w:pPr>
      <w:bookmarkStart w:id="508" w:name="_Toc280261833"/>
      <w:bookmarkStart w:id="509" w:name="_Toc280262331"/>
      <w:bookmarkStart w:id="510" w:name="_Toc280272725"/>
      <w:bookmarkStart w:id="511" w:name="_Toc280272904"/>
      <w:bookmarkStart w:id="512" w:name="_Toc284419419"/>
      <w:bookmarkStart w:id="513" w:name="_Toc286315736"/>
      <w:bookmarkStart w:id="514" w:name="_Toc287523812"/>
      <w:r w:rsidRPr="003C5D6B">
        <w:lastRenderedPageBreak/>
        <w:t>Article 11</w:t>
      </w:r>
      <w:r w:rsidRPr="003C5D6B">
        <w:br/>
      </w:r>
      <w:r w:rsidRPr="003C5D6B">
        <w:br/>
      </w:r>
      <w:bookmarkStart w:id="515" w:name="_Toc199215034"/>
      <w:r w:rsidRPr="003C5D6B">
        <w:t>Spectrum fees for public land mobile (cellular) service</w:t>
      </w:r>
      <w:bookmarkEnd w:id="508"/>
      <w:bookmarkEnd w:id="509"/>
      <w:bookmarkEnd w:id="510"/>
      <w:bookmarkEnd w:id="511"/>
      <w:bookmarkEnd w:id="512"/>
      <w:bookmarkEnd w:id="513"/>
      <w:bookmarkEnd w:id="514"/>
      <w:bookmarkEnd w:id="515"/>
    </w:p>
    <w:p w:rsidR="00D31B12" w:rsidRPr="003C5D6B" w:rsidRDefault="00D31B12" w:rsidP="00D31B12">
      <w:pPr>
        <w:pStyle w:val="enumlev1"/>
        <w:rPr>
          <w:rFonts w:asciiTheme="majorBidi" w:hAnsiTheme="majorBidi" w:cstheme="majorBidi"/>
          <w:szCs w:val="19"/>
        </w:rPr>
      </w:pPr>
      <w:r w:rsidRPr="003C5D6B">
        <w:rPr>
          <w:rFonts w:asciiTheme="majorBidi" w:hAnsiTheme="majorBidi" w:cstheme="majorBidi"/>
          <w:szCs w:val="19"/>
        </w:rPr>
        <w:t>11.1</w:t>
      </w:r>
      <w:r w:rsidRPr="003C5D6B">
        <w:rPr>
          <w:rFonts w:asciiTheme="majorBidi" w:hAnsiTheme="majorBidi" w:cstheme="majorBidi"/>
          <w:szCs w:val="19"/>
        </w:rPr>
        <w:tab/>
        <w:t xml:space="preserve">The Annual Spectrum Fees for the Public Land Mobile (cellular) services (including GSM, UMTS and IMT) shall be calculated as follows: </w:t>
      </w:r>
    </w:p>
    <w:p w:rsidR="00D31B12" w:rsidRPr="003C5D6B" w:rsidRDefault="00D31B12" w:rsidP="00D31B12">
      <w:pPr>
        <w:jc w:val="center"/>
        <w:rPr>
          <w:color w:val="000000"/>
          <w:szCs w:val="19"/>
        </w:rPr>
      </w:pPr>
      <w:r w:rsidRPr="003C5D6B">
        <w:rPr>
          <w:b/>
          <w:color w:val="000000"/>
          <w:szCs w:val="19"/>
        </w:rPr>
        <w:t xml:space="preserve">Spectrum price = [(P x MHz) </w:t>
      </w:r>
      <w:r w:rsidRPr="003C5D6B">
        <w:rPr>
          <w:b/>
          <w:color w:val="000000"/>
          <w:position w:val="10"/>
          <w:szCs w:val="19"/>
          <w:vertAlign w:val="superscript"/>
        </w:rPr>
        <w:t>EM</w:t>
      </w:r>
      <w:r w:rsidRPr="003C5D6B">
        <w:rPr>
          <w:b/>
          <w:color w:val="000000"/>
          <w:szCs w:val="19"/>
        </w:rPr>
        <w:t xml:space="preserve">] x [1 + (MC – CC) / CM] </w:t>
      </w:r>
      <w:r w:rsidRPr="003C5D6B">
        <w:rPr>
          <w:b/>
          <w:color w:val="000000"/>
          <w:position w:val="10"/>
          <w:szCs w:val="19"/>
          <w:vertAlign w:val="superscript"/>
        </w:rPr>
        <w:t xml:space="preserve">EC </w:t>
      </w:r>
    </w:p>
    <w:p w:rsidR="00D31B12" w:rsidRPr="003C5D6B" w:rsidRDefault="00D31B12" w:rsidP="00D31B12">
      <w:pPr>
        <w:ind w:left="720"/>
        <w:rPr>
          <w:szCs w:val="19"/>
        </w:rPr>
      </w:pPr>
      <w:r w:rsidRPr="003C5D6B">
        <w:rPr>
          <w:szCs w:val="19"/>
        </w:rPr>
        <w:t xml:space="preserve">Where: </w:t>
      </w:r>
    </w:p>
    <w:p w:rsidR="00D31B12" w:rsidRPr="003C5D6B" w:rsidRDefault="00D31B12" w:rsidP="00D31B12">
      <w:pPr>
        <w:ind w:left="720"/>
        <w:rPr>
          <w:szCs w:val="19"/>
        </w:rPr>
      </w:pPr>
      <w:r w:rsidRPr="003C5D6B">
        <w:rPr>
          <w:b/>
          <w:szCs w:val="19"/>
        </w:rPr>
        <w:t xml:space="preserve">P = </w:t>
      </w:r>
      <w:r w:rsidRPr="003C5D6B">
        <w:rPr>
          <w:szCs w:val="19"/>
        </w:rPr>
        <w:t>Price per MHz, pres</w:t>
      </w:r>
      <w:r w:rsidR="003C5D6B">
        <w:rPr>
          <w:szCs w:val="19"/>
        </w:rPr>
        <w:t>ently set at 3,500,000.00 AED (</w:t>
      </w:r>
      <w:r w:rsidRPr="003C5D6B">
        <w:rPr>
          <w:szCs w:val="19"/>
        </w:rPr>
        <w:t xml:space="preserve">Three Million Five Hundred Thousand) per year </w:t>
      </w:r>
      <w:r w:rsidRPr="003C5D6B">
        <w:rPr>
          <w:color w:val="000000"/>
          <w:szCs w:val="19"/>
        </w:rPr>
        <w:t>based</w:t>
      </w:r>
      <w:r w:rsidRPr="003C5D6B">
        <w:rPr>
          <w:szCs w:val="19"/>
        </w:rPr>
        <w:t xml:space="preserve"> on market study. The TRA may conduct a market study at appropriate intervals to review this price.  </w:t>
      </w:r>
    </w:p>
    <w:p w:rsidR="00D31B12" w:rsidRPr="003C5D6B" w:rsidRDefault="00D31B12" w:rsidP="00D31B12">
      <w:pPr>
        <w:ind w:left="720"/>
        <w:rPr>
          <w:szCs w:val="19"/>
        </w:rPr>
      </w:pPr>
      <w:r w:rsidRPr="003C5D6B">
        <w:rPr>
          <w:b/>
          <w:szCs w:val="19"/>
        </w:rPr>
        <w:t>MHz</w:t>
      </w:r>
      <w:r w:rsidRPr="003C5D6B">
        <w:rPr>
          <w:szCs w:val="19"/>
        </w:rPr>
        <w:t>= Assigned Bandwidth (of Cellular service) where for duplex assignment of 2x20 MHz shall be taken as 40 MHz. Combined Bandwidth of GSM 900/1800 shall be used for each Licensed Operator. The bandwidth for UMTS and other IMT shall be charged separately.</w:t>
      </w:r>
    </w:p>
    <w:p w:rsidR="00D31B12" w:rsidRPr="003C5D6B" w:rsidRDefault="00D31B12" w:rsidP="00D31B12">
      <w:pPr>
        <w:ind w:left="720"/>
        <w:rPr>
          <w:szCs w:val="19"/>
        </w:rPr>
      </w:pPr>
      <w:r w:rsidRPr="003C5D6B">
        <w:rPr>
          <w:b/>
          <w:szCs w:val="19"/>
        </w:rPr>
        <w:t>CC</w:t>
      </w:r>
      <w:r w:rsidRPr="003C5D6B">
        <w:rPr>
          <w:szCs w:val="19"/>
        </w:rPr>
        <w:t xml:space="preserve">= </w:t>
      </w:r>
      <w:r w:rsidRPr="003C5D6B">
        <w:rPr>
          <w:color w:val="000000"/>
          <w:szCs w:val="19"/>
        </w:rPr>
        <w:t>Current</w:t>
      </w:r>
      <w:r w:rsidRPr="003C5D6B">
        <w:rPr>
          <w:szCs w:val="19"/>
        </w:rPr>
        <w:t xml:space="preserve"> Coverage of the operator in number of inhabitants covered by the radio network. </w:t>
      </w:r>
    </w:p>
    <w:p w:rsidR="00D31B12" w:rsidRPr="003C5D6B" w:rsidRDefault="00D31B12" w:rsidP="00D31B12">
      <w:pPr>
        <w:ind w:left="720"/>
        <w:rPr>
          <w:szCs w:val="19"/>
        </w:rPr>
      </w:pPr>
      <w:r w:rsidRPr="003C5D6B">
        <w:rPr>
          <w:b/>
          <w:szCs w:val="19"/>
        </w:rPr>
        <w:t>CM</w:t>
      </w:r>
      <w:r w:rsidRPr="003C5D6B">
        <w:rPr>
          <w:szCs w:val="19"/>
        </w:rPr>
        <w:t xml:space="preserve">= </w:t>
      </w:r>
      <w:r w:rsidRPr="003C5D6B">
        <w:rPr>
          <w:color w:val="000000"/>
          <w:szCs w:val="19"/>
        </w:rPr>
        <w:t>Maximum</w:t>
      </w:r>
      <w:r w:rsidRPr="003C5D6B">
        <w:rPr>
          <w:szCs w:val="19"/>
        </w:rPr>
        <w:t xml:space="preserve"> coverage in UAE is set as 4,912,000 inhabitants of UAE based on projected information from Ministry of Planning and shall be revised on results of Census or after three years from the date of this Policy.  </w:t>
      </w:r>
    </w:p>
    <w:p w:rsidR="00D31B12" w:rsidRPr="003C5D6B" w:rsidRDefault="00D31B12" w:rsidP="00D31B12">
      <w:pPr>
        <w:ind w:left="720"/>
        <w:rPr>
          <w:szCs w:val="19"/>
        </w:rPr>
      </w:pPr>
      <w:r w:rsidRPr="003C5D6B">
        <w:rPr>
          <w:b/>
          <w:szCs w:val="19"/>
        </w:rPr>
        <w:t>MC</w:t>
      </w:r>
      <w:r w:rsidRPr="003C5D6B">
        <w:rPr>
          <w:szCs w:val="19"/>
        </w:rPr>
        <w:t xml:space="preserve">= </w:t>
      </w:r>
      <w:r w:rsidRPr="003C5D6B">
        <w:rPr>
          <w:color w:val="000000"/>
          <w:szCs w:val="19"/>
        </w:rPr>
        <w:t>Minimum</w:t>
      </w:r>
      <w:r w:rsidRPr="003C5D6B">
        <w:rPr>
          <w:szCs w:val="19"/>
        </w:rPr>
        <w:t xml:space="preserve"> coverage which is set as 2,063,040 inhabitants of UAE (42% of the CM value). </w:t>
      </w:r>
    </w:p>
    <w:p w:rsidR="00D31B12" w:rsidRPr="003C5D6B" w:rsidRDefault="00D31B12" w:rsidP="00D31B12">
      <w:pPr>
        <w:ind w:left="720"/>
        <w:rPr>
          <w:szCs w:val="19"/>
        </w:rPr>
      </w:pPr>
      <w:r w:rsidRPr="003C5D6B">
        <w:rPr>
          <w:b/>
          <w:szCs w:val="19"/>
        </w:rPr>
        <w:t>EC</w:t>
      </w:r>
      <w:r w:rsidRPr="003C5D6B">
        <w:rPr>
          <w:szCs w:val="19"/>
        </w:rPr>
        <w:t xml:space="preserve">= </w:t>
      </w:r>
      <w:r w:rsidRPr="003C5D6B">
        <w:rPr>
          <w:color w:val="000000"/>
          <w:szCs w:val="19"/>
        </w:rPr>
        <w:t>Efficient</w:t>
      </w:r>
      <w:r w:rsidRPr="003C5D6B">
        <w:rPr>
          <w:szCs w:val="19"/>
        </w:rPr>
        <w:t xml:space="preserve"> Factor for coverage, calculated as EC= 1 + (CC/MC). </w:t>
      </w:r>
    </w:p>
    <w:p w:rsidR="00D31B12" w:rsidRPr="003C5D6B" w:rsidRDefault="00D31B12" w:rsidP="00D31B12">
      <w:pPr>
        <w:ind w:left="720"/>
        <w:rPr>
          <w:szCs w:val="19"/>
        </w:rPr>
      </w:pPr>
      <w:r w:rsidRPr="003C5D6B">
        <w:rPr>
          <w:b/>
          <w:szCs w:val="19"/>
        </w:rPr>
        <w:t>EM</w:t>
      </w:r>
      <w:r w:rsidRPr="003C5D6B">
        <w:rPr>
          <w:szCs w:val="19"/>
        </w:rPr>
        <w:t xml:space="preserve">= </w:t>
      </w:r>
      <w:r w:rsidRPr="003C5D6B">
        <w:rPr>
          <w:color w:val="000000"/>
          <w:szCs w:val="19"/>
        </w:rPr>
        <w:t>Efficiency</w:t>
      </w:r>
      <w:r w:rsidRPr="003C5D6B">
        <w:rPr>
          <w:szCs w:val="19"/>
        </w:rPr>
        <w:t xml:space="preserve"> factor for MHz, calculated as EM= 1 + (MHz/982.4) </w:t>
      </w:r>
    </w:p>
    <w:p w:rsidR="00D31B12" w:rsidRPr="003C5D6B" w:rsidRDefault="00D31B12" w:rsidP="00D31B12">
      <w:pPr>
        <w:ind w:left="720"/>
        <w:rPr>
          <w:szCs w:val="19"/>
        </w:rPr>
      </w:pPr>
      <w:r w:rsidRPr="003C5D6B">
        <w:rPr>
          <w:szCs w:val="19"/>
        </w:rPr>
        <w:t xml:space="preserve">982.4 </w:t>
      </w:r>
      <w:r w:rsidRPr="003C5D6B">
        <w:rPr>
          <w:color w:val="000000"/>
          <w:szCs w:val="19"/>
        </w:rPr>
        <w:t>represent</w:t>
      </w:r>
      <w:r w:rsidRPr="003C5D6B">
        <w:rPr>
          <w:szCs w:val="19"/>
        </w:rPr>
        <w:t xml:space="preserve"> a value corresponding to 4.912 Million population of UAE. </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11.2</w:t>
      </w:r>
      <w:r w:rsidRPr="003C5D6B">
        <w:rPr>
          <w:rFonts w:asciiTheme="majorBidi" w:hAnsiTheme="majorBidi" w:cstheme="majorBidi"/>
          <w:szCs w:val="22"/>
        </w:rPr>
        <w:tab/>
        <w:t xml:space="preserve">The TRA regulations and guidelines for determination of the factors like coverage for calculation of Fees for Public Land Mobile (cellular) services shall apply. </w:t>
      </w:r>
    </w:p>
    <w:p w:rsidR="00D31B12" w:rsidRPr="003C5D6B" w:rsidRDefault="00D31B12" w:rsidP="00D31B12">
      <w:pPr>
        <w:pStyle w:val="Arttitle"/>
        <w:spacing w:before="400"/>
      </w:pPr>
      <w:bookmarkStart w:id="516" w:name="_Toc280261834"/>
      <w:bookmarkStart w:id="517" w:name="_Toc280262332"/>
      <w:bookmarkStart w:id="518" w:name="_Toc280272726"/>
      <w:bookmarkStart w:id="519" w:name="_Toc280272905"/>
      <w:bookmarkStart w:id="520" w:name="_Toc284419420"/>
      <w:bookmarkStart w:id="521" w:name="_Toc286315737"/>
      <w:bookmarkStart w:id="522" w:name="_Toc287523813"/>
      <w:r w:rsidRPr="003C5D6B">
        <w:t>Article 12</w:t>
      </w:r>
      <w:r w:rsidRPr="003C5D6B">
        <w:br/>
      </w:r>
      <w:r w:rsidRPr="003C5D6B">
        <w:br/>
      </w:r>
      <w:bookmarkStart w:id="523" w:name="_Toc199215035"/>
      <w:r w:rsidRPr="003C5D6B">
        <w:t>Spectrum fees for private mobile radio, paging and trunking</w:t>
      </w:r>
      <w:bookmarkEnd w:id="516"/>
      <w:bookmarkEnd w:id="517"/>
      <w:bookmarkEnd w:id="518"/>
      <w:bookmarkEnd w:id="519"/>
      <w:bookmarkEnd w:id="520"/>
      <w:bookmarkEnd w:id="521"/>
      <w:bookmarkEnd w:id="522"/>
      <w:bookmarkEnd w:id="523"/>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12.1</w:t>
      </w:r>
      <w:r w:rsidRPr="003C5D6B">
        <w:rPr>
          <w:rFonts w:asciiTheme="majorBidi" w:hAnsiTheme="majorBidi" w:cstheme="majorBidi"/>
          <w:szCs w:val="22"/>
        </w:rPr>
        <w:tab/>
        <w:t xml:space="preserve">The Annual Spectrum Fees for Private Mobile Radio shall be calculated as follows: </w:t>
      </w:r>
    </w:p>
    <w:p w:rsidR="00D31B12" w:rsidRPr="003C5D6B" w:rsidRDefault="00D31B12" w:rsidP="00D31B12">
      <w:pPr>
        <w:jc w:val="center"/>
        <w:rPr>
          <w:color w:val="000000"/>
          <w:szCs w:val="19"/>
        </w:rPr>
      </w:pPr>
      <w:r w:rsidRPr="003C5D6B">
        <w:rPr>
          <w:b/>
          <w:color w:val="000000"/>
          <w:szCs w:val="19"/>
        </w:rPr>
        <w:t xml:space="preserve">Spectrum price = NC x CF + SUM (WE x 500 x PF) </w:t>
      </w:r>
    </w:p>
    <w:p w:rsidR="00D31B12" w:rsidRPr="003C5D6B" w:rsidRDefault="00D31B12" w:rsidP="00D31B12">
      <w:pPr>
        <w:ind w:left="720"/>
        <w:rPr>
          <w:color w:val="000000"/>
          <w:szCs w:val="19"/>
        </w:rPr>
      </w:pPr>
      <w:r w:rsidRPr="003C5D6B">
        <w:rPr>
          <w:color w:val="000000"/>
          <w:szCs w:val="19"/>
        </w:rPr>
        <w:t xml:space="preserve">Where: </w:t>
      </w:r>
    </w:p>
    <w:p w:rsidR="00D31B12" w:rsidRPr="003C5D6B" w:rsidRDefault="00D31B12" w:rsidP="00D31B12">
      <w:pPr>
        <w:ind w:left="720"/>
        <w:rPr>
          <w:color w:val="000000"/>
          <w:szCs w:val="19"/>
        </w:rPr>
      </w:pPr>
      <w:r w:rsidRPr="003C5D6B">
        <w:rPr>
          <w:b/>
          <w:color w:val="000000"/>
          <w:szCs w:val="19"/>
        </w:rPr>
        <w:t xml:space="preserve">NC= </w:t>
      </w:r>
      <w:r w:rsidRPr="003C5D6B">
        <w:rPr>
          <w:color w:val="000000"/>
          <w:szCs w:val="19"/>
        </w:rPr>
        <w:t xml:space="preserve">Number of Channels (12.5 kHz bandwidth equivalents each) that will be assigned to the user. </w:t>
      </w:r>
    </w:p>
    <w:p w:rsidR="00D31B12" w:rsidRPr="003C5D6B" w:rsidRDefault="00D31B12" w:rsidP="00D31B12">
      <w:pPr>
        <w:ind w:left="720"/>
        <w:rPr>
          <w:color w:val="000000"/>
          <w:szCs w:val="19"/>
        </w:rPr>
      </w:pPr>
      <w:r w:rsidRPr="003C5D6B">
        <w:rPr>
          <w:b/>
          <w:color w:val="000000"/>
          <w:szCs w:val="19"/>
        </w:rPr>
        <w:t xml:space="preserve">WE = </w:t>
      </w:r>
      <w:r w:rsidRPr="003C5D6B">
        <w:rPr>
          <w:color w:val="000000"/>
          <w:szCs w:val="19"/>
        </w:rPr>
        <w:t xml:space="preserve">Wireless Equipment authorized (including handhelds) will be included in the calculation. </w:t>
      </w:r>
    </w:p>
    <w:p w:rsidR="00D31B12" w:rsidRPr="003C5D6B" w:rsidRDefault="00D31B12" w:rsidP="00D31B12">
      <w:pPr>
        <w:ind w:left="720"/>
        <w:rPr>
          <w:color w:val="000000"/>
          <w:szCs w:val="19"/>
        </w:rPr>
      </w:pPr>
      <w:r w:rsidRPr="003C5D6B">
        <w:rPr>
          <w:b/>
          <w:color w:val="000000"/>
          <w:szCs w:val="19"/>
        </w:rPr>
        <w:t xml:space="preserve">SUM (WE x 500 x PF) = </w:t>
      </w:r>
      <w:r w:rsidRPr="003C5D6B">
        <w:rPr>
          <w:color w:val="000000"/>
          <w:szCs w:val="19"/>
        </w:rPr>
        <w:t xml:space="preserve">Total sum of (each Wireless Equipment authorized multiplied by 500 multiplied by Power Factor). </w:t>
      </w:r>
    </w:p>
    <w:p w:rsidR="00D31B12" w:rsidRPr="003C5D6B" w:rsidRDefault="00D31B12" w:rsidP="00D31B12">
      <w:pPr>
        <w:ind w:left="720"/>
        <w:rPr>
          <w:color w:val="000000"/>
          <w:szCs w:val="19"/>
        </w:rPr>
      </w:pPr>
      <w:r w:rsidRPr="003C5D6B">
        <w:rPr>
          <w:b/>
          <w:color w:val="000000"/>
          <w:szCs w:val="19"/>
        </w:rPr>
        <w:t xml:space="preserve">PF= </w:t>
      </w:r>
      <w:r w:rsidRPr="003C5D6B">
        <w:rPr>
          <w:color w:val="000000"/>
          <w:szCs w:val="19"/>
        </w:rPr>
        <w:t xml:space="preserve">Power Factor depending on the authorized radiated power of the Equipment which will be determined as follows: </w:t>
      </w:r>
    </w:p>
    <w:p w:rsidR="00D31B12" w:rsidRPr="003C5D6B" w:rsidRDefault="00D31B12" w:rsidP="00D31B12">
      <w:pPr>
        <w:spacing w:before="0"/>
        <w:ind w:left="720"/>
        <w:rPr>
          <w:color w:val="000000"/>
          <w:szCs w:val="19"/>
        </w:rPr>
      </w:pPr>
    </w:p>
    <w:tbl>
      <w:tblPr>
        <w:tblW w:w="0" w:type="auto"/>
        <w:jc w:val="center"/>
        <w:tblInd w:w="900" w:type="dxa"/>
        <w:tblBorders>
          <w:top w:val="nil"/>
          <w:left w:val="nil"/>
          <w:bottom w:val="nil"/>
          <w:right w:val="nil"/>
        </w:tblBorders>
        <w:tblLook w:val="0000"/>
      </w:tblPr>
      <w:tblGrid>
        <w:gridCol w:w="815"/>
        <w:gridCol w:w="1555"/>
        <w:gridCol w:w="931"/>
        <w:gridCol w:w="1167"/>
        <w:gridCol w:w="1222"/>
        <w:gridCol w:w="782"/>
      </w:tblGrid>
      <w:tr w:rsidR="00D31B12"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Power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Less than 1 W</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1 – 5 W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&gt;5 – 10 W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&gt;10 – 20W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&gt;20W </w:t>
            </w:r>
          </w:p>
        </w:tc>
      </w:tr>
      <w:tr w:rsidR="00D31B12"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PF</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0.25</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2</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3</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4</w:t>
            </w:r>
          </w:p>
        </w:tc>
      </w:tr>
    </w:tbl>
    <w:p w:rsidR="00D31B12" w:rsidRPr="003C5D6B" w:rsidRDefault="00D31B12" w:rsidP="00D31B12">
      <w:pPr>
        <w:ind w:left="720"/>
        <w:rPr>
          <w:b/>
          <w:color w:val="000000"/>
          <w:szCs w:val="19"/>
        </w:rPr>
      </w:pPr>
    </w:p>
    <w:p w:rsidR="00D31B12" w:rsidRPr="003C5D6B" w:rsidRDefault="00D31B12" w:rsidP="00D31B12">
      <w:pPr>
        <w:tabs>
          <w:tab w:val="clear" w:pos="794"/>
          <w:tab w:val="clear" w:pos="1191"/>
          <w:tab w:val="clear" w:pos="1588"/>
          <w:tab w:val="clear" w:pos="1985"/>
        </w:tabs>
        <w:overflowPunct/>
        <w:autoSpaceDE/>
        <w:autoSpaceDN/>
        <w:adjustRightInd/>
        <w:spacing w:before="0"/>
        <w:jc w:val="left"/>
        <w:textAlignment w:val="auto"/>
        <w:rPr>
          <w:b/>
          <w:color w:val="000000"/>
          <w:szCs w:val="19"/>
        </w:rPr>
      </w:pPr>
      <w:r w:rsidRPr="003C5D6B">
        <w:rPr>
          <w:b/>
          <w:color w:val="000000"/>
          <w:szCs w:val="19"/>
        </w:rPr>
        <w:br w:type="page"/>
      </w:r>
    </w:p>
    <w:p w:rsidR="00D31B12" w:rsidRPr="003C5D6B" w:rsidRDefault="00D31B12" w:rsidP="00D31B12">
      <w:pPr>
        <w:ind w:left="720"/>
        <w:rPr>
          <w:color w:val="000000"/>
          <w:szCs w:val="19"/>
        </w:rPr>
      </w:pPr>
      <w:r w:rsidRPr="003C5D6B">
        <w:rPr>
          <w:b/>
          <w:color w:val="000000"/>
          <w:szCs w:val="19"/>
        </w:rPr>
        <w:lastRenderedPageBreak/>
        <w:t xml:space="preserve">CF= </w:t>
      </w:r>
      <w:r w:rsidRPr="003C5D6B">
        <w:rPr>
          <w:color w:val="000000"/>
          <w:szCs w:val="19"/>
        </w:rPr>
        <w:t xml:space="preserve">Coverage Factor depending on the geographical area which will be determined as follows: </w:t>
      </w:r>
    </w:p>
    <w:p w:rsidR="00D31B12" w:rsidRPr="003C5D6B" w:rsidRDefault="00D31B12" w:rsidP="00D31B12">
      <w:pPr>
        <w:ind w:left="720"/>
        <w:rPr>
          <w:color w:val="000000"/>
          <w:szCs w:val="19"/>
        </w:rPr>
      </w:pPr>
    </w:p>
    <w:tbl>
      <w:tblPr>
        <w:tblW w:w="0" w:type="auto"/>
        <w:jc w:val="center"/>
        <w:tblInd w:w="900" w:type="dxa"/>
        <w:tblBorders>
          <w:top w:val="nil"/>
          <w:left w:val="nil"/>
          <w:bottom w:val="nil"/>
          <w:right w:val="nil"/>
        </w:tblBorders>
        <w:tblLook w:val="0000"/>
      </w:tblPr>
      <w:tblGrid>
        <w:gridCol w:w="681"/>
        <w:gridCol w:w="1475"/>
        <w:gridCol w:w="1523"/>
        <w:gridCol w:w="3268"/>
        <w:gridCol w:w="817"/>
      </w:tblGrid>
      <w:tr w:rsidR="00D31B12"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All UAE </w:t>
            </w:r>
          </w:p>
        </w:tc>
      </w:tr>
      <w:tr w:rsidR="00D31B12"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100</w:t>
            </w:r>
          </w:p>
        </w:tc>
        <w:tc>
          <w:tcPr>
            <w:tcW w:w="1523"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500</w:t>
            </w:r>
          </w:p>
        </w:tc>
        <w:tc>
          <w:tcPr>
            <w:tcW w:w="3268"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2</w:t>
            </w:r>
            <w:r w:rsidRPr="003C5D6B">
              <w:rPr>
                <w:rFonts w:asciiTheme="majorBidi" w:hAnsiTheme="majorBidi" w:cstheme="majorBidi"/>
                <w:sz w:val="16"/>
                <w:szCs w:val="16"/>
              </w:rPr>
              <w:t xml:space="preserve"> </w:t>
            </w:r>
            <w:r w:rsidRPr="003C5D6B">
              <w:rPr>
                <w:rFonts w:asciiTheme="majorBidi" w:hAnsiTheme="majorBidi" w:cstheme="majorBidi"/>
                <w:szCs w:val="22"/>
              </w:rPr>
              <w:t>000 for Abu Dhabi or Dubai</w:t>
            </w:r>
          </w:p>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1</w:t>
            </w:r>
            <w:r w:rsidRPr="003C5D6B">
              <w:rPr>
                <w:rFonts w:asciiTheme="majorBidi" w:hAnsiTheme="majorBidi" w:cstheme="majorBidi"/>
                <w:sz w:val="16"/>
                <w:szCs w:val="16"/>
              </w:rPr>
              <w:t xml:space="preserve"> </w:t>
            </w:r>
            <w:r w:rsidRPr="003C5D6B">
              <w:rPr>
                <w:rFonts w:asciiTheme="majorBidi" w:hAnsiTheme="majorBidi" w:cstheme="majorBidi"/>
                <w:szCs w:val="22"/>
              </w:rPr>
              <w:t>000 for other Emirates</w:t>
            </w:r>
          </w:p>
        </w:tc>
        <w:tc>
          <w:tcPr>
            <w:tcW w:w="81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4</w:t>
            </w:r>
            <w:r w:rsidRPr="003C5D6B">
              <w:rPr>
                <w:rFonts w:asciiTheme="majorBidi" w:hAnsiTheme="majorBidi" w:cstheme="majorBidi"/>
                <w:sz w:val="16"/>
                <w:szCs w:val="16"/>
              </w:rPr>
              <w:t xml:space="preserve"> </w:t>
            </w:r>
            <w:r w:rsidRPr="003C5D6B">
              <w:rPr>
                <w:rFonts w:asciiTheme="majorBidi" w:hAnsiTheme="majorBidi" w:cstheme="majorBidi"/>
                <w:szCs w:val="22"/>
              </w:rPr>
              <w:t>000</w:t>
            </w:r>
          </w:p>
        </w:tc>
      </w:tr>
    </w:tbl>
    <w:p w:rsidR="00D31B12" w:rsidRPr="003C5D6B" w:rsidRDefault="00D31B12" w:rsidP="00D31B12">
      <w:pPr>
        <w:ind w:left="720" w:hanging="720"/>
      </w:pPr>
    </w:p>
    <w:p w:rsidR="00D31B12" w:rsidRPr="003C5D6B" w:rsidRDefault="00D31B12" w:rsidP="00D31B12">
      <w:pPr>
        <w:ind w:left="720" w:hanging="720"/>
      </w:pPr>
      <w:r w:rsidRPr="003C5D6B">
        <w:t>12.3</w:t>
      </w:r>
      <w:r w:rsidRPr="003C5D6B">
        <w:tab/>
        <w:t xml:space="preserve">The Annual Spectrum Fees for Private Mobile Radio (vehicles only) which are not localized shall be calculated as follows: </w:t>
      </w:r>
    </w:p>
    <w:p w:rsidR="00D31B12" w:rsidRPr="003C5D6B" w:rsidRDefault="00D31B12" w:rsidP="00D31B12">
      <w:pPr>
        <w:ind w:firstLine="720"/>
        <w:jc w:val="center"/>
        <w:rPr>
          <w:color w:val="000000"/>
        </w:rPr>
      </w:pPr>
      <w:r w:rsidRPr="003C5D6B">
        <w:rPr>
          <w:b/>
          <w:color w:val="000000"/>
        </w:rPr>
        <w:t>Spectrum Fees = NC x CF</w:t>
      </w:r>
    </w:p>
    <w:p w:rsidR="00D31B12" w:rsidRPr="003C5D6B" w:rsidRDefault="00D31B12" w:rsidP="00D31B12">
      <w:pPr>
        <w:ind w:left="720"/>
        <w:rPr>
          <w:color w:val="000000"/>
        </w:rPr>
      </w:pPr>
      <w:r w:rsidRPr="003C5D6B">
        <w:rPr>
          <w:color w:val="000000"/>
        </w:rPr>
        <w:t xml:space="preserve">Where: </w:t>
      </w:r>
    </w:p>
    <w:p w:rsidR="00D31B12" w:rsidRPr="003C5D6B" w:rsidRDefault="00D31B12" w:rsidP="00D31B12">
      <w:pPr>
        <w:ind w:left="720"/>
        <w:rPr>
          <w:color w:val="000000"/>
        </w:rPr>
      </w:pPr>
      <w:r w:rsidRPr="003C5D6B">
        <w:rPr>
          <w:b/>
          <w:color w:val="000000"/>
        </w:rPr>
        <w:t xml:space="preserve">NC= </w:t>
      </w:r>
      <w:r w:rsidRPr="003C5D6B">
        <w:rPr>
          <w:color w:val="000000"/>
        </w:rPr>
        <w:t xml:space="preserve">Number of Channels (12.5 kHz bandwidth equivalents each) that will be assigned to the user. </w:t>
      </w:r>
    </w:p>
    <w:p w:rsidR="00D31B12" w:rsidRPr="003C5D6B" w:rsidRDefault="00D31B12" w:rsidP="00D31B12">
      <w:pPr>
        <w:ind w:left="720"/>
        <w:rPr>
          <w:color w:val="000000"/>
        </w:rPr>
      </w:pPr>
      <w:r w:rsidRPr="003C5D6B">
        <w:rPr>
          <w:b/>
          <w:color w:val="000000"/>
        </w:rPr>
        <w:t xml:space="preserve">CF= </w:t>
      </w:r>
      <w:r w:rsidRPr="003C5D6B">
        <w:rPr>
          <w:color w:val="000000"/>
        </w:rPr>
        <w:t xml:space="preserve">Coverage Factor depending on the geographical area which will be determined as follows: </w:t>
      </w:r>
    </w:p>
    <w:p w:rsidR="00D31B12" w:rsidRPr="003C5D6B" w:rsidRDefault="00D31B12" w:rsidP="00D31B12"/>
    <w:tbl>
      <w:tblPr>
        <w:tblW w:w="0" w:type="auto"/>
        <w:tblInd w:w="925" w:type="dxa"/>
        <w:tblBorders>
          <w:top w:val="nil"/>
          <w:left w:val="nil"/>
          <w:bottom w:val="nil"/>
          <w:right w:val="nil"/>
        </w:tblBorders>
        <w:tblLook w:val="0000"/>
      </w:tblPr>
      <w:tblGrid>
        <w:gridCol w:w="681"/>
        <w:gridCol w:w="1475"/>
        <w:gridCol w:w="1523"/>
        <w:gridCol w:w="3268"/>
        <w:gridCol w:w="817"/>
      </w:tblGrid>
      <w:tr w:rsidR="00D31B12" w:rsidRPr="003C5D6B" w:rsidTr="003C5D6B">
        <w:trPr>
          <w:trHeight w:val="319"/>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All UAE </w:t>
            </w:r>
          </w:p>
        </w:tc>
      </w:tr>
      <w:tr w:rsidR="00D31B12" w:rsidRPr="003C5D6B" w:rsidTr="003C5D6B">
        <w:trPr>
          <w:trHeight w:val="319"/>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100</w:t>
            </w:r>
          </w:p>
        </w:tc>
        <w:tc>
          <w:tcPr>
            <w:tcW w:w="1523"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500</w:t>
            </w:r>
          </w:p>
        </w:tc>
        <w:tc>
          <w:tcPr>
            <w:tcW w:w="3268"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2</w:t>
            </w:r>
            <w:r w:rsidRPr="003C5D6B">
              <w:rPr>
                <w:rFonts w:asciiTheme="majorBidi" w:hAnsiTheme="majorBidi" w:cstheme="majorBidi"/>
                <w:sz w:val="16"/>
                <w:szCs w:val="16"/>
              </w:rPr>
              <w:t xml:space="preserve"> </w:t>
            </w:r>
            <w:r w:rsidRPr="003C5D6B">
              <w:rPr>
                <w:rFonts w:asciiTheme="majorBidi" w:hAnsiTheme="majorBidi" w:cstheme="majorBidi"/>
                <w:szCs w:val="22"/>
              </w:rPr>
              <w:t>000 for Abu Dhabi or Dubai</w:t>
            </w:r>
          </w:p>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1</w:t>
            </w:r>
            <w:r w:rsidRPr="003C5D6B">
              <w:rPr>
                <w:rFonts w:asciiTheme="majorBidi" w:hAnsiTheme="majorBidi" w:cstheme="majorBidi"/>
                <w:sz w:val="16"/>
                <w:szCs w:val="16"/>
              </w:rPr>
              <w:t xml:space="preserve"> </w:t>
            </w:r>
            <w:r w:rsidRPr="003C5D6B">
              <w:rPr>
                <w:rFonts w:asciiTheme="majorBidi" w:hAnsiTheme="majorBidi" w:cstheme="majorBidi"/>
                <w:szCs w:val="22"/>
              </w:rPr>
              <w:t>000 for other Emirates</w:t>
            </w:r>
          </w:p>
        </w:tc>
        <w:tc>
          <w:tcPr>
            <w:tcW w:w="81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4</w:t>
            </w:r>
            <w:r w:rsidRPr="003C5D6B">
              <w:rPr>
                <w:rFonts w:asciiTheme="majorBidi" w:hAnsiTheme="majorBidi" w:cstheme="majorBidi"/>
                <w:sz w:val="16"/>
                <w:szCs w:val="16"/>
              </w:rPr>
              <w:t xml:space="preserve"> </w:t>
            </w:r>
            <w:r w:rsidRPr="003C5D6B">
              <w:rPr>
                <w:rFonts w:asciiTheme="majorBidi" w:hAnsiTheme="majorBidi" w:cstheme="majorBidi"/>
                <w:szCs w:val="22"/>
              </w:rPr>
              <w:t>000</w:t>
            </w:r>
          </w:p>
        </w:tc>
      </w:tr>
    </w:tbl>
    <w:p w:rsidR="00D31B12" w:rsidRPr="003C5D6B" w:rsidRDefault="00D31B12" w:rsidP="00D31B12">
      <w:pPr>
        <w:suppressAutoHyphens/>
        <w:rPr>
          <w:szCs w:val="19"/>
        </w:rPr>
      </w:pP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12.4</w:t>
      </w:r>
      <w:r w:rsidRPr="003C5D6B">
        <w:rPr>
          <w:rFonts w:asciiTheme="majorBidi" w:hAnsiTheme="majorBidi" w:cstheme="majorBidi"/>
          <w:szCs w:val="22"/>
        </w:rPr>
        <w:tab/>
        <w:t xml:space="preserve">The Annual Spectrum Fees for Private Mobile Radio used by the Taxi companies shall be calculated for the base station in accordance with the Article 12.1 and separate charges of 300 AED for each Taxi fitted with a radio. </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12.5</w:t>
      </w:r>
      <w:r w:rsidRPr="003C5D6B">
        <w:rPr>
          <w:rFonts w:asciiTheme="majorBidi" w:hAnsiTheme="majorBidi" w:cstheme="majorBidi"/>
          <w:szCs w:val="22"/>
        </w:rPr>
        <w:tab/>
        <w:t xml:space="preserve">The Annual Spectrum Fees for public paging and in house paging shall be calculated for the base station in accordance with the Article 12.1 with no additional charges for handheld pagers. </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12.6</w:t>
      </w:r>
      <w:r w:rsidRPr="003C5D6B">
        <w:rPr>
          <w:rFonts w:asciiTheme="majorBidi" w:hAnsiTheme="majorBidi" w:cstheme="majorBidi"/>
          <w:szCs w:val="22"/>
        </w:rPr>
        <w:tab/>
        <w:t xml:space="preserve">The Annual Spectrum Fees for </w:t>
      </w:r>
      <w:r w:rsidR="003C5D6B" w:rsidRPr="003C5D6B">
        <w:rPr>
          <w:rFonts w:asciiTheme="majorBidi" w:hAnsiTheme="majorBidi" w:cstheme="majorBidi"/>
          <w:szCs w:val="22"/>
        </w:rPr>
        <w:t>analogue</w:t>
      </w:r>
      <w:r w:rsidRPr="003C5D6B">
        <w:rPr>
          <w:rFonts w:asciiTheme="majorBidi" w:hAnsiTheme="majorBidi" w:cstheme="majorBidi"/>
          <w:szCs w:val="22"/>
        </w:rPr>
        <w:t xml:space="preserve"> trunking (like MPT 1327) shall be calculated in accordance with the Article 12.1 above. </w:t>
      </w:r>
    </w:p>
    <w:p w:rsidR="00D31B12" w:rsidRPr="003C5D6B" w:rsidRDefault="00D31B12" w:rsidP="00D31B12">
      <w:pPr>
        <w:pStyle w:val="enumlev1"/>
        <w:rPr>
          <w:rFonts w:asciiTheme="majorBidi" w:hAnsiTheme="majorBidi" w:cstheme="majorBidi"/>
          <w:color w:val="000000"/>
          <w:szCs w:val="22"/>
        </w:rPr>
      </w:pPr>
      <w:r w:rsidRPr="003C5D6B">
        <w:rPr>
          <w:rFonts w:asciiTheme="majorBidi" w:hAnsiTheme="majorBidi" w:cstheme="majorBidi"/>
          <w:szCs w:val="22"/>
        </w:rPr>
        <w:t>12.7</w:t>
      </w:r>
      <w:r w:rsidRPr="003C5D6B">
        <w:rPr>
          <w:rFonts w:asciiTheme="majorBidi" w:hAnsiTheme="majorBidi" w:cstheme="majorBidi"/>
          <w:szCs w:val="22"/>
        </w:rPr>
        <w:tab/>
        <w:t>The Annual Spectrum Fees for digital trunking (like TETRA, TETRAPOL, EDACS, APCO, etc) shall be calculated as follows:</w:t>
      </w:r>
    </w:p>
    <w:p w:rsidR="00D31B12" w:rsidRPr="003C5D6B" w:rsidRDefault="00D31B12" w:rsidP="00D31B12">
      <w:pPr>
        <w:ind w:left="720"/>
        <w:jc w:val="center"/>
        <w:rPr>
          <w:color w:val="000000"/>
          <w:szCs w:val="19"/>
        </w:rPr>
      </w:pPr>
      <w:r w:rsidRPr="003C5D6B">
        <w:rPr>
          <w:b/>
          <w:color w:val="000000"/>
          <w:szCs w:val="19"/>
        </w:rPr>
        <w:t>Spectrum Fees = NC x CF x 2.5</w:t>
      </w:r>
    </w:p>
    <w:p w:rsidR="00D31B12" w:rsidRPr="003C5D6B" w:rsidRDefault="00D31B12" w:rsidP="00D31B12">
      <w:pPr>
        <w:ind w:left="720"/>
        <w:rPr>
          <w:color w:val="000000"/>
          <w:szCs w:val="19"/>
        </w:rPr>
      </w:pPr>
      <w:r w:rsidRPr="003C5D6B">
        <w:rPr>
          <w:color w:val="000000"/>
          <w:szCs w:val="19"/>
        </w:rPr>
        <w:t xml:space="preserve">Where: </w:t>
      </w:r>
    </w:p>
    <w:p w:rsidR="00D31B12" w:rsidRPr="003C5D6B" w:rsidRDefault="00D31B12" w:rsidP="00D31B12">
      <w:pPr>
        <w:ind w:left="720"/>
        <w:rPr>
          <w:color w:val="000000"/>
          <w:szCs w:val="19"/>
        </w:rPr>
      </w:pPr>
      <w:r w:rsidRPr="003C5D6B">
        <w:rPr>
          <w:b/>
          <w:color w:val="000000"/>
          <w:szCs w:val="19"/>
        </w:rPr>
        <w:t xml:space="preserve">NC = </w:t>
      </w:r>
      <w:r w:rsidRPr="003C5D6B">
        <w:rPr>
          <w:color w:val="000000"/>
          <w:szCs w:val="19"/>
        </w:rPr>
        <w:t xml:space="preserve">Number of Channels (12.5 kHz unpaired bandwidth equivalents each) that will be assigned to the user. </w:t>
      </w:r>
    </w:p>
    <w:p w:rsidR="00D31B12" w:rsidRPr="003C5D6B" w:rsidRDefault="00D31B12" w:rsidP="00D31B12">
      <w:pPr>
        <w:ind w:left="720"/>
        <w:rPr>
          <w:color w:val="000000"/>
          <w:szCs w:val="19"/>
        </w:rPr>
      </w:pPr>
      <w:r w:rsidRPr="003C5D6B">
        <w:rPr>
          <w:b/>
          <w:color w:val="000000"/>
          <w:szCs w:val="19"/>
        </w:rPr>
        <w:t xml:space="preserve">CF = </w:t>
      </w:r>
      <w:r w:rsidRPr="003C5D6B">
        <w:rPr>
          <w:color w:val="000000"/>
          <w:szCs w:val="19"/>
        </w:rPr>
        <w:t xml:space="preserve">Coverage Factor depending on the geographical area which will be determined as follows: </w:t>
      </w:r>
    </w:p>
    <w:p w:rsidR="00D31B12" w:rsidRPr="003C5D6B" w:rsidRDefault="00D31B12" w:rsidP="00D31B12"/>
    <w:tbl>
      <w:tblPr>
        <w:tblW w:w="0" w:type="auto"/>
        <w:tblInd w:w="925" w:type="dxa"/>
        <w:tblBorders>
          <w:top w:val="nil"/>
          <w:left w:val="nil"/>
          <w:bottom w:val="nil"/>
          <w:right w:val="nil"/>
        </w:tblBorders>
        <w:tblLook w:val="0000"/>
      </w:tblPr>
      <w:tblGrid>
        <w:gridCol w:w="681"/>
        <w:gridCol w:w="1475"/>
        <w:gridCol w:w="1523"/>
        <w:gridCol w:w="3268"/>
        <w:gridCol w:w="817"/>
      </w:tblGrid>
      <w:tr w:rsidR="00D31B12" w:rsidRPr="003C5D6B" w:rsidTr="003C5D6B">
        <w:trPr>
          <w:trHeight w:val="319"/>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All UAE </w:t>
            </w:r>
          </w:p>
        </w:tc>
      </w:tr>
      <w:tr w:rsidR="00D31B12" w:rsidRPr="003C5D6B" w:rsidTr="003C5D6B">
        <w:trPr>
          <w:trHeight w:val="319"/>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100</w:t>
            </w:r>
          </w:p>
        </w:tc>
        <w:tc>
          <w:tcPr>
            <w:tcW w:w="1523"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500</w:t>
            </w:r>
          </w:p>
        </w:tc>
        <w:tc>
          <w:tcPr>
            <w:tcW w:w="3268"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2</w:t>
            </w:r>
            <w:r w:rsidRPr="003C5D6B">
              <w:rPr>
                <w:rFonts w:asciiTheme="majorBidi" w:hAnsiTheme="majorBidi" w:cstheme="majorBidi"/>
                <w:sz w:val="16"/>
                <w:szCs w:val="16"/>
              </w:rPr>
              <w:t xml:space="preserve"> </w:t>
            </w:r>
            <w:r w:rsidRPr="003C5D6B">
              <w:rPr>
                <w:rFonts w:asciiTheme="majorBidi" w:hAnsiTheme="majorBidi" w:cstheme="majorBidi"/>
                <w:szCs w:val="22"/>
              </w:rPr>
              <w:t>000 for Abu Dhabi or Dubai</w:t>
            </w:r>
          </w:p>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1</w:t>
            </w:r>
            <w:r w:rsidRPr="003C5D6B">
              <w:rPr>
                <w:rFonts w:asciiTheme="majorBidi" w:hAnsiTheme="majorBidi" w:cstheme="majorBidi"/>
                <w:sz w:val="16"/>
                <w:szCs w:val="16"/>
              </w:rPr>
              <w:t xml:space="preserve"> </w:t>
            </w:r>
            <w:r w:rsidRPr="003C5D6B">
              <w:rPr>
                <w:rFonts w:asciiTheme="majorBidi" w:hAnsiTheme="majorBidi" w:cstheme="majorBidi"/>
                <w:szCs w:val="22"/>
              </w:rPr>
              <w:t>000 for other Emirates</w:t>
            </w:r>
          </w:p>
        </w:tc>
        <w:tc>
          <w:tcPr>
            <w:tcW w:w="81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4</w:t>
            </w:r>
            <w:r w:rsidRPr="003C5D6B">
              <w:rPr>
                <w:rFonts w:asciiTheme="majorBidi" w:hAnsiTheme="majorBidi" w:cstheme="majorBidi"/>
                <w:sz w:val="16"/>
                <w:szCs w:val="16"/>
              </w:rPr>
              <w:t xml:space="preserve"> </w:t>
            </w:r>
            <w:r w:rsidRPr="003C5D6B">
              <w:rPr>
                <w:rFonts w:asciiTheme="majorBidi" w:hAnsiTheme="majorBidi" w:cstheme="majorBidi"/>
                <w:szCs w:val="22"/>
              </w:rPr>
              <w:t>000</w:t>
            </w:r>
          </w:p>
        </w:tc>
      </w:tr>
    </w:tbl>
    <w:p w:rsidR="00D31B12" w:rsidRPr="003C5D6B" w:rsidRDefault="00D31B12" w:rsidP="00D31B12">
      <w:pPr>
        <w:pStyle w:val="Arttitle"/>
        <w:spacing w:before="400"/>
      </w:pPr>
      <w:bookmarkStart w:id="524" w:name="_Toc280261835"/>
      <w:bookmarkStart w:id="525" w:name="_Toc280262333"/>
      <w:bookmarkStart w:id="526" w:name="_Toc280272727"/>
      <w:bookmarkStart w:id="527" w:name="_Toc280272906"/>
      <w:bookmarkStart w:id="528" w:name="_Toc284419421"/>
      <w:bookmarkStart w:id="529" w:name="_Toc286315738"/>
      <w:bookmarkStart w:id="530" w:name="_Toc287523814"/>
      <w:r w:rsidRPr="003C5D6B">
        <w:lastRenderedPageBreak/>
        <w:t>Article 13</w:t>
      </w:r>
      <w:r w:rsidRPr="003C5D6B">
        <w:br/>
      </w:r>
      <w:r w:rsidRPr="003C5D6B">
        <w:br/>
      </w:r>
      <w:bookmarkStart w:id="531" w:name="_Toc199215036"/>
      <w:r w:rsidRPr="003C5D6B">
        <w:t>Spectrum fees for fixed (point-to-point) links</w:t>
      </w:r>
      <w:bookmarkEnd w:id="524"/>
      <w:bookmarkEnd w:id="525"/>
      <w:bookmarkEnd w:id="526"/>
      <w:bookmarkEnd w:id="527"/>
      <w:bookmarkEnd w:id="528"/>
      <w:bookmarkEnd w:id="529"/>
      <w:bookmarkEnd w:id="530"/>
      <w:bookmarkEnd w:id="531"/>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13.1</w:t>
      </w:r>
      <w:r w:rsidRPr="003C5D6B">
        <w:rPr>
          <w:rFonts w:asciiTheme="majorBidi" w:hAnsiTheme="majorBidi" w:cstheme="majorBidi"/>
          <w:szCs w:val="22"/>
        </w:rPr>
        <w:tab/>
        <w:t xml:space="preserve">The Annual Spectrum Fees for each fixed point-to-point link above 2 GHz shall be calculated as follows: </w:t>
      </w:r>
    </w:p>
    <w:p w:rsidR="00D31B12" w:rsidRPr="003C5D6B" w:rsidRDefault="00D31B12" w:rsidP="00D31B12">
      <w:pPr>
        <w:jc w:val="center"/>
        <w:rPr>
          <w:b/>
          <w:bCs/>
          <w:szCs w:val="19"/>
        </w:rPr>
      </w:pPr>
      <w:r w:rsidRPr="003C5D6B">
        <w:rPr>
          <w:b/>
          <w:szCs w:val="19"/>
        </w:rPr>
        <w:t>Spectrum Fees = F x 2000 + BW x 1000</w:t>
      </w:r>
    </w:p>
    <w:p w:rsidR="00D31B12" w:rsidRPr="003C5D6B" w:rsidRDefault="00D31B12" w:rsidP="00D31B12">
      <w:pPr>
        <w:ind w:left="720"/>
        <w:rPr>
          <w:szCs w:val="19"/>
        </w:rPr>
      </w:pPr>
      <w:r w:rsidRPr="003C5D6B">
        <w:rPr>
          <w:szCs w:val="19"/>
        </w:rPr>
        <w:t xml:space="preserve">Where: </w:t>
      </w:r>
    </w:p>
    <w:p w:rsidR="00D31B12" w:rsidRPr="003C5D6B" w:rsidRDefault="00D31B12" w:rsidP="00D31B12">
      <w:pPr>
        <w:tabs>
          <w:tab w:val="left" w:pos="5387"/>
        </w:tabs>
        <w:ind w:left="720"/>
        <w:rPr>
          <w:szCs w:val="19"/>
        </w:rPr>
      </w:pPr>
      <w:r w:rsidRPr="003C5D6B">
        <w:rPr>
          <w:b/>
          <w:szCs w:val="19"/>
        </w:rPr>
        <w:t xml:space="preserve">F= </w:t>
      </w:r>
      <w:r w:rsidRPr="003C5D6B">
        <w:t>Frequency</w:t>
      </w:r>
      <w:r w:rsidRPr="003C5D6B">
        <w:rPr>
          <w:szCs w:val="19"/>
        </w:rPr>
        <w:t xml:space="preserve"> range factor as follows: </w:t>
      </w:r>
      <w:r w:rsidRPr="003C5D6B">
        <w:rPr>
          <w:szCs w:val="19"/>
        </w:rPr>
        <w:tab/>
      </w:r>
      <w:r w:rsidRPr="003C5D6B">
        <w:rPr>
          <w:b/>
          <w:szCs w:val="19"/>
        </w:rPr>
        <w:t xml:space="preserve">BW= </w:t>
      </w:r>
      <w:r w:rsidRPr="003C5D6B">
        <w:rPr>
          <w:szCs w:val="19"/>
        </w:rPr>
        <w:t xml:space="preserve">Bandwidth factor as follows: </w:t>
      </w:r>
    </w:p>
    <w:p w:rsidR="00D31B12" w:rsidRPr="003C5D6B" w:rsidRDefault="00D31B12" w:rsidP="00D31B12">
      <w:pPr>
        <w:ind w:left="720"/>
        <w:rPr>
          <w:szCs w:val="19"/>
        </w:rPr>
      </w:pPr>
    </w:p>
    <w:tbl>
      <w:tblPr>
        <w:tblW w:w="0" w:type="auto"/>
        <w:tblInd w:w="828" w:type="dxa"/>
        <w:tblBorders>
          <w:top w:val="nil"/>
          <w:left w:val="nil"/>
          <w:bottom w:val="nil"/>
          <w:right w:val="nil"/>
        </w:tblBorders>
        <w:tblLook w:val="0000"/>
      </w:tblPr>
      <w:tblGrid>
        <w:gridCol w:w="2447"/>
        <w:gridCol w:w="1071"/>
        <w:gridCol w:w="1142"/>
        <w:gridCol w:w="2163"/>
        <w:gridCol w:w="1097"/>
      </w:tblGrid>
      <w:tr w:rsidR="00D31B12" w:rsidRPr="003C5D6B" w:rsidTr="003C5D6B">
        <w:trPr>
          <w:trHeight w:val="608"/>
        </w:trPr>
        <w:tc>
          <w:tcPr>
            <w:tcW w:w="244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tab/>
            </w:r>
            <w:r w:rsidRPr="003C5D6B">
              <w:rPr>
                <w:rFonts w:asciiTheme="majorBidi" w:hAnsiTheme="majorBidi" w:cstheme="majorBidi"/>
                <w:szCs w:val="22"/>
              </w:rPr>
              <w:t xml:space="preserve">Frequency Range </w:t>
            </w:r>
          </w:p>
        </w:tc>
        <w:tc>
          <w:tcPr>
            <w:tcW w:w="1071" w:type="dxa"/>
            <w:tcBorders>
              <w:top w:val="single" w:sz="8" w:space="0" w:color="000000"/>
              <w:left w:val="single" w:sz="8" w:space="0" w:color="000000"/>
              <w:bottom w:val="single" w:sz="8" w:space="0" w:color="000000"/>
              <w:right w:val="single" w:sz="4" w:space="0" w:color="auto"/>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F </w:t>
            </w:r>
            <w:r w:rsidRPr="003C5D6B">
              <w:rPr>
                <w:rFonts w:asciiTheme="majorBidi" w:hAnsiTheme="majorBidi" w:cstheme="majorBidi"/>
                <w:szCs w:val="22"/>
              </w:rPr>
              <w:br/>
              <w:t xml:space="preserve">Factor </w:t>
            </w:r>
          </w:p>
        </w:tc>
        <w:tc>
          <w:tcPr>
            <w:tcW w:w="1142" w:type="dxa"/>
            <w:tcBorders>
              <w:top w:val="nil"/>
              <w:left w:val="single" w:sz="4" w:space="0" w:color="auto"/>
              <w:bottom w:val="nil"/>
              <w:right w:val="single" w:sz="4" w:space="0" w:color="auto"/>
            </w:tcBorders>
          </w:tcPr>
          <w:p w:rsidR="00D31B12" w:rsidRPr="003C5D6B" w:rsidRDefault="00D31B12" w:rsidP="003C5D6B">
            <w:pPr>
              <w:pStyle w:val="Tablehead"/>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Bandwidth </w:t>
            </w:r>
          </w:p>
        </w:tc>
        <w:tc>
          <w:tcPr>
            <w:tcW w:w="109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BW </w:t>
            </w:r>
            <w:r w:rsidRPr="003C5D6B">
              <w:rPr>
                <w:rFonts w:asciiTheme="majorBidi" w:hAnsiTheme="majorBidi" w:cstheme="majorBidi"/>
                <w:szCs w:val="22"/>
              </w:rPr>
              <w:br/>
              <w:t xml:space="preserve">Factor </w:t>
            </w:r>
          </w:p>
        </w:tc>
      </w:tr>
      <w:tr w:rsidR="00D31B12" w:rsidRPr="003C5D6B" w:rsidTr="003C5D6B">
        <w:trPr>
          <w:trHeight w:val="319"/>
        </w:trPr>
        <w:tc>
          <w:tcPr>
            <w:tcW w:w="244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2 GHz - 3 GHz </w:t>
            </w:r>
          </w:p>
        </w:tc>
        <w:tc>
          <w:tcPr>
            <w:tcW w:w="1071" w:type="dxa"/>
            <w:tcBorders>
              <w:top w:val="single" w:sz="8" w:space="0" w:color="000000"/>
              <w:left w:val="single" w:sz="8" w:space="0" w:color="000000"/>
              <w:bottom w:val="single" w:sz="8" w:space="0" w:color="000000"/>
              <w:right w:val="single" w:sz="4" w:space="0" w:color="auto"/>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4</w:t>
            </w:r>
          </w:p>
        </w:tc>
        <w:tc>
          <w:tcPr>
            <w:tcW w:w="1142" w:type="dxa"/>
            <w:tcBorders>
              <w:top w:val="nil"/>
              <w:left w:val="single" w:sz="4" w:space="0" w:color="auto"/>
              <w:bottom w:val="nil"/>
              <w:right w:val="single" w:sz="4" w:space="0" w:color="auto"/>
            </w:tcBorders>
          </w:tcPr>
          <w:p w:rsidR="00D31B12" w:rsidRPr="003C5D6B" w:rsidRDefault="00D31B12" w:rsidP="003C5D6B">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7 MHz or less </w:t>
            </w:r>
          </w:p>
        </w:tc>
        <w:tc>
          <w:tcPr>
            <w:tcW w:w="109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w:t>
            </w:r>
          </w:p>
        </w:tc>
      </w:tr>
      <w:tr w:rsidR="00D31B12" w:rsidRPr="003C5D6B" w:rsidTr="003C5D6B">
        <w:trPr>
          <w:trHeight w:val="319"/>
        </w:trPr>
        <w:tc>
          <w:tcPr>
            <w:tcW w:w="244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&gt;3 GHz – 14 GHz </w:t>
            </w:r>
          </w:p>
        </w:tc>
        <w:tc>
          <w:tcPr>
            <w:tcW w:w="1071" w:type="dxa"/>
            <w:tcBorders>
              <w:top w:val="single" w:sz="8" w:space="0" w:color="000000"/>
              <w:left w:val="single" w:sz="8" w:space="0" w:color="000000"/>
              <w:bottom w:val="single" w:sz="8" w:space="0" w:color="000000"/>
              <w:right w:val="single" w:sz="4" w:space="0" w:color="auto"/>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3</w:t>
            </w:r>
          </w:p>
        </w:tc>
        <w:tc>
          <w:tcPr>
            <w:tcW w:w="1142" w:type="dxa"/>
            <w:tcBorders>
              <w:top w:val="nil"/>
              <w:left w:val="single" w:sz="4" w:space="0" w:color="auto"/>
              <w:bottom w:val="nil"/>
              <w:right w:val="single" w:sz="4" w:space="0" w:color="auto"/>
            </w:tcBorders>
          </w:tcPr>
          <w:p w:rsidR="00D31B12" w:rsidRPr="003C5D6B" w:rsidRDefault="00D31B12" w:rsidP="003C5D6B">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&gt;7 MHz -28 MHz </w:t>
            </w:r>
          </w:p>
        </w:tc>
        <w:tc>
          <w:tcPr>
            <w:tcW w:w="109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2</w:t>
            </w:r>
          </w:p>
        </w:tc>
      </w:tr>
      <w:tr w:rsidR="00D31B12" w:rsidRPr="003C5D6B" w:rsidTr="003C5D6B">
        <w:trPr>
          <w:trHeight w:val="319"/>
        </w:trPr>
        <w:tc>
          <w:tcPr>
            <w:tcW w:w="244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&gt;14 GHz – 40 GHz </w:t>
            </w:r>
          </w:p>
        </w:tc>
        <w:tc>
          <w:tcPr>
            <w:tcW w:w="1071" w:type="dxa"/>
            <w:tcBorders>
              <w:top w:val="single" w:sz="8" w:space="0" w:color="000000"/>
              <w:left w:val="single" w:sz="8" w:space="0" w:color="000000"/>
              <w:bottom w:val="single" w:sz="8" w:space="0" w:color="000000"/>
              <w:right w:val="single" w:sz="4" w:space="0" w:color="auto"/>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2</w:t>
            </w:r>
          </w:p>
        </w:tc>
        <w:tc>
          <w:tcPr>
            <w:tcW w:w="1142" w:type="dxa"/>
            <w:tcBorders>
              <w:top w:val="nil"/>
              <w:left w:val="single" w:sz="4" w:space="0" w:color="auto"/>
              <w:bottom w:val="nil"/>
              <w:right w:val="single" w:sz="4" w:space="0" w:color="auto"/>
            </w:tcBorders>
          </w:tcPr>
          <w:p w:rsidR="00D31B12" w:rsidRPr="003C5D6B" w:rsidRDefault="00D31B12" w:rsidP="003C5D6B">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&gt;28 MHz – 56 MHz </w:t>
            </w:r>
          </w:p>
        </w:tc>
        <w:tc>
          <w:tcPr>
            <w:tcW w:w="109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3</w:t>
            </w:r>
          </w:p>
        </w:tc>
      </w:tr>
      <w:tr w:rsidR="00D31B12" w:rsidRPr="003C5D6B" w:rsidTr="003C5D6B">
        <w:trPr>
          <w:trHeight w:val="319"/>
        </w:trPr>
        <w:tc>
          <w:tcPr>
            <w:tcW w:w="244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Above 40 GHz </w:t>
            </w:r>
          </w:p>
        </w:tc>
        <w:tc>
          <w:tcPr>
            <w:tcW w:w="1071" w:type="dxa"/>
            <w:tcBorders>
              <w:top w:val="single" w:sz="8" w:space="0" w:color="000000"/>
              <w:left w:val="single" w:sz="8" w:space="0" w:color="000000"/>
              <w:bottom w:val="single" w:sz="8" w:space="0" w:color="000000"/>
              <w:right w:val="single" w:sz="4" w:space="0" w:color="auto"/>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w:t>
            </w:r>
          </w:p>
        </w:tc>
        <w:tc>
          <w:tcPr>
            <w:tcW w:w="1142" w:type="dxa"/>
            <w:tcBorders>
              <w:top w:val="nil"/>
              <w:left w:val="single" w:sz="4" w:space="0" w:color="auto"/>
              <w:bottom w:val="nil"/>
              <w:right w:val="single" w:sz="4" w:space="0" w:color="auto"/>
            </w:tcBorders>
          </w:tcPr>
          <w:p w:rsidR="00D31B12" w:rsidRPr="003C5D6B" w:rsidRDefault="00D31B12" w:rsidP="003C5D6B">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More than 56 MHz </w:t>
            </w:r>
          </w:p>
        </w:tc>
        <w:tc>
          <w:tcPr>
            <w:tcW w:w="109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4</w:t>
            </w:r>
          </w:p>
        </w:tc>
      </w:tr>
    </w:tbl>
    <w:p w:rsidR="00D31B12" w:rsidRPr="003C5D6B" w:rsidRDefault="00D31B12" w:rsidP="00D31B12">
      <w:pPr>
        <w:pStyle w:val="enumlev1"/>
        <w:rPr>
          <w:rFonts w:ascii="Verdana" w:hAnsi="Verdana"/>
          <w:sz w:val="19"/>
          <w:szCs w:val="19"/>
        </w:rPr>
      </w:pP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13.2</w:t>
      </w:r>
      <w:r w:rsidRPr="003C5D6B">
        <w:rPr>
          <w:rFonts w:asciiTheme="majorBidi" w:hAnsiTheme="majorBidi" w:cstheme="majorBidi"/>
          <w:szCs w:val="22"/>
        </w:rPr>
        <w:tab/>
        <w:t>The bandwidth for each fixed point to point link above 2 GHz shall be calculated based on the channel bandwidth (e.g. frequency pair with each frequency of 3.5 MHz + 3.5 MHz = 7 MHz shall be having BW factor of 1). The frequency diversity shall be charged as a separate link but space diversity and hot standby operations shall not add to the fees.</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13.3</w:t>
      </w:r>
      <w:r w:rsidRPr="003C5D6B">
        <w:rPr>
          <w:rFonts w:asciiTheme="majorBidi" w:hAnsiTheme="majorBidi" w:cstheme="majorBidi"/>
          <w:szCs w:val="22"/>
        </w:rPr>
        <w:tab/>
        <w:t>In exceptional cases where frequency pairs are assigned for all UAE point-to-point links above 2 GHz, the annual spectrum fees shall be ten times the annual spectrum fees for one link (same parameters) based on a re-use factor of 10.</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13.4</w:t>
      </w:r>
      <w:r w:rsidRPr="003C5D6B">
        <w:rPr>
          <w:rFonts w:asciiTheme="majorBidi" w:hAnsiTheme="majorBidi" w:cstheme="majorBidi"/>
          <w:szCs w:val="22"/>
        </w:rPr>
        <w:tab/>
        <w:t xml:space="preserve">The Annual Spectrum Fees for each HF fixed point to point link below 30 MHz shall be calculated as follows: </w:t>
      </w:r>
    </w:p>
    <w:p w:rsidR="00D31B12" w:rsidRPr="003C5D6B" w:rsidRDefault="00D31B12" w:rsidP="00D31B12">
      <w:pPr>
        <w:jc w:val="center"/>
        <w:rPr>
          <w:b/>
          <w:bCs/>
          <w:szCs w:val="19"/>
        </w:rPr>
      </w:pPr>
      <w:r w:rsidRPr="003C5D6B">
        <w:rPr>
          <w:b/>
          <w:szCs w:val="19"/>
        </w:rPr>
        <w:t>Spectrum Fees = BW x 1000</w:t>
      </w:r>
    </w:p>
    <w:p w:rsidR="00D31B12" w:rsidRPr="003C5D6B" w:rsidRDefault="00D31B12" w:rsidP="00D31B12">
      <w:pPr>
        <w:rPr>
          <w:szCs w:val="19"/>
        </w:rPr>
      </w:pPr>
      <w:r w:rsidRPr="003C5D6B">
        <w:rPr>
          <w:szCs w:val="19"/>
        </w:rPr>
        <w:tab/>
        <w:t>Where: BW is in kHz for all channels of that link.</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13.5</w:t>
      </w:r>
      <w:r w:rsidRPr="003C5D6B">
        <w:rPr>
          <w:rFonts w:asciiTheme="majorBidi" w:hAnsiTheme="majorBidi" w:cstheme="majorBidi"/>
          <w:szCs w:val="22"/>
        </w:rPr>
        <w:tab/>
        <w:t>The Annual Spectrum Fees for each VHF and UHF fixed point to point link below 2 GHz shall be calculated as follows:</w:t>
      </w:r>
    </w:p>
    <w:p w:rsidR="00D31B12" w:rsidRPr="003C5D6B" w:rsidRDefault="00D31B12" w:rsidP="00D31B12">
      <w:pPr>
        <w:pStyle w:val="Headingb"/>
        <w:jc w:val="center"/>
        <w:rPr>
          <w:szCs w:val="22"/>
        </w:rPr>
      </w:pPr>
      <w:r w:rsidRPr="003C5D6B">
        <w:rPr>
          <w:szCs w:val="22"/>
        </w:rPr>
        <w:t>Spectrum Fees = BW x 500</w:t>
      </w:r>
    </w:p>
    <w:p w:rsidR="00D31B12" w:rsidRPr="003C5D6B" w:rsidRDefault="00D31B12" w:rsidP="00D31B12">
      <w:pPr>
        <w:rPr>
          <w:szCs w:val="19"/>
        </w:rPr>
      </w:pPr>
      <w:r w:rsidRPr="003C5D6B">
        <w:rPr>
          <w:szCs w:val="19"/>
        </w:rPr>
        <w:tab/>
        <w:t>Where: BW is in kHz for all channels of that link.</w:t>
      </w:r>
    </w:p>
    <w:p w:rsidR="00D31B12" w:rsidRPr="003C5D6B" w:rsidRDefault="00D31B12" w:rsidP="00D31B12">
      <w:pPr>
        <w:pStyle w:val="Arttitle"/>
        <w:spacing w:before="400"/>
      </w:pPr>
      <w:bookmarkStart w:id="532" w:name="_Toc280261836"/>
      <w:bookmarkStart w:id="533" w:name="_Toc280262334"/>
      <w:bookmarkStart w:id="534" w:name="_Toc280272728"/>
      <w:bookmarkStart w:id="535" w:name="_Toc280272907"/>
      <w:bookmarkStart w:id="536" w:name="_Toc284419422"/>
      <w:bookmarkStart w:id="537" w:name="_Toc286315739"/>
      <w:bookmarkStart w:id="538" w:name="_Toc287523815"/>
      <w:r w:rsidRPr="003C5D6B">
        <w:t>Article 14</w:t>
      </w:r>
      <w:r w:rsidRPr="003C5D6B">
        <w:br/>
      </w:r>
      <w:r w:rsidRPr="003C5D6B">
        <w:br/>
      </w:r>
      <w:bookmarkStart w:id="539" w:name="_Toc199215037"/>
      <w:r w:rsidRPr="003C5D6B">
        <w:t>Spectrum fees for FWA, SCADA, telemetry, mesh networks</w:t>
      </w:r>
      <w:bookmarkEnd w:id="532"/>
      <w:bookmarkEnd w:id="533"/>
      <w:bookmarkEnd w:id="534"/>
      <w:bookmarkEnd w:id="535"/>
      <w:bookmarkEnd w:id="536"/>
      <w:bookmarkEnd w:id="537"/>
      <w:bookmarkEnd w:id="538"/>
      <w:bookmarkEnd w:id="539"/>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14.1</w:t>
      </w:r>
      <w:r w:rsidRPr="003C5D6B">
        <w:rPr>
          <w:rFonts w:asciiTheme="majorBidi" w:hAnsiTheme="majorBidi" w:cstheme="majorBidi"/>
          <w:szCs w:val="22"/>
        </w:rPr>
        <w:tab/>
        <w:t xml:space="preserve">The Annual Spectrum Fees for Fixed Wireless Access (including Wireless Local loop and Point to multipoint), SCADA, Telemetry and mesh networks below 1 GHz shall be calculated as follows: </w:t>
      </w:r>
    </w:p>
    <w:p w:rsidR="00D31B12" w:rsidRPr="003C5D6B" w:rsidRDefault="00D31B12" w:rsidP="00D31B12">
      <w:pPr>
        <w:pStyle w:val="Headingb"/>
        <w:jc w:val="center"/>
        <w:rPr>
          <w:szCs w:val="22"/>
        </w:rPr>
      </w:pPr>
      <w:r w:rsidRPr="003C5D6B">
        <w:rPr>
          <w:szCs w:val="22"/>
        </w:rPr>
        <w:t>Spectrum Fees = BW x 2000</w:t>
      </w:r>
    </w:p>
    <w:p w:rsidR="00D31B12" w:rsidRPr="003C5D6B" w:rsidRDefault="00D31B12" w:rsidP="00D31B12">
      <w:pPr>
        <w:rPr>
          <w:rFonts w:asciiTheme="majorBidi" w:hAnsiTheme="majorBidi" w:cstheme="majorBidi"/>
          <w:szCs w:val="22"/>
        </w:rPr>
      </w:pPr>
      <w:r w:rsidRPr="003C5D6B">
        <w:rPr>
          <w:rFonts w:ascii="Verdana" w:hAnsi="Verdana"/>
          <w:sz w:val="19"/>
          <w:szCs w:val="19"/>
        </w:rPr>
        <w:tab/>
      </w:r>
      <w:r w:rsidRPr="003C5D6B">
        <w:rPr>
          <w:rFonts w:asciiTheme="majorBidi" w:hAnsiTheme="majorBidi" w:cstheme="majorBidi"/>
          <w:szCs w:val="22"/>
        </w:rPr>
        <w:t>Where</w:t>
      </w:r>
      <w:r w:rsidRPr="003C5D6B">
        <w:rPr>
          <w:rFonts w:asciiTheme="majorBidi" w:hAnsiTheme="majorBidi" w:cstheme="majorBidi"/>
          <w:b/>
          <w:bCs/>
          <w:szCs w:val="22"/>
        </w:rPr>
        <w:t xml:space="preserve"> BW = </w:t>
      </w:r>
      <w:r w:rsidRPr="003C5D6B">
        <w:rPr>
          <w:rFonts w:asciiTheme="majorBidi" w:hAnsiTheme="majorBidi" w:cstheme="majorBidi"/>
          <w:szCs w:val="22"/>
        </w:rPr>
        <w:t>Total Bandwidth in kHz.</w:t>
      </w:r>
    </w:p>
    <w:p w:rsidR="00D31B12" w:rsidRPr="003C5D6B" w:rsidRDefault="00D31B12" w:rsidP="00D31B12">
      <w:pPr>
        <w:tabs>
          <w:tab w:val="clear" w:pos="794"/>
          <w:tab w:val="clear" w:pos="1191"/>
          <w:tab w:val="clear" w:pos="1588"/>
          <w:tab w:val="clear" w:pos="1985"/>
        </w:tabs>
        <w:overflowPunct/>
        <w:autoSpaceDE/>
        <w:autoSpaceDN/>
        <w:adjustRightInd/>
        <w:spacing w:before="0"/>
        <w:jc w:val="left"/>
        <w:textAlignment w:val="auto"/>
        <w:rPr>
          <w:szCs w:val="19"/>
        </w:rPr>
      </w:pPr>
      <w:r w:rsidRPr="003C5D6B">
        <w:rPr>
          <w:szCs w:val="19"/>
        </w:rPr>
        <w:br w:type="page"/>
      </w:r>
    </w:p>
    <w:p w:rsidR="00D31B12" w:rsidRPr="003C5D6B" w:rsidRDefault="00D31B12" w:rsidP="00D31B12">
      <w:pPr>
        <w:ind w:left="720" w:hanging="720"/>
        <w:rPr>
          <w:szCs w:val="19"/>
        </w:rPr>
      </w:pPr>
      <w:r w:rsidRPr="003C5D6B">
        <w:rPr>
          <w:szCs w:val="19"/>
        </w:rPr>
        <w:lastRenderedPageBreak/>
        <w:t>14.2</w:t>
      </w:r>
      <w:r w:rsidRPr="003C5D6B">
        <w:rPr>
          <w:szCs w:val="19"/>
        </w:rPr>
        <w:tab/>
        <w:t>The Annual Spectrum Fees for Fixed Wireless Access (including Wireless Local loop and Point to multipoint), SCADA, Fixed Broadband and mesh networks between 1 GHz and 4 GHz shall be calculated as follows:</w:t>
      </w:r>
    </w:p>
    <w:p w:rsidR="00D31B12" w:rsidRPr="003C5D6B" w:rsidRDefault="00D31B12" w:rsidP="00D31B12">
      <w:pPr>
        <w:jc w:val="center"/>
        <w:rPr>
          <w:color w:val="000000"/>
          <w:szCs w:val="19"/>
        </w:rPr>
      </w:pPr>
      <w:r w:rsidRPr="003C5D6B">
        <w:rPr>
          <w:b/>
          <w:color w:val="000000"/>
          <w:szCs w:val="19"/>
        </w:rPr>
        <w:t>Spectrum Fees = BW x CF x 5</w:t>
      </w:r>
    </w:p>
    <w:p w:rsidR="00D31B12" w:rsidRPr="003C5D6B" w:rsidRDefault="00D31B12" w:rsidP="00D31B12">
      <w:pPr>
        <w:rPr>
          <w:b/>
          <w:bCs/>
          <w:color w:val="000000"/>
          <w:szCs w:val="19"/>
        </w:rPr>
      </w:pPr>
      <w:r w:rsidRPr="003C5D6B">
        <w:rPr>
          <w:szCs w:val="19"/>
        </w:rPr>
        <w:tab/>
        <w:t>Where</w:t>
      </w:r>
      <w:r w:rsidRPr="003C5D6B">
        <w:rPr>
          <w:b/>
          <w:color w:val="000000"/>
          <w:szCs w:val="19"/>
        </w:rPr>
        <w:t xml:space="preserve"> </w:t>
      </w:r>
    </w:p>
    <w:p w:rsidR="00D31B12" w:rsidRPr="003C5D6B" w:rsidRDefault="00D31B12" w:rsidP="00D31B12">
      <w:pPr>
        <w:ind w:firstLine="720"/>
        <w:rPr>
          <w:color w:val="000000"/>
          <w:szCs w:val="19"/>
        </w:rPr>
      </w:pPr>
      <w:r w:rsidRPr="003C5D6B">
        <w:rPr>
          <w:b/>
          <w:color w:val="000000"/>
          <w:szCs w:val="19"/>
        </w:rPr>
        <w:t xml:space="preserve">BW = </w:t>
      </w:r>
      <w:r w:rsidRPr="003C5D6B">
        <w:rPr>
          <w:color w:val="000000"/>
          <w:szCs w:val="19"/>
        </w:rPr>
        <w:t>Total Bandwidth in MHz</w:t>
      </w:r>
    </w:p>
    <w:p w:rsidR="00D31B12" w:rsidRPr="003C5D6B" w:rsidRDefault="00D31B12" w:rsidP="00D31B12">
      <w:pPr>
        <w:ind w:left="720"/>
        <w:rPr>
          <w:color w:val="000000"/>
          <w:szCs w:val="19"/>
        </w:rPr>
      </w:pPr>
      <w:r w:rsidRPr="003C5D6B">
        <w:rPr>
          <w:b/>
          <w:color w:val="000000"/>
          <w:szCs w:val="19"/>
        </w:rPr>
        <w:t xml:space="preserve">CF= </w:t>
      </w:r>
      <w:r w:rsidRPr="003C5D6B">
        <w:rPr>
          <w:color w:val="000000"/>
          <w:szCs w:val="19"/>
        </w:rPr>
        <w:t xml:space="preserve">Coverage Factor depending on the geographical area which will be determined as follows: </w:t>
      </w:r>
    </w:p>
    <w:p w:rsidR="00D31B12" w:rsidRPr="003C5D6B" w:rsidRDefault="00D31B12" w:rsidP="00D31B12">
      <w:pPr>
        <w:ind w:left="720"/>
        <w:rPr>
          <w:color w:val="000000"/>
          <w:szCs w:val="19"/>
        </w:rPr>
      </w:pPr>
    </w:p>
    <w:tbl>
      <w:tblPr>
        <w:tblW w:w="0" w:type="auto"/>
        <w:tblInd w:w="925" w:type="dxa"/>
        <w:tblBorders>
          <w:top w:val="nil"/>
          <w:left w:val="nil"/>
          <w:bottom w:val="nil"/>
          <w:right w:val="nil"/>
        </w:tblBorders>
        <w:tblLook w:val="0000"/>
      </w:tblPr>
      <w:tblGrid>
        <w:gridCol w:w="681"/>
        <w:gridCol w:w="1475"/>
        <w:gridCol w:w="1523"/>
        <w:gridCol w:w="3268"/>
        <w:gridCol w:w="817"/>
      </w:tblGrid>
      <w:tr w:rsidR="00D31B12" w:rsidRPr="003C5D6B" w:rsidTr="003C5D6B">
        <w:trPr>
          <w:trHeight w:val="319"/>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All UAE </w:t>
            </w:r>
          </w:p>
        </w:tc>
      </w:tr>
      <w:tr w:rsidR="00D31B12" w:rsidRPr="003C5D6B" w:rsidTr="003C5D6B">
        <w:trPr>
          <w:trHeight w:val="319"/>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100</w:t>
            </w:r>
          </w:p>
        </w:tc>
        <w:tc>
          <w:tcPr>
            <w:tcW w:w="1523"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500</w:t>
            </w:r>
          </w:p>
        </w:tc>
        <w:tc>
          <w:tcPr>
            <w:tcW w:w="3268"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2</w:t>
            </w:r>
            <w:r w:rsidRPr="003C5D6B">
              <w:rPr>
                <w:rFonts w:asciiTheme="majorBidi" w:hAnsiTheme="majorBidi" w:cstheme="majorBidi"/>
                <w:sz w:val="16"/>
                <w:szCs w:val="16"/>
              </w:rPr>
              <w:t xml:space="preserve"> </w:t>
            </w:r>
            <w:r w:rsidRPr="003C5D6B">
              <w:rPr>
                <w:rFonts w:asciiTheme="majorBidi" w:hAnsiTheme="majorBidi" w:cstheme="majorBidi"/>
                <w:szCs w:val="22"/>
              </w:rPr>
              <w:t>000 for Abu Dhabi or Dubai</w:t>
            </w:r>
          </w:p>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1</w:t>
            </w:r>
            <w:r w:rsidRPr="003C5D6B">
              <w:rPr>
                <w:rFonts w:asciiTheme="majorBidi" w:hAnsiTheme="majorBidi" w:cstheme="majorBidi"/>
                <w:sz w:val="16"/>
                <w:szCs w:val="16"/>
              </w:rPr>
              <w:t xml:space="preserve"> </w:t>
            </w:r>
            <w:r w:rsidRPr="003C5D6B">
              <w:rPr>
                <w:rFonts w:asciiTheme="majorBidi" w:hAnsiTheme="majorBidi" w:cstheme="majorBidi"/>
                <w:szCs w:val="22"/>
              </w:rPr>
              <w:t>000 for other Emirates</w:t>
            </w:r>
          </w:p>
        </w:tc>
        <w:tc>
          <w:tcPr>
            <w:tcW w:w="81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4</w:t>
            </w:r>
            <w:r w:rsidRPr="003C5D6B">
              <w:rPr>
                <w:rFonts w:asciiTheme="majorBidi" w:hAnsiTheme="majorBidi" w:cstheme="majorBidi"/>
                <w:sz w:val="16"/>
                <w:szCs w:val="16"/>
              </w:rPr>
              <w:t xml:space="preserve"> </w:t>
            </w:r>
            <w:r w:rsidRPr="003C5D6B">
              <w:rPr>
                <w:rFonts w:asciiTheme="majorBidi" w:hAnsiTheme="majorBidi" w:cstheme="majorBidi"/>
                <w:szCs w:val="22"/>
              </w:rPr>
              <w:t>000</w:t>
            </w:r>
          </w:p>
        </w:tc>
      </w:tr>
    </w:tbl>
    <w:p w:rsidR="00D31B12" w:rsidRPr="003C5D6B" w:rsidRDefault="00D31B12" w:rsidP="00D31B12">
      <w:pPr>
        <w:pStyle w:val="Arttitle"/>
        <w:spacing w:before="400"/>
      </w:pPr>
      <w:bookmarkStart w:id="540" w:name="_Toc280261837"/>
      <w:bookmarkStart w:id="541" w:name="_Toc280262335"/>
      <w:bookmarkStart w:id="542" w:name="_Toc280272729"/>
      <w:bookmarkStart w:id="543" w:name="_Toc280272908"/>
      <w:bookmarkStart w:id="544" w:name="_Toc284419423"/>
      <w:bookmarkStart w:id="545" w:name="_Toc286315740"/>
      <w:bookmarkStart w:id="546" w:name="_Toc287523816"/>
      <w:r w:rsidRPr="003C5D6B">
        <w:t xml:space="preserve">Article </w:t>
      </w:r>
      <w:r w:rsidRPr="003C5D6B">
        <w:rPr>
          <w:color w:val="000000"/>
        </w:rPr>
        <w:t>15</w:t>
      </w:r>
      <w:r w:rsidRPr="003C5D6B">
        <w:rPr>
          <w:color w:val="000000"/>
        </w:rPr>
        <w:br/>
      </w:r>
      <w:r w:rsidRPr="003C5D6B">
        <w:rPr>
          <w:color w:val="000000"/>
        </w:rPr>
        <w:br/>
      </w:r>
      <w:bookmarkStart w:id="547" w:name="_Toc199215038"/>
      <w:r w:rsidRPr="003C5D6B">
        <w:t>Spectrum fees for mobile broadband wireless access</w:t>
      </w:r>
      <w:bookmarkEnd w:id="540"/>
      <w:bookmarkEnd w:id="541"/>
      <w:bookmarkEnd w:id="542"/>
      <w:bookmarkEnd w:id="543"/>
      <w:bookmarkEnd w:id="544"/>
      <w:bookmarkEnd w:id="545"/>
      <w:bookmarkEnd w:id="546"/>
      <w:bookmarkEnd w:id="547"/>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15.1</w:t>
      </w:r>
      <w:r w:rsidRPr="003C5D6B">
        <w:rPr>
          <w:rFonts w:asciiTheme="majorBidi" w:hAnsiTheme="majorBidi" w:cstheme="majorBidi"/>
          <w:szCs w:val="22"/>
        </w:rPr>
        <w:tab/>
        <w:t xml:space="preserve">The Annual Spectrum Fees for Mobile Broadband Wireless Access between 2 GHz to 4 GHz shall be calculated as follows: </w:t>
      </w:r>
    </w:p>
    <w:p w:rsidR="00D31B12" w:rsidRPr="003C5D6B" w:rsidRDefault="00D31B12" w:rsidP="00D31B12">
      <w:pPr>
        <w:jc w:val="center"/>
        <w:rPr>
          <w:color w:val="000000"/>
          <w:szCs w:val="19"/>
        </w:rPr>
      </w:pPr>
      <w:r w:rsidRPr="003C5D6B">
        <w:rPr>
          <w:b/>
          <w:color w:val="000000"/>
          <w:szCs w:val="19"/>
        </w:rPr>
        <w:t>Spectrum Fees = BW x CF x 10</w:t>
      </w:r>
    </w:p>
    <w:p w:rsidR="00D31B12" w:rsidRPr="003C5D6B" w:rsidRDefault="00D31B12" w:rsidP="00D31B12">
      <w:pPr>
        <w:ind w:firstLine="720"/>
        <w:rPr>
          <w:b/>
          <w:bCs/>
          <w:color w:val="000000"/>
          <w:szCs w:val="19"/>
        </w:rPr>
      </w:pPr>
      <w:r w:rsidRPr="003C5D6B">
        <w:rPr>
          <w:szCs w:val="19"/>
        </w:rPr>
        <w:t>Where</w:t>
      </w:r>
      <w:r w:rsidRPr="003C5D6B">
        <w:rPr>
          <w:b/>
          <w:color w:val="000000"/>
          <w:szCs w:val="19"/>
        </w:rPr>
        <w:t xml:space="preserve"> </w:t>
      </w:r>
    </w:p>
    <w:p w:rsidR="00D31B12" w:rsidRPr="003C5D6B" w:rsidRDefault="00D31B12" w:rsidP="00D31B12">
      <w:pPr>
        <w:ind w:firstLine="720"/>
        <w:rPr>
          <w:color w:val="000000"/>
          <w:szCs w:val="19"/>
        </w:rPr>
      </w:pPr>
      <w:r w:rsidRPr="003C5D6B">
        <w:rPr>
          <w:b/>
          <w:color w:val="000000"/>
          <w:szCs w:val="19"/>
        </w:rPr>
        <w:t xml:space="preserve">BW = </w:t>
      </w:r>
      <w:r w:rsidRPr="003C5D6B">
        <w:rPr>
          <w:color w:val="000000"/>
          <w:szCs w:val="19"/>
        </w:rPr>
        <w:t>Total Bandwidth in MHz</w:t>
      </w:r>
    </w:p>
    <w:p w:rsidR="00D31B12" w:rsidRPr="003C5D6B" w:rsidRDefault="00D31B12" w:rsidP="00D31B12">
      <w:pPr>
        <w:ind w:left="720"/>
        <w:rPr>
          <w:color w:val="000000"/>
          <w:szCs w:val="19"/>
        </w:rPr>
      </w:pPr>
      <w:r w:rsidRPr="003C5D6B">
        <w:rPr>
          <w:b/>
          <w:color w:val="000000"/>
          <w:szCs w:val="19"/>
        </w:rPr>
        <w:t xml:space="preserve">CF= </w:t>
      </w:r>
      <w:r w:rsidRPr="003C5D6B">
        <w:rPr>
          <w:color w:val="000000"/>
          <w:szCs w:val="19"/>
        </w:rPr>
        <w:t xml:space="preserve">Coverage Factor depending on the geographical area which will be determined as follows: </w:t>
      </w:r>
    </w:p>
    <w:p w:rsidR="00D31B12" w:rsidRPr="003C5D6B" w:rsidRDefault="00D31B12" w:rsidP="00D31B12"/>
    <w:tbl>
      <w:tblPr>
        <w:tblW w:w="0" w:type="auto"/>
        <w:tblInd w:w="925" w:type="dxa"/>
        <w:tblBorders>
          <w:top w:val="nil"/>
          <w:left w:val="nil"/>
          <w:bottom w:val="nil"/>
          <w:right w:val="nil"/>
        </w:tblBorders>
        <w:tblLook w:val="0000"/>
      </w:tblPr>
      <w:tblGrid>
        <w:gridCol w:w="681"/>
        <w:gridCol w:w="1475"/>
        <w:gridCol w:w="1523"/>
        <w:gridCol w:w="3268"/>
        <w:gridCol w:w="817"/>
      </w:tblGrid>
      <w:tr w:rsidR="00D31B12" w:rsidRPr="003C5D6B" w:rsidTr="003C5D6B">
        <w:trPr>
          <w:trHeight w:val="319"/>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All UAE </w:t>
            </w:r>
          </w:p>
        </w:tc>
      </w:tr>
      <w:tr w:rsidR="00D31B12" w:rsidRPr="003C5D6B" w:rsidTr="003C5D6B">
        <w:trPr>
          <w:trHeight w:val="319"/>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100</w:t>
            </w:r>
          </w:p>
        </w:tc>
        <w:tc>
          <w:tcPr>
            <w:tcW w:w="1523"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500</w:t>
            </w:r>
          </w:p>
        </w:tc>
        <w:tc>
          <w:tcPr>
            <w:tcW w:w="3268"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2</w:t>
            </w:r>
            <w:r w:rsidRPr="003C5D6B">
              <w:rPr>
                <w:rFonts w:asciiTheme="majorBidi" w:hAnsiTheme="majorBidi" w:cstheme="majorBidi"/>
                <w:sz w:val="16"/>
                <w:szCs w:val="16"/>
              </w:rPr>
              <w:t xml:space="preserve"> </w:t>
            </w:r>
            <w:r w:rsidRPr="003C5D6B">
              <w:rPr>
                <w:rFonts w:asciiTheme="majorBidi" w:hAnsiTheme="majorBidi" w:cstheme="majorBidi"/>
                <w:szCs w:val="22"/>
              </w:rPr>
              <w:t>000 for Abu Dhabi or Dubai</w:t>
            </w:r>
          </w:p>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1</w:t>
            </w:r>
            <w:r w:rsidRPr="003C5D6B">
              <w:rPr>
                <w:rFonts w:asciiTheme="majorBidi" w:hAnsiTheme="majorBidi" w:cstheme="majorBidi"/>
                <w:sz w:val="16"/>
                <w:szCs w:val="16"/>
              </w:rPr>
              <w:t xml:space="preserve"> </w:t>
            </w:r>
            <w:r w:rsidRPr="003C5D6B">
              <w:rPr>
                <w:rFonts w:asciiTheme="majorBidi" w:hAnsiTheme="majorBidi" w:cstheme="majorBidi"/>
                <w:szCs w:val="22"/>
              </w:rPr>
              <w:t>000 for other Emirates</w:t>
            </w:r>
          </w:p>
        </w:tc>
        <w:tc>
          <w:tcPr>
            <w:tcW w:w="817" w:type="dxa"/>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4</w:t>
            </w:r>
            <w:r w:rsidRPr="003C5D6B">
              <w:rPr>
                <w:rFonts w:asciiTheme="majorBidi" w:hAnsiTheme="majorBidi" w:cstheme="majorBidi"/>
                <w:sz w:val="16"/>
                <w:szCs w:val="16"/>
              </w:rPr>
              <w:t xml:space="preserve"> </w:t>
            </w:r>
            <w:r w:rsidRPr="003C5D6B">
              <w:rPr>
                <w:rFonts w:asciiTheme="majorBidi" w:hAnsiTheme="majorBidi" w:cstheme="majorBidi"/>
                <w:szCs w:val="22"/>
              </w:rPr>
              <w:t>000</w:t>
            </w:r>
          </w:p>
        </w:tc>
      </w:tr>
    </w:tbl>
    <w:p w:rsidR="00D31B12" w:rsidRPr="003C5D6B" w:rsidRDefault="00D31B12" w:rsidP="00D31B12">
      <w:pPr>
        <w:pStyle w:val="Arttitle"/>
        <w:spacing w:before="400"/>
      </w:pPr>
      <w:bookmarkStart w:id="548" w:name="_Toc280261838"/>
      <w:bookmarkStart w:id="549" w:name="_Toc280262336"/>
      <w:bookmarkStart w:id="550" w:name="_Toc280272730"/>
      <w:bookmarkStart w:id="551" w:name="_Toc280272909"/>
      <w:bookmarkStart w:id="552" w:name="_Toc284419424"/>
      <w:bookmarkStart w:id="553" w:name="_Toc286315741"/>
      <w:bookmarkStart w:id="554" w:name="_Toc287523817"/>
      <w:r w:rsidRPr="003C5D6B">
        <w:t>Article 16</w:t>
      </w:r>
      <w:r w:rsidRPr="003C5D6B">
        <w:br/>
      </w:r>
      <w:r w:rsidRPr="003C5D6B">
        <w:br/>
      </w:r>
      <w:bookmarkStart w:id="555" w:name="_Toc199215039"/>
      <w:r w:rsidRPr="003C5D6B">
        <w:t>Spectrum fees for optical and laser links</w:t>
      </w:r>
      <w:bookmarkEnd w:id="548"/>
      <w:bookmarkEnd w:id="549"/>
      <w:bookmarkEnd w:id="550"/>
      <w:bookmarkEnd w:id="551"/>
      <w:bookmarkEnd w:id="552"/>
      <w:bookmarkEnd w:id="553"/>
      <w:bookmarkEnd w:id="554"/>
      <w:bookmarkEnd w:id="555"/>
    </w:p>
    <w:p w:rsidR="00D31B12" w:rsidRPr="003C5D6B" w:rsidRDefault="00D31B12" w:rsidP="00D31B12">
      <w:pPr>
        <w:rPr>
          <w:b/>
          <w:bCs/>
          <w:color w:val="000000"/>
          <w:szCs w:val="19"/>
        </w:rPr>
      </w:pPr>
      <w:r w:rsidRPr="003C5D6B">
        <w:rPr>
          <w:szCs w:val="19"/>
        </w:rPr>
        <w:t xml:space="preserve">The Annual Fees for free space optical and laser links shall be </w:t>
      </w:r>
      <w:r w:rsidRPr="003C5D6B">
        <w:rPr>
          <w:color w:val="000000"/>
          <w:szCs w:val="19"/>
        </w:rPr>
        <w:t>fifty (50) Dirhams.</w:t>
      </w:r>
      <w:r w:rsidRPr="003C5D6B">
        <w:rPr>
          <w:b/>
          <w:color w:val="000000"/>
          <w:szCs w:val="19"/>
        </w:rPr>
        <w:t xml:space="preserve"> </w:t>
      </w:r>
    </w:p>
    <w:p w:rsidR="00D31B12" w:rsidRPr="003C5D6B" w:rsidRDefault="00D31B12" w:rsidP="00D31B12">
      <w:pPr>
        <w:pStyle w:val="Arttitle"/>
        <w:spacing w:before="400"/>
      </w:pPr>
      <w:bookmarkStart w:id="556" w:name="_Toc280261839"/>
      <w:bookmarkStart w:id="557" w:name="_Toc280262337"/>
      <w:bookmarkStart w:id="558" w:name="_Toc280272731"/>
      <w:bookmarkStart w:id="559" w:name="_Toc280272910"/>
      <w:bookmarkStart w:id="560" w:name="_Toc284419425"/>
      <w:bookmarkStart w:id="561" w:name="_Toc286315742"/>
      <w:bookmarkStart w:id="562" w:name="_Toc287523818"/>
      <w:r w:rsidRPr="003C5D6B">
        <w:t>Article 17</w:t>
      </w:r>
      <w:r w:rsidRPr="003C5D6B">
        <w:br/>
      </w:r>
      <w:r w:rsidRPr="003C5D6B">
        <w:br/>
      </w:r>
      <w:bookmarkStart w:id="563" w:name="_Toc199215040"/>
      <w:r w:rsidRPr="003C5D6B">
        <w:t>Spectrum fees for WLAN and cordless telephony</w:t>
      </w:r>
      <w:bookmarkEnd w:id="556"/>
      <w:bookmarkEnd w:id="557"/>
      <w:bookmarkEnd w:id="558"/>
      <w:bookmarkEnd w:id="559"/>
      <w:bookmarkEnd w:id="560"/>
      <w:bookmarkEnd w:id="561"/>
      <w:bookmarkEnd w:id="562"/>
      <w:bookmarkEnd w:id="563"/>
    </w:p>
    <w:p w:rsidR="00D31B12" w:rsidRPr="003C5D6B" w:rsidRDefault="00D31B12" w:rsidP="00D31B12">
      <w:pPr>
        <w:rPr>
          <w:b/>
          <w:bCs/>
          <w:color w:val="000000"/>
          <w:szCs w:val="19"/>
        </w:rPr>
      </w:pPr>
      <w:r w:rsidRPr="003C5D6B">
        <w:rPr>
          <w:szCs w:val="19"/>
        </w:rPr>
        <w:t>The indoor use of WLAN and DECT based cordless telephony shall be exempted from the Spectrum Fees.</w:t>
      </w:r>
      <w:r w:rsidRPr="003C5D6B">
        <w:rPr>
          <w:b/>
          <w:color w:val="000000"/>
          <w:szCs w:val="19"/>
        </w:rPr>
        <w:t xml:space="preserve"> </w:t>
      </w:r>
    </w:p>
    <w:p w:rsidR="00D31B12" w:rsidRPr="003C5D6B" w:rsidRDefault="00D31B12" w:rsidP="00D31B12">
      <w:pPr>
        <w:pStyle w:val="Arttitle"/>
        <w:spacing w:before="400"/>
      </w:pPr>
      <w:bookmarkStart w:id="564" w:name="_Toc280261840"/>
      <w:bookmarkStart w:id="565" w:name="_Toc280262338"/>
      <w:bookmarkStart w:id="566" w:name="_Toc280272732"/>
      <w:bookmarkStart w:id="567" w:name="_Toc280272911"/>
      <w:bookmarkStart w:id="568" w:name="_Toc284419426"/>
      <w:bookmarkStart w:id="569" w:name="_Toc286315743"/>
      <w:bookmarkStart w:id="570" w:name="_Toc287523819"/>
      <w:r w:rsidRPr="003C5D6B">
        <w:lastRenderedPageBreak/>
        <w:t>Article 18</w:t>
      </w:r>
      <w:r w:rsidRPr="003C5D6B">
        <w:br/>
      </w:r>
      <w:r w:rsidRPr="003C5D6B">
        <w:br/>
      </w:r>
      <w:bookmarkStart w:id="571" w:name="_Toc199215041"/>
      <w:r w:rsidRPr="003C5D6B">
        <w:t>Spectrum fees for GMPCS</w:t>
      </w:r>
      <w:bookmarkEnd w:id="564"/>
      <w:bookmarkEnd w:id="565"/>
      <w:bookmarkEnd w:id="566"/>
      <w:bookmarkEnd w:id="567"/>
      <w:bookmarkEnd w:id="568"/>
      <w:bookmarkEnd w:id="569"/>
      <w:bookmarkEnd w:id="570"/>
      <w:bookmarkEnd w:id="571"/>
    </w:p>
    <w:p w:rsidR="00D31B12" w:rsidRPr="003C5D6B" w:rsidRDefault="00D31B12" w:rsidP="00D31B12">
      <w:pPr>
        <w:rPr>
          <w:szCs w:val="19"/>
        </w:rPr>
      </w:pPr>
      <w:r w:rsidRPr="003C5D6B">
        <w:rPr>
          <w:szCs w:val="19"/>
        </w:rPr>
        <w:t xml:space="preserve">The Annual Spectrum Fees for Global Mobile Personal Communication Service (GMPCS) shall be calculated as follows: </w:t>
      </w:r>
    </w:p>
    <w:p w:rsidR="00D31B12" w:rsidRPr="003C5D6B" w:rsidRDefault="00D31B12" w:rsidP="00D31B12">
      <w:pPr>
        <w:jc w:val="center"/>
        <w:rPr>
          <w:b/>
          <w:bCs/>
          <w:color w:val="000000"/>
          <w:szCs w:val="19"/>
        </w:rPr>
      </w:pPr>
      <w:r w:rsidRPr="003C5D6B">
        <w:rPr>
          <w:b/>
          <w:color w:val="000000"/>
          <w:szCs w:val="19"/>
        </w:rPr>
        <w:t>Spectrum Fees = BW x 5000</w:t>
      </w:r>
    </w:p>
    <w:p w:rsidR="00D31B12" w:rsidRPr="003C5D6B" w:rsidRDefault="00D31B12" w:rsidP="00D31B12">
      <w:pPr>
        <w:rPr>
          <w:color w:val="000000"/>
          <w:szCs w:val="19"/>
        </w:rPr>
      </w:pPr>
      <w:r w:rsidRPr="003C5D6B">
        <w:rPr>
          <w:color w:val="000000"/>
          <w:szCs w:val="19"/>
        </w:rPr>
        <w:tab/>
        <w:t xml:space="preserve">Where </w:t>
      </w:r>
      <w:r w:rsidRPr="003C5D6B">
        <w:rPr>
          <w:b/>
          <w:color w:val="000000"/>
          <w:szCs w:val="19"/>
        </w:rPr>
        <w:t xml:space="preserve">BW= </w:t>
      </w:r>
      <w:r w:rsidRPr="003C5D6B">
        <w:rPr>
          <w:color w:val="000000"/>
          <w:szCs w:val="19"/>
        </w:rPr>
        <w:t>Bandwidth Factor based on 2x1 MHz Bandwidth used.</w:t>
      </w:r>
    </w:p>
    <w:p w:rsidR="00D31B12" w:rsidRPr="003C5D6B" w:rsidRDefault="00D31B12" w:rsidP="00D31B12">
      <w:pPr>
        <w:tabs>
          <w:tab w:val="clear" w:pos="794"/>
          <w:tab w:val="clear" w:pos="1191"/>
          <w:tab w:val="clear" w:pos="1588"/>
          <w:tab w:val="clear" w:pos="1985"/>
        </w:tabs>
        <w:overflowPunct/>
        <w:autoSpaceDE/>
        <w:autoSpaceDN/>
        <w:adjustRightInd/>
        <w:spacing w:before="0"/>
        <w:jc w:val="left"/>
        <w:textAlignment w:val="auto"/>
        <w:rPr>
          <w:color w:val="000000"/>
          <w:szCs w:val="19"/>
        </w:rPr>
      </w:pPr>
    </w:p>
    <w:p w:rsidR="00D31B12" w:rsidRPr="003C5D6B" w:rsidRDefault="00D31B12" w:rsidP="00D31B12">
      <w:pPr>
        <w:spacing w:before="0"/>
        <w:rPr>
          <w:color w:val="000000"/>
          <w:sz w:val="2"/>
          <w:szCs w:val="19"/>
        </w:rPr>
      </w:pPr>
    </w:p>
    <w:tbl>
      <w:tblPr>
        <w:tblW w:w="0" w:type="auto"/>
        <w:jc w:val="center"/>
        <w:tblInd w:w="1440" w:type="dxa"/>
        <w:tblBorders>
          <w:top w:val="nil"/>
          <w:left w:val="nil"/>
          <w:bottom w:val="nil"/>
          <w:right w:val="nil"/>
        </w:tblBorders>
        <w:tblLook w:val="0000"/>
      </w:tblPr>
      <w:tblGrid>
        <w:gridCol w:w="3333"/>
        <w:gridCol w:w="1261"/>
      </w:tblGrid>
      <w:tr w:rsidR="00D31B12" w:rsidRPr="003C5D6B" w:rsidTr="003C5D6B">
        <w:trPr>
          <w:trHeight w:val="332"/>
          <w:tblHeader/>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 xml:space="preserve">Bandwidth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BW Factor</w:t>
            </w:r>
          </w:p>
        </w:tc>
      </w:tr>
      <w:tr w:rsidR="00D31B12"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Less than 2 x 1 MHz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3</w:t>
            </w:r>
          </w:p>
        </w:tc>
      </w:tr>
      <w:tr w:rsidR="00D31B12"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2 x 1 MHz – Less than 4 x 1 MHz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6</w:t>
            </w:r>
          </w:p>
        </w:tc>
      </w:tr>
      <w:tr w:rsidR="00D31B12"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4 x 1 MHz – Less than 6 x 1 MHz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9</w:t>
            </w:r>
          </w:p>
        </w:tc>
      </w:tr>
      <w:tr w:rsidR="00D31B12"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6 x 1 MHz – Less than 8 x 1 MHz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12</w:t>
            </w:r>
          </w:p>
        </w:tc>
      </w:tr>
      <w:tr w:rsidR="00D31B12"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8 x 1 MHz – Less than 10 x 1 MHz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15</w:t>
            </w:r>
          </w:p>
        </w:tc>
      </w:tr>
      <w:tr w:rsidR="00D31B12"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10 x 1 MHz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18</w:t>
            </w:r>
          </w:p>
        </w:tc>
      </w:tr>
      <w:tr w:rsidR="00D31B12"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 xml:space="preserve">For each additional 2x1 MHz </w:t>
            </w:r>
          </w:p>
        </w:tc>
        <w:tc>
          <w:tcPr>
            <w:tcW w:w="0" w:type="auto"/>
            <w:tcBorders>
              <w:top w:val="single" w:sz="8" w:space="0" w:color="000000"/>
              <w:left w:val="single" w:sz="8" w:space="0" w:color="000000"/>
              <w:bottom w:val="single" w:sz="8" w:space="0" w:color="000000"/>
              <w:right w:val="single" w:sz="8" w:space="0" w:color="000000"/>
            </w:tcBorders>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3</w:t>
            </w:r>
          </w:p>
        </w:tc>
      </w:tr>
    </w:tbl>
    <w:p w:rsidR="00D31B12" w:rsidRPr="003C5D6B" w:rsidRDefault="00D31B12" w:rsidP="00D31B12">
      <w:pPr>
        <w:pStyle w:val="Arttitle"/>
        <w:spacing w:before="400"/>
      </w:pPr>
      <w:bookmarkStart w:id="572" w:name="_Toc280261841"/>
      <w:bookmarkStart w:id="573" w:name="_Toc280262339"/>
      <w:bookmarkStart w:id="574" w:name="_Toc280272733"/>
      <w:bookmarkStart w:id="575" w:name="_Toc280272912"/>
      <w:bookmarkStart w:id="576" w:name="_Toc284419427"/>
      <w:bookmarkStart w:id="577" w:name="_Toc286315744"/>
      <w:bookmarkStart w:id="578" w:name="_Toc287523820"/>
      <w:r w:rsidRPr="003C5D6B">
        <w:t>Article 19</w:t>
      </w:r>
      <w:r w:rsidRPr="003C5D6B">
        <w:br/>
      </w:r>
      <w:r w:rsidRPr="003C5D6B">
        <w:br/>
      </w:r>
      <w:bookmarkStart w:id="579" w:name="_Toc199215042"/>
      <w:r w:rsidRPr="003C5D6B">
        <w:t>Spectrum fees for amateur</w:t>
      </w:r>
      <w:bookmarkEnd w:id="572"/>
      <w:bookmarkEnd w:id="573"/>
      <w:bookmarkEnd w:id="574"/>
      <w:bookmarkEnd w:id="575"/>
      <w:bookmarkEnd w:id="576"/>
      <w:bookmarkEnd w:id="577"/>
      <w:bookmarkEnd w:id="578"/>
      <w:bookmarkEnd w:id="579"/>
    </w:p>
    <w:p w:rsidR="00D31B12" w:rsidRPr="003C5D6B" w:rsidRDefault="00D31B12" w:rsidP="00D31B12">
      <w:pPr>
        <w:rPr>
          <w:szCs w:val="19"/>
        </w:rPr>
      </w:pPr>
      <w:r w:rsidRPr="003C5D6B">
        <w:rPr>
          <w:szCs w:val="19"/>
        </w:rPr>
        <w:t xml:space="preserve">The Annual fees for Amateur license shall be Two Hundred (200) AED per wireless equipment payable in advance. </w:t>
      </w:r>
    </w:p>
    <w:p w:rsidR="00D31B12" w:rsidRPr="003C5D6B" w:rsidRDefault="00D31B12" w:rsidP="00D31B12">
      <w:pPr>
        <w:pStyle w:val="Arttitle"/>
        <w:spacing w:before="400"/>
      </w:pPr>
      <w:bookmarkStart w:id="580" w:name="_Toc280261842"/>
      <w:bookmarkStart w:id="581" w:name="_Toc280262340"/>
      <w:bookmarkStart w:id="582" w:name="_Toc280272734"/>
      <w:bookmarkStart w:id="583" w:name="_Toc280272913"/>
      <w:bookmarkStart w:id="584" w:name="_Toc284419428"/>
      <w:bookmarkStart w:id="585" w:name="_Toc286315745"/>
      <w:bookmarkStart w:id="586" w:name="_Toc287523821"/>
      <w:r w:rsidRPr="003C5D6B">
        <w:t>Article 20</w:t>
      </w:r>
      <w:r w:rsidRPr="003C5D6B">
        <w:br/>
      </w:r>
      <w:r w:rsidRPr="003C5D6B">
        <w:br/>
      </w:r>
      <w:bookmarkStart w:id="587" w:name="_Toc199215043"/>
      <w:r w:rsidRPr="003C5D6B">
        <w:t xml:space="preserve">Spectrum fees for aeronautical radio </w:t>
      </w:r>
      <w:bookmarkEnd w:id="587"/>
      <w:r w:rsidRPr="003C5D6B">
        <w:t>stations</w:t>
      </w:r>
      <w:bookmarkEnd w:id="580"/>
      <w:bookmarkEnd w:id="581"/>
      <w:bookmarkEnd w:id="582"/>
      <w:bookmarkEnd w:id="583"/>
      <w:bookmarkEnd w:id="584"/>
      <w:bookmarkEnd w:id="585"/>
      <w:bookmarkEnd w:id="586"/>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20.1</w:t>
      </w:r>
      <w:r w:rsidRPr="003C5D6B">
        <w:rPr>
          <w:rFonts w:asciiTheme="majorBidi" w:hAnsiTheme="majorBidi" w:cstheme="majorBidi"/>
          <w:szCs w:val="22"/>
        </w:rPr>
        <w:tab/>
        <w:t>The annual fees for each aircraft and helicopter license shall be one thousand (1000) Dirhams. This shall deem to include all Wireless Equipment onboard.</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20.2</w:t>
      </w:r>
      <w:r w:rsidRPr="003C5D6B">
        <w:rPr>
          <w:rFonts w:asciiTheme="majorBidi" w:hAnsiTheme="majorBidi" w:cstheme="majorBidi"/>
          <w:szCs w:val="22"/>
        </w:rPr>
        <w:tab/>
        <w:t xml:space="preserve">The annual fees for gliders and balloons shall be three hundred (300) Dirhams. </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20.3</w:t>
      </w:r>
      <w:r w:rsidRPr="003C5D6B">
        <w:rPr>
          <w:rFonts w:asciiTheme="majorBidi" w:hAnsiTheme="majorBidi" w:cstheme="majorBidi"/>
          <w:szCs w:val="22"/>
        </w:rPr>
        <w:tab/>
        <w:t>The annual fees for ground to air links shall be in accordance with the private mobile radio. The ground to air HF links shall be charged in accordance with HF fixed point to point links.</w:t>
      </w:r>
    </w:p>
    <w:p w:rsidR="00D31B12" w:rsidRPr="003C5D6B" w:rsidRDefault="00D31B12" w:rsidP="00D31B12">
      <w:pPr>
        <w:pStyle w:val="enumlev1"/>
        <w:rPr>
          <w:rFonts w:asciiTheme="majorBidi" w:hAnsiTheme="majorBidi" w:cstheme="majorBidi"/>
          <w:color w:val="000000"/>
          <w:szCs w:val="22"/>
        </w:rPr>
      </w:pPr>
      <w:r w:rsidRPr="003C5D6B">
        <w:rPr>
          <w:rFonts w:asciiTheme="majorBidi" w:hAnsiTheme="majorBidi" w:cstheme="majorBidi"/>
          <w:color w:val="000000"/>
          <w:szCs w:val="22"/>
        </w:rPr>
        <w:t>20.4</w:t>
      </w:r>
      <w:r w:rsidRPr="003C5D6B">
        <w:rPr>
          <w:rFonts w:asciiTheme="majorBidi" w:hAnsiTheme="majorBidi" w:cstheme="majorBidi"/>
          <w:color w:val="000000"/>
          <w:szCs w:val="22"/>
        </w:rPr>
        <w:tab/>
        <w:t xml:space="preserve">The annual fees for High Altitude Platform System (HAPS) shall be considered under satellite services for charging. </w:t>
      </w:r>
    </w:p>
    <w:p w:rsidR="00D31B12" w:rsidRPr="003C5D6B" w:rsidRDefault="00D31B12" w:rsidP="00D31B12">
      <w:pPr>
        <w:pStyle w:val="Arttitle"/>
      </w:pPr>
      <w:bookmarkStart w:id="588" w:name="_Toc280261843"/>
      <w:bookmarkStart w:id="589" w:name="_Toc280262341"/>
      <w:bookmarkStart w:id="590" w:name="_Toc280272735"/>
      <w:bookmarkStart w:id="591" w:name="_Toc280272914"/>
      <w:bookmarkStart w:id="592" w:name="_Toc284419429"/>
      <w:bookmarkStart w:id="593" w:name="_Toc286315746"/>
      <w:bookmarkStart w:id="594" w:name="_Toc287523822"/>
      <w:r w:rsidRPr="003C5D6B">
        <w:t>Article 21</w:t>
      </w:r>
      <w:r w:rsidRPr="003C5D6B">
        <w:br/>
      </w:r>
      <w:r w:rsidRPr="003C5D6B">
        <w:br/>
      </w:r>
      <w:bookmarkStart w:id="595" w:name="_Toc199215044"/>
      <w:r w:rsidRPr="003C5D6B">
        <w:t>Spectrum fees for maritime radio services</w:t>
      </w:r>
      <w:bookmarkEnd w:id="588"/>
      <w:bookmarkEnd w:id="589"/>
      <w:bookmarkEnd w:id="590"/>
      <w:bookmarkEnd w:id="591"/>
      <w:bookmarkEnd w:id="592"/>
      <w:bookmarkEnd w:id="593"/>
      <w:bookmarkEnd w:id="594"/>
      <w:bookmarkEnd w:id="595"/>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21.1</w:t>
      </w:r>
      <w:r w:rsidRPr="003C5D6B">
        <w:rPr>
          <w:rFonts w:asciiTheme="majorBidi" w:hAnsiTheme="majorBidi" w:cstheme="majorBidi"/>
          <w:szCs w:val="22"/>
        </w:rPr>
        <w:tab/>
        <w:t xml:space="preserve">The annual fees for each small boat license shall be two hundred (200) Dirhams. </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21.2</w:t>
      </w:r>
      <w:r w:rsidRPr="003C5D6B">
        <w:rPr>
          <w:rFonts w:asciiTheme="majorBidi" w:hAnsiTheme="majorBidi" w:cstheme="majorBidi"/>
          <w:szCs w:val="22"/>
        </w:rPr>
        <w:tab/>
        <w:t xml:space="preserve">The annual fees for each Coastal ship </w:t>
      </w:r>
      <w:r w:rsidRPr="003C5D6B">
        <w:rPr>
          <w:rFonts w:asciiTheme="majorBidi" w:hAnsiTheme="majorBidi" w:cstheme="majorBidi"/>
          <w:color w:val="000000"/>
          <w:szCs w:val="22"/>
        </w:rPr>
        <w:t xml:space="preserve">(within domestic water and without MMSI) </w:t>
      </w:r>
      <w:r w:rsidRPr="003C5D6B">
        <w:rPr>
          <w:rFonts w:asciiTheme="majorBidi" w:hAnsiTheme="majorBidi" w:cstheme="majorBidi"/>
          <w:szCs w:val="22"/>
        </w:rPr>
        <w:t xml:space="preserve">license shall be Five Hundred and Fifty (550) Dirhams. </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21.3</w:t>
      </w:r>
      <w:r w:rsidRPr="003C5D6B">
        <w:rPr>
          <w:rFonts w:asciiTheme="majorBidi" w:hAnsiTheme="majorBidi" w:cstheme="majorBidi"/>
          <w:szCs w:val="22"/>
        </w:rPr>
        <w:tab/>
        <w:t xml:space="preserve">The annual fees for each Ship </w:t>
      </w:r>
      <w:r w:rsidRPr="003C5D6B">
        <w:rPr>
          <w:rFonts w:asciiTheme="majorBidi" w:hAnsiTheme="majorBidi" w:cstheme="majorBidi"/>
          <w:color w:val="000000"/>
          <w:szCs w:val="22"/>
        </w:rPr>
        <w:t xml:space="preserve">(goes outside domestic water and with MMSI) </w:t>
      </w:r>
      <w:r w:rsidRPr="003C5D6B">
        <w:rPr>
          <w:rFonts w:asciiTheme="majorBidi" w:hAnsiTheme="majorBidi" w:cstheme="majorBidi"/>
          <w:szCs w:val="22"/>
        </w:rPr>
        <w:t xml:space="preserve">license shall be One Thousand (1000) Dirhams. </w:t>
      </w:r>
    </w:p>
    <w:p w:rsidR="00D31B12" w:rsidRPr="003C5D6B" w:rsidRDefault="00D31B12" w:rsidP="00D31B12">
      <w:pPr>
        <w:pStyle w:val="Arttitle"/>
        <w:spacing w:before="400"/>
      </w:pPr>
      <w:bookmarkStart w:id="596" w:name="_Toc280261844"/>
      <w:bookmarkStart w:id="597" w:name="_Toc280262342"/>
      <w:bookmarkStart w:id="598" w:name="_Toc280272736"/>
      <w:bookmarkStart w:id="599" w:name="_Toc280272915"/>
      <w:bookmarkStart w:id="600" w:name="_Toc284419430"/>
      <w:bookmarkStart w:id="601" w:name="_Toc286315747"/>
      <w:bookmarkStart w:id="602" w:name="_Toc287523823"/>
      <w:r w:rsidRPr="003C5D6B">
        <w:lastRenderedPageBreak/>
        <w:t>Article 22</w:t>
      </w:r>
      <w:r w:rsidRPr="003C5D6B">
        <w:br/>
      </w:r>
      <w:r w:rsidRPr="003C5D6B">
        <w:br/>
      </w:r>
      <w:bookmarkStart w:id="603" w:name="_Toc199215045"/>
      <w:r w:rsidRPr="003C5D6B">
        <w:t>Spectrum fees for space services and ancillary</w:t>
      </w:r>
      <w:bookmarkEnd w:id="596"/>
      <w:bookmarkEnd w:id="597"/>
      <w:bookmarkEnd w:id="598"/>
      <w:bookmarkEnd w:id="599"/>
      <w:bookmarkEnd w:id="600"/>
      <w:bookmarkEnd w:id="601"/>
      <w:bookmarkEnd w:id="602"/>
      <w:bookmarkEnd w:id="603"/>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22.1</w:t>
      </w:r>
      <w:r w:rsidRPr="003C5D6B">
        <w:rPr>
          <w:rFonts w:asciiTheme="majorBidi" w:hAnsiTheme="majorBidi" w:cstheme="majorBidi"/>
          <w:szCs w:val="22"/>
        </w:rPr>
        <w:tab/>
        <w:t xml:space="preserve">The annual fees for each VSAT shall be five thousand (5000) Dirhams. </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22.2</w:t>
      </w:r>
      <w:r w:rsidRPr="003C5D6B">
        <w:rPr>
          <w:rFonts w:asciiTheme="majorBidi" w:hAnsiTheme="majorBidi" w:cstheme="majorBidi"/>
          <w:szCs w:val="22"/>
        </w:rPr>
        <w:tab/>
        <w:t xml:space="preserve">The annual fees for each Earth Station antenna shall be fifty thousand (50000) Dirhams. </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22.3</w:t>
      </w:r>
      <w:r w:rsidRPr="003C5D6B">
        <w:rPr>
          <w:rFonts w:asciiTheme="majorBidi" w:hAnsiTheme="majorBidi" w:cstheme="majorBidi"/>
          <w:szCs w:val="22"/>
        </w:rPr>
        <w:tab/>
        <w:t xml:space="preserve">The TVRO (Television receive only) shall not be charged. </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22.4</w:t>
      </w:r>
      <w:r w:rsidRPr="003C5D6B">
        <w:rPr>
          <w:rFonts w:asciiTheme="majorBidi" w:hAnsiTheme="majorBidi" w:cstheme="majorBidi"/>
          <w:szCs w:val="22"/>
        </w:rPr>
        <w:tab/>
        <w:t>The annual fees for each DSNG shall be five thousand (5000) Dirhams.</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22.5</w:t>
      </w:r>
      <w:r w:rsidRPr="003C5D6B">
        <w:rPr>
          <w:rFonts w:asciiTheme="majorBidi" w:hAnsiTheme="majorBidi" w:cstheme="majorBidi"/>
          <w:szCs w:val="22"/>
        </w:rPr>
        <w:tab/>
        <w:t>The annual Spectrum Fees for offering Aeronautical Mobile Satellite service shall be ten thousand (10000) Dirhams.</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22.6</w:t>
      </w:r>
      <w:r w:rsidRPr="003C5D6B">
        <w:rPr>
          <w:rFonts w:asciiTheme="majorBidi" w:hAnsiTheme="majorBidi" w:cstheme="majorBidi"/>
          <w:szCs w:val="22"/>
        </w:rPr>
        <w:tab/>
        <w:t>The annual Spectrum Fees for offering Maritime Mobile Satellite service shall be ten thousand (10000) Dirhams.</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22.7</w:t>
      </w:r>
      <w:r w:rsidRPr="003C5D6B">
        <w:rPr>
          <w:rFonts w:asciiTheme="majorBidi" w:hAnsiTheme="majorBidi" w:cstheme="majorBidi"/>
          <w:szCs w:val="22"/>
        </w:rPr>
        <w:tab/>
        <w:t>The annual Spectrum Fees for offering Earth Exploration Satellite service shall be ten thousand (10000) Dirhams.</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22.8</w:t>
      </w:r>
      <w:r w:rsidRPr="003C5D6B">
        <w:rPr>
          <w:rFonts w:asciiTheme="majorBidi" w:hAnsiTheme="majorBidi" w:cstheme="majorBidi"/>
          <w:szCs w:val="22"/>
        </w:rPr>
        <w:tab/>
        <w:t>The annual Spectrum Fees for HAPS shall be determined by the TRA based on the purpose of use.</w:t>
      </w:r>
    </w:p>
    <w:p w:rsidR="00D31B12" w:rsidRPr="003C5D6B" w:rsidRDefault="00D31B12" w:rsidP="00D31B12">
      <w:pPr>
        <w:pStyle w:val="Arttitle"/>
        <w:spacing w:before="400"/>
      </w:pPr>
      <w:bookmarkStart w:id="604" w:name="_Toc280261845"/>
      <w:bookmarkStart w:id="605" w:name="_Toc280262343"/>
      <w:bookmarkStart w:id="606" w:name="_Toc280272737"/>
      <w:bookmarkStart w:id="607" w:name="_Toc280272916"/>
      <w:bookmarkStart w:id="608" w:name="_Toc284419431"/>
      <w:bookmarkStart w:id="609" w:name="_Toc286315748"/>
      <w:bookmarkStart w:id="610" w:name="_Toc287523824"/>
      <w:r w:rsidRPr="003C5D6B">
        <w:t>Article 23</w:t>
      </w:r>
      <w:r w:rsidRPr="003C5D6B">
        <w:br/>
      </w:r>
      <w:r w:rsidRPr="003C5D6B">
        <w:br/>
      </w:r>
      <w:bookmarkStart w:id="611" w:name="_Toc199215046"/>
      <w:r w:rsidRPr="003C5D6B">
        <w:t>Spectrum fees for radionavigation stations</w:t>
      </w:r>
      <w:bookmarkEnd w:id="604"/>
      <w:bookmarkEnd w:id="605"/>
      <w:bookmarkEnd w:id="606"/>
      <w:bookmarkEnd w:id="607"/>
      <w:bookmarkEnd w:id="608"/>
      <w:bookmarkEnd w:id="609"/>
      <w:bookmarkEnd w:id="610"/>
      <w:bookmarkEnd w:id="611"/>
    </w:p>
    <w:p w:rsidR="00D31B12" w:rsidRPr="003C5D6B" w:rsidRDefault="00D31B12" w:rsidP="00D31B12">
      <w:pPr>
        <w:rPr>
          <w:color w:val="000000"/>
          <w:szCs w:val="19"/>
        </w:rPr>
      </w:pPr>
      <w:r w:rsidRPr="003C5D6B">
        <w:rPr>
          <w:szCs w:val="19"/>
        </w:rPr>
        <w:t>The annual fees for each Radionavigation Station shall be One thousand (1000) Dirhams.</w:t>
      </w:r>
    </w:p>
    <w:p w:rsidR="00D31B12" w:rsidRPr="003C5D6B" w:rsidRDefault="00D31B12" w:rsidP="00D31B12">
      <w:pPr>
        <w:pStyle w:val="Arttitle"/>
        <w:spacing w:before="400"/>
      </w:pPr>
      <w:bookmarkStart w:id="612" w:name="_Toc280261846"/>
      <w:bookmarkStart w:id="613" w:name="_Toc280262344"/>
      <w:bookmarkStart w:id="614" w:name="_Toc280272738"/>
      <w:bookmarkStart w:id="615" w:name="_Toc280272917"/>
      <w:bookmarkStart w:id="616" w:name="_Toc284419432"/>
      <w:bookmarkStart w:id="617" w:name="_Toc286315749"/>
      <w:bookmarkStart w:id="618" w:name="_Toc287523825"/>
      <w:r w:rsidRPr="003C5D6B">
        <w:t>Article 24</w:t>
      </w:r>
      <w:r w:rsidRPr="003C5D6B">
        <w:br/>
      </w:r>
      <w:r w:rsidRPr="003C5D6B">
        <w:br/>
      </w:r>
      <w:bookmarkStart w:id="619" w:name="_Toc199215047"/>
      <w:r w:rsidRPr="003C5D6B">
        <w:t>Spectrum fees for radio astronomy stations</w:t>
      </w:r>
      <w:bookmarkEnd w:id="612"/>
      <w:bookmarkEnd w:id="613"/>
      <w:bookmarkEnd w:id="614"/>
      <w:bookmarkEnd w:id="615"/>
      <w:bookmarkEnd w:id="616"/>
      <w:bookmarkEnd w:id="617"/>
      <w:bookmarkEnd w:id="618"/>
      <w:bookmarkEnd w:id="619"/>
    </w:p>
    <w:p w:rsidR="00D31B12" w:rsidRPr="003C5D6B" w:rsidRDefault="00D31B12" w:rsidP="00D31B12">
      <w:pPr>
        <w:rPr>
          <w:color w:val="000000"/>
          <w:szCs w:val="19"/>
        </w:rPr>
      </w:pPr>
      <w:r w:rsidRPr="003C5D6B">
        <w:rPr>
          <w:szCs w:val="19"/>
        </w:rPr>
        <w:t>The annual fees for each Radio Astronomy Station shall be five hundred (500) Dirhams.</w:t>
      </w:r>
    </w:p>
    <w:p w:rsidR="00D31B12" w:rsidRPr="003C5D6B" w:rsidRDefault="00D31B12" w:rsidP="00D31B12">
      <w:pPr>
        <w:pStyle w:val="Arttitle"/>
        <w:spacing w:before="400"/>
      </w:pPr>
      <w:bookmarkStart w:id="620" w:name="_Toc280261847"/>
      <w:bookmarkStart w:id="621" w:name="_Toc280262345"/>
      <w:bookmarkStart w:id="622" w:name="_Toc280272739"/>
      <w:bookmarkStart w:id="623" w:name="_Toc280272918"/>
      <w:bookmarkStart w:id="624" w:name="_Toc284419433"/>
      <w:bookmarkStart w:id="625" w:name="_Toc286315750"/>
      <w:bookmarkStart w:id="626" w:name="_Toc287523826"/>
      <w:r w:rsidRPr="003C5D6B">
        <w:t>Article 25</w:t>
      </w:r>
      <w:r w:rsidRPr="003C5D6B">
        <w:br/>
      </w:r>
      <w:r w:rsidRPr="003C5D6B">
        <w:br/>
      </w:r>
      <w:bookmarkStart w:id="627" w:name="_Toc199215048"/>
      <w:r w:rsidRPr="003C5D6B">
        <w:t>Spectrum fees for radiolocation stations</w:t>
      </w:r>
      <w:bookmarkEnd w:id="620"/>
      <w:bookmarkEnd w:id="621"/>
      <w:bookmarkEnd w:id="622"/>
      <w:bookmarkEnd w:id="623"/>
      <w:bookmarkEnd w:id="624"/>
      <w:bookmarkEnd w:id="625"/>
      <w:bookmarkEnd w:id="626"/>
      <w:bookmarkEnd w:id="627"/>
    </w:p>
    <w:p w:rsidR="00D31B12" w:rsidRPr="003C5D6B" w:rsidRDefault="00D31B12" w:rsidP="00D31B12">
      <w:pPr>
        <w:rPr>
          <w:color w:val="000000"/>
          <w:szCs w:val="19"/>
        </w:rPr>
      </w:pPr>
      <w:r w:rsidRPr="003C5D6B">
        <w:rPr>
          <w:szCs w:val="19"/>
        </w:rPr>
        <w:t>The annual fees for each maritime coastal radar, weather radar, ground based radar, aeronautical surveillance, approach control, oceanic, surface movement and tracking shall be five thousand (5000) Dirhams.</w:t>
      </w:r>
    </w:p>
    <w:p w:rsidR="00D31B12" w:rsidRPr="003C5D6B" w:rsidRDefault="00D31B12" w:rsidP="00D31B12">
      <w:pPr>
        <w:pStyle w:val="Arttitle"/>
        <w:spacing w:before="400"/>
      </w:pPr>
      <w:bookmarkStart w:id="628" w:name="_Toc280261848"/>
      <w:bookmarkStart w:id="629" w:name="_Toc280262346"/>
      <w:bookmarkStart w:id="630" w:name="_Toc280272740"/>
      <w:bookmarkStart w:id="631" w:name="_Toc280272919"/>
      <w:bookmarkStart w:id="632" w:name="_Toc284419434"/>
      <w:bookmarkStart w:id="633" w:name="_Toc286315751"/>
      <w:bookmarkStart w:id="634" w:name="_Toc287523827"/>
      <w:r w:rsidRPr="003C5D6B">
        <w:t>Article 26</w:t>
      </w:r>
      <w:r w:rsidRPr="003C5D6B">
        <w:br/>
      </w:r>
      <w:r w:rsidRPr="003C5D6B">
        <w:br/>
      </w:r>
      <w:bookmarkStart w:id="635" w:name="_Toc199215049"/>
      <w:r w:rsidRPr="003C5D6B">
        <w:t>Spectrum fees for broadcasting service</w:t>
      </w:r>
      <w:bookmarkEnd w:id="628"/>
      <w:bookmarkEnd w:id="629"/>
      <w:bookmarkEnd w:id="630"/>
      <w:bookmarkEnd w:id="631"/>
      <w:bookmarkEnd w:id="632"/>
      <w:bookmarkEnd w:id="633"/>
      <w:bookmarkEnd w:id="634"/>
      <w:bookmarkEnd w:id="635"/>
    </w:p>
    <w:p w:rsidR="00D31B12" w:rsidRPr="003C5D6B" w:rsidRDefault="00D31B12" w:rsidP="00D31B12">
      <w:pPr>
        <w:pStyle w:val="enumlev1"/>
        <w:rPr>
          <w:rFonts w:asciiTheme="majorBidi" w:hAnsiTheme="majorBidi" w:cstheme="majorBidi"/>
          <w:szCs w:val="22"/>
        </w:rPr>
      </w:pPr>
      <w:bookmarkStart w:id="636" w:name="_Toc195057825"/>
      <w:r w:rsidRPr="003C5D6B">
        <w:rPr>
          <w:rFonts w:asciiTheme="majorBidi" w:hAnsiTheme="majorBidi" w:cstheme="majorBidi"/>
          <w:szCs w:val="22"/>
        </w:rPr>
        <w:t>26.1</w:t>
      </w:r>
      <w:r w:rsidRPr="003C5D6B">
        <w:rPr>
          <w:rFonts w:asciiTheme="majorBidi" w:hAnsiTheme="majorBidi" w:cstheme="majorBidi"/>
          <w:szCs w:val="22"/>
        </w:rPr>
        <w:tab/>
        <w:t>Terrestrial Radio and Television Broadcasting</w:t>
      </w:r>
      <w:bookmarkEnd w:id="636"/>
    </w:p>
    <w:p w:rsidR="00D31B12" w:rsidRPr="003C5D6B" w:rsidRDefault="00D31B12" w:rsidP="00D31B12">
      <w:pPr>
        <w:pStyle w:val="enumlev1"/>
        <w:rPr>
          <w:rFonts w:asciiTheme="majorBidi" w:hAnsiTheme="majorBidi" w:cstheme="majorBidi"/>
          <w:b/>
          <w:szCs w:val="22"/>
        </w:rPr>
      </w:pPr>
      <w:r w:rsidRPr="003C5D6B">
        <w:rPr>
          <w:rFonts w:asciiTheme="majorBidi" w:hAnsiTheme="majorBidi" w:cstheme="majorBidi"/>
          <w:szCs w:val="22"/>
        </w:rPr>
        <w:tab/>
        <w:t>Annual fees of Radio Spectrum Authorization for an individual Broadcasting Station shall be calculated as follows:</w:t>
      </w:r>
    </w:p>
    <w:p w:rsidR="00D31B12" w:rsidRPr="003C5D6B" w:rsidRDefault="00D31B12" w:rsidP="00D31B12">
      <w:pPr>
        <w:suppressAutoHyphens/>
        <w:ind w:left="851"/>
        <w:rPr>
          <w:b/>
          <w:szCs w:val="19"/>
        </w:rPr>
      </w:pPr>
      <w:r w:rsidRPr="003C5D6B">
        <w:rPr>
          <w:b/>
          <w:szCs w:val="19"/>
        </w:rPr>
        <w:tab/>
        <w:t>Spectrum Fees (per Station) = A + B * C * D * E * F</w:t>
      </w:r>
    </w:p>
    <w:p w:rsidR="00D31B12" w:rsidRPr="003C5D6B" w:rsidRDefault="00D31B12" w:rsidP="00D31B12">
      <w:pPr>
        <w:tabs>
          <w:tab w:val="left" w:pos="851"/>
        </w:tabs>
        <w:ind w:left="851"/>
        <w:rPr>
          <w:szCs w:val="19"/>
        </w:rPr>
      </w:pPr>
      <w:r w:rsidRPr="003C5D6B">
        <w:rPr>
          <w:b/>
          <w:szCs w:val="19"/>
        </w:rPr>
        <w:tab/>
        <w:t xml:space="preserve">A = Basic Fee = </w:t>
      </w:r>
      <w:r w:rsidRPr="003C5D6B">
        <w:rPr>
          <w:szCs w:val="19"/>
        </w:rPr>
        <w:t>30,000 AED</w:t>
      </w:r>
    </w:p>
    <w:p w:rsidR="00D31B12" w:rsidRPr="003C5D6B" w:rsidRDefault="00D31B12" w:rsidP="00D31B12">
      <w:pPr>
        <w:ind w:left="1191" w:hanging="1191"/>
        <w:rPr>
          <w:szCs w:val="19"/>
        </w:rPr>
      </w:pPr>
      <w:r w:rsidRPr="003C5D6B">
        <w:rPr>
          <w:b/>
          <w:szCs w:val="19"/>
        </w:rPr>
        <w:lastRenderedPageBreak/>
        <w:tab/>
      </w:r>
      <w:r w:rsidRPr="003C5D6B">
        <w:rPr>
          <w:b/>
          <w:szCs w:val="19"/>
        </w:rPr>
        <w:tab/>
        <w:t>Note:</w:t>
      </w:r>
      <w:r w:rsidRPr="003C5D6B">
        <w:rPr>
          <w:szCs w:val="19"/>
        </w:rPr>
        <w:t xml:space="preserve"> In case of using Single Frequency Network (SFN) the complete network shall be treated as one single transmitter and the Basic Fee shall be charged once for that SFN whereas the remaining part of Spectrum Fees shall be charged per station.</w:t>
      </w:r>
    </w:p>
    <w:p w:rsidR="00D31B12" w:rsidRPr="003C5D6B" w:rsidRDefault="00D31B12" w:rsidP="00D31B12">
      <w:pPr>
        <w:ind w:left="1191" w:hanging="1191"/>
        <w:rPr>
          <w:szCs w:val="19"/>
        </w:rPr>
      </w:pPr>
      <w:r w:rsidRPr="003C5D6B">
        <w:rPr>
          <w:b/>
          <w:szCs w:val="19"/>
        </w:rPr>
        <w:tab/>
      </w:r>
      <w:r w:rsidRPr="003C5D6B">
        <w:rPr>
          <w:b/>
          <w:szCs w:val="19"/>
        </w:rPr>
        <w:tab/>
        <w:t xml:space="preserve">B = Power Factor </w:t>
      </w:r>
      <w:r w:rsidRPr="003C5D6B">
        <w:rPr>
          <w:szCs w:val="19"/>
        </w:rPr>
        <w:t>= The power, expressed in kilowatts [kW] equals the transmitter output power (in case of LW, MW or SW transmissions) and effective radiated power (ERP) in all other cases.</w:t>
      </w:r>
    </w:p>
    <w:p w:rsidR="00D31B12" w:rsidRPr="003C5D6B" w:rsidRDefault="00D31B12" w:rsidP="00D31B12">
      <w:pPr>
        <w:rPr>
          <w:szCs w:val="19"/>
        </w:rPr>
      </w:pPr>
      <w:r w:rsidRPr="003C5D6B">
        <w:rPr>
          <w:szCs w:val="19"/>
        </w:rPr>
        <w:tab/>
      </w:r>
      <w:r w:rsidRPr="003C5D6B">
        <w:rPr>
          <w:szCs w:val="19"/>
        </w:rPr>
        <w:tab/>
      </w:r>
      <w:r w:rsidRPr="003C5D6B">
        <w:rPr>
          <w:b/>
          <w:szCs w:val="19"/>
        </w:rPr>
        <w:t xml:space="preserve">C = Service Type Factor </w:t>
      </w:r>
      <w:r w:rsidRPr="003C5D6B">
        <w:rPr>
          <w:szCs w:val="19"/>
        </w:rPr>
        <w:t xml:space="preserve">as follows: </w:t>
      </w:r>
    </w:p>
    <w:p w:rsidR="00D31B12" w:rsidRPr="003C5D6B" w:rsidRDefault="00D31B12" w:rsidP="00D31B12">
      <w:pPr>
        <w:rPr>
          <w:szCs w:val="19"/>
        </w:rPr>
      </w:pPr>
    </w:p>
    <w:p w:rsidR="00D31B12" w:rsidRPr="003C5D6B" w:rsidRDefault="00D31B12" w:rsidP="00D31B12">
      <w:pPr>
        <w:pStyle w:val="FigureTitle"/>
        <w:rPr>
          <w:lang w:val="en-GB"/>
        </w:rPr>
      </w:pPr>
      <w:bookmarkStart w:id="637" w:name="_Toc195057726"/>
      <w:r w:rsidRPr="003C5D6B">
        <w:rPr>
          <w:lang w:val="en-GB"/>
        </w:rPr>
        <w:t xml:space="preserve">Table </w:t>
      </w:r>
      <w:r w:rsidR="003B6168" w:rsidRPr="003C5D6B">
        <w:rPr>
          <w:lang w:val="en-GB"/>
        </w:rPr>
        <w:fldChar w:fldCharType="begin"/>
      </w:r>
      <w:r w:rsidR="004F7249" w:rsidRPr="003C5D6B">
        <w:rPr>
          <w:lang w:val="en-GB"/>
        </w:rPr>
        <w:instrText xml:space="preserve"> SEQ Figure \* ARABIC </w:instrText>
      </w:r>
      <w:r w:rsidR="003B6168" w:rsidRPr="003C5D6B">
        <w:rPr>
          <w:lang w:val="en-GB"/>
        </w:rPr>
        <w:fldChar w:fldCharType="separate"/>
      </w:r>
      <w:r w:rsidRPr="003C5D6B">
        <w:rPr>
          <w:noProof/>
          <w:lang w:val="en-GB"/>
        </w:rPr>
        <w:t>1</w:t>
      </w:r>
      <w:r w:rsidR="003B6168" w:rsidRPr="003C5D6B">
        <w:rPr>
          <w:lang w:val="en-GB"/>
        </w:rPr>
        <w:fldChar w:fldCharType="end"/>
      </w:r>
      <w:r w:rsidRPr="003C5D6B">
        <w:rPr>
          <w:lang w:val="en-GB"/>
        </w:rPr>
        <w:t xml:space="preserve"> – Definition of Service Type Factors (C) for </w:t>
      </w:r>
      <w:bookmarkEnd w:id="637"/>
      <w:r w:rsidRPr="003C5D6B">
        <w:rPr>
          <w:lang w:val="en-GB"/>
        </w:rPr>
        <w:t>Sound Broadcasting Services</w:t>
      </w:r>
    </w:p>
    <w:p w:rsidR="00D31B12" w:rsidRPr="003C5D6B" w:rsidRDefault="00D31B12" w:rsidP="00D31B12"/>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2"/>
        <w:gridCol w:w="2496"/>
        <w:gridCol w:w="1620"/>
        <w:gridCol w:w="1829"/>
      </w:tblGrid>
      <w:tr w:rsidR="00D31B12" w:rsidRPr="003C5D6B" w:rsidTr="003C5D6B">
        <w:trPr>
          <w:trHeight w:val="397"/>
          <w:jc w:val="center"/>
        </w:trPr>
        <w:tc>
          <w:tcPr>
            <w:tcW w:w="7517" w:type="dxa"/>
            <w:gridSpan w:val="4"/>
            <w:tcBorders>
              <w:bottom w:val="single" w:sz="4" w:space="0" w:color="auto"/>
            </w:tcBorders>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Sound Broadcasting Service</w:t>
            </w:r>
          </w:p>
        </w:tc>
      </w:tr>
      <w:tr w:rsidR="00D31B12" w:rsidRPr="003C5D6B" w:rsidTr="003C5D6B">
        <w:trPr>
          <w:trHeight w:val="397"/>
          <w:jc w:val="center"/>
        </w:trPr>
        <w:tc>
          <w:tcPr>
            <w:tcW w:w="1572" w:type="dxa"/>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Service Type</w:t>
            </w:r>
          </w:p>
        </w:tc>
        <w:tc>
          <w:tcPr>
            <w:tcW w:w="2496" w:type="dxa"/>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Frequency Range</w:t>
            </w:r>
          </w:p>
        </w:tc>
        <w:tc>
          <w:tcPr>
            <w:tcW w:w="1620" w:type="dxa"/>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Bandwidth</w:t>
            </w:r>
          </w:p>
        </w:tc>
        <w:tc>
          <w:tcPr>
            <w:tcW w:w="1829" w:type="dxa"/>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Service Type Factor (C)</w:t>
            </w:r>
          </w:p>
        </w:tc>
      </w:tr>
      <w:tr w:rsidR="00D31B12" w:rsidRPr="003C5D6B" w:rsidTr="003C5D6B">
        <w:trPr>
          <w:trHeight w:val="368"/>
          <w:jc w:val="center"/>
        </w:trPr>
        <w:tc>
          <w:tcPr>
            <w:tcW w:w="1572" w:type="dxa"/>
            <w:vMerge w:val="restart"/>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br/>
              <w:t>LF/MF</w:t>
            </w:r>
          </w:p>
        </w:tc>
        <w:tc>
          <w:tcPr>
            <w:tcW w:w="2496"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148.5 – 283.5 kHz</w:t>
            </w:r>
          </w:p>
        </w:tc>
        <w:tc>
          <w:tcPr>
            <w:tcW w:w="1620"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9 kHz</w:t>
            </w:r>
          </w:p>
        </w:tc>
        <w:tc>
          <w:tcPr>
            <w:tcW w:w="1829" w:type="dxa"/>
            <w:vMerge w:val="restart"/>
            <w:vAlign w:val="center"/>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8</w:t>
            </w:r>
          </w:p>
        </w:tc>
      </w:tr>
      <w:tr w:rsidR="00D31B12" w:rsidRPr="003C5D6B" w:rsidTr="003C5D6B">
        <w:trPr>
          <w:jc w:val="center"/>
        </w:trPr>
        <w:tc>
          <w:tcPr>
            <w:tcW w:w="1572" w:type="dxa"/>
            <w:vMerge/>
          </w:tcPr>
          <w:p w:rsidR="00D31B12" w:rsidRPr="003C5D6B" w:rsidRDefault="00D31B12" w:rsidP="003C5D6B">
            <w:pPr>
              <w:pStyle w:val="Tabletext"/>
              <w:jc w:val="center"/>
              <w:rPr>
                <w:rFonts w:asciiTheme="majorBidi" w:hAnsiTheme="majorBidi" w:cstheme="majorBidi"/>
                <w:szCs w:val="22"/>
              </w:rPr>
            </w:pPr>
          </w:p>
        </w:tc>
        <w:tc>
          <w:tcPr>
            <w:tcW w:w="2496"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526.5 – 1,606.5 kHz</w:t>
            </w:r>
          </w:p>
        </w:tc>
        <w:tc>
          <w:tcPr>
            <w:tcW w:w="1620"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9 kHz</w:t>
            </w:r>
          </w:p>
        </w:tc>
        <w:tc>
          <w:tcPr>
            <w:tcW w:w="1829" w:type="dxa"/>
            <w:vMerge/>
            <w:vAlign w:val="center"/>
          </w:tcPr>
          <w:p w:rsidR="00D31B12" w:rsidRPr="003C5D6B" w:rsidRDefault="00D31B12" w:rsidP="003C5D6B">
            <w:pPr>
              <w:pStyle w:val="Tabletext"/>
              <w:jc w:val="center"/>
              <w:rPr>
                <w:rFonts w:asciiTheme="majorBidi" w:hAnsiTheme="majorBidi" w:cstheme="majorBidi"/>
                <w:szCs w:val="22"/>
              </w:rPr>
            </w:pPr>
          </w:p>
        </w:tc>
      </w:tr>
      <w:tr w:rsidR="00D31B12" w:rsidRPr="003C5D6B" w:rsidTr="003C5D6B">
        <w:trPr>
          <w:trHeight w:val="233"/>
          <w:jc w:val="center"/>
        </w:trPr>
        <w:tc>
          <w:tcPr>
            <w:tcW w:w="1572" w:type="dxa"/>
            <w:vMerge w:val="restart"/>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br/>
              <w:t>VHF</w:t>
            </w:r>
          </w:p>
        </w:tc>
        <w:tc>
          <w:tcPr>
            <w:tcW w:w="2496"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87.5 – 108 MHz</w:t>
            </w:r>
          </w:p>
        </w:tc>
        <w:tc>
          <w:tcPr>
            <w:tcW w:w="1620"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200 kHz</w:t>
            </w:r>
          </w:p>
        </w:tc>
        <w:tc>
          <w:tcPr>
            <w:tcW w:w="1829" w:type="dxa"/>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16</w:t>
            </w:r>
          </w:p>
        </w:tc>
      </w:tr>
      <w:tr w:rsidR="00D31B12" w:rsidRPr="003C5D6B" w:rsidTr="003C5D6B">
        <w:trPr>
          <w:trHeight w:val="305"/>
          <w:jc w:val="center"/>
        </w:trPr>
        <w:tc>
          <w:tcPr>
            <w:tcW w:w="1572" w:type="dxa"/>
            <w:vMerge/>
          </w:tcPr>
          <w:p w:rsidR="00D31B12" w:rsidRPr="003C5D6B" w:rsidDel="00192A8E" w:rsidRDefault="00D31B12" w:rsidP="003C5D6B">
            <w:pPr>
              <w:pStyle w:val="Tabletext"/>
              <w:jc w:val="center"/>
              <w:rPr>
                <w:rFonts w:ascii="Verdana" w:hAnsi="Verdana"/>
                <w:sz w:val="19"/>
                <w:szCs w:val="19"/>
              </w:rPr>
            </w:pPr>
          </w:p>
        </w:tc>
        <w:tc>
          <w:tcPr>
            <w:tcW w:w="2496"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174 – 230 MHz</w:t>
            </w:r>
          </w:p>
        </w:tc>
        <w:tc>
          <w:tcPr>
            <w:tcW w:w="1620"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1.536 MHz</w:t>
            </w:r>
          </w:p>
        </w:tc>
        <w:tc>
          <w:tcPr>
            <w:tcW w:w="1829" w:type="dxa"/>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18</w:t>
            </w:r>
          </w:p>
        </w:tc>
      </w:tr>
    </w:tbl>
    <w:p w:rsidR="00D31B12" w:rsidRPr="003C5D6B" w:rsidRDefault="00D31B12" w:rsidP="00D31B12">
      <w:pPr>
        <w:pStyle w:val="FigureSource"/>
        <w:rPr>
          <w:lang w:val="en-GB"/>
        </w:rPr>
      </w:pPr>
    </w:p>
    <w:p w:rsidR="00D31B12" w:rsidRPr="003C5D6B" w:rsidRDefault="00D31B12" w:rsidP="00D31B12"/>
    <w:p w:rsidR="00D31B12" w:rsidRPr="003C5D6B" w:rsidRDefault="00D31B12" w:rsidP="00D31B12">
      <w:pPr>
        <w:pStyle w:val="FigureTitle"/>
        <w:rPr>
          <w:lang w:val="en-GB"/>
        </w:rPr>
      </w:pPr>
      <w:r w:rsidRPr="003C5D6B">
        <w:rPr>
          <w:lang w:val="en-GB"/>
        </w:rPr>
        <w:t xml:space="preserve">Table </w:t>
      </w:r>
      <w:r w:rsidR="003B6168" w:rsidRPr="003C5D6B">
        <w:rPr>
          <w:lang w:val="en-GB"/>
        </w:rPr>
        <w:fldChar w:fldCharType="begin"/>
      </w:r>
      <w:r w:rsidR="004F7249" w:rsidRPr="003C5D6B">
        <w:rPr>
          <w:lang w:val="en-GB"/>
        </w:rPr>
        <w:instrText xml:space="preserve"> SEQ Figure \* ARABIC </w:instrText>
      </w:r>
      <w:r w:rsidR="003B6168" w:rsidRPr="003C5D6B">
        <w:rPr>
          <w:lang w:val="en-GB"/>
        </w:rPr>
        <w:fldChar w:fldCharType="separate"/>
      </w:r>
      <w:r w:rsidRPr="003C5D6B">
        <w:rPr>
          <w:noProof/>
          <w:lang w:val="en-GB"/>
        </w:rPr>
        <w:t>2</w:t>
      </w:r>
      <w:r w:rsidR="003B6168" w:rsidRPr="003C5D6B">
        <w:rPr>
          <w:lang w:val="en-GB"/>
        </w:rPr>
        <w:fldChar w:fldCharType="end"/>
      </w:r>
      <w:r w:rsidRPr="003C5D6B">
        <w:rPr>
          <w:lang w:val="en-GB"/>
        </w:rPr>
        <w:t xml:space="preserve"> – Definition of Service Type Factors (C) for TV Broadcasting Services</w:t>
      </w:r>
    </w:p>
    <w:p w:rsidR="00D31B12" w:rsidRPr="003C5D6B" w:rsidRDefault="00D31B12" w:rsidP="00D31B12"/>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9"/>
        <w:gridCol w:w="2568"/>
        <w:gridCol w:w="1443"/>
        <w:gridCol w:w="2117"/>
      </w:tblGrid>
      <w:tr w:rsidR="00D31B12" w:rsidRPr="003C5D6B" w:rsidTr="003C5D6B">
        <w:trPr>
          <w:trHeight w:val="397"/>
          <w:jc w:val="center"/>
        </w:trPr>
        <w:tc>
          <w:tcPr>
            <w:tcW w:w="7577" w:type="dxa"/>
            <w:gridSpan w:val="4"/>
            <w:tcBorders>
              <w:bottom w:val="single" w:sz="4" w:space="0" w:color="auto"/>
            </w:tcBorders>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TV Broadcasting Service</w:t>
            </w:r>
          </w:p>
        </w:tc>
      </w:tr>
      <w:tr w:rsidR="00D31B12" w:rsidRPr="003C5D6B" w:rsidTr="003C5D6B">
        <w:trPr>
          <w:trHeight w:val="397"/>
          <w:jc w:val="center"/>
        </w:trPr>
        <w:tc>
          <w:tcPr>
            <w:tcW w:w="1449" w:type="dxa"/>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Service Type</w:t>
            </w:r>
          </w:p>
        </w:tc>
        <w:tc>
          <w:tcPr>
            <w:tcW w:w="2568" w:type="dxa"/>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Frequency Range</w:t>
            </w:r>
          </w:p>
        </w:tc>
        <w:tc>
          <w:tcPr>
            <w:tcW w:w="1443" w:type="dxa"/>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Bandwidth</w:t>
            </w:r>
          </w:p>
        </w:tc>
        <w:tc>
          <w:tcPr>
            <w:tcW w:w="2117" w:type="dxa"/>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Service Type Factor (C)</w:t>
            </w:r>
          </w:p>
        </w:tc>
      </w:tr>
      <w:tr w:rsidR="00D31B12" w:rsidRPr="003C5D6B" w:rsidTr="003C5D6B">
        <w:trPr>
          <w:jc w:val="center"/>
        </w:trPr>
        <w:tc>
          <w:tcPr>
            <w:tcW w:w="1449" w:type="dxa"/>
            <w:vMerge w:val="restart"/>
            <w:shd w:val="clear" w:color="auto" w:fill="auto"/>
            <w:vAlign w:val="center"/>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VHF</w:t>
            </w:r>
          </w:p>
        </w:tc>
        <w:tc>
          <w:tcPr>
            <w:tcW w:w="2568"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47 – 68 MHz</w:t>
            </w:r>
          </w:p>
        </w:tc>
        <w:tc>
          <w:tcPr>
            <w:tcW w:w="1443" w:type="dxa"/>
            <w:vMerge w:val="restart"/>
            <w:shd w:val="clear" w:color="auto" w:fill="auto"/>
            <w:vAlign w:val="center"/>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7 MHz</w:t>
            </w:r>
          </w:p>
        </w:tc>
        <w:tc>
          <w:tcPr>
            <w:tcW w:w="2117" w:type="dxa"/>
            <w:vMerge w:val="restart"/>
            <w:vAlign w:val="center"/>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24</w:t>
            </w:r>
          </w:p>
        </w:tc>
      </w:tr>
      <w:tr w:rsidR="00D31B12" w:rsidRPr="003C5D6B" w:rsidTr="003C5D6B">
        <w:trPr>
          <w:trHeight w:val="377"/>
          <w:jc w:val="center"/>
        </w:trPr>
        <w:tc>
          <w:tcPr>
            <w:tcW w:w="1449" w:type="dxa"/>
            <w:vMerge/>
            <w:shd w:val="clear" w:color="auto" w:fill="auto"/>
          </w:tcPr>
          <w:p w:rsidR="00D31B12" w:rsidRPr="003C5D6B" w:rsidRDefault="00D31B12" w:rsidP="003C5D6B">
            <w:pPr>
              <w:pStyle w:val="Tabletext"/>
              <w:jc w:val="center"/>
              <w:rPr>
                <w:rFonts w:asciiTheme="majorBidi" w:hAnsiTheme="majorBidi" w:cstheme="majorBidi"/>
                <w:szCs w:val="22"/>
              </w:rPr>
            </w:pPr>
          </w:p>
        </w:tc>
        <w:tc>
          <w:tcPr>
            <w:tcW w:w="2568"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174 – 230 MHz</w:t>
            </w:r>
          </w:p>
        </w:tc>
        <w:tc>
          <w:tcPr>
            <w:tcW w:w="1443" w:type="dxa"/>
            <w:vMerge/>
            <w:shd w:val="clear" w:color="auto" w:fill="auto"/>
            <w:vAlign w:val="center"/>
          </w:tcPr>
          <w:p w:rsidR="00D31B12" w:rsidRPr="003C5D6B" w:rsidRDefault="00D31B12" w:rsidP="003C5D6B">
            <w:pPr>
              <w:pStyle w:val="Tabletext"/>
              <w:jc w:val="center"/>
              <w:rPr>
                <w:rFonts w:asciiTheme="majorBidi" w:hAnsiTheme="majorBidi" w:cstheme="majorBidi"/>
                <w:szCs w:val="22"/>
              </w:rPr>
            </w:pPr>
          </w:p>
        </w:tc>
        <w:tc>
          <w:tcPr>
            <w:tcW w:w="2117" w:type="dxa"/>
            <w:vMerge/>
          </w:tcPr>
          <w:p w:rsidR="00D31B12" w:rsidRPr="003C5D6B" w:rsidRDefault="00D31B12" w:rsidP="003C5D6B">
            <w:pPr>
              <w:pStyle w:val="Tabletext"/>
              <w:jc w:val="center"/>
              <w:rPr>
                <w:rFonts w:asciiTheme="majorBidi" w:hAnsiTheme="majorBidi" w:cstheme="majorBidi"/>
                <w:szCs w:val="22"/>
              </w:rPr>
            </w:pPr>
          </w:p>
        </w:tc>
      </w:tr>
      <w:tr w:rsidR="00D31B12" w:rsidRPr="003C5D6B" w:rsidTr="003C5D6B">
        <w:trPr>
          <w:trHeight w:val="485"/>
          <w:jc w:val="center"/>
        </w:trPr>
        <w:tc>
          <w:tcPr>
            <w:tcW w:w="1449"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UHF</w:t>
            </w:r>
          </w:p>
        </w:tc>
        <w:tc>
          <w:tcPr>
            <w:tcW w:w="2568" w:type="dxa"/>
            <w:shd w:val="clear" w:color="auto" w:fill="auto"/>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470 – 862 MHz</w:t>
            </w:r>
          </w:p>
        </w:tc>
        <w:tc>
          <w:tcPr>
            <w:tcW w:w="1443" w:type="dxa"/>
            <w:shd w:val="clear" w:color="auto" w:fill="auto"/>
            <w:vAlign w:val="center"/>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8 MHz</w:t>
            </w:r>
          </w:p>
        </w:tc>
        <w:tc>
          <w:tcPr>
            <w:tcW w:w="2117" w:type="dxa"/>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36</w:t>
            </w:r>
          </w:p>
        </w:tc>
      </w:tr>
    </w:tbl>
    <w:p w:rsidR="00D31B12" w:rsidRPr="003C5D6B" w:rsidRDefault="00D31B12" w:rsidP="00D31B12">
      <w:pPr>
        <w:pStyle w:val="FigureSource"/>
        <w:rPr>
          <w:lang w:val="en-GB"/>
        </w:rPr>
      </w:pPr>
    </w:p>
    <w:p w:rsidR="00D31B12" w:rsidRPr="003C5D6B" w:rsidRDefault="00D31B12" w:rsidP="00D31B12">
      <w:pPr>
        <w:tabs>
          <w:tab w:val="clear" w:pos="794"/>
          <w:tab w:val="clear" w:pos="1191"/>
          <w:tab w:val="clear" w:pos="1588"/>
          <w:tab w:val="clear" w:pos="1985"/>
        </w:tabs>
        <w:overflowPunct/>
        <w:autoSpaceDE/>
        <w:autoSpaceDN/>
        <w:adjustRightInd/>
        <w:spacing w:before="0"/>
        <w:jc w:val="left"/>
        <w:textAlignment w:val="auto"/>
        <w:rPr>
          <w:b/>
          <w:szCs w:val="19"/>
        </w:rPr>
      </w:pPr>
      <w:r w:rsidRPr="003C5D6B">
        <w:rPr>
          <w:b/>
          <w:szCs w:val="19"/>
        </w:rPr>
        <w:br w:type="page"/>
      </w:r>
    </w:p>
    <w:p w:rsidR="00D31B12" w:rsidRPr="003C5D6B" w:rsidRDefault="00D31B12" w:rsidP="00D31B12">
      <w:pPr>
        <w:ind w:left="1599" w:hanging="159"/>
        <w:rPr>
          <w:szCs w:val="19"/>
        </w:rPr>
      </w:pPr>
      <w:r w:rsidRPr="003C5D6B">
        <w:rPr>
          <w:b/>
          <w:szCs w:val="19"/>
        </w:rPr>
        <w:lastRenderedPageBreak/>
        <w:t>D = Service Zone Factor as follows:</w:t>
      </w:r>
    </w:p>
    <w:p w:rsidR="00D31B12" w:rsidRPr="003C5D6B" w:rsidRDefault="00D31B12" w:rsidP="00D31B12">
      <w:pPr>
        <w:rPr>
          <w:sz w:val="2"/>
        </w:rPr>
      </w:pPr>
    </w:p>
    <w:p w:rsidR="00D31B12" w:rsidRPr="003C5D6B" w:rsidRDefault="00D31B12" w:rsidP="00D31B12">
      <w:pPr>
        <w:pStyle w:val="FigureTitle"/>
        <w:rPr>
          <w:lang w:val="en-GB"/>
        </w:rPr>
      </w:pPr>
      <w:bookmarkStart w:id="638" w:name="_Toc195057730"/>
      <w:r w:rsidRPr="003C5D6B">
        <w:rPr>
          <w:lang w:val="en-GB"/>
        </w:rPr>
        <w:t xml:space="preserve">Table </w:t>
      </w:r>
      <w:r w:rsidR="003B6168" w:rsidRPr="003C5D6B">
        <w:rPr>
          <w:lang w:val="en-GB"/>
        </w:rPr>
        <w:fldChar w:fldCharType="begin"/>
      </w:r>
      <w:r w:rsidR="004F7249" w:rsidRPr="003C5D6B">
        <w:rPr>
          <w:lang w:val="en-GB"/>
        </w:rPr>
        <w:instrText xml:space="preserve"> SEQ Figure \* ARABIC </w:instrText>
      </w:r>
      <w:r w:rsidR="003B6168" w:rsidRPr="003C5D6B">
        <w:rPr>
          <w:lang w:val="en-GB"/>
        </w:rPr>
        <w:fldChar w:fldCharType="separate"/>
      </w:r>
      <w:r w:rsidRPr="003C5D6B">
        <w:rPr>
          <w:noProof/>
          <w:lang w:val="en-GB"/>
        </w:rPr>
        <w:t>3</w:t>
      </w:r>
      <w:r w:rsidR="003B6168" w:rsidRPr="003C5D6B">
        <w:rPr>
          <w:lang w:val="en-GB"/>
        </w:rPr>
        <w:fldChar w:fldCharType="end"/>
      </w:r>
      <w:r w:rsidRPr="003C5D6B">
        <w:rPr>
          <w:lang w:val="en-GB"/>
        </w:rPr>
        <w:t xml:space="preserve"> – Definition of Service Zones Factors (D)</w:t>
      </w:r>
      <w:bookmarkEnd w:id="638"/>
    </w:p>
    <w:p w:rsidR="00D31B12" w:rsidRPr="003C5D6B" w:rsidRDefault="00D31B12" w:rsidP="00D31B12"/>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2807"/>
        <w:gridCol w:w="2628"/>
      </w:tblGrid>
      <w:tr w:rsidR="00D31B12" w:rsidRPr="003C5D6B" w:rsidTr="003C5D6B">
        <w:trPr>
          <w:trHeight w:val="680"/>
        </w:trPr>
        <w:tc>
          <w:tcPr>
            <w:tcW w:w="1713" w:type="dxa"/>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Service Zone Factor (D)</w:t>
            </w:r>
          </w:p>
        </w:tc>
        <w:tc>
          <w:tcPr>
            <w:tcW w:w="2807" w:type="dxa"/>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Service Zone</w:t>
            </w:r>
          </w:p>
        </w:tc>
        <w:tc>
          <w:tcPr>
            <w:tcW w:w="2628" w:type="dxa"/>
            <w:shd w:val="clear" w:color="auto" w:fill="E6E6E6"/>
            <w:vAlign w:val="center"/>
          </w:tcPr>
          <w:p w:rsidR="00D31B12" w:rsidRPr="003C5D6B" w:rsidRDefault="00D31B12" w:rsidP="003C5D6B">
            <w:pPr>
              <w:pStyle w:val="Tablehead"/>
              <w:rPr>
                <w:rFonts w:asciiTheme="majorBidi" w:hAnsiTheme="majorBidi" w:cstheme="majorBidi"/>
                <w:szCs w:val="22"/>
              </w:rPr>
            </w:pPr>
            <w:r w:rsidRPr="003C5D6B">
              <w:rPr>
                <w:rFonts w:asciiTheme="majorBidi" w:hAnsiTheme="majorBidi" w:cstheme="majorBidi"/>
                <w:szCs w:val="22"/>
              </w:rPr>
              <w:t>Polygon Corners</w:t>
            </w:r>
          </w:p>
        </w:tc>
      </w:tr>
      <w:tr w:rsidR="00D31B12" w:rsidRPr="003C5D6B" w:rsidTr="003C5D6B">
        <w:trPr>
          <w:trHeight w:val="1142"/>
        </w:trPr>
        <w:tc>
          <w:tcPr>
            <w:tcW w:w="1713" w:type="dxa"/>
            <w:vMerge w:val="restart"/>
          </w:tcPr>
          <w:p w:rsidR="00D31B12" w:rsidRPr="003C5D6B" w:rsidRDefault="00D31B12" w:rsidP="003C5D6B">
            <w:pPr>
              <w:pStyle w:val="Tabletext"/>
              <w:rPr>
                <w:rFonts w:asciiTheme="majorBidi" w:hAnsiTheme="majorBidi" w:cstheme="majorBidi"/>
                <w:b/>
                <w:bCs/>
                <w:szCs w:val="22"/>
                <w:lang w:eastAsia="de-DE"/>
              </w:rPr>
            </w:pPr>
            <w:r w:rsidRPr="003C5D6B">
              <w:rPr>
                <w:rFonts w:asciiTheme="majorBidi" w:hAnsiTheme="majorBidi" w:cstheme="majorBidi"/>
                <w:b/>
                <w:bCs/>
                <w:szCs w:val="22"/>
                <w:lang w:eastAsia="de-DE"/>
              </w:rPr>
              <w:t>1.00 (high)</w:t>
            </w:r>
          </w:p>
        </w:tc>
        <w:tc>
          <w:tcPr>
            <w:tcW w:w="2807" w:type="dxa"/>
          </w:tcPr>
          <w:p w:rsidR="00D31B12" w:rsidRPr="003C5D6B" w:rsidRDefault="00D31B12" w:rsidP="003C5D6B">
            <w:pPr>
              <w:pStyle w:val="Tabletext"/>
              <w:rPr>
                <w:rFonts w:asciiTheme="majorBidi" w:hAnsiTheme="majorBidi" w:cstheme="majorBidi"/>
                <w:szCs w:val="22"/>
                <w:lang w:eastAsia="de-DE"/>
              </w:rPr>
            </w:pPr>
            <w:r w:rsidRPr="003C5D6B">
              <w:rPr>
                <w:rFonts w:asciiTheme="majorBidi" w:hAnsiTheme="majorBidi" w:cstheme="majorBidi"/>
                <w:szCs w:val="22"/>
                <w:lang w:eastAsia="de-DE"/>
              </w:rPr>
              <w:t>City and environs of Abu Dhabi</w:t>
            </w:r>
          </w:p>
        </w:tc>
        <w:tc>
          <w:tcPr>
            <w:tcW w:w="2628" w:type="dxa"/>
          </w:tcPr>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54° 30’ E – 24° 45’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00’ E – 24° 45’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00’ E – 24° 05’ N</w:t>
            </w:r>
          </w:p>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54° 00’ E – 24° 20’ N</w:t>
            </w:r>
          </w:p>
        </w:tc>
      </w:tr>
      <w:tr w:rsidR="00D31B12" w:rsidRPr="003C5D6B" w:rsidTr="003C5D6B">
        <w:trPr>
          <w:trHeight w:val="1250"/>
        </w:trPr>
        <w:tc>
          <w:tcPr>
            <w:tcW w:w="1713" w:type="dxa"/>
            <w:vMerge/>
          </w:tcPr>
          <w:p w:rsidR="00D31B12" w:rsidRPr="003C5D6B" w:rsidRDefault="00D31B12" w:rsidP="003C5D6B">
            <w:pPr>
              <w:pStyle w:val="Tabletext"/>
              <w:rPr>
                <w:rFonts w:asciiTheme="majorBidi" w:hAnsiTheme="majorBidi" w:cstheme="majorBidi"/>
                <w:szCs w:val="22"/>
              </w:rPr>
            </w:pPr>
          </w:p>
        </w:tc>
        <w:tc>
          <w:tcPr>
            <w:tcW w:w="2807" w:type="dxa"/>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Cities and environs of Dubai, Sharjah, Ajman and Umm Al Qaiwain</w:t>
            </w:r>
          </w:p>
        </w:tc>
        <w:tc>
          <w:tcPr>
            <w:tcW w:w="2628" w:type="dxa"/>
          </w:tcPr>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30’ E – 25° 40’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55’ E – 25° 20’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00’ E – 24° 45’ N</w:t>
            </w:r>
          </w:p>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54° 30’ E – 24° 45’ N</w:t>
            </w:r>
          </w:p>
        </w:tc>
      </w:tr>
      <w:tr w:rsidR="00D31B12" w:rsidRPr="003C5D6B" w:rsidTr="003C5D6B">
        <w:trPr>
          <w:trHeight w:val="1250"/>
        </w:trPr>
        <w:tc>
          <w:tcPr>
            <w:tcW w:w="1713" w:type="dxa"/>
            <w:vMerge/>
          </w:tcPr>
          <w:p w:rsidR="00D31B12" w:rsidRPr="003C5D6B" w:rsidRDefault="00D31B12" w:rsidP="003C5D6B">
            <w:pPr>
              <w:pStyle w:val="Tabletext"/>
              <w:rPr>
                <w:rFonts w:asciiTheme="majorBidi" w:hAnsiTheme="majorBidi" w:cstheme="majorBidi"/>
                <w:szCs w:val="22"/>
              </w:rPr>
            </w:pPr>
          </w:p>
        </w:tc>
        <w:tc>
          <w:tcPr>
            <w:tcW w:w="2807" w:type="dxa"/>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lang w:eastAsia="de-DE"/>
              </w:rPr>
              <w:t>City and environs of Al Ain</w:t>
            </w:r>
          </w:p>
        </w:tc>
        <w:tc>
          <w:tcPr>
            <w:tcW w:w="2628" w:type="dxa"/>
          </w:tcPr>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30’ E – 24° 20’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50’ E – 24° 20’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50’ E – 24° 00’ N</w:t>
            </w:r>
          </w:p>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55° 30’ E – 24° 00’ N</w:t>
            </w:r>
          </w:p>
        </w:tc>
      </w:tr>
      <w:tr w:rsidR="00D31B12" w:rsidRPr="003C5D6B" w:rsidTr="003C5D6B">
        <w:trPr>
          <w:trHeight w:val="1250"/>
        </w:trPr>
        <w:tc>
          <w:tcPr>
            <w:tcW w:w="1713" w:type="dxa"/>
            <w:vMerge w:val="restart"/>
          </w:tcPr>
          <w:p w:rsidR="00D31B12" w:rsidRPr="003C5D6B" w:rsidRDefault="00D31B12" w:rsidP="003C5D6B">
            <w:pPr>
              <w:pStyle w:val="Tabletext"/>
              <w:rPr>
                <w:rFonts w:asciiTheme="majorBidi" w:hAnsiTheme="majorBidi" w:cstheme="majorBidi"/>
                <w:b/>
                <w:bCs/>
                <w:szCs w:val="22"/>
              </w:rPr>
            </w:pPr>
            <w:r w:rsidRPr="003C5D6B">
              <w:rPr>
                <w:rFonts w:asciiTheme="majorBidi" w:hAnsiTheme="majorBidi" w:cstheme="majorBidi"/>
                <w:b/>
                <w:bCs/>
                <w:szCs w:val="22"/>
              </w:rPr>
              <w:t>0.75(medium)</w:t>
            </w:r>
          </w:p>
        </w:tc>
        <w:tc>
          <w:tcPr>
            <w:tcW w:w="2807" w:type="dxa"/>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Area between Abu Dhabi and Al Ain</w:t>
            </w:r>
          </w:p>
        </w:tc>
        <w:tc>
          <w:tcPr>
            <w:tcW w:w="2628" w:type="dxa"/>
          </w:tcPr>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00’ E – 24° 20’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30’ E – 24° 20’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30’ E – 24° 00’ N</w:t>
            </w:r>
          </w:p>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55° 00’ E – 24° 05’ N</w:t>
            </w:r>
          </w:p>
        </w:tc>
      </w:tr>
      <w:tr w:rsidR="00D31B12" w:rsidRPr="003C5D6B" w:rsidTr="003C5D6B">
        <w:trPr>
          <w:trHeight w:val="1430"/>
        </w:trPr>
        <w:tc>
          <w:tcPr>
            <w:tcW w:w="1713" w:type="dxa"/>
            <w:vMerge/>
          </w:tcPr>
          <w:p w:rsidR="00D31B12" w:rsidRPr="003C5D6B" w:rsidRDefault="00D31B12" w:rsidP="003C5D6B">
            <w:pPr>
              <w:pStyle w:val="Tabletext"/>
              <w:rPr>
                <w:rFonts w:asciiTheme="majorBidi" w:hAnsiTheme="majorBidi" w:cstheme="majorBidi"/>
                <w:szCs w:val="22"/>
              </w:rPr>
            </w:pPr>
          </w:p>
        </w:tc>
        <w:tc>
          <w:tcPr>
            <w:tcW w:w="2807" w:type="dxa"/>
          </w:tcPr>
          <w:p w:rsidR="00D31B12" w:rsidRPr="003C5D6B" w:rsidRDefault="00D31B12" w:rsidP="003C5D6B">
            <w:pPr>
              <w:pStyle w:val="Tabletext"/>
              <w:rPr>
                <w:rFonts w:asciiTheme="majorBidi" w:hAnsiTheme="majorBidi" w:cstheme="majorBidi"/>
                <w:szCs w:val="22"/>
                <w:lang w:eastAsia="de-DE"/>
              </w:rPr>
            </w:pPr>
            <w:r w:rsidRPr="003C5D6B">
              <w:rPr>
                <w:rFonts w:asciiTheme="majorBidi" w:hAnsiTheme="majorBidi" w:cstheme="majorBidi"/>
                <w:szCs w:val="22"/>
                <w:lang w:eastAsia="de-DE"/>
              </w:rPr>
              <w:t>City and environs of Fujairah</w:t>
            </w:r>
          </w:p>
        </w:tc>
        <w:tc>
          <w:tcPr>
            <w:tcW w:w="2628" w:type="dxa"/>
            <w:vAlign w:val="center"/>
          </w:tcPr>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56° 15’ E – 25° 15’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56° 25’ E – 25° 15’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56° 25’ E – 25° 00’ N</w:t>
            </w:r>
          </w:p>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56° 15’ E – 25° 00’ N</w:t>
            </w:r>
          </w:p>
        </w:tc>
      </w:tr>
      <w:tr w:rsidR="00D31B12" w:rsidRPr="003C5D6B" w:rsidTr="003C5D6B">
        <w:trPr>
          <w:trHeight w:val="1250"/>
        </w:trPr>
        <w:tc>
          <w:tcPr>
            <w:tcW w:w="1713" w:type="dxa"/>
            <w:vMerge/>
          </w:tcPr>
          <w:p w:rsidR="00D31B12" w:rsidRPr="003C5D6B" w:rsidRDefault="00D31B12" w:rsidP="003C5D6B">
            <w:pPr>
              <w:pStyle w:val="Tabletext"/>
              <w:rPr>
                <w:rFonts w:asciiTheme="majorBidi" w:hAnsiTheme="majorBidi" w:cstheme="majorBidi"/>
                <w:szCs w:val="22"/>
              </w:rPr>
            </w:pPr>
          </w:p>
        </w:tc>
        <w:tc>
          <w:tcPr>
            <w:tcW w:w="2807" w:type="dxa"/>
          </w:tcPr>
          <w:p w:rsidR="00D31B12" w:rsidRPr="003C5D6B" w:rsidRDefault="00D31B12" w:rsidP="003C5D6B">
            <w:pPr>
              <w:pStyle w:val="Tabletext"/>
              <w:rPr>
                <w:rFonts w:asciiTheme="majorBidi" w:hAnsiTheme="majorBidi" w:cstheme="majorBidi"/>
                <w:szCs w:val="22"/>
                <w:lang w:eastAsia="de-DE"/>
              </w:rPr>
            </w:pPr>
            <w:r w:rsidRPr="003C5D6B">
              <w:rPr>
                <w:rFonts w:asciiTheme="majorBidi" w:hAnsiTheme="majorBidi" w:cstheme="majorBidi"/>
                <w:szCs w:val="22"/>
                <w:lang w:eastAsia="de-DE"/>
              </w:rPr>
              <w:t>City and environs of Ras Al Khaimah</w:t>
            </w:r>
          </w:p>
        </w:tc>
        <w:tc>
          <w:tcPr>
            <w:tcW w:w="2628" w:type="dxa"/>
            <w:vAlign w:val="center"/>
          </w:tcPr>
          <w:p w:rsidR="00D31B12" w:rsidRPr="00E92FFB" w:rsidRDefault="00D31B12" w:rsidP="003C5D6B">
            <w:pPr>
              <w:pStyle w:val="Tabletext"/>
              <w:rPr>
                <w:rFonts w:asciiTheme="majorBidi" w:hAnsiTheme="majorBidi" w:cstheme="majorBidi"/>
                <w:szCs w:val="22"/>
                <w:lang w:val="es-ES_tradnl" w:eastAsia="de-DE"/>
              </w:rPr>
            </w:pPr>
            <w:r w:rsidRPr="00E92FFB">
              <w:rPr>
                <w:rFonts w:asciiTheme="majorBidi" w:hAnsiTheme="majorBidi" w:cstheme="majorBidi"/>
                <w:szCs w:val="22"/>
                <w:lang w:val="es-ES_tradnl" w:eastAsia="de-DE"/>
              </w:rPr>
              <w:t>55° 50’ E – 25° 55’ N</w:t>
            </w:r>
          </w:p>
          <w:p w:rsidR="00D31B12" w:rsidRPr="00E92FFB" w:rsidRDefault="00D31B12" w:rsidP="003C5D6B">
            <w:pPr>
              <w:pStyle w:val="Tabletext"/>
              <w:rPr>
                <w:rFonts w:asciiTheme="majorBidi" w:hAnsiTheme="majorBidi" w:cstheme="majorBidi"/>
                <w:szCs w:val="22"/>
                <w:lang w:val="es-ES_tradnl" w:eastAsia="de-DE"/>
              </w:rPr>
            </w:pPr>
            <w:r w:rsidRPr="00E92FFB">
              <w:rPr>
                <w:rFonts w:asciiTheme="majorBidi" w:hAnsiTheme="majorBidi" w:cstheme="majorBidi"/>
                <w:szCs w:val="22"/>
                <w:lang w:val="es-ES_tradnl" w:eastAsia="de-DE"/>
              </w:rPr>
              <w:t>56° 05’ E – 25° 55’ N</w:t>
            </w:r>
          </w:p>
          <w:p w:rsidR="00D31B12" w:rsidRPr="00E92FFB" w:rsidRDefault="00D31B12" w:rsidP="003C5D6B">
            <w:pPr>
              <w:pStyle w:val="Tabletext"/>
              <w:rPr>
                <w:rFonts w:asciiTheme="majorBidi" w:hAnsiTheme="majorBidi" w:cstheme="majorBidi"/>
                <w:szCs w:val="22"/>
                <w:lang w:val="es-ES_tradnl" w:eastAsia="de-DE"/>
              </w:rPr>
            </w:pPr>
            <w:r w:rsidRPr="00E92FFB">
              <w:rPr>
                <w:rFonts w:asciiTheme="majorBidi" w:hAnsiTheme="majorBidi" w:cstheme="majorBidi"/>
                <w:szCs w:val="22"/>
                <w:lang w:val="es-ES_tradnl" w:eastAsia="de-DE"/>
              </w:rPr>
              <w:t>56° 05’ E – 25° 40’ N</w:t>
            </w:r>
          </w:p>
          <w:p w:rsidR="00D31B12" w:rsidRPr="003C5D6B" w:rsidRDefault="00D31B12" w:rsidP="003C5D6B">
            <w:pPr>
              <w:pStyle w:val="Tabletext"/>
              <w:rPr>
                <w:rFonts w:asciiTheme="majorBidi" w:hAnsiTheme="majorBidi" w:cstheme="majorBidi"/>
                <w:szCs w:val="22"/>
                <w:lang w:eastAsia="de-DE"/>
              </w:rPr>
            </w:pPr>
            <w:r w:rsidRPr="003C5D6B">
              <w:rPr>
                <w:rFonts w:asciiTheme="majorBidi" w:hAnsiTheme="majorBidi" w:cstheme="majorBidi"/>
                <w:szCs w:val="22"/>
                <w:lang w:eastAsia="de-DE"/>
              </w:rPr>
              <w:t>55° 50’ E – 25° 40’ N</w:t>
            </w:r>
          </w:p>
        </w:tc>
      </w:tr>
      <w:tr w:rsidR="00D31B12" w:rsidRPr="00E92FFB" w:rsidTr="003C5D6B">
        <w:trPr>
          <w:trHeight w:val="1070"/>
        </w:trPr>
        <w:tc>
          <w:tcPr>
            <w:tcW w:w="1713" w:type="dxa"/>
            <w:vMerge/>
          </w:tcPr>
          <w:p w:rsidR="00D31B12" w:rsidRPr="003C5D6B" w:rsidRDefault="00D31B12" w:rsidP="003C5D6B">
            <w:pPr>
              <w:pStyle w:val="Tabletext"/>
              <w:rPr>
                <w:rFonts w:asciiTheme="majorBidi" w:hAnsiTheme="majorBidi" w:cstheme="majorBidi"/>
                <w:szCs w:val="22"/>
              </w:rPr>
            </w:pPr>
          </w:p>
        </w:tc>
        <w:tc>
          <w:tcPr>
            <w:tcW w:w="2807" w:type="dxa"/>
            <w:vAlign w:val="center"/>
          </w:tcPr>
          <w:p w:rsidR="00D31B12" w:rsidRPr="003C5D6B" w:rsidRDefault="00D31B12" w:rsidP="003C5D6B">
            <w:pPr>
              <w:pStyle w:val="Tabletext"/>
              <w:rPr>
                <w:rFonts w:asciiTheme="majorBidi" w:hAnsiTheme="majorBidi" w:cstheme="majorBidi"/>
                <w:szCs w:val="22"/>
                <w:lang w:eastAsia="de-DE"/>
              </w:rPr>
            </w:pPr>
            <w:r w:rsidRPr="003C5D6B">
              <w:rPr>
                <w:rFonts w:asciiTheme="majorBidi" w:hAnsiTheme="majorBidi" w:cstheme="majorBidi"/>
                <w:szCs w:val="22"/>
                <w:lang w:eastAsia="de-DE"/>
              </w:rPr>
              <w:t xml:space="preserve">Area between </w:t>
            </w:r>
            <w:r w:rsidRPr="003C5D6B">
              <w:rPr>
                <w:rFonts w:asciiTheme="majorBidi" w:hAnsiTheme="majorBidi" w:cstheme="majorBidi"/>
                <w:szCs w:val="22"/>
              </w:rPr>
              <w:t xml:space="preserve">Umm Al Qaiwain and </w:t>
            </w:r>
            <w:r w:rsidRPr="003C5D6B">
              <w:rPr>
                <w:rFonts w:asciiTheme="majorBidi" w:hAnsiTheme="majorBidi" w:cstheme="majorBidi"/>
                <w:szCs w:val="22"/>
                <w:lang w:eastAsia="de-DE"/>
              </w:rPr>
              <w:t>Ras Al Khaimah</w:t>
            </w:r>
          </w:p>
        </w:tc>
        <w:tc>
          <w:tcPr>
            <w:tcW w:w="2628" w:type="dxa"/>
          </w:tcPr>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30’ E – 25° 40’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56° 05’ E – 25° 40’ N</w:t>
            </w:r>
          </w:p>
          <w:p w:rsidR="00D31B12" w:rsidRPr="00E92FFB" w:rsidRDefault="00D31B12" w:rsidP="003C5D6B">
            <w:pPr>
              <w:pStyle w:val="Tabletext"/>
              <w:rPr>
                <w:rFonts w:asciiTheme="majorBidi" w:hAnsiTheme="majorBidi" w:cstheme="majorBidi"/>
                <w:szCs w:val="22"/>
                <w:lang w:val="es-ES_tradnl"/>
              </w:rPr>
            </w:pPr>
            <w:r w:rsidRPr="00E92FFB">
              <w:rPr>
                <w:rFonts w:asciiTheme="majorBidi" w:hAnsiTheme="majorBidi" w:cstheme="majorBidi"/>
                <w:szCs w:val="22"/>
                <w:lang w:val="es-ES_tradnl"/>
              </w:rPr>
              <w:t>55° 55’ E – 25° 20’ N</w:t>
            </w:r>
          </w:p>
        </w:tc>
      </w:tr>
      <w:tr w:rsidR="00D31B12" w:rsidRPr="003C5D6B" w:rsidTr="003C5D6B">
        <w:trPr>
          <w:trHeight w:val="350"/>
        </w:trPr>
        <w:tc>
          <w:tcPr>
            <w:tcW w:w="1713" w:type="dxa"/>
            <w:vAlign w:val="center"/>
          </w:tcPr>
          <w:p w:rsidR="00D31B12" w:rsidRPr="003C5D6B" w:rsidRDefault="00D31B12" w:rsidP="003C5D6B">
            <w:pPr>
              <w:pStyle w:val="Tabletext"/>
              <w:rPr>
                <w:rFonts w:asciiTheme="majorBidi" w:hAnsiTheme="majorBidi" w:cstheme="majorBidi"/>
                <w:b/>
                <w:bCs/>
                <w:szCs w:val="22"/>
                <w:lang w:eastAsia="de-DE"/>
              </w:rPr>
            </w:pPr>
            <w:r w:rsidRPr="003C5D6B">
              <w:rPr>
                <w:rFonts w:asciiTheme="majorBidi" w:hAnsiTheme="majorBidi" w:cstheme="majorBidi"/>
                <w:b/>
                <w:bCs/>
                <w:szCs w:val="22"/>
                <w:lang w:eastAsia="de-DE"/>
              </w:rPr>
              <w:t>0.50 (low)</w:t>
            </w:r>
          </w:p>
        </w:tc>
        <w:tc>
          <w:tcPr>
            <w:tcW w:w="5435" w:type="dxa"/>
            <w:gridSpan w:val="2"/>
            <w:vAlign w:val="center"/>
          </w:tcPr>
          <w:p w:rsidR="00D31B12" w:rsidRPr="003C5D6B" w:rsidRDefault="00D31B12" w:rsidP="003C5D6B">
            <w:pPr>
              <w:pStyle w:val="Tabletext"/>
              <w:rPr>
                <w:rFonts w:asciiTheme="majorBidi" w:hAnsiTheme="majorBidi" w:cstheme="majorBidi"/>
                <w:szCs w:val="22"/>
                <w:lang w:eastAsia="de-DE"/>
              </w:rPr>
            </w:pPr>
            <w:r w:rsidRPr="003C5D6B">
              <w:rPr>
                <w:rFonts w:asciiTheme="majorBidi" w:hAnsiTheme="majorBidi" w:cstheme="majorBidi"/>
                <w:szCs w:val="22"/>
                <w:lang w:eastAsia="de-DE"/>
              </w:rPr>
              <w:t>All remaining areas</w:t>
            </w:r>
          </w:p>
        </w:tc>
      </w:tr>
    </w:tbl>
    <w:p w:rsidR="00D31B12" w:rsidRPr="003C5D6B" w:rsidRDefault="00D31B12" w:rsidP="00D31B12">
      <w:pPr>
        <w:pStyle w:val="FigureSource"/>
        <w:rPr>
          <w:lang w:val="en-GB"/>
        </w:rPr>
      </w:pPr>
    </w:p>
    <w:p w:rsidR="00D31B12" w:rsidRPr="003C5D6B" w:rsidRDefault="00D31B12" w:rsidP="00D31B12">
      <w:pPr>
        <w:pStyle w:val="FigureTitle"/>
        <w:rPr>
          <w:lang w:val="en-GB"/>
        </w:rPr>
      </w:pPr>
    </w:p>
    <w:p w:rsidR="00D31B12" w:rsidRPr="003C5D6B" w:rsidRDefault="00D31B12" w:rsidP="00D31B12">
      <w:pPr>
        <w:ind w:left="1599" w:hanging="902"/>
        <w:jc w:val="center"/>
        <w:rPr>
          <w:szCs w:val="19"/>
        </w:rPr>
      </w:pPr>
      <w:r w:rsidRPr="003C5D6B">
        <w:rPr>
          <w:noProof/>
          <w:szCs w:val="19"/>
          <w:lang w:val="en-US" w:eastAsia="zh-CN"/>
        </w:rPr>
        <w:drawing>
          <wp:inline distT="0" distB="0" distL="0" distR="0">
            <wp:extent cx="4933950" cy="4267200"/>
            <wp:effectExtent l="19050" t="0" r="0" b="0"/>
            <wp:docPr id="1" name="Picture 2" descr="UA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E-TRA"/>
                    <pic:cNvPicPr>
                      <a:picLocks noChangeAspect="1" noChangeArrowheads="1"/>
                    </pic:cNvPicPr>
                  </pic:nvPicPr>
                  <pic:blipFill>
                    <a:blip r:embed="rId19" cstate="print"/>
                    <a:srcRect/>
                    <a:stretch>
                      <a:fillRect/>
                    </a:stretch>
                  </pic:blipFill>
                  <pic:spPr bwMode="auto">
                    <a:xfrm>
                      <a:off x="0" y="0"/>
                      <a:ext cx="4933950" cy="4267200"/>
                    </a:xfrm>
                    <a:prstGeom prst="rect">
                      <a:avLst/>
                    </a:prstGeom>
                    <a:noFill/>
                    <a:ln w="9525">
                      <a:noFill/>
                      <a:miter lim="800000"/>
                      <a:headEnd/>
                      <a:tailEnd/>
                    </a:ln>
                  </pic:spPr>
                </pic:pic>
              </a:graphicData>
            </a:graphic>
          </wp:inline>
        </w:drawing>
      </w:r>
    </w:p>
    <w:p w:rsidR="00D31B12" w:rsidRPr="003C5D6B" w:rsidRDefault="00D31B12" w:rsidP="00D31B12">
      <w:pPr>
        <w:pStyle w:val="TableNotitle"/>
        <w:rPr>
          <w:sz w:val="19"/>
          <w:szCs w:val="19"/>
        </w:rPr>
      </w:pPr>
      <w:r w:rsidRPr="003C5D6B">
        <w:rPr>
          <w:sz w:val="19"/>
          <w:szCs w:val="19"/>
        </w:rPr>
        <w:t>Satellite view of the United Arab Emirates with marked Service Zones</w:t>
      </w:r>
    </w:p>
    <w:p w:rsidR="00D31B12" w:rsidRPr="003C5D6B" w:rsidRDefault="00D31B12" w:rsidP="00D31B12">
      <w:pPr>
        <w:ind w:left="3800" w:hanging="2200"/>
        <w:rPr>
          <w:b/>
          <w:szCs w:val="19"/>
        </w:rPr>
      </w:pPr>
      <w:r w:rsidRPr="003C5D6B">
        <w:rPr>
          <w:b/>
          <w:szCs w:val="19"/>
        </w:rPr>
        <w:t>Red Zones:</w:t>
      </w:r>
      <w:r w:rsidRPr="003C5D6B">
        <w:rPr>
          <w:b/>
          <w:szCs w:val="19"/>
        </w:rPr>
        <w:tab/>
        <w:t>Service Zone Factor D high (1.00)</w:t>
      </w:r>
    </w:p>
    <w:p w:rsidR="00D31B12" w:rsidRPr="003C5D6B" w:rsidRDefault="00D31B12" w:rsidP="00D31B12">
      <w:pPr>
        <w:ind w:left="3800" w:hanging="2200"/>
        <w:rPr>
          <w:b/>
          <w:szCs w:val="19"/>
        </w:rPr>
      </w:pPr>
      <w:r w:rsidRPr="003C5D6B">
        <w:rPr>
          <w:b/>
          <w:szCs w:val="19"/>
        </w:rPr>
        <w:t>Green Zones:</w:t>
      </w:r>
      <w:r w:rsidRPr="003C5D6B">
        <w:rPr>
          <w:b/>
          <w:szCs w:val="19"/>
        </w:rPr>
        <w:tab/>
        <w:t>Service Zone Factor D medium (0.75)</w:t>
      </w:r>
    </w:p>
    <w:p w:rsidR="00D31B12" w:rsidRPr="003C5D6B" w:rsidRDefault="00D31B12" w:rsidP="00D31B12">
      <w:pPr>
        <w:ind w:left="3800" w:hanging="2200"/>
        <w:rPr>
          <w:b/>
          <w:szCs w:val="19"/>
        </w:rPr>
      </w:pPr>
      <w:r w:rsidRPr="003C5D6B">
        <w:rPr>
          <w:b/>
          <w:szCs w:val="19"/>
        </w:rPr>
        <w:t>Remaining Zones:</w:t>
      </w:r>
      <w:r w:rsidRPr="003C5D6B">
        <w:rPr>
          <w:b/>
          <w:szCs w:val="19"/>
        </w:rPr>
        <w:tab/>
        <w:t>Service Zone Factor D low (0.50)</w:t>
      </w:r>
    </w:p>
    <w:p w:rsidR="00D31B12" w:rsidRPr="003C5D6B" w:rsidRDefault="00D31B12" w:rsidP="00D31B12">
      <w:pPr>
        <w:pStyle w:val="FigureSource"/>
        <w:rPr>
          <w:lang w:val="en-GB"/>
        </w:rPr>
      </w:pPr>
    </w:p>
    <w:p w:rsidR="00D31B12" w:rsidRPr="003C5D6B" w:rsidRDefault="00D31B12" w:rsidP="00D31B12">
      <w:pPr>
        <w:ind w:left="1191" w:hanging="1191"/>
        <w:rPr>
          <w:szCs w:val="19"/>
        </w:rPr>
      </w:pPr>
      <w:r w:rsidRPr="003C5D6B">
        <w:rPr>
          <w:b/>
          <w:szCs w:val="19"/>
        </w:rPr>
        <w:tab/>
      </w:r>
      <w:r w:rsidRPr="003C5D6B">
        <w:rPr>
          <w:b/>
          <w:szCs w:val="19"/>
        </w:rPr>
        <w:tab/>
        <w:t>Note 1:</w:t>
      </w:r>
      <w:r w:rsidRPr="003C5D6B">
        <w:rPr>
          <w:szCs w:val="19"/>
        </w:rPr>
        <w:tab/>
        <w:t>Any transmission from a certain location having medium or low Service Zone Factor into (partly or entirely) a Service Zone of higher level will upgrade this particular station in Service Zone Factor to the higher level which may be also a two step increase.</w:t>
      </w:r>
    </w:p>
    <w:p w:rsidR="00D31B12" w:rsidRPr="003C5D6B" w:rsidRDefault="00D31B12" w:rsidP="00D31B12">
      <w:pPr>
        <w:ind w:left="1191" w:hanging="1191"/>
        <w:rPr>
          <w:szCs w:val="19"/>
        </w:rPr>
      </w:pPr>
      <w:r w:rsidRPr="003C5D6B">
        <w:rPr>
          <w:b/>
          <w:szCs w:val="19"/>
        </w:rPr>
        <w:tab/>
      </w:r>
      <w:r w:rsidRPr="003C5D6B">
        <w:rPr>
          <w:b/>
          <w:szCs w:val="19"/>
        </w:rPr>
        <w:tab/>
        <w:t>Note 2:</w:t>
      </w:r>
      <w:r w:rsidRPr="003C5D6B">
        <w:rPr>
          <w:szCs w:val="19"/>
        </w:rPr>
        <w:tab/>
        <w:t xml:space="preserve">For Broadcasting Services in the HF and lower frequency bands, the Service Zone Factor = 1. </w:t>
      </w:r>
    </w:p>
    <w:p w:rsidR="00D31B12" w:rsidRPr="003C5D6B" w:rsidRDefault="00D31B12" w:rsidP="00D31B12">
      <w:pPr>
        <w:ind w:left="1191" w:hanging="1191"/>
        <w:rPr>
          <w:b/>
          <w:bCs/>
          <w:szCs w:val="19"/>
        </w:rPr>
      </w:pPr>
      <w:r w:rsidRPr="003C5D6B">
        <w:rPr>
          <w:b/>
          <w:szCs w:val="19"/>
        </w:rPr>
        <w:tab/>
      </w:r>
      <w:r w:rsidRPr="003C5D6B">
        <w:rPr>
          <w:b/>
          <w:szCs w:val="19"/>
        </w:rPr>
        <w:tab/>
        <w:t>E = Antenna Height Factor as follows:</w:t>
      </w:r>
    </w:p>
    <w:p w:rsidR="00D31B12" w:rsidRPr="003C5D6B" w:rsidRDefault="00D31B12" w:rsidP="00D31B12">
      <w:pPr>
        <w:ind w:left="1191" w:hanging="1191"/>
        <w:rPr>
          <w:szCs w:val="19"/>
        </w:rPr>
      </w:pPr>
      <w:r w:rsidRPr="003C5D6B">
        <w:rPr>
          <w:szCs w:val="19"/>
        </w:rPr>
        <w:tab/>
      </w:r>
      <w:r w:rsidRPr="003C5D6B">
        <w:rPr>
          <w:szCs w:val="19"/>
        </w:rPr>
        <w:tab/>
        <w:t>The Antenna Height Factor is calculated as follows:</w:t>
      </w:r>
    </w:p>
    <w:p w:rsidR="00D31B12" w:rsidRPr="003C5D6B" w:rsidRDefault="00D31B12" w:rsidP="00D31B12">
      <w:pPr>
        <w:ind w:left="2160" w:hanging="1463"/>
        <w:jc w:val="center"/>
        <w:rPr>
          <w:b/>
          <w:bCs/>
          <w:szCs w:val="19"/>
          <w:vertAlign w:val="subscript"/>
        </w:rPr>
      </w:pPr>
      <w:r w:rsidRPr="003C5D6B">
        <w:rPr>
          <w:b/>
          <w:szCs w:val="19"/>
        </w:rPr>
        <w:t>E = H</w:t>
      </w:r>
      <w:r w:rsidRPr="003C5D6B">
        <w:rPr>
          <w:b/>
          <w:szCs w:val="19"/>
          <w:vertAlign w:val="subscript"/>
        </w:rPr>
        <w:t>ASL</w:t>
      </w:r>
      <w:r w:rsidRPr="003C5D6B">
        <w:rPr>
          <w:b/>
          <w:szCs w:val="19"/>
        </w:rPr>
        <w:t xml:space="preserve"> + H</w:t>
      </w:r>
      <w:r w:rsidRPr="003C5D6B">
        <w:rPr>
          <w:b/>
          <w:szCs w:val="19"/>
          <w:vertAlign w:val="subscript"/>
        </w:rPr>
        <w:t>AGL</w:t>
      </w:r>
    </w:p>
    <w:p w:rsidR="00D31B12" w:rsidRPr="003C5D6B" w:rsidRDefault="00D31B12" w:rsidP="00D31B12">
      <w:pPr>
        <w:ind w:left="1191" w:hanging="1191"/>
        <w:rPr>
          <w:szCs w:val="19"/>
        </w:rPr>
      </w:pPr>
      <w:r w:rsidRPr="003C5D6B">
        <w:rPr>
          <w:szCs w:val="19"/>
        </w:rPr>
        <w:tab/>
      </w:r>
      <w:r w:rsidRPr="003C5D6B">
        <w:rPr>
          <w:szCs w:val="19"/>
        </w:rPr>
        <w:tab/>
        <w:t xml:space="preserve">whereby </w:t>
      </w:r>
      <w:r w:rsidRPr="003C5D6B">
        <w:rPr>
          <w:b/>
          <w:szCs w:val="19"/>
        </w:rPr>
        <w:t>H</w:t>
      </w:r>
      <w:r w:rsidRPr="003C5D6B">
        <w:rPr>
          <w:b/>
          <w:szCs w:val="19"/>
          <w:vertAlign w:val="subscript"/>
        </w:rPr>
        <w:t>ASL</w:t>
      </w:r>
      <w:r w:rsidRPr="003C5D6B">
        <w:rPr>
          <w:szCs w:val="19"/>
        </w:rPr>
        <w:t xml:space="preserve"> is the height above sea level in meters and </w:t>
      </w:r>
      <w:r w:rsidRPr="003C5D6B">
        <w:rPr>
          <w:b/>
          <w:szCs w:val="19"/>
        </w:rPr>
        <w:t>H</w:t>
      </w:r>
      <w:r w:rsidRPr="003C5D6B">
        <w:rPr>
          <w:b/>
          <w:szCs w:val="19"/>
          <w:vertAlign w:val="subscript"/>
        </w:rPr>
        <w:t>AGL</w:t>
      </w:r>
      <w:r w:rsidRPr="003C5D6B">
        <w:rPr>
          <w:szCs w:val="19"/>
        </w:rPr>
        <w:t xml:space="preserve"> is the height above ground level in meters.</w:t>
      </w:r>
    </w:p>
    <w:p w:rsidR="00D31B12" w:rsidRPr="003C5D6B" w:rsidRDefault="00D31B12" w:rsidP="00D31B12">
      <w:pPr>
        <w:ind w:left="1191" w:hanging="1191"/>
        <w:rPr>
          <w:szCs w:val="19"/>
        </w:rPr>
      </w:pPr>
      <w:r w:rsidRPr="003C5D6B">
        <w:rPr>
          <w:szCs w:val="19"/>
        </w:rPr>
        <w:tab/>
      </w:r>
      <w:r w:rsidRPr="003C5D6B">
        <w:rPr>
          <w:szCs w:val="19"/>
        </w:rPr>
        <w:tab/>
      </w:r>
      <w:r w:rsidRPr="003C5D6B">
        <w:rPr>
          <w:b/>
          <w:szCs w:val="19"/>
        </w:rPr>
        <w:t>F = Correction Factor</w:t>
      </w:r>
      <w:r w:rsidRPr="003C5D6B">
        <w:rPr>
          <w:szCs w:val="19"/>
        </w:rPr>
        <w:t xml:space="preserve"> as follows:</w:t>
      </w:r>
    </w:p>
    <w:p w:rsidR="00D31B12" w:rsidRPr="003C5D6B" w:rsidRDefault="00D31B12" w:rsidP="00D31B12">
      <w:pPr>
        <w:pStyle w:val="enumlev1"/>
        <w:ind w:left="1588" w:hanging="1588"/>
        <w:rPr>
          <w:rFonts w:asciiTheme="majorBidi" w:hAnsiTheme="majorBidi" w:cstheme="majorBidi"/>
          <w:szCs w:val="22"/>
        </w:rPr>
      </w:pPr>
      <w:r w:rsidRPr="003C5D6B">
        <w:rPr>
          <w:rFonts w:asciiTheme="majorBidi" w:hAnsiTheme="majorBidi" w:cstheme="majorBidi"/>
          <w:szCs w:val="22"/>
        </w:rPr>
        <w:tab/>
      </w:r>
      <w:r w:rsidRPr="003C5D6B">
        <w:rPr>
          <w:rFonts w:asciiTheme="majorBidi" w:hAnsiTheme="majorBidi" w:cstheme="majorBidi"/>
          <w:szCs w:val="22"/>
        </w:rPr>
        <w:tab/>
        <w:t>a)</w:t>
      </w:r>
      <w:r w:rsidRPr="003C5D6B">
        <w:rPr>
          <w:rFonts w:asciiTheme="majorBidi" w:hAnsiTheme="majorBidi" w:cstheme="majorBidi"/>
          <w:szCs w:val="22"/>
        </w:rPr>
        <w:tab/>
        <w:t>For Governmental Broadcasting Stations which are operating on a non-commercial base, a Correction Factor (F) of 0.5 shall be applied.</w:t>
      </w:r>
    </w:p>
    <w:p w:rsidR="00D31B12" w:rsidRPr="003C5D6B" w:rsidRDefault="00D31B12" w:rsidP="00D31B12">
      <w:pPr>
        <w:pStyle w:val="enumlev1"/>
        <w:ind w:left="1588" w:hanging="1588"/>
        <w:rPr>
          <w:rFonts w:asciiTheme="majorBidi" w:hAnsiTheme="majorBidi" w:cstheme="majorBidi"/>
          <w:szCs w:val="22"/>
        </w:rPr>
      </w:pPr>
      <w:r w:rsidRPr="003C5D6B">
        <w:rPr>
          <w:rFonts w:asciiTheme="majorBidi" w:hAnsiTheme="majorBidi" w:cstheme="majorBidi"/>
          <w:szCs w:val="22"/>
        </w:rPr>
        <w:lastRenderedPageBreak/>
        <w:tab/>
      </w:r>
      <w:r w:rsidRPr="003C5D6B">
        <w:rPr>
          <w:rFonts w:asciiTheme="majorBidi" w:hAnsiTheme="majorBidi" w:cstheme="majorBidi"/>
          <w:szCs w:val="22"/>
        </w:rPr>
        <w:tab/>
        <w:t>b)</w:t>
      </w:r>
      <w:r w:rsidRPr="003C5D6B">
        <w:rPr>
          <w:rFonts w:asciiTheme="majorBidi" w:hAnsiTheme="majorBidi" w:cstheme="majorBidi"/>
          <w:szCs w:val="22"/>
        </w:rPr>
        <w:tab/>
        <w:t>For promoting new digital terrestrial audio and video broadcasting technologies, a reduction of 25% shall be granted during the period before 2015; (i.e. Correction Factor = 0.75). This reduction is only limited to the above specified period and maybe accompanied with other conditions made by the TRA.</w:t>
      </w:r>
    </w:p>
    <w:p w:rsidR="00D31B12" w:rsidRPr="003C5D6B" w:rsidRDefault="00D31B12" w:rsidP="00D31B12">
      <w:pPr>
        <w:pStyle w:val="enumlev1"/>
        <w:ind w:left="1588" w:hanging="1588"/>
        <w:rPr>
          <w:rFonts w:asciiTheme="majorBidi" w:hAnsiTheme="majorBidi" w:cstheme="majorBidi"/>
          <w:szCs w:val="22"/>
        </w:rPr>
      </w:pPr>
      <w:r w:rsidRPr="003C5D6B">
        <w:rPr>
          <w:rFonts w:asciiTheme="majorBidi" w:hAnsiTheme="majorBidi" w:cstheme="majorBidi"/>
          <w:szCs w:val="22"/>
        </w:rPr>
        <w:tab/>
      </w:r>
      <w:r w:rsidRPr="003C5D6B">
        <w:rPr>
          <w:rFonts w:asciiTheme="majorBidi" w:hAnsiTheme="majorBidi" w:cstheme="majorBidi"/>
          <w:szCs w:val="22"/>
        </w:rPr>
        <w:tab/>
        <w:t>c)</w:t>
      </w:r>
      <w:r w:rsidRPr="003C5D6B">
        <w:rPr>
          <w:rFonts w:asciiTheme="majorBidi" w:hAnsiTheme="majorBidi" w:cstheme="majorBidi"/>
          <w:szCs w:val="22"/>
        </w:rPr>
        <w:tab/>
        <w:t>For all other assignments, the value of Correction Factor = 1.</w:t>
      </w:r>
    </w:p>
    <w:p w:rsidR="00D31B12" w:rsidRPr="003C5D6B" w:rsidRDefault="00D31B12" w:rsidP="00D31B12">
      <w:pPr>
        <w:pStyle w:val="Heading2"/>
        <w:rPr>
          <w:b w:val="0"/>
          <w:bCs/>
        </w:rPr>
      </w:pPr>
      <w:bookmarkStart w:id="639" w:name="_Toc280260046"/>
      <w:bookmarkStart w:id="640" w:name="_Toc280272507"/>
      <w:bookmarkStart w:id="641" w:name="_Toc284414178"/>
      <w:bookmarkStart w:id="642" w:name="_Toc286314922"/>
      <w:bookmarkStart w:id="643" w:name="_Toc287523371"/>
      <w:bookmarkStart w:id="644" w:name="_Toc195057826"/>
      <w:r w:rsidRPr="003C5D6B">
        <w:rPr>
          <w:b w:val="0"/>
          <w:bCs/>
        </w:rPr>
        <w:t>26.2</w:t>
      </w:r>
      <w:r w:rsidRPr="003C5D6B">
        <w:rPr>
          <w:b w:val="0"/>
          <w:bCs/>
        </w:rPr>
        <w:tab/>
        <w:t>HF Seasonal Sound Broadcasting</w:t>
      </w:r>
      <w:bookmarkEnd w:id="639"/>
      <w:bookmarkEnd w:id="640"/>
      <w:bookmarkEnd w:id="641"/>
      <w:bookmarkEnd w:id="642"/>
      <w:bookmarkEnd w:id="643"/>
    </w:p>
    <w:p w:rsidR="00D31B12" w:rsidRPr="003C5D6B" w:rsidRDefault="00D31B12" w:rsidP="00D31B12">
      <w:pPr>
        <w:rPr>
          <w:szCs w:val="19"/>
        </w:rPr>
      </w:pPr>
      <w:r w:rsidRPr="003C5D6B">
        <w:rPr>
          <w:szCs w:val="19"/>
        </w:rPr>
        <w:t>For HF Seasonal Sound Broadcasting Services, the Spectrum Fee shall be charged per transmitter basis and for each transmitter the annual Spectrum Fees shall be:</w:t>
      </w:r>
    </w:p>
    <w:p w:rsidR="00D31B12" w:rsidRPr="003C5D6B" w:rsidRDefault="00D31B12" w:rsidP="00D31B12">
      <w:pPr>
        <w:jc w:val="center"/>
        <w:rPr>
          <w:b/>
          <w:bCs/>
          <w:szCs w:val="19"/>
        </w:rPr>
      </w:pPr>
      <w:r w:rsidRPr="003C5D6B">
        <w:rPr>
          <w:b/>
          <w:bCs/>
          <w:szCs w:val="19"/>
        </w:rPr>
        <w:t>Spectrum Fees = AED 30,000</w:t>
      </w:r>
    </w:p>
    <w:p w:rsidR="00D31B12" w:rsidRPr="003C5D6B" w:rsidRDefault="00D31B12" w:rsidP="00D31B12">
      <w:pPr>
        <w:pStyle w:val="Heading2"/>
        <w:rPr>
          <w:b w:val="0"/>
          <w:bCs/>
        </w:rPr>
      </w:pPr>
      <w:bookmarkStart w:id="645" w:name="_Toc280260047"/>
      <w:bookmarkStart w:id="646" w:name="_Toc280272508"/>
      <w:bookmarkStart w:id="647" w:name="_Toc284414179"/>
      <w:bookmarkStart w:id="648" w:name="_Toc286314923"/>
      <w:bookmarkStart w:id="649" w:name="_Toc287523372"/>
      <w:bookmarkEnd w:id="644"/>
      <w:r w:rsidRPr="003C5D6B">
        <w:rPr>
          <w:b w:val="0"/>
          <w:bCs/>
        </w:rPr>
        <w:t>26.3</w:t>
      </w:r>
      <w:r w:rsidRPr="003C5D6B">
        <w:rPr>
          <w:b w:val="0"/>
          <w:bCs/>
        </w:rPr>
        <w:tab/>
        <w:t>Satellite Radio and Television Broadcasting</w:t>
      </w:r>
      <w:bookmarkEnd w:id="645"/>
      <w:bookmarkEnd w:id="646"/>
      <w:bookmarkEnd w:id="647"/>
      <w:bookmarkEnd w:id="648"/>
      <w:bookmarkEnd w:id="649"/>
    </w:p>
    <w:p w:rsidR="00D31B12" w:rsidRPr="003C5D6B" w:rsidRDefault="00D31B12" w:rsidP="00D31B12">
      <w:pPr>
        <w:rPr>
          <w:szCs w:val="19"/>
        </w:rPr>
      </w:pPr>
      <w:r w:rsidRPr="003C5D6B">
        <w:rPr>
          <w:szCs w:val="19"/>
        </w:rPr>
        <w:t>Up linking of DAB and DVB-SH shall be charged at 200,000 AED per multiplex unit, DVB-S and DVB-RCS by 400,000 AED per multiplex unit.</w:t>
      </w:r>
    </w:p>
    <w:p w:rsidR="00D31B12" w:rsidRPr="003C5D6B" w:rsidRDefault="00D31B12" w:rsidP="00D31B12">
      <w:pPr>
        <w:rPr>
          <w:szCs w:val="19"/>
        </w:rPr>
      </w:pPr>
      <w:r w:rsidRPr="003C5D6B">
        <w:rPr>
          <w:szCs w:val="19"/>
        </w:rPr>
        <w:t>A multiplex unit is defined as one channel (signal) with appropriate bandwidth containing several programmes combined by digital multiplexing and compressing.</w:t>
      </w:r>
    </w:p>
    <w:p w:rsidR="00D31B12" w:rsidRPr="003C5D6B" w:rsidRDefault="00D31B12" w:rsidP="00D31B12">
      <w:pPr>
        <w:pStyle w:val="Arttitle"/>
        <w:spacing w:before="400"/>
      </w:pPr>
      <w:bookmarkStart w:id="650" w:name="_Toc280261849"/>
      <w:bookmarkStart w:id="651" w:name="_Toc280262347"/>
      <w:bookmarkStart w:id="652" w:name="_Toc280272741"/>
      <w:bookmarkStart w:id="653" w:name="_Toc280272920"/>
      <w:bookmarkStart w:id="654" w:name="_Toc284419435"/>
      <w:bookmarkStart w:id="655" w:name="_Toc286315752"/>
      <w:bookmarkStart w:id="656" w:name="_Toc287523828"/>
      <w:r w:rsidRPr="003C5D6B">
        <w:t>Article 27</w:t>
      </w:r>
      <w:r w:rsidRPr="003C5D6B">
        <w:br/>
      </w:r>
      <w:r w:rsidRPr="003C5D6B">
        <w:br/>
      </w:r>
      <w:bookmarkStart w:id="657" w:name="_Toc199215050"/>
      <w:r w:rsidRPr="003C5D6B">
        <w:t>Short-range devices</w:t>
      </w:r>
      <w:bookmarkEnd w:id="650"/>
      <w:bookmarkEnd w:id="651"/>
      <w:bookmarkEnd w:id="652"/>
      <w:bookmarkEnd w:id="653"/>
      <w:bookmarkEnd w:id="654"/>
      <w:bookmarkEnd w:id="655"/>
      <w:bookmarkEnd w:id="656"/>
      <w:bookmarkEnd w:id="657"/>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27.1</w:t>
      </w:r>
      <w:r w:rsidRPr="003C5D6B">
        <w:rPr>
          <w:rFonts w:asciiTheme="majorBidi" w:hAnsiTheme="majorBidi" w:cstheme="majorBidi"/>
          <w:szCs w:val="22"/>
        </w:rPr>
        <w:tab/>
        <w:t>All Wireless Transmission equipment meeting the criteria of the Short-Range Devices as determined by the TRA shall be exempted from the annual Spectrum Fees. Class Authorization shall be issued for such Wireless Transmission equipment.</w:t>
      </w:r>
    </w:p>
    <w:p w:rsidR="00D31B12" w:rsidRPr="003C5D6B" w:rsidRDefault="00D31B12" w:rsidP="00D31B12">
      <w:pPr>
        <w:pStyle w:val="enumlev1"/>
        <w:rPr>
          <w:rFonts w:asciiTheme="majorBidi" w:hAnsiTheme="majorBidi" w:cstheme="majorBidi"/>
          <w:szCs w:val="22"/>
        </w:rPr>
      </w:pPr>
      <w:r w:rsidRPr="003C5D6B">
        <w:rPr>
          <w:rFonts w:asciiTheme="majorBidi" w:hAnsiTheme="majorBidi" w:cstheme="majorBidi"/>
          <w:szCs w:val="22"/>
        </w:rPr>
        <w:t>27.2</w:t>
      </w:r>
      <w:r w:rsidRPr="003C5D6B">
        <w:rPr>
          <w:rFonts w:asciiTheme="majorBidi" w:hAnsiTheme="majorBidi" w:cstheme="majorBidi"/>
          <w:szCs w:val="22"/>
        </w:rPr>
        <w:tab/>
        <w:t>Low-Power Transmitting Equipment intended for strictly indoor use having less than 1 W effective radiated power and not categorized as short range device shall be charged as follows:</w:t>
      </w:r>
    </w:p>
    <w:p w:rsidR="00D31B12" w:rsidRPr="003C5D6B" w:rsidRDefault="00D31B12" w:rsidP="00D31B12"/>
    <w:p w:rsidR="00D31B12" w:rsidRPr="003C5D6B" w:rsidRDefault="00D31B12" w:rsidP="00D31B12">
      <w:pPr>
        <w:pStyle w:val="FigureTitle"/>
        <w:rPr>
          <w:lang w:val="en-GB"/>
        </w:rPr>
      </w:pPr>
      <w:r w:rsidRPr="003C5D6B">
        <w:rPr>
          <w:lang w:val="en-GB"/>
        </w:rPr>
        <w:t xml:space="preserve">Table </w:t>
      </w:r>
      <w:r w:rsidR="003B6168" w:rsidRPr="003C5D6B">
        <w:rPr>
          <w:lang w:val="en-GB"/>
        </w:rPr>
        <w:fldChar w:fldCharType="begin"/>
      </w:r>
      <w:r w:rsidR="004F7249" w:rsidRPr="003C5D6B">
        <w:rPr>
          <w:lang w:val="en-GB"/>
        </w:rPr>
        <w:instrText xml:space="preserve"> SEQ Figure \* ARABIC </w:instrText>
      </w:r>
      <w:r w:rsidR="003B6168" w:rsidRPr="003C5D6B">
        <w:rPr>
          <w:lang w:val="en-GB"/>
        </w:rPr>
        <w:fldChar w:fldCharType="separate"/>
      </w:r>
      <w:r w:rsidRPr="003C5D6B">
        <w:rPr>
          <w:noProof/>
          <w:lang w:val="en-GB"/>
        </w:rPr>
        <w:t>4</w:t>
      </w:r>
      <w:r w:rsidR="003B6168" w:rsidRPr="003C5D6B">
        <w:rPr>
          <w:lang w:val="en-GB"/>
        </w:rPr>
        <w:fldChar w:fldCharType="end"/>
      </w:r>
      <w:r w:rsidRPr="003C5D6B">
        <w:rPr>
          <w:lang w:val="en-GB"/>
        </w:rPr>
        <w:t xml:space="preserve"> – Annual fee for low-power equipment</w:t>
      </w:r>
    </w:p>
    <w:p w:rsidR="00D31B12" w:rsidRPr="003C5D6B" w:rsidRDefault="00D31B12" w:rsidP="00D31B1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1628"/>
      </w:tblGrid>
      <w:tr w:rsidR="00D31B12" w:rsidRPr="003C5D6B" w:rsidTr="003C5D6B">
        <w:trPr>
          <w:jc w:val="center"/>
        </w:trPr>
        <w:tc>
          <w:tcPr>
            <w:tcW w:w="2470" w:type="dxa"/>
            <w:shd w:val="clear" w:color="auto" w:fill="E6E6E6"/>
            <w:vAlign w:val="center"/>
          </w:tcPr>
          <w:p w:rsidR="00D31B12" w:rsidRPr="003C5D6B" w:rsidRDefault="00D31B12" w:rsidP="003C5D6B">
            <w:pPr>
              <w:pStyle w:val="Tablehead"/>
              <w:spacing w:before="120" w:after="120"/>
              <w:rPr>
                <w:rFonts w:asciiTheme="majorBidi" w:hAnsiTheme="majorBidi" w:cstheme="majorBidi"/>
                <w:szCs w:val="22"/>
              </w:rPr>
            </w:pPr>
            <w:r w:rsidRPr="003C5D6B">
              <w:rPr>
                <w:rFonts w:asciiTheme="majorBidi" w:hAnsiTheme="majorBidi" w:cstheme="majorBidi"/>
                <w:szCs w:val="22"/>
              </w:rPr>
              <w:t>Radiated power</w:t>
            </w:r>
          </w:p>
        </w:tc>
        <w:tc>
          <w:tcPr>
            <w:tcW w:w="1628" w:type="dxa"/>
            <w:shd w:val="clear" w:color="auto" w:fill="E6E6E6"/>
            <w:vAlign w:val="center"/>
          </w:tcPr>
          <w:p w:rsidR="00D31B12" w:rsidRPr="003C5D6B" w:rsidRDefault="00D31B12" w:rsidP="003C5D6B">
            <w:pPr>
              <w:pStyle w:val="Tablehead"/>
              <w:spacing w:before="120" w:after="120"/>
              <w:rPr>
                <w:rFonts w:asciiTheme="majorBidi" w:hAnsiTheme="majorBidi" w:cstheme="majorBidi"/>
                <w:szCs w:val="22"/>
              </w:rPr>
            </w:pPr>
            <w:r w:rsidRPr="003C5D6B">
              <w:rPr>
                <w:rFonts w:asciiTheme="majorBidi" w:hAnsiTheme="majorBidi" w:cstheme="majorBidi"/>
                <w:szCs w:val="22"/>
              </w:rPr>
              <w:t>Annual fee</w:t>
            </w:r>
          </w:p>
        </w:tc>
      </w:tr>
      <w:tr w:rsidR="00D31B12" w:rsidRPr="003C5D6B" w:rsidTr="003C5D6B">
        <w:trPr>
          <w:trHeight w:val="340"/>
          <w:jc w:val="center"/>
        </w:trPr>
        <w:tc>
          <w:tcPr>
            <w:tcW w:w="2470" w:type="dxa"/>
            <w:vAlign w:val="center"/>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up to 10 mW</w:t>
            </w:r>
          </w:p>
        </w:tc>
        <w:tc>
          <w:tcPr>
            <w:tcW w:w="1628" w:type="dxa"/>
            <w:vAlign w:val="center"/>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100 AED</w:t>
            </w:r>
          </w:p>
        </w:tc>
      </w:tr>
      <w:tr w:rsidR="00D31B12" w:rsidRPr="003C5D6B" w:rsidTr="003C5D6B">
        <w:trPr>
          <w:trHeight w:val="340"/>
          <w:jc w:val="center"/>
        </w:trPr>
        <w:tc>
          <w:tcPr>
            <w:tcW w:w="2470" w:type="dxa"/>
            <w:vAlign w:val="center"/>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10 mW to 100 mW</w:t>
            </w:r>
          </w:p>
        </w:tc>
        <w:tc>
          <w:tcPr>
            <w:tcW w:w="1628" w:type="dxa"/>
            <w:vAlign w:val="center"/>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200 AED</w:t>
            </w:r>
          </w:p>
        </w:tc>
      </w:tr>
      <w:tr w:rsidR="00D31B12" w:rsidRPr="003C5D6B" w:rsidTr="003C5D6B">
        <w:trPr>
          <w:trHeight w:val="340"/>
          <w:jc w:val="center"/>
        </w:trPr>
        <w:tc>
          <w:tcPr>
            <w:tcW w:w="2470" w:type="dxa"/>
            <w:vAlign w:val="center"/>
          </w:tcPr>
          <w:p w:rsidR="00D31B12" w:rsidRPr="003C5D6B" w:rsidRDefault="00D31B12" w:rsidP="003C5D6B">
            <w:pPr>
              <w:pStyle w:val="Tabletext"/>
              <w:rPr>
                <w:rFonts w:asciiTheme="majorBidi" w:hAnsiTheme="majorBidi" w:cstheme="majorBidi"/>
                <w:szCs w:val="22"/>
              </w:rPr>
            </w:pPr>
            <w:r w:rsidRPr="003C5D6B">
              <w:rPr>
                <w:rFonts w:asciiTheme="majorBidi" w:hAnsiTheme="majorBidi" w:cstheme="majorBidi"/>
                <w:szCs w:val="22"/>
              </w:rPr>
              <w:t>100 mW to 1 W</w:t>
            </w:r>
          </w:p>
        </w:tc>
        <w:tc>
          <w:tcPr>
            <w:tcW w:w="1628" w:type="dxa"/>
            <w:vAlign w:val="center"/>
          </w:tcPr>
          <w:p w:rsidR="00D31B12" w:rsidRPr="003C5D6B" w:rsidRDefault="00D31B12" w:rsidP="003C5D6B">
            <w:pPr>
              <w:pStyle w:val="Tabletext"/>
              <w:jc w:val="center"/>
              <w:rPr>
                <w:rFonts w:asciiTheme="majorBidi" w:hAnsiTheme="majorBidi" w:cstheme="majorBidi"/>
                <w:szCs w:val="22"/>
              </w:rPr>
            </w:pPr>
            <w:r w:rsidRPr="003C5D6B">
              <w:rPr>
                <w:rFonts w:asciiTheme="majorBidi" w:hAnsiTheme="majorBidi" w:cstheme="majorBidi"/>
                <w:szCs w:val="22"/>
              </w:rPr>
              <w:t>400 AED</w:t>
            </w:r>
          </w:p>
        </w:tc>
      </w:tr>
    </w:tbl>
    <w:p w:rsidR="00D31B12" w:rsidRPr="003C5D6B" w:rsidRDefault="00D31B12" w:rsidP="00D31B12">
      <w:pPr>
        <w:pStyle w:val="FigureSource"/>
        <w:rPr>
          <w:lang w:val="en-GB"/>
        </w:rPr>
      </w:pPr>
    </w:p>
    <w:p w:rsidR="00D31B12" w:rsidRPr="003C5D6B" w:rsidRDefault="00D31B12" w:rsidP="00D31B12">
      <w:pPr>
        <w:pStyle w:val="Arttitle"/>
        <w:spacing w:before="400"/>
        <w:rPr>
          <w:bCs/>
        </w:rPr>
      </w:pPr>
      <w:bookmarkStart w:id="658" w:name="_Toc280261850"/>
      <w:bookmarkStart w:id="659" w:name="_Toc280262348"/>
      <w:bookmarkStart w:id="660" w:name="_Toc280272742"/>
      <w:bookmarkStart w:id="661" w:name="_Toc280272921"/>
      <w:bookmarkStart w:id="662" w:name="_Toc284419436"/>
      <w:bookmarkStart w:id="663" w:name="_Toc286315753"/>
      <w:bookmarkStart w:id="664" w:name="_Toc287523829"/>
      <w:r w:rsidRPr="003C5D6B">
        <w:t>Article 28</w:t>
      </w:r>
      <w:r w:rsidRPr="003C5D6B">
        <w:rPr>
          <w:bCs/>
        </w:rPr>
        <w:br/>
      </w:r>
      <w:r w:rsidRPr="003C5D6B">
        <w:rPr>
          <w:bCs/>
        </w:rPr>
        <w:br/>
      </w:r>
      <w:bookmarkStart w:id="665" w:name="_Toc199215051"/>
      <w:r w:rsidRPr="003C5D6B">
        <w:t>Emergency and disaster frequencies</w:t>
      </w:r>
      <w:bookmarkEnd w:id="658"/>
      <w:bookmarkEnd w:id="659"/>
      <w:bookmarkEnd w:id="660"/>
      <w:bookmarkEnd w:id="661"/>
      <w:bookmarkEnd w:id="662"/>
      <w:bookmarkEnd w:id="663"/>
      <w:bookmarkEnd w:id="664"/>
      <w:bookmarkEnd w:id="665"/>
    </w:p>
    <w:p w:rsidR="00D31B12" w:rsidRPr="003C5D6B" w:rsidRDefault="00D31B12" w:rsidP="00D31B12">
      <w:pPr>
        <w:rPr>
          <w:szCs w:val="19"/>
        </w:rPr>
      </w:pPr>
      <w:r w:rsidRPr="003C5D6B">
        <w:rPr>
          <w:szCs w:val="19"/>
        </w:rPr>
        <w:t xml:space="preserve">All emergency, distress and safety of life frequencies identified within the National Spectrum Plan and the National Table of Frequency Allocation shall not be charged. All Wireless Transmission equipment made exclusively for safety of life and accepted by the Director General of the TRA as falling within this category shall be exempted from the spectrum Fees. </w:t>
      </w:r>
    </w:p>
    <w:p w:rsidR="00D31B12" w:rsidRPr="003C5D6B" w:rsidRDefault="00D31B12" w:rsidP="00D31B12">
      <w:pPr>
        <w:pStyle w:val="Arttitle"/>
        <w:spacing w:before="400"/>
      </w:pPr>
      <w:bookmarkStart w:id="666" w:name="_Toc280261851"/>
      <w:bookmarkStart w:id="667" w:name="_Toc280262349"/>
      <w:bookmarkStart w:id="668" w:name="_Toc280272743"/>
      <w:bookmarkStart w:id="669" w:name="_Toc280272922"/>
      <w:bookmarkStart w:id="670" w:name="_Toc284419437"/>
      <w:bookmarkStart w:id="671" w:name="_Toc286315754"/>
      <w:bookmarkStart w:id="672" w:name="_Toc287523830"/>
      <w:r w:rsidRPr="003C5D6B">
        <w:lastRenderedPageBreak/>
        <w:t>Article 29</w:t>
      </w:r>
      <w:r w:rsidRPr="003C5D6B">
        <w:br/>
      </w:r>
      <w:r w:rsidRPr="003C5D6B">
        <w:br/>
      </w:r>
      <w:bookmarkStart w:id="673" w:name="_Toc199215052"/>
      <w:r w:rsidRPr="003C5D6B">
        <w:t>Temporary authorization</w:t>
      </w:r>
      <w:bookmarkEnd w:id="666"/>
      <w:bookmarkEnd w:id="667"/>
      <w:bookmarkEnd w:id="668"/>
      <w:bookmarkEnd w:id="669"/>
      <w:bookmarkEnd w:id="670"/>
      <w:bookmarkEnd w:id="671"/>
      <w:bookmarkEnd w:id="672"/>
      <w:bookmarkEnd w:id="673"/>
    </w:p>
    <w:p w:rsidR="00D31B12" w:rsidRPr="003C5D6B" w:rsidRDefault="00D31B12" w:rsidP="00D31B12">
      <w:pPr>
        <w:rPr>
          <w:szCs w:val="19"/>
        </w:rPr>
      </w:pPr>
      <w:r w:rsidRPr="003C5D6B">
        <w:rPr>
          <w:szCs w:val="19"/>
        </w:rPr>
        <w:t xml:space="preserve">Spectrum fees for temporary authorization will be calculated on pro-rata basis of the annual fees in accordance to the radio services. However, a minimum of 100 AED will be charged as spectrum fees in case the amount is less than 100 AED. The temporary spectrum charge will be in addition to the application processing fees. </w:t>
      </w:r>
    </w:p>
    <w:p w:rsidR="00D31B12" w:rsidRPr="003C5D6B" w:rsidRDefault="00D31B12" w:rsidP="00D31B12">
      <w:pPr>
        <w:pStyle w:val="Arttitle"/>
        <w:spacing w:before="400"/>
      </w:pPr>
      <w:bookmarkStart w:id="674" w:name="_Toc280261852"/>
      <w:bookmarkStart w:id="675" w:name="_Toc280262350"/>
      <w:bookmarkStart w:id="676" w:name="_Toc280272744"/>
      <w:bookmarkStart w:id="677" w:name="_Toc280272923"/>
      <w:bookmarkStart w:id="678" w:name="_Toc284419438"/>
      <w:bookmarkStart w:id="679" w:name="_Toc286315755"/>
      <w:bookmarkStart w:id="680" w:name="_Toc287523831"/>
      <w:r w:rsidRPr="003C5D6B">
        <w:t>Article 30</w:t>
      </w:r>
      <w:r w:rsidRPr="003C5D6B">
        <w:br/>
      </w:r>
      <w:r w:rsidRPr="003C5D6B">
        <w:br/>
      </w:r>
      <w:bookmarkStart w:id="681" w:name="_Toc199215053"/>
      <w:r w:rsidRPr="003C5D6B">
        <w:t>Other radio services</w:t>
      </w:r>
      <w:bookmarkEnd w:id="674"/>
      <w:bookmarkEnd w:id="675"/>
      <w:bookmarkEnd w:id="676"/>
      <w:bookmarkEnd w:id="677"/>
      <w:bookmarkEnd w:id="678"/>
      <w:bookmarkEnd w:id="679"/>
      <w:bookmarkEnd w:id="680"/>
      <w:bookmarkEnd w:id="681"/>
    </w:p>
    <w:p w:rsidR="00D31B12" w:rsidRPr="003C5D6B" w:rsidRDefault="00D31B12" w:rsidP="00D31B12">
      <w:pPr>
        <w:rPr>
          <w:szCs w:val="19"/>
        </w:rPr>
      </w:pPr>
      <w:r w:rsidRPr="003C5D6B">
        <w:rPr>
          <w:szCs w:val="19"/>
        </w:rPr>
        <w:t xml:space="preserve">The annual fees of Radio Spectrum Authorization for any other Radio Services which are not covered above shall be determined by the TRA and shall be applicable on approval by the Director General, even before inclusion in the revised issue of this policy. </w:t>
      </w:r>
    </w:p>
    <w:p w:rsidR="00D31B12" w:rsidRPr="003C5D6B" w:rsidRDefault="00D31B12" w:rsidP="00D31B12">
      <w:pPr>
        <w:pStyle w:val="Arttitle"/>
        <w:spacing w:before="400"/>
      </w:pPr>
      <w:bookmarkStart w:id="682" w:name="_Toc280261853"/>
      <w:bookmarkStart w:id="683" w:name="_Toc280262351"/>
      <w:bookmarkStart w:id="684" w:name="_Toc280272745"/>
      <w:bookmarkStart w:id="685" w:name="_Toc280272924"/>
      <w:bookmarkStart w:id="686" w:name="_Toc284419439"/>
      <w:bookmarkStart w:id="687" w:name="_Toc286315756"/>
      <w:bookmarkStart w:id="688" w:name="_Toc287523832"/>
      <w:r w:rsidRPr="003C5D6B">
        <w:t>Article 31</w:t>
      </w:r>
      <w:r w:rsidRPr="003C5D6B">
        <w:br/>
      </w:r>
      <w:r w:rsidRPr="003C5D6B">
        <w:br/>
      </w:r>
      <w:bookmarkStart w:id="689" w:name="_Toc199215054"/>
      <w:r w:rsidRPr="003C5D6B">
        <w:t>Interference complaints processing and monitoring fees</w:t>
      </w:r>
      <w:bookmarkEnd w:id="682"/>
      <w:bookmarkEnd w:id="683"/>
      <w:bookmarkEnd w:id="684"/>
      <w:bookmarkEnd w:id="685"/>
      <w:bookmarkEnd w:id="686"/>
      <w:bookmarkEnd w:id="687"/>
      <w:bookmarkEnd w:id="688"/>
      <w:bookmarkEnd w:id="689"/>
    </w:p>
    <w:p w:rsidR="00D31B12" w:rsidRPr="003C5D6B" w:rsidRDefault="00D31B12" w:rsidP="00D31B12">
      <w:pPr>
        <w:rPr>
          <w:color w:val="000000"/>
          <w:szCs w:val="19"/>
        </w:rPr>
      </w:pPr>
      <w:r w:rsidRPr="003C5D6B">
        <w:rPr>
          <w:szCs w:val="19"/>
        </w:rPr>
        <w:t>The TRA shall determine the interference complaints processing and monitoring fees on case to case basis subject to the approval by the</w:t>
      </w:r>
      <w:r w:rsidRPr="003C5D6B">
        <w:rPr>
          <w:color w:val="000000"/>
          <w:szCs w:val="19"/>
        </w:rPr>
        <w:t xml:space="preserve"> Director General. </w:t>
      </w:r>
    </w:p>
    <w:p w:rsidR="00D31B12" w:rsidRPr="003C5D6B" w:rsidRDefault="00D31B12" w:rsidP="00D31B12">
      <w:pPr>
        <w:pStyle w:val="Arttitle"/>
        <w:spacing w:before="400"/>
      </w:pPr>
      <w:bookmarkStart w:id="690" w:name="_Toc280261854"/>
      <w:bookmarkStart w:id="691" w:name="_Toc280262352"/>
      <w:bookmarkStart w:id="692" w:name="_Toc280272746"/>
      <w:bookmarkStart w:id="693" w:name="_Toc280272925"/>
      <w:bookmarkStart w:id="694" w:name="_Toc284419440"/>
      <w:bookmarkStart w:id="695" w:name="_Toc286315757"/>
      <w:bookmarkStart w:id="696" w:name="_Toc287523833"/>
      <w:r w:rsidRPr="003C5D6B">
        <w:t>Article 32</w:t>
      </w:r>
      <w:r w:rsidRPr="003C5D6B">
        <w:br/>
      </w:r>
      <w:bookmarkStart w:id="697" w:name="_Toc199215055"/>
      <w:r w:rsidRPr="003C5D6B">
        <w:br/>
        <w:t>Fees for the foreign embassies, consulates and diplomatic missions</w:t>
      </w:r>
      <w:bookmarkEnd w:id="690"/>
      <w:bookmarkEnd w:id="691"/>
      <w:bookmarkEnd w:id="692"/>
      <w:bookmarkEnd w:id="693"/>
      <w:bookmarkEnd w:id="694"/>
      <w:bookmarkEnd w:id="695"/>
      <w:bookmarkEnd w:id="696"/>
      <w:bookmarkEnd w:id="697"/>
    </w:p>
    <w:p w:rsidR="00D31B12" w:rsidRPr="003C5D6B" w:rsidRDefault="00D31B12" w:rsidP="00D31B12">
      <w:pPr>
        <w:rPr>
          <w:szCs w:val="19"/>
        </w:rPr>
      </w:pPr>
      <w:r w:rsidRPr="003C5D6B">
        <w:rPr>
          <w:szCs w:val="19"/>
        </w:rPr>
        <w:t xml:space="preserve">The Foreign Embassies, Consulates, Diplomatic Missions and the State visits of dignitaries shall be exempted from the Spectrum Fees provided the same exemption is available for the UAE Embassy, Consulate and Mission in the country of origin. This exemption shall be applicable for official correspondence which falls within the scope of the Vienna Convention for diplomatic correspondence and forwarded through the Ministry of Foreign Affairs of the UAE. </w:t>
      </w:r>
    </w:p>
    <w:p w:rsidR="00D31B12" w:rsidRPr="003C5D6B" w:rsidRDefault="00D31B12" w:rsidP="00D31B12">
      <w:pPr>
        <w:pStyle w:val="Arttitle"/>
        <w:spacing w:before="400"/>
      </w:pPr>
      <w:bookmarkStart w:id="698" w:name="_Toc280261855"/>
      <w:bookmarkStart w:id="699" w:name="_Toc280262353"/>
      <w:bookmarkStart w:id="700" w:name="_Toc280272747"/>
      <w:bookmarkStart w:id="701" w:name="_Toc280272926"/>
      <w:bookmarkStart w:id="702" w:name="_Toc284419441"/>
      <w:bookmarkStart w:id="703" w:name="_Toc286315758"/>
      <w:bookmarkStart w:id="704" w:name="_Toc287523834"/>
      <w:r w:rsidRPr="003C5D6B">
        <w:t>Article 33</w:t>
      </w:r>
      <w:r w:rsidRPr="003C5D6B">
        <w:br/>
      </w:r>
      <w:r w:rsidRPr="003C5D6B">
        <w:br/>
        <w:t>Fees for site surveys</w:t>
      </w:r>
      <w:bookmarkEnd w:id="698"/>
      <w:bookmarkEnd w:id="699"/>
      <w:bookmarkEnd w:id="700"/>
      <w:bookmarkEnd w:id="701"/>
      <w:bookmarkEnd w:id="702"/>
      <w:bookmarkEnd w:id="703"/>
      <w:bookmarkEnd w:id="704"/>
    </w:p>
    <w:p w:rsidR="00D31B12" w:rsidRPr="003C5D6B" w:rsidRDefault="00D31B12" w:rsidP="00D31B12">
      <w:pPr>
        <w:rPr>
          <w:szCs w:val="19"/>
        </w:rPr>
      </w:pPr>
      <w:r w:rsidRPr="003C5D6B">
        <w:rPr>
          <w:szCs w:val="19"/>
        </w:rPr>
        <w:t>The following fees shall be charged for the site survey conducted by the Authority upon request from the Authorized User for technical assistance:</w:t>
      </w:r>
    </w:p>
    <w:p w:rsidR="00D31B12" w:rsidRPr="003C5D6B" w:rsidRDefault="00D31B12" w:rsidP="00D31B12">
      <w:pPr>
        <w:ind w:left="1191" w:hanging="1191"/>
        <w:rPr>
          <w:szCs w:val="19"/>
        </w:rPr>
      </w:pPr>
      <w:r w:rsidRPr="003C5D6B">
        <w:rPr>
          <w:b/>
          <w:szCs w:val="19"/>
        </w:rPr>
        <w:tab/>
      </w:r>
      <w:r w:rsidRPr="003C5D6B">
        <w:rPr>
          <w:b/>
          <w:szCs w:val="19"/>
        </w:rPr>
        <w:tab/>
        <w:t>Site Survey Fee</w:t>
      </w:r>
      <w:r w:rsidRPr="003C5D6B">
        <w:rPr>
          <w:szCs w:val="19"/>
        </w:rPr>
        <w:t xml:space="preserve"> = 5,000 AED per day for each visit </w:t>
      </w:r>
    </w:p>
    <w:p w:rsidR="00D31B12" w:rsidRPr="003C5D6B" w:rsidRDefault="00D31B12" w:rsidP="00D31B12">
      <w:pPr>
        <w:pStyle w:val="Arttitle"/>
        <w:spacing w:before="400"/>
      </w:pPr>
      <w:bookmarkStart w:id="705" w:name="_Toc280261856"/>
      <w:bookmarkStart w:id="706" w:name="_Toc280262354"/>
      <w:bookmarkStart w:id="707" w:name="_Toc280272748"/>
      <w:bookmarkStart w:id="708" w:name="_Toc280272927"/>
      <w:bookmarkStart w:id="709" w:name="_Toc284419442"/>
      <w:bookmarkStart w:id="710" w:name="_Toc286315759"/>
      <w:bookmarkStart w:id="711" w:name="_Toc287523835"/>
      <w:r w:rsidRPr="003C5D6B">
        <w:t>Article 34</w:t>
      </w:r>
      <w:r w:rsidRPr="003C5D6B">
        <w:br/>
      </w:r>
      <w:r w:rsidRPr="003C5D6B">
        <w:br/>
      </w:r>
      <w:bookmarkStart w:id="712" w:name="_Toc199215056"/>
      <w:r w:rsidRPr="003C5D6B">
        <w:t>Obligation to pay</w:t>
      </w:r>
      <w:bookmarkEnd w:id="705"/>
      <w:bookmarkEnd w:id="706"/>
      <w:bookmarkEnd w:id="707"/>
      <w:bookmarkEnd w:id="708"/>
      <w:bookmarkEnd w:id="709"/>
      <w:bookmarkEnd w:id="710"/>
      <w:bookmarkEnd w:id="711"/>
      <w:bookmarkEnd w:id="712"/>
    </w:p>
    <w:p w:rsidR="00D31B12" w:rsidRPr="003C5D6B" w:rsidRDefault="00D31B12" w:rsidP="00D31B12">
      <w:pPr>
        <w:rPr>
          <w:szCs w:val="19"/>
        </w:rPr>
      </w:pPr>
      <w:r w:rsidRPr="003C5D6B">
        <w:rPr>
          <w:szCs w:val="19"/>
        </w:rPr>
        <w:t xml:space="preserve">The Spectrum Fees shall be payable in advance by all without any exemption except as determined in this Policy. The Spectrum Fees shall not be construed as Federal Tax or any Local Tax and shall be considered as charge for the use of a scarce national resource. Authorized Users should pay the full dues within the stipulated time, even in cases where the Authorised User contests the amount either wholly or partially. In </w:t>
      </w:r>
      <w:r w:rsidRPr="003C5D6B">
        <w:rPr>
          <w:szCs w:val="19"/>
        </w:rPr>
        <w:lastRenderedPageBreak/>
        <w:t xml:space="preserve">case the amount is contested and a refund is due to the Authorised User, the amount shall be paid by the TRA within one month of settlement. </w:t>
      </w:r>
    </w:p>
    <w:p w:rsidR="00D31B12" w:rsidRPr="003C5D6B" w:rsidRDefault="00D31B12" w:rsidP="00D31B12">
      <w:pPr>
        <w:pStyle w:val="Arttitle"/>
        <w:spacing w:before="400"/>
        <w:rPr>
          <w:bCs/>
        </w:rPr>
      </w:pPr>
      <w:bookmarkStart w:id="713" w:name="_Toc280261857"/>
      <w:bookmarkStart w:id="714" w:name="_Toc280262355"/>
      <w:bookmarkStart w:id="715" w:name="_Toc280272749"/>
      <w:bookmarkStart w:id="716" w:name="_Toc280272928"/>
      <w:bookmarkStart w:id="717" w:name="_Toc284419443"/>
      <w:bookmarkStart w:id="718" w:name="_Toc286315760"/>
      <w:bookmarkStart w:id="719" w:name="_Toc287523836"/>
      <w:r w:rsidRPr="003C5D6B">
        <w:t>Article 35</w:t>
      </w:r>
      <w:r w:rsidRPr="003C5D6B">
        <w:rPr>
          <w:bCs/>
        </w:rPr>
        <w:br/>
      </w:r>
      <w:r w:rsidRPr="003C5D6B">
        <w:rPr>
          <w:bCs/>
        </w:rPr>
        <w:br/>
      </w:r>
      <w:bookmarkStart w:id="720" w:name="_Toc199215057"/>
      <w:r w:rsidRPr="003C5D6B">
        <w:t>Methods of payments</w:t>
      </w:r>
      <w:bookmarkEnd w:id="713"/>
      <w:bookmarkEnd w:id="714"/>
      <w:bookmarkEnd w:id="715"/>
      <w:bookmarkEnd w:id="716"/>
      <w:bookmarkEnd w:id="717"/>
      <w:bookmarkEnd w:id="718"/>
      <w:bookmarkEnd w:id="719"/>
      <w:bookmarkEnd w:id="720"/>
    </w:p>
    <w:p w:rsidR="00D31B12" w:rsidRPr="003C5D6B" w:rsidRDefault="00D31B12" w:rsidP="00D31B12">
      <w:pPr>
        <w:rPr>
          <w:szCs w:val="19"/>
        </w:rPr>
      </w:pPr>
      <w:r w:rsidRPr="003C5D6B">
        <w:rPr>
          <w:szCs w:val="19"/>
        </w:rPr>
        <w:t xml:space="preserve">Cash payment to the TRA shall not be acceptable and spectrum fees and other associated shall be payable to the TRA in one of the following methods: </w:t>
      </w:r>
    </w:p>
    <w:p w:rsidR="00D31B12" w:rsidRPr="003C5D6B" w:rsidRDefault="00D31B12" w:rsidP="00D31B12">
      <w:pPr>
        <w:pStyle w:val="enumlev1"/>
      </w:pPr>
      <w:r w:rsidRPr="003C5D6B">
        <w:t>–</w:t>
      </w:r>
      <w:r w:rsidRPr="003C5D6B">
        <w:tab/>
        <w:t xml:space="preserve">E-Dirham </w:t>
      </w:r>
    </w:p>
    <w:p w:rsidR="00D31B12" w:rsidRPr="003C5D6B" w:rsidRDefault="00D31B12" w:rsidP="00D31B12">
      <w:pPr>
        <w:pStyle w:val="enumlev1"/>
      </w:pPr>
      <w:r w:rsidRPr="003C5D6B">
        <w:t>–</w:t>
      </w:r>
      <w:r w:rsidRPr="003C5D6B">
        <w:tab/>
        <w:t xml:space="preserve">Cheque </w:t>
      </w:r>
    </w:p>
    <w:p w:rsidR="00D31B12" w:rsidRPr="003C5D6B" w:rsidRDefault="00D31B12" w:rsidP="00D31B12">
      <w:pPr>
        <w:pStyle w:val="enumlev1"/>
      </w:pPr>
      <w:r w:rsidRPr="003C5D6B">
        <w:t>–</w:t>
      </w:r>
      <w:r w:rsidRPr="003C5D6B">
        <w:tab/>
        <w:t xml:space="preserve">Deposit into the TRA’s bank account </w:t>
      </w:r>
    </w:p>
    <w:p w:rsidR="00D31B12" w:rsidRPr="003C5D6B" w:rsidRDefault="00D31B12" w:rsidP="00D31B12">
      <w:pPr>
        <w:pStyle w:val="Arttitle"/>
        <w:spacing w:before="400"/>
      </w:pPr>
      <w:bookmarkStart w:id="721" w:name="_Toc280261858"/>
      <w:bookmarkStart w:id="722" w:name="_Toc280262356"/>
      <w:bookmarkStart w:id="723" w:name="_Toc280272750"/>
      <w:bookmarkStart w:id="724" w:name="_Toc280272929"/>
      <w:bookmarkStart w:id="725" w:name="_Toc284419444"/>
      <w:bookmarkStart w:id="726" w:name="_Toc286315761"/>
      <w:bookmarkStart w:id="727" w:name="_Toc287523837"/>
      <w:r w:rsidRPr="003C5D6B">
        <w:t>Article 36</w:t>
      </w:r>
      <w:r w:rsidRPr="003C5D6B">
        <w:br/>
      </w:r>
      <w:r w:rsidRPr="003C5D6B">
        <w:br/>
      </w:r>
      <w:bookmarkStart w:id="728" w:name="_Toc199215058"/>
      <w:r w:rsidRPr="003C5D6B">
        <w:t>Penalties</w:t>
      </w:r>
      <w:bookmarkEnd w:id="721"/>
      <w:bookmarkEnd w:id="722"/>
      <w:bookmarkEnd w:id="723"/>
      <w:bookmarkEnd w:id="724"/>
      <w:bookmarkEnd w:id="725"/>
      <w:bookmarkEnd w:id="726"/>
      <w:bookmarkEnd w:id="727"/>
      <w:bookmarkEnd w:id="728"/>
    </w:p>
    <w:p w:rsidR="00D31B12" w:rsidRPr="003C5D6B" w:rsidRDefault="00D31B12" w:rsidP="00D31B12">
      <w:pPr>
        <w:rPr>
          <w:szCs w:val="19"/>
        </w:rPr>
      </w:pPr>
      <w:r w:rsidRPr="003C5D6B">
        <w:rPr>
          <w:szCs w:val="19"/>
        </w:rPr>
        <w:t>The TRA has the power to impose penalties upon any instance of non-observation of the terms and conditions of this Policy and any other Regulatory Instrument issued by the TRA. The manner and circumstances upon which the penalty should be imposed and the amount of such penalty is specified in the articles of the Federal Law issued by the Decree 3 of 2003 as amended.</w:t>
      </w:r>
    </w:p>
    <w:p w:rsidR="00D31B12" w:rsidRPr="003C5D6B" w:rsidRDefault="00D31B12" w:rsidP="00D31B12">
      <w:pPr>
        <w:pStyle w:val="Arttitle"/>
        <w:spacing w:before="400"/>
      </w:pPr>
      <w:bookmarkStart w:id="729" w:name="_Toc280261859"/>
      <w:bookmarkStart w:id="730" w:name="_Toc280262357"/>
      <w:bookmarkStart w:id="731" w:name="_Toc280272751"/>
      <w:bookmarkStart w:id="732" w:name="_Toc280272930"/>
      <w:bookmarkStart w:id="733" w:name="_Toc284419445"/>
      <w:bookmarkStart w:id="734" w:name="_Toc286315762"/>
      <w:bookmarkStart w:id="735" w:name="_Toc287523838"/>
      <w:r w:rsidRPr="003C5D6B">
        <w:t>Article 37</w:t>
      </w:r>
      <w:r w:rsidRPr="003C5D6B">
        <w:br/>
      </w:r>
      <w:r w:rsidRPr="003C5D6B">
        <w:br/>
      </w:r>
      <w:bookmarkStart w:id="736" w:name="_Toc199215060"/>
      <w:r w:rsidRPr="003C5D6B">
        <w:t>Implementation</w:t>
      </w:r>
      <w:bookmarkEnd w:id="729"/>
      <w:bookmarkEnd w:id="730"/>
      <w:bookmarkEnd w:id="731"/>
      <w:bookmarkEnd w:id="732"/>
      <w:bookmarkEnd w:id="733"/>
      <w:bookmarkEnd w:id="734"/>
      <w:bookmarkEnd w:id="735"/>
      <w:bookmarkEnd w:id="736"/>
    </w:p>
    <w:p w:rsidR="00D31B12" w:rsidRPr="003C5D6B" w:rsidRDefault="00D31B12" w:rsidP="00D31B12">
      <w:pPr>
        <w:rPr>
          <w:szCs w:val="19"/>
        </w:rPr>
      </w:pPr>
      <w:r w:rsidRPr="003C5D6B">
        <w:rPr>
          <w:szCs w:val="19"/>
        </w:rPr>
        <w:t>All invoices raised for the period starting from 1st January 2009 shall be in accordance with this Policy. The invoices raised for the period starting before 1st January 2009 shall be in accordance with the Spectrum Fees Policy Version 1.0</w:t>
      </w:r>
      <w:r w:rsidR="003C5D6B">
        <w:rPr>
          <w:szCs w:val="19"/>
        </w:rPr>
        <w:t>.</w:t>
      </w:r>
    </w:p>
    <w:p w:rsidR="00140E6C" w:rsidRPr="003C5D6B" w:rsidRDefault="00140E6C">
      <w:pPr>
        <w:tabs>
          <w:tab w:val="clear" w:pos="794"/>
          <w:tab w:val="clear" w:pos="1191"/>
          <w:tab w:val="clear" w:pos="1588"/>
          <w:tab w:val="clear" w:pos="1985"/>
        </w:tabs>
        <w:overflowPunct/>
        <w:autoSpaceDE/>
        <w:autoSpaceDN/>
        <w:adjustRightInd/>
        <w:spacing w:before="0"/>
        <w:jc w:val="left"/>
        <w:textAlignment w:val="auto"/>
        <w:rPr>
          <w:b/>
        </w:rPr>
      </w:pPr>
      <w:r w:rsidRPr="003C5D6B">
        <w:rPr>
          <w:b/>
        </w:rPr>
        <w:br w:type="page"/>
      </w:r>
    </w:p>
    <w:p w:rsidR="00B51759" w:rsidRPr="003C5D6B" w:rsidRDefault="00543677" w:rsidP="003F195A">
      <w:pPr>
        <w:pStyle w:val="AppendixNotitle"/>
        <w:rPr>
          <w:lang w:val="fr-FR"/>
        </w:rPr>
      </w:pPr>
      <w:bookmarkStart w:id="737" w:name="_Toc280260048"/>
      <w:bookmarkStart w:id="738" w:name="_Toc280260904"/>
      <w:bookmarkStart w:id="739" w:name="_Toc280272509"/>
      <w:bookmarkStart w:id="740" w:name="_Toc284414180"/>
      <w:bookmarkStart w:id="741" w:name="_Toc284499219"/>
      <w:bookmarkStart w:id="742" w:name="_Toc287523373"/>
      <w:r w:rsidRPr="00E92FFB">
        <w:rPr>
          <w:lang w:val="fr-CH"/>
        </w:rPr>
        <w:lastRenderedPageBreak/>
        <w:t>Ap</w:t>
      </w:r>
      <w:r w:rsidR="003F195A" w:rsidRPr="00E92FFB">
        <w:rPr>
          <w:lang w:val="fr-CH"/>
        </w:rPr>
        <w:t>é</w:t>
      </w:r>
      <w:r w:rsidRPr="00E92FFB">
        <w:rPr>
          <w:lang w:val="fr-CH"/>
        </w:rPr>
        <w:t>ndice 1.2</w:t>
      </w:r>
      <w:r w:rsidR="00500524" w:rsidRPr="00E92FFB">
        <w:rPr>
          <w:lang w:val="fr-CH"/>
        </w:rPr>
        <w:t xml:space="preserve"> (</w:t>
      </w:r>
      <w:r w:rsidR="003F195A" w:rsidRPr="00E92FFB">
        <w:rPr>
          <w:lang w:val="fr-CH"/>
        </w:rPr>
        <w:t>franc</w:t>
      </w:r>
      <w:r w:rsidR="00716A59" w:rsidRPr="00E92FFB">
        <w:rPr>
          <w:lang w:val="fr-CH"/>
        </w:rPr>
        <w:t>és</w:t>
      </w:r>
      <w:r w:rsidR="00500524" w:rsidRPr="00E92FFB">
        <w:rPr>
          <w:lang w:val="fr-CH"/>
        </w:rPr>
        <w:t>)</w:t>
      </w:r>
      <w:r w:rsidR="004A1D01" w:rsidRPr="00E92FFB">
        <w:rPr>
          <w:lang w:val="fr-CH"/>
        </w:rPr>
        <w:br/>
      </w:r>
      <w:r w:rsidR="004A1D01" w:rsidRPr="00E92FFB">
        <w:rPr>
          <w:lang w:val="fr-CH"/>
        </w:rPr>
        <w:br/>
      </w:r>
      <w:r w:rsidR="00B51759" w:rsidRPr="003C5D6B">
        <w:rPr>
          <w:lang w:val="fr-FR"/>
        </w:rPr>
        <w:t>Emirats arabes unis: Exemple de directive en matière</w:t>
      </w:r>
      <w:r w:rsidR="004A1D01" w:rsidRPr="003C5D6B">
        <w:rPr>
          <w:lang w:val="fr-FR"/>
        </w:rPr>
        <w:br/>
      </w:r>
      <w:r w:rsidR="00B51759" w:rsidRPr="003C5D6B">
        <w:rPr>
          <w:lang w:val="fr-FR"/>
        </w:rPr>
        <w:t>de droits d'utilisation du spectre</w:t>
      </w:r>
      <w:bookmarkEnd w:id="737"/>
      <w:bookmarkEnd w:id="738"/>
      <w:bookmarkEnd w:id="739"/>
      <w:bookmarkEnd w:id="740"/>
      <w:bookmarkEnd w:id="741"/>
      <w:bookmarkEnd w:id="742"/>
    </w:p>
    <w:p w:rsidR="004A1D01" w:rsidRPr="003C5D6B" w:rsidRDefault="004A1D01" w:rsidP="004A1D01">
      <w:pPr>
        <w:pStyle w:val="Normalaftertitle"/>
        <w:rPr>
          <w:lang w:val="fr-FR"/>
        </w:rPr>
      </w:pPr>
    </w:p>
    <w:p w:rsidR="00B51759" w:rsidRPr="003C5D6B" w:rsidRDefault="00B51759" w:rsidP="00B51759">
      <w:pPr>
        <w:suppressAutoHyphens/>
        <w:jc w:val="center"/>
        <w:rPr>
          <w:b/>
          <w:lang w:val="fr-FR"/>
        </w:rPr>
      </w:pPr>
      <w:r w:rsidRPr="003C5D6B">
        <w:rPr>
          <w:b/>
          <w:lang w:val="fr-FR"/>
        </w:rPr>
        <w:t>TABLE DES MATIÈRES</w:t>
      </w:r>
    </w:p>
    <w:p w:rsidR="00B51759" w:rsidRPr="003C5D6B" w:rsidRDefault="00B51759" w:rsidP="00B51759">
      <w:pPr>
        <w:widowControl w:val="0"/>
        <w:snapToGrid w:val="0"/>
        <w:rPr>
          <w:lang w:val="fr-FR"/>
        </w:rPr>
      </w:pPr>
    </w:p>
    <w:p w:rsidR="007E720A" w:rsidRPr="003C5D6B" w:rsidRDefault="007E720A" w:rsidP="005E6FB1">
      <w:pPr>
        <w:pStyle w:val="Recdate"/>
        <w:keepLines w:val="0"/>
        <w:tabs>
          <w:tab w:val="right" w:pos="9639"/>
        </w:tabs>
        <w:jc w:val="left"/>
        <w:rPr>
          <w:b/>
          <w:iCs/>
          <w:lang w:val="fr-FR"/>
        </w:rPr>
      </w:pPr>
      <w:r w:rsidRPr="003C5D6B">
        <w:rPr>
          <w:iCs/>
          <w:lang w:val="fr-FR"/>
        </w:rPr>
        <w:tab/>
      </w:r>
      <w:r w:rsidRPr="003C5D6B">
        <w:rPr>
          <w:b/>
          <w:iCs/>
          <w:lang w:val="fr-FR"/>
        </w:rPr>
        <w:t>P</w:t>
      </w:r>
      <w:r w:rsidR="005E6FB1" w:rsidRPr="003C5D6B">
        <w:rPr>
          <w:b/>
          <w:iCs/>
          <w:lang w:val="fr-FR"/>
        </w:rPr>
        <w:t>age</w:t>
      </w:r>
    </w:p>
    <w:p w:rsidR="00AB7CE3" w:rsidRPr="003C5D6B" w:rsidRDefault="003B6168" w:rsidP="00513114">
      <w:pPr>
        <w:pStyle w:val="TOC1"/>
        <w:rPr>
          <w:rFonts w:asciiTheme="minorHAnsi" w:eastAsia="SimSun" w:hAnsiTheme="minorHAnsi" w:cstheme="minorBidi"/>
          <w:szCs w:val="22"/>
          <w:lang w:val="fr-FR" w:eastAsia="zh-CN"/>
        </w:rPr>
      </w:pPr>
      <w:r w:rsidRPr="003B6168">
        <w:rPr>
          <w:lang w:val="fr-FR"/>
        </w:rPr>
        <w:fldChar w:fldCharType="begin"/>
      </w:r>
      <w:r w:rsidR="00AB7CE3" w:rsidRPr="003C5D6B">
        <w:rPr>
          <w:lang w:val="fr-FR"/>
        </w:rPr>
        <w:instrText xml:space="preserve"> TOC \h \z \t "Art_title;1" </w:instrText>
      </w:r>
      <w:r w:rsidRPr="003B6168">
        <w:rPr>
          <w:lang w:val="fr-FR"/>
        </w:rPr>
        <w:fldChar w:fldCharType="separate"/>
      </w:r>
      <w:hyperlink w:anchor="_Toc284499742" w:history="1">
        <w:r w:rsidR="00AB7CE3" w:rsidRPr="003C5D6B">
          <w:rPr>
            <w:rStyle w:val="Hyperlink"/>
            <w:lang w:val="fr-FR"/>
          </w:rPr>
          <w:t>A</w:t>
        </w:r>
      </w:hyperlink>
      <w:hyperlink w:anchor="_Toc284499779" w:history="1">
        <w:r w:rsidR="00AB7CE3" w:rsidRPr="003C5D6B">
          <w:rPr>
            <w:rStyle w:val="Hyperlink"/>
            <w:lang w:val="fr-FR"/>
          </w:rPr>
          <w:t xml:space="preserve">rticle 1 </w:t>
        </w:r>
        <w:r w:rsidR="00CA7302" w:rsidRPr="003C5D6B">
          <w:rPr>
            <w:rStyle w:val="Hyperlink"/>
            <w:lang w:val="fr-FR"/>
          </w:rPr>
          <w:t>–</w:t>
        </w:r>
        <w:r w:rsidR="00AB7CE3" w:rsidRPr="003C5D6B">
          <w:rPr>
            <w:rStyle w:val="Hyperlink"/>
            <w:lang w:val="fr-FR"/>
          </w:rPr>
          <w:t xml:space="preserve"> Objet</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_Toc284499779 \h </w:instrText>
        </w:r>
        <w:r w:rsidRPr="003C5D6B">
          <w:rPr>
            <w:webHidden/>
            <w:lang w:val="fr-FR"/>
          </w:rPr>
        </w:r>
        <w:r w:rsidRPr="003C5D6B">
          <w:rPr>
            <w:webHidden/>
            <w:lang w:val="fr-FR"/>
          </w:rPr>
          <w:fldChar w:fldCharType="separate"/>
        </w:r>
        <w:r w:rsidR="00AB7CE3" w:rsidRPr="003C5D6B">
          <w:rPr>
            <w:webHidden/>
            <w:lang w:val="fr-FR"/>
          </w:rPr>
          <w:t>44</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80" w:history="1">
        <w:r w:rsidR="00AB7CE3" w:rsidRPr="003C5D6B">
          <w:rPr>
            <w:rStyle w:val="Hyperlink"/>
            <w:lang w:val="fr-FR"/>
          </w:rPr>
          <w:t xml:space="preserve">Article 2 </w:t>
        </w:r>
        <w:r w:rsidR="00CA7302" w:rsidRPr="003C5D6B">
          <w:rPr>
            <w:rStyle w:val="Hyperlink"/>
            <w:lang w:val="fr-FR"/>
          </w:rPr>
          <w:t>–</w:t>
        </w:r>
        <w:r w:rsidR="00AB7CE3" w:rsidRPr="003C5D6B">
          <w:rPr>
            <w:rStyle w:val="Hyperlink"/>
            <w:lang w:val="fr-FR"/>
          </w:rPr>
          <w:t xml:space="preserve"> Définitions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_Toc284499780 \h </w:instrText>
        </w:r>
        <w:r w:rsidRPr="003C5D6B">
          <w:rPr>
            <w:webHidden/>
            <w:lang w:val="fr-FR"/>
          </w:rPr>
        </w:r>
        <w:r w:rsidRPr="003C5D6B">
          <w:rPr>
            <w:webHidden/>
            <w:lang w:val="fr-FR"/>
          </w:rPr>
          <w:fldChar w:fldCharType="separate"/>
        </w:r>
        <w:r w:rsidR="00AB7CE3" w:rsidRPr="003C5D6B">
          <w:rPr>
            <w:webHidden/>
            <w:lang w:val="fr-FR"/>
          </w:rPr>
          <w:t>44</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81" w:history="1">
        <w:r w:rsidR="00AB7CE3" w:rsidRPr="003C5D6B">
          <w:rPr>
            <w:rStyle w:val="Hyperlink"/>
            <w:lang w:val="fr-FR"/>
          </w:rPr>
          <w:t xml:space="preserve">Article 3 </w:t>
        </w:r>
        <w:r w:rsidR="00CA7302" w:rsidRPr="003C5D6B">
          <w:rPr>
            <w:rStyle w:val="Hyperlink"/>
            <w:lang w:val="fr-FR"/>
          </w:rPr>
          <w:t>–</w:t>
        </w:r>
        <w:r w:rsidR="00AB7CE3" w:rsidRPr="003C5D6B">
          <w:rPr>
            <w:rStyle w:val="Hyperlink"/>
            <w:lang w:val="fr-FR"/>
          </w:rPr>
          <w:t xml:space="preserve"> Droits à acquitter pour le traitement des demandes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_Toc284499781 \h </w:instrText>
        </w:r>
        <w:r w:rsidRPr="003C5D6B">
          <w:rPr>
            <w:webHidden/>
            <w:lang w:val="fr-FR"/>
          </w:rPr>
        </w:r>
        <w:r w:rsidRPr="003C5D6B">
          <w:rPr>
            <w:webHidden/>
            <w:lang w:val="fr-FR"/>
          </w:rPr>
          <w:fldChar w:fldCharType="separate"/>
        </w:r>
        <w:r w:rsidR="00AB7CE3" w:rsidRPr="003C5D6B">
          <w:rPr>
            <w:webHidden/>
            <w:lang w:val="fr-FR"/>
          </w:rPr>
          <w:t>45</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82" w:history="1">
        <w:r w:rsidR="00AB7CE3" w:rsidRPr="003C5D6B">
          <w:rPr>
            <w:rStyle w:val="Hyperlink"/>
            <w:lang w:val="fr-FR"/>
          </w:rPr>
          <w:t xml:space="preserve">Article 4 </w:t>
        </w:r>
        <w:r w:rsidR="00CA7302" w:rsidRPr="003C5D6B">
          <w:rPr>
            <w:rStyle w:val="Hyperlink"/>
            <w:lang w:val="fr-FR"/>
          </w:rPr>
          <w:t>–</w:t>
        </w:r>
        <w:r w:rsidR="00AB7CE3" w:rsidRPr="003C5D6B">
          <w:rPr>
            <w:rStyle w:val="Hyperlink"/>
            <w:lang w:val="fr-FR"/>
          </w:rPr>
          <w:t xml:space="preserve"> Exemption des droits à acquitter pour le traitement des demandes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_Toc284499782 \h </w:instrText>
        </w:r>
        <w:r w:rsidRPr="003C5D6B">
          <w:rPr>
            <w:webHidden/>
            <w:lang w:val="fr-FR"/>
          </w:rPr>
        </w:r>
        <w:r w:rsidRPr="003C5D6B">
          <w:rPr>
            <w:webHidden/>
            <w:lang w:val="fr-FR"/>
          </w:rPr>
          <w:fldChar w:fldCharType="separate"/>
        </w:r>
        <w:r w:rsidR="00AB7CE3" w:rsidRPr="003C5D6B">
          <w:rPr>
            <w:webHidden/>
            <w:lang w:val="fr-FR"/>
          </w:rPr>
          <w:t>45</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83" w:history="1">
        <w:r w:rsidR="00AB7CE3" w:rsidRPr="003C5D6B">
          <w:rPr>
            <w:rStyle w:val="Hyperlink"/>
            <w:lang w:val="fr-FR"/>
          </w:rPr>
          <w:t xml:space="preserve">Article 5 </w:t>
        </w:r>
        <w:r w:rsidR="00CA7302" w:rsidRPr="003C5D6B">
          <w:rPr>
            <w:rStyle w:val="Hyperlink"/>
            <w:lang w:val="fr-FR"/>
          </w:rPr>
          <w:t>–</w:t>
        </w:r>
        <w:r w:rsidR="00AB7CE3" w:rsidRPr="003C5D6B">
          <w:rPr>
            <w:rStyle w:val="Hyperlink"/>
            <w:lang w:val="fr-FR"/>
          </w:rPr>
          <w:t xml:space="preserve"> Droits d'utilisation du spectre à acquitter en cas de nouvelle demande</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_Toc284499783 \h </w:instrText>
        </w:r>
        <w:r w:rsidRPr="003C5D6B">
          <w:rPr>
            <w:webHidden/>
            <w:lang w:val="fr-FR"/>
          </w:rPr>
        </w:r>
        <w:r w:rsidRPr="003C5D6B">
          <w:rPr>
            <w:webHidden/>
            <w:lang w:val="fr-FR"/>
          </w:rPr>
          <w:fldChar w:fldCharType="separate"/>
        </w:r>
        <w:r w:rsidR="00AB7CE3" w:rsidRPr="003C5D6B">
          <w:rPr>
            <w:webHidden/>
            <w:lang w:val="fr-FR"/>
          </w:rPr>
          <w:t>46</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84" w:history="1">
        <w:r w:rsidR="00AB7CE3" w:rsidRPr="003C5D6B">
          <w:rPr>
            <w:rStyle w:val="Hyperlink"/>
            <w:lang w:val="fr-FR"/>
          </w:rPr>
          <w:t xml:space="preserve">Article 6 </w:t>
        </w:r>
        <w:r w:rsidR="00CA7302" w:rsidRPr="003C5D6B">
          <w:rPr>
            <w:rStyle w:val="Hyperlink"/>
            <w:lang w:val="fr-FR"/>
          </w:rPr>
          <w:t>–</w:t>
        </w:r>
        <w:r w:rsidR="00AB7CE3" w:rsidRPr="003C5D6B">
          <w:rPr>
            <w:rStyle w:val="Hyperlink"/>
            <w:lang w:val="fr-FR"/>
          </w:rPr>
          <w:t xml:space="preserve"> Montant des droits à acquitter pour le renouvellement d'une autorisation</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_Toc284499784 \h </w:instrText>
        </w:r>
        <w:r w:rsidRPr="003C5D6B">
          <w:rPr>
            <w:webHidden/>
            <w:lang w:val="fr-FR"/>
          </w:rPr>
        </w:r>
        <w:r w:rsidRPr="003C5D6B">
          <w:rPr>
            <w:webHidden/>
            <w:lang w:val="fr-FR"/>
          </w:rPr>
          <w:fldChar w:fldCharType="separate"/>
        </w:r>
        <w:r w:rsidR="00AB7CE3" w:rsidRPr="003C5D6B">
          <w:rPr>
            <w:webHidden/>
            <w:lang w:val="fr-FR"/>
          </w:rPr>
          <w:t>46</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85" w:history="1">
        <w:r w:rsidR="00AB7CE3" w:rsidRPr="003C5D6B">
          <w:rPr>
            <w:rStyle w:val="Hyperlink"/>
            <w:lang w:val="fr-FR"/>
          </w:rPr>
          <w:t xml:space="preserve">Article 7 </w:t>
        </w:r>
        <w:r w:rsidR="00CA7302" w:rsidRPr="003C5D6B">
          <w:rPr>
            <w:rStyle w:val="Hyperlink"/>
            <w:lang w:val="fr-FR"/>
          </w:rPr>
          <w:t>–</w:t>
        </w:r>
        <w:r w:rsidR="00AB7CE3" w:rsidRPr="003C5D6B">
          <w:rPr>
            <w:rStyle w:val="Hyperlink"/>
            <w:lang w:val="fr-FR"/>
          </w:rPr>
          <w:t xml:space="preserve"> Droits supplémentaires à acquitter en cas de retard  du renouvellement de l'autorisation</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_Toc284499785 \h </w:instrText>
        </w:r>
        <w:r w:rsidRPr="003C5D6B">
          <w:rPr>
            <w:webHidden/>
            <w:lang w:val="fr-FR"/>
          </w:rPr>
        </w:r>
        <w:r w:rsidRPr="003C5D6B">
          <w:rPr>
            <w:webHidden/>
            <w:lang w:val="fr-FR"/>
          </w:rPr>
          <w:fldChar w:fldCharType="separate"/>
        </w:r>
        <w:r w:rsidR="00AB7CE3" w:rsidRPr="003C5D6B">
          <w:rPr>
            <w:webHidden/>
            <w:lang w:val="fr-FR"/>
          </w:rPr>
          <w:t>46</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86" w:history="1">
        <w:r w:rsidR="00AB7CE3" w:rsidRPr="003C5D6B">
          <w:rPr>
            <w:rStyle w:val="Hyperlink"/>
            <w:lang w:val="fr-FR"/>
          </w:rPr>
          <w:t xml:space="preserve">Article 8 </w:t>
        </w:r>
        <w:r w:rsidR="00CA7302" w:rsidRPr="003C5D6B">
          <w:rPr>
            <w:rStyle w:val="Hyperlink"/>
            <w:lang w:val="fr-FR"/>
          </w:rPr>
          <w:t>–</w:t>
        </w:r>
        <w:r w:rsidR="00AB7CE3" w:rsidRPr="003C5D6B">
          <w:rPr>
            <w:rStyle w:val="Hyperlink"/>
            <w:lang w:val="fr-FR"/>
          </w:rPr>
          <w:t xml:space="preserve"> Droits à acquitter pour obtenir une copie d'une autorisation</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_Toc284499786 \h </w:instrText>
        </w:r>
        <w:r w:rsidRPr="003C5D6B">
          <w:rPr>
            <w:webHidden/>
            <w:lang w:val="fr-FR"/>
          </w:rPr>
        </w:r>
        <w:r w:rsidRPr="003C5D6B">
          <w:rPr>
            <w:webHidden/>
            <w:lang w:val="fr-FR"/>
          </w:rPr>
          <w:fldChar w:fldCharType="separate"/>
        </w:r>
        <w:r w:rsidR="00AB7CE3" w:rsidRPr="003C5D6B">
          <w:rPr>
            <w:webHidden/>
            <w:lang w:val="fr-FR"/>
          </w:rPr>
          <w:t>46</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87" w:history="1">
        <w:r w:rsidR="00AB7CE3" w:rsidRPr="003C5D6B">
          <w:rPr>
            <w:rStyle w:val="Hyperlink"/>
            <w:lang w:val="fr-FR"/>
          </w:rPr>
          <w:t xml:space="preserve">Article 9 </w:t>
        </w:r>
        <w:r w:rsidR="00CA7302" w:rsidRPr="003C5D6B">
          <w:rPr>
            <w:rStyle w:val="Hyperlink"/>
            <w:lang w:val="fr-FR"/>
          </w:rPr>
          <w:t>–</w:t>
        </w:r>
        <w:r w:rsidR="00AB7CE3" w:rsidRPr="003C5D6B">
          <w:rPr>
            <w:rStyle w:val="Hyperlink"/>
            <w:lang w:val="fr-FR"/>
          </w:rPr>
          <w:t xml:space="preserve"> Droits à acquitter pour modifier l'autorisation</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_Toc284499787 \h </w:instrText>
        </w:r>
        <w:r w:rsidRPr="003C5D6B">
          <w:rPr>
            <w:webHidden/>
            <w:lang w:val="fr-FR"/>
          </w:rPr>
        </w:r>
        <w:r w:rsidRPr="003C5D6B">
          <w:rPr>
            <w:webHidden/>
            <w:lang w:val="fr-FR"/>
          </w:rPr>
          <w:fldChar w:fldCharType="separate"/>
        </w:r>
        <w:r w:rsidR="00AB7CE3" w:rsidRPr="003C5D6B">
          <w:rPr>
            <w:webHidden/>
            <w:lang w:val="fr-FR"/>
          </w:rPr>
          <w:t>47</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88" w:history="1">
        <w:r w:rsidR="00AB7CE3" w:rsidRPr="003C5D6B">
          <w:rPr>
            <w:rStyle w:val="Hyperlink"/>
            <w:lang w:val="fr-FR"/>
          </w:rPr>
          <w:t xml:space="preserve">Article 10 </w:t>
        </w:r>
        <w:r w:rsidR="00CA7302" w:rsidRPr="003C5D6B">
          <w:rPr>
            <w:rStyle w:val="Hyperlink"/>
            <w:lang w:val="fr-FR"/>
          </w:rPr>
          <w:t>–</w:t>
        </w:r>
        <w:r w:rsidR="00AB7CE3" w:rsidRPr="003C5D6B">
          <w:rPr>
            <w:rStyle w:val="Hyperlink"/>
            <w:lang w:val="fr-FR"/>
          </w:rPr>
          <w:t xml:space="preserve"> Droits à acquitter pour l'annulation d'une autorisation</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_Toc284499788 \h </w:instrText>
        </w:r>
        <w:r w:rsidRPr="003C5D6B">
          <w:rPr>
            <w:webHidden/>
            <w:lang w:val="fr-FR"/>
          </w:rPr>
        </w:r>
        <w:r w:rsidRPr="003C5D6B">
          <w:rPr>
            <w:webHidden/>
            <w:lang w:val="fr-FR"/>
          </w:rPr>
          <w:fldChar w:fldCharType="separate"/>
        </w:r>
        <w:r w:rsidR="00AB7CE3" w:rsidRPr="003C5D6B">
          <w:rPr>
            <w:webHidden/>
            <w:lang w:val="fr-FR"/>
          </w:rPr>
          <w:t>47</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89" w:history="1">
        <w:r w:rsidR="00AB7CE3" w:rsidRPr="003C5D6B">
          <w:rPr>
            <w:rStyle w:val="Hyperlink"/>
            <w:lang w:val="fr-FR"/>
          </w:rPr>
          <w:t xml:space="preserve">Article 11 </w:t>
        </w:r>
        <w:r w:rsidR="00CA7302" w:rsidRPr="003C5D6B">
          <w:rPr>
            <w:rStyle w:val="Hyperlink"/>
            <w:lang w:val="fr-FR"/>
          </w:rPr>
          <w:t>–</w:t>
        </w:r>
        <w:r w:rsidR="00AB7CE3" w:rsidRPr="003C5D6B">
          <w:rPr>
            <w:rStyle w:val="Hyperlink"/>
            <w:lang w:val="fr-FR"/>
          </w:rPr>
          <w:t xml:space="preserve"> Droits à acquitter pour l'utilisation du spectre pour le service mobile terrestre public (cellulaire)</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_Toc284499789 \h </w:instrText>
        </w:r>
        <w:r w:rsidRPr="003C5D6B">
          <w:rPr>
            <w:webHidden/>
            <w:lang w:val="fr-FR"/>
          </w:rPr>
        </w:r>
        <w:r w:rsidRPr="003C5D6B">
          <w:rPr>
            <w:webHidden/>
            <w:lang w:val="fr-FR"/>
          </w:rPr>
          <w:fldChar w:fldCharType="separate"/>
        </w:r>
        <w:r w:rsidR="00AB7CE3" w:rsidRPr="003C5D6B">
          <w:rPr>
            <w:webHidden/>
            <w:lang w:val="fr-FR"/>
          </w:rPr>
          <w:t>47</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90" w:history="1">
        <w:r w:rsidR="00AB7CE3" w:rsidRPr="003C5D6B">
          <w:rPr>
            <w:rStyle w:val="Hyperlink"/>
            <w:lang w:val="fr-FR"/>
          </w:rPr>
          <w:t xml:space="preserve">Article 12 </w:t>
        </w:r>
        <w:r w:rsidR="00CA7302" w:rsidRPr="003C5D6B">
          <w:rPr>
            <w:rStyle w:val="Hyperlink"/>
            <w:lang w:val="fr-FR"/>
          </w:rPr>
          <w:t>–</w:t>
        </w:r>
        <w:r w:rsidR="00AB7CE3" w:rsidRPr="003C5D6B">
          <w:rPr>
            <w:rStyle w:val="Hyperlink"/>
            <w:lang w:val="fr-FR"/>
          </w:rPr>
          <w:t xml:space="preserve"> Droits à acquitter pour les radiocommunications mobiles privées,  la radiomessagerie et les systèmes à ressources partagées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_Toc284499790 \h </w:instrText>
        </w:r>
        <w:r w:rsidRPr="003C5D6B">
          <w:rPr>
            <w:webHidden/>
            <w:lang w:val="fr-FR"/>
          </w:rPr>
        </w:r>
        <w:r w:rsidRPr="003C5D6B">
          <w:rPr>
            <w:webHidden/>
            <w:lang w:val="fr-FR"/>
          </w:rPr>
          <w:fldChar w:fldCharType="separate"/>
        </w:r>
        <w:r w:rsidR="00AB7CE3" w:rsidRPr="003C5D6B">
          <w:rPr>
            <w:webHidden/>
            <w:lang w:val="fr-FR"/>
          </w:rPr>
          <w:t>48</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91" w:history="1">
        <w:r w:rsidR="00AB7CE3" w:rsidRPr="003C5D6B">
          <w:rPr>
            <w:rStyle w:val="Hyperlink"/>
            <w:lang w:val="fr-FR"/>
          </w:rPr>
          <w:t xml:space="preserve">Article 13 </w:t>
        </w:r>
        <w:r w:rsidR="00CA7302" w:rsidRPr="003C5D6B">
          <w:rPr>
            <w:rStyle w:val="Hyperlink"/>
            <w:lang w:val="fr-FR"/>
          </w:rPr>
          <w:t>–</w:t>
        </w:r>
        <w:r w:rsidR="00AB7CE3" w:rsidRPr="003C5D6B">
          <w:rPr>
            <w:rStyle w:val="Hyperlink"/>
            <w:lang w:val="fr-FR"/>
          </w:rPr>
          <w:t xml:space="preserve"> Droits à acquitter pour l'utilisation du spectre pour des liaisons fixes (point à point)</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_Toc284499791 \h </w:instrText>
        </w:r>
        <w:r w:rsidRPr="003C5D6B">
          <w:rPr>
            <w:webHidden/>
            <w:lang w:val="fr-FR"/>
          </w:rPr>
        </w:r>
        <w:r w:rsidRPr="003C5D6B">
          <w:rPr>
            <w:webHidden/>
            <w:lang w:val="fr-FR"/>
          </w:rPr>
          <w:fldChar w:fldCharType="separate"/>
        </w:r>
        <w:r w:rsidR="00AB7CE3" w:rsidRPr="003C5D6B">
          <w:rPr>
            <w:webHidden/>
            <w:lang w:val="fr-FR"/>
          </w:rPr>
          <w:t>50</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92" w:history="1">
        <w:r w:rsidR="00AB7CE3" w:rsidRPr="003C5D6B">
          <w:rPr>
            <w:rStyle w:val="Hyperlink"/>
            <w:lang w:val="fr-FR"/>
          </w:rPr>
          <w:t xml:space="preserve">Article 14 </w:t>
        </w:r>
        <w:r w:rsidR="00CA7302" w:rsidRPr="003C5D6B">
          <w:rPr>
            <w:rStyle w:val="Hyperlink"/>
            <w:lang w:val="fr-FR"/>
          </w:rPr>
          <w:t>–</w:t>
        </w:r>
        <w:r w:rsidR="00AB7CE3" w:rsidRPr="003C5D6B">
          <w:rPr>
            <w:rStyle w:val="Hyperlink"/>
            <w:lang w:val="fr-FR"/>
          </w:rPr>
          <w:t xml:space="preserve"> Droits d'utilisation du spectre à acquitter pour l'accès hertzien fixe,  les systèmes de surveillance et d'acquisition de données (SCADA), la télémesure et les réseaux maillés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_Toc284499792 \h </w:instrText>
        </w:r>
        <w:r w:rsidRPr="003C5D6B">
          <w:rPr>
            <w:webHidden/>
            <w:lang w:val="fr-FR"/>
          </w:rPr>
        </w:r>
        <w:r w:rsidRPr="003C5D6B">
          <w:rPr>
            <w:webHidden/>
            <w:lang w:val="fr-FR"/>
          </w:rPr>
          <w:fldChar w:fldCharType="separate"/>
        </w:r>
        <w:r w:rsidR="00AB7CE3" w:rsidRPr="003C5D6B">
          <w:rPr>
            <w:webHidden/>
            <w:lang w:val="fr-FR"/>
          </w:rPr>
          <w:t>51</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93" w:history="1">
        <w:r w:rsidR="00AB7CE3" w:rsidRPr="003C5D6B">
          <w:rPr>
            <w:rStyle w:val="Hyperlink"/>
            <w:lang w:val="fr-FR"/>
          </w:rPr>
          <w:t xml:space="preserve">Article 15 </w:t>
        </w:r>
        <w:r w:rsidR="00CA7302" w:rsidRPr="003C5D6B">
          <w:rPr>
            <w:rStyle w:val="Hyperlink"/>
            <w:lang w:val="fr-FR"/>
          </w:rPr>
          <w:t>–</w:t>
        </w:r>
        <w:r w:rsidR="00AB7CE3" w:rsidRPr="003C5D6B">
          <w:rPr>
            <w:rStyle w:val="Hyperlink"/>
            <w:lang w:val="fr-FR"/>
          </w:rPr>
          <w:t xml:space="preserve"> Droits d'utilisation du spectre à acquitter pour l'accès hertzien large bande mobile</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_Toc284499793 \h </w:instrText>
        </w:r>
        <w:r w:rsidRPr="003C5D6B">
          <w:rPr>
            <w:webHidden/>
            <w:lang w:val="fr-FR"/>
          </w:rPr>
        </w:r>
        <w:r w:rsidRPr="003C5D6B">
          <w:rPr>
            <w:webHidden/>
            <w:lang w:val="fr-FR"/>
          </w:rPr>
          <w:fldChar w:fldCharType="separate"/>
        </w:r>
        <w:r w:rsidR="00AB7CE3" w:rsidRPr="003C5D6B">
          <w:rPr>
            <w:webHidden/>
            <w:lang w:val="fr-FR"/>
          </w:rPr>
          <w:t>51</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94" w:history="1">
        <w:r w:rsidR="00AB7CE3" w:rsidRPr="003C5D6B">
          <w:rPr>
            <w:rStyle w:val="Hyperlink"/>
            <w:lang w:val="fr-FR"/>
          </w:rPr>
          <w:t xml:space="preserve">Article 16 </w:t>
        </w:r>
        <w:r w:rsidR="00CA7302" w:rsidRPr="003C5D6B">
          <w:rPr>
            <w:rStyle w:val="Hyperlink"/>
            <w:lang w:val="fr-FR"/>
          </w:rPr>
          <w:t>–</w:t>
        </w:r>
        <w:r w:rsidR="00AB7CE3" w:rsidRPr="003C5D6B">
          <w:rPr>
            <w:rStyle w:val="Hyperlink"/>
            <w:lang w:val="fr-FR"/>
          </w:rPr>
          <w:t xml:space="preserve"> Droits d'utilisation du spectre pour les liaisons à fibre optique et les liaisons laser</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_Toc284499794 \h </w:instrText>
        </w:r>
        <w:r w:rsidRPr="003C5D6B">
          <w:rPr>
            <w:webHidden/>
            <w:lang w:val="fr-FR"/>
          </w:rPr>
        </w:r>
        <w:r w:rsidRPr="003C5D6B">
          <w:rPr>
            <w:webHidden/>
            <w:lang w:val="fr-FR"/>
          </w:rPr>
          <w:fldChar w:fldCharType="separate"/>
        </w:r>
        <w:r w:rsidR="00AB7CE3" w:rsidRPr="003C5D6B">
          <w:rPr>
            <w:webHidden/>
            <w:lang w:val="fr-FR"/>
          </w:rPr>
          <w:t>52</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95" w:history="1">
        <w:r w:rsidR="00AB7CE3" w:rsidRPr="003C5D6B">
          <w:rPr>
            <w:rStyle w:val="Hyperlink"/>
            <w:lang w:val="fr-FR"/>
          </w:rPr>
          <w:t xml:space="preserve">Article 17 </w:t>
        </w:r>
        <w:r w:rsidR="00CA7302" w:rsidRPr="003C5D6B">
          <w:rPr>
            <w:rStyle w:val="Hyperlink"/>
            <w:lang w:val="fr-FR"/>
          </w:rPr>
          <w:t>–</w:t>
        </w:r>
        <w:r w:rsidR="00AB7CE3" w:rsidRPr="003C5D6B">
          <w:rPr>
            <w:rStyle w:val="Hyperlink"/>
            <w:lang w:val="fr-FR"/>
          </w:rPr>
          <w:t xml:space="preserve"> Droits d'utilisation du spectre pour les réseaux WLAN et la téléphonie sans fil</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_Toc284499795 \h </w:instrText>
        </w:r>
        <w:r w:rsidRPr="003C5D6B">
          <w:rPr>
            <w:webHidden/>
            <w:lang w:val="fr-FR"/>
          </w:rPr>
        </w:r>
        <w:r w:rsidRPr="003C5D6B">
          <w:rPr>
            <w:webHidden/>
            <w:lang w:val="fr-FR"/>
          </w:rPr>
          <w:fldChar w:fldCharType="separate"/>
        </w:r>
        <w:r w:rsidR="00AB7CE3" w:rsidRPr="003C5D6B">
          <w:rPr>
            <w:webHidden/>
            <w:lang w:val="fr-FR"/>
          </w:rPr>
          <w:t>52</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96" w:history="1">
        <w:r w:rsidR="00AB7CE3" w:rsidRPr="003C5D6B">
          <w:rPr>
            <w:rStyle w:val="Hyperlink"/>
            <w:lang w:val="fr-FR"/>
          </w:rPr>
          <w:t xml:space="preserve">Article 18 </w:t>
        </w:r>
        <w:r w:rsidR="00CA7302" w:rsidRPr="003C5D6B">
          <w:rPr>
            <w:rStyle w:val="Hyperlink"/>
            <w:lang w:val="fr-FR"/>
          </w:rPr>
          <w:t>–</w:t>
        </w:r>
        <w:r w:rsidR="00AB7CE3" w:rsidRPr="003C5D6B">
          <w:rPr>
            <w:rStyle w:val="Hyperlink"/>
            <w:lang w:val="fr-FR"/>
          </w:rPr>
          <w:t xml:space="preserve"> Droits d'utilisation du spectre pour les systèmes GMPCS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_Toc284499796 \h </w:instrText>
        </w:r>
        <w:r w:rsidRPr="003C5D6B">
          <w:rPr>
            <w:webHidden/>
            <w:lang w:val="fr-FR"/>
          </w:rPr>
        </w:r>
        <w:r w:rsidRPr="003C5D6B">
          <w:rPr>
            <w:webHidden/>
            <w:lang w:val="fr-FR"/>
          </w:rPr>
          <w:fldChar w:fldCharType="separate"/>
        </w:r>
        <w:r w:rsidR="00AB7CE3" w:rsidRPr="003C5D6B">
          <w:rPr>
            <w:webHidden/>
            <w:lang w:val="fr-FR"/>
          </w:rPr>
          <w:t>52</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97" w:history="1">
        <w:r w:rsidR="00AB7CE3" w:rsidRPr="003C5D6B">
          <w:rPr>
            <w:rStyle w:val="Hyperlink"/>
            <w:lang w:val="fr-FR"/>
          </w:rPr>
          <w:t xml:space="preserve">Article 19 </w:t>
        </w:r>
        <w:r w:rsidR="00CA7302" w:rsidRPr="003C5D6B">
          <w:rPr>
            <w:rStyle w:val="Hyperlink"/>
            <w:lang w:val="fr-FR"/>
          </w:rPr>
          <w:t>–</w:t>
        </w:r>
        <w:r w:rsidR="00AB7CE3" w:rsidRPr="003C5D6B">
          <w:rPr>
            <w:rStyle w:val="Hyperlink"/>
            <w:lang w:val="fr-FR"/>
          </w:rPr>
          <w:t xml:space="preserve"> Droits d'utilisation du spectre pour le Service d'amateur</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_Toc284499797 \h </w:instrText>
        </w:r>
        <w:r w:rsidRPr="003C5D6B">
          <w:rPr>
            <w:webHidden/>
            <w:lang w:val="fr-FR"/>
          </w:rPr>
        </w:r>
        <w:r w:rsidRPr="003C5D6B">
          <w:rPr>
            <w:webHidden/>
            <w:lang w:val="fr-FR"/>
          </w:rPr>
          <w:fldChar w:fldCharType="separate"/>
        </w:r>
        <w:r w:rsidR="00AB7CE3" w:rsidRPr="003C5D6B">
          <w:rPr>
            <w:webHidden/>
            <w:lang w:val="fr-FR"/>
          </w:rPr>
          <w:t>53</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798" w:history="1">
        <w:r w:rsidR="00AB7CE3" w:rsidRPr="003C5D6B">
          <w:rPr>
            <w:rStyle w:val="Hyperlink"/>
            <w:lang w:val="fr-FR"/>
          </w:rPr>
          <w:t xml:space="preserve">Article 20 </w:t>
        </w:r>
        <w:r w:rsidR="00CA7302" w:rsidRPr="003C5D6B">
          <w:rPr>
            <w:rStyle w:val="Hyperlink"/>
            <w:lang w:val="fr-FR"/>
          </w:rPr>
          <w:t>–</w:t>
        </w:r>
        <w:r w:rsidR="00AB7CE3" w:rsidRPr="003C5D6B">
          <w:rPr>
            <w:rStyle w:val="Hyperlink"/>
            <w:lang w:val="fr-FR"/>
          </w:rPr>
          <w:t xml:space="preserve"> Droits d'utilisation du spectre à acquitter pour les stations  de radiocommunication aéronautiques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_Toc284499798 \h </w:instrText>
        </w:r>
        <w:r w:rsidRPr="003C5D6B">
          <w:rPr>
            <w:webHidden/>
            <w:lang w:val="fr-FR"/>
          </w:rPr>
        </w:r>
        <w:r w:rsidRPr="003C5D6B">
          <w:rPr>
            <w:webHidden/>
            <w:lang w:val="fr-FR"/>
          </w:rPr>
          <w:fldChar w:fldCharType="separate"/>
        </w:r>
        <w:r w:rsidR="00AB7CE3" w:rsidRPr="003C5D6B">
          <w:rPr>
            <w:webHidden/>
            <w:lang w:val="fr-FR"/>
          </w:rPr>
          <w:t>53</w:t>
        </w:r>
        <w:r w:rsidRPr="003C5D6B">
          <w:rPr>
            <w:webHidden/>
            <w:lang w:val="fr-FR"/>
          </w:rPr>
          <w:fldChar w:fldCharType="end"/>
        </w:r>
      </w:hyperlink>
    </w:p>
    <w:p w:rsidR="00CA7302" w:rsidRPr="003C5D6B" w:rsidRDefault="00CA7302" w:rsidP="00CA7302">
      <w:pPr>
        <w:pStyle w:val="Recdate"/>
        <w:keepLines w:val="0"/>
        <w:tabs>
          <w:tab w:val="right" w:pos="9639"/>
        </w:tabs>
        <w:jc w:val="left"/>
        <w:rPr>
          <w:b/>
          <w:iCs/>
          <w:lang w:val="fr-FR"/>
        </w:rPr>
      </w:pPr>
      <w:r w:rsidRPr="003C5D6B">
        <w:rPr>
          <w:iCs/>
          <w:lang w:val="fr-FR"/>
        </w:rPr>
        <w:lastRenderedPageBreak/>
        <w:tab/>
      </w:r>
      <w:r w:rsidRPr="003C5D6B">
        <w:rPr>
          <w:b/>
          <w:iCs/>
          <w:lang w:val="fr-FR"/>
        </w:rPr>
        <w:t>Page</w:t>
      </w:r>
    </w:p>
    <w:p w:rsidR="00AB7CE3" w:rsidRPr="003C5D6B" w:rsidRDefault="003B6168">
      <w:pPr>
        <w:pStyle w:val="TOC1"/>
        <w:rPr>
          <w:rFonts w:asciiTheme="minorHAnsi" w:eastAsia="SimSun" w:hAnsiTheme="minorHAnsi" w:cstheme="minorBidi"/>
          <w:szCs w:val="22"/>
          <w:lang w:val="fr-FR" w:eastAsia="zh-CN"/>
        </w:rPr>
      </w:pPr>
      <w:hyperlink w:anchor="_Toc284499799" w:history="1">
        <w:r w:rsidR="00AB7CE3" w:rsidRPr="003C5D6B">
          <w:rPr>
            <w:rStyle w:val="Hyperlink"/>
            <w:lang w:val="fr-FR"/>
          </w:rPr>
          <w:t xml:space="preserve">Article 21 </w:t>
        </w:r>
        <w:r w:rsidR="00CA7302" w:rsidRPr="003C5D6B">
          <w:rPr>
            <w:rStyle w:val="Hyperlink"/>
            <w:lang w:val="fr-FR"/>
          </w:rPr>
          <w:t>–</w:t>
        </w:r>
        <w:r w:rsidR="00AB7CE3" w:rsidRPr="003C5D6B">
          <w:rPr>
            <w:rStyle w:val="Hyperlink"/>
            <w:lang w:val="fr-FR"/>
          </w:rPr>
          <w:t xml:space="preserve"> Droits d'utilisation du spectre pour les services de radiocommunication maritimes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_Toc284499799 \h </w:instrText>
        </w:r>
        <w:r w:rsidRPr="003C5D6B">
          <w:rPr>
            <w:webHidden/>
            <w:lang w:val="fr-FR"/>
          </w:rPr>
        </w:r>
        <w:r w:rsidRPr="003C5D6B">
          <w:rPr>
            <w:webHidden/>
            <w:lang w:val="fr-FR"/>
          </w:rPr>
          <w:fldChar w:fldCharType="separate"/>
        </w:r>
        <w:r w:rsidR="00AB7CE3" w:rsidRPr="003C5D6B">
          <w:rPr>
            <w:webHidden/>
            <w:lang w:val="fr-FR"/>
          </w:rPr>
          <w:t>53</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00" w:history="1">
        <w:r w:rsidR="00AB7CE3" w:rsidRPr="003C5D6B">
          <w:rPr>
            <w:rStyle w:val="Hyperlink"/>
            <w:lang w:val="fr-FR"/>
          </w:rPr>
          <w:t xml:space="preserve">Article 22 </w:t>
        </w:r>
        <w:r w:rsidR="00CA7302" w:rsidRPr="003C5D6B">
          <w:rPr>
            <w:rStyle w:val="Hyperlink"/>
            <w:lang w:val="fr-FR"/>
          </w:rPr>
          <w:t>–</w:t>
        </w:r>
        <w:r w:rsidR="00AB7CE3" w:rsidRPr="003C5D6B">
          <w:rPr>
            <w:rStyle w:val="Hyperlink"/>
            <w:lang w:val="fr-FR"/>
          </w:rPr>
          <w:t xml:space="preserve"> Droits d'utilisation du spectre à acquitter pour les services spatiaux  et les services auxiliaires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_Toc284499800 \h </w:instrText>
        </w:r>
        <w:r w:rsidRPr="003C5D6B">
          <w:rPr>
            <w:webHidden/>
            <w:lang w:val="fr-FR"/>
          </w:rPr>
        </w:r>
        <w:r w:rsidRPr="003C5D6B">
          <w:rPr>
            <w:webHidden/>
            <w:lang w:val="fr-FR"/>
          </w:rPr>
          <w:fldChar w:fldCharType="separate"/>
        </w:r>
        <w:r w:rsidR="00AB7CE3" w:rsidRPr="003C5D6B">
          <w:rPr>
            <w:webHidden/>
            <w:lang w:val="fr-FR"/>
          </w:rPr>
          <w:t>53</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01" w:history="1">
        <w:r w:rsidR="00AB7CE3" w:rsidRPr="003C5D6B">
          <w:rPr>
            <w:rStyle w:val="Hyperlink"/>
            <w:lang w:val="fr-FR"/>
          </w:rPr>
          <w:t xml:space="preserve">Article 23 </w:t>
        </w:r>
        <w:r w:rsidR="00CA7302" w:rsidRPr="003C5D6B">
          <w:rPr>
            <w:rStyle w:val="Hyperlink"/>
            <w:lang w:val="fr-FR"/>
          </w:rPr>
          <w:t>–</w:t>
        </w:r>
        <w:r w:rsidR="00AB7CE3" w:rsidRPr="003C5D6B">
          <w:rPr>
            <w:rStyle w:val="Hyperlink"/>
            <w:lang w:val="fr-FR"/>
          </w:rPr>
          <w:t xml:space="preserve"> Droits à acquitter pour les stations de radionavigation</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_Toc284499801 \h </w:instrText>
        </w:r>
        <w:r w:rsidRPr="003C5D6B">
          <w:rPr>
            <w:webHidden/>
            <w:lang w:val="fr-FR"/>
          </w:rPr>
        </w:r>
        <w:r w:rsidRPr="003C5D6B">
          <w:rPr>
            <w:webHidden/>
            <w:lang w:val="fr-FR"/>
          </w:rPr>
          <w:fldChar w:fldCharType="separate"/>
        </w:r>
        <w:r w:rsidR="00AB7CE3" w:rsidRPr="003C5D6B">
          <w:rPr>
            <w:webHidden/>
            <w:lang w:val="fr-FR"/>
          </w:rPr>
          <w:t>54</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02" w:history="1">
        <w:r w:rsidR="00AB7CE3" w:rsidRPr="003C5D6B">
          <w:rPr>
            <w:rStyle w:val="Hyperlink"/>
            <w:lang w:val="fr-FR"/>
          </w:rPr>
          <w:t xml:space="preserve">Article 24 </w:t>
        </w:r>
        <w:r w:rsidR="00CA7302" w:rsidRPr="003C5D6B">
          <w:rPr>
            <w:rStyle w:val="Hyperlink"/>
            <w:lang w:val="fr-FR"/>
          </w:rPr>
          <w:t>–</w:t>
        </w:r>
        <w:r w:rsidR="00AB7CE3" w:rsidRPr="003C5D6B">
          <w:rPr>
            <w:rStyle w:val="Hyperlink"/>
            <w:lang w:val="fr-FR"/>
          </w:rPr>
          <w:t xml:space="preserve"> Droits à acquitter pour les stations de radioastronomie</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_Toc284499802 \h </w:instrText>
        </w:r>
        <w:r w:rsidRPr="003C5D6B">
          <w:rPr>
            <w:webHidden/>
            <w:lang w:val="fr-FR"/>
          </w:rPr>
        </w:r>
        <w:r w:rsidRPr="003C5D6B">
          <w:rPr>
            <w:webHidden/>
            <w:lang w:val="fr-FR"/>
          </w:rPr>
          <w:fldChar w:fldCharType="separate"/>
        </w:r>
        <w:r w:rsidR="00AB7CE3" w:rsidRPr="003C5D6B">
          <w:rPr>
            <w:webHidden/>
            <w:lang w:val="fr-FR"/>
          </w:rPr>
          <w:t>54</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03" w:history="1">
        <w:r w:rsidR="00AB7CE3" w:rsidRPr="003C5D6B">
          <w:rPr>
            <w:rStyle w:val="Hyperlink"/>
            <w:lang w:val="fr-FR"/>
          </w:rPr>
          <w:t xml:space="preserve">Article 25 </w:t>
        </w:r>
        <w:r w:rsidR="00CA7302" w:rsidRPr="003C5D6B">
          <w:rPr>
            <w:rStyle w:val="Hyperlink"/>
            <w:lang w:val="fr-FR"/>
          </w:rPr>
          <w:t>–</w:t>
        </w:r>
        <w:r w:rsidR="00AB7CE3" w:rsidRPr="003C5D6B">
          <w:rPr>
            <w:rStyle w:val="Hyperlink"/>
            <w:lang w:val="fr-FR"/>
          </w:rPr>
          <w:t xml:space="preserve"> Droits à acquitter pour les stations de radiolocalisation</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_Toc284499803 \h </w:instrText>
        </w:r>
        <w:r w:rsidRPr="003C5D6B">
          <w:rPr>
            <w:webHidden/>
            <w:lang w:val="fr-FR"/>
          </w:rPr>
        </w:r>
        <w:r w:rsidRPr="003C5D6B">
          <w:rPr>
            <w:webHidden/>
            <w:lang w:val="fr-FR"/>
          </w:rPr>
          <w:fldChar w:fldCharType="separate"/>
        </w:r>
        <w:r w:rsidR="00AB7CE3" w:rsidRPr="003C5D6B">
          <w:rPr>
            <w:webHidden/>
            <w:lang w:val="fr-FR"/>
          </w:rPr>
          <w:t>54</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04" w:history="1">
        <w:r w:rsidR="00AB7CE3" w:rsidRPr="003C5D6B">
          <w:rPr>
            <w:rStyle w:val="Hyperlink"/>
            <w:lang w:val="fr-FR"/>
          </w:rPr>
          <w:t xml:space="preserve">Article 26 </w:t>
        </w:r>
        <w:r w:rsidR="00CA7302" w:rsidRPr="003C5D6B">
          <w:rPr>
            <w:rStyle w:val="Hyperlink"/>
            <w:lang w:val="fr-FR"/>
          </w:rPr>
          <w:t>–</w:t>
        </w:r>
        <w:r w:rsidR="00AB7CE3" w:rsidRPr="003C5D6B">
          <w:rPr>
            <w:rStyle w:val="Hyperlink"/>
            <w:lang w:val="fr-FR"/>
          </w:rPr>
          <w:t xml:space="preserve"> Droits à acquitter pour le service de radiodiffusion</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_Toc284499804 \h </w:instrText>
        </w:r>
        <w:r w:rsidRPr="003C5D6B">
          <w:rPr>
            <w:webHidden/>
            <w:lang w:val="fr-FR"/>
          </w:rPr>
        </w:r>
        <w:r w:rsidRPr="003C5D6B">
          <w:rPr>
            <w:webHidden/>
            <w:lang w:val="fr-FR"/>
          </w:rPr>
          <w:fldChar w:fldCharType="separate"/>
        </w:r>
        <w:r w:rsidR="00AB7CE3" w:rsidRPr="003C5D6B">
          <w:rPr>
            <w:webHidden/>
            <w:lang w:val="fr-FR"/>
          </w:rPr>
          <w:t>54</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05" w:history="1">
        <w:r w:rsidR="00AB7CE3" w:rsidRPr="003C5D6B">
          <w:rPr>
            <w:rStyle w:val="Hyperlink"/>
            <w:lang w:val="fr-FR"/>
          </w:rPr>
          <w:t xml:space="preserve">Article 27 </w:t>
        </w:r>
        <w:r w:rsidR="00CA7302" w:rsidRPr="003C5D6B">
          <w:rPr>
            <w:rStyle w:val="Hyperlink"/>
            <w:lang w:val="fr-FR"/>
          </w:rPr>
          <w:t>–</w:t>
        </w:r>
        <w:r w:rsidR="00AB7CE3" w:rsidRPr="003C5D6B">
          <w:rPr>
            <w:rStyle w:val="Hyperlink"/>
            <w:lang w:val="fr-FR"/>
          </w:rPr>
          <w:t xml:space="preserve"> Systèmes à courte portée</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_Toc284499805 \h </w:instrText>
        </w:r>
        <w:r w:rsidRPr="003C5D6B">
          <w:rPr>
            <w:webHidden/>
            <w:lang w:val="fr-FR"/>
          </w:rPr>
        </w:r>
        <w:r w:rsidRPr="003C5D6B">
          <w:rPr>
            <w:webHidden/>
            <w:lang w:val="fr-FR"/>
          </w:rPr>
          <w:fldChar w:fldCharType="separate"/>
        </w:r>
        <w:r w:rsidR="00AB7CE3" w:rsidRPr="003C5D6B">
          <w:rPr>
            <w:webHidden/>
            <w:lang w:val="fr-FR"/>
          </w:rPr>
          <w:t>58</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06" w:history="1">
        <w:r w:rsidR="00AB7CE3" w:rsidRPr="003C5D6B">
          <w:rPr>
            <w:rStyle w:val="Hyperlink"/>
            <w:lang w:val="fr-FR"/>
          </w:rPr>
          <w:t xml:space="preserve">Article 28 </w:t>
        </w:r>
        <w:r w:rsidR="00CA7302" w:rsidRPr="003C5D6B">
          <w:rPr>
            <w:rStyle w:val="Hyperlink"/>
            <w:lang w:val="fr-FR"/>
          </w:rPr>
          <w:t>–</w:t>
        </w:r>
        <w:r w:rsidR="00AB7CE3" w:rsidRPr="003C5D6B">
          <w:rPr>
            <w:rStyle w:val="Hyperlink"/>
            <w:lang w:val="fr-FR"/>
          </w:rPr>
          <w:t xml:space="preserve"> Fréquences à utiliser en cas d'urgence et de catastrophe</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_Toc284499806 \h </w:instrText>
        </w:r>
        <w:r w:rsidRPr="003C5D6B">
          <w:rPr>
            <w:webHidden/>
            <w:lang w:val="fr-FR"/>
          </w:rPr>
        </w:r>
        <w:r w:rsidRPr="003C5D6B">
          <w:rPr>
            <w:webHidden/>
            <w:lang w:val="fr-FR"/>
          </w:rPr>
          <w:fldChar w:fldCharType="separate"/>
        </w:r>
        <w:r w:rsidR="00AB7CE3" w:rsidRPr="003C5D6B">
          <w:rPr>
            <w:webHidden/>
            <w:lang w:val="fr-FR"/>
          </w:rPr>
          <w:t>58</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07" w:history="1">
        <w:r w:rsidR="00AB7CE3" w:rsidRPr="003C5D6B">
          <w:rPr>
            <w:rStyle w:val="Hyperlink"/>
            <w:lang w:val="fr-FR"/>
          </w:rPr>
          <w:t xml:space="preserve">Article 29 </w:t>
        </w:r>
        <w:r w:rsidR="00CA7302" w:rsidRPr="003C5D6B">
          <w:rPr>
            <w:rStyle w:val="Hyperlink"/>
            <w:lang w:val="fr-FR"/>
          </w:rPr>
          <w:t>–</w:t>
        </w:r>
        <w:r w:rsidR="00AB7CE3" w:rsidRPr="003C5D6B">
          <w:rPr>
            <w:rStyle w:val="Hyperlink"/>
            <w:lang w:val="fr-FR"/>
          </w:rPr>
          <w:t xml:space="preserve"> Autorisation temporaire</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_Toc284499807 \h </w:instrText>
        </w:r>
        <w:r w:rsidRPr="003C5D6B">
          <w:rPr>
            <w:webHidden/>
            <w:lang w:val="fr-FR"/>
          </w:rPr>
        </w:r>
        <w:r w:rsidRPr="003C5D6B">
          <w:rPr>
            <w:webHidden/>
            <w:lang w:val="fr-FR"/>
          </w:rPr>
          <w:fldChar w:fldCharType="separate"/>
        </w:r>
        <w:r w:rsidR="00AB7CE3" w:rsidRPr="003C5D6B">
          <w:rPr>
            <w:webHidden/>
            <w:lang w:val="fr-FR"/>
          </w:rPr>
          <w:t>59</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08" w:history="1">
        <w:r w:rsidR="00AB7CE3" w:rsidRPr="003C5D6B">
          <w:rPr>
            <w:rStyle w:val="Hyperlink"/>
            <w:lang w:val="fr-FR"/>
          </w:rPr>
          <w:t xml:space="preserve">Article 30 </w:t>
        </w:r>
        <w:r w:rsidR="00CA7302" w:rsidRPr="003C5D6B">
          <w:rPr>
            <w:rStyle w:val="Hyperlink"/>
            <w:lang w:val="fr-FR"/>
          </w:rPr>
          <w:t>–</w:t>
        </w:r>
        <w:r w:rsidR="00AB7CE3" w:rsidRPr="003C5D6B">
          <w:rPr>
            <w:rStyle w:val="Hyperlink"/>
            <w:lang w:val="fr-FR"/>
          </w:rPr>
          <w:t xml:space="preserve"> Autres services de radiocommunication</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_Toc284499808 \h </w:instrText>
        </w:r>
        <w:r w:rsidRPr="003C5D6B">
          <w:rPr>
            <w:webHidden/>
            <w:lang w:val="fr-FR"/>
          </w:rPr>
        </w:r>
        <w:r w:rsidRPr="003C5D6B">
          <w:rPr>
            <w:webHidden/>
            <w:lang w:val="fr-FR"/>
          </w:rPr>
          <w:fldChar w:fldCharType="separate"/>
        </w:r>
        <w:r w:rsidR="00AB7CE3" w:rsidRPr="003C5D6B">
          <w:rPr>
            <w:webHidden/>
            <w:lang w:val="fr-FR"/>
          </w:rPr>
          <w:t>59</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09" w:history="1">
        <w:r w:rsidR="00AB7CE3" w:rsidRPr="003C5D6B">
          <w:rPr>
            <w:rStyle w:val="Hyperlink"/>
            <w:lang w:val="fr-FR"/>
          </w:rPr>
          <w:t xml:space="preserve">Article 31 </w:t>
        </w:r>
        <w:r w:rsidR="00CA7302" w:rsidRPr="003C5D6B">
          <w:rPr>
            <w:rStyle w:val="Hyperlink"/>
            <w:lang w:val="fr-FR"/>
          </w:rPr>
          <w:t>–</w:t>
        </w:r>
        <w:r w:rsidR="00AB7CE3" w:rsidRPr="003C5D6B">
          <w:rPr>
            <w:rStyle w:val="Hyperlink"/>
            <w:lang w:val="fr-FR"/>
          </w:rPr>
          <w:t xml:space="preserve"> Traitement des plaintes pour brouillages et droits applicables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_Toc284499809 \h </w:instrText>
        </w:r>
        <w:r w:rsidRPr="003C5D6B">
          <w:rPr>
            <w:webHidden/>
            <w:lang w:val="fr-FR"/>
          </w:rPr>
        </w:r>
        <w:r w:rsidRPr="003C5D6B">
          <w:rPr>
            <w:webHidden/>
            <w:lang w:val="fr-FR"/>
          </w:rPr>
          <w:fldChar w:fldCharType="separate"/>
        </w:r>
        <w:r w:rsidR="00AB7CE3" w:rsidRPr="003C5D6B">
          <w:rPr>
            <w:webHidden/>
            <w:lang w:val="fr-FR"/>
          </w:rPr>
          <w:t>59</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10" w:history="1">
        <w:r w:rsidR="00AB7CE3" w:rsidRPr="003C5D6B">
          <w:rPr>
            <w:rStyle w:val="Hyperlink"/>
            <w:lang w:val="fr-FR"/>
          </w:rPr>
          <w:t xml:space="preserve">Article 32 </w:t>
        </w:r>
        <w:r w:rsidR="00CA7302" w:rsidRPr="003C5D6B">
          <w:rPr>
            <w:rStyle w:val="Hyperlink"/>
            <w:lang w:val="fr-FR"/>
          </w:rPr>
          <w:t>–</w:t>
        </w:r>
        <w:r w:rsidR="00AB7CE3" w:rsidRPr="003C5D6B">
          <w:rPr>
            <w:rStyle w:val="Hyperlink"/>
            <w:lang w:val="fr-FR"/>
          </w:rPr>
          <w:t xml:space="preserve"> Droits à acquitter par les ambassades et consulats de pays étrangers  et par les missions diplomatiques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_Toc284499810 \h </w:instrText>
        </w:r>
        <w:r w:rsidRPr="003C5D6B">
          <w:rPr>
            <w:webHidden/>
            <w:lang w:val="fr-FR"/>
          </w:rPr>
        </w:r>
        <w:r w:rsidRPr="003C5D6B">
          <w:rPr>
            <w:webHidden/>
            <w:lang w:val="fr-FR"/>
          </w:rPr>
          <w:fldChar w:fldCharType="separate"/>
        </w:r>
        <w:r w:rsidR="00AB7CE3" w:rsidRPr="003C5D6B">
          <w:rPr>
            <w:webHidden/>
            <w:lang w:val="fr-FR"/>
          </w:rPr>
          <w:t>59</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11" w:history="1">
        <w:r w:rsidR="00AB7CE3" w:rsidRPr="003C5D6B">
          <w:rPr>
            <w:rStyle w:val="Hyperlink"/>
            <w:lang w:val="fr-FR"/>
          </w:rPr>
          <w:t xml:space="preserve">Article 33 </w:t>
        </w:r>
        <w:r w:rsidR="00CA7302" w:rsidRPr="003C5D6B">
          <w:rPr>
            <w:rStyle w:val="Hyperlink"/>
            <w:lang w:val="fr-FR"/>
          </w:rPr>
          <w:t>–</w:t>
        </w:r>
        <w:r w:rsidR="00AB7CE3" w:rsidRPr="003C5D6B">
          <w:rPr>
            <w:rStyle w:val="Hyperlink"/>
            <w:lang w:val="fr-FR"/>
          </w:rPr>
          <w:t xml:space="preserve"> Droits à acquitter pour la visite des emplacements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_Toc284499811 \h </w:instrText>
        </w:r>
        <w:r w:rsidRPr="003C5D6B">
          <w:rPr>
            <w:webHidden/>
            <w:lang w:val="fr-FR"/>
          </w:rPr>
        </w:r>
        <w:r w:rsidRPr="003C5D6B">
          <w:rPr>
            <w:webHidden/>
            <w:lang w:val="fr-FR"/>
          </w:rPr>
          <w:fldChar w:fldCharType="separate"/>
        </w:r>
        <w:r w:rsidR="00AB7CE3" w:rsidRPr="003C5D6B">
          <w:rPr>
            <w:webHidden/>
            <w:lang w:val="fr-FR"/>
          </w:rPr>
          <w:t>59</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12" w:history="1">
        <w:r w:rsidR="00AB7CE3" w:rsidRPr="003C5D6B">
          <w:rPr>
            <w:rStyle w:val="Hyperlink"/>
            <w:lang w:val="fr-FR"/>
          </w:rPr>
          <w:t xml:space="preserve">Article 34 </w:t>
        </w:r>
        <w:r w:rsidR="00CA7302" w:rsidRPr="003C5D6B">
          <w:rPr>
            <w:rStyle w:val="Hyperlink"/>
            <w:lang w:val="fr-FR"/>
          </w:rPr>
          <w:t>–</w:t>
        </w:r>
        <w:r w:rsidR="00AB7CE3" w:rsidRPr="003C5D6B">
          <w:rPr>
            <w:rStyle w:val="Hyperlink"/>
            <w:lang w:val="fr-FR"/>
          </w:rPr>
          <w:t xml:space="preserve"> Obligation de paiement</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_Toc284499812 \h </w:instrText>
        </w:r>
        <w:r w:rsidRPr="003C5D6B">
          <w:rPr>
            <w:webHidden/>
            <w:lang w:val="fr-FR"/>
          </w:rPr>
        </w:r>
        <w:r w:rsidRPr="003C5D6B">
          <w:rPr>
            <w:webHidden/>
            <w:lang w:val="fr-FR"/>
          </w:rPr>
          <w:fldChar w:fldCharType="separate"/>
        </w:r>
        <w:r w:rsidR="00AB7CE3" w:rsidRPr="003C5D6B">
          <w:rPr>
            <w:webHidden/>
            <w:lang w:val="fr-FR"/>
          </w:rPr>
          <w:t>59</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13" w:history="1">
        <w:r w:rsidR="00AB7CE3" w:rsidRPr="003C5D6B">
          <w:rPr>
            <w:rStyle w:val="Hyperlink"/>
            <w:lang w:val="fr-FR"/>
          </w:rPr>
          <w:t xml:space="preserve">Article 35 </w:t>
        </w:r>
        <w:r w:rsidR="00CA7302" w:rsidRPr="003C5D6B">
          <w:rPr>
            <w:rStyle w:val="Hyperlink"/>
            <w:lang w:val="fr-FR"/>
          </w:rPr>
          <w:t>–</w:t>
        </w:r>
        <w:r w:rsidR="00AB7CE3" w:rsidRPr="003C5D6B">
          <w:rPr>
            <w:rStyle w:val="Hyperlink"/>
            <w:lang w:val="fr-FR"/>
          </w:rPr>
          <w:t xml:space="preserve"> Méthodes de paiement</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_Toc284499813 \h </w:instrText>
        </w:r>
        <w:r w:rsidRPr="003C5D6B">
          <w:rPr>
            <w:webHidden/>
            <w:lang w:val="fr-FR"/>
          </w:rPr>
        </w:r>
        <w:r w:rsidRPr="003C5D6B">
          <w:rPr>
            <w:webHidden/>
            <w:lang w:val="fr-FR"/>
          </w:rPr>
          <w:fldChar w:fldCharType="separate"/>
        </w:r>
        <w:r w:rsidR="00AB7CE3" w:rsidRPr="003C5D6B">
          <w:rPr>
            <w:webHidden/>
            <w:lang w:val="fr-FR"/>
          </w:rPr>
          <w:t>60</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14" w:history="1">
        <w:r w:rsidR="00AB7CE3" w:rsidRPr="003C5D6B">
          <w:rPr>
            <w:rStyle w:val="Hyperlink"/>
            <w:lang w:val="fr-FR"/>
          </w:rPr>
          <w:t xml:space="preserve">Article 36 </w:t>
        </w:r>
        <w:r w:rsidR="00CA7302" w:rsidRPr="003C5D6B">
          <w:rPr>
            <w:rStyle w:val="Hyperlink"/>
            <w:lang w:val="fr-FR"/>
          </w:rPr>
          <w:t>–</w:t>
        </w:r>
        <w:r w:rsidR="00AB7CE3" w:rsidRPr="003C5D6B">
          <w:rPr>
            <w:rStyle w:val="Hyperlink"/>
            <w:lang w:val="fr-FR"/>
          </w:rPr>
          <w:t xml:space="preserve"> Sanctions</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_Toc284499814 \h </w:instrText>
        </w:r>
        <w:r w:rsidRPr="003C5D6B">
          <w:rPr>
            <w:webHidden/>
            <w:lang w:val="fr-FR"/>
          </w:rPr>
        </w:r>
        <w:r w:rsidRPr="003C5D6B">
          <w:rPr>
            <w:webHidden/>
            <w:lang w:val="fr-FR"/>
          </w:rPr>
          <w:fldChar w:fldCharType="separate"/>
        </w:r>
        <w:r w:rsidR="00AB7CE3" w:rsidRPr="003C5D6B">
          <w:rPr>
            <w:webHidden/>
            <w:lang w:val="fr-FR"/>
          </w:rPr>
          <w:t>60</w:t>
        </w:r>
        <w:r w:rsidRPr="003C5D6B">
          <w:rPr>
            <w:webHidden/>
            <w:lang w:val="fr-FR"/>
          </w:rPr>
          <w:fldChar w:fldCharType="end"/>
        </w:r>
      </w:hyperlink>
    </w:p>
    <w:p w:rsidR="00AB7CE3" w:rsidRPr="003C5D6B" w:rsidRDefault="003B6168">
      <w:pPr>
        <w:pStyle w:val="TOC1"/>
        <w:rPr>
          <w:rFonts w:asciiTheme="minorHAnsi" w:eastAsia="SimSun" w:hAnsiTheme="minorHAnsi" w:cstheme="minorBidi"/>
          <w:szCs w:val="22"/>
          <w:lang w:val="fr-FR" w:eastAsia="zh-CN"/>
        </w:rPr>
      </w:pPr>
      <w:hyperlink w:anchor="_Toc284499815" w:history="1">
        <w:r w:rsidR="00AB7CE3" w:rsidRPr="003C5D6B">
          <w:rPr>
            <w:rStyle w:val="Hyperlink"/>
            <w:lang w:val="fr-FR"/>
          </w:rPr>
          <w:t xml:space="preserve">Article 37 </w:t>
        </w:r>
        <w:r w:rsidR="00CA7302" w:rsidRPr="003C5D6B">
          <w:rPr>
            <w:rStyle w:val="Hyperlink"/>
            <w:lang w:val="fr-FR"/>
          </w:rPr>
          <w:t>–</w:t>
        </w:r>
        <w:r w:rsidR="00AB7CE3" w:rsidRPr="003C5D6B">
          <w:rPr>
            <w:rStyle w:val="Hyperlink"/>
            <w:lang w:val="fr-FR"/>
          </w:rPr>
          <w:t xml:space="preserve"> Mise en application</w:t>
        </w:r>
        <w:r w:rsidR="00AB7CE3" w:rsidRPr="003C5D6B">
          <w:rPr>
            <w:webHidden/>
            <w:lang w:val="fr-FR"/>
          </w:rPr>
          <w:tab/>
        </w:r>
        <w:r w:rsidR="00CA7302" w:rsidRPr="003C5D6B">
          <w:rPr>
            <w:webHidden/>
            <w:lang w:val="fr-FR"/>
          </w:rPr>
          <w:tab/>
        </w:r>
        <w:r w:rsidRPr="003C5D6B">
          <w:rPr>
            <w:webHidden/>
            <w:lang w:val="fr-FR"/>
          </w:rPr>
          <w:fldChar w:fldCharType="begin"/>
        </w:r>
        <w:r w:rsidR="00AB7CE3" w:rsidRPr="003C5D6B">
          <w:rPr>
            <w:webHidden/>
            <w:lang w:val="fr-FR"/>
          </w:rPr>
          <w:instrText xml:space="preserve"> PAGEREF _Toc284499815 \h </w:instrText>
        </w:r>
        <w:r w:rsidRPr="003C5D6B">
          <w:rPr>
            <w:webHidden/>
            <w:lang w:val="fr-FR"/>
          </w:rPr>
        </w:r>
        <w:r w:rsidRPr="003C5D6B">
          <w:rPr>
            <w:webHidden/>
            <w:lang w:val="fr-FR"/>
          </w:rPr>
          <w:fldChar w:fldCharType="separate"/>
        </w:r>
        <w:r w:rsidR="00AB7CE3" w:rsidRPr="003C5D6B">
          <w:rPr>
            <w:webHidden/>
            <w:lang w:val="fr-FR"/>
          </w:rPr>
          <w:t>60</w:t>
        </w:r>
        <w:r w:rsidRPr="003C5D6B">
          <w:rPr>
            <w:webHidden/>
            <w:lang w:val="fr-FR"/>
          </w:rPr>
          <w:fldChar w:fldCharType="end"/>
        </w:r>
      </w:hyperlink>
    </w:p>
    <w:p w:rsidR="005E7B66" w:rsidRPr="003C5D6B" w:rsidRDefault="003B6168" w:rsidP="005E7B66">
      <w:pPr>
        <w:rPr>
          <w:lang w:val="fr-FR"/>
        </w:rPr>
      </w:pPr>
      <w:r w:rsidRPr="003C5D6B">
        <w:rPr>
          <w:lang w:val="fr-FR"/>
        </w:rPr>
        <w:fldChar w:fldCharType="end"/>
      </w:r>
    </w:p>
    <w:p w:rsidR="005E7B66" w:rsidRPr="003C5D6B" w:rsidRDefault="005E7B66" w:rsidP="005E7B66">
      <w:pPr>
        <w:rPr>
          <w:lang w:val="fr-FR"/>
        </w:rPr>
      </w:pPr>
    </w:p>
    <w:p w:rsidR="00873FC9" w:rsidRPr="003C5D6B" w:rsidRDefault="00873FC9" w:rsidP="005E7B66">
      <w:pPr>
        <w:rPr>
          <w:lang w:val="fr-FR"/>
        </w:rPr>
      </w:pPr>
    </w:p>
    <w:p w:rsidR="00873FC9" w:rsidRPr="003C5D6B" w:rsidRDefault="00873FC9" w:rsidP="005E7B66">
      <w:pPr>
        <w:rPr>
          <w:lang w:val="fr-FR"/>
        </w:rPr>
      </w:pPr>
    </w:p>
    <w:p w:rsidR="00873FC9" w:rsidRPr="003C5D6B" w:rsidRDefault="00873FC9" w:rsidP="005E7B66">
      <w:pPr>
        <w:rPr>
          <w:lang w:val="fr-FR"/>
        </w:rPr>
      </w:pPr>
    </w:p>
    <w:p w:rsidR="00873FC9" w:rsidRPr="003C5D6B" w:rsidRDefault="00873FC9" w:rsidP="005E7B66">
      <w:pPr>
        <w:rPr>
          <w:lang w:val="fr-FR"/>
        </w:rPr>
      </w:pPr>
    </w:p>
    <w:p w:rsidR="00873FC9" w:rsidRPr="003C5D6B" w:rsidRDefault="00873FC9" w:rsidP="005E7B66">
      <w:pPr>
        <w:rPr>
          <w:lang w:val="fr-FR"/>
        </w:rPr>
      </w:pPr>
    </w:p>
    <w:p w:rsidR="00873FC9" w:rsidRPr="003C5D6B" w:rsidRDefault="00873FC9" w:rsidP="005E7B66">
      <w:pPr>
        <w:rPr>
          <w:lang w:val="fr-FR"/>
        </w:rPr>
      </w:pPr>
    </w:p>
    <w:p w:rsidR="00873FC9" w:rsidRPr="003C5D6B" w:rsidRDefault="00873FC9" w:rsidP="005E7B66">
      <w:pPr>
        <w:rPr>
          <w:lang w:val="fr-FR"/>
        </w:rPr>
      </w:pPr>
    </w:p>
    <w:p w:rsidR="00873FC9" w:rsidRPr="003C5D6B" w:rsidRDefault="00873FC9" w:rsidP="005E7B66">
      <w:pPr>
        <w:rPr>
          <w:lang w:val="fr-FR"/>
        </w:rPr>
      </w:pPr>
    </w:p>
    <w:p w:rsidR="00873FC9" w:rsidRPr="003C5D6B" w:rsidRDefault="00873FC9" w:rsidP="005E7B66">
      <w:pPr>
        <w:rPr>
          <w:lang w:val="fr-FR"/>
        </w:rPr>
      </w:pPr>
    </w:p>
    <w:p w:rsidR="00873FC9" w:rsidRPr="003C5D6B" w:rsidRDefault="00873FC9" w:rsidP="005E7B66">
      <w:pPr>
        <w:rPr>
          <w:lang w:val="fr-FR"/>
        </w:rPr>
      </w:pPr>
    </w:p>
    <w:p w:rsidR="00716A59" w:rsidRPr="003C5D6B" w:rsidRDefault="00B51759" w:rsidP="00716A59">
      <w:pPr>
        <w:pStyle w:val="Arttitle"/>
        <w:spacing w:before="400"/>
        <w:rPr>
          <w:lang w:val="fr-FR"/>
        </w:rPr>
      </w:pPr>
      <w:r w:rsidRPr="003C5D6B">
        <w:rPr>
          <w:lang w:val="fr-FR"/>
        </w:rPr>
        <w:br w:type="page"/>
      </w:r>
      <w:bookmarkStart w:id="743" w:name="_Toc225739476"/>
      <w:bookmarkStart w:id="744" w:name="_Toc225739811"/>
      <w:bookmarkStart w:id="745" w:name="_Toc280262358"/>
      <w:bookmarkStart w:id="746" w:name="_Toc280272752"/>
      <w:bookmarkStart w:id="747" w:name="_Toc280272931"/>
      <w:bookmarkStart w:id="748" w:name="_Toc284419446"/>
      <w:bookmarkStart w:id="749" w:name="_Toc286315763"/>
      <w:bookmarkStart w:id="750" w:name="_Toc287523839"/>
      <w:r w:rsidR="00716A59" w:rsidRPr="003C5D6B">
        <w:rPr>
          <w:lang w:val="fr-FR"/>
        </w:rPr>
        <w:lastRenderedPageBreak/>
        <w:t>Article 1</w:t>
      </w:r>
      <w:bookmarkStart w:id="751" w:name="_Toc225739477"/>
      <w:bookmarkStart w:id="752" w:name="_Toc225739812"/>
      <w:bookmarkEnd w:id="743"/>
      <w:bookmarkEnd w:id="744"/>
      <w:r w:rsidR="00716A59" w:rsidRPr="003C5D6B">
        <w:rPr>
          <w:lang w:val="fr-FR"/>
        </w:rPr>
        <w:br/>
      </w:r>
      <w:r w:rsidR="00716A59" w:rsidRPr="003C5D6B">
        <w:rPr>
          <w:lang w:val="fr-FR"/>
        </w:rPr>
        <w:br/>
        <w:t>Objet</w:t>
      </w:r>
      <w:bookmarkEnd w:id="745"/>
      <w:bookmarkEnd w:id="746"/>
      <w:bookmarkEnd w:id="747"/>
      <w:bookmarkEnd w:id="748"/>
      <w:bookmarkEnd w:id="749"/>
      <w:bookmarkEnd w:id="750"/>
      <w:bookmarkEnd w:id="751"/>
      <w:bookmarkEnd w:id="752"/>
    </w:p>
    <w:p w:rsidR="00716A59" w:rsidRPr="003C5D6B" w:rsidRDefault="00716A59" w:rsidP="00716A59">
      <w:pPr>
        <w:rPr>
          <w:lang w:val="fr-FR"/>
        </w:rPr>
      </w:pPr>
      <w:r w:rsidRPr="003C5D6B">
        <w:rPr>
          <w:lang w:val="fr-FR"/>
        </w:rPr>
        <w:t>Conformément à la Loi fédérale (Décret N° 3 de 2003), telle qu'elle a été amendée, et à son texte d'application, la présente directive établit le barème des droits d'utilisation du spectre des fréquences radioélectriques et d'utilisation d'équipements hertziens. Les droits d'utilisation du spectre sont payables à l'avance pour les demandes d'autorisation, l'enregistrement de ces demandes, l'autorisation ou le renouvellement, sauf disposition contraire indiquée dans la présente directive.</w:t>
      </w:r>
    </w:p>
    <w:p w:rsidR="00716A59" w:rsidRPr="003C5D6B" w:rsidRDefault="00716A59" w:rsidP="00716A59">
      <w:pPr>
        <w:pStyle w:val="Arttitle"/>
        <w:spacing w:before="400"/>
        <w:rPr>
          <w:lang w:val="fr-FR"/>
        </w:rPr>
      </w:pPr>
      <w:bookmarkStart w:id="753" w:name="_Toc225739478"/>
      <w:bookmarkStart w:id="754" w:name="_Toc225739813"/>
      <w:bookmarkStart w:id="755" w:name="_Toc280262359"/>
      <w:bookmarkStart w:id="756" w:name="_Toc280272753"/>
      <w:bookmarkStart w:id="757" w:name="_Toc280272932"/>
      <w:bookmarkStart w:id="758" w:name="_Toc284419447"/>
      <w:bookmarkStart w:id="759" w:name="_Toc286315764"/>
      <w:bookmarkStart w:id="760" w:name="_Toc287523840"/>
      <w:r w:rsidRPr="003C5D6B">
        <w:rPr>
          <w:lang w:val="fr-FR"/>
        </w:rPr>
        <w:t>Article 2</w:t>
      </w:r>
      <w:bookmarkStart w:id="761" w:name="_Toc225739479"/>
      <w:bookmarkStart w:id="762" w:name="_Toc225739814"/>
      <w:bookmarkEnd w:id="753"/>
      <w:bookmarkEnd w:id="754"/>
      <w:r w:rsidRPr="003C5D6B">
        <w:rPr>
          <w:lang w:val="fr-FR"/>
        </w:rPr>
        <w:br/>
      </w:r>
      <w:r w:rsidRPr="003C5D6B">
        <w:rPr>
          <w:lang w:val="fr-FR"/>
        </w:rPr>
        <w:br/>
        <w:t>Définitions</w:t>
      </w:r>
      <w:bookmarkEnd w:id="755"/>
      <w:bookmarkEnd w:id="756"/>
      <w:bookmarkEnd w:id="757"/>
      <w:bookmarkEnd w:id="758"/>
      <w:bookmarkEnd w:id="759"/>
      <w:bookmarkEnd w:id="760"/>
      <w:bookmarkEnd w:id="761"/>
      <w:bookmarkEnd w:id="762"/>
    </w:p>
    <w:p w:rsidR="00716A59" w:rsidRPr="003C5D6B" w:rsidRDefault="00716A59" w:rsidP="00716A59">
      <w:pPr>
        <w:rPr>
          <w:lang w:val="fr-FR"/>
        </w:rPr>
      </w:pPr>
      <w:r w:rsidRPr="003C5D6B">
        <w:rPr>
          <w:lang w:val="fr-FR"/>
        </w:rPr>
        <w:t>Dans la présente directive, les termes suivants ont la signification suivante, sauf si le contexte en décide autrement, et chaque terme utilisé ci-après est défini conformément à la Loi fédérale (Décret N° 3 de 2003), telle qu'elle a été amendée, et à son texte d'application:</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2.1</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Attribution</w:t>
      </w:r>
      <w:r w:rsidRPr="003C5D6B">
        <w:rPr>
          <w:rFonts w:asciiTheme="majorBidi" w:hAnsiTheme="majorBidi" w:cstheme="majorBidi"/>
          <w:bCs/>
          <w:szCs w:val="22"/>
          <w:lang w:val="fr-FR"/>
        </w:rPr>
        <w:t>» l'inscription d'une fréquence ou d'une bande de fréquences désignée dans le plan national des fréquences radioélectriques, devant être utilisée par un ou plusieurs utilisateurs d'un service de radiocommunication de Terre ou spatial dans les Emirats arabes unis.</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2.2</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Demandeur</w:t>
      </w:r>
      <w:r w:rsidRPr="003C5D6B">
        <w:rPr>
          <w:rFonts w:asciiTheme="majorBidi" w:hAnsiTheme="majorBidi" w:cstheme="majorBidi"/>
          <w:bCs/>
          <w:szCs w:val="22"/>
          <w:lang w:val="fr-FR"/>
        </w:rPr>
        <w:t>» toute personne qui a demandé une licence ou une autorisation, conformément à la Loi sur les télécommunications ou à tout autre instrument de politique générale promulgué par la TRA.</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2.3</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Demande</w:t>
      </w:r>
      <w:r w:rsidRPr="003C5D6B">
        <w:rPr>
          <w:rFonts w:asciiTheme="majorBidi" w:hAnsiTheme="majorBidi" w:cstheme="majorBidi"/>
          <w:bCs/>
          <w:szCs w:val="22"/>
          <w:lang w:val="fr-FR"/>
        </w:rPr>
        <w:t>» la demande de délivrance d'une licence ou d'une autorisation, reçue par la TRA selon la procédure en vigueur.</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2.4</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Autorisation</w:t>
      </w:r>
      <w:r w:rsidRPr="003C5D6B">
        <w:rPr>
          <w:rFonts w:asciiTheme="majorBidi" w:hAnsiTheme="majorBidi" w:cstheme="majorBidi"/>
          <w:bCs/>
          <w:szCs w:val="22"/>
          <w:lang w:val="fr-FR"/>
        </w:rPr>
        <w:t>» une autorisation d'utilisation du spectre des fréquences radioélectriques, délivrée par la TRA.</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2.5</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Utilisateur agréé</w:t>
      </w:r>
      <w:r w:rsidRPr="003C5D6B">
        <w:rPr>
          <w:rFonts w:asciiTheme="majorBidi" w:hAnsiTheme="majorBidi" w:cstheme="majorBidi"/>
          <w:bCs/>
          <w:szCs w:val="22"/>
          <w:lang w:val="fr-FR"/>
        </w:rPr>
        <w:t>» une personne à laquelle la TRA a délivré une autorisation d'utilisation du spectre des fréquences radioélectriques.</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2.6</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Autorisation catégorielle</w:t>
      </w:r>
      <w:r w:rsidRPr="003C5D6B">
        <w:rPr>
          <w:rFonts w:asciiTheme="majorBidi" w:hAnsiTheme="majorBidi" w:cstheme="majorBidi"/>
          <w:bCs/>
          <w:szCs w:val="22"/>
          <w:lang w:val="fr-FR"/>
        </w:rPr>
        <w:t>» une autorisation d'utilisation des fréquences radioélectriques qui autorise l'exploitation d'équipements sans fil dans des bandes de fréquences désignées, conformément aux modalités et conditions énoncées ci-après.</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2.7</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Autorisation individuelle</w:t>
      </w:r>
      <w:r w:rsidRPr="003C5D6B">
        <w:rPr>
          <w:rFonts w:asciiTheme="majorBidi" w:hAnsiTheme="majorBidi" w:cstheme="majorBidi"/>
          <w:bCs/>
          <w:szCs w:val="22"/>
          <w:lang w:val="fr-FR"/>
        </w:rPr>
        <w:t>» une autorisation d'utilisation du spectre des fréquences radioélectriques qui autorise l'exploitation d'équipements sans fil par une personne précise à laquelle des fréquences ont été attribuées ou assignées, conformément aux modalités et conditions énoncées ci-après.</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2.8</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Plan national d'utilisation du spectre</w:t>
      </w:r>
      <w:r w:rsidRPr="003C5D6B">
        <w:rPr>
          <w:rFonts w:asciiTheme="majorBidi" w:hAnsiTheme="majorBidi" w:cstheme="majorBidi"/>
          <w:bCs/>
          <w:szCs w:val="22"/>
          <w:lang w:val="fr-FR"/>
        </w:rPr>
        <w:t>» le plan d'attribution des fréquences radioélectriques pour les Emirats arabes unis, approuvé par le Conseil suprême, et les éventuelles modifications de ce plan.</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2.9</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Personne</w:t>
      </w:r>
      <w:r w:rsidRPr="003C5D6B">
        <w:rPr>
          <w:rFonts w:asciiTheme="majorBidi" w:hAnsiTheme="majorBidi" w:cstheme="majorBidi"/>
          <w:bCs/>
          <w:szCs w:val="22"/>
          <w:lang w:val="fr-FR"/>
        </w:rPr>
        <w:t>» aussi bien des personnes morales que des personnes physiques.</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2.10</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Radiocommunication</w:t>
      </w:r>
      <w:r w:rsidRPr="003C5D6B">
        <w:rPr>
          <w:rFonts w:asciiTheme="majorBidi" w:hAnsiTheme="majorBidi" w:cstheme="majorBidi"/>
          <w:bCs/>
          <w:szCs w:val="22"/>
          <w:lang w:val="fr-FR"/>
        </w:rPr>
        <w:t>» les systèmes de transmission hertziens utilisant les fréquences radioélectriques.</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2.11</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Service de radiocommunication</w:t>
      </w:r>
      <w:r w:rsidRPr="003C5D6B">
        <w:rPr>
          <w:rFonts w:asciiTheme="majorBidi" w:hAnsiTheme="majorBidi" w:cstheme="majorBidi"/>
          <w:bCs/>
          <w:szCs w:val="22"/>
          <w:lang w:val="fr-FR"/>
        </w:rPr>
        <w:t>» un service qui utilise les radiocommunications.</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2.12</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Fréquence radioélectrique</w:t>
      </w:r>
      <w:r w:rsidRPr="003C5D6B">
        <w:rPr>
          <w:rFonts w:asciiTheme="majorBidi" w:hAnsiTheme="majorBidi" w:cstheme="majorBidi"/>
          <w:bCs/>
          <w:szCs w:val="22"/>
          <w:lang w:val="fr-FR"/>
        </w:rPr>
        <w:t>» l'énergie électromagnétique émise, mesurée en hertz ou en cycles/seconde.</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2.13</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Autorisation d'utilisation des fréquences radioélectriques</w:t>
      </w:r>
      <w:r w:rsidRPr="003C5D6B">
        <w:rPr>
          <w:rFonts w:asciiTheme="majorBidi" w:hAnsiTheme="majorBidi" w:cstheme="majorBidi"/>
          <w:bCs/>
          <w:szCs w:val="22"/>
          <w:lang w:val="fr-FR"/>
        </w:rPr>
        <w:t>» une autorisation, individuelle ou catégorielle, délivrée par la TRA, qui permet l'utilisation des fréquences radioélectriques, conformément aux modalités et conditions énoncées ci-après.</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lastRenderedPageBreak/>
        <w:t>2.14</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Instruments réglementaires</w:t>
      </w:r>
      <w:r w:rsidRPr="003C5D6B">
        <w:rPr>
          <w:rFonts w:asciiTheme="majorBidi" w:hAnsiTheme="majorBidi" w:cstheme="majorBidi"/>
          <w:bCs/>
          <w:szCs w:val="22"/>
          <w:lang w:val="fr-FR"/>
        </w:rPr>
        <w:t>» tout instrument provenant de la TRA et relevant de sa compétence, et plus précisément, mais non exclusivement, les réglementations, avis de violation, directives, instructions, avis, recommandations et politiques réglementaires.</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2.15</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Station</w:t>
      </w:r>
      <w:r w:rsidRPr="003C5D6B">
        <w:rPr>
          <w:rFonts w:asciiTheme="majorBidi" w:hAnsiTheme="majorBidi" w:cstheme="majorBidi"/>
          <w:bCs/>
          <w:szCs w:val="22"/>
          <w:lang w:val="fr-FR"/>
        </w:rPr>
        <w:t>» une installation exploitée par un utilisateur agréé, se composant d'un système d'émission ou de réception radioélectrique et des équipements auxiliaires nécessaires, ou d'un ou de plusieurs émetteurs ou récepteurs, ou encore d'une combinaison d'émetteurs et de récepteurs, équipements auxiliaires compris, nécessaires à l'acheminement d'un service de radiocommunication.</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2.16</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Télécommunication</w:t>
      </w:r>
      <w:r w:rsidRPr="003C5D6B">
        <w:rPr>
          <w:rFonts w:asciiTheme="majorBidi" w:hAnsiTheme="majorBidi" w:cstheme="majorBidi"/>
          <w:bCs/>
          <w:szCs w:val="22"/>
          <w:lang w:val="fr-FR"/>
        </w:rPr>
        <w:t>» tout moyen de transmission, d'émission ou de réception de signaux, de texte, d'images, de sons ou d'information de toute nature par voie filaire, radioélectrique, optique ou par tout autre système électromagnétique.</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2.17</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Autorisation temporaire</w:t>
      </w:r>
      <w:r w:rsidRPr="003C5D6B">
        <w:rPr>
          <w:rFonts w:asciiTheme="majorBidi" w:hAnsiTheme="majorBidi" w:cstheme="majorBidi"/>
          <w:bCs/>
          <w:szCs w:val="22"/>
          <w:lang w:val="fr-FR"/>
        </w:rPr>
        <w:t>» une autorisation d'utilisation du spectre des fréquences radioélectriques accordée par la TRA et qui permet l'utilisation de fréquences données pendant une période maximale de 90 jours.</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2.18</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TRA</w:t>
      </w:r>
      <w:r w:rsidRPr="003C5D6B">
        <w:rPr>
          <w:rFonts w:asciiTheme="majorBidi" w:hAnsiTheme="majorBidi" w:cstheme="majorBidi"/>
          <w:bCs/>
          <w:szCs w:val="22"/>
          <w:lang w:val="fr-FR"/>
        </w:rPr>
        <w:t>» l'Autorité générale responsable de la réglementation du secteur des télécommunications, appelée Telecommunication Regulatory Authority (TRA) et mise en place conformément aux dispositions de l'Article 6 de la Loi fédérale aux termes du Décret N° 3 (2003).</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2.19</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EAU</w:t>
      </w:r>
      <w:r w:rsidRPr="003C5D6B">
        <w:rPr>
          <w:rFonts w:asciiTheme="majorBidi" w:hAnsiTheme="majorBidi" w:cstheme="majorBidi"/>
          <w:bCs/>
          <w:szCs w:val="22"/>
          <w:lang w:val="fr-FR"/>
        </w:rPr>
        <w:t>» les Emirats arabes unis, incluant leurs eaux territoriales et espace aérien.</w:t>
      </w:r>
    </w:p>
    <w:p w:rsidR="00716A59" w:rsidRPr="003C5D6B" w:rsidRDefault="00716A59" w:rsidP="00716A59">
      <w:pPr>
        <w:pStyle w:val="enumlev1"/>
        <w:rPr>
          <w:rFonts w:asciiTheme="majorBidi" w:hAnsiTheme="majorBidi" w:cstheme="majorBidi"/>
          <w:bCs/>
          <w:szCs w:val="22"/>
          <w:lang w:val="fr-FR"/>
        </w:rPr>
      </w:pPr>
      <w:r w:rsidRPr="003C5D6B">
        <w:rPr>
          <w:rFonts w:asciiTheme="majorBidi" w:hAnsiTheme="majorBidi" w:cstheme="majorBidi"/>
          <w:bCs/>
          <w:szCs w:val="22"/>
          <w:lang w:val="fr-FR"/>
        </w:rPr>
        <w:t>2.20</w:t>
      </w:r>
      <w:r w:rsidRPr="003C5D6B">
        <w:rPr>
          <w:rFonts w:asciiTheme="majorBidi" w:hAnsiTheme="majorBidi" w:cstheme="majorBidi"/>
          <w:bCs/>
          <w:szCs w:val="22"/>
          <w:lang w:val="fr-FR"/>
        </w:rPr>
        <w:tab/>
        <w:t>On entend par «</w:t>
      </w:r>
      <w:r w:rsidRPr="003C5D6B">
        <w:rPr>
          <w:rFonts w:asciiTheme="majorBidi" w:hAnsiTheme="majorBidi" w:cstheme="majorBidi"/>
          <w:b/>
          <w:szCs w:val="22"/>
          <w:lang w:val="fr-FR"/>
        </w:rPr>
        <w:t>Equipements hertziens</w:t>
      </w:r>
      <w:r w:rsidRPr="003C5D6B">
        <w:rPr>
          <w:rFonts w:asciiTheme="majorBidi" w:hAnsiTheme="majorBidi" w:cstheme="majorBidi"/>
          <w:bCs/>
          <w:szCs w:val="22"/>
          <w:lang w:val="fr-FR"/>
        </w:rPr>
        <w:t>» une catégorie d'appareils de télécommunication utilisés pour les radiocommunications.</w:t>
      </w:r>
    </w:p>
    <w:p w:rsidR="00716A59" w:rsidRPr="003C5D6B" w:rsidRDefault="00716A59" w:rsidP="00716A59">
      <w:pPr>
        <w:pStyle w:val="Arttitle"/>
        <w:spacing w:before="400"/>
        <w:rPr>
          <w:lang w:val="fr-FR"/>
        </w:rPr>
      </w:pPr>
      <w:bookmarkStart w:id="763" w:name="_Toc225739815"/>
      <w:bookmarkStart w:id="764" w:name="_Toc280262360"/>
      <w:bookmarkStart w:id="765" w:name="_Toc280272754"/>
      <w:bookmarkStart w:id="766" w:name="_Toc280272933"/>
      <w:bookmarkStart w:id="767" w:name="_Toc284419448"/>
      <w:bookmarkStart w:id="768" w:name="_Toc286315765"/>
      <w:bookmarkStart w:id="769" w:name="_Toc287523841"/>
      <w:r w:rsidRPr="003C5D6B">
        <w:rPr>
          <w:lang w:val="fr-FR"/>
        </w:rPr>
        <w:t>Article 3</w:t>
      </w:r>
      <w:r w:rsidRPr="003C5D6B">
        <w:rPr>
          <w:lang w:val="fr-FR"/>
        </w:rPr>
        <w:br/>
      </w:r>
      <w:r w:rsidRPr="003C5D6B">
        <w:rPr>
          <w:lang w:val="fr-FR"/>
        </w:rPr>
        <w:br/>
        <w:t>Droits à acquitter pour le traitement des demandes</w:t>
      </w:r>
      <w:bookmarkEnd w:id="763"/>
      <w:bookmarkEnd w:id="764"/>
      <w:bookmarkEnd w:id="765"/>
      <w:bookmarkEnd w:id="766"/>
      <w:bookmarkEnd w:id="767"/>
      <w:bookmarkEnd w:id="768"/>
      <w:bookmarkEnd w:id="769"/>
    </w:p>
    <w:p w:rsidR="00716A59" w:rsidRPr="003C5D6B" w:rsidRDefault="00716A59" w:rsidP="00716A59">
      <w:pPr>
        <w:rPr>
          <w:lang w:val="fr-FR"/>
        </w:rPr>
      </w:pPr>
      <w:r w:rsidRPr="003C5D6B">
        <w:rPr>
          <w:lang w:val="fr-FR"/>
        </w:rPr>
        <w:t xml:space="preserve">Chaque demande d'autorisation de fréquences radioélectriques doit être accompagnée par avance d'un paiement non remboursable de cinq cents </w:t>
      </w:r>
      <w:r w:rsidRPr="003C5D6B">
        <w:rPr>
          <w:b/>
          <w:lang w:val="fr-FR"/>
        </w:rPr>
        <w:t>(500) dirhams</w:t>
      </w:r>
      <w:r w:rsidRPr="003C5D6B">
        <w:rPr>
          <w:lang w:val="fr-FR"/>
        </w:rPr>
        <w:t xml:space="preserve"> pour le traitement de la demande, que celle-ci soit finalement approuvée ou refusée. La TRA peut conseiller à certains organismes gouvernementaux, opérateurs détenteurs de licence et grands utilisateurs de regrouper le paiement des droits à acquitter pour le traitement des demandes et pour l'utilisation du spectre.</w:t>
      </w:r>
    </w:p>
    <w:p w:rsidR="00716A59" w:rsidRPr="003C5D6B" w:rsidRDefault="00716A59" w:rsidP="00716A59">
      <w:pPr>
        <w:pStyle w:val="Arttitle"/>
        <w:spacing w:before="400"/>
        <w:rPr>
          <w:lang w:val="fr-FR"/>
        </w:rPr>
      </w:pPr>
      <w:bookmarkStart w:id="770" w:name="_Toc280262361"/>
      <w:bookmarkStart w:id="771" w:name="_Toc280272755"/>
      <w:bookmarkStart w:id="772" w:name="_Toc280272934"/>
      <w:bookmarkStart w:id="773" w:name="_Toc284419449"/>
      <w:bookmarkStart w:id="774" w:name="_Toc286315766"/>
      <w:bookmarkStart w:id="775" w:name="_Toc287523842"/>
      <w:r w:rsidRPr="003C5D6B">
        <w:rPr>
          <w:lang w:val="fr-FR"/>
        </w:rPr>
        <w:t>Article 4</w:t>
      </w:r>
      <w:bookmarkStart w:id="776" w:name="_Toc225739816"/>
      <w:r w:rsidRPr="003C5D6B">
        <w:rPr>
          <w:lang w:val="fr-FR"/>
        </w:rPr>
        <w:br/>
      </w:r>
      <w:r w:rsidRPr="003C5D6B">
        <w:rPr>
          <w:lang w:val="fr-FR"/>
        </w:rPr>
        <w:br/>
        <w:t>Exemption des droits à acquitter pour le traitement des demandes</w:t>
      </w:r>
      <w:bookmarkEnd w:id="770"/>
      <w:bookmarkEnd w:id="771"/>
      <w:bookmarkEnd w:id="772"/>
      <w:bookmarkEnd w:id="773"/>
      <w:bookmarkEnd w:id="774"/>
      <w:bookmarkEnd w:id="775"/>
      <w:bookmarkEnd w:id="776"/>
    </w:p>
    <w:p w:rsidR="00716A59" w:rsidRPr="003C5D6B" w:rsidRDefault="00716A59" w:rsidP="00716A59">
      <w:pPr>
        <w:rPr>
          <w:lang w:val="fr-FR"/>
        </w:rPr>
      </w:pPr>
      <w:r w:rsidRPr="003C5D6B">
        <w:rPr>
          <w:lang w:val="fr-FR"/>
        </w:rPr>
        <w:t>Les demandes suivantes sont exemptées de droits de traitement:</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4.1</w:t>
      </w:r>
      <w:r w:rsidRPr="003C5D6B">
        <w:rPr>
          <w:rFonts w:asciiTheme="majorBidi" w:hAnsiTheme="majorBidi" w:cstheme="majorBidi"/>
          <w:szCs w:val="22"/>
          <w:lang w:val="fr-FR"/>
        </w:rPr>
        <w:tab/>
        <w:t>Demande concernant des petites embarcations considérées comme chalutiers selon leur permis de navigation.</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4.2</w:t>
      </w:r>
      <w:r w:rsidRPr="003C5D6B">
        <w:rPr>
          <w:rFonts w:asciiTheme="majorBidi" w:hAnsiTheme="majorBidi" w:cstheme="majorBidi"/>
          <w:szCs w:val="22"/>
          <w:lang w:val="fr-FR"/>
        </w:rPr>
        <w:tab/>
        <w:t>Demande d'autorisation de service d'amateur, si elle est présentée par l'intermédiaire de la Société des radioamateurs des Emirats.</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4.3</w:t>
      </w:r>
      <w:r w:rsidRPr="003C5D6B">
        <w:rPr>
          <w:rFonts w:asciiTheme="majorBidi" w:hAnsiTheme="majorBidi" w:cstheme="majorBidi"/>
          <w:szCs w:val="22"/>
          <w:lang w:val="fr-FR"/>
        </w:rPr>
        <w:tab/>
        <w:t>Demande d'utilisation personnelle d'un système de radiocommunication mobile privé pour les jockeys des courses de chameaux.</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4.4</w:t>
      </w:r>
      <w:r w:rsidRPr="003C5D6B">
        <w:rPr>
          <w:rFonts w:asciiTheme="majorBidi" w:hAnsiTheme="majorBidi" w:cstheme="majorBidi"/>
          <w:szCs w:val="22"/>
          <w:lang w:val="fr-FR"/>
        </w:rPr>
        <w:tab/>
        <w:t>Demande de clubs de loisirs à vocation non commerciale, par exemple pour l'aéromodélisme.</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4.5</w:t>
      </w:r>
      <w:r w:rsidRPr="003C5D6B">
        <w:rPr>
          <w:rFonts w:asciiTheme="majorBidi" w:hAnsiTheme="majorBidi" w:cstheme="majorBidi"/>
          <w:szCs w:val="22"/>
          <w:lang w:val="fr-FR"/>
        </w:rPr>
        <w:tab/>
        <w:t>Demande d'instituts de recherche et d'établissements d'enseignement pour utilisation privée.</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4.6</w:t>
      </w:r>
      <w:r w:rsidRPr="003C5D6B">
        <w:rPr>
          <w:rFonts w:asciiTheme="majorBidi" w:hAnsiTheme="majorBidi" w:cstheme="majorBidi"/>
          <w:szCs w:val="22"/>
          <w:lang w:val="fr-FR"/>
        </w:rPr>
        <w:tab/>
        <w:t>Demande des missions étrangères, des consulats et ambassades pour la correspondance officielle ou les visites de hautes personnalités, soumises par l'intermédiaire du Ministère des affaires étrangères des Emirats arabes unis.</w:t>
      </w:r>
    </w:p>
    <w:p w:rsidR="00716A59" w:rsidRPr="003C5D6B" w:rsidRDefault="00716A59" w:rsidP="00716A59">
      <w:pPr>
        <w:pStyle w:val="Arttitle"/>
        <w:rPr>
          <w:lang w:val="fr-FR"/>
        </w:rPr>
      </w:pPr>
      <w:bookmarkStart w:id="777" w:name="_Toc225739817"/>
      <w:bookmarkStart w:id="778" w:name="_Toc280262362"/>
      <w:bookmarkStart w:id="779" w:name="_Toc280272756"/>
      <w:bookmarkStart w:id="780" w:name="_Toc280272935"/>
      <w:bookmarkStart w:id="781" w:name="_Toc284419450"/>
      <w:bookmarkStart w:id="782" w:name="_Toc286315767"/>
      <w:bookmarkStart w:id="783" w:name="_Toc287523843"/>
      <w:r w:rsidRPr="003C5D6B">
        <w:rPr>
          <w:lang w:val="fr-FR"/>
        </w:rPr>
        <w:lastRenderedPageBreak/>
        <w:t>Article 5</w:t>
      </w:r>
      <w:r w:rsidRPr="003C5D6B">
        <w:rPr>
          <w:lang w:val="fr-FR"/>
        </w:rPr>
        <w:br/>
      </w:r>
      <w:r w:rsidRPr="003C5D6B">
        <w:rPr>
          <w:lang w:val="fr-FR"/>
        </w:rPr>
        <w:br/>
        <w:t>Droits d'utilisation du spectre à acquitter en cas de nouvelle demande</w:t>
      </w:r>
      <w:bookmarkEnd w:id="777"/>
      <w:bookmarkEnd w:id="778"/>
      <w:bookmarkEnd w:id="779"/>
      <w:bookmarkEnd w:id="780"/>
      <w:bookmarkEnd w:id="781"/>
      <w:bookmarkEnd w:id="782"/>
      <w:bookmarkEnd w:id="783"/>
    </w:p>
    <w:p w:rsidR="00716A59" w:rsidRPr="003C5D6B" w:rsidRDefault="00716A59" w:rsidP="00716A59">
      <w:pPr>
        <w:rPr>
          <w:lang w:val="fr-FR"/>
        </w:rPr>
      </w:pPr>
      <w:r w:rsidRPr="003C5D6B">
        <w:rPr>
          <w:lang w:val="fr-FR"/>
        </w:rPr>
        <w:t>Les droits d'utilisation du spectre sont à acquitter à l'avance. Lorsqu'une réponse favorable est donnée à une nouvelle demande, la TRA informe le demandeur du montant des droits, conformément à la présente directive, calculé au prorata de la durée de validité de l'autorisation à compter de la date de la facture. Le demandeur présente à la TRA une preuve de paiement, dans un délai de trente (30) jours maximum. A la réception du paiement vérifié par la TRA, on considère que le paiement a été versé aux fins de délivrance de l'autorisation. En cas de non-réception du paiement, la TRA annule la demande. Si le demandeur exige qu'il soit donné suite à sa demande, il est tenu de la présenter une nouvelle fois, en s'acquittant des droits de traitement correspondants.</w:t>
      </w:r>
    </w:p>
    <w:p w:rsidR="00716A59" w:rsidRPr="003C5D6B" w:rsidRDefault="00716A59" w:rsidP="00716A59">
      <w:pPr>
        <w:pStyle w:val="Arttitle"/>
        <w:spacing w:before="400"/>
        <w:rPr>
          <w:lang w:val="fr-FR"/>
        </w:rPr>
      </w:pPr>
      <w:bookmarkStart w:id="784" w:name="_Toc280262363"/>
      <w:bookmarkStart w:id="785" w:name="_Toc280272757"/>
      <w:bookmarkStart w:id="786" w:name="_Toc280272936"/>
      <w:bookmarkStart w:id="787" w:name="_Toc284419451"/>
      <w:bookmarkStart w:id="788" w:name="_Toc286315768"/>
      <w:bookmarkStart w:id="789" w:name="_Toc287523844"/>
      <w:r w:rsidRPr="003C5D6B">
        <w:rPr>
          <w:lang w:val="fr-FR"/>
        </w:rPr>
        <w:t>Article 6</w:t>
      </w:r>
      <w:bookmarkStart w:id="790" w:name="_Toc225739818"/>
      <w:r w:rsidRPr="003C5D6B">
        <w:rPr>
          <w:lang w:val="fr-FR"/>
        </w:rPr>
        <w:br/>
      </w:r>
      <w:r w:rsidRPr="003C5D6B">
        <w:rPr>
          <w:lang w:val="fr-FR"/>
        </w:rPr>
        <w:br/>
        <w:t>Montant des droits à acquitter pour le renouvellement d'une autorisation</w:t>
      </w:r>
      <w:bookmarkEnd w:id="784"/>
      <w:bookmarkEnd w:id="785"/>
      <w:bookmarkEnd w:id="786"/>
      <w:bookmarkEnd w:id="787"/>
      <w:bookmarkEnd w:id="788"/>
      <w:bookmarkEnd w:id="789"/>
      <w:bookmarkEnd w:id="790"/>
    </w:p>
    <w:p w:rsidR="00716A59" w:rsidRPr="003C5D6B" w:rsidRDefault="00716A59" w:rsidP="00716A59">
      <w:pPr>
        <w:rPr>
          <w:lang w:val="fr-FR"/>
        </w:rPr>
      </w:pPr>
      <w:r w:rsidRPr="003C5D6B">
        <w:rPr>
          <w:lang w:val="fr-FR"/>
        </w:rPr>
        <w:t>L'utilisateur agréé doit demander à la TRA le renouvellement de l'autorisation dans un délai de trente (30) jours avant l'expiration de celle-ci. Il peut également demander que lui soient facturés les droits d'utilisation du spectre pour le renouvellement de son autorisation, même avant expiration du délai de trente (30) jours, pour la période autorisée dans la réglementation de la TRA régissant l'attribution et l'assignation des fréquences radioélectriques. Les droits applicables sont définis dans les articles correspondants du présent document. Dans tous les cas, ces droits couvrent la composante équipements hertziens et leur renouvellement annuel inclut toutes les composantes, sans distinction entre les parties. Un délai de grâce de quinze (15) jours après la date d'expiration peut être accordé par la TRA à l'utilisateur agréé pour qu'il s'acquitte des droits de renouvellement, sans entraîner le paiement de droits supplémentaires.</w:t>
      </w:r>
    </w:p>
    <w:p w:rsidR="00716A59" w:rsidRPr="003C5D6B" w:rsidRDefault="00716A59" w:rsidP="00716A59">
      <w:pPr>
        <w:pStyle w:val="Arttitle"/>
        <w:spacing w:before="400"/>
        <w:rPr>
          <w:lang w:val="fr-FR"/>
        </w:rPr>
      </w:pPr>
      <w:bookmarkStart w:id="791" w:name="_Toc280262364"/>
      <w:bookmarkStart w:id="792" w:name="_Toc280272758"/>
      <w:bookmarkStart w:id="793" w:name="_Toc280272937"/>
      <w:bookmarkStart w:id="794" w:name="_Toc284419452"/>
      <w:bookmarkStart w:id="795" w:name="_Toc286315769"/>
      <w:bookmarkStart w:id="796" w:name="_Toc287523845"/>
      <w:r w:rsidRPr="003C5D6B">
        <w:rPr>
          <w:lang w:val="fr-FR"/>
        </w:rPr>
        <w:t>Article 7</w:t>
      </w:r>
      <w:r w:rsidRPr="003C5D6B">
        <w:rPr>
          <w:lang w:val="fr-FR"/>
        </w:rPr>
        <w:br/>
      </w:r>
      <w:r w:rsidRPr="003C5D6B">
        <w:rPr>
          <w:lang w:val="fr-FR"/>
        </w:rPr>
        <w:br/>
      </w:r>
      <w:bookmarkStart w:id="797" w:name="_Toc225739819"/>
      <w:r w:rsidRPr="003C5D6B">
        <w:rPr>
          <w:lang w:val="fr-FR"/>
        </w:rPr>
        <w:t xml:space="preserve">Droits supplémentaires à acquitter en cas de retard </w:t>
      </w:r>
      <w:r w:rsidRPr="003C5D6B">
        <w:rPr>
          <w:lang w:val="fr-FR"/>
        </w:rPr>
        <w:br/>
        <w:t>du renouvellement de l'autorisation</w:t>
      </w:r>
      <w:bookmarkEnd w:id="791"/>
      <w:bookmarkEnd w:id="792"/>
      <w:bookmarkEnd w:id="793"/>
      <w:bookmarkEnd w:id="794"/>
      <w:bookmarkEnd w:id="795"/>
      <w:bookmarkEnd w:id="796"/>
      <w:bookmarkEnd w:id="797"/>
    </w:p>
    <w:p w:rsidR="00716A59" w:rsidRPr="003C5D6B" w:rsidRDefault="00716A59" w:rsidP="00716A59">
      <w:pPr>
        <w:rPr>
          <w:lang w:val="fr-FR"/>
        </w:rPr>
      </w:pPr>
      <w:r w:rsidRPr="003C5D6B">
        <w:rPr>
          <w:lang w:val="fr-FR"/>
        </w:rPr>
        <w:t>La TRA applique un droit supplémentaire équivalent à 10% du montant des droits d'utilisation du spectre si l'utilisateur agréé demande le renouvellement entre quinze et quarante-cinq (45) jours après la date d'expiration. La TRA annule l'autorisation si aucune demande de renouvellement ne lui parvient dans un délai de quarante-cinq (45) jours après la date d'expiration. La TRA applique un droit supplémentaire de 20% du montant à appliquer pour les droits d'utilisation du spectre si le renouvellement d'une autorisation déjà annulée est demandé.</w:t>
      </w:r>
    </w:p>
    <w:p w:rsidR="00716A59" w:rsidRPr="003C5D6B" w:rsidRDefault="00716A59" w:rsidP="00716A59">
      <w:pPr>
        <w:pStyle w:val="Arttitle"/>
        <w:spacing w:before="400"/>
        <w:rPr>
          <w:lang w:val="fr-FR"/>
        </w:rPr>
      </w:pPr>
      <w:bookmarkStart w:id="798" w:name="_Toc280262365"/>
      <w:bookmarkStart w:id="799" w:name="_Toc280272759"/>
      <w:bookmarkStart w:id="800" w:name="_Toc280272938"/>
      <w:bookmarkStart w:id="801" w:name="_Toc284419453"/>
      <w:bookmarkStart w:id="802" w:name="_Toc286315770"/>
      <w:bookmarkStart w:id="803" w:name="_Toc287523846"/>
      <w:r w:rsidRPr="003C5D6B">
        <w:rPr>
          <w:lang w:val="fr-FR"/>
        </w:rPr>
        <w:t>Article 8</w:t>
      </w:r>
      <w:r w:rsidRPr="003C5D6B">
        <w:rPr>
          <w:lang w:val="fr-FR"/>
        </w:rPr>
        <w:br/>
      </w:r>
      <w:r w:rsidRPr="003C5D6B">
        <w:rPr>
          <w:lang w:val="fr-FR"/>
        </w:rPr>
        <w:br/>
      </w:r>
      <w:bookmarkStart w:id="804" w:name="_Toc225739820"/>
      <w:r w:rsidRPr="003C5D6B">
        <w:rPr>
          <w:lang w:val="fr-FR"/>
        </w:rPr>
        <w:t>Droits à acquitter pour obtenir une copie d'une autorisation</w:t>
      </w:r>
      <w:bookmarkEnd w:id="798"/>
      <w:bookmarkEnd w:id="799"/>
      <w:bookmarkEnd w:id="800"/>
      <w:bookmarkEnd w:id="801"/>
      <w:bookmarkEnd w:id="802"/>
      <w:bookmarkEnd w:id="803"/>
      <w:bookmarkEnd w:id="804"/>
    </w:p>
    <w:p w:rsidR="00716A59" w:rsidRPr="003C5D6B" w:rsidRDefault="00716A59" w:rsidP="00716A59">
      <w:pPr>
        <w:rPr>
          <w:lang w:val="fr-FR"/>
        </w:rPr>
      </w:pPr>
      <w:r w:rsidRPr="003C5D6B">
        <w:rPr>
          <w:lang w:val="fr-FR"/>
        </w:rPr>
        <w:t>Au cas où l'autorisation serait endommagée ou perdue, l'utilisateur agréé peut demander à la TRA de lui en fournir une nouvelle copie. Il lui est alors demandé de verser par avance la somme, non remboursable, de cent (100) dirhams.</w:t>
      </w:r>
    </w:p>
    <w:p w:rsidR="00716A59" w:rsidRPr="003C5D6B" w:rsidRDefault="00716A59" w:rsidP="00716A59">
      <w:pPr>
        <w:pStyle w:val="Arttitle"/>
        <w:spacing w:before="400"/>
        <w:rPr>
          <w:lang w:val="fr-FR"/>
        </w:rPr>
      </w:pPr>
      <w:bookmarkStart w:id="805" w:name="_Toc280262366"/>
      <w:bookmarkStart w:id="806" w:name="_Toc280272760"/>
      <w:bookmarkStart w:id="807" w:name="_Toc280272939"/>
      <w:bookmarkStart w:id="808" w:name="_Toc284419454"/>
      <w:bookmarkStart w:id="809" w:name="_Toc286315771"/>
      <w:bookmarkStart w:id="810" w:name="_Toc287523847"/>
      <w:r w:rsidRPr="003C5D6B">
        <w:rPr>
          <w:lang w:val="fr-FR"/>
        </w:rPr>
        <w:lastRenderedPageBreak/>
        <w:t>Article 9</w:t>
      </w:r>
      <w:r w:rsidRPr="003C5D6B">
        <w:rPr>
          <w:lang w:val="fr-FR"/>
        </w:rPr>
        <w:br/>
      </w:r>
      <w:r w:rsidRPr="003C5D6B">
        <w:rPr>
          <w:lang w:val="fr-FR"/>
        </w:rPr>
        <w:br/>
      </w:r>
      <w:bookmarkStart w:id="811" w:name="_Toc225739821"/>
      <w:r w:rsidRPr="003C5D6B">
        <w:rPr>
          <w:lang w:val="fr-FR"/>
        </w:rPr>
        <w:t>Droits à acquitter pour modifier l'autorisation</w:t>
      </w:r>
      <w:bookmarkEnd w:id="805"/>
      <w:bookmarkEnd w:id="806"/>
      <w:bookmarkEnd w:id="807"/>
      <w:bookmarkEnd w:id="808"/>
      <w:bookmarkEnd w:id="809"/>
      <w:bookmarkEnd w:id="810"/>
      <w:bookmarkEnd w:id="811"/>
    </w:p>
    <w:p w:rsidR="00716A59" w:rsidRPr="003C5D6B" w:rsidRDefault="00716A59" w:rsidP="00716A59">
      <w:pPr>
        <w:rPr>
          <w:lang w:val="fr-FR"/>
        </w:rPr>
      </w:pPr>
      <w:r w:rsidRPr="003C5D6B">
        <w:rPr>
          <w:lang w:val="fr-FR"/>
        </w:rPr>
        <w:t>L'utilisateur agréé peut demander qu'une autorisation soit modifiée. La modification des coordonnées indiquées dans l'autorisation au moment du renouvellement s'effectue sans frais; par contre, la modification des coordonnées indiquées dans l'autorisation à tout autre moment s'effectue contre paiement. La modification des données relatives aux emplacements ou à l'adjonction de nouveaux équipements ainsi que celle des données techniques s'effectuent contre paiement. Au cas où la modification est approuvée par la TRA, les droits annuels d'utilisation du spectre sont calculés au prorata. L'utilisateur agréé s'acquitte par avance à la TRA de la différence. Si le montant de cette différence est en faveur de l'utilisateur agréé, la TRA ne procède pas au remboursement et le montant annuel des droits d'utilisation du spectre pour l'année suivante est calculé sur la base du montant ainsi révisé.</w:t>
      </w:r>
    </w:p>
    <w:p w:rsidR="00716A59" w:rsidRPr="003C5D6B" w:rsidRDefault="00716A59" w:rsidP="00716A59">
      <w:pPr>
        <w:pStyle w:val="Arttitle"/>
        <w:spacing w:before="400"/>
        <w:rPr>
          <w:lang w:val="fr-FR"/>
        </w:rPr>
      </w:pPr>
      <w:bookmarkStart w:id="812" w:name="_Toc280262367"/>
      <w:bookmarkStart w:id="813" w:name="_Toc280272761"/>
      <w:bookmarkStart w:id="814" w:name="_Toc280272940"/>
      <w:bookmarkStart w:id="815" w:name="_Toc284419455"/>
      <w:bookmarkStart w:id="816" w:name="_Toc286315772"/>
      <w:bookmarkStart w:id="817" w:name="_Toc287523848"/>
      <w:r w:rsidRPr="003C5D6B">
        <w:rPr>
          <w:lang w:val="fr-FR"/>
        </w:rPr>
        <w:t>Article 10</w:t>
      </w:r>
      <w:r w:rsidRPr="003C5D6B">
        <w:rPr>
          <w:lang w:val="fr-FR"/>
        </w:rPr>
        <w:br/>
      </w:r>
      <w:r w:rsidRPr="003C5D6B">
        <w:rPr>
          <w:lang w:val="fr-FR"/>
        </w:rPr>
        <w:br/>
      </w:r>
      <w:bookmarkStart w:id="818" w:name="_Toc225739822"/>
      <w:r w:rsidRPr="003C5D6B">
        <w:rPr>
          <w:lang w:val="fr-FR"/>
        </w:rPr>
        <w:t>Droits à acquitter pour l'annulation d'une autorisation</w:t>
      </w:r>
      <w:bookmarkEnd w:id="812"/>
      <w:bookmarkEnd w:id="813"/>
      <w:bookmarkEnd w:id="814"/>
      <w:bookmarkEnd w:id="815"/>
      <w:bookmarkEnd w:id="816"/>
      <w:bookmarkEnd w:id="817"/>
      <w:bookmarkEnd w:id="818"/>
    </w:p>
    <w:p w:rsidR="00716A59" w:rsidRPr="003C5D6B" w:rsidRDefault="00716A59" w:rsidP="00716A59">
      <w:pPr>
        <w:rPr>
          <w:lang w:val="fr-FR"/>
        </w:rPr>
      </w:pPr>
      <w:r w:rsidRPr="003C5D6B">
        <w:rPr>
          <w:lang w:val="fr-FR"/>
        </w:rPr>
        <w:t>L'utilisateur agréé peut demander l'annulation de l'autorisation. Aucun droit n'est perçu pour l'annulation et la TRA ne procède à aucun remboursement de l'éventuel solde.</w:t>
      </w:r>
    </w:p>
    <w:p w:rsidR="00716A59" w:rsidRPr="003C5D6B" w:rsidRDefault="00716A59" w:rsidP="00716A59">
      <w:pPr>
        <w:pStyle w:val="Arttitle"/>
        <w:spacing w:before="400"/>
        <w:rPr>
          <w:lang w:val="fr-FR"/>
        </w:rPr>
      </w:pPr>
      <w:bookmarkStart w:id="819" w:name="_Toc280262368"/>
      <w:bookmarkStart w:id="820" w:name="_Toc280272762"/>
      <w:bookmarkStart w:id="821" w:name="_Toc280272941"/>
      <w:bookmarkStart w:id="822" w:name="_Toc284419456"/>
      <w:bookmarkStart w:id="823" w:name="_Toc286315773"/>
      <w:bookmarkStart w:id="824" w:name="_Toc287523849"/>
      <w:r w:rsidRPr="003C5D6B">
        <w:rPr>
          <w:lang w:val="fr-FR"/>
        </w:rPr>
        <w:t>Article 11</w:t>
      </w:r>
      <w:r w:rsidRPr="003C5D6B">
        <w:rPr>
          <w:lang w:val="fr-FR"/>
        </w:rPr>
        <w:br/>
      </w:r>
      <w:r w:rsidRPr="003C5D6B">
        <w:rPr>
          <w:lang w:val="fr-FR"/>
        </w:rPr>
        <w:br/>
      </w:r>
      <w:bookmarkStart w:id="825" w:name="_Toc225739823"/>
      <w:r w:rsidRPr="003C5D6B">
        <w:rPr>
          <w:lang w:val="fr-FR"/>
        </w:rPr>
        <w:t>Droits à acquitter pour l'utilisation du spectre pour</w:t>
      </w:r>
      <w:r w:rsidRPr="003C5D6B">
        <w:rPr>
          <w:lang w:val="fr-FR"/>
        </w:rPr>
        <w:br/>
        <w:t>le service mobile terrestre public (cellulaire)</w:t>
      </w:r>
      <w:bookmarkEnd w:id="819"/>
      <w:bookmarkEnd w:id="820"/>
      <w:bookmarkEnd w:id="821"/>
      <w:bookmarkEnd w:id="822"/>
      <w:bookmarkEnd w:id="823"/>
      <w:bookmarkEnd w:id="824"/>
      <w:bookmarkEnd w:id="825"/>
    </w:p>
    <w:p w:rsidR="00716A59" w:rsidRPr="003C5D6B" w:rsidRDefault="00716A59" w:rsidP="00716A59">
      <w:pPr>
        <w:pStyle w:val="enumlev1"/>
        <w:rPr>
          <w:rFonts w:asciiTheme="majorBidi" w:hAnsiTheme="majorBidi" w:cstheme="majorBidi"/>
          <w:szCs w:val="19"/>
          <w:lang w:val="fr-FR"/>
        </w:rPr>
      </w:pPr>
      <w:r w:rsidRPr="003C5D6B">
        <w:rPr>
          <w:rFonts w:asciiTheme="majorBidi" w:hAnsiTheme="majorBidi" w:cstheme="majorBidi"/>
          <w:szCs w:val="19"/>
          <w:lang w:val="fr-FR"/>
        </w:rPr>
        <w:t>11.1</w:t>
      </w:r>
      <w:r w:rsidRPr="003C5D6B">
        <w:rPr>
          <w:rFonts w:asciiTheme="majorBidi" w:hAnsiTheme="majorBidi" w:cstheme="majorBidi"/>
          <w:szCs w:val="19"/>
          <w:lang w:val="fr-FR"/>
        </w:rPr>
        <w:tab/>
        <w:t>Le montant des droits annuels d'utilisation du spectre pour le service mobile terrestre public (cellulaire) (comprenant les systèmes GSM, UMTS et IMT) est calculé comme suit:</w:t>
      </w:r>
    </w:p>
    <w:p w:rsidR="00716A59" w:rsidRPr="003C5D6B" w:rsidRDefault="00716A59" w:rsidP="00716A59">
      <w:pPr>
        <w:jc w:val="center"/>
        <w:rPr>
          <w:color w:val="000000"/>
          <w:lang w:val="fr-FR"/>
        </w:rPr>
      </w:pPr>
      <w:r w:rsidRPr="003C5D6B">
        <w:rPr>
          <w:b/>
          <w:color w:val="000000"/>
          <w:lang w:val="fr-FR"/>
        </w:rPr>
        <w:t xml:space="preserve">Droits à acquitter pour l'utilisation du spectre = [(P x MHz) </w:t>
      </w:r>
      <w:r w:rsidRPr="003C5D6B">
        <w:rPr>
          <w:b/>
          <w:color w:val="000000"/>
          <w:position w:val="10"/>
          <w:vertAlign w:val="superscript"/>
          <w:lang w:val="fr-FR"/>
        </w:rPr>
        <w:t>EM</w:t>
      </w:r>
      <w:r w:rsidRPr="003C5D6B">
        <w:rPr>
          <w:b/>
          <w:color w:val="000000"/>
          <w:lang w:val="fr-FR"/>
        </w:rPr>
        <w:t xml:space="preserve">] x [1 + (MC – CC) / CM] </w:t>
      </w:r>
      <w:r w:rsidRPr="003C5D6B">
        <w:rPr>
          <w:b/>
          <w:color w:val="000000"/>
          <w:position w:val="10"/>
          <w:vertAlign w:val="superscript"/>
          <w:lang w:val="fr-FR"/>
        </w:rPr>
        <w:t xml:space="preserve">EC </w:t>
      </w:r>
    </w:p>
    <w:p w:rsidR="00716A59" w:rsidRPr="003C5D6B" w:rsidRDefault="00716A59" w:rsidP="00716A59">
      <w:pPr>
        <w:ind w:left="720"/>
        <w:rPr>
          <w:lang w:val="fr-FR"/>
        </w:rPr>
      </w:pPr>
      <w:r w:rsidRPr="003C5D6B">
        <w:rPr>
          <w:lang w:val="fr-FR"/>
        </w:rPr>
        <w:t>où:</w:t>
      </w:r>
    </w:p>
    <w:p w:rsidR="00716A59" w:rsidRPr="003C5D6B" w:rsidRDefault="00716A59" w:rsidP="00716A59">
      <w:pPr>
        <w:ind w:left="720"/>
        <w:rPr>
          <w:szCs w:val="19"/>
          <w:lang w:val="fr-FR"/>
        </w:rPr>
      </w:pPr>
      <w:r w:rsidRPr="003C5D6B">
        <w:rPr>
          <w:b/>
          <w:bCs/>
          <w:szCs w:val="19"/>
          <w:lang w:val="fr-FR"/>
        </w:rPr>
        <w:t>P</w:t>
      </w:r>
      <w:r w:rsidRPr="003C5D6B">
        <w:rPr>
          <w:szCs w:val="19"/>
          <w:lang w:val="fr-FR"/>
        </w:rPr>
        <w:t xml:space="preserve"> = prix par MHz, actuellement fixé à 3 500 000,00 AED (trois millions cinq cent mille) par an, sur la base d'une étude de marché. La TRA peut réaliser des études de marché à intervalles réguliers afin que le montant de ce prix soit réajusté.</w:t>
      </w:r>
    </w:p>
    <w:p w:rsidR="00716A59" w:rsidRPr="003C5D6B" w:rsidRDefault="00716A59" w:rsidP="00716A59">
      <w:pPr>
        <w:ind w:left="720"/>
        <w:rPr>
          <w:szCs w:val="19"/>
          <w:lang w:val="fr-FR"/>
        </w:rPr>
      </w:pPr>
      <w:r w:rsidRPr="003C5D6B">
        <w:rPr>
          <w:b/>
          <w:bCs/>
          <w:szCs w:val="19"/>
          <w:lang w:val="fr-FR"/>
        </w:rPr>
        <w:t>MHz</w:t>
      </w:r>
      <w:r w:rsidRPr="003C5D6B">
        <w:rPr>
          <w:szCs w:val="19"/>
          <w:lang w:val="fr-FR"/>
        </w:rPr>
        <w:t xml:space="preserve"> = largeur de bande attribuée (du service cellulaire) pour laquelle un bande de 20 MHz en mode duplex est comptée pour 40 MHz. La largeur de bande combinée du système GSM 900/1800 est utilisée pour chaque opérateur détenteur de licence. La largeur de bande pour les systèmes UMTS et IMT est facturée séparément.</w:t>
      </w:r>
    </w:p>
    <w:p w:rsidR="00716A59" w:rsidRPr="003C5D6B" w:rsidRDefault="00716A59" w:rsidP="00716A59">
      <w:pPr>
        <w:ind w:left="720"/>
        <w:rPr>
          <w:szCs w:val="19"/>
          <w:lang w:val="fr-FR"/>
        </w:rPr>
      </w:pPr>
      <w:r w:rsidRPr="003C5D6B">
        <w:rPr>
          <w:b/>
          <w:bCs/>
          <w:szCs w:val="19"/>
          <w:lang w:val="fr-FR"/>
        </w:rPr>
        <w:t>CC</w:t>
      </w:r>
      <w:r w:rsidRPr="003C5D6B">
        <w:rPr>
          <w:szCs w:val="19"/>
          <w:lang w:val="fr-FR"/>
        </w:rPr>
        <w:t xml:space="preserve"> = Desserte actuelle de l'opérateur, en termes du nombre d'habitants desservis par le réseau de radiocommunication. </w:t>
      </w:r>
    </w:p>
    <w:p w:rsidR="00716A59" w:rsidRPr="003C5D6B" w:rsidRDefault="00716A59" w:rsidP="00716A59">
      <w:pPr>
        <w:ind w:left="720"/>
        <w:rPr>
          <w:szCs w:val="19"/>
          <w:lang w:val="fr-FR"/>
        </w:rPr>
      </w:pPr>
      <w:r w:rsidRPr="003C5D6B">
        <w:rPr>
          <w:b/>
          <w:bCs/>
          <w:szCs w:val="19"/>
          <w:lang w:val="fr-FR"/>
        </w:rPr>
        <w:t>CM</w:t>
      </w:r>
      <w:r w:rsidRPr="003C5D6B">
        <w:rPr>
          <w:szCs w:val="19"/>
          <w:lang w:val="fr-FR"/>
        </w:rPr>
        <w:t xml:space="preserve"> = Desserte maximale dans les Emirats arabes unis, soit 4 912 000 habitants, sur la base des prévisions du Ministère de la planification. Ce chiffre sera revu compte tenu des résultats du recensement ou après trois ans à compter de la date de parution du présent document.</w:t>
      </w:r>
    </w:p>
    <w:p w:rsidR="00716A59" w:rsidRPr="003C5D6B" w:rsidRDefault="00716A59" w:rsidP="00716A59">
      <w:pPr>
        <w:ind w:left="720"/>
        <w:rPr>
          <w:szCs w:val="19"/>
          <w:lang w:val="fr-FR"/>
        </w:rPr>
      </w:pPr>
      <w:r w:rsidRPr="003C5D6B">
        <w:rPr>
          <w:b/>
          <w:bCs/>
          <w:szCs w:val="19"/>
          <w:lang w:val="fr-FR"/>
        </w:rPr>
        <w:t>MC</w:t>
      </w:r>
      <w:r w:rsidRPr="003C5D6B">
        <w:rPr>
          <w:szCs w:val="19"/>
          <w:lang w:val="fr-FR"/>
        </w:rPr>
        <w:t xml:space="preserve"> = Desserte minimale, soit 2 063 040 habitants des Emirats arabes unis (soit 42% de la valeur CM). </w:t>
      </w:r>
    </w:p>
    <w:p w:rsidR="00716A59" w:rsidRPr="003C5D6B" w:rsidRDefault="00716A59" w:rsidP="00716A59">
      <w:pPr>
        <w:ind w:left="720"/>
        <w:rPr>
          <w:szCs w:val="19"/>
          <w:lang w:val="fr-FR"/>
        </w:rPr>
      </w:pPr>
      <w:r w:rsidRPr="003C5D6B">
        <w:rPr>
          <w:b/>
          <w:bCs/>
          <w:szCs w:val="19"/>
          <w:lang w:val="fr-FR"/>
        </w:rPr>
        <w:t>EC</w:t>
      </w:r>
      <w:r w:rsidRPr="003C5D6B">
        <w:rPr>
          <w:szCs w:val="19"/>
          <w:lang w:val="fr-FR"/>
        </w:rPr>
        <w:t xml:space="preserve"> = Coefficient d'efficacité pour la desserte, calculé selon la formule EC = 1 + (CC/MC). </w:t>
      </w:r>
    </w:p>
    <w:p w:rsidR="00716A59" w:rsidRPr="003C5D6B" w:rsidRDefault="00716A59" w:rsidP="00716A59">
      <w:pPr>
        <w:ind w:left="720"/>
        <w:rPr>
          <w:szCs w:val="19"/>
          <w:lang w:val="fr-FR"/>
        </w:rPr>
      </w:pPr>
      <w:r w:rsidRPr="003C5D6B">
        <w:rPr>
          <w:b/>
          <w:bCs/>
          <w:szCs w:val="19"/>
          <w:lang w:val="fr-FR"/>
        </w:rPr>
        <w:t>EM</w:t>
      </w:r>
      <w:r w:rsidRPr="003C5D6B">
        <w:rPr>
          <w:szCs w:val="19"/>
          <w:lang w:val="fr-FR"/>
        </w:rPr>
        <w:t xml:space="preserve"> = Coefficient d'efficacité pour les MHz, calculé selon la formule EM = 1 + (MHz/982,4) </w:t>
      </w:r>
    </w:p>
    <w:p w:rsidR="00716A59" w:rsidRPr="003C5D6B" w:rsidRDefault="00716A59" w:rsidP="00716A59">
      <w:pPr>
        <w:ind w:left="720"/>
        <w:rPr>
          <w:szCs w:val="19"/>
          <w:lang w:val="fr-FR"/>
        </w:rPr>
      </w:pPr>
      <w:r w:rsidRPr="003C5D6B">
        <w:rPr>
          <w:szCs w:val="19"/>
          <w:lang w:val="fr-FR"/>
        </w:rPr>
        <w:t xml:space="preserve">982,4 représente une valeur correspondant au chiffre de la population des Emirats arabes unis, soit 4,912 millions d'habitants. </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lastRenderedPageBreak/>
        <w:t>11.2</w:t>
      </w:r>
      <w:r w:rsidRPr="003C5D6B">
        <w:rPr>
          <w:rFonts w:asciiTheme="majorBidi" w:hAnsiTheme="majorBidi" w:cstheme="majorBidi"/>
          <w:szCs w:val="22"/>
          <w:lang w:val="fr-FR"/>
        </w:rPr>
        <w:tab/>
        <w:t xml:space="preserve">On applique la règlementation et les lignes directrices établies par la TRA pour le calcul des coefficients comme la couverture, pour établir le montant des droits dans le service mobile public terrestre (cellulaire). </w:t>
      </w:r>
    </w:p>
    <w:p w:rsidR="00716A59" w:rsidRPr="003C5D6B" w:rsidRDefault="00716A59" w:rsidP="00716A59">
      <w:pPr>
        <w:pStyle w:val="Arttitle"/>
        <w:spacing w:before="400"/>
        <w:rPr>
          <w:lang w:val="fr-FR"/>
        </w:rPr>
      </w:pPr>
      <w:bookmarkStart w:id="826" w:name="_Toc225739480"/>
      <w:bookmarkStart w:id="827" w:name="_Toc225739824"/>
      <w:bookmarkStart w:id="828" w:name="_Toc280262369"/>
      <w:bookmarkStart w:id="829" w:name="_Toc280272763"/>
      <w:bookmarkStart w:id="830" w:name="_Toc280272942"/>
      <w:bookmarkStart w:id="831" w:name="_Toc284419457"/>
      <w:bookmarkStart w:id="832" w:name="_Toc286315774"/>
      <w:bookmarkStart w:id="833" w:name="_Toc287523850"/>
      <w:r w:rsidRPr="003C5D6B">
        <w:rPr>
          <w:lang w:val="fr-FR"/>
        </w:rPr>
        <w:t>Article 12</w:t>
      </w:r>
      <w:bookmarkEnd w:id="826"/>
      <w:bookmarkEnd w:id="827"/>
      <w:r w:rsidRPr="003C5D6B">
        <w:rPr>
          <w:lang w:val="fr-FR"/>
        </w:rPr>
        <w:br/>
      </w:r>
      <w:r w:rsidRPr="003C5D6B">
        <w:rPr>
          <w:lang w:val="fr-FR"/>
        </w:rPr>
        <w:br/>
      </w:r>
      <w:bookmarkStart w:id="834" w:name="_Toc225739481"/>
      <w:bookmarkStart w:id="835" w:name="_Toc225739825"/>
      <w:r w:rsidRPr="003C5D6B">
        <w:rPr>
          <w:lang w:val="fr-FR"/>
        </w:rPr>
        <w:t xml:space="preserve">Droits à acquitter pour les radiocommunications mobiles privées, </w:t>
      </w:r>
      <w:r w:rsidRPr="003C5D6B">
        <w:rPr>
          <w:lang w:val="fr-FR"/>
        </w:rPr>
        <w:br/>
        <w:t>la radiomessagerie et les systèmes à ressources partagées</w:t>
      </w:r>
      <w:bookmarkEnd w:id="828"/>
      <w:bookmarkEnd w:id="829"/>
      <w:bookmarkEnd w:id="830"/>
      <w:bookmarkEnd w:id="831"/>
      <w:bookmarkEnd w:id="832"/>
      <w:bookmarkEnd w:id="833"/>
      <w:bookmarkEnd w:id="834"/>
      <w:bookmarkEnd w:id="835"/>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12.1</w:t>
      </w:r>
      <w:r w:rsidRPr="003C5D6B">
        <w:rPr>
          <w:rFonts w:asciiTheme="majorBidi" w:hAnsiTheme="majorBidi" w:cstheme="majorBidi"/>
          <w:szCs w:val="22"/>
          <w:lang w:val="fr-FR"/>
        </w:rPr>
        <w:tab/>
        <w:t xml:space="preserve">Le montant annuel des droits à acquitter pour les radiocommunications mobiles privées est calculé selon la formule suivante: </w:t>
      </w:r>
    </w:p>
    <w:p w:rsidR="00716A59" w:rsidRPr="003C5D6B" w:rsidRDefault="00716A59" w:rsidP="00716A59">
      <w:pPr>
        <w:jc w:val="center"/>
        <w:rPr>
          <w:color w:val="000000"/>
          <w:lang w:val="fr-FR"/>
        </w:rPr>
      </w:pPr>
      <w:r w:rsidRPr="003C5D6B">
        <w:rPr>
          <w:b/>
          <w:color w:val="000000"/>
          <w:lang w:val="fr-FR"/>
        </w:rPr>
        <w:t xml:space="preserve">Droits à acquitter = NC x CF + SUM (WE x 500 x PF) </w:t>
      </w:r>
    </w:p>
    <w:p w:rsidR="00716A59" w:rsidRPr="003C5D6B" w:rsidRDefault="00716A59" w:rsidP="00716A59">
      <w:pPr>
        <w:ind w:left="720"/>
        <w:rPr>
          <w:color w:val="000000"/>
          <w:szCs w:val="19"/>
          <w:lang w:val="fr-FR"/>
        </w:rPr>
      </w:pPr>
      <w:r w:rsidRPr="003C5D6B">
        <w:rPr>
          <w:color w:val="000000"/>
          <w:szCs w:val="19"/>
          <w:lang w:val="fr-FR"/>
        </w:rPr>
        <w:t xml:space="preserve">où: </w:t>
      </w:r>
    </w:p>
    <w:p w:rsidR="00716A59" w:rsidRPr="003C5D6B" w:rsidRDefault="00716A59" w:rsidP="00716A59">
      <w:pPr>
        <w:ind w:left="720"/>
        <w:rPr>
          <w:color w:val="000000"/>
          <w:szCs w:val="19"/>
          <w:lang w:val="fr-FR"/>
        </w:rPr>
      </w:pPr>
      <w:r w:rsidRPr="003C5D6B">
        <w:rPr>
          <w:b/>
          <w:bCs/>
          <w:color w:val="000000"/>
          <w:szCs w:val="19"/>
          <w:lang w:val="fr-FR"/>
        </w:rPr>
        <w:t>NC</w:t>
      </w:r>
      <w:r w:rsidRPr="003C5D6B">
        <w:rPr>
          <w:color w:val="000000"/>
          <w:szCs w:val="19"/>
          <w:lang w:val="fr-FR"/>
        </w:rPr>
        <w:t xml:space="preserve"> = Le nombre de canaux (dont chacun a une largeur de bande équivalente de 12,5 kHz) qui seront attribués à l'utilisateur. </w:t>
      </w:r>
    </w:p>
    <w:p w:rsidR="00716A59" w:rsidRPr="003C5D6B" w:rsidRDefault="00716A59" w:rsidP="00716A59">
      <w:pPr>
        <w:ind w:left="720"/>
        <w:rPr>
          <w:color w:val="000000"/>
          <w:szCs w:val="19"/>
          <w:lang w:val="fr-FR"/>
        </w:rPr>
      </w:pPr>
      <w:r w:rsidRPr="003C5D6B">
        <w:rPr>
          <w:b/>
          <w:bCs/>
          <w:color w:val="000000"/>
          <w:szCs w:val="19"/>
          <w:lang w:val="fr-FR"/>
        </w:rPr>
        <w:t>WE</w:t>
      </w:r>
      <w:r w:rsidRPr="003C5D6B">
        <w:rPr>
          <w:color w:val="000000"/>
          <w:szCs w:val="19"/>
          <w:lang w:val="fr-FR"/>
        </w:rPr>
        <w:t xml:space="preserve"> = Equipements hertziens autorisés (appareils portables compris), qui seront inclus dans le calcul. </w:t>
      </w:r>
    </w:p>
    <w:p w:rsidR="00716A59" w:rsidRPr="003C5D6B" w:rsidRDefault="00716A59" w:rsidP="00716A59">
      <w:pPr>
        <w:ind w:left="720"/>
        <w:rPr>
          <w:color w:val="000000"/>
          <w:szCs w:val="19"/>
          <w:lang w:val="fr-FR"/>
        </w:rPr>
      </w:pPr>
      <w:r w:rsidRPr="003C5D6B">
        <w:rPr>
          <w:b/>
          <w:bCs/>
          <w:color w:val="000000"/>
          <w:szCs w:val="19"/>
          <w:lang w:val="fr-FR"/>
        </w:rPr>
        <w:t>SUM (WE x 500 x PF)</w:t>
      </w:r>
      <w:r w:rsidRPr="003C5D6B">
        <w:rPr>
          <w:color w:val="000000"/>
          <w:szCs w:val="19"/>
          <w:lang w:val="fr-FR"/>
        </w:rPr>
        <w:t xml:space="preserve"> = Somme totale: chaque équipement hertzien autorisé multiplié par 500, multiplié par le facteur de puissance. </w:t>
      </w:r>
    </w:p>
    <w:p w:rsidR="00716A59" w:rsidRPr="003C5D6B" w:rsidRDefault="00716A59" w:rsidP="00716A59">
      <w:pPr>
        <w:ind w:left="720"/>
        <w:rPr>
          <w:color w:val="000000"/>
          <w:szCs w:val="19"/>
          <w:lang w:val="fr-FR"/>
        </w:rPr>
      </w:pPr>
      <w:r w:rsidRPr="003C5D6B">
        <w:rPr>
          <w:b/>
          <w:bCs/>
          <w:color w:val="000000"/>
          <w:szCs w:val="19"/>
          <w:lang w:val="fr-FR"/>
        </w:rPr>
        <w:t>PF</w:t>
      </w:r>
      <w:r w:rsidRPr="003C5D6B">
        <w:rPr>
          <w:color w:val="000000"/>
          <w:szCs w:val="19"/>
          <w:lang w:val="fr-FR"/>
        </w:rPr>
        <w:t xml:space="preserve"> = Facteur de puissance, dépendant de la puissance émise autorisée des équipements, qui est calculé comme suit: </w:t>
      </w:r>
    </w:p>
    <w:p w:rsidR="00716A59" w:rsidRPr="003C5D6B" w:rsidRDefault="00716A59" w:rsidP="00716A59">
      <w:pPr>
        <w:ind w:left="720"/>
        <w:rPr>
          <w:color w:val="000000"/>
          <w:szCs w:val="19"/>
          <w:lang w:val="fr-FR"/>
        </w:rPr>
      </w:pPr>
    </w:p>
    <w:tbl>
      <w:tblPr>
        <w:tblW w:w="0" w:type="auto"/>
        <w:jc w:val="center"/>
        <w:tblInd w:w="900" w:type="dxa"/>
        <w:tblBorders>
          <w:top w:val="nil"/>
          <w:left w:val="nil"/>
          <w:bottom w:val="nil"/>
          <w:right w:val="nil"/>
        </w:tblBorders>
        <w:tblLook w:val="0000"/>
      </w:tblPr>
      <w:tblGrid>
        <w:gridCol w:w="1226"/>
        <w:gridCol w:w="2032"/>
        <w:gridCol w:w="931"/>
        <w:gridCol w:w="1167"/>
        <w:gridCol w:w="1277"/>
        <w:gridCol w:w="837"/>
      </w:tblGrid>
      <w:tr w:rsidR="00716A59" w:rsidRPr="003C5D6B" w:rsidTr="003C5D6B">
        <w:trPr>
          <w:trHeight w:val="319"/>
          <w:jc w:val="center"/>
        </w:trPr>
        <w:tc>
          <w:tcPr>
            <w:tcW w:w="1226"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Puissance </w:t>
            </w:r>
          </w:p>
        </w:tc>
        <w:tc>
          <w:tcPr>
            <w:tcW w:w="2032"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Inférieure à 1 W</w:t>
            </w:r>
          </w:p>
        </w:tc>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1 – 5 W </w:t>
            </w:r>
          </w:p>
        </w:tc>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&gt;5 – 10 W </w:t>
            </w:r>
          </w:p>
        </w:tc>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&gt;10 – 20 W </w:t>
            </w:r>
          </w:p>
        </w:tc>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&gt;20 W </w:t>
            </w:r>
          </w:p>
        </w:tc>
      </w:tr>
      <w:tr w:rsidR="00716A59" w:rsidRPr="003C5D6B" w:rsidTr="003C5D6B">
        <w:trPr>
          <w:trHeight w:val="319"/>
          <w:jc w:val="center"/>
        </w:trPr>
        <w:tc>
          <w:tcPr>
            <w:tcW w:w="1226"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PF</w:t>
            </w:r>
          </w:p>
        </w:tc>
        <w:tc>
          <w:tcPr>
            <w:tcW w:w="2032"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0,25</w:t>
            </w:r>
          </w:p>
        </w:tc>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w:t>
            </w:r>
          </w:p>
        </w:tc>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2</w:t>
            </w:r>
          </w:p>
        </w:tc>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3</w:t>
            </w:r>
          </w:p>
        </w:tc>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4</w:t>
            </w:r>
          </w:p>
        </w:tc>
      </w:tr>
    </w:tbl>
    <w:p w:rsidR="00716A59" w:rsidRPr="003C5D6B" w:rsidRDefault="00716A59" w:rsidP="00716A59">
      <w:pPr>
        <w:ind w:left="720"/>
        <w:rPr>
          <w:b/>
          <w:color w:val="000000"/>
          <w:szCs w:val="19"/>
          <w:lang w:val="fr-FR"/>
        </w:rPr>
      </w:pPr>
    </w:p>
    <w:p w:rsidR="00716A59" w:rsidRPr="003C5D6B" w:rsidRDefault="00716A59" w:rsidP="00716A59">
      <w:pPr>
        <w:ind w:left="720"/>
        <w:rPr>
          <w:color w:val="000000"/>
          <w:szCs w:val="19"/>
          <w:lang w:val="fr-FR"/>
        </w:rPr>
      </w:pPr>
      <w:r w:rsidRPr="003C5D6B">
        <w:rPr>
          <w:b/>
          <w:bCs/>
          <w:color w:val="000000"/>
          <w:szCs w:val="19"/>
          <w:lang w:val="fr-FR"/>
        </w:rPr>
        <w:t>CF</w:t>
      </w:r>
      <w:r w:rsidRPr="003C5D6B">
        <w:rPr>
          <w:color w:val="000000"/>
          <w:szCs w:val="19"/>
          <w:lang w:val="fr-FR"/>
        </w:rPr>
        <w:t xml:space="preserve"> = coefficient de desserte, en fonction de la zone géographique, qui est déterminé comme suit: </w:t>
      </w:r>
    </w:p>
    <w:p w:rsidR="00716A59" w:rsidRPr="003C5D6B" w:rsidRDefault="00716A59" w:rsidP="00716A59">
      <w:pPr>
        <w:ind w:left="720"/>
        <w:rPr>
          <w:color w:val="000000"/>
          <w:szCs w:val="19"/>
          <w:lang w:val="fr-FR"/>
        </w:rPr>
      </w:pPr>
    </w:p>
    <w:tbl>
      <w:tblPr>
        <w:tblW w:w="0" w:type="auto"/>
        <w:jc w:val="center"/>
        <w:tblInd w:w="490" w:type="dxa"/>
        <w:tblBorders>
          <w:top w:val="nil"/>
          <w:left w:val="nil"/>
          <w:bottom w:val="nil"/>
          <w:right w:val="nil"/>
        </w:tblBorders>
        <w:tblLook w:val="0000"/>
      </w:tblPr>
      <w:tblGrid>
        <w:gridCol w:w="1122"/>
        <w:gridCol w:w="1475"/>
        <w:gridCol w:w="1230"/>
        <w:gridCol w:w="3118"/>
        <w:gridCol w:w="1433"/>
      </w:tblGrid>
      <w:tr w:rsidR="00716A59" w:rsidRPr="00E92FFB" w:rsidTr="003C5D6B">
        <w:trPr>
          <w:trHeight w:val="319"/>
          <w:jc w:val="center"/>
        </w:trPr>
        <w:tc>
          <w:tcPr>
            <w:tcW w:w="1122"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Zone </w:t>
            </w:r>
          </w:p>
        </w:tc>
        <w:tc>
          <w:tcPr>
            <w:tcW w:w="1475"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Zone rurale ou à l'intérieur de locaux</w:t>
            </w:r>
          </w:p>
        </w:tc>
        <w:tc>
          <w:tcPr>
            <w:tcW w:w="123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Zone urbaine </w:t>
            </w:r>
          </w:p>
        </w:tc>
        <w:tc>
          <w:tcPr>
            <w:tcW w:w="3118"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Ensemble des Emirats </w:t>
            </w:r>
          </w:p>
        </w:tc>
        <w:tc>
          <w:tcPr>
            <w:tcW w:w="1433"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Totalité des Emirats arabes unis </w:t>
            </w:r>
          </w:p>
        </w:tc>
      </w:tr>
      <w:tr w:rsidR="00716A59" w:rsidRPr="003C5D6B" w:rsidTr="003C5D6B">
        <w:trPr>
          <w:trHeight w:val="319"/>
          <w:jc w:val="center"/>
        </w:trPr>
        <w:tc>
          <w:tcPr>
            <w:tcW w:w="1122"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CF</w:t>
            </w:r>
          </w:p>
        </w:tc>
        <w:tc>
          <w:tcPr>
            <w:tcW w:w="1475"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100</w:t>
            </w:r>
          </w:p>
        </w:tc>
        <w:tc>
          <w:tcPr>
            <w:tcW w:w="123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500</w:t>
            </w:r>
          </w:p>
        </w:tc>
        <w:tc>
          <w:tcPr>
            <w:tcW w:w="3118"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2</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 pour Abu Dhabi ou Dubaï</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1</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 pour les autres Emirats</w:t>
            </w:r>
          </w:p>
        </w:tc>
        <w:tc>
          <w:tcPr>
            <w:tcW w:w="1433"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4</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w:t>
            </w:r>
          </w:p>
        </w:tc>
      </w:tr>
    </w:tbl>
    <w:p w:rsidR="00716A59" w:rsidRPr="003C5D6B" w:rsidRDefault="00716A59" w:rsidP="00716A59">
      <w:pPr>
        <w:ind w:left="720" w:hanging="720"/>
        <w:rPr>
          <w:lang w:val="fr-FR"/>
        </w:rPr>
      </w:pPr>
    </w:p>
    <w:p w:rsidR="00716A59" w:rsidRPr="003C5D6B" w:rsidRDefault="00716A59" w:rsidP="00716A59">
      <w:pPr>
        <w:tabs>
          <w:tab w:val="clear" w:pos="794"/>
          <w:tab w:val="clear" w:pos="1191"/>
          <w:tab w:val="clear" w:pos="1588"/>
          <w:tab w:val="clear" w:pos="1985"/>
        </w:tabs>
        <w:overflowPunct/>
        <w:autoSpaceDE/>
        <w:autoSpaceDN/>
        <w:adjustRightInd/>
        <w:spacing w:before="0"/>
        <w:jc w:val="left"/>
        <w:textAlignment w:val="auto"/>
        <w:rPr>
          <w:lang w:val="fr-FR"/>
        </w:rPr>
      </w:pPr>
      <w:r w:rsidRPr="003C5D6B">
        <w:rPr>
          <w:lang w:val="fr-FR"/>
        </w:rPr>
        <w:br w:type="page"/>
      </w:r>
    </w:p>
    <w:p w:rsidR="00716A59" w:rsidRPr="003C5D6B" w:rsidRDefault="00716A59" w:rsidP="00716A59">
      <w:pPr>
        <w:ind w:left="720" w:hanging="720"/>
        <w:rPr>
          <w:lang w:val="fr-FR"/>
        </w:rPr>
      </w:pPr>
      <w:r w:rsidRPr="003C5D6B">
        <w:rPr>
          <w:lang w:val="fr-FR"/>
        </w:rPr>
        <w:lastRenderedPageBreak/>
        <w:t>12.3</w:t>
      </w:r>
      <w:r w:rsidRPr="003C5D6B">
        <w:rPr>
          <w:lang w:val="fr-FR"/>
        </w:rPr>
        <w:tab/>
        <w:t xml:space="preserve">Le montant annuel des droits d'utilisation du spectre pour les radiocommunications mobiles privées (à bord de véhicules uniquement) qui ne sont pas localisées est calculé comme suit: </w:t>
      </w:r>
    </w:p>
    <w:p w:rsidR="00716A59" w:rsidRPr="003C5D6B" w:rsidRDefault="00716A59" w:rsidP="00716A59">
      <w:pPr>
        <w:ind w:firstLine="720"/>
        <w:jc w:val="center"/>
        <w:rPr>
          <w:color w:val="000000"/>
          <w:lang w:val="fr-FR"/>
        </w:rPr>
      </w:pPr>
      <w:r w:rsidRPr="003C5D6B">
        <w:rPr>
          <w:b/>
          <w:color w:val="000000"/>
          <w:lang w:val="fr-FR"/>
        </w:rPr>
        <w:t>Droits à acquitter = NC x CF</w:t>
      </w:r>
    </w:p>
    <w:p w:rsidR="00716A59" w:rsidRPr="003C5D6B" w:rsidRDefault="00716A59" w:rsidP="00716A59">
      <w:pPr>
        <w:ind w:left="720"/>
        <w:rPr>
          <w:color w:val="000000"/>
          <w:lang w:val="fr-FR"/>
        </w:rPr>
      </w:pPr>
      <w:r w:rsidRPr="003C5D6B">
        <w:rPr>
          <w:color w:val="000000"/>
          <w:lang w:val="fr-FR"/>
        </w:rPr>
        <w:t xml:space="preserve">où: </w:t>
      </w:r>
    </w:p>
    <w:p w:rsidR="00716A59" w:rsidRPr="003C5D6B" w:rsidRDefault="00716A59" w:rsidP="00716A59">
      <w:pPr>
        <w:ind w:left="720"/>
        <w:rPr>
          <w:color w:val="000000"/>
          <w:lang w:val="fr-FR"/>
        </w:rPr>
      </w:pPr>
      <w:r w:rsidRPr="003C5D6B">
        <w:rPr>
          <w:b/>
          <w:bCs/>
          <w:color w:val="000000"/>
          <w:lang w:val="fr-FR"/>
        </w:rPr>
        <w:t>NC</w:t>
      </w:r>
      <w:r w:rsidRPr="003C5D6B">
        <w:rPr>
          <w:color w:val="000000"/>
          <w:lang w:val="fr-FR"/>
        </w:rPr>
        <w:t xml:space="preserve"> = Le nombre de canaux (dont chacun a une largeur de bande équivalente de 12,5 kHz) qui seront attribués à l'utilisateur. </w:t>
      </w:r>
    </w:p>
    <w:p w:rsidR="00716A59" w:rsidRPr="003C5D6B" w:rsidRDefault="00716A59" w:rsidP="00716A59">
      <w:pPr>
        <w:ind w:left="720"/>
        <w:rPr>
          <w:color w:val="000000"/>
          <w:lang w:val="fr-FR"/>
        </w:rPr>
      </w:pPr>
      <w:r w:rsidRPr="003C5D6B">
        <w:rPr>
          <w:b/>
          <w:bCs/>
          <w:color w:val="000000"/>
          <w:lang w:val="fr-FR"/>
        </w:rPr>
        <w:t>CF</w:t>
      </w:r>
      <w:r w:rsidRPr="003C5D6B">
        <w:rPr>
          <w:color w:val="000000"/>
          <w:lang w:val="fr-FR"/>
        </w:rPr>
        <w:t xml:space="preserve"> = Coefficient de desserte, en fonction de la zone géographique, qui est déterminé comme suit: </w:t>
      </w:r>
    </w:p>
    <w:p w:rsidR="00716A59" w:rsidRPr="003C5D6B" w:rsidRDefault="00716A59" w:rsidP="00716A59">
      <w:pPr>
        <w:rPr>
          <w:lang w:val="fr-FR"/>
        </w:rPr>
      </w:pPr>
    </w:p>
    <w:tbl>
      <w:tblPr>
        <w:tblW w:w="0" w:type="auto"/>
        <w:jc w:val="center"/>
        <w:tblInd w:w="900" w:type="dxa"/>
        <w:tblBorders>
          <w:top w:val="nil"/>
          <w:left w:val="nil"/>
          <w:bottom w:val="nil"/>
          <w:right w:val="nil"/>
        </w:tblBorders>
        <w:tblLook w:val="0000"/>
      </w:tblPr>
      <w:tblGrid>
        <w:gridCol w:w="1057"/>
        <w:gridCol w:w="1442"/>
        <w:gridCol w:w="1218"/>
        <w:gridCol w:w="3107"/>
        <w:gridCol w:w="1456"/>
      </w:tblGrid>
      <w:tr w:rsidR="00716A59" w:rsidRPr="00E92FFB" w:rsidTr="003C5D6B">
        <w:trPr>
          <w:trHeight w:val="319"/>
          <w:jc w:val="center"/>
        </w:trPr>
        <w:tc>
          <w:tcPr>
            <w:tcW w:w="1057"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Zone </w:t>
            </w:r>
          </w:p>
        </w:tc>
        <w:tc>
          <w:tcPr>
            <w:tcW w:w="1442"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Zone rurale ou à l'intérieur de locaux</w:t>
            </w:r>
          </w:p>
        </w:tc>
        <w:tc>
          <w:tcPr>
            <w:tcW w:w="1218"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Zone urbaine </w:t>
            </w:r>
          </w:p>
        </w:tc>
        <w:tc>
          <w:tcPr>
            <w:tcW w:w="3107"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Ensemble des Emirats</w:t>
            </w:r>
          </w:p>
        </w:tc>
        <w:tc>
          <w:tcPr>
            <w:tcW w:w="1456"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Totalité des Emirats arabes unis </w:t>
            </w:r>
          </w:p>
        </w:tc>
      </w:tr>
      <w:tr w:rsidR="00716A59" w:rsidRPr="003C5D6B" w:rsidTr="003C5D6B">
        <w:trPr>
          <w:trHeight w:val="319"/>
          <w:jc w:val="center"/>
        </w:trPr>
        <w:tc>
          <w:tcPr>
            <w:tcW w:w="1057"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CF</w:t>
            </w:r>
          </w:p>
        </w:tc>
        <w:tc>
          <w:tcPr>
            <w:tcW w:w="1442"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100</w:t>
            </w:r>
          </w:p>
        </w:tc>
        <w:tc>
          <w:tcPr>
            <w:tcW w:w="1218"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500</w:t>
            </w:r>
          </w:p>
        </w:tc>
        <w:tc>
          <w:tcPr>
            <w:tcW w:w="3107"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2</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 pour Abu Dhabi ou Dubaï</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1</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 pour les autres Emirats</w:t>
            </w:r>
          </w:p>
        </w:tc>
        <w:tc>
          <w:tcPr>
            <w:tcW w:w="1456"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4</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w:t>
            </w:r>
          </w:p>
        </w:tc>
      </w:tr>
    </w:tbl>
    <w:p w:rsidR="00716A59" w:rsidRPr="003C5D6B" w:rsidRDefault="00716A59" w:rsidP="00716A59">
      <w:pPr>
        <w:suppressAutoHyphens/>
        <w:rPr>
          <w:szCs w:val="19"/>
          <w:lang w:val="fr-FR"/>
        </w:rPr>
      </w:pP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12.4</w:t>
      </w:r>
      <w:r w:rsidRPr="003C5D6B">
        <w:rPr>
          <w:rFonts w:asciiTheme="majorBidi" w:hAnsiTheme="majorBidi" w:cstheme="majorBidi"/>
          <w:szCs w:val="22"/>
          <w:lang w:val="fr-FR"/>
        </w:rPr>
        <w:tab/>
        <w:t xml:space="preserve">Le montant annuel des droits d'utilisation du spectre pour les radiocommunications mobiles privées utilisées par les compagnies de taxi est calculé, pour la station de base, conformément à l'Article 12.1, une taxe distincte de 300 AED s'appliquant à chaque taxi équipé d'une radio. </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12.5</w:t>
      </w:r>
      <w:r w:rsidRPr="003C5D6B">
        <w:rPr>
          <w:rFonts w:asciiTheme="majorBidi" w:hAnsiTheme="majorBidi" w:cstheme="majorBidi"/>
          <w:szCs w:val="22"/>
          <w:lang w:val="fr-FR"/>
        </w:rPr>
        <w:tab/>
        <w:t xml:space="preserve">Les droits annuels d'utilisation du spectre pour la radiomessagerie publique et au domicile sont calculés pour la station de base conformément à l'Article 12.1, aucune taxe supplémentaire n'étant facturée pour les appareils portables. </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12.6</w:t>
      </w:r>
      <w:r w:rsidRPr="003C5D6B">
        <w:rPr>
          <w:rFonts w:asciiTheme="majorBidi" w:hAnsiTheme="majorBidi" w:cstheme="majorBidi"/>
          <w:szCs w:val="22"/>
          <w:lang w:val="fr-FR"/>
        </w:rPr>
        <w:tab/>
        <w:t xml:space="preserve">Les droits annuels d'utilisation du spectre pour les systèmes analogiques à ressources partagées (du type MPT 1327) sont calculés conformément à l'Article 12.1 ci-dessus. </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12.7</w:t>
      </w:r>
      <w:r w:rsidRPr="003C5D6B">
        <w:rPr>
          <w:rFonts w:asciiTheme="majorBidi" w:hAnsiTheme="majorBidi" w:cstheme="majorBidi"/>
          <w:szCs w:val="22"/>
          <w:lang w:val="fr-FR"/>
        </w:rPr>
        <w:tab/>
        <w:t>Les droits annuels d'utilisation du spectre pour les systèmes numériques à ressources partagées (du type TETRA, TETRAPOL, EDACS, APCO, etc.) sont calculés comme suit:</w:t>
      </w:r>
    </w:p>
    <w:p w:rsidR="00716A59" w:rsidRPr="003C5D6B" w:rsidRDefault="00716A59" w:rsidP="00716A59">
      <w:pPr>
        <w:ind w:left="720"/>
        <w:jc w:val="center"/>
        <w:rPr>
          <w:color w:val="000000"/>
          <w:lang w:val="fr-FR"/>
        </w:rPr>
      </w:pPr>
      <w:r w:rsidRPr="003C5D6B">
        <w:rPr>
          <w:b/>
          <w:color w:val="000000"/>
          <w:lang w:val="fr-FR"/>
        </w:rPr>
        <w:t>Droits à acquitter = NC x CF x 2,5</w:t>
      </w:r>
    </w:p>
    <w:p w:rsidR="00716A59" w:rsidRPr="003C5D6B" w:rsidRDefault="00716A59" w:rsidP="00716A59">
      <w:pPr>
        <w:ind w:left="720"/>
        <w:rPr>
          <w:color w:val="000000"/>
          <w:lang w:val="fr-FR"/>
        </w:rPr>
      </w:pPr>
      <w:r w:rsidRPr="003C5D6B">
        <w:rPr>
          <w:color w:val="000000"/>
          <w:szCs w:val="19"/>
          <w:lang w:val="fr-FR"/>
        </w:rPr>
        <w:t>où</w:t>
      </w:r>
      <w:r w:rsidRPr="003C5D6B">
        <w:rPr>
          <w:color w:val="000000"/>
          <w:lang w:val="fr-FR"/>
        </w:rPr>
        <w:t xml:space="preserve">: </w:t>
      </w:r>
    </w:p>
    <w:p w:rsidR="00716A59" w:rsidRPr="003C5D6B" w:rsidRDefault="00716A59" w:rsidP="00716A59">
      <w:pPr>
        <w:ind w:left="720"/>
        <w:rPr>
          <w:color w:val="000000"/>
          <w:szCs w:val="19"/>
          <w:lang w:val="fr-FR"/>
        </w:rPr>
      </w:pPr>
      <w:r w:rsidRPr="003C5D6B">
        <w:rPr>
          <w:b/>
          <w:bCs/>
          <w:color w:val="000000"/>
          <w:szCs w:val="19"/>
          <w:lang w:val="fr-FR"/>
        </w:rPr>
        <w:t>NC</w:t>
      </w:r>
      <w:r w:rsidRPr="003C5D6B">
        <w:rPr>
          <w:color w:val="000000"/>
          <w:szCs w:val="19"/>
          <w:lang w:val="fr-FR"/>
        </w:rPr>
        <w:t xml:space="preserve"> = Le nombre de canaux (dont chacun a une largeur de bande équivalente de 12,5 kHz) qui seront attribués à l'utilisateur. </w:t>
      </w:r>
    </w:p>
    <w:p w:rsidR="00716A59" w:rsidRPr="003C5D6B" w:rsidRDefault="00716A59" w:rsidP="00716A59">
      <w:pPr>
        <w:ind w:left="720"/>
        <w:rPr>
          <w:color w:val="000000"/>
          <w:szCs w:val="19"/>
          <w:lang w:val="fr-FR"/>
        </w:rPr>
      </w:pPr>
      <w:r w:rsidRPr="003C5D6B">
        <w:rPr>
          <w:b/>
          <w:bCs/>
          <w:color w:val="000000"/>
          <w:szCs w:val="19"/>
          <w:lang w:val="fr-FR"/>
        </w:rPr>
        <w:t>CF</w:t>
      </w:r>
      <w:r w:rsidRPr="003C5D6B">
        <w:rPr>
          <w:color w:val="000000"/>
          <w:szCs w:val="19"/>
          <w:lang w:val="fr-FR"/>
        </w:rPr>
        <w:t xml:space="preserve"> = Coefficient de desserte, en fonction de la zone géographique, qui est déterminé comme suit: </w:t>
      </w:r>
    </w:p>
    <w:p w:rsidR="00716A59" w:rsidRPr="003C5D6B" w:rsidRDefault="00716A59" w:rsidP="00716A59">
      <w:pPr>
        <w:rPr>
          <w:lang w:val="fr-FR"/>
        </w:rPr>
      </w:pPr>
    </w:p>
    <w:tbl>
      <w:tblPr>
        <w:tblW w:w="0" w:type="auto"/>
        <w:jc w:val="center"/>
        <w:tblInd w:w="925" w:type="dxa"/>
        <w:tblBorders>
          <w:top w:val="nil"/>
          <w:left w:val="nil"/>
          <w:bottom w:val="nil"/>
          <w:right w:val="nil"/>
        </w:tblBorders>
        <w:tblLook w:val="0000"/>
      </w:tblPr>
      <w:tblGrid>
        <w:gridCol w:w="866"/>
        <w:gridCol w:w="1462"/>
        <w:gridCol w:w="1382"/>
        <w:gridCol w:w="3268"/>
        <w:gridCol w:w="1401"/>
      </w:tblGrid>
      <w:tr w:rsidR="00716A59" w:rsidRPr="003C5D6B" w:rsidTr="003C5D6B">
        <w:trPr>
          <w:trHeight w:val="319"/>
          <w:jc w:val="center"/>
        </w:trPr>
        <w:tc>
          <w:tcPr>
            <w:tcW w:w="866"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Zone </w:t>
            </w:r>
          </w:p>
        </w:tc>
        <w:tc>
          <w:tcPr>
            <w:tcW w:w="1462"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Zone rurale ou à l'intérieur de locaux</w:t>
            </w:r>
          </w:p>
        </w:tc>
        <w:tc>
          <w:tcPr>
            <w:tcW w:w="1382"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Zone urbaine </w:t>
            </w:r>
          </w:p>
        </w:tc>
        <w:tc>
          <w:tcPr>
            <w:tcW w:w="3268"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Ensemble des Emirats</w:t>
            </w:r>
          </w:p>
        </w:tc>
        <w:tc>
          <w:tcPr>
            <w:tcW w:w="1401"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Totalité des Emirats arabes unis </w:t>
            </w:r>
          </w:p>
        </w:tc>
      </w:tr>
      <w:tr w:rsidR="00716A59" w:rsidRPr="003C5D6B" w:rsidTr="003C5D6B">
        <w:trPr>
          <w:trHeight w:val="319"/>
          <w:jc w:val="center"/>
        </w:trPr>
        <w:tc>
          <w:tcPr>
            <w:tcW w:w="866"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b w:val="0"/>
                <w:bCs/>
                <w:szCs w:val="22"/>
                <w:lang w:val="fr-FR"/>
              </w:rPr>
            </w:pPr>
            <w:r w:rsidRPr="003C5D6B">
              <w:rPr>
                <w:rFonts w:asciiTheme="majorBidi" w:hAnsiTheme="majorBidi" w:cstheme="majorBidi"/>
                <w:b w:val="0"/>
                <w:bCs/>
                <w:szCs w:val="22"/>
                <w:lang w:val="fr-FR"/>
              </w:rPr>
              <w:t xml:space="preserve">CF </w:t>
            </w:r>
          </w:p>
        </w:tc>
        <w:tc>
          <w:tcPr>
            <w:tcW w:w="1462"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b w:val="0"/>
                <w:bCs/>
                <w:szCs w:val="22"/>
                <w:lang w:val="fr-FR"/>
              </w:rPr>
            </w:pPr>
            <w:r w:rsidRPr="003C5D6B">
              <w:rPr>
                <w:rFonts w:asciiTheme="majorBidi" w:hAnsiTheme="majorBidi" w:cstheme="majorBidi"/>
                <w:b w:val="0"/>
                <w:bCs/>
                <w:szCs w:val="22"/>
                <w:lang w:val="fr-FR"/>
              </w:rPr>
              <w:t xml:space="preserve">100 </w:t>
            </w:r>
          </w:p>
        </w:tc>
        <w:tc>
          <w:tcPr>
            <w:tcW w:w="1382"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b w:val="0"/>
                <w:bCs/>
                <w:szCs w:val="22"/>
                <w:lang w:val="fr-FR"/>
              </w:rPr>
            </w:pPr>
            <w:r w:rsidRPr="003C5D6B">
              <w:rPr>
                <w:rFonts w:asciiTheme="majorBidi" w:hAnsiTheme="majorBidi" w:cstheme="majorBidi"/>
                <w:b w:val="0"/>
                <w:bCs/>
                <w:szCs w:val="22"/>
                <w:lang w:val="fr-FR"/>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jc w:val="left"/>
              <w:rPr>
                <w:rFonts w:asciiTheme="majorBidi" w:hAnsiTheme="majorBidi" w:cstheme="majorBidi"/>
                <w:b w:val="0"/>
                <w:bCs/>
                <w:szCs w:val="22"/>
                <w:lang w:val="fr-FR"/>
              </w:rPr>
            </w:pPr>
            <w:r w:rsidRPr="003C5D6B">
              <w:rPr>
                <w:rFonts w:asciiTheme="majorBidi" w:hAnsiTheme="majorBidi" w:cstheme="majorBidi"/>
                <w:b w:val="0"/>
                <w:bCs/>
                <w:szCs w:val="22"/>
                <w:lang w:val="fr-FR"/>
              </w:rPr>
              <w:t>2</w:t>
            </w:r>
            <w:r w:rsidRPr="003C5D6B">
              <w:rPr>
                <w:rFonts w:asciiTheme="majorBidi" w:hAnsiTheme="majorBidi" w:cstheme="majorBidi"/>
                <w:b w:val="0"/>
                <w:bCs/>
                <w:sz w:val="16"/>
                <w:szCs w:val="16"/>
                <w:lang w:val="fr-FR"/>
              </w:rPr>
              <w:t xml:space="preserve"> </w:t>
            </w:r>
            <w:r w:rsidRPr="003C5D6B">
              <w:rPr>
                <w:rFonts w:asciiTheme="majorBidi" w:hAnsiTheme="majorBidi" w:cstheme="majorBidi"/>
                <w:b w:val="0"/>
                <w:bCs/>
                <w:szCs w:val="22"/>
                <w:lang w:val="fr-FR"/>
              </w:rPr>
              <w:t>000 pour Abu Dhabi ou Dubaï</w:t>
            </w:r>
          </w:p>
          <w:p w:rsidR="00716A59" w:rsidRPr="003C5D6B" w:rsidRDefault="00716A59" w:rsidP="003C5D6B">
            <w:pPr>
              <w:pStyle w:val="Tablehead"/>
              <w:jc w:val="left"/>
              <w:rPr>
                <w:rFonts w:asciiTheme="majorBidi" w:hAnsiTheme="majorBidi" w:cstheme="majorBidi"/>
                <w:b w:val="0"/>
                <w:bCs/>
                <w:szCs w:val="22"/>
                <w:lang w:val="fr-FR"/>
              </w:rPr>
            </w:pPr>
            <w:r w:rsidRPr="003C5D6B">
              <w:rPr>
                <w:rFonts w:asciiTheme="majorBidi" w:hAnsiTheme="majorBidi" w:cstheme="majorBidi"/>
                <w:b w:val="0"/>
                <w:bCs/>
                <w:szCs w:val="22"/>
                <w:lang w:val="fr-FR"/>
              </w:rPr>
              <w:t>1</w:t>
            </w:r>
            <w:r w:rsidRPr="003C5D6B">
              <w:rPr>
                <w:rFonts w:asciiTheme="majorBidi" w:hAnsiTheme="majorBidi" w:cstheme="majorBidi"/>
                <w:b w:val="0"/>
                <w:bCs/>
                <w:sz w:val="16"/>
                <w:szCs w:val="16"/>
                <w:lang w:val="fr-FR"/>
              </w:rPr>
              <w:t xml:space="preserve"> </w:t>
            </w:r>
            <w:r w:rsidRPr="003C5D6B">
              <w:rPr>
                <w:rFonts w:asciiTheme="majorBidi" w:hAnsiTheme="majorBidi" w:cstheme="majorBidi"/>
                <w:b w:val="0"/>
                <w:bCs/>
                <w:szCs w:val="22"/>
                <w:lang w:val="fr-FR"/>
              </w:rPr>
              <w:t>000 pour les autres Emirats</w:t>
            </w:r>
          </w:p>
        </w:tc>
        <w:tc>
          <w:tcPr>
            <w:tcW w:w="1401"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b w:val="0"/>
                <w:bCs/>
                <w:szCs w:val="22"/>
                <w:lang w:val="fr-FR"/>
              </w:rPr>
            </w:pPr>
            <w:r w:rsidRPr="003C5D6B">
              <w:rPr>
                <w:rFonts w:asciiTheme="majorBidi" w:hAnsiTheme="majorBidi" w:cstheme="majorBidi"/>
                <w:b w:val="0"/>
                <w:bCs/>
                <w:szCs w:val="22"/>
                <w:lang w:val="fr-FR"/>
              </w:rPr>
              <w:t>4</w:t>
            </w:r>
            <w:r w:rsidRPr="003C5D6B">
              <w:rPr>
                <w:rFonts w:asciiTheme="majorBidi" w:hAnsiTheme="majorBidi" w:cstheme="majorBidi"/>
                <w:b w:val="0"/>
                <w:bCs/>
                <w:sz w:val="16"/>
                <w:szCs w:val="16"/>
                <w:lang w:val="fr-FR"/>
              </w:rPr>
              <w:t xml:space="preserve"> </w:t>
            </w:r>
            <w:r w:rsidRPr="003C5D6B">
              <w:rPr>
                <w:rFonts w:asciiTheme="majorBidi" w:hAnsiTheme="majorBidi" w:cstheme="majorBidi"/>
                <w:b w:val="0"/>
                <w:bCs/>
                <w:szCs w:val="22"/>
                <w:lang w:val="fr-FR"/>
              </w:rPr>
              <w:t xml:space="preserve">000 </w:t>
            </w:r>
          </w:p>
        </w:tc>
      </w:tr>
    </w:tbl>
    <w:p w:rsidR="00716A59" w:rsidRPr="003C5D6B" w:rsidRDefault="00716A59" w:rsidP="00716A59">
      <w:pPr>
        <w:pStyle w:val="Normalaftertitle"/>
        <w:rPr>
          <w:sz w:val="28"/>
          <w:lang w:val="fr-FR"/>
        </w:rPr>
      </w:pPr>
      <w:bookmarkStart w:id="836" w:name="_Toc225739482"/>
      <w:bookmarkStart w:id="837" w:name="_Toc225739826"/>
      <w:bookmarkStart w:id="838" w:name="_Toc280262370"/>
      <w:bookmarkStart w:id="839" w:name="_Toc280272764"/>
      <w:bookmarkStart w:id="840" w:name="_Toc280272943"/>
      <w:bookmarkStart w:id="841" w:name="_Toc284419458"/>
      <w:r w:rsidRPr="003C5D6B">
        <w:rPr>
          <w:lang w:val="fr-FR"/>
        </w:rPr>
        <w:br w:type="page"/>
      </w:r>
    </w:p>
    <w:p w:rsidR="00716A59" w:rsidRPr="003C5D6B" w:rsidRDefault="00716A59" w:rsidP="00716A59">
      <w:pPr>
        <w:pStyle w:val="Arttitle"/>
        <w:spacing w:before="400"/>
        <w:rPr>
          <w:lang w:val="fr-FR"/>
        </w:rPr>
      </w:pPr>
      <w:bookmarkStart w:id="842" w:name="_Toc286315775"/>
      <w:bookmarkStart w:id="843" w:name="_Toc287523851"/>
      <w:r w:rsidRPr="003C5D6B">
        <w:rPr>
          <w:lang w:val="fr-FR"/>
        </w:rPr>
        <w:lastRenderedPageBreak/>
        <w:t>Article 13</w:t>
      </w:r>
      <w:bookmarkEnd w:id="836"/>
      <w:bookmarkEnd w:id="837"/>
      <w:r w:rsidRPr="003C5D6B">
        <w:rPr>
          <w:lang w:val="fr-FR"/>
        </w:rPr>
        <w:br/>
      </w:r>
      <w:r w:rsidRPr="003C5D6B">
        <w:rPr>
          <w:lang w:val="fr-FR"/>
        </w:rPr>
        <w:br/>
      </w:r>
      <w:bookmarkStart w:id="844" w:name="_Toc225739483"/>
      <w:bookmarkStart w:id="845" w:name="_Toc225739827"/>
      <w:r w:rsidRPr="003C5D6B">
        <w:rPr>
          <w:lang w:val="fr-FR"/>
        </w:rPr>
        <w:t>Droits à acquitter pour l'utilisation du spectre</w:t>
      </w:r>
      <w:r w:rsidRPr="003C5D6B">
        <w:rPr>
          <w:lang w:val="fr-FR"/>
        </w:rPr>
        <w:br/>
        <w:t>pour des liaisons fixes (point à point)</w:t>
      </w:r>
      <w:bookmarkEnd w:id="838"/>
      <w:bookmarkEnd w:id="839"/>
      <w:bookmarkEnd w:id="840"/>
      <w:bookmarkEnd w:id="841"/>
      <w:bookmarkEnd w:id="842"/>
      <w:bookmarkEnd w:id="843"/>
      <w:bookmarkEnd w:id="844"/>
      <w:bookmarkEnd w:id="845"/>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13.1</w:t>
      </w:r>
      <w:r w:rsidRPr="003C5D6B">
        <w:rPr>
          <w:rFonts w:asciiTheme="majorBidi" w:hAnsiTheme="majorBidi" w:cstheme="majorBidi"/>
          <w:szCs w:val="22"/>
          <w:lang w:val="fr-FR"/>
        </w:rPr>
        <w:tab/>
        <w:t xml:space="preserve">Les droits annuels à acquitter pour chaque liaison fixe point à point au-dessus de 2 GHz sont calculés comme suit: </w:t>
      </w:r>
    </w:p>
    <w:p w:rsidR="00716A59" w:rsidRPr="003C5D6B" w:rsidRDefault="00716A59" w:rsidP="00716A59">
      <w:pPr>
        <w:jc w:val="center"/>
        <w:rPr>
          <w:lang w:val="fr-FR"/>
        </w:rPr>
      </w:pPr>
      <w:r w:rsidRPr="003C5D6B">
        <w:rPr>
          <w:b/>
          <w:lang w:val="fr-FR"/>
        </w:rPr>
        <w:t>Droits à acquitter = F x 2000 + BW x 1000</w:t>
      </w:r>
    </w:p>
    <w:p w:rsidR="00716A59" w:rsidRPr="003C5D6B" w:rsidRDefault="00716A59" w:rsidP="00716A59">
      <w:pPr>
        <w:ind w:left="720"/>
        <w:rPr>
          <w:lang w:val="fr-FR"/>
        </w:rPr>
      </w:pPr>
      <w:r w:rsidRPr="003C5D6B">
        <w:rPr>
          <w:lang w:val="fr-FR"/>
        </w:rPr>
        <w:t xml:space="preserve">où: </w:t>
      </w:r>
    </w:p>
    <w:p w:rsidR="00716A59" w:rsidRPr="003C5D6B" w:rsidRDefault="00716A59" w:rsidP="00716A59">
      <w:pPr>
        <w:ind w:left="720"/>
        <w:rPr>
          <w:lang w:val="fr-FR"/>
        </w:rPr>
      </w:pPr>
      <w:r w:rsidRPr="003C5D6B">
        <w:rPr>
          <w:b/>
          <w:bCs/>
          <w:lang w:val="fr-FR"/>
        </w:rPr>
        <w:t>F</w:t>
      </w:r>
      <w:r w:rsidRPr="003C5D6B">
        <w:rPr>
          <w:lang w:val="fr-FR"/>
        </w:rPr>
        <w:t xml:space="preserve"> = Le coefficient de gamme de </w:t>
      </w:r>
      <w:r w:rsidRPr="003C5D6B">
        <w:rPr>
          <w:lang w:val="fr-FR"/>
        </w:rPr>
        <w:tab/>
      </w:r>
      <w:r w:rsidRPr="003C5D6B">
        <w:rPr>
          <w:lang w:val="fr-FR"/>
        </w:rPr>
        <w:tab/>
      </w:r>
      <w:r w:rsidRPr="003C5D6B">
        <w:rPr>
          <w:lang w:val="fr-FR"/>
        </w:rPr>
        <w:tab/>
      </w:r>
      <w:r w:rsidRPr="003C5D6B">
        <w:rPr>
          <w:lang w:val="fr-FR"/>
        </w:rPr>
        <w:tab/>
      </w:r>
      <w:r w:rsidRPr="003C5D6B">
        <w:rPr>
          <w:b/>
          <w:bCs/>
          <w:lang w:val="fr-FR"/>
        </w:rPr>
        <w:t>BW</w:t>
      </w:r>
      <w:r w:rsidRPr="003C5D6B">
        <w:rPr>
          <w:lang w:val="fr-FR"/>
        </w:rPr>
        <w:t xml:space="preserve"> = Le coefficient de largeur de bande,</w:t>
      </w:r>
      <w:r w:rsidRPr="003C5D6B">
        <w:rPr>
          <w:lang w:val="fr-FR"/>
        </w:rPr>
        <w:br/>
        <w:t xml:space="preserve">fréquences, comme suit: </w:t>
      </w:r>
      <w:r w:rsidRPr="003C5D6B">
        <w:rPr>
          <w:lang w:val="fr-FR"/>
        </w:rPr>
        <w:tab/>
      </w:r>
      <w:r w:rsidRPr="003C5D6B">
        <w:rPr>
          <w:lang w:val="fr-FR"/>
        </w:rPr>
        <w:tab/>
      </w:r>
      <w:r w:rsidRPr="003C5D6B">
        <w:rPr>
          <w:lang w:val="fr-FR"/>
        </w:rPr>
        <w:tab/>
      </w:r>
      <w:r w:rsidRPr="003C5D6B">
        <w:rPr>
          <w:lang w:val="fr-FR"/>
        </w:rPr>
        <w:tab/>
      </w:r>
      <w:r w:rsidRPr="003C5D6B">
        <w:rPr>
          <w:lang w:val="fr-FR"/>
        </w:rPr>
        <w:tab/>
        <w:t>comme suit:</w:t>
      </w:r>
    </w:p>
    <w:p w:rsidR="00716A59" w:rsidRPr="003C5D6B" w:rsidRDefault="00716A59" w:rsidP="00716A59">
      <w:pPr>
        <w:ind w:left="720"/>
        <w:rPr>
          <w:szCs w:val="19"/>
          <w:lang w:val="fr-FR"/>
        </w:rPr>
      </w:pPr>
    </w:p>
    <w:tbl>
      <w:tblPr>
        <w:tblW w:w="0" w:type="auto"/>
        <w:tblInd w:w="675" w:type="dxa"/>
        <w:tblBorders>
          <w:top w:val="nil"/>
          <w:left w:val="nil"/>
          <w:bottom w:val="nil"/>
          <w:right w:val="nil"/>
        </w:tblBorders>
        <w:tblLook w:val="0000"/>
      </w:tblPr>
      <w:tblGrid>
        <w:gridCol w:w="2410"/>
        <w:gridCol w:w="1491"/>
        <w:gridCol w:w="1247"/>
        <w:gridCol w:w="2127"/>
        <w:gridCol w:w="1769"/>
      </w:tblGrid>
      <w:tr w:rsidR="00716A59" w:rsidRPr="003C5D6B" w:rsidTr="003C5D6B">
        <w:trPr>
          <w:trHeight w:val="608"/>
        </w:trPr>
        <w:tc>
          <w:tcPr>
            <w:tcW w:w="241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Bande de fréquences</w:t>
            </w:r>
          </w:p>
        </w:tc>
        <w:tc>
          <w:tcPr>
            <w:tcW w:w="1491" w:type="dxa"/>
            <w:tcBorders>
              <w:top w:val="single" w:sz="8" w:space="0" w:color="000000"/>
              <w:left w:val="single" w:sz="8" w:space="0" w:color="000000"/>
              <w:bottom w:val="single" w:sz="8" w:space="0" w:color="000000"/>
              <w:right w:val="single" w:sz="4" w:space="0" w:color="auto"/>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Coefficient F </w:t>
            </w:r>
          </w:p>
        </w:tc>
        <w:tc>
          <w:tcPr>
            <w:tcW w:w="1247" w:type="dxa"/>
            <w:tcBorders>
              <w:top w:val="nil"/>
              <w:left w:val="single" w:sz="4" w:space="0" w:color="auto"/>
              <w:bottom w:val="nil"/>
              <w:right w:val="single" w:sz="4" w:space="0" w:color="auto"/>
            </w:tcBorders>
          </w:tcPr>
          <w:p w:rsidR="00716A59" w:rsidRPr="003C5D6B" w:rsidRDefault="00716A59" w:rsidP="003C5D6B">
            <w:pPr>
              <w:pStyle w:val="Tablehead"/>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Largeur de bande </w:t>
            </w:r>
          </w:p>
        </w:tc>
        <w:tc>
          <w:tcPr>
            <w:tcW w:w="176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Coefficient BW </w:t>
            </w:r>
          </w:p>
        </w:tc>
      </w:tr>
      <w:tr w:rsidR="00716A59" w:rsidRPr="003C5D6B" w:rsidTr="003C5D6B">
        <w:trPr>
          <w:trHeight w:val="319"/>
        </w:trPr>
        <w:tc>
          <w:tcPr>
            <w:tcW w:w="241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2 GHz-3 GHz </w:t>
            </w:r>
          </w:p>
        </w:tc>
        <w:tc>
          <w:tcPr>
            <w:tcW w:w="1491" w:type="dxa"/>
            <w:tcBorders>
              <w:top w:val="single" w:sz="8" w:space="0" w:color="000000"/>
              <w:left w:val="single" w:sz="8" w:space="0" w:color="000000"/>
              <w:bottom w:val="single" w:sz="8" w:space="0" w:color="000000"/>
              <w:right w:val="single" w:sz="4" w:space="0" w:color="auto"/>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4</w:t>
            </w:r>
          </w:p>
        </w:tc>
        <w:tc>
          <w:tcPr>
            <w:tcW w:w="1247" w:type="dxa"/>
            <w:tcBorders>
              <w:top w:val="nil"/>
              <w:left w:val="single" w:sz="4" w:space="0" w:color="auto"/>
              <w:bottom w:val="nil"/>
              <w:right w:val="single" w:sz="4" w:space="0" w:color="auto"/>
            </w:tcBorders>
          </w:tcPr>
          <w:p w:rsidR="00716A59" w:rsidRPr="003C5D6B" w:rsidRDefault="00716A59" w:rsidP="003C5D6B">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7 MHz ou moins</w:t>
            </w:r>
          </w:p>
        </w:tc>
        <w:tc>
          <w:tcPr>
            <w:tcW w:w="176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w:t>
            </w:r>
          </w:p>
        </w:tc>
      </w:tr>
      <w:tr w:rsidR="00716A59" w:rsidRPr="003C5D6B" w:rsidTr="003C5D6B">
        <w:trPr>
          <w:trHeight w:val="319"/>
        </w:trPr>
        <w:tc>
          <w:tcPr>
            <w:tcW w:w="241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&gt;3 GHz-14 GHz </w:t>
            </w:r>
          </w:p>
        </w:tc>
        <w:tc>
          <w:tcPr>
            <w:tcW w:w="1491" w:type="dxa"/>
            <w:tcBorders>
              <w:top w:val="single" w:sz="8" w:space="0" w:color="000000"/>
              <w:left w:val="single" w:sz="8" w:space="0" w:color="000000"/>
              <w:bottom w:val="single" w:sz="8" w:space="0" w:color="000000"/>
              <w:right w:val="single" w:sz="4" w:space="0" w:color="auto"/>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3</w:t>
            </w:r>
          </w:p>
        </w:tc>
        <w:tc>
          <w:tcPr>
            <w:tcW w:w="1247" w:type="dxa"/>
            <w:tcBorders>
              <w:top w:val="nil"/>
              <w:left w:val="single" w:sz="4" w:space="0" w:color="auto"/>
              <w:bottom w:val="nil"/>
              <w:right w:val="single" w:sz="4" w:space="0" w:color="auto"/>
            </w:tcBorders>
          </w:tcPr>
          <w:p w:rsidR="00716A59" w:rsidRPr="003C5D6B" w:rsidRDefault="00716A59" w:rsidP="003C5D6B">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&gt;7 MHz-28 MHz </w:t>
            </w:r>
          </w:p>
        </w:tc>
        <w:tc>
          <w:tcPr>
            <w:tcW w:w="176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2</w:t>
            </w:r>
          </w:p>
        </w:tc>
      </w:tr>
      <w:tr w:rsidR="00716A59" w:rsidRPr="003C5D6B" w:rsidTr="003C5D6B">
        <w:trPr>
          <w:trHeight w:val="319"/>
        </w:trPr>
        <w:tc>
          <w:tcPr>
            <w:tcW w:w="241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&gt;14 GHz-40 GHz </w:t>
            </w:r>
          </w:p>
        </w:tc>
        <w:tc>
          <w:tcPr>
            <w:tcW w:w="1491" w:type="dxa"/>
            <w:tcBorders>
              <w:top w:val="single" w:sz="8" w:space="0" w:color="000000"/>
              <w:left w:val="single" w:sz="8" w:space="0" w:color="000000"/>
              <w:bottom w:val="single" w:sz="8" w:space="0" w:color="000000"/>
              <w:right w:val="single" w:sz="4" w:space="0" w:color="auto"/>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2</w:t>
            </w:r>
          </w:p>
        </w:tc>
        <w:tc>
          <w:tcPr>
            <w:tcW w:w="1247" w:type="dxa"/>
            <w:tcBorders>
              <w:top w:val="nil"/>
              <w:left w:val="single" w:sz="4" w:space="0" w:color="auto"/>
              <w:bottom w:val="nil"/>
              <w:right w:val="single" w:sz="4" w:space="0" w:color="auto"/>
            </w:tcBorders>
          </w:tcPr>
          <w:p w:rsidR="00716A59" w:rsidRPr="003C5D6B" w:rsidRDefault="00716A59" w:rsidP="003C5D6B">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&gt;28 MHz-56 MHz </w:t>
            </w:r>
          </w:p>
        </w:tc>
        <w:tc>
          <w:tcPr>
            <w:tcW w:w="176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3</w:t>
            </w:r>
          </w:p>
        </w:tc>
      </w:tr>
      <w:tr w:rsidR="00716A59" w:rsidRPr="003C5D6B" w:rsidTr="003C5D6B">
        <w:trPr>
          <w:trHeight w:val="319"/>
        </w:trPr>
        <w:tc>
          <w:tcPr>
            <w:tcW w:w="241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Au-dessus de 40 GHz </w:t>
            </w:r>
          </w:p>
        </w:tc>
        <w:tc>
          <w:tcPr>
            <w:tcW w:w="1491" w:type="dxa"/>
            <w:tcBorders>
              <w:top w:val="single" w:sz="8" w:space="0" w:color="000000"/>
              <w:left w:val="single" w:sz="8" w:space="0" w:color="000000"/>
              <w:bottom w:val="single" w:sz="8" w:space="0" w:color="000000"/>
              <w:right w:val="single" w:sz="4" w:space="0" w:color="auto"/>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w:t>
            </w:r>
          </w:p>
        </w:tc>
        <w:tc>
          <w:tcPr>
            <w:tcW w:w="1247" w:type="dxa"/>
            <w:tcBorders>
              <w:top w:val="nil"/>
              <w:left w:val="single" w:sz="4" w:space="0" w:color="auto"/>
              <w:bottom w:val="nil"/>
              <w:right w:val="single" w:sz="4" w:space="0" w:color="auto"/>
            </w:tcBorders>
          </w:tcPr>
          <w:p w:rsidR="00716A59" w:rsidRPr="003C5D6B" w:rsidRDefault="00716A59" w:rsidP="003C5D6B">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Supérieure à 56 MHz </w:t>
            </w:r>
          </w:p>
        </w:tc>
        <w:tc>
          <w:tcPr>
            <w:tcW w:w="176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4</w:t>
            </w:r>
          </w:p>
        </w:tc>
      </w:tr>
    </w:tbl>
    <w:p w:rsidR="00716A59" w:rsidRPr="003C5D6B" w:rsidRDefault="00716A59" w:rsidP="00716A59">
      <w:pPr>
        <w:pStyle w:val="enumlev1"/>
        <w:rPr>
          <w:rFonts w:ascii="Verdana" w:hAnsi="Verdana"/>
          <w:sz w:val="19"/>
          <w:szCs w:val="19"/>
          <w:lang w:val="fr-FR"/>
        </w:rPr>
      </w:pP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13.2</w:t>
      </w:r>
      <w:r w:rsidRPr="003C5D6B">
        <w:rPr>
          <w:rFonts w:asciiTheme="majorBidi" w:hAnsiTheme="majorBidi" w:cstheme="majorBidi"/>
          <w:szCs w:val="22"/>
          <w:lang w:val="fr-FR"/>
        </w:rPr>
        <w:tab/>
        <w:t>La largeur de bande pour chaque liaison fixe point à point au-dessus de 2 GHz est calculée sur la base de la largeur de bande du canal (par exemple, pour deux bandes de fréquences de 3,5 MHz chacune, soit 7 MHz, on a un coefficient de largeur de bande de 1). La diversité de fréquence est facturée comme une liaison séparée, mais sans supplément pour la diversité d'espace et l'exploitation en mode réserve active.</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13.3</w:t>
      </w:r>
      <w:r w:rsidRPr="003C5D6B">
        <w:rPr>
          <w:rFonts w:asciiTheme="majorBidi" w:hAnsiTheme="majorBidi" w:cstheme="majorBidi"/>
          <w:szCs w:val="22"/>
          <w:lang w:val="fr-FR"/>
        </w:rPr>
        <w:tab/>
        <w:t>Dans des cas exceptionnels, lorsque deux bandes de fréquences sont assignées à toutes les liaisons point à point des Emirats arabes unis, au-dessus de 2 GHz, le montant annuel des droits d'utilisation du spectre est dix fois supérieur au montant fixé pour une seule liaison (en supposant que les mêmes paramètres s'appliquent), sur la base d'un coefficient de réutilisation égal à 10.</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13.4</w:t>
      </w:r>
      <w:r w:rsidRPr="003C5D6B">
        <w:rPr>
          <w:rFonts w:asciiTheme="majorBidi" w:hAnsiTheme="majorBidi" w:cstheme="majorBidi"/>
          <w:szCs w:val="22"/>
          <w:lang w:val="fr-FR"/>
        </w:rPr>
        <w:tab/>
        <w:t xml:space="preserve">Le montant annuel des droits d'utilisation du spectre pour chaque liaison fixe point à point en ondes décamétriques au-dessous de 30 MHz est calculé comme suit: </w:t>
      </w:r>
    </w:p>
    <w:p w:rsidR="00716A59" w:rsidRPr="003C5D6B" w:rsidRDefault="00716A59" w:rsidP="00716A59">
      <w:pPr>
        <w:jc w:val="center"/>
        <w:rPr>
          <w:b/>
          <w:bCs/>
          <w:lang w:val="fr-FR"/>
        </w:rPr>
      </w:pPr>
      <w:r w:rsidRPr="003C5D6B">
        <w:rPr>
          <w:b/>
          <w:lang w:val="fr-FR"/>
        </w:rPr>
        <w:t>Droits à acquitter = BW x 1000</w:t>
      </w:r>
    </w:p>
    <w:p w:rsidR="00716A59" w:rsidRPr="003C5D6B" w:rsidRDefault="00716A59" w:rsidP="00716A59">
      <w:pPr>
        <w:ind w:left="794" w:hanging="794"/>
        <w:rPr>
          <w:lang w:val="fr-FR"/>
        </w:rPr>
      </w:pPr>
      <w:r w:rsidRPr="003C5D6B">
        <w:rPr>
          <w:lang w:val="fr-FR"/>
        </w:rPr>
        <w:tab/>
        <w:t>Le coefficient BW étant exprimé en kHz pour tous les canaux sur cette liaison.</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13.5</w:t>
      </w:r>
      <w:r w:rsidRPr="003C5D6B">
        <w:rPr>
          <w:rFonts w:asciiTheme="majorBidi" w:hAnsiTheme="majorBidi" w:cstheme="majorBidi"/>
          <w:szCs w:val="22"/>
          <w:lang w:val="fr-FR"/>
        </w:rPr>
        <w:tab/>
        <w:t xml:space="preserve">Le montant annuel des droits d'utilisation du spectre pour chaque liaison fixe point à point en ondes métriques et décimétriques au-dessous de 2 GHz est calculé comme suit: </w:t>
      </w:r>
    </w:p>
    <w:p w:rsidR="00716A59" w:rsidRPr="003C5D6B" w:rsidRDefault="00716A59" w:rsidP="00716A59">
      <w:pPr>
        <w:pStyle w:val="Headingb"/>
        <w:jc w:val="center"/>
        <w:rPr>
          <w:lang w:val="fr-FR"/>
        </w:rPr>
      </w:pPr>
      <w:bookmarkStart w:id="846" w:name="_Toc225739484"/>
      <w:bookmarkStart w:id="847" w:name="_Toc225739828"/>
      <w:r w:rsidRPr="003C5D6B">
        <w:rPr>
          <w:lang w:val="fr-FR"/>
        </w:rPr>
        <w:t>Droits à acquitter = BW x 500</w:t>
      </w:r>
      <w:bookmarkEnd w:id="846"/>
      <w:bookmarkEnd w:id="847"/>
    </w:p>
    <w:p w:rsidR="00716A59" w:rsidRPr="003C5D6B" w:rsidRDefault="00716A59" w:rsidP="00716A59">
      <w:pPr>
        <w:ind w:left="794" w:hanging="794"/>
        <w:rPr>
          <w:lang w:val="fr-FR"/>
        </w:rPr>
      </w:pPr>
      <w:r w:rsidRPr="003C5D6B">
        <w:rPr>
          <w:lang w:val="fr-FR"/>
        </w:rPr>
        <w:tab/>
        <w:t>Le coefficient BW étant exprimé en kHz pour tous les canaux sur cette liaison.</w:t>
      </w:r>
    </w:p>
    <w:p w:rsidR="00716A59" w:rsidRPr="003C5D6B" w:rsidRDefault="00716A59" w:rsidP="00716A59">
      <w:pPr>
        <w:tabs>
          <w:tab w:val="clear" w:pos="794"/>
          <w:tab w:val="clear" w:pos="1191"/>
          <w:tab w:val="clear" w:pos="1588"/>
          <w:tab w:val="clear" w:pos="1985"/>
        </w:tabs>
        <w:overflowPunct/>
        <w:autoSpaceDE/>
        <w:autoSpaceDN/>
        <w:adjustRightInd/>
        <w:spacing w:before="0"/>
        <w:jc w:val="left"/>
        <w:textAlignment w:val="auto"/>
        <w:rPr>
          <w:b/>
          <w:sz w:val="28"/>
          <w:lang w:val="fr-FR"/>
        </w:rPr>
      </w:pPr>
      <w:bookmarkStart w:id="848" w:name="_Toc225739485"/>
      <w:bookmarkStart w:id="849" w:name="_Toc225739829"/>
      <w:bookmarkStart w:id="850" w:name="_Toc280262371"/>
      <w:bookmarkStart w:id="851" w:name="_Toc280272765"/>
      <w:bookmarkStart w:id="852" w:name="_Toc280272944"/>
      <w:bookmarkStart w:id="853" w:name="_Toc284419459"/>
      <w:r w:rsidRPr="003C5D6B">
        <w:rPr>
          <w:lang w:val="fr-FR"/>
        </w:rPr>
        <w:br w:type="page"/>
      </w:r>
    </w:p>
    <w:p w:rsidR="00716A59" w:rsidRPr="003C5D6B" w:rsidRDefault="00716A59" w:rsidP="00716A59">
      <w:pPr>
        <w:pStyle w:val="Arttitle"/>
        <w:spacing w:before="400"/>
        <w:rPr>
          <w:lang w:val="fr-FR"/>
        </w:rPr>
      </w:pPr>
      <w:bookmarkStart w:id="854" w:name="_Toc286315776"/>
      <w:bookmarkStart w:id="855" w:name="_Toc287523852"/>
      <w:r w:rsidRPr="003C5D6B">
        <w:rPr>
          <w:lang w:val="fr-FR"/>
        </w:rPr>
        <w:lastRenderedPageBreak/>
        <w:t>Article 14</w:t>
      </w:r>
      <w:bookmarkEnd w:id="848"/>
      <w:bookmarkEnd w:id="849"/>
      <w:r w:rsidRPr="003C5D6B">
        <w:rPr>
          <w:lang w:val="fr-FR"/>
        </w:rPr>
        <w:br/>
      </w:r>
      <w:r w:rsidRPr="003C5D6B">
        <w:rPr>
          <w:lang w:val="fr-FR"/>
        </w:rPr>
        <w:br/>
      </w:r>
      <w:bookmarkStart w:id="856" w:name="_Toc225739486"/>
      <w:bookmarkStart w:id="857" w:name="_Toc225739830"/>
      <w:r w:rsidRPr="003C5D6B">
        <w:rPr>
          <w:lang w:val="fr-FR"/>
        </w:rPr>
        <w:t xml:space="preserve">Droits d'utilisation du spectre à acquitter pour l'accès hertzien fixe, </w:t>
      </w:r>
      <w:r w:rsidRPr="003C5D6B">
        <w:rPr>
          <w:lang w:val="fr-FR"/>
        </w:rPr>
        <w:br/>
        <w:t>les systèmes de surveillance et d'acquisition de données (SCADA),</w:t>
      </w:r>
      <w:r w:rsidRPr="003C5D6B">
        <w:rPr>
          <w:lang w:val="fr-FR"/>
        </w:rPr>
        <w:br/>
        <w:t>la télémesure et les réseaux maillés</w:t>
      </w:r>
      <w:bookmarkEnd w:id="850"/>
      <w:bookmarkEnd w:id="851"/>
      <w:bookmarkEnd w:id="852"/>
      <w:bookmarkEnd w:id="853"/>
      <w:bookmarkEnd w:id="854"/>
      <w:bookmarkEnd w:id="855"/>
      <w:bookmarkEnd w:id="856"/>
      <w:bookmarkEnd w:id="857"/>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14.1</w:t>
      </w:r>
      <w:r w:rsidRPr="003C5D6B">
        <w:rPr>
          <w:rFonts w:asciiTheme="majorBidi" w:hAnsiTheme="majorBidi" w:cstheme="majorBidi"/>
          <w:szCs w:val="22"/>
          <w:lang w:val="fr-FR"/>
        </w:rPr>
        <w:tab/>
        <w:t xml:space="preserve">Le montant annuel des droits d'utilisation du spectre à acquitter pour l'accès hertzien fixe (y compris l'accès à la boucle locale hertzienne et l'accès point à multipoint), les systèmes SCADA, la télémesure et les réseaux maillés, au-dessous de 1 GHz, est calculé comme suit: </w:t>
      </w:r>
    </w:p>
    <w:p w:rsidR="00716A59" w:rsidRPr="003C5D6B" w:rsidRDefault="00716A59" w:rsidP="00716A59">
      <w:pPr>
        <w:pStyle w:val="Headingb"/>
        <w:jc w:val="center"/>
        <w:rPr>
          <w:lang w:val="fr-FR"/>
        </w:rPr>
      </w:pPr>
      <w:bookmarkStart w:id="858" w:name="_Toc225739487"/>
      <w:bookmarkStart w:id="859" w:name="_Toc225739831"/>
      <w:r w:rsidRPr="003C5D6B">
        <w:rPr>
          <w:lang w:val="fr-FR"/>
        </w:rPr>
        <w:t>Droits à acquitter = BW x 2000</w:t>
      </w:r>
      <w:bookmarkEnd w:id="858"/>
      <w:bookmarkEnd w:id="859"/>
    </w:p>
    <w:p w:rsidR="00716A59" w:rsidRPr="003C5D6B" w:rsidRDefault="00716A59" w:rsidP="00716A59">
      <w:pPr>
        <w:rPr>
          <w:rFonts w:asciiTheme="majorBidi" w:hAnsiTheme="majorBidi" w:cstheme="majorBidi"/>
          <w:szCs w:val="22"/>
          <w:lang w:val="fr-FR"/>
        </w:rPr>
      </w:pPr>
      <w:r w:rsidRPr="003C5D6B">
        <w:rPr>
          <w:rFonts w:asciiTheme="majorBidi" w:hAnsiTheme="majorBidi" w:cstheme="majorBidi"/>
          <w:szCs w:val="22"/>
          <w:lang w:val="fr-FR"/>
        </w:rPr>
        <w:tab/>
      </w:r>
      <w:r w:rsidRPr="003C5D6B">
        <w:rPr>
          <w:rFonts w:asciiTheme="majorBidi" w:hAnsiTheme="majorBidi" w:cstheme="majorBidi"/>
          <w:b/>
          <w:bCs/>
          <w:szCs w:val="22"/>
          <w:lang w:val="fr-FR"/>
        </w:rPr>
        <w:t>BW</w:t>
      </w:r>
      <w:r w:rsidRPr="003C5D6B">
        <w:rPr>
          <w:rFonts w:asciiTheme="majorBidi" w:hAnsiTheme="majorBidi" w:cstheme="majorBidi"/>
          <w:szCs w:val="22"/>
          <w:lang w:val="fr-FR"/>
        </w:rPr>
        <w:t xml:space="preserve"> étant la largeur de bande totale en kHz.</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14.2</w:t>
      </w:r>
      <w:r w:rsidRPr="003C5D6B">
        <w:rPr>
          <w:rFonts w:asciiTheme="majorBidi" w:hAnsiTheme="majorBidi" w:cstheme="majorBidi"/>
          <w:szCs w:val="22"/>
          <w:lang w:val="fr-FR"/>
        </w:rPr>
        <w:tab/>
        <w:t xml:space="preserve">Le montant annuel des droits d'utilisation du spectre à acquitter pour l'accès hertzien fixe (y compris l'accès à la boucle locale hertzienne et les liaisons point à multipoint), les systèmes SCADA, l'accès fixe large bande et les réseaux maillés, entre 1 GHz et 4 GHz, est calculé comme suit: </w:t>
      </w:r>
    </w:p>
    <w:p w:rsidR="00716A59" w:rsidRPr="003C5D6B" w:rsidRDefault="00716A59" w:rsidP="00716A59">
      <w:pPr>
        <w:jc w:val="center"/>
        <w:rPr>
          <w:color w:val="000000"/>
          <w:lang w:val="fr-FR"/>
        </w:rPr>
      </w:pPr>
      <w:r w:rsidRPr="003C5D6B">
        <w:rPr>
          <w:b/>
          <w:lang w:val="fr-FR"/>
        </w:rPr>
        <w:t>Droits à acquitter</w:t>
      </w:r>
      <w:r w:rsidRPr="003C5D6B">
        <w:rPr>
          <w:b/>
          <w:color w:val="000000"/>
          <w:lang w:val="fr-FR"/>
        </w:rPr>
        <w:t xml:space="preserve"> = BW x CF x 5</w:t>
      </w:r>
    </w:p>
    <w:p w:rsidR="00716A59" w:rsidRPr="003C5D6B" w:rsidRDefault="00716A59" w:rsidP="00716A59">
      <w:pPr>
        <w:ind w:firstLine="720"/>
        <w:rPr>
          <w:color w:val="000000"/>
          <w:lang w:val="fr-FR"/>
        </w:rPr>
      </w:pPr>
      <w:r w:rsidRPr="003C5D6B">
        <w:rPr>
          <w:b/>
          <w:color w:val="000000"/>
          <w:lang w:val="fr-FR"/>
        </w:rPr>
        <w:t>BW</w:t>
      </w:r>
      <w:r w:rsidRPr="003C5D6B">
        <w:rPr>
          <w:color w:val="000000"/>
          <w:lang w:val="fr-FR"/>
        </w:rPr>
        <w:t xml:space="preserve"> étant la l</w:t>
      </w:r>
      <w:r w:rsidRPr="003C5D6B">
        <w:rPr>
          <w:lang w:val="fr-FR"/>
        </w:rPr>
        <w:t>argeur de bande totale en MHz.</w:t>
      </w:r>
    </w:p>
    <w:p w:rsidR="00716A59" w:rsidRPr="003C5D6B" w:rsidRDefault="00716A59" w:rsidP="00716A59">
      <w:pPr>
        <w:spacing w:after="360"/>
        <w:ind w:left="720"/>
        <w:rPr>
          <w:color w:val="000000"/>
          <w:lang w:val="fr-FR"/>
        </w:rPr>
      </w:pPr>
      <w:r w:rsidRPr="003C5D6B">
        <w:rPr>
          <w:b/>
          <w:color w:val="000000"/>
          <w:lang w:val="fr-FR"/>
        </w:rPr>
        <w:t>CF</w:t>
      </w:r>
      <w:r w:rsidRPr="003C5D6B">
        <w:rPr>
          <w:color w:val="000000"/>
          <w:lang w:val="fr-FR"/>
        </w:rPr>
        <w:t xml:space="preserve"> étant le</w:t>
      </w:r>
      <w:r w:rsidRPr="003C5D6B">
        <w:rPr>
          <w:b/>
          <w:color w:val="000000"/>
          <w:lang w:val="fr-FR"/>
        </w:rPr>
        <w:t xml:space="preserve"> </w:t>
      </w:r>
      <w:r w:rsidRPr="003C5D6B">
        <w:rPr>
          <w:color w:val="000000"/>
          <w:lang w:val="fr-FR"/>
        </w:rPr>
        <w:t>coefficient de couverture, en fonction de la zone géographique, déterminé comme suit:</w:t>
      </w:r>
    </w:p>
    <w:p w:rsidR="00716A59" w:rsidRPr="003C5D6B" w:rsidRDefault="00716A59" w:rsidP="00716A59">
      <w:pPr>
        <w:ind w:left="720"/>
        <w:rPr>
          <w:color w:val="000000"/>
          <w:szCs w:val="19"/>
          <w:lang w:val="fr-FR"/>
        </w:rPr>
      </w:pPr>
    </w:p>
    <w:tbl>
      <w:tblPr>
        <w:tblW w:w="0" w:type="auto"/>
        <w:jc w:val="center"/>
        <w:tblInd w:w="925" w:type="dxa"/>
        <w:tblBorders>
          <w:top w:val="nil"/>
          <w:left w:val="nil"/>
          <w:bottom w:val="nil"/>
          <w:right w:val="nil"/>
        </w:tblBorders>
        <w:tblLook w:val="0000"/>
      </w:tblPr>
      <w:tblGrid>
        <w:gridCol w:w="693"/>
        <w:gridCol w:w="1475"/>
        <w:gridCol w:w="1107"/>
        <w:gridCol w:w="3119"/>
        <w:gridCol w:w="1555"/>
      </w:tblGrid>
      <w:tr w:rsidR="00716A59"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Zone </w:t>
            </w:r>
          </w:p>
        </w:tc>
        <w:tc>
          <w:tcPr>
            <w:tcW w:w="1475"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Zone rurale ou à l'intérieur de locaux</w:t>
            </w:r>
          </w:p>
        </w:tc>
        <w:tc>
          <w:tcPr>
            <w:tcW w:w="1107"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Zone urbaine </w:t>
            </w:r>
          </w:p>
        </w:tc>
        <w:tc>
          <w:tcPr>
            <w:tcW w:w="311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Ensemble des Emirats</w:t>
            </w:r>
          </w:p>
        </w:tc>
        <w:tc>
          <w:tcPr>
            <w:tcW w:w="1555"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Totalité des Emirats arabes unis </w:t>
            </w:r>
          </w:p>
        </w:tc>
      </w:tr>
      <w:tr w:rsidR="00716A59"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100</w:t>
            </w:r>
          </w:p>
        </w:tc>
        <w:tc>
          <w:tcPr>
            <w:tcW w:w="1107"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500</w:t>
            </w:r>
          </w:p>
        </w:tc>
        <w:tc>
          <w:tcPr>
            <w:tcW w:w="311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2</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 pour Abu Dhabi ou Dubaï</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1</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 pour les autres Emirats</w:t>
            </w:r>
          </w:p>
        </w:tc>
        <w:tc>
          <w:tcPr>
            <w:tcW w:w="1555"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4</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w:t>
            </w:r>
          </w:p>
        </w:tc>
      </w:tr>
    </w:tbl>
    <w:p w:rsidR="00716A59" w:rsidRPr="003C5D6B" w:rsidRDefault="00716A59" w:rsidP="00716A59">
      <w:pPr>
        <w:pStyle w:val="Arttitle"/>
        <w:spacing w:before="400"/>
        <w:rPr>
          <w:lang w:val="fr-FR"/>
        </w:rPr>
      </w:pPr>
      <w:bookmarkStart w:id="860" w:name="_Toc225739488"/>
      <w:bookmarkStart w:id="861" w:name="_Toc225739832"/>
      <w:bookmarkStart w:id="862" w:name="_Toc280262372"/>
      <w:bookmarkStart w:id="863" w:name="_Toc280272766"/>
      <w:bookmarkStart w:id="864" w:name="_Toc280272945"/>
      <w:bookmarkStart w:id="865" w:name="_Toc284419460"/>
      <w:bookmarkStart w:id="866" w:name="_Toc286315777"/>
      <w:bookmarkStart w:id="867" w:name="_Toc287523853"/>
      <w:r w:rsidRPr="003C5D6B">
        <w:rPr>
          <w:lang w:val="fr-FR"/>
        </w:rPr>
        <w:t>Article 15</w:t>
      </w:r>
      <w:bookmarkEnd w:id="860"/>
      <w:bookmarkEnd w:id="861"/>
      <w:r w:rsidRPr="003C5D6B">
        <w:rPr>
          <w:lang w:val="fr-FR"/>
        </w:rPr>
        <w:br/>
      </w:r>
      <w:r w:rsidRPr="003C5D6B">
        <w:rPr>
          <w:lang w:val="fr-FR"/>
        </w:rPr>
        <w:br/>
      </w:r>
      <w:bookmarkStart w:id="868" w:name="_Toc225739489"/>
      <w:bookmarkStart w:id="869" w:name="_Toc225739833"/>
      <w:r w:rsidRPr="003C5D6B">
        <w:rPr>
          <w:lang w:val="fr-FR"/>
        </w:rPr>
        <w:t>Droits d'utilisation du spectre à acquitter pour l'accès hertzien</w:t>
      </w:r>
      <w:r w:rsidRPr="003C5D6B">
        <w:rPr>
          <w:lang w:val="fr-FR"/>
        </w:rPr>
        <w:br/>
        <w:t>large bande mobile</w:t>
      </w:r>
      <w:bookmarkEnd w:id="862"/>
      <w:bookmarkEnd w:id="863"/>
      <w:bookmarkEnd w:id="864"/>
      <w:bookmarkEnd w:id="865"/>
      <w:bookmarkEnd w:id="866"/>
      <w:bookmarkEnd w:id="867"/>
      <w:bookmarkEnd w:id="868"/>
      <w:bookmarkEnd w:id="869"/>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15.1</w:t>
      </w:r>
      <w:r w:rsidRPr="003C5D6B">
        <w:rPr>
          <w:rFonts w:asciiTheme="majorBidi" w:hAnsiTheme="majorBidi" w:cstheme="majorBidi"/>
          <w:szCs w:val="22"/>
          <w:lang w:val="fr-FR"/>
        </w:rPr>
        <w:tab/>
        <w:t xml:space="preserve">Le montant annuel des droits d'utilisation du spectre à acquitter pour l'accès hertzien large bande mobile, entre 2 GHz et 4 GHz, est calculé comme suit: </w:t>
      </w:r>
    </w:p>
    <w:p w:rsidR="00716A59" w:rsidRPr="003C5D6B" w:rsidRDefault="00716A59" w:rsidP="00716A59">
      <w:pPr>
        <w:jc w:val="center"/>
        <w:rPr>
          <w:color w:val="000000"/>
          <w:lang w:val="fr-FR"/>
        </w:rPr>
      </w:pPr>
      <w:r w:rsidRPr="003C5D6B">
        <w:rPr>
          <w:b/>
          <w:lang w:val="fr-FR"/>
        </w:rPr>
        <w:t>Droits à acquitter</w:t>
      </w:r>
      <w:r w:rsidRPr="003C5D6B">
        <w:rPr>
          <w:b/>
          <w:color w:val="000000"/>
          <w:lang w:val="fr-FR"/>
        </w:rPr>
        <w:t xml:space="preserve"> = BW x CF x 10</w:t>
      </w:r>
    </w:p>
    <w:p w:rsidR="00716A59" w:rsidRPr="003C5D6B" w:rsidRDefault="00716A59" w:rsidP="00716A59">
      <w:pPr>
        <w:ind w:firstLine="720"/>
        <w:rPr>
          <w:color w:val="000000"/>
          <w:lang w:val="fr-FR"/>
        </w:rPr>
      </w:pPr>
      <w:r w:rsidRPr="003C5D6B">
        <w:rPr>
          <w:b/>
          <w:color w:val="000000"/>
          <w:lang w:val="fr-FR"/>
        </w:rPr>
        <w:t xml:space="preserve">BW </w:t>
      </w:r>
      <w:r w:rsidRPr="003C5D6B">
        <w:rPr>
          <w:color w:val="000000"/>
          <w:lang w:val="fr-FR"/>
        </w:rPr>
        <w:t>étant la l</w:t>
      </w:r>
      <w:r w:rsidRPr="003C5D6B">
        <w:rPr>
          <w:lang w:val="fr-FR"/>
        </w:rPr>
        <w:t>argeur de bande totale en MHz.</w:t>
      </w:r>
    </w:p>
    <w:p w:rsidR="00716A59" w:rsidRPr="003C5D6B" w:rsidRDefault="00716A59" w:rsidP="00716A59">
      <w:pPr>
        <w:spacing w:after="120"/>
        <w:ind w:left="720"/>
        <w:rPr>
          <w:color w:val="000000"/>
          <w:lang w:val="fr-FR"/>
        </w:rPr>
      </w:pPr>
      <w:r w:rsidRPr="003C5D6B">
        <w:rPr>
          <w:b/>
          <w:color w:val="000000"/>
          <w:lang w:val="fr-FR"/>
        </w:rPr>
        <w:t>CF</w:t>
      </w:r>
      <w:r w:rsidRPr="003C5D6B">
        <w:rPr>
          <w:color w:val="000000"/>
          <w:lang w:val="fr-FR"/>
        </w:rPr>
        <w:t xml:space="preserve"> étant le coefficient de couverture, en fonction de la zone géographique, déterminé comme suit:</w:t>
      </w:r>
    </w:p>
    <w:p w:rsidR="00716A59" w:rsidRPr="003C5D6B" w:rsidRDefault="00716A59" w:rsidP="00716A59">
      <w:pPr>
        <w:spacing w:before="0"/>
        <w:rPr>
          <w:lang w:val="fr-FR"/>
        </w:rPr>
      </w:pPr>
    </w:p>
    <w:tbl>
      <w:tblPr>
        <w:tblW w:w="0" w:type="auto"/>
        <w:jc w:val="center"/>
        <w:tblInd w:w="925" w:type="dxa"/>
        <w:tblBorders>
          <w:top w:val="nil"/>
          <w:left w:val="nil"/>
          <w:bottom w:val="nil"/>
          <w:right w:val="nil"/>
        </w:tblBorders>
        <w:tblLook w:val="0000"/>
      </w:tblPr>
      <w:tblGrid>
        <w:gridCol w:w="850"/>
        <w:gridCol w:w="1470"/>
        <w:gridCol w:w="1390"/>
        <w:gridCol w:w="3268"/>
        <w:gridCol w:w="1401"/>
      </w:tblGrid>
      <w:tr w:rsidR="00716A59" w:rsidRPr="003C5D6B" w:rsidTr="003C5D6B">
        <w:trPr>
          <w:trHeight w:val="319"/>
          <w:jc w:val="center"/>
        </w:trPr>
        <w:tc>
          <w:tcPr>
            <w:tcW w:w="85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Zone </w:t>
            </w:r>
          </w:p>
        </w:tc>
        <w:tc>
          <w:tcPr>
            <w:tcW w:w="147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Zone rurale ou à l'intérieur de locaux</w:t>
            </w:r>
          </w:p>
        </w:tc>
        <w:tc>
          <w:tcPr>
            <w:tcW w:w="139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Zone urbaine </w:t>
            </w:r>
          </w:p>
        </w:tc>
        <w:tc>
          <w:tcPr>
            <w:tcW w:w="3268"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Ensemble des Emirats</w:t>
            </w:r>
          </w:p>
        </w:tc>
        <w:tc>
          <w:tcPr>
            <w:tcW w:w="1401"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 xml:space="preserve">Totalité des Emirats arabes unis </w:t>
            </w:r>
          </w:p>
        </w:tc>
      </w:tr>
      <w:tr w:rsidR="00716A59" w:rsidRPr="003C5D6B" w:rsidTr="003C5D6B">
        <w:trPr>
          <w:trHeight w:val="319"/>
          <w:jc w:val="center"/>
        </w:trPr>
        <w:tc>
          <w:tcPr>
            <w:tcW w:w="85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CF</w:t>
            </w:r>
          </w:p>
        </w:tc>
        <w:tc>
          <w:tcPr>
            <w:tcW w:w="147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100</w:t>
            </w:r>
          </w:p>
        </w:tc>
        <w:tc>
          <w:tcPr>
            <w:tcW w:w="1390"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500</w:t>
            </w:r>
          </w:p>
        </w:tc>
        <w:tc>
          <w:tcPr>
            <w:tcW w:w="3268"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2</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 pour Abu Dhabi ou Dubaï</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1</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 pour les autres Emirats</w:t>
            </w:r>
          </w:p>
        </w:tc>
        <w:tc>
          <w:tcPr>
            <w:tcW w:w="1401"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4</w:t>
            </w:r>
            <w:r w:rsidRPr="003C5D6B">
              <w:rPr>
                <w:rFonts w:asciiTheme="majorBidi" w:hAnsiTheme="majorBidi" w:cstheme="majorBidi"/>
                <w:sz w:val="16"/>
                <w:szCs w:val="16"/>
                <w:lang w:val="fr-FR"/>
              </w:rPr>
              <w:t xml:space="preserve"> </w:t>
            </w:r>
            <w:r w:rsidRPr="003C5D6B">
              <w:rPr>
                <w:rFonts w:asciiTheme="majorBidi" w:hAnsiTheme="majorBidi" w:cstheme="majorBidi"/>
                <w:szCs w:val="22"/>
                <w:lang w:val="fr-FR"/>
              </w:rPr>
              <w:t>000</w:t>
            </w:r>
          </w:p>
        </w:tc>
      </w:tr>
    </w:tbl>
    <w:p w:rsidR="00716A59" w:rsidRPr="003C5D6B" w:rsidRDefault="00716A59" w:rsidP="00716A59">
      <w:pPr>
        <w:pStyle w:val="Arttitle"/>
        <w:spacing w:before="400"/>
        <w:rPr>
          <w:lang w:val="fr-FR"/>
        </w:rPr>
      </w:pPr>
      <w:bookmarkStart w:id="870" w:name="_Toc225739490"/>
      <w:bookmarkStart w:id="871" w:name="_Toc225739834"/>
      <w:bookmarkStart w:id="872" w:name="_Toc280262373"/>
      <w:bookmarkStart w:id="873" w:name="_Toc280272767"/>
      <w:bookmarkStart w:id="874" w:name="_Toc280272946"/>
      <w:bookmarkStart w:id="875" w:name="_Toc284419461"/>
      <w:bookmarkStart w:id="876" w:name="_Toc286315778"/>
      <w:bookmarkStart w:id="877" w:name="_Toc287523854"/>
      <w:r w:rsidRPr="003C5D6B">
        <w:rPr>
          <w:lang w:val="fr-FR"/>
        </w:rPr>
        <w:lastRenderedPageBreak/>
        <w:t>Article 16</w:t>
      </w:r>
      <w:bookmarkEnd w:id="870"/>
      <w:bookmarkEnd w:id="871"/>
      <w:r w:rsidRPr="003C5D6B">
        <w:rPr>
          <w:lang w:val="fr-FR"/>
        </w:rPr>
        <w:br/>
      </w:r>
      <w:r w:rsidRPr="003C5D6B">
        <w:rPr>
          <w:lang w:val="fr-FR"/>
        </w:rPr>
        <w:br/>
      </w:r>
      <w:bookmarkStart w:id="878" w:name="_Toc225739491"/>
      <w:bookmarkStart w:id="879" w:name="_Toc225739835"/>
      <w:r w:rsidRPr="003C5D6B">
        <w:rPr>
          <w:lang w:val="fr-FR"/>
        </w:rPr>
        <w:t>Droits d'utilisation du spectre pour les liaisons à fibre optique et les liaisons laser</w:t>
      </w:r>
      <w:bookmarkEnd w:id="872"/>
      <w:bookmarkEnd w:id="873"/>
      <w:bookmarkEnd w:id="874"/>
      <w:bookmarkEnd w:id="875"/>
      <w:bookmarkEnd w:id="876"/>
      <w:bookmarkEnd w:id="877"/>
      <w:bookmarkEnd w:id="878"/>
      <w:bookmarkEnd w:id="879"/>
    </w:p>
    <w:p w:rsidR="00716A59" w:rsidRPr="003C5D6B" w:rsidRDefault="00716A59" w:rsidP="00716A59">
      <w:pPr>
        <w:rPr>
          <w:b/>
          <w:bCs/>
          <w:color w:val="000000"/>
          <w:lang w:val="fr-FR"/>
        </w:rPr>
      </w:pPr>
      <w:r w:rsidRPr="003C5D6B">
        <w:rPr>
          <w:lang w:val="fr-FR"/>
        </w:rPr>
        <w:t xml:space="preserve">Le montant annuel des droits à acquitter pour ces liaisons est de cinquante </w:t>
      </w:r>
      <w:r w:rsidRPr="003C5D6B">
        <w:rPr>
          <w:color w:val="000000"/>
          <w:lang w:val="fr-FR"/>
        </w:rPr>
        <w:t>(50) dirhams.</w:t>
      </w:r>
      <w:r w:rsidRPr="003C5D6B">
        <w:rPr>
          <w:b/>
          <w:color w:val="000000"/>
          <w:lang w:val="fr-FR"/>
        </w:rPr>
        <w:t xml:space="preserve"> </w:t>
      </w:r>
    </w:p>
    <w:p w:rsidR="00716A59" w:rsidRPr="003C5D6B" w:rsidRDefault="00716A59" w:rsidP="00716A59">
      <w:pPr>
        <w:pStyle w:val="Arttitle"/>
        <w:spacing w:before="400"/>
        <w:rPr>
          <w:lang w:val="fr-FR"/>
        </w:rPr>
      </w:pPr>
      <w:bookmarkStart w:id="880" w:name="_Toc225739492"/>
      <w:bookmarkStart w:id="881" w:name="_Toc225739836"/>
      <w:bookmarkStart w:id="882" w:name="_Toc280262374"/>
      <w:bookmarkStart w:id="883" w:name="_Toc280272768"/>
      <w:bookmarkStart w:id="884" w:name="_Toc280272947"/>
      <w:bookmarkStart w:id="885" w:name="_Toc284419462"/>
      <w:bookmarkStart w:id="886" w:name="_Toc286315779"/>
      <w:bookmarkStart w:id="887" w:name="_Toc287523855"/>
      <w:r w:rsidRPr="003C5D6B">
        <w:rPr>
          <w:lang w:val="fr-FR"/>
        </w:rPr>
        <w:t>Article 17</w:t>
      </w:r>
      <w:bookmarkEnd w:id="880"/>
      <w:bookmarkEnd w:id="881"/>
      <w:r w:rsidRPr="003C5D6B">
        <w:rPr>
          <w:lang w:val="fr-FR"/>
        </w:rPr>
        <w:br/>
      </w:r>
      <w:r w:rsidRPr="003C5D6B">
        <w:rPr>
          <w:lang w:val="fr-FR"/>
        </w:rPr>
        <w:br/>
      </w:r>
      <w:bookmarkStart w:id="888" w:name="_Toc225739493"/>
      <w:bookmarkStart w:id="889" w:name="_Toc225739837"/>
      <w:r w:rsidRPr="003C5D6B">
        <w:rPr>
          <w:lang w:val="fr-FR"/>
        </w:rPr>
        <w:t>Droits d'utilisation du spectre pour les réseaux WLAN et la téléphonie sans fil</w:t>
      </w:r>
      <w:bookmarkEnd w:id="882"/>
      <w:bookmarkEnd w:id="883"/>
      <w:bookmarkEnd w:id="884"/>
      <w:bookmarkEnd w:id="885"/>
      <w:bookmarkEnd w:id="886"/>
      <w:bookmarkEnd w:id="887"/>
      <w:bookmarkEnd w:id="888"/>
      <w:bookmarkEnd w:id="889"/>
    </w:p>
    <w:p w:rsidR="00716A59" w:rsidRPr="003C5D6B" w:rsidRDefault="00716A59" w:rsidP="00716A59">
      <w:pPr>
        <w:rPr>
          <w:b/>
          <w:bCs/>
          <w:color w:val="000000"/>
          <w:lang w:val="fr-FR"/>
        </w:rPr>
      </w:pPr>
      <w:r w:rsidRPr="003C5D6B">
        <w:rPr>
          <w:lang w:val="fr-FR"/>
        </w:rPr>
        <w:t>L'utilisation à l'intérieur de la téléphonie sans fil sur réseau WLAN et utilisant le système DECT est exemptée de droits.</w:t>
      </w:r>
      <w:r w:rsidRPr="003C5D6B">
        <w:rPr>
          <w:b/>
          <w:color w:val="000000"/>
          <w:lang w:val="fr-FR"/>
        </w:rPr>
        <w:t xml:space="preserve"> </w:t>
      </w:r>
    </w:p>
    <w:p w:rsidR="00716A59" w:rsidRPr="003C5D6B" w:rsidRDefault="00716A59" w:rsidP="00716A59">
      <w:pPr>
        <w:pStyle w:val="Arttitle"/>
        <w:spacing w:before="400"/>
        <w:rPr>
          <w:lang w:val="fr-FR"/>
        </w:rPr>
      </w:pPr>
      <w:bookmarkStart w:id="890" w:name="_Toc225739494"/>
      <w:bookmarkStart w:id="891" w:name="_Toc225739838"/>
      <w:bookmarkStart w:id="892" w:name="_Toc280262375"/>
      <w:bookmarkStart w:id="893" w:name="_Toc280272769"/>
      <w:bookmarkStart w:id="894" w:name="_Toc280272948"/>
      <w:bookmarkStart w:id="895" w:name="_Toc284419463"/>
      <w:bookmarkStart w:id="896" w:name="_Toc286315780"/>
      <w:bookmarkStart w:id="897" w:name="_Toc287523856"/>
      <w:r w:rsidRPr="003C5D6B">
        <w:rPr>
          <w:lang w:val="fr-FR"/>
        </w:rPr>
        <w:t>Article 18</w:t>
      </w:r>
      <w:bookmarkEnd w:id="890"/>
      <w:bookmarkEnd w:id="891"/>
      <w:r w:rsidRPr="003C5D6B">
        <w:rPr>
          <w:lang w:val="fr-FR"/>
        </w:rPr>
        <w:br/>
      </w:r>
      <w:r w:rsidRPr="003C5D6B">
        <w:rPr>
          <w:lang w:val="fr-FR"/>
        </w:rPr>
        <w:br/>
      </w:r>
      <w:bookmarkStart w:id="898" w:name="_Toc225739495"/>
      <w:bookmarkStart w:id="899" w:name="_Toc225739839"/>
      <w:r w:rsidRPr="003C5D6B">
        <w:rPr>
          <w:lang w:val="fr-FR"/>
        </w:rPr>
        <w:t>Droits d'utilisation du spectre pour les systèmes GMPCS</w:t>
      </w:r>
      <w:bookmarkEnd w:id="892"/>
      <w:bookmarkEnd w:id="893"/>
      <w:bookmarkEnd w:id="894"/>
      <w:bookmarkEnd w:id="895"/>
      <w:bookmarkEnd w:id="896"/>
      <w:bookmarkEnd w:id="897"/>
      <w:bookmarkEnd w:id="898"/>
      <w:bookmarkEnd w:id="899"/>
    </w:p>
    <w:p w:rsidR="00716A59" w:rsidRPr="003C5D6B" w:rsidRDefault="00716A59" w:rsidP="00716A59">
      <w:pPr>
        <w:rPr>
          <w:lang w:val="fr-FR"/>
        </w:rPr>
      </w:pPr>
      <w:r w:rsidRPr="003C5D6B">
        <w:rPr>
          <w:lang w:val="fr-FR"/>
        </w:rPr>
        <w:t xml:space="preserve">Le montant annuel des droits d'utilisation du spectre pour les systèmes mobiles mondiaux de communications personnelles (GMPCS) est calculé comme suit: </w:t>
      </w:r>
    </w:p>
    <w:p w:rsidR="00716A59" w:rsidRPr="003C5D6B" w:rsidRDefault="00716A59" w:rsidP="00716A59">
      <w:pPr>
        <w:jc w:val="center"/>
        <w:rPr>
          <w:b/>
          <w:bCs/>
          <w:color w:val="000000"/>
          <w:lang w:val="fr-FR"/>
        </w:rPr>
      </w:pPr>
      <w:r w:rsidRPr="003C5D6B">
        <w:rPr>
          <w:b/>
          <w:lang w:val="fr-FR"/>
        </w:rPr>
        <w:t>Droits à acquitter</w:t>
      </w:r>
      <w:r w:rsidRPr="003C5D6B">
        <w:rPr>
          <w:b/>
          <w:color w:val="000000"/>
          <w:lang w:val="fr-FR"/>
        </w:rPr>
        <w:t xml:space="preserve"> = BW x 5000</w:t>
      </w:r>
    </w:p>
    <w:p w:rsidR="00716A59" w:rsidRPr="003C5D6B" w:rsidRDefault="00716A59" w:rsidP="00716A59">
      <w:pPr>
        <w:ind w:left="567" w:hanging="567"/>
        <w:rPr>
          <w:color w:val="000000"/>
          <w:lang w:val="fr-FR"/>
        </w:rPr>
      </w:pPr>
      <w:r w:rsidRPr="003C5D6B">
        <w:rPr>
          <w:color w:val="000000"/>
          <w:lang w:val="fr-FR"/>
        </w:rPr>
        <w:tab/>
      </w:r>
      <w:r w:rsidRPr="003C5D6B">
        <w:rPr>
          <w:b/>
          <w:color w:val="000000"/>
          <w:lang w:val="fr-FR"/>
        </w:rPr>
        <w:t xml:space="preserve">BW </w:t>
      </w:r>
      <w:r w:rsidRPr="003C5D6B">
        <w:rPr>
          <w:color w:val="000000"/>
          <w:lang w:val="fr-FR"/>
        </w:rPr>
        <w:t>étant le coefficient de largeur de bande, fondé sur l'utilisation 2 x 1 MHz de largeur de bande.</w:t>
      </w:r>
    </w:p>
    <w:p w:rsidR="00716A59" w:rsidRPr="003C5D6B" w:rsidRDefault="00716A59" w:rsidP="00716A59">
      <w:pPr>
        <w:ind w:left="567" w:hanging="567"/>
        <w:rPr>
          <w:color w:val="000000"/>
          <w:lang w:val="fr-FR"/>
        </w:rPr>
      </w:pPr>
    </w:p>
    <w:tbl>
      <w:tblPr>
        <w:tblW w:w="0" w:type="auto"/>
        <w:jc w:val="center"/>
        <w:tblInd w:w="1440" w:type="dxa"/>
        <w:tblBorders>
          <w:top w:val="nil"/>
          <w:left w:val="nil"/>
          <w:bottom w:val="nil"/>
          <w:right w:val="nil"/>
        </w:tblBorders>
        <w:tblLook w:val="0000"/>
      </w:tblPr>
      <w:tblGrid>
        <w:gridCol w:w="3711"/>
        <w:gridCol w:w="2219"/>
      </w:tblGrid>
      <w:tr w:rsidR="00716A59" w:rsidRPr="003C5D6B" w:rsidTr="003C5D6B">
        <w:trPr>
          <w:trHeight w:val="332"/>
          <w:tblHeader/>
          <w:jc w:val="center"/>
        </w:trPr>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Largeur de bande</w:t>
            </w:r>
          </w:p>
        </w:tc>
        <w:tc>
          <w:tcPr>
            <w:tcW w:w="221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Coefficient BW</w:t>
            </w:r>
          </w:p>
        </w:tc>
      </w:tr>
      <w:tr w:rsidR="00716A59"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Moins de 2 x 1 MHz </w:t>
            </w:r>
          </w:p>
        </w:tc>
        <w:tc>
          <w:tcPr>
            <w:tcW w:w="221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3</w:t>
            </w:r>
          </w:p>
        </w:tc>
      </w:tr>
      <w:tr w:rsidR="00716A59"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2 x 1 MHz - Moins de 4 x 1 MHz </w:t>
            </w:r>
          </w:p>
        </w:tc>
        <w:tc>
          <w:tcPr>
            <w:tcW w:w="221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6</w:t>
            </w:r>
          </w:p>
        </w:tc>
      </w:tr>
      <w:tr w:rsidR="00716A59"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4 x 1 MHz - Moins de 6 x 1 MHz </w:t>
            </w:r>
          </w:p>
        </w:tc>
        <w:tc>
          <w:tcPr>
            <w:tcW w:w="221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9</w:t>
            </w:r>
          </w:p>
        </w:tc>
      </w:tr>
      <w:tr w:rsidR="00716A59"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6 x 1 MHz - Moins de 8 x 1 MHz </w:t>
            </w:r>
          </w:p>
        </w:tc>
        <w:tc>
          <w:tcPr>
            <w:tcW w:w="221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12</w:t>
            </w:r>
          </w:p>
        </w:tc>
      </w:tr>
      <w:tr w:rsidR="00716A59"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8 x 1 MHz - Moins de 10 x 1 MHz </w:t>
            </w:r>
          </w:p>
        </w:tc>
        <w:tc>
          <w:tcPr>
            <w:tcW w:w="221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15</w:t>
            </w:r>
          </w:p>
        </w:tc>
      </w:tr>
      <w:tr w:rsidR="00716A59"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10 x 1 MHz </w:t>
            </w:r>
          </w:p>
        </w:tc>
        <w:tc>
          <w:tcPr>
            <w:tcW w:w="221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18</w:t>
            </w:r>
          </w:p>
        </w:tc>
      </w:tr>
      <w:tr w:rsidR="00716A59" w:rsidRPr="003C5D6B" w:rsidTr="003C5D6B">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 xml:space="preserve">Pour chaque 2 x 1 MHz supplémentaire </w:t>
            </w:r>
          </w:p>
        </w:tc>
        <w:tc>
          <w:tcPr>
            <w:tcW w:w="2219" w:type="dxa"/>
            <w:tcBorders>
              <w:top w:val="single" w:sz="8" w:space="0" w:color="000000"/>
              <w:left w:val="single" w:sz="8" w:space="0" w:color="000000"/>
              <w:bottom w:val="single" w:sz="8" w:space="0" w:color="000000"/>
              <w:right w:val="single" w:sz="8" w:space="0" w:color="000000"/>
            </w:tcBorders>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3</w:t>
            </w:r>
          </w:p>
        </w:tc>
      </w:tr>
    </w:tbl>
    <w:p w:rsidR="00716A59" w:rsidRPr="003C5D6B" w:rsidRDefault="00716A59" w:rsidP="00716A59">
      <w:pPr>
        <w:pStyle w:val="Arttitle"/>
        <w:spacing w:before="400"/>
        <w:rPr>
          <w:lang w:val="fr-FR"/>
        </w:rPr>
      </w:pPr>
      <w:bookmarkStart w:id="900" w:name="_Toc225739496"/>
      <w:bookmarkStart w:id="901" w:name="_Toc225739840"/>
      <w:bookmarkStart w:id="902" w:name="_Toc280262376"/>
      <w:bookmarkStart w:id="903" w:name="_Toc280272770"/>
      <w:bookmarkStart w:id="904" w:name="_Toc280272949"/>
      <w:bookmarkStart w:id="905" w:name="_Toc284419464"/>
      <w:bookmarkStart w:id="906" w:name="_Toc286315781"/>
      <w:bookmarkStart w:id="907" w:name="_Toc287523857"/>
      <w:r w:rsidRPr="003C5D6B">
        <w:rPr>
          <w:lang w:val="fr-FR"/>
        </w:rPr>
        <w:t>Article 19</w:t>
      </w:r>
      <w:bookmarkEnd w:id="900"/>
      <w:bookmarkEnd w:id="901"/>
      <w:r w:rsidRPr="003C5D6B">
        <w:rPr>
          <w:lang w:val="fr-FR"/>
        </w:rPr>
        <w:br/>
      </w:r>
      <w:r w:rsidRPr="003C5D6B">
        <w:rPr>
          <w:lang w:val="fr-FR"/>
        </w:rPr>
        <w:br/>
      </w:r>
      <w:bookmarkStart w:id="908" w:name="_Toc225739497"/>
      <w:bookmarkStart w:id="909" w:name="_Toc225739841"/>
      <w:r w:rsidRPr="003C5D6B">
        <w:rPr>
          <w:lang w:val="fr-FR"/>
        </w:rPr>
        <w:t>Droits d'utilisation du spectre pour le Service d'amateur</w:t>
      </w:r>
      <w:bookmarkEnd w:id="902"/>
      <w:bookmarkEnd w:id="903"/>
      <w:bookmarkEnd w:id="904"/>
      <w:bookmarkEnd w:id="905"/>
      <w:bookmarkEnd w:id="906"/>
      <w:bookmarkEnd w:id="907"/>
      <w:bookmarkEnd w:id="908"/>
      <w:bookmarkEnd w:id="909"/>
    </w:p>
    <w:p w:rsidR="00716A59" w:rsidRPr="003C5D6B" w:rsidRDefault="00716A59" w:rsidP="00716A59">
      <w:pPr>
        <w:rPr>
          <w:szCs w:val="19"/>
          <w:lang w:val="fr-FR"/>
        </w:rPr>
      </w:pPr>
      <w:r w:rsidRPr="003C5D6B">
        <w:rPr>
          <w:szCs w:val="19"/>
          <w:lang w:val="fr-FR"/>
        </w:rPr>
        <w:t>Le montant annuel des droits à acquitter pour obtenir une licence d'amateur est de deux cents (200) AED par équipement hertzien, payable à l'avance.</w:t>
      </w:r>
    </w:p>
    <w:p w:rsidR="00716A59" w:rsidRPr="003C5D6B" w:rsidRDefault="00716A59" w:rsidP="00716A59">
      <w:pPr>
        <w:tabs>
          <w:tab w:val="clear" w:pos="794"/>
          <w:tab w:val="clear" w:pos="1191"/>
          <w:tab w:val="clear" w:pos="1588"/>
          <w:tab w:val="clear" w:pos="1985"/>
        </w:tabs>
        <w:overflowPunct/>
        <w:autoSpaceDE/>
        <w:autoSpaceDN/>
        <w:adjustRightInd/>
        <w:spacing w:before="0"/>
        <w:jc w:val="left"/>
        <w:textAlignment w:val="auto"/>
        <w:rPr>
          <w:b/>
          <w:sz w:val="28"/>
          <w:lang w:val="fr-FR"/>
        </w:rPr>
      </w:pPr>
      <w:bookmarkStart w:id="910" w:name="_Toc225739498"/>
      <w:bookmarkStart w:id="911" w:name="_Toc225739842"/>
      <w:bookmarkStart w:id="912" w:name="_Toc280262377"/>
      <w:bookmarkStart w:id="913" w:name="_Toc280272771"/>
      <w:bookmarkStart w:id="914" w:name="_Toc280272950"/>
      <w:bookmarkStart w:id="915" w:name="_Toc284419465"/>
      <w:r w:rsidRPr="003C5D6B">
        <w:rPr>
          <w:lang w:val="fr-FR"/>
        </w:rPr>
        <w:br w:type="page"/>
      </w:r>
    </w:p>
    <w:p w:rsidR="00716A59" w:rsidRPr="003C5D6B" w:rsidRDefault="00716A59" w:rsidP="00716A59">
      <w:pPr>
        <w:pStyle w:val="Arttitle"/>
        <w:spacing w:before="400"/>
        <w:rPr>
          <w:lang w:val="fr-FR"/>
        </w:rPr>
      </w:pPr>
      <w:bookmarkStart w:id="916" w:name="_Toc286315782"/>
      <w:bookmarkStart w:id="917" w:name="_Toc287523858"/>
      <w:r w:rsidRPr="003C5D6B">
        <w:rPr>
          <w:lang w:val="fr-FR"/>
        </w:rPr>
        <w:lastRenderedPageBreak/>
        <w:t>Article 20</w:t>
      </w:r>
      <w:bookmarkEnd w:id="910"/>
      <w:bookmarkEnd w:id="911"/>
      <w:r w:rsidRPr="003C5D6B">
        <w:rPr>
          <w:lang w:val="fr-FR"/>
        </w:rPr>
        <w:br/>
      </w:r>
      <w:r w:rsidRPr="003C5D6B">
        <w:rPr>
          <w:lang w:val="fr-FR"/>
        </w:rPr>
        <w:br/>
      </w:r>
      <w:bookmarkStart w:id="918" w:name="_Toc225739499"/>
      <w:bookmarkStart w:id="919" w:name="_Toc225739843"/>
      <w:r w:rsidRPr="003C5D6B">
        <w:rPr>
          <w:lang w:val="fr-FR"/>
        </w:rPr>
        <w:t xml:space="preserve">Droits d'utilisation du spectre à acquitter pour les stations </w:t>
      </w:r>
      <w:r w:rsidRPr="003C5D6B">
        <w:rPr>
          <w:lang w:val="fr-FR"/>
        </w:rPr>
        <w:br/>
        <w:t>de radiocommunication aéronautiques</w:t>
      </w:r>
      <w:bookmarkEnd w:id="912"/>
      <w:bookmarkEnd w:id="913"/>
      <w:bookmarkEnd w:id="914"/>
      <w:bookmarkEnd w:id="915"/>
      <w:bookmarkEnd w:id="916"/>
      <w:bookmarkEnd w:id="917"/>
      <w:bookmarkEnd w:id="918"/>
      <w:bookmarkEnd w:id="919"/>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20.1</w:t>
      </w:r>
      <w:r w:rsidRPr="003C5D6B">
        <w:rPr>
          <w:rFonts w:asciiTheme="majorBidi" w:hAnsiTheme="majorBidi" w:cstheme="majorBidi"/>
          <w:szCs w:val="22"/>
          <w:lang w:val="fr-FR"/>
        </w:rPr>
        <w:tab/>
        <w:t>Le montant annuel à acquitter pour chaque licence d'aéronef et d'hélicoptère est de mille (1</w:t>
      </w:r>
      <w:r w:rsidRPr="003C5D6B">
        <w:rPr>
          <w:rFonts w:asciiTheme="majorBidi" w:hAnsiTheme="majorBidi" w:cstheme="majorBidi"/>
          <w:sz w:val="12"/>
          <w:szCs w:val="12"/>
          <w:lang w:val="fr-FR"/>
        </w:rPr>
        <w:t> </w:t>
      </w:r>
      <w:r w:rsidRPr="003C5D6B">
        <w:rPr>
          <w:rFonts w:asciiTheme="majorBidi" w:hAnsiTheme="majorBidi" w:cstheme="majorBidi"/>
          <w:szCs w:val="22"/>
          <w:lang w:val="fr-FR"/>
        </w:rPr>
        <w:t>000) dirhams. Ce montant inclut tous les équipements hertziens à bord.</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20.2</w:t>
      </w:r>
      <w:r w:rsidRPr="003C5D6B">
        <w:rPr>
          <w:rFonts w:asciiTheme="majorBidi" w:hAnsiTheme="majorBidi" w:cstheme="majorBidi"/>
          <w:szCs w:val="22"/>
          <w:lang w:val="fr-FR"/>
        </w:rPr>
        <w:tab/>
        <w:t xml:space="preserve">Le montant annuel des droits à acquitter pour les planeurs et les ballons est de trois cents (300) dirhams. </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20.3</w:t>
      </w:r>
      <w:r w:rsidRPr="003C5D6B">
        <w:rPr>
          <w:rFonts w:asciiTheme="majorBidi" w:hAnsiTheme="majorBidi" w:cstheme="majorBidi"/>
          <w:szCs w:val="22"/>
          <w:lang w:val="fr-FR"/>
        </w:rPr>
        <w:tab/>
        <w:t>Le montant annuel des droits à acquitter pour les liaisons sol-air est fixé conformément à celui du service des radiocommunications mobiles privées. Les liaisons sol</w:t>
      </w:r>
      <w:r w:rsidRPr="003C5D6B">
        <w:rPr>
          <w:rFonts w:asciiTheme="majorBidi" w:hAnsiTheme="majorBidi" w:cstheme="majorBidi"/>
          <w:szCs w:val="22"/>
          <w:lang w:val="fr-FR"/>
        </w:rPr>
        <w:noBreakHyphen/>
        <w:t>air en ondes décamétriques sont facturées comme les liaisons point à point du service fixe en ondes décamétriques.</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20.4</w:t>
      </w:r>
      <w:r w:rsidRPr="003C5D6B">
        <w:rPr>
          <w:rFonts w:asciiTheme="majorBidi" w:hAnsiTheme="majorBidi" w:cstheme="majorBidi"/>
          <w:szCs w:val="22"/>
          <w:lang w:val="fr-FR"/>
        </w:rPr>
        <w:tab/>
        <w:t>Le montant annuel des droits à acquitter pour les stations placées sur des plates</w:t>
      </w:r>
      <w:r w:rsidRPr="003C5D6B">
        <w:rPr>
          <w:rFonts w:asciiTheme="majorBidi" w:hAnsiTheme="majorBidi" w:cstheme="majorBidi"/>
          <w:szCs w:val="22"/>
          <w:lang w:val="fr-FR"/>
        </w:rPr>
        <w:noBreakHyphen/>
        <w:t>formes à haute altitude (HAPS) relève de la rubrique services par satellite.</w:t>
      </w:r>
    </w:p>
    <w:p w:rsidR="00716A59" w:rsidRPr="003C5D6B" w:rsidRDefault="00716A59" w:rsidP="00716A59">
      <w:pPr>
        <w:pStyle w:val="Arttitle"/>
        <w:spacing w:before="400"/>
        <w:rPr>
          <w:lang w:val="fr-FR"/>
        </w:rPr>
      </w:pPr>
      <w:bookmarkStart w:id="920" w:name="_Toc225739500"/>
      <w:bookmarkStart w:id="921" w:name="_Toc225739844"/>
      <w:bookmarkStart w:id="922" w:name="_Toc280262378"/>
      <w:bookmarkStart w:id="923" w:name="_Toc280272772"/>
      <w:bookmarkStart w:id="924" w:name="_Toc280272951"/>
      <w:bookmarkStart w:id="925" w:name="_Toc284419466"/>
      <w:bookmarkStart w:id="926" w:name="_Toc286315783"/>
      <w:bookmarkStart w:id="927" w:name="_Toc287523859"/>
      <w:r w:rsidRPr="003C5D6B">
        <w:rPr>
          <w:lang w:val="fr-FR"/>
        </w:rPr>
        <w:t>Article 21</w:t>
      </w:r>
      <w:bookmarkEnd w:id="920"/>
      <w:bookmarkEnd w:id="921"/>
      <w:r w:rsidRPr="003C5D6B">
        <w:rPr>
          <w:lang w:val="fr-FR"/>
        </w:rPr>
        <w:br/>
      </w:r>
      <w:r w:rsidRPr="003C5D6B">
        <w:rPr>
          <w:lang w:val="fr-FR"/>
        </w:rPr>
        <w:br/>
      </w:r>
      <w:bookmarkStart w:id="928" w:name="_Toc225739501"/>
      <w:bookmarkStart w:id="929" w:name="_Toc225739845"/>
      <w:r w:rsidRPr="003C5D6B">
        <w:rPr>
          <w:lang w:val="fr-FR"/>
        </w:rPr>
        <w:t>Droits d'utilisation du spectre pour les services de radiocommunication maritimes</w:t>
      </w:r>
      <w:bookmarkEnd w:id="922"/>
      <w:bookmarkEnd w:id="923"/>
      <w:bookmarkEnd w:id="924"/>
      <w:bookmarkEnd w:id="925"/>
      <w:bookmarkEnd w:id="926"/>
      <w:bookmarkEnd w:id="927"/>
      <w:bookmarkEnd w:id="928"/>
      <w:bookmarkEnd w:id="929"/>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21.1</w:t>
      </w:r>
      <w:r w:rsidRPr="003C5D6B">
        <w:rPr>
          <w:rFonts w:asciiTheme="majorBidi" w:hAnsiTheme="majorBidi" w:cstheme="majorBidi"/>
          <w:szCs w:val="22"/>
          <w:lang w:val="fr-FR"/>
        </w:rPr>
        <w:tab/>
        <w:t xml:space="preserve">Le montant annuel de chaque licence pour une petite embarcation est de deux cents (200) dirhams. </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21.2</w:t>
      </w:r>
      <w:r w:rsidRPr="003C5D6B">
        <w:rPr>
          <w:rFonts w:asciiTheme="majorBidi" w:hAnsiTheme="majorBidi" w:cstheme="majorBidi"/>
          <w:szCs w:val="22"/>
          <w:lang w:val="fr-FR"/>
        </w:rPr>
        <w:tab/>
        <w:t xml:space="preserve">Le montant annuel des droits à acquitter pour chaque caboteur (naviguant dans les limites des eaux territoriales et sans identité MMSI) est de cinq cent cinquante (550) dirhams. </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21.3</w:t>
      </w:r>
      <w:r w:rsidRPr="003C5D6B">
        <w:rPr>
          <w:rFonts w:asciiTheme="majorBidi" w:hAnsiTheme="majorBidi" w:cstheme="majorBidi"/>
          <w:szCs w:val="22"/>
          <w:lang w:val="fr-FR"/>
        </w:rPr>
        <w:tab/>
        <w:t>Le montant annuel des droits à acquitter pour chaque navire (naviguant hors des eaux territoriales et avec identité MMSI) est de mille (1</w:t>
      </w:r>
      <w:r w:rsidRPr="003C5D6B">
        <w:rPr>
          <w:rFonts w:asciiTheme="majorBidi" w:hAnsiTheme="majorBidi" w:cstheme="majorBidi"/>
          <w:sz w:val="12"/>
          <w:szCs w:val="12"/>
          <w:lang w:val="fr-FR"/>
        </w:rPr>
        <w:t> </w:t>
      </w:r>
      <w:r w:rsidRPr="003C5D6B">
        <w:rPr>
          <w:rFonts w:asciiTheme="majorBidi" w:hAnsiTheme="majorBidi" w:cstheme="majorBidi"/>
          <w:szCs w:val="22"/>
          <w:lang w:val="fr-FR"/>
        </w:rPr>
        <w:t xml:space="preserve">000) dirhams. </w:t>
      </w:r>
    </w:p>
    <w:p w:rsidR="00716A59" w:rsidRPr="003C5D6B" w:rsidRDefault="00716A59" w:rsidP="00716A59">
      <w:pPr>
        <w:pStyle w:val="Arttitle"/>
        <w:spacing w:before="400"/>
        <w:rPr>
          <w:lang w:val="fr-FR"/>
        </w:rPr>
      </w:pPr>
      <w:bookmarkStart w:id="930" w:name="_Toc225739502"/>
      <w:bookmarkStart w:id="931" w:name="_Toc225739846"/>
      <w:bookmarkStart w:id="932" w:name="_Toc280262379"/>
      <w:bookmarkStart w:id="933" w:name="_Toc280272773"/>
      <w:bookmarkStart w:id="934" w:name="_Toc280272952"/>
      <w:bookmarkStart w:id="935" w:name="_Toc284419467"/>
      <w:bookmarkStart w:id="936" w:name="_Toc286315784"/>
      <w:bookmarkStart w:id="937" w:name="_Toc287523860"/>
      <w:r w:rsidRPr="003C5D6B">
        <w:rPr>
          <w:lang w:val="fr-FR"/>
        </w:rPr>
        <w:t>Article 22</w:t>
      </w:r>
      <w:bookmarkEnd w:id="930"/>
      <w:bookmarkEnd w:id="931"/>
      <w:r w:rsidRPr="003C5D6B">
        <w:rPr>
          <w:lang w:val="fr-FR"/>
        </w:rPr>
        <w:br/>
      </w:r>
      <w:r w:rsidRPr="003C5D6B">
        <w:rPr>
          <w:lang w:val="fr-FR"/>
        </w:rPr>
        <w:br/>
      </w:r>
      <w:bookmarkStart w:id="938" w:name="_Toc225739503"/>
      <w:bookmarkStart w:id="939" w:name="_Toc225739847"/>
      <w:r w:rsidRPr="003C5D6B">
        <w:rPr>
          <w:lang w:val="fr-FR"/>
        </w:rPr>
        <w:t xml:space="preserve">Droits d'utilisation du spectre à acquitter pour les services spatiaux </w:t>
      </w:r>
      <w:r w:rsidRPr="003C5D6B">
        <w:rPr>
          <w:lang w:val="fr-FR"/>
        </w:rPr>
        <w:br/>
        <w:t>et les services auxiliaires</w:t>
      </w:r>
      <w:bookmarkEnd w:id="932"/>
      <w:bookmarkEnd w:id="933"/>
      <w:bookmarkEnd w:id="934"/>
      <w:bookmarkEnd w:id="935"/>
      <w:bookmarkEnd w:id="936"/>
      <w:bookmarkEnd w:id="937"/>
      <w:bookmarkEnd w:id="938"/>
      <w:bookmarkEnd w:id="939"/>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22.1</w:t>
      </w:r>
      <w:r w:rsidRPr="003C5D6B">
        <w:rPr>
          <w:rFonts w:asciiTheme="majorBidi" w:hAnsiTheme="majorBidi" w:cstheme="majorBidi"/>
          <w:szCs w:val="22"/>
          <w:lang w:val="fr-FR"/>
        </w:rPr>
        <w:tab/>
        <w:t>Le montant annuel à acquitter pour chaque microstation est de cinq mille (5</w:t>
      </w:r>
      <w:r w:rsidRPr="003C5D6B">
        <w:rPr>
          <w:rFonts w:asciiTheme="majorBidi" w:hAnsiTheme="majorBidi" w:cstheme="majorBidi"/>
          <w:sz w:val="12"/>
          <w:szCs w:val="12"/>
          <w:lang w:val="fr-FR"/>
        </w:rPr>
        <w:t> </w:t>
      </w:r>
      <w:r w:rsidRPr="003C5D6B">
        <w:rPr>
          <w:rFonts w:asciiTheme="majorBidi" w:hAnsiTheme="majorBidi" w:cstheme="majorBidi"/>
          <w:szCs w:val="22"/>
          <w:lang w:val="fr-FR"/>
        </w:rPr>
        <w:t xml:space="preserve">000) dirhams. </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22.2</w:t>
      </w:r>
      <w:r w:rsidRPr="003C5D6B">
        <w:rPr>
          <w:rFonts w:asciiTheme="majorBidi" w:hAnsiTheme="majorBidi" w:cstheme="majorBidi"/>
          <w:szCs w:val="22"/>
          <w:lang w:val="fr-FR"/>
        </w:rPr>
        <w:tab/>
        <w:t>Le montant annuel à acquitter pour chaque antenne de station terrienne est de cinquante mille (50</w:t>
      </w:r>
      <w:r w:rsidRPr="003C5D6B">
        <w:rPr>
          <w:rFonts w:asciiTheme="majorBidi" w:hAnsiTheme="majorBidi" w:cstheme="majorBidi"/>
          <w:sz w:val="12"/>
          <w:szCs w:val="12"/>
          <w:lang w:val="fr-FR"/>
        </w:rPr>
        <w:t> </w:t>
      </w:r>
      <w:r w:rsidRPr="003C5D6B">
        <w:rPr>
          <w:rFonts w:asciiTheme="majorBidi" w:hAnsiTheme="majorBidi" w:cstheme="majorBidi"/>
          <w:szCs w:val="22"/>
          <w:lang w:val="fr-FR"/>
        </w:rPr>
        <w:t xml:space="preserve">000) dirhams. </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22.3</w:t>
      </w:r>
      <w:r w:rsidRPr="003C5D6B">
        <w:rPr>
          <w:rFonts w:asciiTheme="majorBidi" w:hAnsiTheme="majorBidi" w:cstheme="majorBidi"/>
          <w:szCs w:val="22"/>
          <w:lang w:val="fr-FR"/>
        </w:rPr>
        <w:tab/>
        <w:t xml:space="preserve">La télévision uniquement réceptrice est gratuite. </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22.4</w:t>
      </w:r>
      <w:r w:rsidRPr="003C5D6B">
        <w:rPr>
          <w:rFonts w:asciiTheme="majorBidi" w:hAnsiTheme="majorBidi" w:cstheme="majorBidi"/>
          <w:szCs w:val="22"/>
          <w:lang w:val="fr-FR"/>
        </w:rPr>
        <w:tab/>
        <w:t>Le montant annuel à acquitter pour chaque reportage d'actualités par satellite numérique est de cinq mille (5</w:t>
      </w:r>
      <w:r w:rsidRPr="003C5D6B">
        <w:rPr>
          <w:rFonts w:asciiTheme="majorBidi" w:hAnsiTheme="majorBidi" w:cstheme="majorBidi"/>
          <w:sz w:val="12"/>
          <w:szCs w:val="12"/>
          <w:lang w:val="fr-FR"/>
        </w:rPr>
        <w:t> </w:t>
      </w:r>
      <w:r w:rsidRPr="003C5D6B">
        <w:rPr>
          <w:rFonts w:asciiTheme="majorBidi" w:hAnsiTheme="majorBidi" w:cstheme="majorBidi"/>
          <w:szCs w:val="22"/>
          <w:lang w:val="fr-FR"/>
        </w:rPr>
        <w:t>000) dirhams.</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22.5</w:t>
      </w:r>
      <w:r w:rsidRPr="003C5D6B">
        <w:rPr>
          <w:rFonts w:asciiTheme="majorBidi" w:hAnsiTheme="majorBidi" w:cstheme="majorBidi"/>
          <w:szCs w:val="22"/>
          <w:lang w:val="fr-FR"/>
        </w:rPr>
        <w:tab/>
        <w:t>Le montant annuel à acquitter pour le service mobile aéronautique par satellite est de dix mille (10</w:t>
      </w:r>
      <w:r w:rsidRPr="003C5D6B">
        <w:rPr>
          <w:rFonts w:asciiTheme="majorBidi" w:hAnsiTheme="majorBidi" w:cstheme="majorBidi"/>
          <w:sz w:val="12"/>
          <w:szCs w:val="12"/>
          <w:lang w:val="fr-FR"/>
        </w:rPr>
        <w:t> </w:t>
      </w:r>
      <w:r w:rsidRPr="003C5D6B">
        <w:rPr>
          <w:rFonts w:asciiTheme="majorBidi" w:hAnsiTheme="majorBidi" w:cstheme="majorBidi"/>
          <w:szCs w:val="22"/>
          <w:lang w:val="fr-FR"/>
        </w:rPr>
        <w:t>000) dirhams.</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22.6</w:t>
      </w:r>
      <w:r w:rsidRPr="003C5D6B">
        <w:rPr>
          <w:rFonts w:asciiTheme="majorBidi" w:hAnsiTheme="majorBidi" w:cstheme="majorBidi"/>
          <w:szCs w:val="22"/>
          <w:lang w:val="fr-FR"/>
        </w:rPr>
        <w:tab/>
        <w:t>Le montant annuel à acquitter pour le service mobile maritime par satellite est de dix mille (10</w:t>
      </w:r>
      <w:r w:rsidRPr="003C5D6B">
        <w:rPr>
          <w:rFonts w:asciiTheme="majorBidi" w:hAnsiTheme="majorBidi" w:cstheme="majorBidi"/>
          <w:sz w:val="12"/>
          <w:szCs w:val="12"/>
          <w:lang w:val="fr-FR"/>
        </w:rPr>
        <w:t> </w:t>
      </w:r>
      <w:r w:rsidRPr="003C5D6B">
        <w:rPr>
          <w:rFonts w:asciiTheme="majorBidi" w:hAnsiTheme="majorBidi" w:cstheme="majorBidi"/>
          <w:szCs w:val="22"/>
          <w:lang w:val="fr-FR"/>
        </w:rPr>
        <w:t>000) dirhams.</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22.7</w:t>
      </w:r>
      <w:r w:rsidRPr="003C5D6B">
        <w:rPr>
          <w:rFonts w:asciiTheme="majorBidi" w:hAnsiTheme="majorBidi" w:cstheme="majorBidi"/>
          <w:szCs w:val="22"/>
          <w:lang w:val="fr-FR"/>
        </w:rPr>
        <w:tab/>
        <w:t>Le montant annuel à acquitter pour les services d'exploration de la Terre par satellite est de dix mille (10</w:t>
      </w:r>
      <w:r w:rsidRPr="003C5D6B">
        <w:rPr>
          <w:rFonts w:asciiTheme="majorBidi" w:hAnsiTheme="majorBidi" w:cstheme="majorBidi"/>
          <w:sz w:val="12"/>
          <w:szCs w:val="12"/>
          <w:lang w:val="fr-FR"/>
        </w:rPr>
        <w:t> </w:t>
      </w:r>
      <w:r w:rsidRPr="003C5D6B">
        <w:rPr>
          <w:rFonts w:asciiTheme="majorBidi" w:hAnsiTheme="majorBidi" w:cstheme="majorBidi"/>
          <w:szCs w:val="22"/>
          <w:lang w:val="fr-FR"/>
        </w:rPr>
        <w:t>000) dirhams.</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22.8</w:t>
      </w:r>
      <w:r w:rsidRPr="003C5D6B">
        <w:rPr>
          <w:rFonts w:asciiTheme="majorBidi" w:hAnsiTheme="majorBidi" w:cstheme="majorBidi"/>
          <w:szCs w:val="22"/>
          <w:lang w:val="fr-FR"/>
        </w:rPr>
        <w:tab/>
        <w:t>Le montant annuel à acquitter pour les stations HAPS est déterminé par la TRA, en fonction de la finalité de l'utilisation.</w:t>
      </w:r>
    </w:p>
    <w:p w:rsidR="00716A59" w:rsidRPr="003C5D6B" w:rsidRDefault="00716A59" w:rsidP="00716A59">
      <w:pPr>
        <w:pStyle w:val="Arttitle"/>
        <w:spacing w:before="400"/>
        <w:rPr>
          <w:lang w:val="fr-FR"/>
        </w:rPr>
      </w:pPr>
      <w:bookmarkStart w:id="940" w:name="_Toc225739504"/>
      <w:bookmarkStart w:id="941" w:name="_Toc225739848"/>
      <w:bookmarkStart w:id="942" w:name="_Toc280262380"/>
      <w:bookmarkStart w:id="943" w:name="_Toc280272774"/>
      <w:bookmarkStart w:id="944" w:name="_Toc280272953"/>
      <w:bookmarkStart w:id="945" w:name="_Toc284419468"/>
      <w:bookmarkStart w:id="946" w:name="_Toc286315785"/>
      <w:bookmarkStart w:id="947" w:name="_Toc287523861"/>
      <w:r w:rsidRPr="003C5D6B">
        <w:rPr>
          <w:lang w:val="fr-FR"/>
        </w:rPr>
        <w:lastRenderedPageBreak/>
        <w:t>Article 23</w:t>
      </w:r>
      <w:bookmarkEnd w:id="940"/>
      <w:bookmarkEnd w:id="941"/>
      <w:r w:rsidRPr="003C5D6B">
        <w:rPr>
          <w:lang w:val="fr-FR"/>
        </w:rPr>
        <w:br/>
      </w:r>
      <w:r w:rsidRPr="003C5D6B">
        <w:rPr>
          <w:lang w:val="fr-FR"/>
        </w:rPr>
        <w:br/>
      </w:r>
      <w:bookmarkStart w:id="948" w:name="_Toc225739505"/>
      <w:bookmarkStart w:id="949" w:name="_Toc225739849"/>
      <w:r w:rsidRPr="003C5D6B">
        <w:rPr>
          <w:lang w:val="fr-FR"/>
        </w:rPr>
        <w:t>Droits à acquitter pour les stations de radionavigation</w:t>
      </w:r>
      <w:bookmarkEnd w:id="942"/>
      <w:bookmarkEnd w:id="943"/>
      <w:bookmarkEnd w:id="944"/>
      <w:bookmarkEnd w:id="945"/>
      <w:bookmarkEnd w:id="946"/>
      <w:bookmarkEnd w:id="947"/>
      <w:bookmarkEnd w:id="948"/>
      <w:bookmarkEnd w:id="949"/>
    </w:p>
    <w:p w:rsidR="00716A59" w:rsidRPr="003C5D6B" w:rsidRDefault="00716A59" w:rsidP="00716A59">
      <w:pPr>
        <w:rPr>
          <w:color w:val="000000"/>
          <w:lang w:val="fr-FR"/>
        </w:rPr>
      </w:pPr>
      <w:r w:rsidRPr="003C5D6B">
        <w:rPr>
          <w:lang w:val="fr-FR"/>
        </w:rPr>
        <w:t>Le montant annuel à acquitter pour chaque station de radionavigation est de mille (1</w:t>
      </w:r>
      <w:r w:rsidRPr="003C5D6B">
        <w:rPr>
          <w:rFonts w:asciiTheme="majorBidi" w:hAnsiTheme="majorBidi" w:cstheme="majorBidi"/>
          <w:sz w:val="12"/>
          <w:szCs w:val="12"/>
          <w:lang w:val="fr-FR"/>
        </w:rPr>
        <w:t> </w:t>
      </w:r>
      <w:r w:rsidRPr="003C5D6B">
        <w:rPr>
          <w:lang w:val="fr-FR"/>
        </w:rPr>
        <w:t>000) dirhams.</w:t>
      </w:r>
    </w:p>
    <w:p w:rsidR="00716A59" w:rsidRPr="003C5D6B" w:rsidRDefault="00716A59" w:rsidP="00716A59">
      <w:pPr>
        <w:pStyle w:val="Arttitle"/>
        <w:spacing w:before="400"/>
        <w:rPr>
          <w:lang w:val="fr-FR"/>
        </w:rPr>
      </w:pPr>
      <w:bookmarkStart w:id="950" w:name="_Toc225739506"/>
      <w:bookmarkStart w:id="951" w:name="_Toc225739850"/>
      <w:bookmarkStart w:id="952" w:name="_Toc280262381"/>
      <w:bookmarkStart w:id="953" w:name="_Toc280272775"/>
      <w:bookmarkStart w:id="954" w:name="_Toc280272954"/>
      <w:bookmarkStart w:id="955" w:name="_Toc284419469"/>
      <w:bookmarkStart w:id="956" w:name="_Toc286315786"/>
      <w:bookmarkStart w:id="957" w:name="_Toc287523862"/>
      <w:r w:rsidRPr="003C5D6B">
        <w:rPr>
          <w:lang w:val="fr-FR"/>
        </w:rPr>
        <w:t>Article 24</w:t>
      </w:r>
      <w:bookmarkEnd w:id="950"/>
      <w:bookmarkEnd w:id="951"/>
      <w:r w:rsidRPr="003C5D6B">
        <w:rPr>
          <w:lang w:val="fr-FR"/>
        </w:rPr>
        <w:br/>
      </w:r>
      <w:r w:rsidRPr="003C5D6B">
        <w:rPr>
          <w:lang w:val="fr-FR"/>
        </w:rPr>
        <w:br/>
      </w:r>
      <w:bookmarkStart w:id="958" w:name="_Toc225739507"/>
      <w:bookmarkStart w:id="959" w:name="_Toc225739851"/>
      <w:r w:rsidRPr="003C5D6B">
        <w:rPr>
          <w:lang w:val="fr-FR"/>
        </w:rPr>
        <w:t>Droits à acquitter pour les stations de radioastronomie</w:t>
      </w:r>
      <w:bookmarkEnd w:id="952"/>
      <w:bookmarkEnd w:id="953"/>
      <w:bookmarkEnd w:id="954"/>
      <w:bookmarkEnd w:id="955"/>
      <w:bookmarkEnd w:id="956"/>
      <w:bookmarkEnd w:id="957"/>
      <w:bookmarkEnd w:id="958"/>
      <w:bookmarkEnd w:id="959"/>
    </w:p>
    <w:p w:rsidR="00716A59" w:rsidRPr="003C5D6B" w:rsidRDefault="00716A59" w:rsidP="00716A59">
      <w:pPr>
        <w:rPr>
          <w:color w:val="000000"/>
          <w:lang w:val="fr-FR"/>
        </w:rPr>
      </w:pPr>
      <w:r w:rsidRPr="003C5D6B">
        <w:rPr>
          <w:lang w:val="fr-FR"/>
        </w:rPr>
        <w:t>Le montant annuel à acquitter pour chaque station de radioastronomie est de cinq cents (500) dirhams.</w:t>
      </w:r>
    </w:p>
    <w:p w:rsidR="00716A59" w:rsidRPr="003C5D6B" w:rsidRDefault="00716A59" w:rsidP="00716A59">
      <w:pPr>
        <w:pStyle w:val="Arttitle"/>
        <w:spacing w:before="400"/>
        <w:rPr>
          <w:lang w:val="fr-FR"/>
        </w:rPr>
      </w:pPr>
      <w:bookmarkStart w:id="960" w:name="_Toc225739508"/>
      <w:bookmarkStart w:id="961" w:name="_Toc225739852"/>
      <w:bookmarkStart w:id="962" w:name="_Toc280262382"/>
      <w:bookmarkStart w:id="963" w:name="_Toc280272776"/>
      <w:bookmarkStart w:id="964" w:name="_Toc280272955"/>
      <w:bookmarkStart w:id="965" w:name="_Toc284419470"/>
      <w:bookmarkStart w:id="966" w:name="_Toc286315787"/>
      <w:bookmarkStart w:id="967" w:name="_Toc287523863"/>
      <w:r w:rsidRPr="003C5D6B">
        <w:rPr>
          <w:lang w:val="fr-FR"/>
        </w:rPr>
        <w:t>Article 25</w:t>
      </w:r>
      <w:bookmarkEnd w:id="960"/>
      <w:bookmarkEnd w:id="961"/>
      <w:r w:rsidRPr="003C5D6B">
        <w:rPr>
          <w:lang w:val="fr-FR"/>
        </w:rPr>
        <w:br/>
      </w:r>
      <w:r w:rsidRPr="003C5D6B">
        <w:rPr>
          <w:lang w:val="fr-FR"/>
        </w:rPr>
        <w:br/>
      </w:r>
      <w:bookmarkStart w:id="968" w:name="_Toc225739509"/>
      <w:bookmarkStart w:id="969" w:name="_Toc225739853"/>
      <w:r w:rsidRPr="003C5D6B">
        <w:rPr>
          <w:lang w:val="fr-FR"/>
        </w:rPr>
        <w:t>Droits à acquitter pour les stations de radiolocalisation</w:t>
      </w:r>
      <w:bookmarkEnd w:id="962"/>
      <w:bookmarkEnd w:id="963"/>
      <w:bookmarkEnd w:id="964"/>
      <w:bookmarkEnd w:id="965"/>
      <w:bookmarkEnd w:id="966"/>
      <w:bookmarkEnd w:id="967"/>
      <w:bookmarkEnd w:id="968"/>
      <w:bookmarkEnd w:id="969"/>
    </w:p>
    <w:p w:rsidR="00716A59" w:rsidRPr="003C5D6B" w:rsidRDefault="00716A59" w:rsidP="00716A59">
      <w:pPr>
        <w:rPr>
          <w:lang w:val="fr-FR"/>
        </w:rPr>
      </w:pPr>
      <w:r w:rsidRPr="003C5D6B">
        <w:rPr>
          <w:lang w:val="fr-FR"/>
        </w:rPr>
        <w:t>Le montant annuel des droits à acquitter pour chaque radar côtier maritime, radar météorologique, radar au sol, station de surveillance aéronautique, station de contrôle d'approche, station d'observation des océans, des mouvements en surface et de localisation est de cinq mille (5</w:t>
      </w:r>
      <w:r w:rsidRPr="003C5D6B">
        <w:rPr>
          <w:rFonts w:asciiTheme="majorBidi" w:hAnsiTheme="majorBidi" w:cstheme="majorBidi"/>
          <w:sz w:val="12"/>
          <w:szCs w:val="12"/>
          <w:lang w:val="fr-FR"/>
        </w:rPr>
        <w:t> </w:t>
      </w:r>
      <w:r w:rsidRPr="003C5D6B">
        <w:rPr>
          <w:lang w:val="fr-FR"/>
        </w:rPr>
        <w:t>000) dirhams.</w:t>
      </w:r>
    </w:p>
    <w:p w:rsidR="00716A59" w:rsidRPr="003C5D6B" w:rsidRDefault="00716A59" w:rsidP="00716A59">
      <w:pPr>
        <w:pStyle w:val="Arttitle"/>
        <w:spacing w:before="400"/>
        <w:rPr>
          <w:lang w:val="fr-FR"/>
        </w:rPr>
      </w:pPr>
      <w:bookmarkStart w:id="970" w:name="_Toc225739510"/>
      <w:bookmarkStart w:id="971" w:name="_Toc225739854"/>
      <w:bookmarkStart w:id="972" w:name="_Toc280262383"/>
      <w:bookmarkStart w:id="973" w:name="_Toc280272777"/>
      <w:bookmarkStart w:id="974" w:name="_Toc280272956"/>
      <w:bookmarkStart w:id="975" w:name="_Toc284419471"/>
      <w:bookmarkStart w:id="976" w:name="_Toc286315788"/>
      <w:bookmarkStart w:id="977" w:name="_Toc287523864"/>
      <w:r w:rsidRPr="003C5D6B">
        <w:rPr>
          <w:lang w:val="fr-FR"/>
        </w:rPr>
        <w:t>Article 26</w:t>
      </w:r>
      <w:bookmarkEnd w:id="970"/>
      <w:bookmarkEnd w:id="971"/>
      <w:r w:rsidRPr="003C5D6B">
        <w:rPr>
          <w:lang w:val="fr-FR"/>
        </w:rPr>
        <w:br/>
      </w:r>
      <w:r w:rsidRPr="003C5D6B">
        <w:rPr>
          <w:lang w:val="fr-FR"/>
        </w:rPr>
        <w:br/>
      </w:r>
      <w:bookmarkStart w:id="978" w:name="_Toc225739511"/>
      <w:bookmarkStart w:id="979" w:name="_Toc225739855"/>
      <w:r w:rsidRPr="003C5D6B">
        <w:rPr>
          <w:lang w:val="fr-FR"/>
        </w:rPr>
        <w:t>Droits à acquitter pour le service de radiodiffusion</w:t>
      </w:r>
      <w:bookmarkEnd w:id="972"/>
      <w:bookmarkEnd w:id="973"/>
      <w:bookmarkEnd w:id="974"/>
      <w:bookmarkEnd w:id="975"/>
      <w:bookmarkEnd w:id="976"/>
      <w:bookmarkEnd w:id="977"/>
      <w:bookmarkEnd w:id="978"/>
      <w:bookmarkEnd w:id="979"/>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26.1</w:t>
      </w:r>
      <w:r w:rsidRPr="003C5D6B">
        <w:rPr>
          <w:rFonts w:asciiTheme="majorBidi" w:hAnsiTheme="majorBidi" w:cstheme="majorBidi"/>
          <w:szCs w:val="22"/>
          <w:lang w:val="fr-FR"/>
        </w:rPr>
        <w:tab/>
        <w:t>Radiodiffusion et télévision de Terre</w:t>
      </w:r>
    </w:p>
    <w:p w:rsidR="00716A59" w:rsidRPr="003C5D6B" w:rsidRDefault="00716A59" w:rsidP="00716A59">
      <w:pPr>
        <w:ind w:left="794" w:hanging="794"/>
        <w:rPr>
          <w:b/>
          <w:lang w:val="fr-FR"/>
        </w:rPr>
      </w:pPr>
      <w:r w:rsidRPr="003C5D6B">
        <w:rPr>
          <w:lang w:val="fr-FR"/>
        </w:rPr>
        <w:tab/>
        <w:t>Le montant annuel des droits à acquitter pour une station de radiodiffusion individuelle est calculé comme suit:</w:t>
      </w:r>
    </w:p>
    <w:p w:rsidR="00716A59" w:rsidRPr="003C5D6B" w:rsidRDefault="00716A59" w:rsidP="00716A59">
      <w:pPr>
        <w:tabs>
          <w:tab w:val="left" w:pos="851"/>
        </w:tabs>
        <w:suppressAutoHyphens/>
        <w:jc w:val="center"/>
        <w:rPr>
          <w:b/>
          <w:szCs w:val="19"/>
          <w:lang w:val="fr-FR"/>
        </w:rPr>
      </w:pPr>
      <w:r w:rsidRPr="003C5D6B">
        <w:rPr>
          <w:b/>
          <w:szCs w:val="19"/>
          <w:lang w:val="fr-FR"/>
        </w:rPr>
        <w:t>Montant à acquitter (par station) = A + B * C * D * E * F</w:t>
      </w:r>
    </w:p>
    <w:p w:rsidR="00716A59" w:rsidRPr="003C5D6B" w:rsidRDefault="00716A59" w:rsidP="00716A59">
      <w:pPr>
        <w:tabs>
          <w:tab w:val="left" w:pos="851"/>
        </w:tabs>
        <w:rPr>
          <w:lang w:val="fr-FR"/>
        </w:rPr>
      </w:pPr>
      <w:r w:rsidRPr="003C5D6B">
        <w:rPr>
          <w:b/>
          <w:lang w:val="fr-FR"/>
        </w:rPr>
        <w:tab/>
        <w:t>A = Montant de base</w:t>
      </w:r>
      <w:r w:rsidRPr="003C5D6B">
        <w:rPr>
          <w:lang w:val="fr-FR"/>
        </w:rPr>
        <w:t xml:space="preserve"> = 30 000 AED.</w:t>
      </w:r>
    </w:p>
    <w:p w:rsidR="00716A59" w:rsidRPr="003C5D6B" w:rsidRDefault="00716A59" w:rsidP="00716A59">
      <w:pPr>
        <w:tabs>
          <w:tab w:val="left" w:pos="851"/>
        </w:tabs>
        <w:ind w:left="851" w:hanging="851"/>
        <w:rPr>
          <w:lang w:val="fr-FR"/>
        </w:rPr>
      </w:pPr>
      <w:r w:rsidRPr="003C5D6B">
        <w:rPr>
          <w:lang w:val="fr-FR"/>
        </w:rPr>
        <w:tab/>
        <w:t>NOTE – Dans le cas d'un réseau à fréquence unique (RFU), le réseau complet est considéré comme étant un seul émetteur et le montant de base est facturé une fois pour ce réseau, tandis que le reste des droits à acquitter est facturé pour chaque station.</w:t>
      </w:r>
    </w:p>
    <w:p w:rsidR="00716A59" w:rsidRPr="003C5D6B" w:rsidRDefault="00716A59" w:rsidP="00716A59">
      <w:pPr>
        <w:tabs>
          <w:tab w:val="left" w:pos="851"/>
        </w:tabs>
        <w:ind w:left="851" w:hanging="851"/>
        <w:rPr>
          <w:lang w:val="fr-FR"/>
        </w:rPr>
      </w:pPr>
      <w:r w:rsidRPr="003C5D6B">
        <w:rPr>
          <w:b/>
          <w:lang w:val="fr-FR"/>
        </w:rPr>
        <w:tab/>
        <w:t xml:space="preserve">B = Facteur de puissance = </w:t>
      </w:r>
      <w:r w:rsidRPr="003C5D6B">
        <w:rPr>
          <w:lang w:val="fr-FR"/>
        </w:rPr>
        <w:t>La puissance, exprimée en kilowatts [kW], égale à la puissance émise par l'émetteur (en cas d'émission en ondes longues, moyennes ou courtes) et à la puissance apparente rayonnée (p.a.r.) dans tous les autres cas.</w:t>
      </w:r>
    </w:p>
    <w:p w:rsidR="00716A59" w:rsidRPr="003C5D6B" w:rsidRDefault="00716A59" w:rsidP="00716A59">
      <w:pPr>
        <w:tabs>
          <w:tab w:val="clear" w:pos="794"/>
          <w:tab w:val="clear" w:pos="1191"/>
          <w:tab w:val="clear" w:pos="1588"/>
          <w:tab w:val="clear" w:pos="1985"/>
        </w:tabs>
        <w:overflowPunct/>
        <w:autoSpaceDE/>
        <w:autoSpaceDN/>
        <w:adjustRightInd/>
        <w:spacing w:before="0"/>
        <w:jc w:val="left"/>
        <w:textAlignment w:val="auto"/>
        <w:rPr>
          <w:b/>
          <w:lang w:val="fr-FR"/>
        </w:rPr>
      </w:pPr>
      <w:r w:rsidRPr="003C5D6B">
        <w:rPr>
          <w:b/>
          <w:lang w:val="fr-FR"/>
        </w:rPr>
        <w:br w:type="page"/>
      </w:r>
    </w:p>
    <w:p w:rsidR="00716A59" w:rsidRPr="003C5D6B" w:rsidRDefault="00716A59" w:rsidP="00716A59">
      <w:pPr>
        <w:tabs>
          <w:tab w:val="left" w:pos="851"/>
        </w:tabs>
        <w:spacing w:after="360"/>
        <w:rPr>
          <w:lang w:val="fr-FR"/>
        </w:rPr>
      </w:pPr>
      <w:r w:rsidRPr="003C5D6B">
        <w:rPr>
          <w:b/>
          <w:lang w:val="fr-FR"/>
        </w:rPr>
        <w:lastRenderedPageBreak/>
        <w:tab/>
        <w:t>C = Coefficient de type de service</w:t>
      </w:r>
      <w:r w:rsidRPr="003C5D6B">
        <w:rPr>
          <w:lang w:val="fr-FR"/>
        </w:rPr>
        <w:t>,</w:t>
      </w:r>
      <w:r w:rsidRPr="003C5D6B">
        <w:rPr>
          <w:b/>
          <w:lang w:val="fr-FR"/>
        </w:rPr>
        <w:t xml:space="preserve"> </w:t>
      </w:r>
      <w:r w:rsidRPr="003C5D6B">
        <w:rPr>
          <w:lang w:val="fr-FR"/>
        </w:rPr>
        <w:t>comme suit:</w:t>
      </w:r>
    </w:p>
    <w:p w:rsidR="00716A59" w:rsidRPr="003C5D6B" w:rsidRDefault="00716A59" w:rsidP="00716A59">
      <w:pPr>
        <w:pStyle w:val="FigureTitle"/>
        <w:rPr>
          <w:lang w:val="fr-FR"/>
        </w:rPr>
      </w:pPr>
      <w:r w:rsidRPr="003C5D6B">
        <w:rPr>
          <w:lang w:val="fr-FR"/>
        </w:rPr>
        <w:t xml:space="preserve">Tableau </w:t>
      </w:r>
      <w:r w:rsidR="003B6168" w:rsidRPr="003C5D6B">
        <w:rPr>
          <w:lang w:val="fr-FR"/>
        </w:rPr>
        <w:fldChar w:fldCharType="begin"/>
      </w:r>
      <w:r w:rsidR="004F7249" w:rsidRPr="003C5D6B">
        <w:rPr>
          <w:lang w:val="fr-FR"/>
        </w:rPr>
        <w:instrText xml:space="preserve"> SEQ Figure \* ARABIC </w:instrText>
      </w:r>
      <w:r w:rsidR="003B6168" w:rsidRPr="003C5D6B">
        <w:rPr>
          <w:lang w:val="fr-FR"/>
        </w:rPr>
        <w:fldChar w:fldCharType="separate"/>
      </w:r>
      <w:r w:rsidRPr="003C5D6B">
        <w:rPr>
          <w:noProof/>
          <w:lang w:val="fr-FR"/>
        </w:rPr>
        <w:t>5</w:t>
      </w:r>
      <w:r w:rsidR="003B6168" w:rsidRPr="003C5D6B">
        <w:rPr>
          <w:lang w:val="fr-FR"/>
        </w:rPr>
        <w:fldChar w:fldCharType="end"/>
      </w:r>
      <w:r w:rsidRPr="003C5D6B">
        <w:rPr>
          <w:lang w:val="fr-FR"/>
        </w:rPr>
        <w:t xml:space="preserve"> – Définition des coefficients de type de service (C) pour les services de radiodiffusion sonore </w:t>
      </w:r>
    </w:p>
    <w:p w:rsidR="00716A59" w:rsidRPr="003C5D6B" w:rsidRDefault="00716A59" w:rsidP="00716A59">
      <w:pPr>
        <w:rPr>
          <w:lang w:val="fr-FR"/>
        </w:rPr>
      </w:pP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2"/>
        <w:gridCol w:w="2496"/>
        <w:gridCol w:w="1620"/>
        <w:gridCol w:w="1829"/>
      </w:tblGrid>
      <w:tr w:rsidR="00716A59" w:rsidRPr="003C5D6B" w:rsidTr="003C5D6B">
        <w:trPr>
          <w:trHeight w:val="397"/>
          <w:jc w:val="center"/>
        </w:trPr>
        <w:tc>
          <w:tcPr>
            <w:tcW w:w="7517" w:type="dxa"/>
            <w:gridSpan w:val="4"/>
            <w:tcBorders>
              <w:bottom w:val="single" w:sz="4" w:space="0" w:color="auto"/>
            </w:tcBorders>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Service de radiodiffusion sonore</w:t>
            </w:r>
          </w:p>
        </w:tc>
      </w:tr>
      <w:tr w:rsidR="00716A59" w:rsidRPr="003C5D6B" w:rsidTr="003C5D6B">
        <w:trPr>
          <w:trHeight w:val="397"/>
          <w:jc w:val="center"/>
        </w:trPr>
        <w:tc>
          <w:tcPr>
            <w:tcW w:w="1572" w:type="dxa"/>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Type de service</w:t>
            </w:r>
          </w:p>
        </w:tc>
        <w:tc>
          <w:tcPr>
            <w:tcW w:w="2496" w:type="dxa"/>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Gamme de fréquences</w:t>
            </w:r>
          </w:p>
        </w:tc>
        <w:tc>
          <w:tcPr>
            <w:tcW w:w="1620" w:type="dxa"/>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Largeur de bande</w:t>
            </w:r>
          </w:p>
        </w:tc>
        <w:tc>
          <w:tcPr>
            <w:tcW w:w="1829" w:type="dxa"/>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Coefficient de type de service (C)</w:t>
            </w:r>
          </w:p>
        </w:tc>
      </w:tr>
      <w:tr w:rsidR="00716A59" w:rsidRPr="003C5D6B" w:rsidTr="003C5D6B">
        <w:trPr>
          <w:trHeight w:val="368"/>
          <w:jc w:val="center"/>
        </w:trPr>
        <w:tc>
          <w:tcPr>
            <w:tcW w:w="1572" w:type="dxa"/>
            <w:vMerge w:val="restart"/>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Ondes kilométriques/</w:t>
            </w:r>
            <w:r w:rsidRPr="003C5D6B">
              <w:rPr>
                <w:rFonts w:asciiTheme="majorBidi" w:hAnsiTheme="majorBidi" w:cstheme="majorBidi"/>
                <w:szCs w:val="22"/>
                <w:lang w:val="fr-FR"/>
              </w:rPr>
              <w:br/>
              <w:t>hectométriques</w:t>
            </w:r>
          </w:p>
        </w:tc>
        <w:tc>
          <w:tcPr>
            <w:tcW w:w="2496"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148,5-283,5 kHz</w:t>
            </w:r>
          </w:p>
        </w:tc>
        <w:tc>
          <w:tcPr>
            <w:tcW w:w="1620"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9 kHz</w:t>
            </w:r>
          </w:p>
        </w:tc>
        <w:tc>
          <w:tcPr>
            <w:tcW w:w="1829" w:type="dxa"/>
            <w:vMerge w:val="restart"/>
            <w:vAlign w:val="center"/>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8</w:t>
            </w:r>
          </w:p>
        </w:tc>
      </w:tr>
      <w:tr w:rsidR="00716A59" w:rsidRPr="003C5D6B" w:rsidTr="003C5D6B">
        <w:trPr>
          <w:jc w:val="center"/>
        </w:trPr>
        <w:tc>
          <w:tcPr>
            <w:tcW w:w="1572" w:type="dxa"/>
            <w:vMerge/>
          </w:tcPr>
          <w:p w:rsidR="00716A59" w:rsidRPr="003C5D6B" w:rsidRDefault="00716A59" w:rsidP="003C5D6B">
            <w:pPr>
              <w:pStyle w:val="Tabletext"/>
              <w:jc w:val="center"/>
              <w:rPr>
                <w:rFonts w:asciiTheme="majorBidi" w:hAnsiTheme="majorBidi" w:cstheme="majorBidi"/>
                <w:szCs w:val="22"/>
                <w:lang w:val="fr-FR"/>
              </w:rPr>
            </w:pPr>
          </w:p>
        </w:tc>
        <w:tc>
          <w:tcPr>
            <w:tcW w:w="2496"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526,5-1 606,5 kHz</w:t>
            </w:r>
          </w:p>
        </w:tc>
        <w:tc>
          <w:tcPr>
            <w:tcW w:w="1620"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9 kHz</w:t>
            </w:r>
          </w:p>
        </w:tc>
        <w:tc>
          <w:tcPr>
            <w:tcW w:w="1829" w:type="dxa"/>
            <w:vMerge/>
            <w:vAlign w:val="center"/>
          </w:tcPr>
          <w:p w:rsidR="00716A59" w:rsidRPr="003C5D6B" w:rsidRDefault="00716A59" w:rsidP="003C5D6B">
            <w:pPr>
              <w:pStyle w:val="Tabletext"/>
              <w:jc w:val="center"/>
              <w:rPr>
                <w:rFonts w:asciiTheme="majorBidi" w:hAnsiTheme="majorBidi" w:cstheme="majorBidi"/>
                <w:szCs w:val="22"/>
                <w:lang w:val="fr-FR"/>
              </w:rPr>
            </w:pPr>
          </w:p>
        </w:tc>
      </w:tr>
      <w:tr w:rsidR="00716A59" w:rsidRPr="003C5D6B" w:rsidTr="003C5D6B">
        <w:trPr>
          <w:trHeight w:val="233"/>
          <w:jc w:val="center"/>
        </w:trPr>
        <w:tc>
          <w:tcPr>
            <w:tcW w:w="1572" w:type="dxa"/>
            <w:vMerge w:val="restart"/>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Ondes métriques</w:t>
            </w:r>
          </w:p>
        </w:tc>
        <w:tc>
          <w:tcPr>
            <w:tcW w:w="2496"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87,5-108 MHz</w:t>
            </w:r>
          </w:p>
        </w:tc>
        <w:tc>
          <w:tcPr>
            <w:tcW w:w="1620"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200 kHz</w:t>
            </w:r>
          </w:p>
        </w:tc>
        <w:tc>
          <w:tcPr>
            <w:tcW w:w="1829" w:type="dxa"/>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16</w:t>
            </w:r>
          </w:p>
        </w:tc>
      </w:tr>
      <w:tr w:rsidR="00716A59" w:rsidRPr="003C5D6B" w:rsidTr="003C5D6B">
        <w:trPr>
          <w:trHeight w:val="305"/>
          <w:jc w:val="center"/>
        </w:trPr>
        <w:tc>
          <w:tcPr>
            <w:tcW w:w="1572" w:type="dxa"/>
            <w:vMerge/>
          </w:tcPr>
          <w:p w:rsidR="00716A59" w:rsidRPr="003C5D6B" w:rsidDel="00192A8E" w:rsidRDefault="00716A59" w:rsidP="003C5D6B">
            <w:pPr>
              <w:pStyle w:val="Tabletext"/>
              <w:jc w:val="center"/>
              <w:rPr>
                <w:rFonts w:asciiTheme="majorBidi" w:hAnsiTheme="majorBidi" w:cstheme="majorBidi"/>
                <w:szCs w:val="22"/>
                <w:lang w:val="fr-FR"/>
              </w:rPr>
            </w:pPr>
          </w:p>
        </w:tc>
        <w:tc>
          <w:tcPr>
            <w:tcW w:w="2496"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174-230 MHz</w:t>
            </w:r>
          </w:p>
        </w:tc>
        <w:tc>
          <w:tcPr>
            <w:tcW w:w="1620"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1,536 MHz</w:t>
            </w:r>
          </w:p>
        </w:tc>
        <w:tc>
          <w:tcPr>
            <w:tcW w:w="1829" w:type="dxa"/>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18</w:t>
            </w:r>
          </w:p>
        </w:tc>
      </w:tr>
    </w:tbl>
    <w:p w:rsidR="00716A59" w:rsidRPr="003C5D6B" w:rsidRDefault="00716A59" w:rsidP="00716A59">
      <w:pPr>
        <w:pStyle w:val="FigureSource"/>
        <w:rPr>
          <w:lang w:val="fr-FR"/>
        </w:rPr>
      </w:pPr>
    </w:p>
    <w:p w:rsidR="00716A59" w:rsidRPr="003C5D6B" w:rsidRDefault="00716A59" w:rsidP="00716A59">
      <w:pPr>
        <w:rPr>
          <w:lang w:val="fr-FR"/>
        </w:rPr>
      </w:pPr>
    </w:p>
    <w:p w:rsidR="00716A59" w:rsidRPr="003C5D6B" w:rsidRDefault="00716A59" w:rsidP="00716A59">
      <w:pPr>
        <w:pStyle w:val="FigureTitle"/>
        <w:rPr>
          <w:lang w:val="fr-FR"/>
        </w:rPr>
      </w:pPr>
      <w:r w:rsidRPr="003C5D6B">
        <w:rPr>
          <w:lang w:val="fr-FR"/>
        </w:rPr>
        <w:t xml:space="preserve">Tableau </w:t>
      </w:r>
      <w:r w:rsidR="003B6168" w:rsidRPr="003C5D6B">
        <w:rPr>
          <w:lang w:val="fr-FR"/>
        </w:rPr>
        <w:fldChar w:fldCharType="begin"/>
      </w:r>
      <w:r w:rsidR="004F7249" w:rsidRPr="003C5D6B">
        <w:rPr>
          <w:lang w:val="fr-FR"/>
        </w:rPr>
        <w:instrText xml:space="preserve"> SEQ Figure \* ARABIC </w:instrText>
      </w:r>
      <w:r w:rsidR="003B6168" w:rsidRPr="003C5D6B">
        <w:rPr>
          <w:lang w:val="fr-FR"/>
        </w:rPr>
        <w:fldChar w:fldCharType="separate"/>
      </w:r>
      <w:r w:rsidRPr="003C5D6B">
        <w:rPr>
          <w:noProof/>
          <w:lang w:val="fr-FR"/>
        </w:rPr>
        <w:t>6</w:t>
      </w:r>
      <w:r w:rsidR="003B6168" w:rsidRPr="003C5D6B">
        <w:rPr>
          <w:lang w:val="fr-FR"/>
        </w:rPr>
        <w:fldChar w:fldCharType="end"/>
      </w:r>
      <w:r w:rsidRPr="003C5D6B">
        <w:rPr>
          <w:lang w:val="fr-FR"/>
        </w:rPr>
        <w:t xml:space="preserve"> – Définition des coefficients de type de service (C) pour les services de radiodiffusion télévisuelle</w:t>
      </w:r>
    </w:p>
    <w:p w:rsidR="00716A59" w:rsidRPr="003C5D6B" w:rsidRDefault="00716A59" w:rsidP="00716A59">
      <w:pPr>
        <w:rPr>
          <w:lang w:val="fr-FR"/>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2515"/>
        <w:gridCol w:w="1443"/>
        <w:gridCol w:w="2117"/>
      </w:tblGrid>
      <w:tr w:rsidR="00716A59" w:rsidRPr="003C5D6B" w:rsidTr="003C5D6B">
        <w:trPr>
          <w:trHeight w:val="397"/>
          <w:jc w:val="center"/>
        </w:trPr>
        <w:tc>
          <w:tcPr>
            <w:tcW w:w="7631" w:type="dxa"/>
            <w:gridSpan w:val="4"/>
            <w:tcBorders>
              <w:bottom w:val="single" w:sz="4" w:space="0" w:color="auto"/>
            </w:tcBorders>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Service de radiodiffusion télévisuelle</w:t>
            </w:r>
          </w:p>
        </w:tc>
      </w:tr>
      <w:tr w:rsidR="00716A59" w:rsidRPr="003C5D6B" w:rsidTr="003C5D6B">
        <w:trPr>
          <w:trHeight w:val="397"/>
          <w:jc w:val="center"/>
        </w:trPr>
        <w:tc>
          <w:tcPr>
            <w:tcW w:w="1556" w:type="dxa"/>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Type de service</w:t>
            </w:r>
          </w:p>
        </w:tc>
        <w:tc>
          <w:tcPr>
            <w:tcW w:w="2515" w:type="dxa"/>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Gamme de fréquences</w:t>
            </w:r>
          </w:p>
        </w:tc>
        <w:tc>
          <w:tcPr>
            <w:tcW w:w="1443" w:type="dxa"/>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Largeur de bande</w:t>
            </w:r>
          </w:p>
        </w:tc>
        <w:tc>
          <w:tcPr>
            <w:tcW w:w="2117" w:type="dxa"/>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Coefficient de type de service (C)</w:t>
            </w:r>
          </w:p>
        </w:tc>
      </w:tr>
      <w:tr w:rsidR="00716A59" w:rsidRPr="003C5D6B" w:rsidTr="003C5D6B">
        <w:trPr>
          <w:jc w:val="center"/>
        </w:trPr>
        <w:tc>
          <w:tcPr>
            <w:tcW w:w="1556" w:type="dxa"/>
            <w:vMerge w:val="restart"/>
            <w:shd w:val="clear" w:color="auto" w:fill="auto"/>
            <w:vAlign w:val="center"/>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Ondes métriques</w:t>
            </w:r>
          </w:p>
        </w:tc>
        <w:tc>
          <w:tcPr>
            <w:tcW w:w="2515"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47-68 MHz</w:t>
            </w:r>
          </w:p>
        </w:tc>
        <w:tc>
          <w:tcPr>
            <w:tcW w:w="1443" w:type="dxa"/>
            <w:vMerge w:val="restart"/>
            <w:shd w:val="clear" w:color="auto" w:fill="auto"/>
            <w:vAlign w:val="center"/>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7 MHz</w:t>
            </w:r>
          </w:p>
        </w:tc>
        <w:tc>
          <w:tcPr>
            <w:tcW w:w="2117" w:type="dxa"/>
            <w:vMerge w:val="restart"/>
            <w:vAlign w:val="center"/>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24</w:t>
            </w:r>
          </w:p>
        </w:tc>
      </w:tr>
      <w:tr w:rsidR="00716A59" w:rsidRPr="003C5D6B" w:rsidTr="003C5D6B">
        <w:trPr>
          <w:trHeight w:val="377"/>
          <w:jc w:val="center"/>
        </w:trPr>
        <w:tc>
          <w:tcPr>
            <w:tcW w:w="1556" w:type="dxa"/>
            <w:vMerge/>
            <w:shd w:val="clear" w:color="auto" w:fill="auto"/>
          </w:tcPr>
          <w:p w:rsidR="00716A59" w:rsidRPr="003C5D6B" w:rsidRDefault="00716A59" w:rsidP="003C5D6B">
            <w:pPr>
              <w:pStyle w:val="Tabletext"/>
              <w:jc w:val="center"/>
              <w:rPr>
                <w:rFonts w:asciiTheme="majorBidi" w:hAnsiTheme="majorBidi" w:cstheme="majorBidi"/>
                <w:szCs w:val="22"/>
                <w:lang w:val="fr-FR"/>
              </w:rPr>
            </w:pPr>
          </w:p>
        </w:tc>
        <w:tc>
          <w:tcPr>
            <w:tcW w:w="2515"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174-230 MHz</w:t>
            </w:r>
          </w:p>
        </w:tc>
        <w:tc>
          <w:tcPr>
            <w:tcW w:w="1443" w:type="dxa"/>
            <w:vMerge/>
            <w:shd w:val="clear" w:color="auto" w:fill="auto"/>
            <w:vAlign w:val="center"/>
          </w:tcPr>
          <w:p w:rsidR="00716A59" w:rsidRPr="003C5D6B" w:rsidRDefault="00716A59" w:rsidP="003C5D6B">
            <w:pPr>
              <w:pStyle w:val="Tabletext"/>
              <w:jc w:val="center"/>
              <w:rPr>
                <w:rFonts w:asciiTheme="majorBidi" w:hAnsiTheme="majorBidi" w:cstheme="majorBidi"/>
                <w:szCs w:val="22"/>
                <w:lang w:val="fr-FR"/>
              </w:rPr>
            </w:pPr>
          </w:p>
        </w:tc>
        <w:tc>
          <w:tcPr>
            <w:tcW w:w="2117" w:type="dxa"/>
            <w:vMerge/>
          </w:tcPr>
          <w:p w:rsidR="00716A59" w:rsidRPr="003C5D6B" w:rsidRDefault="00716A59" w:rsidP="003C5D6B">
            <w:pPr>
              <w:pStyle w:val="Tabletext"/>
              <w:jc w:val="center"/>
              <w:rPr>
                <w:rFonts w:asciiTheme="majorBidi" w:hAnsiTheme="majorBidi" w:cstheme="majorBidi"/>
                <w:szCs w:val="22"/>
                <w:lang w:val="fr-FR"/>
              </w:rPr>
            </w:pPr>
          </w:p>
        </w:tc>
      </w:tr>
      <w:tr w:rsidR="00716A59" w:rsidRPr="003C5D6B" w:rsidTr="003C5D6B">
        <w:trPr>
          <w:trHeight w:val="485"/>
          <w:jc w:val="center"/>
        </w:trPr>
        <w:tc>
          <w:tcPr>
            <w:tcW w:w="1556"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Ondes décimétriques</w:t>
            </w:r>
          </w:p>
        </w:tc>
        <w:tc>
          <w:tcPr>
            <w:tcW w:w="2515" w:type="dxa"/>
            <w:shd w:val="clear" w:color="auto" w:fill="auto"/>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470-862 MHz</w:t>
            </w:r>
          </w:p>
        </w:tc>
        <w:tc>
          <w:tcPr>
            <w:tcW w:w="1443" w:type="dxa"/>
            <w:shd w:val="clear" w:color="auto" w:fill="auto"/>
            <w:vAlign w:val="center"/>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8 MHz</w:t>
            </w:r>
          </w:p>
        </w:tc>
        <w:tc>
          <w:tcPr>
            <w:tcW w:w="2117" w:type="dxa"/>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36</w:t>
            </w:r>
          </w:p>
        </w:tc>
      </w:tr>
    </w:tbl>
    <w:p w:rsidR="00716A59" w:rsidRPr="003C5D6B" w:rsidRDefault="00716A59" w:rsidP="00716A59">
      <w:pPr>
        <w:pStyle w:val="FigureSource"/>
        <w:rPr>
          <w:lang w:val="fr-FR"/>
        </w:rPr>
      </w:pPr>
    </w:p>
    <w:p w:rsidR="00716A59" w:rsidRPr="003C5D6B" w:rsidRDefault="00716A59" w:rsidP="00716A59">
      <w:pPr>
        <w:tabs>
          <w:tab w:val="clear" w:pos="794"/>
          <w:tab w:val="clear" w:pos="1191"/>
          <w:tab w:val="clear" w:pos="1588"/>
          <w:tab w:val="clear" w:pos="1985"/>
        </w:tabs>
        <w:overflowPunct/>
        <w:autoSpaceDE/>
        <w:autoSpaceDN/>
        <w:adjustRightInd/>
        <w:spacing w:before="0"/>
        <w:jc w:val="left"/>
        <w:textAlignment w:val="auto"/>
        <w:rPr>
          <w:b/>
          <w:lang w:val="fr-FR"/>
        </w:rPr>
      </w:pPr>
      <w:r w:rsidRPr="003C5D6B">
        <w:rPr>
          <w:b/>
          <w:lang w:val="fr-FR"/>
        </w:rPr>
        <w:br w:type="page"/>
      </w:r>
    </w:p>
    <w:p w:rsidR="00716A59" w:rsidRPr="003C5D6B" w:rsidRDefault="00716A59" w:rsidP="00716A59">
      <w:pPr>
        <w:spacing w:after="120"/>
        <w:ind w:left="1599" w:hanging="159"/>
        <w:rPr>
          <w:b/>
          <w:lang w:val="fr-FR"/>
        </w:rPr>
      </w:pPr>
      <w:r w:rsidRPr="003C5D6B">
        <w:rPr>
          <w:b/>
          <w:lang w:val="fr-FR"/>
        </w:rPr>
        <w:lastRenderedPageBreak/>
        <w:t>D = Coefficient de zone de service, comme suit:</w:t>
      </w:r>
    </w:p>
    <w:p w:rsidR="00716A59" w:rsidRPr="003C5D6B" w:rsidRDefault="00716A59" w:rsidP="00716A59">
      <w:pPr>
        <w:pStyle w:val="FigureTitle"/>
        <w:rPr>
          <w:lang w:val="fr-FR"/>
        </w:rPr>
      </w:pPr>
      <w:r w:rsidRPr="003C5D6B">
        <w:rPr>
          <w:lang w:val="fr-FR"/>
        </w:rPr>
        <w:t xml:space="preserve">Tableau </w:t>
      </w:r>
      <w:r w:rsidR="003B6168" w:rsidRPr="003C5D6B">
        <w:rPr>
          <w:lang w:val="fr-FR"/>
        </w:rPr>
        <w:fldChar w:fldCharType="begin"/>
      </w:r>
      <w:r w:rsidR="004F7249" w:rsidRPr="003C5D6B">
        <w:rPr>
          <w:lang w:val="fr-FR"/>
        </w:rPr>
        <w:instrText xml:space="preserve"> SEQ Figure \* ARABIC </w:instrText>
      </w:r>
      <w:r w:rsidR="003B6168" w:rsidRPr="003C5D6B">
        <w:rPr>
          <w:lang w:val="fr-FR"/>
        </w:rPr>
        <w:fldChar w:fldCharType="separate"/>
      </w:r>
      <w:r w:rsidRPr="003C5D6B">
        <w:rPr>
          <w:noProof/>
          <w:lang w:val="fr-FR"/>
        </w:rPr>
        <w:t>7</w:t>
      </w:r>
      <w:r w:rsidR="003B6168" w:rsidRPr="003C5D6B">
        <w:rPr>
          <w:lang w:val="fr-FR"/>
        </w:rPr>
        <w:fldChar w:fldCharType="end"/>
      </w:r>
      <w:r w:rsidRPr="003C5D6B">
        <w:rPr>
          <w:lang w:val="fr-FR"/>
        </w:rPr>
        <w:t xml:space="preserve"> – Définition des coefficients de zone de service (D)</w:t>
      </w:r>
    </w:p>
    <w:p w:rsidR="00716A59" w:rsidRPr="003C5D6B" w:rsidRDefault="00716A59" w:rsidP="00716A59">
      <w:pPr>
        <w:rPr>
          <w:lang w:val="fr-FR"/>
        </w:rPr>
      </w:pPr>
    </w:p>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2807"/>
        <w:gridCol w:w="2628"/>
      </w:tblGrid>
      <w:tr w:rsidR="00716A59" w:rsidRPr="003C5D6B" w:rsidTr="003C5D6B">
        <w:trPr>
          <w:trHeight w:val="680"/>
        </w:trPr>
        <w:tc>
          <w:tcPr>
            <w:tcW w:w="1713" w:type="dxa"/>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Coefficient de zone de service (D)</w:t>
            </w:r>
          </w:p>
        </w:tc>
        <w:tc>
          <w:tcPr>
            <w:tcW w:w="2807" w:type="dxa"/>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Zone de service</w:t>
            </w:r>
          </w:p>
        </w:tc>
        <w:tc>
          <w:tcPr>
            <w:tcW w:w="2628" w:type="dxa"/>
            <w:shd w:val="clear" w:color="auto" w:fill="E6E6E6"/>
            <w:vAlign w:val="center"/>
          </w:tcPr>
          <w:p w:rsidR="00716A59" w:rsidRPr="003C5D6B" w:rsidRDefault="00716A59" w:rsidP="003C5D6B">
            <w:pPr>
              <w:pStyle w:val="Tablehead"/>
              <w:rPr>
                <w:rFonts w:asciiTheme="majorBidi" w:hAnsiTheme="majorBidi" w:cstheme="majorBidi"/>
                <w:szCs w:val="22"/>
                <w:lang w:val="fr-FR"/>
              </w:rPr>
            </w:pPr>
            <w:r w:rsidRPr="003C5D6B">
              <w:rPr>
                <w:rFonts w:asciiTheme="majorBidi" w:hAnsiTheme="majorBidi" w:cstheme="majorBidi"/>
                <w:szCs w:val="22"/>
                <w:lang w:val="fr-FR"/>
              </w:rPr>
              <w:t>Coordonnées</w:t>
            </w:r>
          </w:p>
        </w:tc>
      </w:tr>
      <w:tr w:rsidR="00716A59" w:rsidRPr="003C5D6B" w:rsidTr="003C5D6B">
        <w:trPr>
          <w:trHeight w:val="1142"/>
        </w:trPr>
        <w:tc>
          <w:tcPr>
            <w:tcW w:w="1713" w:type="dxa"/>
            <w:vMerge w:val="restart"/>
          </w:tcPr>
          <w:p w:rsidR="00716A59" w:rsidRPr="003C5D6B" w:rsidRDefault="00716A59" w:rsidP="003C5D6B">
            <w:pPr>
              <w:pStyle w:val="Tabletext"/>
              <w:rPr>
                <w:rFonts w:asciiTheme="majorBidi" w:hAnsiTheme="majorBidi" w:cstheme="majorBidi"/>
                <w:b/>
                <w:bCs/>
                <w:szCs w:val="22"/>
                <w:lang w:val="fr-FR" w:eastAsia="de-DE"/>
              </w:rPr>
            </w:pPr>
            <w:r w:rsidRPr="003C5D6B">
              <w:rPr>
                <w:rFonts w:asciiTheme="majorBidi" w:hAnsiTheme="majorBidi" w:cstheme="majorBidi"/>
                <w:b/>
                <w:bCs/>
                <w:szCs w:val="22"/>
                <w:lang w:val="fr-FR" w:eastAsia="de-DE"/>
              </w:rPr>
              <w:t>1,00 (élevé)</w:t>
            </w:r>
          </w:p>
        </w:tc>
        <w:tc>
          <w:tcPr>
            <w:tcW w:w="2807" w:type="dxa"/>
          </w:tcPr>
          <w:p w:rsidR="00716A59" w:rsidRPr="003C5D6B" w:rsidRDefault="00716A59" w:rsidP="003C5D6B">
            <w:pPr>
              <w:pStyle w:val="Tabletext"/>
              <w:jc w:val="left"/>
              <w:rPr>
                <w:rFonts w:asciiTheme="majorBidi" w:hAnsiTheme="majorBidi" w:cstheme="majorBidi"/>
                <w:szCs w:val="22"/>
                <w:lang w:val="fr-FR" w:eastAsia="de-DE"/>
              </w:rPr>
            </w:pPr>
            <w:r w:rsidRPr="003C5D6B">
              <w:rPr>
                <w:rFonts w:asciiTheme="majorBidi" w:hAnsiTheme="majorBidi" w:cstheme="majorBidi"/>
                <w:szCs w:val="22"/>
                <w:lang w:val="fr-FR" w:eastAsia="de-DE"/>
              </w:rPr>
              <w:t>Ville d'Abu Dhabi et environs</w:t>
            </w:r>
          </w:p>
        </w:tc>
        <w:tc>
          <w:tcPr>
            <w:tcW w:w="2628" w:type="dxa"/>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54° 30' E – 24° 45'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00' E – 24° 45'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00' E – 24° 05'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54° 00' E – 24° 20' N</w:t>
            </w:r>
          </w:p>
        </w:tc>
      </w:tr>
      <w:tr w:rsidR="00716A59" w:rsidRPr="003C5D6B" w:rsidTr="003C5D6B">
        <w:trPr>
          <w:trHeight w:val="1250"/>
        </w:trPr>
        <w:tc>
          <w:tcPr>
            <w:tcW w:w="1713" w:type="dxa"/>
            <w:vMerge/>
          </w:tcPr>
          <w:p w:rsidR="00716A59" w:rsidRPr="003C5D6B" w:rsidRDefault="00716A59" w:rsidP="003C5D6B">
            <w:pPr>
              <w:pStyle w:val="Tabletext"/>
              <w:rPr>
                <w:rFonts w:asciiTheme="majorBidi" w:hAnsiTheme="majorBidi" w:cstheme="majorBidi"/>
                <w:szCs w:val="22"/>
                <w:lang w:val="fr-FR"/>
              </w:rPr>
            </w:pPr>
          </w:p>
        </w:tc>
        <w:tc>
          <w:tcPr>
            <w:tcW w:w="2807" w:type="dxa"/>
          </w:tcPr>
          <w:p w:rsidR="00716A59" w:rsidRPr="003C5D6B" w:rsidRDefault="00716A59" w:rsidP="003C5D6B">
            <w:pPr>
              <w:pStyle w:val="Tabletext"/>
              <w:jc w:val="left"/>
              <w:rPr>
                <w:rFonts w:asciiTheme="majorBidi" w:hAnsiTheme="majorBidi" w:cstheme="majorBidi"/>
                <w:szCs w:val="22"/>
                <w:lang w:val="fr-FR"/>
              </w:rPr>
            </w:pPr>
            <w:r w:rsidRPr="003C5D6B">
              <w:rPr>
                <w:rFonts w:asciiTheme="majorBidi" w:hAnsiTheme="majorBidi" w:cstheme="majorBidi"/>
                <w:szCs w:val="22"/>
                <w:lang w:val="fr-FR"/>
              </w:rPr>
              <w:t>Villes de Dubaï, Sharjah, Ajman et Umm Al Qaiwain et environs</w:t>
            </w:r>
          </w:p>
        </w:tc>
        <w:tc>
          <w:tcPr>
            <w:tcW w:w="2628" w:type="dxa"/>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30' E – 25° 40'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55' E – 25° 20'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00' E – 24° 45'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54° 30' E – 24° 45' N</w:t>
            </w:r>
          </w:p>
        </w:tc>
      </w:tr>
      <w:tr w:rsidR="00716A59" w:rsidRPr="003C5D6B" w:rsidTr="003C5D6B">
        <w:trPr>
          <w:trHeight w:val="1250"/>
        </w:trPr>
        <w:tc>
          <w:tcPr>
            <w:tcW w:w="1713" w:type="dxa"/>
            <w:vMerge/>
          </w:tcPr>
          <w:p w:rsidR="00716A59" w:rsidRPr="003C5D6B" w:rsidRDefault="00716A59" w:rsidP="003C5D6B">
            <w:pPr>
              <w:pStyle w:val="Tabletext"/>
              <w:rPr>
                <w:rFonts w:asciiTheme="majorBidi" w:hAnsiTheme="majorBidi" w:cstheme="majorBidi"/>
                <w:szCs w:val="22"/>
                <w:lang w:val="fr-FR"/>
              </w:rPr>
            </w:pPr>
          </w:p>
        </w:tc>
        <w:tc>
          <w:tcPr>
            <w:tcW w:w="2807" w:type="dxa"/>
          </w:tcPr>
          <w:p w:rsidR="00716A59" w:rsidRPr="003C5D6B" w:rsidRDefault="00716A59" w:rsidP="003C5D6B">
            <w:pPr>
              <w:pStyle w:val="Tabletext"/>
              <w:jc w:val="left"/>
              <w:rPr>
                <w:rFonts w:asciiTheme="majorBidi" w:hAnsiTheme="majorBidi" w:cstheme="majorBidi"/>
                <w:szCs w:val="22"/>
                <w:lang w:val="fr-FR"/>
              </w:rPr>
            </w:pPr>
            <w:r w:rsidRPr="003C5D6B">
              <w:rPr>
                <w:rFonts w:asciiTheme="majorBidi" w:hAnsiTheme="majorBidi" w:cstheme="majorBidi"/>
                <w:szCs w:val="22"/>
                <w:lang w:val="fr-FR" w:eastAsia="de-DE"/>
              </w:rPr>
              <w:t>Ville de Al Ain et environs</w:t>
            </w:r>
          </w:p>
        </w:tc>
        <w:tc>
          <w:tcPr>
            <w:tcW w:w="2628" w:type="dxa"/>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30' E – 24° 20'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50' E – 24° 20'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50' E – 24° 00'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30' E – 24° 00' N</w:t>
            </w:r>
          </w:p>
        </w:tc>
      </w:tr>
      <w:tr w:rsidR="00716A59" w:rsidRPr="003C5D6B" w:rsidTr="003C5D6B">
        <w:trPr>
          <w:trHeight w:val="1250"/>
        </w:trPr>
        <w:tc>
          <w:tcPr>
            <w:tcW w:w="1713" w:type="dxa"/>
            <w:vMerge w:val="restart"/>
          </w:tcPr>
          <w:p w:rsidR="00716A59" w:rsidRPr="003C5D6B" w:rsidRDefault="00716A59" w:rsidP="003C5D6B">
            <w:pPr>
              <w:pStyle w:val="Tabletext"/>
              <w:rPr>
                <w:rFonts w:asciiTheme="majorBidi" w:hAnsiTheme="majorBidi" w:cstheme="majorBidi"/>
                <w:b/>
                <w:bCs/>
                <w:szCs w:val="22"/>
                <w:lang w:val="fr-FR"/>
              </w:rPr>
            </w:pPr>
            <w:r w:rsidRPr="003C5D6B">
              <w:rPr>
                <w:rFonts w:asciiTheme="majorBidi" w:hAnsiTheme="majorBidi" w:cstheme="majorBidi"/>
                <w:b/>
                <w:bCs/>
                <w:szCs w:val="22"/>
                <w:lang w:val="fr-FR"/>
              </w:rPr>
              <w:t>0,75 (moyen)</w:t>
            </w:r>
          </w:p>
        </w:tc>
        <w:tc>
          <w:tcPr>
            <w:tcW w:w="2807" w:type="dxa"/>
          </w:tcPr>
          <w:p w:rsidR="00716A59" w:rsidRPr="003C5D6B" w:rsidRDefault="00716A59" w:rsidP="003C5D6B">
            <w:pPr>
              <w:pStyle w:val="Tabletext"/>
              <w:jc w:val="left"/>
              <w:rPr>
                <w:rFonts w:asciiTheme="majorBidi" w:hAnsiTheme="majorBidi" w:cstheme="majorBidi"/>
                <w:szCs w:val="22"/>
                <w:lang w:val="fr-FR"/>
              </w:rPr>
            </w:pPr>
            <w:r w:rsidRPr="003C5D6B">
              <w:rPr>
                <w:rFonts w:asciiTheme="majorBidi" w:hAnsiTheme="majorBidi" w:cstheme="majorBidi"/>
                <w:szCs w:val="22"/>
                <w:lang w:val="fr-FR"/>
              </w:rPr>
              <w:t xml:space="preserve">Zone entre Abu Dhabi et Al Ain </w:t>
            </w:r>
          </w:p>
        </w:tc>
        <w:tc>
          <w:tcPr>
            <w:tcW w:w="2628" w:type="dxa"/>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00' E – 24° 20'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30' E – 24° 20'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30' E – 24° 00'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00' E – 24° 05' N</w:t>
            </w:r>
          </w:p>
        </w:tc>
      </w:tr>
      <w:tr w:rsidR="00716A59" w:rsidRPr="003C5D6B" w:rsidTr="003C5D6B">
        <w:trPr>
          <w:trHeight w:val="1430"/>
        </w:trPr>
        <w:tc>
          <w:tcPr>
            <w:tcW w:w="1713" w:type="dxa"/>
            <w:vMerge/>
          </w:tcPr>
          <w:p w:rsidR="00716A59" w:rsidRPr="003C5D6B" w:rsidRDefault="00716A59" w:rsidP="003C5D6B">
            <w:pPr>
              <w:pStyle w:val="Tabletext"/>
              <w:rPr>
                <w:rFonts w:asciiTheme="majorBidi" w:hAnsiTheme="majorBidi" w:cstheme="majorBidi"/>
                <w:szCs w:val="22"/>
                <w:lang w:val="fr-FR"/>
              </w:rPr>
            </w:pPr>
          </w:p>
        </w:tc>
        <w:tc>
          <w:tcPr>
            <w:tcW w:w="2807" w:type="dxa"/>
          </w:tcPr>
          <w:p w:rsidR="00716A59" w:rsidRPr="003C5D6B" w:rsidRDefault="00716A59" w:rsidP="003C5D6B">
            <w:pPr>
              <w:pStyle w:val="Tabletext"/>
              <w:jc w:val="left"/>
              <w:rPr>
                <w:rFonts w:asciiTheme="majorBidi" w:hAnsiTheme="majorBidi" w:cstheme="majorBidi"/>
                <w:szCs w:val="22"/>
                <w:lang w:val="fr-FR" w:eastAsia="de-DE"/>
              </w:rPr>
            </w:pPr>
            <w:r w:rsidRPr="003C5D6B">
              <w:rPr>
                <w:rFonts w:asciiTheme="majorBidi" w:hAnsiTheme="majorBidi" w:cstheme="majorBidi"/>
                <w:szCs w:val="22"/>
                <w:lang w:val="fr-FR" w:eastAsia="de-DE"/>
              </w:rPr>
              <w:t xml:space="preserve">Ville de Fujairah </w:t>
            </w:r>
            <w:r w:rsidRPr="003C5D6B">
              <w:rPr>
                <w:rFonts w:asciiTheme="majorBidi" w:hAnsiTheme="majorBidi" w:cstheme="majorBidi"/>
                <w:szCs w:val="22"/>
                <w:lang w:val="fr-FR"/>
              </w:rPr>
              <w:t>et environs</w:t>
            </w:r>
          </w:p>
        </w:tc>
        <w:tc>
          <w:tcPr>
            <w:tcW w:w="2628" w:type="dxa"/>
            <w:vAlign w:val="center"/>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56° 15' E – 25° 15'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56° 25' E – 25° 15'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56° 25' E – 25° 00'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56° 15' E – 25° 00' N</w:t>
            </w:r>
          </w:p>
        </w:tc>
      </w:tr>
      <w:tr w:rsidR="00716A59" w:rsidRPr="003C5D6B" w:rsidTr="003C5D6B">
        <w:trPr>
          <w:trHeight w:val="1250"/>
        </w:trPr>
        <w:tc>
          <w:tcPr>
            <w:tcW w:w="1713" w:type="dxa"/>
            <w:vMerge/>
          </w:tcPr>
          <w:p w:rsidR="00716A59" w:rsidRPr="003C5D6B" w:rsidRDefault="00716A59" w:rsidP="003C5D6B">
            <w:pPr>
              <w:pStyle w:val="Tabletext"/>
              <w:rPr>
                <w:rFonts w:asciiTheme="majorBidi" w:hAnsiTheme="majorBidi" w:cstheme="majorBidi"/>
                <w:szCs w:val="22"/>
                <w:lang w:val="fr-FR"/>
              </w:rPr>
            </w:pPr>
          </w:p>
        </w:tc>
        <w:tc>
          <w:tcPr>
            <w:tcW w:w="2807" w:type="dxa"/>
          </w:tcPr>
          <w:p w:rsidR="00716A59" w:rsidRPr="003C5D6B" w:rsidRDefault="00716A59" w:rsidP="003C5D6B">
            <w:pPr>
              <w:pStyle w:val="Tabletext"/>
              <w:jc w:val="left"/>
              <w:rPr>
                <w:rFonts w:asciiTheme="majorBidi" w:hAnsiTheme="majorBidi" w:cstheme="majorBidi"/>
                <w:szCs w:val="22"/>
                <w:lang w:val="fr-FR" w:eastAsia="de-DE"/>
              </w:rPr>
            </w:pPr>
            <w:r w:rsidRPr="003C5D6B">
              <w:rPr>
                <w:rFonts w:asciiTheme="majorBidi" w:hAnsiTheme="majorBidi" w:cstheme="majorBidi"/>
                <w:szCs w:val="22"/>
                <w:lang w:val="fr-FR" w:eastAsia="de-DE"/>
              </w:rPr>
              <w:t>Ville de Ras Al Khaimah</w:t>
            </w:r>
            <w:r w:rsidRPr="003C5D6B">
              <w:rPr>
                <w:rFonts w:asciiTheme="majorBidi" w:hAnsiTheme="majorBidi" w:cstheme="majorBidi"/>
                <w:szCs w:val="22"/>
                <w:lang w:val="fr-FR"/>
              </w:rPr>
              <w:t xml:space="preserve"> et environs</w:t>
            </w:r>
          </w:p>
        </w:tc>
        <w:tc>
          <w:tcPr>
            <w:tcW w:w="2628" w:type="dxa"/>
            <w:vAlign w:val="center"/>
          </w:tcPr>
          <w:p w:rsidR="00716A59" w:rsidRPr="003C5D6B" w:rsidRDefault="00716A59" w:rsidP="003C5D6B">
            <w:pPr>
              <w:pStyle w:val="Tabletext"/>
              <w:rPr>
                <w:rFonts w:asciiTheme="majorBidi" w:hAnsiTheme="majorBidi" w:cstheme="majorBidi"/>
                <w:szCs w:val="22"/>
                <w:lang w:val="fr-FR" w:eastAsia="de-DE"/>
              </w:rPr>
            </w:pPr>
            <w:r w:rsidRPr="003C5D6B">
              <w:rPr>
                <w:rFonts w:asciiTheme="majorBidi" w:hAnsiTheme="majorBidi" w:cstheme="majorBidi"/>
                <w:szCs w:val="22"/>
                <w:lang w:val="fr-FR" w:eastAsia="de-DE"/>
              </w:rPr>
              <w:t>55° 50' E – 25° 55' N</w:t>
            </w:r>
          </w:p>
          <w:p w:rsidR="00716A59" w:rsidRPr="003C5D6B" w:rsidRDefault="00716A59" w:rsidP="003C5D6B">
            <w:pPr>
              <w:pStyle w:val="Tabletext"/>
              <w:rPr>
                <w:rFonts w:asciiTheme="majorBidi" w:hAnsiTheme="majorBidi" w:cstheme="majorBidi"/>
                <w:szCs w:val="22"/>
                <w:lang w:val="fr-FR" w:eastAsia="de-DE"/>
              </w:rPr>
            </w:pPr>
            <w:r w:rsidRPr="003C5D6B">
              <w:rPr>
                <w:rFonts w:asciiTheme="majorBidi" w:hAnsiTheme="majorBidi" w:cstheme="majorBidi"/>
                <w:szCs w:val="22"/>
                <w:lang w:val="fr-FR" w:eastAsia="de-DE"/>
              </w:rPr>
              <w:t>56° 05' E – 25° 55' N</w:t>
            </w:r>
          </w:p>
          <w:p w:rsidR="00716A59" w:rsidRPr="003C5D6B" w:rsidRDefault="00716A59" w:rsidP="003C5D6B">
            <w:pPr>
              <w:pStyle w:val="Tabletext"/>
              <w:rPr>
                <w:rFonts w:asciiTheme="majorBidi" w:hAnsiTheme="majorBidi" w:cstheme="majorBidi"/>
                <w:szCs w:val="22"/>
                <w:lang w:val="fr-FR" w:eastAsia="de-DE"/>
              </w:rPr>
            </w:pPr>
            <w:r w:rsidRPr="003C5D6B">
              <w:rPr>
                <w:rFonts w:asciiTheme="majorBidi" w:hAnsiTheme="majorBidi" w:cstheme="majorBidi"/>
                <w:szCs w:val="22"/>
                <w:lang w:val="fr-FR" w:eastAsia="de-DE"/>
              </w:rPr>
              <w:t>56° 05' E – 25° 40' N</w:t>
            </w:r>
          </w:p>
          <w:p w:rsidR="00716A59" w:rsidRPr="003C5D6B" w:rsidRDefault="00716A59" w:rsidP="003C5D6B">
            <w:pPr>
              <w:pStyle w:val="Tabletext"/>
              <w:rPr>
                <w:rFonts w:asciiTheme="majorBidi" w:hAnsiTheme="majorBidi" w:cstheme="majorBidi"/>
                <w:szCs w:val="22"/>
                <w:lang w:val="fr-FR" w:eastAsia="de-DE"/>
              </w:rPr>
            </w:pPr>
            <w:r w:rsidRPr="003C5D6B">
              <w:rPr>
                <w:rFonts w:asciiTheme="majorBidi" w:hAnsiTheme="majorBidi" w:cstheme="majorBidi"/>
                <w:szCs w:val="22"/>
                <w:lang w:val="fr-FR" w:eastAsia="de-DE"/>
              </w:rPr>
              <w:t>55° 50' E – 25° 40' N</w:t>
            </w:r>
          </w:p>
        </w:tc>
      </w:tr>
      <w:tr w:rsidR="00716A59" w:rsidRPr="003C5D6B" w:rsidTr="003C5D6B">
        <w:trPr>
          <w:trHeight w:val="1070"/>
        </w:trPr>
        <w:tc>
          <w:tcPr>
            <w:tcW w:w="1713" w:type="dxa"/>
            <w:vMerge/>
          </w:tcPr>
          <w:p w:rsidR="00716A59" w:rsidRPr="003C5D6B" w:rsidRDefault="00716A59" w:rsidP="003C5D6B">
            <w:pPr>
              <w:pStyle w:val="Tabletext"/>
              <w:rPr>
                <w:rFonts w:asciiTheme="majorBidi" w:hAnsiTheme="majorBidi" w:cstheme="majorBidi"/>
                <w:szCs w:val="22"/>
                <w:lang w:val="fr-FR"/>
              </w:rPr>
            </w:pPr>
          </w:p>
        </w:tc>
        <w:tc>
          <w:tcPr>
            <w:tcW w:w="2807" w:type="dxa"/>
            <w:vAlign w:val="center"/>
          </w:tcPr>
          <w:p w:rsidR="00716A59" w:rsidRPr="003C5D6B" w:rsidRDefault="00716A59" w:rsidP="003C5D6B">
            <w:pPr>
              <w:pStyle w:val="Tabletext"/>
              <w:jc w:val="left"/>
              <w:rPr>
                <w:rFonts w:asciiTheme="majorBidi" w:hAnsiTheme="majorBidi" w:cstheme="majorBidi"/>
                <w:szCs w:val="22"/>
                <w:lang w:val="fr-FR" w:eastAsia="de-DE"/>
              </w:rPr>
            </w:pPr>
            <w:r w:rsidRPr="003C5D6B">
              <w:rPr>
                <w:rFonts w:asciiTheme="majorBidi" w:hAnsiTheme="majorBidi" w:cstheme="majorBidi"/>
                <w:szCs w:val="22"/>
                <w:lang w:val="fr-FR" w:eastAsia="de-DE"/>
              </w:rPr>
              <w:t xml:space="preserve">Zone entre </w:t>
            </w:r>
            <w:r w:rsidRPr="003C5D6B">
              <w:rPr>
                <w:rFonts w:asciiTheme="majorBidi" w:hAnsiTheme="majorBidi" w:cstheme="majorBidi"/>
                <w:szCs w:val="22"/>
                <w:lang w:val="fr-FR"/>
              </w:rPr>
              <w:t xml:space="preserve">Umm Al Qaiwain et </w:t>
            </w:r>
            <w:r w:rsidRPr="003C5D6B">
              <w:rPr>
                <w:rFonts w:asciiTheme="majorBidi" w:hAnsiTheme="majorBidi" w:cstheme="majorBidi"/>
                <w:szCs w:val="22"/>
                <w:lang w:val="fr-FR" w:eastAsia="de-DE"/>
              </w:rPr>
              <w:t>Ras Al Khaimah</w:t>
            </w:r>
            <w:r w:rsidRPr="003C5D6B">
              <w:rPr>
                <w:rFonts w:asciiTheme="majorBidi" w:hAnsiTheme="majorBidi" w:cstheme="majorBidi"/>
                <w:szCs w:val="22"/>
                <w:lang w:val="fr-FR"/>
              </w:rPr>
              <w:t xml:space="preserve"> </w:t>
            </w:r>
          </w:p>
        </w:tc>
        <w:tc>
          <w:tcPr>
            <w:tcW w:w="2628" w:type="dxa"/>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30' E – 25° 40'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56° 05' E – 25° 40' N</w:t>
            </w:r>
          </w:p>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55° 55' E – 25° 20' N</w:t>
            </w:r>
          </w:p>
        </w:tc>
      </w:tr>
      <w:tr w:rsidR="00716A59" w:rsidRPr="003C5D6B" w:rsidTr="003C5D6B">
        <w:trPr>
          <w:trHeight w:val="350"/>
        </w:trPr>
        <w:tc>
          <w:tcPr>
            <w:tcW w:w="1713" w:type="dxa"/>
            <w:vAlign w:val="center"/>
          </w:tcPr>
          <w:p w:rsidR="00716A59" w:rsidRPr="003C5D6B" w:rsidRDefault="00716A59" w:rsidP="003C5D6B">
            <w:pPr>
              <w:pStyle w:val="Tabletext"/>
              <w:rPr>
                <w:rFonts w:asciiTheme="majorBidi" w:hAnsiTheme="majorBidi" w:cstheme="majorBidi"/>
                <w:b/>
                <w:bCs/>
                <w:szCs w:val="22"/>
                <w:lang w:val="fr-FR" w:eastAsia="de-DE"/>
              </w:rPr>
            </w:pPr>
            <w:r w:rsidRPr="003C5D6B">
              <w:rPr>
                <w:rFonts w:asciiTheme="majorBidi" w:hAnsiTheme="majorBidi" w:cstheme="majorBidi"/>
                <w:b/>
                <w:bCs/>
                <w:szCs w:val="22"/>
                <w:lang w:val="fr-FR" w:eastAsia="de-DE"/>
              </w:rPr>
              <w:t>0,50 (faible)</w:t>
            </w:r>
          </w:p>
        </w:tc>
        <w:tc>
          <w:tcPr>
            <w:tcW w:w="5435" w:type="dxa"/>
            <w:gridSpan w:val="2"/>
            <w:vAlign w:val="center"/>
          </w:tcPr>
          <w:p w:rsidR="00716A59" w:rsidRPr="003C5D6B" w:rsidRDefault="00716A59" w:rsidP="003C5D6B">
            <w:pPr>
              <w:pStyle w:val="Tabletext"/>
              <w:rPr>
                <w:rFonts w:asciiTheme="majorBidi" w:hAnsiTheme="majorBidi" w:cstheme="majorBidi"/>
                <w:szCs w:val="22"/>
                <w:lang w:val="fr-FR" w:eastAsia="de-DE"/>
              </w:rPr>
            </w:pPr>
            <w:r w:rsidRPr="003C5D6B">
              <w:rPr>
                <w:rFonts w:asciiTheme="majorBidi" w:hAnsiTheme="majorBidi" w:cstheme="majorBidi"/>
                <w:szCs w:val="22"/>
                <w:lang w:val="fr-FR" w:eastAsia="de-DE"/>
              </w:rPr>
              <w:t>Toutes les zones restantes</w:t>
            </w:r>
          </w:p>
        </w:tc>
      </w:tr>
    </w:tbl>
    <w:p w:rsidR="00716A59" w:rsidRPr="003C5D6B" w:rsidRDefault="00716A59" w:rsidP="00716A59">
      <w:pPr>
        <w:pStyle w:val="FigureSource"/>
        <w:rPr>
          <w:lang w:val="fr-FR"/>
        </w:rPr>
      </w:pPr>
    </w:p>
    <w:p w:rsidR="00716A59" w:rsidRPr="003C5D6B" w:rsidRDefault="00716A59" w:rsidP="00716A59">
      <w:pPr>
        <w:pStyle w:val="FigureTitle"/>
        <w:rPr>
          <w:lang w:val="fr-FR"/>
        </w:rPr>
      </w:pPr>
    </w:p>
    <w:p w:rsidR="00716A59" w:rsidRPr="003C5D6B" w:rsidRDefault="00716A59" w:rsidP="00716A59">
      <w:pPr>
        <w:ind w:left="1599" w:hanging="902"/>
        <w:jc w:val="center"/>
        <w:rPr>
          <w:szCs w:val="19"/>
          <w:lang w:val="fr-FR"/>
        </w:rPr>
      </w:pPr>
      <w:r w:rsidRPr="003C5D6B">
        <w:rPr>
          <w:noProof/>
          <w:szCs w:val="19"/>
          <w:lang w:val="en-US" w:eastAsia="zh-CN"/>
        </w:rPr>
        <w:drawing>
          <wp:inline distT="0" distB="0" distL="0" distR="0">
            <wp:extent cx="4933950" cy="4267200"/>
            <wp:effectExtent l="19050" t="0" r="0" b="0"/>
            <wp:docPr id="4" name="Picture 3" descr="UA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E-TRA"/>
                    <pic:cNvPicPr>
                      <a:picLocks noChangeAspect="1" noChangeArrowheads="1"/>
                    </pic:cNvPicPr>
                  </pic:nvPicPr>
                  <pic:blipFill>
                    <a:blip r:embed="rId19" cstate="print"/>
                    <a:srcRect/>
                    <a:stretch>
                      <a:fillRect/>
                    </a:stretch>
                  </pic:blipFill>
                  <pic:spPr bwMode="auto">
                    <a:xfrm>
                      <a:off x="0" y="0"/>
                      <a:ext cx="4933950" cy="4267200"/>
                    </a:xfrm>
                    <a:prstGeom prst="rect">
                      <a:avLst/>
                    </a:prstGeom>
                    <a:noFill/>
                    <a:ln w="9525">
                      <a:noFill/>
                      <a:miter lim="800000"/>
                      <a:headEnd/>
                      <a:tailEnd/>
                    </a:ln>
                  </pic:spPr>
                </pic:pic>
              </a:graphicData>
            </a:graphic>
          </wp:inline>
        </w:drawing>
      </w:r>
    </w:p>
    <w:p w:rsidR="00716A59" w:rsidRPr="003C5D6B" w:rsidRDefault="00716A59" w:rsidP="00716A59">
      <w:pPr>
        <w:pStyle w:val="TableNotitle"/>
        <w:rPr>
          <w:sz w:val="19"/>
          <w:szCs w:val="19"/>
          <w:lang w:val="fr-FR"/>
        </w:rPr>
      </w:pPr>
      <w:r w:rsidRPr="003C5D6B">
        <w:rPr>
          <w:sz w:val="19"/>
          <w:szCs w:val="19"/>
          <w:lang w:val="fr-FR"/>
        </w:rPr>
        <w:t>Vue par satellite des Emirats arabes unis, avec indication des zones de service</w:t>
      </w:r>
    </w:p>
    <w:p w:rsidR="00716A59" w:rsidRPr="003C5D6B" w:rsidRDefault="00716A59" w:rsidP="00716A59">
      <w:pPr>
        <w:ind w:left="3800" w:hanging="2200"/>
        <w:rPr>
          <w:b/>
          <w:lang w:val="fr-FR"/>
        </w:rPr>
      </w:pPr>
      <w:r w:rsidRPr="003C5D6B">
        <w:rPr>
          <w:b/>
          <w:lang w:val="fr-FR"/>
        </w:rPr>
        <w:t>En rouge:</w:t>
      </w:r>
      <w:r w:rsidRPr="003C5D6B">
        <w:rPr>
          <w:b/>
          <w:lang w:val="fr-FR"/>
        </w:rPr>
        <w:tab/>
        <w:t>Zone de service avec coefficient D élevé (1,00)</w:t>
      </w:r>
    </w:p>
    <w:p w:rsidR="00716A59" w:rsidRPr="003C5D6B" w:rsidRDefault="00716A59" w:rsidP="00716A59">
      <w:pPr>
        <w:ind w:left="3800" w:hanging="2200"/>
        <w:rPr>
          <w:b/>
          <w:lang w:val="fr-FR"/>
        </w:rPr>
      </w:pPr>
      <w:r w:rsidRPr="003C5D6B">
        <w:rPr>
          <w:b/>
          <w:lang w:val="fr-FR"/>
        </w:rPr>
        <w:t>En vert:</w:t>
      </w:r>
      <w:r w:rsidRPr="003C5D6B">
        <w:rPr>
          <w:b/>
          <w:lang w:val="fr-FR"/>
        </w:rPr>
        <w:tab/>
        <w:t>Zone de service avec coefficient D moyen (0,75)</w:t>
      </w:r>
    </w:p>
    <w:p w:rsidR="00716A59" w:rsidRPr="003C5D6B" w:rsidRDefault="00716A59" w:rsidP="00716A59">
      <w:pPr>
        <w:ind w:left="3800" w:hanging="2200"/>
        <w:rPr>
          <w:b/>
          <w:lang w:val="fr-FR"/>
        </w:rPr>
      </w:pPr>
      <w:r w:rsidRPr="003C5D6B">
        <w:rPr>
          <w:b/>
          <w:lang w:val="fr-FR"/>
        </w:rPr>
        <w:t>Autres zones:</w:t>
      </w:r>
      <w:r w:rsidRPr="003C5D6B">
        <w:rPr>
          <w:b/>
          <w:lang w:val="fr-FR"/>
        </w:rPr>
        <w:tab/>
        <w:t>Zone de service avec coefficient D faible (0,50)</w:t>
      </w:r>
    </w:p>
    <w:p w:rsidR="00716A59" w:rsidRPr="003C5D6B" w:rsidRDefault="00716A59" w:rsidP="00716A59">
      <w:pPr>
        <w:pStyle w:val="FigureSource"/>
        <w:rPr>
          <w:lang w:val="fr-FR"/>
        </w:rPr>
      </w:pPr>
    </w:p>
    <w:p w:rsidR="00716A59" w:rsidRPr="003C5D6B" w:rsidRDefault="00716A59" w:rsidP="00716A59">
      <w:pPr>
        <w:ind w:left="1191" w:hanging="1191"/>
        <w:rPr>
          <w:lang w:val="fr-FR"/>
        </w:rPr>
      </w:pPr>
      <w:r w:rsidRPr="003C5D6B">
        <w:rPr>
          <w:b/>
          <w:lang w:val="fr-FR"/>
        </w:rPr>
        <w:tab/>
      </w:r>
      <w:r w:rsidRPr="003C5D6B">
        <w:rPr>
          <w:b/>
          <w:lang w:val="fr-FR"/>
        </w:rPr>
        <w:tab/>
      </w:r>
      <w:r w:rsidRPr="003C5D6B">
        <w:rPr>
          <w:b/>
          <w:bCs/>
          <w:lang w:val="fr-FR"/>
        </w:rPr>
        <w:t>Note 1</w:t>
      </w:r>
      <w:r w:rsidRPr="003C5D6B">
        <w:rPr>
          <w:lang w:val="fr-FR"/>
        </w:rPr>
        <w:t>:</w:t>
      </w:r>
      <w:r w:rsidRPr="003C5D6B">
        <w:rPr>
          <w:lang w:val="fr-FR"/>
        </w:rPr>
        <w:tab/>
        <w:t xml:space="preserve">En cas d'émission depuis une station située dans une zone de service à coefficient moyen ou faible et à destination (en partie ou en totalité) d'une zone de service à coefficient plus élevé, la station concernée </w:t>
      </w:r>
      <w:r w:rsidRPr="003C5D6B">
        <w:rPr>
          <w:szCs w:val="19"/>
          <w:lang w:val="fr-FR"/>
        </w:rPr>
        <w:t>sera</w:t>
      </w:r>
      <w:r w:rsidRPr="003C5D6B">
        <w:rPr>
          <w:lang w:val="fr-FR"/>
        </w:rPr>
        <w:t xml:space="preserve"> considérée comme appartenant à la zone de service à coefficient plus élevé.</w:t>
      </w:r>
    </w:p>
    <w:p w:rsidR="00716A59" w:rsidRPr="003C5D6B" w:rsidRDefault="00716A59" w:rsidP="00716A59">
      <w:pPr>
        <w:ind w:left="1191" w:hanging="1191"/>
        <w:rPr>
          <w:lang w:val="fr-FR"/>
        </w:rPr>
      </w:pPr>
      <w:r w:rsidRPr="003C5D6B">
        <w:rPr>
          <w:b/>
          <w:lang w:val="fr-FR"/>
        </w:rPr>
        <w:tab/>
      </w:r>
      <w:r w:rsidRPr="003C5D6B">
        <w:rPr>
          <w:b/>
          <w:lang w:val="fr-FR"/>
        </w:rPr>
        <w:tab/>
      </w:r>
      <w:r w:rsidRPr="003C5D6B">
        <w:rPr>
          <w:b/>
          <w:bCs/>
          <w:lang w:val="fr-FR"/>
        </w:rPr>
        <w:t>Note 2</w:t>
      </w:r>
      <w:r w:rsidRPr="003C5D6B">
        <w:rPr>
          <w:lang w:val="fr-FR"/>
        </w:rPr>
        <w:t>:</w:t>
      </w:r>
      <w:r w:rsidRPr="003C5D6B">
        <w:rPr>
          <w:lang w:val="fr-FR"/>
        </w:rPr>
        <w:tab/>
        <w:t>Pour les services de radiodiffusion dans la bande des ondes décamétriques et dans les bandes de fréquences inférieures, le coefficient de zone de service est égal à 1.</w:t>
      </w:r>
    </w:p>
    <w:p w:rsidR="00716A59" w:rsidRPr="003C5D6B" w:rsidRDefault="00716A59" w:rsidP="00716A59">
      <w:pPr>
        <w:ind w:left="1191" w:hanging="1191"/>
        <w:rPr>
          <w:b/>
          <w:bCs/>
          <w:lang w:val="fr-FR"/>
        </w:rPr>
      </w:pPr>
      <w:r w:rsidRPr="003C5D6B">
        <w:rPr>
          <w:b/>
          <w:lang w:val="fr-FR"/>
        </w:rPr>
        <w:tab/>
      </w:r>
      <w:r w:rsidRPr="003C5D6B">
        <w:rPr>
          <w:b/>
          <w:lang w:val="fr-FR"/>
        </w:rPr>
        <w:tab/>
        <w:t>E = Coefficient de hauteur de l'antenne, calculé comme suit:</w:t>
      </w:r>
    </w:p>
    <w:p w:rsidR="00716A59" w:rsidRPr="003C5D6B" w:rsidRDefault="00716A59" w:rsidP="00716A59">
      <w:pPr>
        <w:tabs>
          <w:tab w:val="clear" w:pos="1191"/>
          <w:tab w:val="left" w:pos="1204"/>
        </w:tabs>
        <w:ind w:left="2160" w:hanging="1463"/>
        <w:jc w:val="center"/>
        <w:rPr>
          <w:b/>
          <w:bCs/>
          <w:vertAlign w:val="subscript"/>
          <w:lang w:val="fr-FR"/>
        </w:rPr>
      </w:pPr>
      <w:r w:rsidRPr="003C5D6B">
        <w:rPr>
          <w:b/>
          <w:lang w:val="fr-FR"/>
        </w:rPr>
        <w:t>E = H</w:t>
      </w:r>
      <w:r w:rsidRPr="003C5D6B">
        <w:rPr>
          <w:b/>
          <w:vertAlign w:val="subscript"/>
          <w:lang w:val="fr-FR"/>
        </w:rPr>
        <w:t>ASL</w:t>
      </w:r>
      <w:r w:rsidRPr="003C5D6B">
        <w:rPr>
          <w:b/>
          <w:lang w:val="fr-FR"/>
        </w:rPr>
        <w:t xml:space="preserve"> + H</w:t>
      </w:r>
      <w:r w:rsidRPr="003C5D6B">
        <w:rPr>
          <w:b/>
          <w:vertAlign w:val="subscript"/>
          <w:lang w:val="fr-FR"/>
        </w:rPr>
        <w:t>AGL</w:t>
      </w:r>
    </w:p>
    <w:p w:rsidR="00716A59" w:rsidRPr="003C5D6B" w:rsidRDefault="00716A59" w:rsidP="00716A59">
      <w:pPr>
        <w:ind w:left="1191" w:hanging="1191"/>
        <w:rPr>
          <w:lang w:val="fr-FR"/>
        </w:rPr>
      </w:pPr>
      <w:r w:rsidRPr="003C5D6B">
        <w:rPr>
          <w:lang w:val="fr-FR"/>
        </w:rPr>
        <w:tab/>
      </w:r>
      <w:r w:rsidRPr="003C5D6B">
        <w:rPr>
          <w:lang w:val="fr-FR"/>
        </w:rPr>
        <w:tab/>
      </w:r>
      <w:r w:rsidRPr="003C5D6B">
        <w:rPr>
          <w:b/>
          <w:lang w:val="fr-FR"/>
        </w:rPr>
        <w:t>H</w:t>
      </w:r>
      <w:r w:rsidRPr="003C5D6B">
        <w:rPr>
          <w:b/>
          <w:vertAlign w:val="subscript"/>
          <w:lang w:val="fr-FR"/>
        </w:rPr>
        <w:t>ASL</w:t>
      </w:r>
      <w:r w:rsidRPr="003C5D6B">
        <w:rPr>
          <w:lang w:val="fr-FR"/>
        </w:rPr>
        <w:t xml:space="preserve"> étant la hauteur par rapport au niveau de la mer exprimée en mètres et </w:t>
      </w:r>
      <w:r w:rsidRPr="003C5D6B">
        <w:rPr>
          <w:b/>
          <w:lang w:val="fr-FR"/>
        </w:rPr>
        <w:t>H</w:t>
      </w:r>
      <w:r w:rsidRPr="003C5D6B">
        <w:rPr>
          <w:b/>
          <w:vertAlign w:val="subscript"/>
          <w:lang w:val="fr-FR"/>
        </w:rPr>
        <w:t>AGL</w:t>
      </w:r>
      <w:r w:rsidRPr="003C5D6B">
        <w:rPr>
          <w:lang w:val="fr-FR"/>
        </w:rPr>
        <w:t xml:space="preserve"> étant la hauteur par rapport au niveau du sol, exprimée en mètres.</w:t>
      </w:r>
    </w:p>
    <w:p w:rsidR="00716A59" w:rsidRPr="003C5D6B" w:rsidRDefault="00716A59" w:rsidP="00716A59">
      <w:pPr>
        <w:ind w:left="1191" w:hanging="1191"/>
        <w:rPr>
          <w:lang w:val="fr-FR"/>
        </w:rPr>
      </w:pPr>
      <w:r w:rsidRPr="003C5D6B">
        <w:rPr>
          <w:lang w:val="fr-FR"/>
        </w:rPr>
        <w:tab/>
      </w:r>
      <w:r w:rsidRPr="003C5D6B">
        <w:rPr>
          <w:lang w:val="fr-FR"/>
        </w:rPr>
        <w:tab/>
      </w:r>
      <w:r w:rsidRPr="003C5D6B">
        <w:rPr>
          <w:b/>
          <w:lang w:val="fr-FR"/>
        </w:rPr>
        <w:t xml:space="preserve">F = Coefficient de correction </w:t>
      </w:r>
      <w:r w:rsidRPr="003C5D6B">
        <w:rPr>
          <w:lang w:val="fr-FR"/>
        </w:rPr>
        <w:t>exprimé comme suit:</w:t>
      </w:r>
    </w:p>
    <w:p w:rsidR="00716A59" w:rsidRPr="003C5D6B" w:rsidRDefault="00716A59" w:rsidP="00716A59">
      <w:pPr>
        <w:pStyle w:val="enumlev1"/>
        <w:ind w:left="1588" w:hanging="1588"/>
        <w:rPr>
          <w:rFonts w:asciiTheme="majorBidi" w:hAnsiTheme="majorBidi" w:cstheme="majorBidi"/>
          <w:szCs w:val="22"/>
          <w:lang w:val="fr-FR"/>
        </w:rPr>
      </w:pPr>
      <w:r w:rsidRPr="003C5D6B">
        <w:rPr>
          <w:rFonts w:asciiTheme="majorBidi" w:hAnsiTheme="majorBidi" w:cstheme="majorBidi"/>
          <w:szCs w:val="22"/>
          <w:lang w:val="fr-FR"/>
        </w:rPr>
        <w:tab/>
      </w:r>
      <w:r w:rsidRPr="003C5D6B">
        <w:rPr>
          <w:rFonts w:asciiTheme="majorBidi" w:hAnsiTheme="majorBidi" w:cstheme="majorBidi"/>
          <w:szCs w:val="22"/>
          <w:lang w:val="fr-FR"/>
        </w:rPr>
        <w:tab/>
        <w:t>a)</w:t>
      </w:r>
      <w:r w:rsidRPr="003C5D6B">
        <w:rPr>
          <w:rFonts w:asciiTheme="majorBidi" w:hAnsiTheme="majorBidi" w:cstheme="majorBidi"/>
          <w:szCs w:val="22"/>
          <w:lang w:val="fr-FR"/>
        </w:rPr>
        <w:tab/>
        <w:t>Pour les stations de radiodiffusion publique exploitées sur une base non commerciale, on applique un coefficient de correction (F) de 0,5.</w:t>
      </w:r>
    </w:p>
    <w:p w:rsidR="00716A59" w:rsidRPr="003C5D6B" w:rsidRDefault="00716A59" w:rsidP="00716A59">
      <w:pPr>
        <w:pStyle w:val="enumlev1"/>
        <w:ind w:left="1588" w:hanging="1588"/>
        <w:rPr>
          <w:rFonts w:asciiTheme="majorBidi" w:hAnsiTheme="majorBidi" w:cstheme="majorBidi"/>
          <w:szCs w:val="22"/>
          <w:lang w:val="fr-FR"/>
        </w:rPr>
      </w:pPr>
      <w:r w:rsidRPr="003C5D6B">
        <w:rPr>
          <w:rFonts w:asciiTheme="majorBidi" w:hAnsiTheme="majorBidi" w:cstheme="majorBidi"/>
          <w:szCs w:val="22"/>
          <w:lang w:val="fr-FR"/>
        </w:rPr>
        <w:lastRenderedPageBreak/>
        <w:tab/>
      </w:r>
      <w:r w:rsidRPr="003C5D6B">
        <w:rPr>
          <w:rFonts w:asciiTheme="majorBidi" w:hAnsiTheme="majorBidi" w:cstheme="majorBidi"/>
          <w:szCs w:val="22"/>
          <w:lang w:val="fr-FR"/>
        </w:rPr>
        <w:tab/>
        <w:t>b)</w:t>
      </w:r>
      <w:r w:rsidRPr="003C5D6B">
        <w:rPr>
          <w:rFonts w:asciiTheme="majorBidi" w:hAnsiTheme="majorBidi" w:cstheme="majorBidi"/>
          <w:szCs w:val="22"/>
          <w:lang w:val="fr-FR"/>
        </w:rPr>
        <w:tab/>
        <w:t>Pour encourager les nouvelles technologies de radiodiffusion audio et vidéo numérique de Terre, on applique jusqu'à 2015 une réduction de 25% (soit un coefficient de correction de 0,75). Cette réduction ne vaut que pour la période indiquée et peut être accompagnée d'autres conditions énoncées par la TRA.</w:t>
      </w:r>
    </w:p>
    <w:p w:rsidR="00716A59" w:rsidRPr="003C5D6B" w:rsidRDefault="00716A59" w:rsidP="00716A59">
      <w:pPr>
        <w:pStyle w:val="enumlev1"/>
        <w:ind w:left="1588" w:hanging="1588"/>
        <w:rPr>
          <w:rFonts w:asciiTheme="majorBidi" w:hAnsiTheme="majorBidi" w:cstheme="majorBidi"/>
          <w:szCs w:val="22"/>
          <w:lang w:val="fr-FR"/>
        </w:rPr>
      </w:pPr>
      <w:r w:rsidRPr="003C5D6B">
        <w:rPr>
          <w:rFonts w:asciiTheme="majorBidi" w:hAnsiTheme="majorBidi" w:cstheme="majorBidi"/>
          <w:szCs w:val="22"/>
          <w:lang w:val="fr-FR"/>
        </w:rPr>
        <w:tab/>
      </w:r>
      <w:r w:rsidRPr="003C5D6B">
        <w:rPr>
          <w:rFonts w:asciiTheme="majorBidi" w:hAnsiTheme="majorBidi" w:cstheme="majorBidi"/>
          <w:szCs w:val="22"/>
          <w:lang w:val="fr-FR"/>
        </w:rPr>
        <w:tab/>
        <w:t>c)</w:t>
      </w:r>
      <w:r w:rsidRPr="003C5D6B">
        <w:rPr>
          <w:rFonts w:asciiTheme="majorBidi" w:hAnsiTheme="majorBidi" w:cstheme="majorBidi"/>
          <w:szCs w:val="22"/>
          <w:lang w:val="fr-FR"/>
        </w:rPr>
        <w:tab/>
        <w:t>Pour toutes les autres assignations, la valeur du coefficient de correction est de 1.</w:t>
      </w:r>
    </w:p>
    <w:p w:rsidR="00716A59" w:rsidRPr="003C5D6B" w:rsidRDefault="00716A59" w:rsidP="00716A59">
      <w:pPr>
        <w:pStyle w:val="Heading2"/>
        <w:rPr>
          <w:b w:val="0"/>
          <w:bCs/>
          <w:lang w:val="fr-FR"/>
        </w:rPr>
      </w:pPr>
      <w:bookmarkStart w:id="980" w:name="_Toc280260049"/>
      <w:bookmarkStart w:id="981" w:name="_Toc280272510"/>
      <w:bookmarkStart w:id="982" w:name="_Toc284414181"/>
      <w:bookmarkStart w:id="983" w:name="_Toc286314925"/>
      <w:bookmarkStart w:id="984" w:name="_Toc287523374"/>
      <w:r w:rsidRPr="003C5D6B">
        <w:rPr>
          <w:b w:val="0"/>
          <w:bCs/>
          <w:lang w:val="fr-FR"/>
        </w:rPr>
        <w:t>26.2</w:t>
      </w:r>
      <w:r w:rsidRPr="003C5D6B">
        <w:rPr>
          <w:b w:val="0"/>
          <w:bCs/>
          <w:lang w:val="fr-FR"/>
        </w:rPr>
        <w:tab/>
        <w:t>Service saisonnier de radiodiffusion sonore en ondes décamétriques</w:t>
      </w:r>
      <w:bookmarkEnd w:id="980"/>
      <w:bookmarkEnd w:id="981"/>
      <w:bookmarkEnd w:id="982"/>
      <w:bookmarkEnd w:id="983"/>
      <w:bookmarkEnd w:id="984"/>
    </w:p>
    <w:p w:rsidR="00716A59" w:rsidRPr="003C5D6B" w:rsidRDefault="00716A59" w:rsidP="00716A59">
      <w:pPr>
        <w:ind w:left="794" w:hanging="794"/>
        <w:rPr>
          <w:lang w:val="fr-FR"/>
        </w:rPr>
      </w:pPr>
      <w:r w:rsidRPr="003C5D6B">
        <w:rPr>
          <w:lang w:val="fr-FR"/>
        </w:rPr>
        <w:tab/>
        <w:t xml:space="preserve">Pour ce service, les droits à acquitter sont facturés en fonction du nombre d'émetteurs, le montant annuel pour chaque émetteur étant de 30 000 AED. </w:t>
      </w:r>
    </w:p>
    <w:p w:rsidR="00716A59" w:rsidRPr="003C5D6B" w:rsidRDefault="00716A59" w:rsidP="00716A59">
      <w:pPr>
        <w:pStyle w:val="Heading2"/>
        <w:rPr>
          <w:b w:val="0"/>
          <w:bCs/>
          <w:lang w:val="fr-FR"/>
        </w:rPr>
      </w:pPr>
      <w:bookmarkStart w:id="985" w:name="_Toc280260050"/>
      <w:bookmarkStart w:id="986" w:name="_Toc280272511"/>
      <w:bookmarkStart w:id="987" w:name="_Toc284414182"/>
      <w:bookmarkStart w:id="988" w:name="_Toc286314926"/>
      <w:bookmarkStart w:id="989" w:name="_Toc287523375"/>
      <w:r w:rsidRPr="003C5D6B">
        <w:rPr>
          <w:b w:val="0"/>
          <w:bCs/>
          <w:lang w:val="fr-FR"/>
        </w:rPr>
        <w:t>26.3</w:t>
      </w:r>
      <w:r w:rsidRPr="003C5D6B">
        <w:rPr>
          <w:b w:val="0"/>
          <w:bCs/>
          <w:lang w:val="fr-FR"/>
        </w:rPr>
        <w:tab/>
        <w:t>Radiodiffusion et télévision par satellite</w:t>
      </w:r>
      <w:bookmarkEnd w:id="985"/>
      <w:bookmarkEnd w:id="986"/>
      <w:bookmarkEnd w:id="987"/>
      <w:bookmarkEnd w:id="988"/>
      <w:bookmarkEnd w:id="989"/>
    </w:p>
    <w:p w:rsidR="00716A59" w:rsidRPr="003C5D6B" w:rsidRDefault="00716A59" w:rsidP="00716A59">
      <w:pPr>
        <w:ind w:left="794" w:hanging="794"/>
        <w:rPr>
          <w:lang w:val="fr-FR"/>
        </w:rPr>
      </w:pPr>
      <w:r w:rsidRPr="003C5D6B">
        <w:rPr>
          <w:lang w:val="fr-FR"/>
        </w:rPr>
        <w:tab/>
        <w:t>L'établissement de liaisons montantes de radiodiffusion DAB et DVB-SH est facturé à 200 000 AED par unité multiplex, et à 400 000 AED par unité multiplex pour la DVB</w:t>
      </w:r>
      <w:r w:rsidRPr="003C5D6B">
        <w:rPr>
          <w:lang w:val="fr-FR"/>
        </w:rPr>
        <w:noBreakHyphen/>
        <w:t>S et la DVB-RCS.</w:t>
      </w:r>
    </w:p>
    <w:p w:rsidR="00716A59" w:rsidRPr="003C5D6B" w:rsidRDefault="00716A59" w:rsidP="00716A59">
      <w:pPr>
        <w:ind w:left="794" w:hanging="794"/>
        <w:rPr>
          <w:lang w:val="fr-FR"/>
        </w:rPr>
      </w:pPr>
      <w:r w:rsidRPr="003C5D6B">
        <w:rPr>
          <w:lang w:val="fr-FR"/>
        </w:rPr>
        <w:tab/>
        <w:t>On entend par unité multiplex un canal (signal) avec une largeur de bande appropriée contenant plusieurs programmes associés par multiplexage et compression numériques.</w:t>
      </w:r>
    </w:p>
    <w:p w:rsidR="00716A59" w:rsidRPr="003C5D6B" w:rsidRDefault="00716A59" w:rsidP="00716A59">
      <w:pPr>
        <w:pStyle w:val="Arttitle"/>
        <w:spacing w:before="400"/>
        <w:rPr>
          <w:lang w:val="fr-FR"/>
        </w:rPr>
      </w:pPr>
      <w:bookmarkStart w:id="990" w:name="_Toc225739512"/>
      <w:bookmarkStart w:id="991" w:name="_Toc225739856"/>
      <w:bookmarkStart w:id="992" w:name="_Toc280262384"/>
      <w:bookmarkStart w:id="993" w:name="_Toc280272778"/>
      <w:bookmarkStart w:id="994" w:name="_Toc280272957"/>
      <w:bookmarkStart w:id="995" w:name="_Toc284419472"/>
      <w:bookmarkStart w:id="996" w:name="_Toc286315789"/>
      <w:bookmarkStart w:id="997" w:name="_Toc287523865"/>
      <w:r w:rsidRPr="003C5D6B">
        <w:rPr>
          <w:lang w:val="fr-FR"/>
        </w:rPr>
        <w:t>Article 27</w:t>
      </w:r>
      <w:bookmarkEnd w:id="990"/>
      <w:bookmarkEnd w:id="991"/>
      <w:r w:rsidRPr="003C5D6B">
        <w:rPr>
          <w:lang w:val="fr-FR"/>
        </w:rPr>
        <w:br/>
      </w:r>
      <w:r w:rsidRPr="003C5D6B">
        <w:rPr>
          <w:lang w:val="fr-FR"/>
        </w:rPr>
        <w:br/>
      </w:r>
      <w:bookmarkStart w:id="998" w:name="_Toc225739513"/>
      <w:bookmarkStart w:id="999" w:name="_Toc225739857"/>
      <w:r w:rsidRPr="003C5D6B">
        <w:rPr>
          <w:lang w:val="fr-FR"/>
        </w:rPr>
        <w:t>Systèmes à courte portée</w:t>
      </w:r>
      <w:bookmarkEnd w:id="992"/>
      <w:bookmarkEnd w:id="993"/>
      <w:bookmarkEnd w:id="994"/>
      <w:bookmarkEnd w:id="995"/>
      <w:bookmarkEnd w:id="996"/>
      <w:bookmarkEnd w:id="997"/>
      <w:bookmarkEnd w:id="998"/>
      <w:bookmarkEnd w:id="999"/>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27.1</w:t>
      </w:r>
      <w:r w:rsidRPr="003C5D6B">
        <w:rPr>
          <w:rFonts w:asciiTheme="majorBidi" w:hAnsiTheme="majorBidi" w:cstheme="majorBidi"/>
          <w:szCs w:val="22"/>
          <w:lang w:val="fr-FR"/>
        </w:rPr>
        <w:tab/>
        <w:t>Tous les équipements de transmission sans fil pouvant être considérés comme systèmes à courte portée, selon les critères définis par la TRA, sont exemptés du paiement de droits annuels. Ces équipements font l'objet d'une autorisation catégorielle.</w:t>
      </w:r>
    </w:p>
    <w:p w:rsidR="00716A59" w:rsidRPr="003C5D6B" w:rsidRDefault="00716A59" w:rsidP="00716A59">
      <w:pPr>
        <w:pStyle w:val="enumlev1"/>
        <w:rPr>
          <w:rFonts w:asciiTheme="majorBidi" w:hAnsiTheme="majorBidi" w:cstheme="majorBidi"/>
          <w:szCs w:val="22"/>
          <w:lang w:val="fr-FR"/>
        </w:rPr>
      </w:pPr>
      <w:r w:rsidRPr="003C5D6B">
        <w:rPr>
          <w:rFonts w:asciiTheme="majorBidi" w:hAnsiTheme="majorBidi" w:cstheme="majorBidi"/>
          <w:szCs w:val="22"/>
          <w:lang w:val="fr-FR"/>
        </w:rPr>
        <w:t>27.2</w:t>
      </w:r>
      <w:r w:rsidRPr="003C5D6B">
        <w:rPr>
          <w:rFonts w:asciiTheme="majorBidi" w:hAnsiTheme="majorBidi" w:cstheme="majorBidi"/>
          <w:szCs w:val="22"/>
          <w:lang w:val="fr-FR"/>
        </w:rPr>
        <w:tab/>
        <w:t>Pour les équipements de transmission de faible puissance prévus pour être utilisés exclusivement à l'intérieur et ayant une puissance apparente rayonnée de moins de 1 W et n'étant pas classés comme systèmes à courte portée, les droits à acquitter sont les suivants:</w:t>
      </w:r>
    </w:p>
    <w:p w:rsidR="00716A59" w:rsidRPr="003C5D6B" w:rsidRDefault="00716A59" w:rsidP="00716A59">
      <w:pPr>
        <w:rPr>
          <w:lang w:val="fr-FR"/>
        </w:rPr>
      </w:pPr>
    </w:p>
    <w:p w:rsidR="00716A59" w:rsidRPr="003C5D6B" w:rsidRDefault="00716A59" w:rsidP="00716A59">
      <w:pPr>
        <w:pStyle w:val="FigureTitle"/>
        <w:rPr>
          <w:lang w:val="fr-FR"/>
        </w:rPr>
      </w:pPr>
      <w:r w:rsidRPr="003C5D6B">
        <w:rPr>
          <w:lang w:val="fr-FR"/>
        </w:rPr>
        <w:t xml:space="preserve">Tableau </w:t>
      </w:r>
      <w:r w:rsidR="003B6168" w:rsidRPr="003C5D6B">
        <w:rPr>
          <w:lang w:val="fr-FR"/>
        </w:rPr>
        <w:fldChar w:fldCharType="begin"/>
      </w:r>
      <w:r w:rsidR="004F7249" w:rsidRPr="003C5D6B">
        <w:rPr>
          <w:lang w:val="fr-FR"/>
        </w:rPr>
        <w:instrText xml:space="preserve"> SEQ Figure \* ARABIC </w:instrText>
      </w:r>
      <w:r w:rsidR="003B6168" w:rsidRPr="003C5D6B">
        <w:rPr>
          <w:lang w:val="fr-FR"/>
        </w:rPr>
        <w:fldChar w:fldCharType="separate"/>
      </w:r>
      <w:r w:rsidRPr="003C5D6B">
        <w:rPr>
          <w:noProof/>
          <w:lang w:val="fr-FR"/>
        </w:rPr>
        <w:t>8</w:t>
      </w:r>
      <w:r w:rsidR="003B6168" w:rsidRPr="003C5D6B">
        <w:rPr>
          <w:lang w:val="fr-FR"/>
        </w:rPr>
        <w:fldChar w:fldCharType="end"/>
      </w:r>
      <w:r w:rsidRPr="003C5D6B">
        <w:rPr>
          <w:lang w:val="fr-FR"/>
        </w:rPr>
        <w:t xml:space="preserve"> – Montant annuel des droits à acquitter pour les équipements à faible puissance</w:t>
      </w:r>
    </w:p>
    <w:p w:rsidR="00716A59" w:rsidRPr="003C5D6B" w:rsidRDefault="00716A59" w:rsidP="00716A59">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2272"/>
      </w:tblGrid>
      <w:tr w:rsidR="00716A59" w:rsidRPr="003C5D6B" w:rsidTr="003C5D6B">
        <w:trPr>
          <w:jc w:val="center"/>
        </w:trPr>
        <w:tc>
          <w:tcPr>
            <w:tcW w:w="2470" w:type="dxa"/>
            <w:shd w:val="clear" w:color="auto" w:fill="E6E6E6"/>
          </w:tcPr>
          <w:p w:rsidR="00716A59" w:rsidRPr="003C5D6B" w:rsidRDefault="00716A59" w:rsidP="003C5D6B">
            <w:pPr>
              <w:pStyle w:val="Tablehead"/>
              <w:spacing w:before="120" w:after="120"/>
              <w:rPr>
                <w:rFonts w:asciiTheme="majorBidi" w:hAnsiTheme="majorBidi" w:cstheme="majorBidi"/>
                <w:szCs w:val="22"/>
                <w:lang w:val="fr-FR"/>
              </w:rPr>
            </w:pPr>
            <w:r w:rsidRPr="003C5D6B">
              <w:rPr>
                <w:rFonts w:asciiTheme="majorBidi" w:hAnsiTheme="majorBidi" w:cstheme="majorBidi"/>
                <w:szCs w:val="22"/>
                <w:lang w:val="fr-FR"/>
              </w:rPr>
              <w:t>Puissance émise</w:t>
            </w:r>
          </w:p>
        </w:tc>
        <w:tc>
          <w:tcPr>
            <w:tcW w:w="2272" w:type="dxa"/>
            <w:shd w:val="clear" w:color="auto" w:fill="E6E6E6"/>
          </w:tcPr>
          <w:p w:rsidR="00716A59" w:rsidRPr="003C5D6B" w:rsidRDefault="00716A59" w:rsidP="003C5D6B">
            <w:pPr>
              <w:pStyle w:val="Tablehead"/>
              <w:spacing w:before="120" w:after="120"/>
              <w:rPr>
                <w:rFonts w:asciiTheme="majorBidi" w:hAnsiTheme="majorBidi" w:cstheme="majorBidi"/>
                <w:szCs w:val="22"/>
                <w:lang w:val="fr-FR"/>
              </w:rPr>
            </w:pPr>
            <w:r w:rsidRPr="003C5D6B">
              <w:rPr>
                <w:rFonts w:asciiTheme="majorBidi" w:hAnsiTheme="majorBidi" w:cstheme="majorBidi"/>
                <w:szCs w:val="22"/>
                <w:lang w:val="fr-FR"/>
              </w:rPr>
              <w:t>Droits annuels</w:t>
            </w:r>
          </w:p>
        </w:tc>
      </w:tr>
      <w:tr w:rsidR="00716A59" w:rsidRPr="003C5D6B" w:rsidTr="003C5D6B">
        <w:trPr>
          <w:trHeight w:hRule="exact" w:val="340"/>
          <w:jc w:val="center"/>
        </w:trPr>
        <w:tc>
          <w:tcPr>
            <w:tcW w:w="2470" w:type="dxa"/>
            <w:vAlign w:val="center"/>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Jusqu'à 10 mW</w:t>
            </w:r>
          </w:p>
        </w:tc>
        <w:tc>
          <w:tcPr>
            <w:tcW w:w="2272" w:type="dxa"/>
            <w:vAlign w:val="center"/>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100 AED</w:t>
            </w:r>
          </w:p>
        </w:tc>
      </w:tr>
      <w:tr w:rsidR="00716A59" w:rsidRPr="003C5D6B" w:rsidTr="003C5D6B">
        <w:trPr>
          <w:trHeight w:hRule="exact" w:val="340"/>
          <w:jc w:val="center"/>
        </w:trPr>
        <w:tc>
          <w:tcPr>
            <w:tcW w:w="2470" w:type="dxa"/>
            <w:vAlign w:val="center"/>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De 10 mW à 100 mW</w:t>
            </w:r>
          </w:p>
        </w:tc>
        <w:tc>
          <w:tcPr>
            <w:tcW w:w="2272" w:type="dxa"/>
            <w:vAlign w:val="center"/>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200 AED</w:t>
            </w:r>
          </w:p>
        </w:tc>
      </w:tr>
      <w:tr w:rsidR="00716A59" w:rsidRPr="003C5D6B" w:rsidTr="003C5D6B">
        <w:trPr>
          <w:trHeight w:hRule="exact" w:val="340"/>
          <w:jc w:val="center"/>
        </w:trPr>
        <w:tc>
          <w:tcPr>
            <w:tcW w:w="2470" w:type="dxa"/>
            <w:vAlign w:val="center"/>
          </w:tcPr>
          <w:p w:rsidR="00716A59" w:rsidRPr="003C5D6B" w:rsidRDefault="00716A59" w:rsidP="003C5D6B">
            <w:pPr>
              <w:pStyle w:val="Tabletext"/>
              <w:rPr>
                <w:rFonts w:asciiTheme="majorBidi" w:hAnsiTheme="majorBidi" w:cstheme="majorBidi"/>
                <w:szCs w:val="22"/>
                <w:lang w:val="fr-FR"/>
              </w:rPr>
            </w:pPr>
            <w:r w:rsidRPr="003C5D6B">
              <w:rPr>
                <w:rFonts w:asciiTheme="majorBidi" w:hAnsiTheme="majorBidi" w:cstheme="majorBidi"/>
                <w:szCs w:val="22"/>
                <w:lang w:val="fr-FR"/>
              </w:rPr>
              <w:t>De 100 mW à 1 W</w:t>
            </w:r>
          </w:p>
        </w:tc>
        <w:tc>
          <w:tcPr>
            <w:tcW w:w="2272" w:type="dxa"/>
            <w:vAlign w:val="center"/>
          </w:tcPr>
          <w:p w:rsidR="00716A59" w:rsidRPr="003C5D6B" w:rsidRDefault="00716A59" w:rsidP="003C5D6B">
            <w:pPr>
              <w:pStyle w:val="Tabletext"/>
              <w:jc w:val="center"/>
              <w:rPr>
                <w:rFonts w:asciiTheme="majorBidi" w:hAnsiTheme="majorBidi" w:cstheme="majorBidi"/>
                <w:szCs w:val="22"/>
                <w:lang w:val="fr-FR"/>
              </w:rPr>
            </w:pPr>
            <w:r w:rsidRPr="003C5D6B">
              <w:rPr>
                <w:rFonts w:asciiTheme="majorBidi" w:hAnsiTheme="majorBidi" w:cstheme="majorBidi"/>
                <w:szCs w:val="22"/>
                <w:lang w:val="fr-FR"/>
              </w:rPr>
              <w:t>400 AED</w:t>
            </w:r>
          </w:p>
        </w:tc>
      </w:tr>
    </w:tbl>
    <w:p w:rsidR="00716A59" w:rsidRPr="003C5D6B" w:rsidRDefault="00716A59" w:rsidP="00716A59">
      <w:pPr>
        <w:pStyle w:val="FigureSource"/>
        <w:rPr>
          <w:lang w:val="fr-FR"/>
        </w:rPr>
      </w:pPr>
    </w:p>
    <w:p w:rsidR="00716A59" w:rsidRPr="003C5D6B" w:rsidRDefault="00716A59" w:rsidP="00716A59">
      <w:pPr>
        <w:pStyle w:val="enumlev1"/>
        <w:rPr>
          <w:rFonts w:asciiTheme="majorBidi" w:hAnsiTheme="majorBidi" w:cstheme="majorBidi"/>
          <w:szCs w:val="22"/>
          <w:lang w:val="fr-FR"/>
        </w:rPr>
      </w:pPr>
    </w:p>
    <w:p w:rsidR="00716A59" w:rsidRPr="003C5D6B" w:rsidRDefault="00716A59" w:rsidP="00716A59">
      <w:pPr>
        <w:pStyle w:val="Arttitle"/>
        <w:spacing w:before="400"/>
        <w:rPr>
          <w:lang w:val="fr-FR"/>
        </w:rPr>
      </w:pPr>
      <w:bookmarkStart w:id="1000" w:name="_Toc280262385"/>
      <w:bookmarkStart w:id="1001" w:name="_Toc280272779"/>
      <w:bookmarkStart w:id="1002" w:name="_Toc280272958"/>
      <w:bookmarkStart w:id="1003" w:name="_Toc284419473"/>
      <w:bookmarkStart w:id="1004" w:name="_Toc286315790"/>
      <w:bookmarkStart w:id="1005" w:name="_Toc287523866"/>
      <w:r w:rsidRPr="003C5D6B">
        <w:rPr>
          <w:lang w:val="fr-FR"/>
        </w:rPr>
        <w:t>Article 28</w:t>
      </w:r>
      <w:r w:rsidRPr="003C5D6B">
        <w:rPr>
          <w:lang w:val="fr-FR"/>
        </w:rPr>
        <w:br/>
      </w:r>
      <w:r w:rsidRPr="003C5D6B">
        <w:rPr>
          <w:lang w:val="fr-FR"/>
        </w:rPr>
        <w:br/>
      </w:r>
      <w:bookmarkStart w:id="1006" w:name="_Toc225739858"/>
      <w:r w:rsidRPr="003C5D6B">
        <w:rPr>
          <w:lang w:val="fr-FR"/>
        </w:rPr>
        <w:t>Fréquences à utiliser en cas d'urgence et de catastrophe</w:t>
      </w:r>
      <w:bookmarkEnd w:id="1000"/>
      <w:bookmarkEnd w:id="1001"/>
      <w:bookmarkEnd w:id="1002"/>
      <w:bookmarkEnd w:id="1003"/>
      <w:bookmarkEnd w:id="1004"/>
      <w:bookmarkEnd w:id="1005"/>
      <w:bookmarkEnd w:id="1006"/>
    </w:p>
    <w:p w:rsidR="00716A59" w:rsidRPr="003C5D6B" w:rsidRDefault="00716A59" w:rsidP="00716A59">
      <w:pPr>
        <w:rPr>
          <w:lang w:val="fr-FR"/>
        </w:rPr>
      </w:pPr>
      <w:r w:rsidRPr="003C5D6B">
        <w:rPr>
          <w:lang w:val="fr-FR"/>
        </w:rPr>
        <w:t xml:space="preserve">L'utilisation de toutes les fréquences identifiées dans le Plan national des fréquences et dans le Tableau national d'attribution des bandes de fréquences comme utilisées pour les secours d'urgence, les appels de détresse et la sécurité de la vie humaine est exempte de droits. Tous les équipements de transmission sans fil fabriqués exclusivement pour assurer la sécurité de la vie humaine et agréés par le </w:t>
      </w:r>
      <w:r w:rsidRPr="003C5D6B">
        <w:rPr>
          <w:szCs w:val="24"/>
          <w:lang w:val="fr-FR"/>
        </w:rPr>
        <w:t>Directeur</w:t>
      </w:r>
      <w:r w:rsidRPr="003C5D6B">
        <w:rPr>
          <w:lang w:val="fr-FR"/>
        </w:rPr>
        <w:t xml:space="preserve"> général de la TRA comme relevant de cette catégorie sont exempts de droits. </w:t>
      </w:r>
    </w:p>
    <w:p w:rsidR="00716A59" w:rsidRPr="003C5D6B" w:rsidRDefault="00716A59" w:rsidP="00716A59">
      <w:pPr>
        <w:pStyle w:val="Arttitle"/>
        <w:spacing w:before="400"/>
        <w:rPr>
          <w:lang w:val="fr-FR"/>
        </w:rPr>
      </w:pPr>
      <w:bookmarkStart w:id="1007" w:name="_Toc225739514"/>
      <w:bookmarkStart w:id="1008" w:name="_Toc225739859"/>
      <w:bookmarkStart w:id="1009" w:name="_Toc280262386"/>
      <w:bookmarkStart w:id="1010" w:name="_Toc280272780"/>
      <w:bookmarkStart w:id="1011" w:name="_Toc280272959"/>
      <w:bookmarkStart w:id="1012" w:name="_Toc284419474"/>
      <w:bookmarkStart w:id="1013" w:name="_Toc286315791"/>
      <w:bookmarkStart w:id="1014" w:name="_Toc287523867"/>
      <w:r w:rsidRPr="003C5D6B">
        <w:rPr>
          <w:lang w:val="fr-FR"/>
        </w:rPr>
        <w:lastRenderedPageBreak/>
        <w:t>Article 29</w:t>
      </w:r>
      <w:bookmarkEnd w:id="1007"/>
      <w:bookmarkEnd w:id="1008"/>
      <w:r w:rsidRPr="003C5D6B">
        <w:rPr>
          <w:lang w:val="fr-FR"/>
        </w:rPr>
        <w:br/>
      </w:r>
      <w:r w:rsidRPr="003C5D6B">
        <w:rPr>
          <w:lang w:val="fr-FR"/>
        </w:rPr>
        <w:br/>
      </w:r>
      <w:bookmarkStart w:id="1015" w:name="_Toc225739515"/>
      <w:bookmarkStart w:id="1016" w:name="_Toc225739860"/>
      <w:r w:rsidRPr="003C5D6B">
        <w:rPr>
          <w:lang w:val="fr-FR"/>
        </w:rPr>
        <w:t>Autorisation temporaire</w:t>
      </w:r>
      <w:bookmarkEnd w:id="1009"/>
      <w:bookmarkEnd w:id="1010"/>
      <w:bookmarkEnd w:id="1011"/>
      <w:bookmarkEnd w:id="1012"/>
      <w:bookmarkEnd w:id="1013"/>
      <w:bookmarkEnd w:id="1014"/>
      <w:bookmarkEnd w:id="1015"/>
      <w:bookmarkEnd w:id="1016"/>
    </w:p>
    <w:p w:rsidR="00716A59" w:rsidRPr="003C5D6B" w:rsidRDefault="00716A59" w:rsidP="00716A59">
      <w:pPr>
        <w:rPr>
          <w:lang w:val="fr-FR"/>
        </w:rPr>
      </w:pPr>
      <w:r w:rsidRPr="003C5D6B">
        <w:rPr>
          <w:lang w:val="fr-FR"/>
        </w:rPr>
        <w:t xml:space="preserve">Le montant des droits pour une autorisation temporaire est calculé au prorata du montant des droits annuels perçus pour les services de radiocommunication. Néanmoins, un montant minimal de 100 AED est perçu dans tous les cas. Les droits d'utilisation temporaire des fréquences radioélectriques s'ajoutent aux droits de traitement des demandes. </w:t>
      </w:r>
    </w:p>
    <w:p w:rsidR="00716A59" w:rsidRPr="003C5D6B" w:rsidRDefault="00716A59" w:rsidP="00716A59">
      <w:pPr>
        <w:pStyle w:val="Arttitle"/>
        <w:spacing w:before="400"/>
        <w:rPr>
          <w:lang w:val="fr-FR"/>
        </w:rPr>
      </w:pPr>
      <w:bookmarkStart w:id="1017" w:name="_Toc225739516"/>
      <w:bookmarkStart w:id="1018" w:name="_Toc225739861"/>
      <w:bookmarkStart w:id="1019" w:name="_Toc280262387"/>
      <w:bookmarkStart w:id="1020" w:name="_Toc280272781"/>
      <w:bookmarkStart w:id="1021" w:name="_Toc280272960"/>
      <w:bookmarkStart w:id="1022" w:name="_Toc284419475"/>
      <w:bookmarkStart w:id="1023" w:name="_Toc286315792"/>
      <w:bookmarkStart w:id="1024" w:name="_Toc287523868"/>
      <w:r w:rsidRPr="003C5D6B">
        <w:rPr>
          <w:lang w:val="fr-FR"/>
        </w:rPr>
        <w:t>Article 30</w:t>
      </w:r>
      <w:bookmarkEnd w:id="1017"/>
      <w:bookmarkEnd w:id="1018"/>
      <w:r w:rsidRPr="003C5D6B">
        <w:rPr>
          <w:lang w:val="fr-FR"/>
        </w:rPr>
        <w:br/>
      </w:r>
      <w:r w:rsidRPr="003C5D6B">
        <w:rPr>
          <w:lang w:val="fr-FR"/>
        </w:rPr>
        <w:br/>
      </w:r>
      <w:bookmarkStart w:id="1025" w:name="_Toc225739517"/>
      <w:bookmarkStart w:id="1026" w:name="_Toc225739862"/>
      <w:r w:rsidRPr="003C5D6B">
        <w:rPr>
          <w:lang w:val="fr-FR"/>
        </w:rPr>
        <w:t>Autres services de radiocommunication</w:t>
      </w:r>
      <w:bookmarkEnd w:id="1019"/>
      <w:bookmarkEnd w:id="1020"/>
      <w:bookmarkEnd w:id="1021"/>
      <w:bookmarkEnd w:id="1022"/>
      <w:bookmarkEnd w:id="1023"/>
      <w:bookmarkEnd w:id="1024"/>
      <w:bookmarkEnd w:id="1025"/>
      <w:bookmarkEnd w:id="1026"/>
    </w:p>
    <w:p w:rsidR="00716A59" w:rsidRPr="003C5D6B" w:rsidRDefault="00716A59" w:rsidP="00716A59">
      <w:pPr>
        <w:rPr>
          <w:lang w:val="fr-FR"/>
        </w:rPr>
      </w:pPr>
      <w:r w:rsidRPr="003C5D6B">
        <w:rPr>
          <w:lang w:val="fr-FR"/>
        </w:rPr>
        <w:t xml:space="preserve">Le montant annuel des droits à acquitter pour l'autorisation d'utiliser d'autres services de radiocommunication non mentionnés </w:t>
      </w:r>
      <w:r w:rsidR="003C5D6B" w:rsidRPr="003C5D6B">
        <w:rPr>
          <w:lang w:val="fr-FR"/>
        </w:rPr>
        <w:t>ci-dessus</w:t>
      </w:r>
      <w:r w:rsidRPr="003C5D6B">
        <w:rPr>
          <w:lang w:val="fr-FR"/>
        </w:rPr>
        <w:t xml:space="preserve"> est déterminé par la TRA et son application prend effet dès approbation du Directeur général, avant même que soit publiée une version révisée de la présente directive. </w:t>
      </w:r>
    </w:p>
    <w:p w:rsidR="00716A59" w:rsidRPr="003C5D6B" w:rsidRDefault="00716A59" w:rsidP="00716A59">
      <w:pPr>
        <w:pStyle w:val="Arttitle"/>
        <w:spacing w:before="400"/>
        <w:rPr>
          <w:lang w:val="fr-FR"/>
        </w:rPr>
      </w:pPr>
      <w:bookmarkStart w:id="1027" w:name="_Toc225739518"/>
      <w:bookmarkStart w:id="1028" w:name="_Toc225739863"/>
      <w:bookmarkStart w:id="1029" w:name="_Toc280262388"/>
      <w:bookmarkStart w:id="1030" w:name="_Toc280272782"/>
      <w:bookmarkStart w:id="1031" w:name="_Toc280272961"/>
      <w:bookmarkStart w:id="1032" w:name="_Toc284419476"/>
      <w:bookmarkStart w:id="1033" w:name="_Toc286315793"/>
      <w:bookmarkStart w:id="1034" w:name="_Toc287523869"/>
      <w:r w:rsidRPr="003C5D6B">
        <w:rPr>
          <w:lang w:val="fr-FR"/>
        </w:rPr>
        <w:t>Article 31</w:t>
      </w:r>
      <w:bookmarkEnd w:id="1027"/>
      <w:bookmarkEnd w:id="1028"/>
      <w:r w:rsidRPr="003C5D6B">
        <w:rPr>
          <w:lang w:val="fr-FR"/>
        </w:rPr>
        <w:br/>
      </w:r>
      <w:r w:rsidRPr="003C5D6B">
        <w:rPr>
          <w:lang w:val="fr-FR"/>
        </w:rPr>
        <w:br/>
      </w:r>
      <w:bookmarkStart w:id="1035" w:name="_Toc225739519"/>
      <w:bookmarkStart w:id="1036" w:name="_Toc225739864"/>
      <w:r w:rsidRPr="003C5D6B">
        <w:rPr>
          <w:lang w:val="fr-FR"/>
        </w:rPr>
        <w:t>Traitement des plaintes pour brouillages et droits applicables</w:t>
      </w:r>
      <w:bookmarkEnd w:id="1029"/>
      <w:bookmarkEnd w:id="1030"/>
      <w:bookmarkEnd w:id="1031"/>
      <w:bookmarkEnd w:id="1032"/>
      <w:bookmarkEnd w:id="1033"/>
      <w:bookmarkEnd w:id="1034"/>
      <w:bookmarkEnd w:id="1035"/>
      <w:bookmarkEnd w:id="1036"/>
    </w:p>
    <w:p w:rsidR="00716A59" w:rsidRPr="003C5D6B" w:rsidRDefault="00716A59" w:rsidP="00716A59">
      <w:pPr>
        <w:rPr>
          <w:lang w:val="fr-FR"/>
        </w:rPr>
      </w:pPr>
      <w:r w:rsidRPr="003C5D6B">
        <w:rPr>
          <w:lang w:val="fr-FR"/>
        </w:rPr>
        <w:t>La TRA détermine le montant des droits à acquitter en cas de plainte pour brouillages ainsi que le montant des droits applicables au cas par cas, sous réserve de l'approbation du Directeur général.</w:t>
      </w:r>
    </w:p>
    <w:p w:rsidR="00716A59" w:rsidRPr="003C5D6B" w:rsidRDefault="00716A59" w:rsidP="00716A59">
      <w:pPr>
        <w:pStyle w:val="Arttitle"/>
        <w:spacing w:before="400"/>
        <w:rPr>
          <w:lang w:val="fr-FR"/>
        </w:rPr>
      </w:pPr>
      <w:bookmarkStart w:id="1037" w:name="_Toc225739520"/>
      <w:bookmarkStart w:id="1038" w:name="_Toc225739865"/>
      <w:bookmarkStart w:id="1039" w:name="_Toc280262389"/>
      <w:bookmarkStart w:id="1040" w:name="_Toc280272783"/>
      <w:bookmarkStart w:id="1041" w:name="_Toc280272962"/>
      <w:bookmarkStart w:id="1042" w:name="_Toc284419477"/>
      <w:bookmarkStart w:id="1043" w:name="_Toc286315794"/>
      <w:bookmarkStart w:id="1044" w:name="_Toc287523870"/>
      <w:r w:rsidRPr="003C5D6B">
        <w:rPr>
          <w:lang w:val="fr-FR"/>
        </w:rPr>
        <w:t>Article 32</w:t>
      </w:r>
      <w:bookmarkEnd w:id="1037"/>
      <w:bookmarkEnd w:id="1038"/>
      <w:r w:rsidRPr="003C5D6B">
        <w:rPr>
          <w:lang w:val="fr-FR"/>
        </w:rPr>
        <w:br/>
      </w:r>
      <w:r w:rsidRPr="003C5D6B">
        <w:rPr>
          <w:lang w:val="fr-FR"/>
        </w:rPr>
        <w:br/>
      </w:r>
      <w:bookmarkStart w:id="1045" w:name="_Toc225739521"/>
      <w:bookmarkStart w:id="1046" w:name="_Toc225739866"/>
      <w:r w:rsidRPr="003C5D6B">
        <w:rPr>
          <w:lang w:val="fr-FR"/>
        </w:rPr>
        <w:t xml:space="preserve">Droits à acquitter par les ambassades et consulats de pays étrangers </w:t>
      </w:r>
      <w:r w:rsidRPr="003C5D6B">
        <w:rPr>
          <w:lang w:val="fr-FR"/>
        </w:rPr>
        <w:br/>
        <w:t>et par les missions diplomatiques</w:t>
      </w:r>
      <w:bookmarkEnd w:id="1039"/>
      <w:bookmarkEnd w:id="1040"/>
      <w:bookmarkEnd w:id="1041"/>
      <w:bookmarkEnd w:id="1042"/>
      <w:bookmarkEnd w:id="1043"/>
      <w:bookmarkEnd w:id="1044"/>
      <w:bookmarkEnd w:id="1045"/>
      <w:bookmarkEnd w:id="1046"/>
    </w:p>
    <w:p w:rsidR="00716A59" w:rsidRPr="003C5D6B" w:rsidRDefault="00716A59" w:rsidP="00716A59">
      <w:pPr>
        <w:rPr>
          <w:lang w:val="fr-FR"/>
        </w:rPr>
      </w:pPr>
      <w:r w:rsidRPr="003C5D6B">
        <w:rPr>
          <w:lang w:val="fr-FR"/>
        </w:rPr>
        <w:t>Les ambassades et consulats de pays étrangers ainsi que les missions diplomatiques et les visites d'Etat de hautes personnalités sont exemptés du paiement des droits d'utilisation du spectre, pour autant que la même exemption s'applique aux ambassades, consulats et missions des Emirats arabes unis dans le pays d'origine. Cette exemption s'applique également à la correspondance officielle qui relève de la Convention de Vienne sur les relations diplomatiques et qui passe par le Ministère des affaires étrangères des Emirats arabes unis.</w:t>
      </w:r>
    </w:p>
    <w:p w:rsidR="00716A59" w:rsidRPr="003C5D6B" w:rsidRDefault="00716A59" w:rsidP="00716A59">
      <w:pPr>
        <w:pStyle w:val="Arttitle"/>
        <w:spacing w:before="400"/>
        <w:rPr>
          <w:lang w:val="fr-FR"/>
        </w:rPr>
      </w:pPr>
      <w:bookmarkStart w:id="1047" w:name="_Toc225739522"/>
      <w:bookmarkStart w:id="1048" w:name="_Toc225739867"/>
      <w:bookmarkStart w:id="1049" w:name="_Toc280262390"/>
      <w:bookmarkStart w:id="1050" w:name="_Toc280272784"/>
      <w:bookmarkStart w:id="1051" w:name="_Toc280272963"/>
      <w:bookmarkStart w:id="1052" w:name="_Toc284419478"/>
      <w:bookmarkStart w:id="1053" w:name="_Toc286315795"/>
      <w:bookmarkStart w:id="1054" w:name="_Toc287523871"/>
      <w:r w:rsidRPr="003C5D6B">
        <w:rPr>
          <w:lang w:val="fr-FR"/>
        </w:rPr>
        <w:t>Article 33</w:t>
      </w:r>
      <w:bookmarkEnd w:id="1047"/>
      <w:bookmarkEnd w:id="1048"/>
      <w:r w:rsidRPr="003C5D6B">
        <w:rPr>
          <w:lang w:val="fr-FR"/>
        </w:rPr>
        <w:br/>
      </w:r>
      <w:r w:rsidRPr="003C5D6B">
        <w:rPr>
          <w:lang w:val="fr-FR"/>
        </w:rPr>
        <w:br/>
      </w:r>
      <w:bookmarkStart w:id="1055" w:name="_Toc225739523"/>
      <w:bookmarkStart w:id="1056" w:name="_Toc225739868"/>
      <w:r w:rsidRPr="003C5D6B">
        <w:rPr>
          <w:lang w:val="fr-FR"/>
        </w:rPr>
        <w:t>Droits à acquitter pour la visite des emplacements</w:t>
      </w:r>
      <w:bookmarkEnd w:id="1049"/>
      <w:bookmarkEnd w:id="1050"/>
      <w:bookmarkEnd w:id="1051"/>
      <w:bookmarkEnd w:id="1052"/>
      <w:bookmarkEnd w:id="1053"/>
      <w:bookmarkEnd w:id="1054"/>
      <w:bookmarkEnd w:id="1055"/>
      <w:bookmarkEnd w:id="1056"/>
    </w:p>
    <w:p w:rsidR="00716A59" w:rsidRPr="003C5D6B" w:rsidRDefault="00716A59" w:rsidP="00716A59">
      <w:pPr>
        <w:rPr>
          <w:lang w:val="fr-FR"/>
        </w:rPr>
      </w:pPr>
      <w:r w:rsidRPr="003C5D6B">
        <w:rPr>
          <w:lang w:val="fr-FR"/>
        </w:rPr>
        <w:t>Les droits suivants sont à acquitter pour la visite des emplacements sous la conduite de l'Autorité responsable, à la demande de l'utilisateur agréé et à des fins d'assistance technique:</w:t>
      </w:r>
    </w:p>
    <w:p w:rsidR="00716A59" w:rsidRPr="003C5D6B" w:rsidRDefault="00716A59" w:rsidP="00716A59">
      <w:pPr>
        <w:tabs>
          <w:tab w:val="left" w:pos="567"/>
        </w:tabs>
        <w:ind w:left="1191" w:hanging="1191"/>
        <w:jc w:val="center"/>
        <w:rPr>
          <w:lang w:val="fr-FR"/>
        </w:rPr>
      </w:pPr>
      <w:r w:rsidRPr="003C5D6B">
        <w:rPr>
          <w:lang w:val="fr-FR"/>
        </w:rPr>
        <w:t>Droits à acquitter pour la visite des emplacements = 5</w:t>
      </w:r>
      <w:r w:rsidRPr="003C5D6B">
        <w:rPr>
          <w:rFonts w:asciiTheme="majorBidi" w:hAnsiTheme="majorBidi" w:cstheme="majorBidi"/>
          <w:sz w:val="12"/>
          <w:szCs w:val="12"/>
          <w:lang w:val="fr-FR"/>
        </w:rPr>
        <w:t> </w:t>
      </w:r>
      <w:r w:rsidRPr="003C5D6B">
        <w:rPr>
          <w:lang w:val="fr-FR"/>
        </w:rPr>
        <w:t>000 AED par jour et par visite</w:t>
      </w:r>
    </w:p>
    <w:p w:rsidR="00716A59" w:rsidRPr="003C5D6B" w:rsidRDefault="00716A59" w:rsidP="00716A59">
      <w:pPr>
        <w:pStyle w:val="Arttitle"/>
        <w:spacing w:before="400"/>
        <w:rPr>
          <w:lang w:val="fr-FR"/>
        </w:rPr>
      </w:pPr>
      <w:bookmarkStart w:id="1057" w:name="_Toc225739524"/>
      <w:bookmarkStart w:id="1058" w:name="_Toc225739869"/>
      <w:bookmarkStart w:id="1059" w:name="_Toc280262391"/>
      <w:bookmarkStart w:id="1060" w:name="_Toc280272785"/>
      <w:bookmarkStart w:id="1061" w:name="_Toc280272964"/>
      <w:bookmarkStart w:id="1062" w:name="_Toc284419479"/>
      <w:bookmarkStart w:id="1063" w:name="_Toc286315796"/>
      <w:bookmarkStart w:id="1064" w:name="_Toc287523872"/>
      <w:r w:rsidRPr="003C5D6B">
        <w:rPr>
          <w:lang w:val="fr-FR"/>
        </w:rPr>
        <w:t>Article 34</w:t>
      </w:r>
      <w:bookmarkEnd w:id="1057"/>
      <w:bookmarkEnd w:id="1058"/>
      <w:r w:rsidRPr="003C5D6B">
        <w:rPr>
          <w:lang w:val="fr-FR"/>
        </w:rPr>
        <w:br/>
      </w:r>
      <w:r w:rsidRPr="003C5D6B">
        <w:rPr>
          <w:lang w:val="fr-FR"/>
        </w:rPr>
        <w:br/>
      </w:r>
      <w:bookmarkStart w:id="1065" w:name="_Toc225739525"/>
      <w:bookmarkStart w:id="1066" w:name="_Toc225739870"/>
      <w:r w:rsidRPr="003C5D6B">
        <w:rPr>
          <w:lang w:val="fr-FR"/>
        </w:rPr>
        <w:t>Obligation de paiement</w:t>
      </w:r>
      <w:bookmarkEnd w:id="1059"/>
      <w:bookmarkEnd w:id="1060"/>
      <w:bookmarkEnd w:id="1061"/>
      <w:bookmarkEnd w:id="1062"/>
      <w:bookmarkEnd w:id="1063"/>
      <w:bookmarkEnd w:id="1064"/>
      <w:bookmarkEnd w:id="1065"/>
      <w:bookmarkEnd w:id="1066"/>
    </w:p>
    <w:p w:rsidR="00716A59" w:rsidRPr="003C5D6B" w:rsidRDefault="00716A59" w:rsidP="00716A59">
      <w:pPr>
        <w:rPr>
          <w:lang w:val="fr-FR"/>
        </w:rPr>
      </w:pPr>
      <w:r w:rsidRPr="003C5D6B">
        <w:rPr>
          <w:lang w:val="fr-FR"/>
        </w:rPr>
        <w:t xml:space="preserve">Les droits à acquitter pour l'utilisation du spectre sont payables à l'avance, par tous, sans exception, sauf indication contraire dans la présente directive. Ces droits ne sont pas considérés comme constituant une taxe </w:t>
      </w:r>
      <w:r w:rsidRPr="003C5D6B">
        <w:rPr>
          <w:lang w:val="fr-FR"/>
        </w:rPr>
        <w:lastRenderedPageBreak/>
        <w:t xml:space="preserve">fédérale ou locale mais comme une redevance perçue pour l'utilisation d'une ressource nationale limitée. Les utilisateurs agréés doivent s'acquitter de la totalité des droits dans les délais impartis, même dans les cas où ils contestent le montant, en totalité ou en partie. En cas de contestation du montant et si un remboursement est dû à l'utilisateur agréé, la somme est versée par la TRA dans un délai d'un mois après règlement du différend. </w:t>
      </w:r>
    </w:p>
    <w:p w:rsidR="00716A59" w:rsidRPr="003C5D6B" w:rsidRDefault="00716A59" w:rsidP="00716A59">
      <w:pPr>
        <w:pStyle w:val="Arttitle"/>
        <w:spacing w:before="400"/>
        <w:rPr>
          <w:lang w:val="fr-FR"/>
        </w:rPr>
      </w:pPr>
      <w:bookmarkStart w:id="1067" w:name="_Toc280262392"/>
      <w:bookmarkStart w:id="1068" w:name="_Toc280272786"/>
      <w:bookmarkStart w:id="1069" w:name="_Toc280272965"/>
      <w:bookmarkStart w:id="1070" w:name="_Toc284419480"/>
      <w:bookmarkStart w:id="1071" w:name="_Toc286315797"/>
      <w:bookmarkStart w:id="1072" w:name="_Toc287523873"/>
      <w:r w:rsidRPr="003C5D6B">
        <w:rPr>
          <w:lang w:val="fr-FR"/>
        </w:rPr>
        <w:t>Article 35</w:t>
      </w:r>
      <w:r w:rsidRPr="003C5D6B">
        <w:rPr>
          <w:lang w:val="fr-FR"/>
        </w:rPr>
        <w:br/>
      </w:r>
      <w:r w:rsidRPr="003C5D6B">
        <w:rPr>
          <w:lang w:val="fr-FR"/>
        </w:rPr>
        <w:br/>
      </w:r>
      <w:bookmarkStart w:id="1073" w:name="_Toc225739871"/>
      <w:r w:rsidRPr="003C5D6B">
        <w:rPr>
          <w:lang w:val="fr-FR"/>
        </w:rPr>
        <w:t>Méthodes de paiement</w:t>
      </w:r>
      <w:bookmarkEnd w:id="1067"/>
      <w:bookmarkEnd w:id="1068"/>
      <w:bookmarkEnd w:id="1069"/>
      <w:bookmarkEnd w:id="1070"/>
      <w:bookmarkEnd w:id="1071"/>
      <w:bookmarkEnd w:id="1072"/>
      <w:bookmarkEnd w:id="1073"/>
    </w:p>
    <w:p w:rsidR="00716A59" w:rsidRPr="003C5D6B" w:rsidRDefault="00716A59" w:rsidP="00716A59">
      <w:pPr>
        <w:rPr>
          <w:lang w:val="fr-FR"/>
        </w:rPr>
      </w:pPr>
      <w:r w:rsidRPr="003C5D6B">
        <w:rPr>
          <w:lang w:val="fr-FR"/>
        </w:rPr>
        <w:t xml:space="preserve">La TRA ne peut accepter de paiements en espèces et les droits à acquitter pour l'utilisation du spectre et autres droits associés sont payables selon l'une des méthodes suivantes: </w:t>
      </w:r>
    </w:p>
    <w:p w:rsidR="00716A59" w:rsidRPr="003C5D6B" w:rsidRDefault="00716A59" w:rsidP="00716A59">
      <w:pPr>
        <w:pStyle w:val="enumlev1"/>
        <w:rPr>
          <w:lang w:val="fr-FR"/>
        </w:rPr>
      </w:pPr>
      <w:r w:rsidRPr="003C5D6B">
        <w:rPr>
          <w:lang w:val="fr-FR"/>
        </w:rPr>
        <w:t>–</w:t>
      </w:r>
      <w:r w:rsidRPr="003C5D6B">
        <w:rPr>
          <w:lang w:val="fr-FR"/>
        </w:rPr>
        <w:tab/>
        <w:t>Paiement électronique.</w:t>
      </w:r>
    </w:p>
    <w:p w:rsidR="00716A59" w:rsidRPr="003C5D6B" w:rsidRDefault="00716A59" w:rsidP="00716A59">
      <w:pPr>
        <w:pStyle w:val="enumlev1"/>
        <w:rPr>
          <w:lang w:val="fr-FR"/>
        </w:rPr>
      </w:pPr>
      <w:r w:rsidRPr="003C5D6B">
        <w:rPr>
          <w:lang w:val="fr-FR"/>
        </w:rPr>
        <w:t>–</w:t>
      </w:r>
      <w:r w:rsidRPr="003C5D6B">
        <w:rPr>
          <w:lang w:val="fr-FR"/>
        </w:rPr>
        <w:tab/>
        <w:t>Chèque.</w:t>
      </w:r>
    </w:p>
    <w:p w:rsidR="00716A59" w:rsidRPr="003C5D6B" w:rsidRDefault="00716A59" w:rsidP="00716A59">
      <w:pPr>
        <w:pStyle w:val="enumlev1"/>
        <w:rPr>
          <w:lang w:val="fr-FR"/>
        </w:rPr>
      </w:pPr>
      <w:r w:rsidRPr="003C5D6B">
        <w:rPr>
          <w:lang w:val="fr-FR"/>
        </w:rPr>
        <w:t>–</w:t>
      </w:r>
      <w:r w:rsidRPr="003C5D6B">
        <w:rPr>
          <w:lang w:val="fr-FR"/>
        </w:rPr>
        <w:tab/>
        <w:t>Virement sur le compte bancaire de la TRA.</w:t>
      </w:r>
    </w:p>
    <w:p w:rsidR="00716A59" w:rsidRPr="003C5D6B" w:rsidRDefault="00716A59" w:rsidP="00716A59">
      <w:pPr>
        <w:pStyle w:val="Arttitle"/>
        <w:spacing w:before="400"/>
        <w:rPr>
          <w:lang w:val="fr-FR"/>
        </w:rPr>
      </w:pPr>
      <w:bookmarkStart w:id="1074" w:name="_Toc225739526"/>
      <w:bookmarkStart w:id="1075" w:name="_Toc225739872"/>
      <w:bookmarkStart w:id="1076" w:name="_Toc280262393"/>
      <w:bookmarkStart w:id="1077" w:name="_Toc280272787"/>
      <w:bookmarkStart w:id="1078" w:name="_Toc280272966"/>
      <w:bookmarkStart w:id="1079" w:name="_Toc284419481"/>
      <w:bookmarkStart w:id="1080" w:name="_Toc286315798"/>
      <w:bookmarkStart w:id="1081" w:name="_Toc287523874"/>
      <w:r w:rsidRPr="003C5D6B">
        <w:rPr>
          <w:lang w:val="fr-FR"/>
        </w:rPr>
        <w:t>Article 36</w:t>
      </w:r>
      <w:bookmarkEnd w:id="1074"/>
      <w:bookmarkEnd w:id="1075"/>
      <w:r w:rsidRPr="003C5D6B">
        <w:rPr>
          <w:lang w:val="fr-FR"/>
        </w:rPr>
        <w:br/>
      </w:r>
      <w:r w:rsidRPr="003C5D6B">
        <w:rPr>
          <w:lang w:val="fr-FR"/>
        </w:rPr>
        <w:br/>
      </w:r>
      <w:bookmarkStart w:id="1082" w:name="_Toc225739527"/>
      <w:bookmarkStart w:id="1083" w:name="_Toc225739873"/>
      <w:r w:rsidRPr="003C5D6B">
        <w:rPr>
          <w:lang w:val="fr-FR"/>
        </w:rPr>
        <w:t>Sanctions</w:t>
      </w:r>
      <w:bookmarkEnd w:id="1076"/>
      <w:bookmarkEnd w:id="1077"/>
      <w:bookmarkEnd w:id="1078"/>
      <w:bookmarkEnd w:id="1079"/>
      <w:bookmarkEnd w:id="1080"/>
      <w:bookmarkEnd w:id="1081"/>
      <w:bookmarkEnd w:id="1082"/>
      <w:bookmarkEnd w:id="1083"/>
    </w:p>
    <w:p w:rsidR="00716A59" w:rsidRPr="003C5D6B" w:rsidRDefault="00716A59" w:rsidP="00716A59">
      <w:pPr>
        <w:rPr>
          <w:lang w:val="fr-FR"/>
        </w:rPr>
      </w:pPr>
      <w:r w:rsidRPr="003C5D6B">
        <w:rPr>
          <w:lang w:val="fr-FR"/>
        </w:rPr>
        <w:t xml:space="preserve">La TRA est habilitée à sanctionner la </w:t>
      </w:r>
      <w:r w:rsidR="003C5D6B" w:rsidRPr="003C5D6B">
        <w:rPr>
          <w:lang w:val="fr-FR"/>
        </w:rPr>
        <w:t>non-observation</w:t>
      </w:r>
      <w:r w:rsidRPr="003C5D6B">
        <w:rPr>
          <w:lang w:val="fr-FR"/>
        </w:rPr>
        <w:t xml:space="preserve"> des modalités et conditions énoncées dans la présente directive et dans tout autre instrument réglementaire qu'elle publie. Les modalités et circonstances d'exécution de cette sanction, ainsi que son montant, sont précisées dans les articles de la Loi fédérale (Décret N° 3 de 2003), telle qu'elle a été modifiée. </w:t>
      </w:r>
    </w:p>
    <w:p w:rsidR="00716A59" w:rsidRPr="003C5D6B" w:rsidRDefault="00716A59" w:rsidP="00716A59">
      <w:pPr>
        <w:pStyle w:val="Arttitle"/>
        <w:spacing w:before="400"/>
        <w:rPr>
          <w:lang w:val="fr-FR"/>
        </w:rPr>
      </w:pPr>
      <w:bookmarkStart w:id="1084" w:name="_Toc225739528"/>
      <w:bookmarkStart w:id="1085" w:name="_Toc225739874"/>
      <w:bookmarkStart w:id="1086" w:name="_Toc280262394"/>
      <w:bookmarkStart w:id="1087" w:name="_Toc280272788"/>
      <w:bookmarkStart w:id="1088" w:name="_Toc280272967"/>
      <w:bookmarkStart w:id="1089" w:name="_Toc284419482"/>
      <w:bookmarkStart w:id="1090" w:name="_Toc286315799"/>
      <w:bookmarkStart w:id="1091" w:name="_Toc287523875"/>
      <w:r w:rsidRPr="003C5D6B">
        <w:rPr>
          <w:lang w:val="fr-FR"/>
        </w:rPr>
        <w:t>Article 37</w:t>
      </w:r>
      <w:bookmarkStart w:id="1092" w:name="_Toc225739529"/>
      <w:bookmarkStart w:id="1093" w:name="_Toc225739875"/>
      <w:bookmarkEnd w:id="1084"/>
      <w:bookmarkEnd w:id="1085"/>
      <w:r w:rsidRPr="003C5D6B">
        <w:rPr>
          <w:lang w:val="fr-FR"/>
        </w:rPr>
        <w:br/>
      </w:r>
      <w:r w:rsidRPr="003C5D6B">
        <w:rPr>
          <w:lang w:val="fr-FR"/>
        </w:rPr>
        <w:br/>
        <w:t>Mise en application</w:t>
      </w:r>
      <w:bookmarkEnd w:id="1086"/>
      <w:bookmarkEnd w:id="1087"/>
      <w:bookmarkEnd w:id="1088"/>
      <w:bookmarkEnd w:id="1089"/>
      <w:bookmarkEnd w:id="1090"/>
      <w:bookmarkEnd w:id="1091"/>
      <w:bookmarkEnd w:id="1092"/>
      <w:bookmarkEnd w:id="1093"/>
    </w:p>
    <w:p w:rsidR="00716A59" w:rsidRPr="003C5D6B" w:rsidRDefault="00716A59" w:rsidP="00716A59">
      <w:pPr>
        <w:rPr>
          <w:lang w:val="fr-FR"/>
        </w:rPr>
      </w:pPr>
      <w:r w:rsidRPr="003C5D6B">
        <w:rPr>
          <w:lang w:val="fr-FR"/>
        </w:rPr>
        <w:t>Toutes les factures portant sur la période débutant au 1</w:t>
      </w:r>
      <w:r w:rsidRPr="003C5D6B">
        <w:rPr>
          <w:vertAlign w:val="superscript"/>
          <w:lang w:val="fr-FR"/>
        </w:rPr>
        <w:t>er</w:t>
      </w:r>
      <w:r w:rsidRPr="003C5D6B">
        <w:rPr>
          <w:lang w:val="fr-FR"/>
        </w:rPr>
        <w:t> janvier 2009 doivent être conformes à la présente directive. Les factures portant sur une période qui débute avant le 1</w:t>
      </w:r>
      <w:r w:rsidRPr="003C5D6B">
        <w:rPr>
          <w:vertAlign w:val="superscript"/>
          <w:lang w:val="fr-FR"/>
        </w:rPr>
        <w:t>er</w:t>
      </w:r>
      <w:r w:rsidRPr="003C5D6B">
        <w:rPr>
          <w:lang w:val="fr-FR"/>
        </w:rPr>
        <w:t> janvier 2009 doivent être conformes à la version 1.0 de la directive sur les droits à acquitter pour l'utilisation du spectre.</w:t>
      </w:r>
    </w:p>
    <w:p w:rsidR="00930F5D" w:rsidRPr="003C5D6B" w:rsidRDefault="00930F5D">
      <w:pPr>
        <w:tabs>
          <w:tab w:val="clear" w:pos="794"/>
          <w:tab w:val="clear" w:pos="1191"/>
          <w:tab w:val="clear" w:pos="1588"/>
          <w:tab w:val="clear" w:pos="1985"/>
        </w:tabs>
        <w:overflowPunct/>
        <w:autoSpaceDE/>
        <w:autoSpaceDN/>
        <w:adjustRightInd/>
        <w:spacing w:before="0"/>
        <w:jc w:val="left"/>
        <w:textAlignment w:val="auto"/>
        <w:rPr>
          <w:b/>
          <w:lang w:val="fr-FR"/>
        </w:rPr>
      </w:pPr>
      <w:r w:rsidRPr="003C5D6B">
        <w:rPr>
          <w:b/>
          <w:lang w:val="fr-FR"/>
        </w:rPr>
        <w:br w:type="page"/>
      </w:r>
    </w:p>
    <w:p w:rsidR="00140E6C" w:rsidRPr="003C5D6B" w:rsidRDefault="00140E6C" w:rsidP="00F55743">
      <w:pPr>
        <w:pStyle w:val="AppendixNotitle"/>
        <w:rPr>
          <w:b w:val="0"/>
          <w:bCs/>
        </w:rPr>
      </w:pPr>
      <w:bookmarkStart w:id="1094" w:name="_Toc280260051"/>
      <w:bookmarkStart w:id="1095" w:name="_Toc280260905"/>
      <w:bookmarkStart w:id="1096" w:name="_Toc280272512"/>
      <w:bookmarkStart w:id="1097" w:name="_Toc284414183"/>
      <w:bookmarkStart w:id="1098" w:name="_Toc284499222"/>
      <w:bookmarkStart w:id="1099" w:name="_Toc287523376"/>
      <w:r w:rsidRPr="003C5D6B">
        <w:rPr>
          <w:lang w:val="es-ES"/>
        </w:rPr>
        <w:lastRenderedPageBreak/>
        <w:t>Ap</w:t>
      </w:r>
      <w:r w:rsidR="00F55743" w:rsidRPr="003C5D6B">
        <w:rPr>
          <w:lang w:val="es-ES"/>
        </w:rPr>
        <w:t>é</w:t>
      </w:r>
      <w:r w:rsidRPr="003C5D6B">
        <w:rPr>
          <w:lang w:val="es-ES"/>
        </w:rPr>
        <w:t>ndi</w:t>
      </w:r>
      <w:r w:rsidR="00F55743" w:rsidRPr="003C5D6B">
        <w:rPr>
          <w:lang w:val="es-ES"/>
        </w:rPr>
        <w:t>ce</w:t>
      </w:r>
      <w:r w:rsidRPr="003C5D6B">
        <w:rPr>
          <w:lang w:val="es-ES"/>
        </w:rPr>
        <w:t xml:space="preserve"> 2.1</w:t>
      </w:r>
      <w:r w:rsidR="00DB5E51" w:rsidRPr="003C5D6B">
        <w:rPr>
          <w:lang w:val="es-ES"/>
        </w:rPr>
        <w:t xml:space="preserve"> (</w:t>
      </w:r>
      <w:r w:rsidR="00F55743" w:rsidRPr="003C5D6B">
        <w:rPr>
          <w:lang w:val="es-ES"/>
        </w:rPr>
        <w:t>inglés</w:t>
      </w:r>
      <w:r w:rsidR="00DB5E51" w:rsidRPr="003C5D6B">
        <w:rPr>
          <w:lang w:val="es-ES"/>
        </w:rPr>
        <w:t>)</w:t>
      </w:r>
      <w:r w:rsidR="00FD1457" w:rsidRPr="003C5D6B">
        <w:rPr>
          <w:lang w:val="es-ES"/>
        </w:rPr>
        <w:br/>
      </w:r>
      <w:r w:rsidR="00FD1457" w:rsidRPr="003C5D6B">
        <w:rPr>
          <w:lang w:val="es-ES"/>
        </w:rPr>
        <w:br/>
      </w:r>
      <w:r w:rsidRPr="003C5D6B">
        <w:t>Switzerland</w:t>
      </w:r>
      <w:r w:rsidR="00FD1457" w:rsidRPr="003C5D6B">
        <w:rPr>
          <w:b w:val="0"/>
          <w:bCs/>
        </w:rPr>
        <w:br/>
      </w:r>
      <w:r w:rsidRPr="003C5D6B">
        <w:t>Financing of spectrum management activities in Switzerland: Abstract</w:t>
      </w:r>
      <w:bookmarkEnd w:id="1094"/>
      <w:bookmarkEnd w:id="1095"/>
      <w:bookmarkEnd w:id="1096"/>
      <w:bookmarkEnd w:id="1097"/>
      <w:bookmarkEnd w:id="1098"/>
      <w:bookmarkEnd w:id="1099"/>
    </w:p>
    <w:p w:rsidR="00E87B66" w:rsidRPr="003C5D6B" w:rsidRDefault="00E87B66" w:rsidP="00140E6C"/>
    <w:p w:rsidR="00140E6C" w:rsidRPr="003C5D6B" w:rsidRDefault="00140E6C" w:rsidP="00140E6C">
      <w:r w:rsidRPr="003C5D6B">
        <w:t>The feature that probably sets apart the Swiss system for financing spectrum management from that of many other administrations is that the funding comes from mixed sources.</w:t>
      </w:r>
    </w:p>
    <w:p w:rsidR="00140E6C" w:rsidRPr="003C5D6B" w:rsidRDefault="00140E6C" w:rsidP="00140E6C">
      <w:r w:rsidRPr="003C5D6B">
        <w:t>The sources of financing for the state's spectrum management activity can be grouped into two main categories, namely: (i) taxes, which are set without reference to the individual benefit the taxpayer derives from the state's activities, and (ii) fees, whereby services provided to users are billed to the user on the basis of their cost.</w:t>
      </w:r>
    </w:p>
    <w:p w:rsidR="00140E6C" w:rsidRPr="003C5D6B" w:rsidRDefault="00140E6C" w:rsidP="00140E6C">
      <w:r w:rsidRPr="003C5D6B">
        <w:t xml:space="preserve">Switzerland's approach to levies for spectrum management is to employ both these types of contributions to the state coffers. </w:t>
      </w:r>
    </w:p>
    <w:p w:rsidR="00140E6C" w:rsidRPr="003C5D6B" w:rsidRDefault="00140E6C" w:rsidP="00140E6C">
      <w:r w:rsidRPr="003C5D6B">
        <w:t>The first source, income from spectrum utilization charges (which are categorized as taxes, and not fees) is calculated so as to cover at least the balance of spectrum management costs which is not met through income from fees. This does not prevent us from using spectrum pricing as an incentive tool.</w:t>
      </w:r>
    </w:p>
    <w:p w:rsidR="00140E6C" w:rsidRPr="003C5D6B" w:rsidRDefault="00140E6C" w:rsidP="00140E6C">
      <w:r w:rsidRPr="003C5D6B">
        <w:t xml:space="preserve">The second source is fees. These may be one-time fees, such as, for example, for the award of radiocommunication licences, modification of licences, revocation of licences or detection of interference (costs caused by the interfering party when identified); or periodical fees levied to cover ongoing costs of spectrum management and monitoring activities which do not result from a specific action on the part of the various players but can nevertheless be clearly ascribed to them as immediate beneficiaries. </w:t>
      </w:r>
    </w:p>
    <w:p w:rsidR="00140E6C" w:rsidRPr="003C5D6B" w:rsidRDefault="00140E6C" w:rsidP="00140E6C">
      <w:r w:rsidRPr="003C5D6B">
        <w:t>With this mixed approach, we are able to cover all spectrum management costs equitably, in line with the law (principle of covering costs) and flexibly.</w:t>
      </w:r>
    </w:p>
    <w:p w:rsidR="009B3560" w:rsidRPr="003C5D6B" w:rsidRDefault="009B3560">
      <w:pPr>
        <w:tabs>
          <w:tab w:val="clear" w:pos="794"/>
          <w:tab w:val="clear" w:pos="1191"/>
          <w:tab w:val="clear" w:pos="1588"/>
          <w:tab w:val="clear" w:pos="1985"/>
        </w:tabs>
        <w:overflowPunct/>
        <w:autoSpaceDE/>
        <w:autoSpaceDN/>
        <w:adjustRightInd/>
        <w:spacing w:before="0"/>
        <w:jc w:val="left"/>
        <w:textAlignment w:val="auto"/>
        <w:rPr>
          <w:lang w:val="es-ES"/>
        </w:rPr>
      </w:pPr>
      <w:r w:rsidRPr="003C5D6B">
        <w:rPr>
          <w:lang w:val="es-ES"/>
        </w:rPr>
        <w:br w:type="page"/>
      </w:r>
    </w:p>
    <w:p w:rsidR="0048142C" w:rsidRPr="003C5D6B" w:rsidRDefault="000C3912" w:rsidP="0019195D">
      <w:pPr>
        <w:pStyle w:val="AppendixNotitle"/>
        <w:rPr>
          <w:lang w:val="fr-FR"/>
        </w:rPr>
      </w:pPr>
      <w:bookmarkStart w:id="1100" w:name="_Toc280260052"/>
      <w:bookmarkStart w:id="1101" w:name="_Toc280260906"/>
      <w:bookmarkStart w:id="1102" w:name="_Toc280272513"/>
      <w:bookmarkStart w:id="1103" w:name="_Toc284414184"/>
      <w:bookmarkStart w:id="1104" w:name="_Toc284499223"/>
      <w:bookmarkStart w:id="1105" w:name="_Toc287523377"/>
      <w:r w:rsidRPr="003C5D6B">
        <w:rPr>
          <w:lang w:val="es-ES"/>
        </w:rPr>
        <w:lastRenderedPageBreak/>
        <w:t>Ap</w:t>
      </w:r>
      <w:r w:rsidR="0019195D" w:rsidRPr="003C5D6B">
        <w:rPr>
          <w:lang w:val="es-ES"/>
        </w:rPr>
        <w:t>é</w:t>
      </w:r>
      <w:r w:rsidRPr="003C5D6B">
        <w:rPr>
          <w:lang w:val="es-ES"/>
        </w:rPr>
        <w:t>ndice 2.1</w:t>
      </w:r>
      <w:r w:rsidR="00820CBD" w:rsidRPr="003C5D6B">
        <w:rPr>
          <w:lang w:val="es-ES"/>
        </w:rPr>
        <w:t xml:space="preserve"> (</w:t>
      </w:r>
      <w:r w:rsidR="0019195D" w:rsidRPr="003C5D6B">
        <w:rPr>
          <w:lang w:val="es-ES"/>
        </w:rPr>
        <w:t>francés</w:t>
      </w:r>
      <w:r w:rsidR="00820CBD" w:rsidRPr="003C5D6B">
        <w:rPr>
          <w:lang w:val="es-ES"/>
        </w:rPr>
        <w:t>)</w:t>
      </w:r>
      <w:r w:rsidR="0048142C" w:rsidRPr="003C5D6B">
        <w:rPr>
          <w:lang w:val="es-ES"/>
        </w:rPr>
        <w:br/>
      </w:r>
      <w:r w:rsidR="0048142C" w:rsidRPr="003C5D6B">
        <w:rPr>
          <w:lang w:val="es-ES"/>
        </w:rPr>
        <w:br/>
      </w:r>
      <w:r w:rsidR="0048142C" w:rsidRPr="003C5D6B">
        <w:rPr>
          <w:lang w:val="fr-FR"/>
        </w:rPr>
        <w:t>Suisse</w:t>
      </w:r>
      <w:r w:rsidR="0048142C" w:rsidRPr="003C5D6B">
        <w:rPr>
          <w:lang w:val="fr-FR"/>
        </w:rPr>
        <w:br/>
        <w:t>Financement des activités de gestion du spectre en Suisse: Résumé</w:t>
      </w:r>
      <w:bookmarkEnd w:id="1100"/>
      <w:bookmarkEnd w:id="1101"/>
      <w:bookmarkEnd w:id="1102"/>
      <w:bookmarkEnd w:id="1103"/>
      <w:bookmarkEnd w:id="1104"/>
      <w:bookmarkEnd w:id="1105"/>
    </w:p>
    <w:p w:rsidR="001178FD" w:rsidRPr="003C5D6B" w:rsidRDefault="001178FD" w:rsidP="001178FD">
      <w:pPr>
        <w:rPr>
          <w:lang w:val="fr-FR"/>
        </w:rPr>
      </w:pPr>
    </w:p>
    <w:p w:rsidR="0048142C" w:rsidRPr="003C5D6B" w:rsidRDefault="0048142C" w:rsidP="0048142C">
      <w:pPr>
        <w:rPr>
          <w:lang w:val="fr-FR"/>
        </w:rPr>
      </w:pPr>
      <w:r w:rsidRPr="003C5D6B">
        <w:rPr>
          <w:lang w:val="fr-FR"/>
        </w:rPr>
        <w:t>Le point qui distingue sans doute le système suisse de financement de la gestion du spectre de celui de beaucoup d’autres administrations est qu’il provient de sources mixtes.</w:t>
      </w:r>
    </w:p>
    <w:p w:rsidR="0048142C" w:rsidRPr="003C5D6B" w:rsidRDefault="0048142C" w:rsidP="0048142C">
      <w:pPr>
        <w:rPr>
          <w:lang w:val="fr-FR"/>
        </w:rPr>
      </w:pPr>
      <w:r w:rsidRPr="003C5D6B">
        <w:rPr>
          <w:lang w:val="fr-FR"/>
        </w:rPr>
        <w:t>Les sources de financement de l’activité étatique peuvent être regroupées dans deux groupes principaux que sont (i) les impôts (ou taxes) dont la fixation sans rapport avec le bénéfice individuel que le contribuable retire des activités de l’Etat et (ii) les redevances où les prestations fournies aux usagers leur sont facturés à hauteur de leurs coûts.</w:t>
      </w:r>
    </w:p>
    <w:p w:rsidR="0048142C" w:rsidRPr="003C5D6B" w:rsidRDefault="0048142C" w:rsidP="0048142C">
      <w:pPr>
        <w:rPr>
          <w:lang w:val="fr-FR"/>
        </w:rPr>
      </w:pPr>
      <w:r w:rsidRPr="003C5D6B">
        <w:rPr>
          <w:lang w:val="fr-FR"/>
        </w:rPr>
        <w:t xml:space="preserve">L’approche de la Suisse concernant les prélèvements dans le domaine de la gestion du spectre est d’avoir recours à ces deux types de contributions au profit de l’État. </w:t>
      </w:r>
    </w:p>
    <w:p w:rsidR="0048142C" w:rsidRPr="003C5D6B" w:rsidRDefault="0048142C" w:rsidP="0048142C">
      <w:pPr>
        <w:rPr>
          <w:lang w:val="fr-FR"/>
        </w:rPr>
      </w:pPr>
      <w:r w:rsidRPr="003C5D6B">
        <w:rPr>
          <w:lang w:val="fr-FR"/>
        </w:rPr>
        <w:t>Pour une part les revenus provenant de la perception des taxes d’utilisation du spectre (ces dernières sont à qualifier d’impôt – et non de redevances) couvrent d’un point de vue calculatoire au moins le solde des coûts de la gestion du spectre qui ne sont pas couverts par les revenus provenant des redevances. Ceci n’empêche pas d’utiliser la fonction incitative des taxes d’utilisation du spectre (</w:t>
      </w:r>
      <w:r w:rsidRPr="003C5D6B">
        <w:rPr>
          <w:i/>
          <w:lang w:val="fr-FR"/>
        </w:rPr>
        <w:t>spectrum pricing</w:t>
      </w:r>
      <w:r w:rsidRPr="003C5D6B">
        <w:rPr>
          <w:lang w:val="fr-FR"/>
        </w:rPr>
        <w:t>).</w:t>
      </w:r>
    </w:p>
    <w:p w:rsidR="0048142C" w:rsidRPr="003C5D6B" w:rsidRDefault="0048142C" w:rsidP="0048142C">
      <w:pPr>
        <w:rPr>
          <w:lang w:val="fr-FR"/>
        </w:rPr>
      </w:pPr>
      <w:r w:rsidRPr="003C5D6B">
        <w:rPr>
          <w:lang w:val="fr-FR"/>
        </w:rPr>
        <w:t>D’autre part sont prélevées des redevances. Certaines sont des redevances uniques, comme par exemple pour les prestations d’octroi de licences de radiocommunication, de modification de licences, de révocation de licences ou de recherche de perturbations (coûts engendrés par le perturbateur lorsqu’il est identifié). D’autres sont des redevances périodiques qui sont perçues pour couvrir les frais courants relatifs aux activités de gestion et le contrôle technique du spectre des fréquences qui ne découlent pas d'une action concrète des différents acteurs mais qui peuvent néanmoins leur être clairement imputées en tant que bénéficiaires médiats.</w:t>
      </w:r>
    </w:p>
    <w:p w:rsidR="0048142C" w:rsidRPr="003C5D6B" w:rsidRDefault="0048142C" w:rsidP="0048142C">
      <w:pPr>
        <w:rPr>
          <w:lang w:val="fr-FR"/>
        </w:rPr>
      </w:pPr>
      <w:r w:rsidRPr="003C5D6B">
        <w:rPr>
          <w:lang w:val="fr-FR"/>
        </w:rPr>
        <w:t>Cette mixité donne la faculté de couvrir la totalité des coûts afférant à la gestion du spectre avec équité, dans le respect du droit (principe de la couverture des coûts) et avec souplesse.</w:t>
      </w:r>
    </w:p>
    <w:p w:rsidR="009B3560" w:rsidRPr="003C5D6B" w:rsidRDefault="009B3560">
      <w:pPr>
        <w:tabs>
          <w:tab w:val="clear" w:pos="794"/>
          <w:tab w:val="clear" w:pos="1191"/>
          <w:tab w:val="clear" w:pos="1588"/>
          <w:tab w:val="clear" w:pos="1985"/>
        </w:tabs>
        <w:overflowPunct/>
        <w:autoSpaceDE/>
        <w:autoSpaceDN/>
        <w:adjustRightInd/>
        <w:spacing w:before="0"/>
        <w:jc w:val="left"/>
        <w:textAlignment w:val="auto"/>
        <w:rPr>
          <w:lang w:val="es-ES"/>
        </w:rPr>
      </w:pPr>
      <w:r w:rsidRPr="003C5D6B">
        <w:rPr>
          <w:lang w:val="es-ES"/>
        </w:rPr>
        <w:br w:type="page"/>
      </w:r>
    </w:p>
    <w:p w:rsidR="0030198E" w:rsidRPr="003C5D6B" w:rsidRDefault="00D04CA0" w:rsidP="00D04CA0">
      <w:pPr>
        <w:pStyle w:val="AppendixNotitle"/>
        <w:rPr>
          <w:lang w:val="fr-FR"/>
        </w:rPr>
      </w:pPr>
      <w:bookmarkStart w:id="1106" w:name="_Toc280260053"/>
      <w:bookmarkStart w:id="1107" w:name="_Toc280260907"/>
      <w:bookmarkStart w:id="1108" w:name="_Toc280272514"/>
      <w:bookmarkStart w:id="1109" w:name="_Toc284414185"/>
      <w:bookmarkStart w:id="1110" w:name="_Toc284499224"/>
      <w:bookmarkStart w:id="1111" w:name="_Toc287523378"/>
      <w:r w:rsidRPr="003C5D6B">
        <w:rPr>
          <w:lang w:val="fr-FR"/>
        </w:rPr>
        <w:lastRenderedPageBreak/>
        <w:t>Apé</w:t>
      </w:r>
      <w:r w:rsidR="0030198E" w:rsidRPr="003C5D6B">
        <w:rPr>
          <w:lang w:val="fr-FR"/>
        </w:rPr>
        <w:t>ndice 2.2</w:t>
      </w:r>
      <w:r w:rsidR="00481F33" w:rsidRPr="003C5D6B">
        <w:rPr>
          <w:lang w:val="fr-FR"/>
        </w:rPr>
        <w:t xml:space="preserve"> (</w:t>
      </w:r>
      <w:r w:rsidRPr="003C5D6B">
        <w:rPr>
          <w:lang w:val="fr-FR"/>
        </w:rPr>
        <w:t>francés</w:t>
      </w:r>
      <w:r w:rsidR="00481F33" w:rsidRPr="003C5D6B">
        <w:rPr>
          <w:lang w:val="fr-FR"/>
        </w:rPr>
        <w:t>)</w:t>
      </w:r>
      <w:r w:rsidR="0030198E" w:rsidRPr="003C5D6B">
        <w:rPr>
          <w:lang w:val="fr-FR"/>
        </w:rPr>
        <w:br/>
      </w:r>
      <w:r w:rsidR="0030198E" w:rsidRPr="003C5D6B">
        <w:rPr>
          <w:lang w:val="fr-FR"/>
        </w:rPr>
        <w:br/>
        <w:t>Financement des activités de gestion du spectre en Suisse</w:t>
      </w:r>
      <w:bookmarkEnd w:id="1106"/>
      <w:bookmarkEnd w:id="1107"/>
      <w:bookmarkEnd w:id="1108"/>
      <w:bookmarkEnd w:id="1109"/>
      <w:bookmarkEnd w:id="1110"/>
      <w:bookmarkEnd w:id="1111"/>
    </w:p>
    <w:p w:rsidR="0030198E" w:rsidRPr="003C5D6B" w:rsidRDefault="001B1D06" w:rsidP="001B1D06">
      <w:pPr>
        <w:pStyle w:val="Heading1"/>
        <w:rPr>
          <w:lang w:val="fr-FR"/>
        </w:rPr>
      </w:pPr>
      <w:bookmarkStart w:id="1112" w:name="_Toc280260054"/>
      <w:bookmarkStart w:id="1113" w:name="_Toc280260908"/>
      <w:bookmarkStart w:id="1114" w:name="_Toc280272515"/>
      <w:bookmarkStart w:id="1115" w:name="_Toc284414186"/>
      <w:bookmarkStart w:id="1116" w:name="_Toc284499225"/>
      <w:bookmarkStart w:id="1117" w:name="_Toc287523379"/>
      <w:r w:rsidRPr="003C5D6B">
        <w:rPr>
          <w:lang w:val="fr-FR"/>
        </w:rPr>
        <w:t>1</w:t>
      </w:r>
      <w:r w:rsidRPr="003C5D6B">
        <w:rPr>
          <w:lang w:val="fr-FR"/>
        </w:rPr>
        <w:tab/>
      </w:r>
      <w:r w:rsidR="0030198E" w:rsidRPr="003C5D6B">
        <w:rPr>
          <w:lang w:val="fr-FR"/>
        </w:rPr>
        <w:t>Introduction</w:t>
      </w:r>
      <w:bookmarkEnd w:id="1112"/>
      <w:bookmarkEnd w:id="1113"/>
      <w:bookmarkEnd w:id="1114"/>
      <w:bookmarkEnd w:id="1115"/>
      <w:bookmarkEnd w:id="1116"/>
      <w:bookmarkEnd w:id="1117"/>
    </w:p>
    <w:p w:rsidR="0030198E" w:rsidRPr="003C5D6B" w:rsidRDefault="0030198E" w:rsidP="001B1D06">
      <w:pPr>
        <w:rPr>
          <w:lang w:val="fr-FR"/>
        </w:rPr>
      </w:pPr>
      <w:r w:rsidRPr="003C5D6B">
        <w:rPr>
          <w:lang w:val="fr-FR"/>
        </w:rPr>
        <w:t>Assurer une gestion durable et une utilisation efficace du spectre requiert la mise à disposition de moyens financiers conséquents par l’État. En particulier, la masse salariale du personnel employé par une autorité de gestion du spectre possède une très grande importance tant par sa montant total que par la nécessité d’assurer son attractivité pour un personnel compétent et engagé par le biais des salaires offerts. En outre, les outils de planification et les équipements destinés à la surveillance du spectre nécessitent de lourds investissements. Le mode de financement des activités étatiques de gestion du spectre ainsi que la hauteur de ce financement sont donc cruciaux.</w:t>
      </w:r>
    </w:p>
    <w:p w:rsidR="0030198E" w:rsidRPr="003C5D6B" w:rsidRDefault="0030198E" w:rsidP="0030198E">
      <w:pPr>
        <w:rPr>
          <w:lang w:val="fr-FR"/>
        </w:rPr>
      </w:pPr>
      <w:r w:rsidRPr="003C5D6B">
        <w:rPr>
          <w:lang w:val="fr-FR"/>
        </w:rPr>
        <w:t xml:space="preserve">Le présent document a pour objectif de présenter la méthodologie appliquée en Suisse afin de pourvoir aux besoins financiers de la gestion nationale du spectre. A première lecture le système présenté paraîtra complexe. Ceci est en bonne partie dû au cadre juridique très contraignant découlant du droit général des contributions publiques. Ce cadre a le but très louable d'assurer la transparence des contributions payées à l'Etat. En cas de litige le contrôle postérieur par le pouvoir judiciaire en est également facilité. Le point qui distingue sans doute le système suisse de financement de la gestion du spectre de celui de beaucoup d’autres administrations est qu’il provient de sources </w:t>
      </w:r>
      <w:r w:rsidRPr="003C5D6B">
        <w:rPr>
          <w:i/>
          <w:lang w:val="fr-FR"/>
        </w:rPr>
        <w:t>mixtes</w:t>
      </w:r>
      <w:r w:rsidRPr="003C5D6B">
        <w:rPr>
          <w:lang w:val="fr-FR"/>
        </w:rPr>
        <w:t>.</w:t>
      </w:r>
    </w:p>
    <w:p w:rsidR="0030198E" w:rsidRPr="003C5D6B" w:rsidRDefault="001B1D06" w:rsidP="001B1D06">
      <w:pPr>
        <w:pStyle w:val="Heading1"/>
        <w:rPr>
          <w:lang w:val="fr-FR"/>
        </w:rPr>
      </w:pPr>
      <w:bookmarkStart w:id="1118" w:name="_Toc280260055"/>
      <w:bookmarkStart w:id="1119" w:name="_Toc280260909"/>
      <w:bookmarkStart w:id="1120" w:name="_Toc280272516"/>
      <w:bookmarkStart w:id="1121" w:name="_Toc284414187"/>
      <w:bookmarkStart w:id="1122" w:name="_Toc284499226"/>
      <w:bookmarkStart w:id="1123" w:name="_Toc287523380"/>
      <w:r w:rsidRPr="003C5D6B">
        <w:rPr>
          <w:lang w:val="fr-FR"/>
        </w:rPr>
        <w:t>2</w:t>
      </w:r>
      <w:r w:rsidRPr="003C5D6B">
        <w:rPr>
          <w:lang w:val="fr-FR"/>
        </w:rPr>
        <w:tab/>
      </w:r>
      <w:r w:rsidR="0030198E" w:rsidRPr="003C5D6B">
        <w:rPr>
          <w:lang w:val="fr-FR"/>
        </w:rPr>
        <w:t>Considérations générales sur le mode de financement de l’activité étatique</w:t>
      </w:r>
      <w:bookmarkEnd w:id="1118"/>
      <w:bookmarkEnd w:id="1119"/>
      <w:bookmarkEnd w:id="1120"/>
      <w:bookmarkEnd w:id="1121"/>
      <w:bookmarkEnd w:id="1122"/>
      <w:bookmarkEnd w:id="1123"/>
    </w:p>
    <w:p w:rsidR="0030198E" w:rsidRPr="003C5D6B" w:rsidRDefault="0030198E" w:rsidP="0055248C">
      <w:pPr>
        <w:rPr>
          <w:lang w:val="fr-FR"/>
        </w:rPr>
      </w:pPr>
      <w:r w:rsidRPr="003C5D6B">
        <w:rPr>
          <w:lang w:val="fr-FR"/>
        </w:rPr>
        <w:t>Il existe un nombre considérable de modèles pour assurer le financement d’une activité administrative. Cependant, sur le plan de la théorie juridique les sources de financement peuvent être regroupé</w:t>
      </w:r>
      <w:r w:rsidR="000F3AB5" w:rsidRPr="003C5D6B">
        <w:rPr>
          <w:lang w:val="fr-FR"/>
        </w:rPr>
        <w:t>es dans deux groupes principaux</w:t>
      </w:r>
      <w:r w:rsidRPr="003C5D6B">
        <w:rPr>
          <w:lang w:val="fr-FR"/>
        </w:rPr>
        <w:t>: (i) l’</w:t>
      </w:r>
      <w:r w:rsidRPr="003C5D6B">
        <w:rPr>
          <w:b/>
          <w:lang w:val="fr-FR"/>
        </w:rPr>
        <w:t>impôt</w:t>
      </w:r>
      <w:r w:rsidR="00EB1601" w:rsidRPr="003C5D6B">
        <w:rPr>
          <w:rStyle w:val="FootnoteReference"/>
          <w:bCs/>
          <w:lang w:val="fr-FR"/>
        </w:rPr>
        <w:footnoteReference w:customMarkFollows="1" w:id="1"/>
        <w:t>1</w:t>
      </w:r>
      <w:r w:rsidRPr="003C5D6B">
        <w:rPr>
          <w:lang w:val="fr-FR"/>
        </w:rPr>
        <w:t xml:space="preserve"> qui fait supporter le poids de la dépense à l’ensemble ou à des groupes définis de contribuables et (ii) les </w:t>
      </w:r>
      <w:r w:rsidRPr="003C5D6B">
        <w:rPr>
          <w:b/>
          <w:lang w:val="fr-FR"/>
        </w:rPr>
        <w:t>redevances</w:t>
      </w:r>
      <w:r w:rsidR="00BA1216" w:rsidRPr="003C5D6B">
        <w:rPr>
          <w:rStyle w:val="FootnoteReference"/>
          <w:bCs/>
          <w:lang w:val="fr-FR"/>
        </w:rPr>
        <w:footnoteReference w:customMarkFollows="1" w:id="2"/>
        <w:t>2</w:t>
      </w:r>
      <w:r w:rsidRPr="003C5D6B">
        <w:rPr>
          <w:lang w:val="fr-FR"/>
        </w:rPr>
        <w:t xml:space="preserve"> qui pèsent sur les seuls usagers d’un service de l’administration. Naturellement, ces deux instruments de financement font l’objet de nombreuses variantes dans la pratique. La qualification juridique du mode de financement par les administrés</w:t>
      </w:r>
      <w:r w:rsidR="0055248C" w:rsidRPr="003C5D6B">
        <w:rPr>
          <w:rStyle w:val="FootnoteReference"/>
          <w:lang w:val="fr-FR"/>
        </w:rPr>
        <w:footnoteReference w:customMarkFollows="1" w:id="3"/>
        <w:t>3</w:t>
      </w:r>
      <w:r w:rsidRPr="003C5D6B">
        <w:rPr>
          <w:lang w:val="fr-FR"/>
        </w:rPr>
        <w:t xml:space="preserve"> des activités étatiques peut néanmoins toujours être ramenée aux deux sources que sont l’impôt et la redevance. D’une perspective un peu différente, la qualification du financement d’une activité étatique peut être faite en déterminant le mode de transfert des coûts de cette dernière aux bénéficiaires: la gratuité totale (par exemple pour certains services publics essentiels comme la police ou l’éducation) est généralement le signe d’un financement par le biais de l’impôt alors que l’imputation individuelle des coûts (par exemple pour l’eau ou l’électricité) va de pair avec le prélèvement d’une redevance. Dans la pratique une combinaison des deux assure le financement d’une activité.</w:t>
      </w:r>
    </w:p>
    <w:p w:rsidR="0030198E" w:rsidRPr="003C5D6B" w:rsidRDefault="0030198E" w:rsidP="00902F94">
      <w:pPr>
        <w:pStyle w:val="Heading2"/>
        <w:rPr>
          <w:lang w:val="fr-FR"/>
        </w:rPr>
      </w:pPr>
      <w:bookmarkStart w:id="1124" w:name="_Toc280260056"/>
      <w:bookmarkStart w:id="1125" w:name="_Toc280272517"/>
      <w:bookmarkStart w:id="1126" w:name="_Toc284414188"/>
      <w:bookmarkStart w:id="1127" w:name="_Toc284499227"/>
      <w:bookmarkStart w:id="1128" w:name="_Toc287523381"/>
      <w:r w:rsidRPr="003C5D6B">
        <w:rPr>
          <w:lang w:val="fr-FR"/>
        </w:rPr>
        <w:t>2.1</w:t>
      </w:r>
      <w:r w:rsidRPr="003C5D6B">
        <w:rPr>
          <w:lang w:val="fr-FR"/>
        </w:rPr>
        <w:tab/>
        <w:t>Impôt (ou taxe): fixation sans rapport avec le bénéfice individuel que le contribuable retire des activités de l’Etat</w:t>
      </w:r>
      <w:bookmarkEnd w:id="1124"/>
      <w:bookmarkEnd w:id="1125"/>
      <w:bookmarkEnd w:id="1126"/>
      <w:bookmarkEnd w:id="1127"/>
      <w:bookmarkEnd w:id="1128"/>
    </w:p>
    <w:p w:rsidR="0030198E" w:rsidRPr="003C5D6B" w:rsidRDefault="0030198E" w:rsidP="0030198E">
      <w:pPr>
        <w:rPr>
          <w:lang w:val="fr-FR"/>
        </w:rPr>
      </w:pPr>
      <w:r w:rsidRPr="003C5D6B">
        <w:rPr>
          <w:snapToGrid w:val="0"/>
          <w:lang w:val="fr-FR" w:eastAsia="de-DE"/>
        </w:rPr>
        <w:t xml:space="preserve">La taxe est une contribution publique due par l’administré sans qu’il ait droit à ce titre à aucune contre-prestation spécifique. La taxe est un prélèvement pécuniaire abstrait au profit de l’Etat sans contrepartie directe pour le contribuable. </w:t>
      </w:r>
      <w:r w:rsidRPr="003C5D6B">
        <w:rPr>
          <w:lang w:val="fr-FR"/>
        </w:rPr>
        <w:t xml:space="preserve">La taxe est la contribution de chacun à un projet collectif définit par les institutions politiques de l’Etat. En payant, le contribuable laisse ces institutions libres de décider de </w:t>
      </w:r>
      <w:r w:rsidRPr="003C5D6B">
        <w:rPr>
          <w:lang w:val="fr-FR"/>
        </w:rPr>
        <w:lastRenderedPageBreak/>
        <w:t>l’affectation optimale pour la collectivité des ressources financières ainsi mises à leur disposition. Les taxes alimentent le budget général et sont destinées à couvrir les dépenses générales de l’Etat.</w:t>
      </w:r>
    </w:p>
    <w:p w:rsidR="0030198E" w:rsidRPr="003C5D6B" w:rsidRDefault="0030198E" w:rsidP="00593F1A">
      <w:pPr>
        <w:rPr>
          <w:lang w:val="fr-FR"/>
        </w:rPr>
      </w:pPr>
      <w:r w:rsidRPr="003C5D6B">
        <w:rPr>
          <w:lang w:val="fr-FR"/>
        </w:rPr>
        <w:t xml:space="preserve">L’instauration d’une taxe et la fixation de son régime (barème, périodicité, etc.) relèvent de la compétence et à la libre discrétion du législateur. En bref, il peut être dit que la législation fiscale est régie par des normes très strictes sur le plan formel, c’est-à-dire que les procédures d’adoption de celle-ci ne sont pas flexibles. Par contre, quant au contenu de cette législation, la liberté du pouvoir législatif est </w:t>
      </w:r>
      <w:r w:rsidR="00593F1A" w:rsidRPr="003C5D6B">
        <w:rPr>
          <w:szCs w:val="24"/>
          <w:lang w:val="fr-FR"/>
        </w:rPr>
        <w:t>“</w:t>
      </w:r>
      <w:r w:rsidR="00593F1A" w:rsidRPr="003C5D6B">
        <w:rPr>
          <w:lang w:val="fr-FR"/>
        </w:rPr>
        <w:t>totale</w:t>
      </w:r>
      <w:r w:rsidR="00593F1A" w:rsidRPr="003C5D6B">
        <w:rPr>
          <w:szCs w:val="22"/>
          <w:lang w:val="fr-FR"/>
        </w:rPr>
        <w:t>”</w:t>
      </w:r>
      <w:r w:rsidRPr="003C5D6B">
        <w:rPr>
          <w:lang w:val="fr-FR"/>
        </w:rPr>
        <w:t>, c’est-à-dire que matériellement le législateur peut agir à sa guise.</w:t>
      </w:r>
    </w:p>
    <w:p w:rsidR="0030198E" w:rsidRPr="003C5D6B" w:rsidRDefault="0030198E" w:rsidP="00650335">
      <w:pPr>
        <w:pStyle w:val="Heading2"/>
        <w:rPr>
          <w:lang w:val="fr-FR"/>
        </w:rPr>
      </w:pPr>
      <w:bookmarkStart w:id="1129" w:name="_Toc280260057"/>
      <w:bookmarkStart w:id="1130" w:name="_Toc280272518"/>
      <w:bookmarkStart w:id="1131" w:name="_Toc284414189"/>
      <w:bookmarkStart w:id="1132" w:name="_Toc284499228"/>
      <w:bookmarkStart w:id="1133" w:name="_Toc287523382"/>
      <w:r w:rsidRPr="003C5D6B">
        <w:rPr>
          <w:lang w:val="fr-FR"/>
        </w:rPr>
        <w:t>2.2</w:t>
      </w:r>
      <w:r w:rsidRPr="003C5D6B">
        <w:rPr>
          <w:lang w:val="fr-FR"/>
        </w:rPr>
        <w:tab/>
        <w:t>Redevance: tarification à l’usager de la prestation fournie à hauteur de son coût</w:t>
      </w:r>
      <w:bookmarkEnd w:id="1129"/>
      <w:bookmarkEnd w:id="1130"/>
      <w:bookmarkEnd w:id="1131"/>
      <w:bookmarkEnd w:id="1132"/>
      <w:bookmarkEnd w:id="1133"/>
    </w:p>
    <w:p w:rsidR="0030198E" w:rsidRPr="003C5D6B" w:rsidRDefault="0030198E" w:rsidP="0030198E">
      <w:pPr>
        <w:rPr>
          <w:lang w:val="fr-FR"/>
        </w:rPr>
      </w:pPr>
      <w:r w:rsidRPr="003C5D6B">
        <w:rPr>
          <w:lang w:val="fr-FR"/>
        </w:rPr>
        <w:t>La redeva</w:t>
      </w:r>
      <w:r w:rsidR="00593F1A" w:rsidRPr="003C5D6B">
        <w:rPr>
          <w:lang w:val="fr-FR"/>
        </w:rPr>
        <w:t xml:space="preserve">nce (qui est appelée </w:t>
      </w:r>
      <w:r w:rsidR="00593F1A" w:rsidRPr="003C5D6B">
        <w:rPr>
          <w:szCs w:val="24"/>
          <w:lang w:val="fr-FR"/>
        </w:rPr>
        <w:t>“</w:t>
      </w:r>
      <w:r w:rsidR="00593F1A" w:rsidRPr="003C5D6B">
        <w:rPr>
          <w:lang w:val="fr-FR"/>
        </w:rPr>
        <w:t>émolument</w:t>
      </w:r>
      <w:r w:rsidR="00593F1A" w:rsidRPr="003C5D6B">
        <w:rPr>
          <w:szCs w:val="22"/>
          <w:lang w:val="fr-FR"/>
        </w:rPr>
        <w:t>”</w:t>
      </w:r>
      <w:r w:rsidRPr="003C5D6B">
        <w:rPr>
          <w:lang w:val="fr-FR"/>
        </w:rPr>
        <w:t xml:space="preserve"> en Suisse) est due à raison d’une prestation que l’administration fournit au redevable, prestation qui a entraîné des coûts pour l’administration. La recette d’une redevance a une affectation précise, c’est-à-dire que l’administration doit en faire l’usage spécifique qui est de rendre le service requis par le redevable.</w:t>
      </w:r>
    </w:p>
    <w:p w:rsidR="0030198E" w:rsidRPr="003C5D6B" w:rsidRDefault="0030198E" w:rsidP="00485652">
      <w:pPr>
        <w:rPr>
          <w:lang w:val="fr-FR"/>
        </w:rPr>
      </w:pPr>
      <w:r w:rsidRPr="003C5D6B">
        <w:rPr>
          <w:lang w:val="fr-FR"/>
        </w:rPr>
        <w:t>Ce lien direct – qui découle d’une requête de l’administré ou d’une action de l’administré ayant conduit l’administration à agir – implique que le montant du prélèvement auprès d’un administré et la valeur prestation qui lui est fournie par l’Etat doivent être corrélés. Premièrement, la redevance constitue une rémunération pour services rendus par l’administration couvrant au maximum les frais correspondant au coûts directs et indirects qui peuvent être mis à la charge du demandeur. Ainsi, le montant total des recettes est au plus égal au montant total des charges afférant à l’administration dans le secteur de l’administration concerné. C’est-à-dire que la hauteur de la redevance demandée aux usagers couvre en tout (au maximum) ou en partie les charges du service dont a bénéficié l’usager</w:t>
      </w:r>
      <w:r w:rsidR="00D7535D" w:rsidRPr="003C5D6B">
        <w:rPr>
          <w:rStyle w:val="FootnoteReference"/>
          <w:lang w:val="fr-FR"/>
        </w:rPr>
        <w:footnoteReference w:customMarkFollows="1" w:id="4"/>
        <w:t>4</w:t>
      </w:r>
      <w:r w:rsidRPr="003C5D6B">
        <w:rPr>
          <w:lang w:val="fr-FR"/>
        </w:rPr>
        <w:t>. Deuxièmement, la proportionnalité est exigée en matière de redevances. Ceci implique que le montant de la redevance doit être adaptée au bénéfice que le redevable retire du service obtenu de l’Etat</w:t>
      </w:r>
      <w:r w:rsidR="00485652" w:rsidRPr="003C5D6B">
        <w:rPr>
          <w:rStyle w:val="FootnoteReference"/>
          <w:lang w:val="fr-FR"/>
        </w:rPr>
        <w:footnoteReference w:customMarkFollows="1" w:id="5"/>
        <w:t>5</w:t>
      </w:r>
      <w:r w:rsidRPr="003C5D6B">
        <w:rPr>
          <w:lang w:val="fr-FR"/>
        </w:rPr>
        <w:t>.</w:t>
      </w:r>
    </w:p>
    <w:p w:rsidR="0030198E" w:rsidRPr="003C5D6B" w:rsidRDefault="0030198E" w:rsidP="0030198E">
      <w:pPr>
        <w:rPr>
          <w:lang w:val="fr-FR"/>
        </w:rPr>
      </w:pPr>
      <w:r w:rsidRPr="003C5D6B">
        <w:rPr>
          <w:lang w:val="fr-FR"/>
        </w:rPr>
        <w:t>La décision de financer une activité étatique partiellement ou complètement avec des redevances revient au législateur. En revanche, la fixation de la hauteur des redevances individuelles et leur mode de calcul (barème) devrait être du ressort d’instances inférieures car celles-ci sont plus informées sur les détails de leurs comptabilités. Une délégation du pouvoir réglementaire est également judicieuse du fait de la nécessité de réviser, adapter régulièrement les dispositions relatives aux redevances. Les processus d’adoption de la réglementation fixant le régime des redevances doivent donc être assez flexibles – ce qui n’est généralement pas donné au niveau parlementaire. Par contre, les principes juridiques applicables au contenu de cette réglementation forment des contraintes extrêmement strictes où l’autorité chargée de l’adopter n’a qu’une latitude très limitée (p.ex. la hauteur maximale des différentes redevances est plafonnée de par le droit).</w:t>
      </w:r>
    </w:p>
    <w:p w:rsidR="0030198E" w:rsidRPr="003C5D6B" w:rsidRDefault="0030198E" w:rsidP="0030198E">
      <w:pPr>
        <w:rPr>
          <w:lang w:val="fr-FR"/>
        </w:rPr>
      </w:pPr>
      <w:r w:rsidRPr="003C5D6B">
        <w:rPr>
          <w:lang w:val="fr-FR"/>
        </w:rPr>
        <w:t xml:space="preserve">Le principe de la couverture des coûts requiert un recensement et une évaluation des montants financiers employés pour faire fonctionner un secteur d’activité de l’administration afin de pouvoir soutenir un contrôle juridique (en cas de litige). Ceci ne peut être accompli que grâce à une comptabilité financière suffisamment précise – et, si possible, une comptabilité analytique. </w:t>
      </w:r>
    </w:p>
    <w:p w:rsidR="0030198E" w:rsidRPr="003C5D6B" w:rsidRDefault="00484EC3" w:rsidP="00484EC3">
      <w:pPr>
        <w:pStyle w:val="Heading1"/>
        <w:rPr>
          <w:lang w:val="fr-FR"/>
        </w:rPr>
      </w:pPr>
      <w:bookmarkStart w:id="1134" w:name="_Toc280260058"/>
      <w:bookmarkStart w:id="1135" w:name="_Toc280260910"/>
      <w:bookmarkStart w:id="1136" w:name="_Toc280272519"/>
      <w:bookmarkStart w:id="1137" w:name="_Toc284414190"/>
      <w:bookmarkStart w:id="1138" w:name="_Toc284499229"/>
      <w:bookmarkStart w:id="1139" w:name="_Toc287523383"/>
      <w:r w:rsidRPr="003C5D6B">
        <w:rPr>
          <w:lang w:val="fr-FR"/>
        </w:rPr>
        <w:t>3</w:t>
      </w:r>
      <w:r w:rsidRPr="003C5D6B">
        <w:rPr>
          <w:lang w:val="fr-FR"/>
        </w:rPr>
        <w:tab/>
      </w:r>
      <w:r w:rsidR="0030198E" w:rsidRPr="003C5D6B">
        <w:rPr>
          <w:lang w:val="fr-FR"/>
        </w:rPr>
        <w:t>L’approche de la Suisse concernant les prélèvements dans le domaine de la gestion du spectre</w:t>
      </w:r>
      <w:bookmarkEnd w:id="1134"/>
      <w:bookmarkEnd w:id="1135"/>
      <w:bookmarkEnd w:id="1136"/>
      <w:bookmarkEnd w:id="1137"/>
      <w:bookmarkEnd w:id="1138"/>
      <w:bookmarkEnd w:id="1139"/>
    </w:p>
    <w:p w:rsidR="0030198E" w:rsidRPr="003C5D6B" w:rsidRDefault="0030198E" w:rsidP="00484EC3">
      <w:pPr>
        <w:pStyle w:val="Heading2"/>
        <w:rPr>
          <w:lang w:val="fr-FR"/>
        </w:rPr>
      </w:pPr>
      <w:bookmarkStart w:id="1140" w:name="_Toc280260059"/>
      <w:bookmarkStart w:id="1141" w:name="_Toc280272520"/>
      <w:bookmarkStart w:id="1142" w:name="_Toc284414191"/>
      <w:bookmarkStart w:id="1143" w:name="_Toc284499230"/>
      <w:bookmarkStart w:id="1144" w:name="_Toc287523384"/>
      <w:r w:rsidRPr="003C5D6B">
        <w:rPr>
          <w:lang w:val="fr-FR"/>
        </w:rPr>
        <w:t>3.1</w:t>
      </w:r>
      <w:r w:rsidRPr="003C5D6B">
        <w:rPr>
          <w:lang w:val="fr-FR"/>
        </w:rPr>
        <w:tab/>
        <w:t>Recours aux deux types de contributions au profit de l’État</w:t>
      </w:r>
      <w:bookmarkEnd w:id="1140"/>
      <w:bookmarkEnd w:id="1141"/>
      <w:bookmarkEnd w:id="1142"/>
      <w:bookmarkEnd w:id="1143"/>
      <w:bookmarkEnd w:id="1144"/>
    </w:p>
    <w:p w:rsidR="0030198E" w:rsidRPr="003C5D6B" w:rsidRDefault="0030198E" w:rsidP="0030198E">
      <w:pPr>
        <w:rPr>
          <w:lang w:val="fr-FR"/>
        </w:rPr>
      </w:pPr>
      <w:r w:rsidRPr="003C5D6B">
        <w:rPr>
          <w:lang w:val="fr-FR"/>
        </w:rPr>
        <w:t xml:space="preserve">Pour le financement de la gestion nationale du spectre, les institutions politiques suisses ont décidé de recourir à des redevances afin d’alléger la charge pour le budget général de l’État – et donc les contribuables. Dans ce domaine les bénéficiaires des prestations de l’administration peuvent en règle générale être aisément </w:t>
      </w:r>
      <w:r w:rsidRPr="003C5D6B">
        <w:rPr>
          <w:lang w:val="fr-FR"/>
        </w:rPr>
        <w:lastRenderedPageBreak/>
        <w:t xml:space="preserve">être identifiés car il s’agit des utilisateurs du spectre. Il est équitable que ceux-ci portent une bonne partie des coûts d’une activité étatique dont ils sont les bénéficiaires immédiats. Cependant, l’identification de tous les utilisateurs du spectre n’est pas possible. En outre, l’imputation de certains coûts découlant de l’exécution des tâches liées à la gestion du spectre à la charge des utilisateurs aurait été injuste, voire politiquement inopportune. Il en résulte que la totalité des coûts de la gestion du spectre des fréquences afférant à l’administration suisse n’est pas couverte par les revenus de redevances prélevées auprès des utilisateurs du spectre. Il a été décidé par lesdites institutions politiques que sur le plan calculatoire les revenus provenant des taxes d’utilisation du spectre assureraient au minimum le financement du solde. </w:t>
      </w:r>
    </w:p>
    <w:p w:rsidR="0030198E" w:rsidRPr="003C5D6B" w:rsidRDefault="0030198E" w:rsidP="00C61AD0">
      <w:pPr>
        <w:rPr>
          <w:lang w:val="fr-FR"/>
        </w:rPr>
      </w:pPr>
      <w:r w:rsidRPr="003C5D6B">
        <w:rPr>
          <w:lang w:val="fr-FR"/>
        </w:rPr>
        <w:t>La voie choisie en Suisse est donc d’avoir recours aux deux types de contributions au profit de l’Etat pour financer la gestion du spectre, soit des taxes et des redevances. Ont donc été édictées, au niveau gouvernemental, l’Ordonnance</w:t>
      </w:r>
      <w:r w:rsidRPr="003C5D6B">
        <w:rPr>
          <w:snapToGrid w:val="0"/>
          <w:lang w:val="fr-FR" w:eastAsia="de-DE"/>
        </w:rPr>
        <w:t xml:space="preserve"> du Conseil fédéral</w:t>
      </w:r>
      <w:r w:rsidRPr="003C5D6B">
        <w:rPr>
          <w:lang w:val="fr-FR"/>
        </w:rPr>
        <w:t xml:space="preserve"> du 7 décembre 2007 sur les redevances et émoluments dans le domaine des télécommunications (OREDT)</w:t>
      </w:r>
      <w:r w:rsidR="00C61AD0" w:rsidRPr="003C5D6B">
        <w:rPr>
          <w:rStyle w:val="FootnoteReference"/>
          <w:lang w:val="fr-FR"/>
        </w:rPr>
        <w:footnoteReference w:customMarkFollows="1" w:id="6"/>
        <w:t>6</w:t>
      </w:r>
      <w:r w:rsidRPr="003C5D6B">
        <w:rPr>
          <w:snapToGrid w:val="0"/>
          <w:lang w:val="fr-FR" w:eastAsia="de-DE"/>
        </w:rPr>
        <w:t xml:space="preserve"> </w:t>
      </w:r>
      <w:r w:rsidRPr="003C5D6B">
        <w:rPr>
          <w:lang w:val="fr-FR"/>
        </w:rPr>
        <w:t xml:space="preserve">arrêtant les taxes d’utilisation du spectre et, au niveau ministériel, l’Ordonnance du </w:t>
      </w:r>
      <w:r w:rsidRPr="003C5D6B">
        <w:rPr>
          <w:snapToGrid w:val="0"/>
          <w:lang w:val="fr-FR" w:eastAsia="de-DE"/>
        </w:rPr>
        <w:t>Département fédéral de l’environnement, des transports, de l’énergie et de la communication</w:t>
      </w:r>
      <w:r w:rsidRPr="003C5D6B">
        <w:rPr>
          <w:lang w:val="fr-FR"/>
        </w:rPr>
        <w:t xml:space="preserve"> du 7 décembre 2007 sur les tarifs des émoluments dans le domaine des télécommunications</w:t>
      </w:r>
      <w:r w:rsidR="00C61AD0" w:rsidRPr="003C5D6B">
        <w:rPr>
          <w:rStyle w:val="FootnoteReference"/>
          <w:lang w:val="fr-FR"/>
        </w:rPr>
        <w:footnoteReference w:customMarkFollows="1" w:id="7"/>
        <w:t>7</w:t>
      </w:r>
      <w:r w:rsidRPr="003C5D6B">
        <w:rPr>
          <w:lang w:val="fr-FR"/>
        </w:rPr>
        <w:t xml:space="preserve"> déterminant la hauteur des redevances pour les différentes prestations de l’autorité en charge de la gestion du spectre.</w:t>
      </w:r>
    </w:p>
    <w:p w:rsidR="0030198E" w:rsidRPr="003C5D6B" w:rsidRDefault="0030198E" w:rsidP="00C61AD0">
      <w:pPr>
        <w:pStyle w:val="Heading2"/>
        <w:rPr>
          <w:lang w:val="fr-FR"/>
        </w:rPr>
      </w:pPr>
      <w:bookmarkStart w:id="1145" w:name="_Toc280260060"/>
      <w:bookmarkStart w:id="1146" w:name="_Toc280272521"/>
      <w:bookmarkStart w:id="1147" w:name="_Toc284414192"/>
      <w:bookmarkStart w:id="1148" w:name="_Toc284499231"/>
      <w:bookmarkStart w:id="1149" w:name="_Toc287523385"/>
      <w:r w:rsidRPr="003C5D6B">
        <w:rPr>
          <w:lang w:val="fr-FR"/>
        </w:rPr>
        <w:t>3.2</w:t>
      </w:r>
      <w:r w:rsidRPr="003C5D6B">
        <w:rPr>
          <w:lang w:val="fr-FR"/>
        </w:rPr>
        <w:tab/>
        <w:t>Les taxes d’utilisation du spectre</w:t>
      </w:r>
      <w:bookmarkEnd w:id="1145"/>
      <w:bookmarkEnd w:id="1146"/>
      <w:bookmarkEnd w:id="1147"/>
      <w:bookmarkEnd w:id="1148"/>
      <w:bookmarkEnd w:id="1149"/>
    </w:p>
    <w:p w:rsidR="0030198E" w:rsidRPr="003C5D6B" w:rsidRDefault="0030198E" w:rsidP="00C61AD0">
      <w:pPr>
        <w:pStyle w:val="Heading3"/>
        <w:rPr>
          <w:lang w:val="fr-FR"/>
        </w:rPr>
      </w:pPr>
      <w:r w:rsidRPr="003C5D6B">
        <w:rPr>
          <w:lang w:val="fr-FR"/>
        </w:rPr>
        <w:t>3.2.1</w:t>
      </w:r>
      <w:r w:rsidRPr="003C5D6B">
        <w:rPr>
          <w:lang w:val="fr-FR"/>
        </w:rPr>
        <w:tab/>
        <w:t>Les taxes d’utilisation du spectre sont à qualifier d’impôt (et non de redevances)</w:t>
      </w:r>
    </w:p>
    <w:p w:rsidR="0030198E" w:rsidRPr="003C5D6B" w:rsidRDefault="0030198E" w:rsidP="00EF66F5">
      <w:pPr>
        <w:rPr>
          <w:lang w:val="fr-FR"/>
        </w:rPr>
      </w:pPr>
      <w:r w:rsidRPr="003C5D6B">
        <w:rPr>
          <w:snapToGrid w:val="0"/>
          <w:lang w:val="fr-FR" w:eastAsia="de-DE"/>
        </w:rPr>
        <w:t xml:space="preserve">En Suisse, les droits d’utilisation dont s’acquittent les utilisateurs du spectre sont à qualifier de taxes. En effet, ils ont les caractéristiques des taxes en ce qu’ils sont dus par l’usager du spectre sans qu’il puisse prétendre à aucune contre-prestation spécifique de la part de l’administration si ce n’est le droit d’exercer le droit régalien d’utiliser le spectre. De plus, ils ne sont pas affectés à un usage défini mais versé au budget général de l’Etat. Le Parlement a fixé les conditions-cadre pour le prélèvement de cette taxe à l’article 39 de la </w:t>
      </w:r>
      <w:r w:rsidRPr="003C5D6B">
        <w:rPr>
          <w:lang w:val="fr-FR"/>
        </w:rPr>
        <w:t>Loi du 30 avril 1997 sur les télécommunications (LTC)</w:t>
      </w:r>
      <w:r w:rsidR="00EF66F5" w:rsidRPr="003C5D6B">
        <w:rPr>
          <w:rStyle w:val="FootnoteReference"/>
          <w:lang w:val="fr-FR"/>
        </w:rPr>
        <w:footnoteReference w:customMarkFollows="1" w:id="8"/>
        <w:t>8</w:t>
      </w:r>
      <w:r w:rsidRPr="003C5D6B">
        <w:rPr>
          <w:snapToGrid w:val="0"/>
          <w:lang w:val="fr-FR" w:eastAsia="de-DE"/>
        </w:rPr>
        <w:t>. Dans cet article il a également délégué la fixation du montant et la spécification du mode de calcul de la taxe au gouvernement</w:t>
      </w:r>
      <w:r w:rsidR="00EF66F5" w:rsidRPr="003C5D6B">
        <w:rPr>
          <w:rStyle w:val="FootnoteReference"/>
          <w:snapToGrid w:val="0"/>
          <w:lang w:val="fr-FR" w:eastAsia="de-DE"/>
        </w:rPr>
        <w:footnoteReference w:customMarkFollows="1" w:id="9"/>
        <w:t>9</w:t>
      </w:r>
      <w:r w:rsidRPr="003C5D6B">
        <w:rPr>
          <w:snapToGrid w:val="0"/>
          <w:lang w:val="fr-FR" w:eastAsia="de-DE"/>
        </w:rPr>
        <w:t>.</w:t>
      </w:r>
      <w:r w:rsidRPr="003C5D6B">
        <w:rPr>
          <w:lang w:val="fr-FR"/>
        </w:rPr>
        <w:t xml:space="preserve"> </w:t>
      </w:r>
    </w:p>
    <w:p w:rsidR="0030198E" w:rsidRPr="003C5D6B" w:rsidRDefault="0030198E" w:rsidP="0030198E">
      <w:pPr>
        <w:rPr>
          <w:lang w:val="fr-FR"/>
        </w:rPr>
      </w:pPr>
      <w:r w:rsidRPr="003C5D6B">
        <w:rPr>
          <w:lang w:val="fr-FR"/>
        </w:rPr>
        <w:t>Comme mentionnée ci-dessus, le montant demandé par l’Etat aux utilisateurs pour pouvoir accéder au spectre est une taxe car il n’y a pas de fourniture de prestations par l’Etat aux parties concernées par ces prélèvements. En effet, les ondes électromagnétiques sont présentes à l’état naturel, c’est-à-dire sans qu’aucun organe de l’Etat n’ait été actif dans une quelconque mesure. Ce montant est tout spécialement conforme aux particularités d’une taxe car le produit des droits d’utilisation du spectre ne fait pas l’objet d’une affectation et alimente le budget général.</w:t>
      </w:r>
    </w:p>
    <w:p w:rsidR="0030198E" w:rsidRPr="003C5D6B" w:rsidRDefault="0030198E" w:rsidP="00C61AD0">
      <w:pPr>
        <w:pStyle w:val="Heading3"/>
        <w:rPr>
          <w:lang w:val="fr-FR"/>
        </w:rPr>
      </w:pPr>
      <w:r w:rsidRPr="003C5D6B">
        <w:rPr>
          <w:lang w:val="fr-FR"/>
        </w:rPr>
        <w:t>3.2.2</w:t>
      </w:r>
      <w:r w:rsidRPr="003C5D6B">
        <w:rPr>
          <w:lang w:val="fr-FR"/>
        </w:rPr>
        <w:tab/>
        <w:t xml:space="preserve">Fonction incitative de </w:t>
      </w:r>
      <w:bookmarkStart w:id="1150" w:name="OLE_LINK6"/>
      <w:r w:rsidRPr="003C5D6B">
        <w:rPr>
          <w:lang w:val="fr-FR"/>
        </w:rPr>
        <w:t xml:space="preserve">la taxe d’utilisation du spectre </w:t>
      </w:r>
      <w:bookmarkEnd w:id="1150"/>
      <w:r w:rsidRPr="003C5D6B">
        <w:rPr>
          <w:lang w:val="fr-FR"/>
        </w:rPr>
        <w:t>(spectrum pricing)</w:t>
      </w:r>
    </w:p>
    <w:p w:rsidR="0030198E" w:rsidRPr="003C5D6B" w:rsidRDefault="0030198E" w:rsidP="0030198E">
      <w:pPr>
        <w:rPr>
          <w:lang w:val="fr-FR"/>
        </w:rPr>
      </w:pPr>
      <w:r w:rsidRPr="003C5D6B">
        <w:rPr>
          <w:lang w:val="fr-FR"/>
        </w:rPr>
        <w:t xml:space="preserve">Pour les taxes d’utilisation du spectre, l’administration suisse a tenté d’appliquer certains principes découlant du </w:t>
      </w:r>
      <w:r w:rsidRPr="003C5D6B">
        <w:rPr>
          <w:i/>
          <w:lang w:val="fr-FR"/>
        </w:rPr>
        <w:t>spectrum pricing</w:t>
      </w:r>
      <w:r w:rsidRPr="003C5D6B">
        <w:rPr>
          <w:lang w:val="fr-FR"/>
        </w:rPr>
        <w:t>. Une telle politique ne serait juridiquement pas permissible si l’on avait été en présence de redevances. En effet, pour la fixation de la hauteur des redevances le respect des contraintes juridiques en la forme des principes de la couverture des coûts et d’équivalence est déterminant. Ces contraintes ne permettent pas à l’administration de disposer de la flexibilité qui est nécessaire pour donner un caractère incitatif à une contribution. Or une taxe incitative, qui est un instrument dans l’éventail des moyens d’une politique publique cherchant à infléchir, guider les comportements des administrés, requiert justement passablement de flexibilité.</w:t>
      </w:r>
    </w:p>
    <w:p w:rsidR="0030198E" w:rsidRPr="003C5D6B" w:rsidRDefault="0030198E" w:rsidP="001E2E19">
      <w:pPr>
        <w:rPr>
          <w:lang w:val="fr-FR"/>
        </w:rPr>
      </w:pPr>
      <w:r w:rsidRPr="003C5D6B">
        <w:rPr>
          <w:lang w:val="fr-FR"/>
        </w:rPr>
        <w:t xml:space="preserve">Pour les bandes de fréquences où l'assignation se fait sur la base du principe du «premier venu, premier servi» ou par le biais de concours de beauté (en d’autres mots : l’allocation ne se fait pas par la voie d’enchères), l'administration suisse a développé un système de valorisation du spectre. Ce système se fonde </w:t>
      </w:r>
      <w:r w:rsidRPr="003C5D6B">
        <w:rPr>
          <w:lang w:val="fr-FR"/>
        </w:rPr>
        <w:lastRenderedPageBreak/>
        <w:t>sur une formule générale qui est applicable à toutes les applications de radiocommunication à condition de l'adapter aux spécificités de chacune d'entre elles.</w:t>
      </w:r>
    </w:p>
    <w:p w:rsidR="0030198E" w:rsidRPr="003C5D6B" w:rsidRDefault="0030198E" w:rsidP="0030198E">
      <w:pPr>
        <w:rPr>
          <w:lang w:val="fr-FR"/>
        </w:rPr>
      </w:pPr>
      <w:r w:rsidRPr="003C5D6B">
        <w:rPr>
          <w:lang w:val="fr-FR"/>
        </w:rPr>
        <w:t>La formule générale de calcul des taxes d’utilisation du spectre est:</w:t>
      </w:r>
    </w:p>
    <w:p w:rsidR="0030198E" w:rsidRPr="003C5D6B" w:rsidRDefault="0030198E" w:rsidP="0030198E">
      <w:pPr>
        <w:pBdr>
          <w:top w:val="single" w:sz="4" w:space="1" w:color="auto"/>
          <w:left w:val="single" w:sz="4" w:space="4" w:color="auto"/>
          <w:bottom w:val="single" w:sz="4" w:space="1" w:color="auto"/>
          <w:right w:val="single" w:sz="4" w:space="4" w:color="auto"/>
        </w:pBdr>
        <w:rPr>
          <w:lang w:val="fr-FR"/>
        </w:rPr>
      </w:pPr>
      <w:r w:rsidRPr="003C5D6B">
        <w:rPr>
          <w:lang w:val="fr-FR"/>
        </w:rPr>
        <w:t>Unité de compte * coefficient de largeur de bande * coefficient de réutilisation * coefficient de gamme de fréquences * coefficient d'exclusivité * coefficient de saturation/de zone * coefficient de temps</w:t>
      </w:r>
    </w:p>
    <w:p w:rsidR="0030198E" w:rsidRPr="003C5D6B" w:rsidRDefault="0030198E" w:rsidP="0030198E">
      <w:pPr>
        <w:rPr>
          <w:lang w:val="fr-FR"/>
        </w:rPr>
      </w:pPr>
      <w:r w:rsidRPr="003C5D6B">
        <w:rPr>
          <w:lang w:val="fr-FR"/>
        </w:rPr>
        <w:t>Les différents éléments de la formule requièrent quelques explicitations:</w:t>
      </w:r>
    </w:p>
    <w:p w:rsidR="0030198E" w:rsidRPr="003C5D6B" w:rsidRDefault="00ED5F9A" w:rsidP="00ED5F9A">
      <w:pPr>
        <w:pStyle w:val="enumlev1"/>
        <w:rPr>
          <w:lang w:val="fr-FR"/>
        </w:rPr>
      </w:pPr>
      <w:r w:rsidRPr="003C5D6B">
        <w:rPr>
          <w:lang w:val="fr-FR"/>
        </w:rPr>
        <w:t>–</w:t>
      </w:r>
      <w:r w:rsidRPr="003C5D6B">
        <w:rPr>
          <w:lang w:val="fr-FR"/>
        </w:rPr>
        <w:tab/>
      </w:r>
      <w:r w:rsidR="0030198E" w:rsidRPr="003C5D6B">
        <w:rPr>
          <w:lang w:val="fr-FR"/>
        </w:rPr>
        <w:t>L'</w:t>
      </w:r>
      <w:r w:rsidR="0030198E" w:rsidRPr="003C5D6B">
        <w:rPr>
          <w:i/>
          <w:lang w:val="fr-FR"/>
        </w:rPr>
        <w:t>unité de compte</w:t>
      </w:r>
      <w:r w:rsidR="0030198E" w:rsidRPr="003C5D6B">
        <w:rPr>
          <w:lang w:val="fr-FR"/>
        </w:rPr>
        <w:t xml:space="preserve"> reflète la valorisation économique de l'utilisation de la ressource spectre par une application de radiocommunication déterminée. Naturellement, elle variera d'une application à l'autre. </w:t>
      </w:r>
    </w:p>
    <w:p w:rsidR="0030198E" w:rsidRPr="003C5D6B" w:rsidRDefault="00ED5F9A" w:rsidP="00ED5F9A">
      <w:pPr>
        <w:pStyle w:val="enumlev1"/>
        <w:rPr>
          <w:lang w:val="fr-FR"/>
        </w:rPr>
      </w:pPr>
      <w:r w:rsidRPr="003C5D6B">
        <w:rPr>
          <w:lang w:val="fr-FR"/>
        </w:rPr>
        <w:t>–</w:t>
      </w:r>
      <w:r w:rsidRPr="003C5D6B">
        <w:rPr>
          <w:lang w:val="fr-FR"/>
        </w:rPr>
        <w:tab/>
      </w:r>
      <w:r w:rsidR="0030198E" w:rsidRPr="003C5D6B">
        <w:rPr>
          <w:lang w:val="fr-FR"/>
        </w:rPr>
        <w:t xml:space="preserve">Le </w:t>
      </w:r>
      <w:r w:rsidR="0030198E" w:rsidRPr="003C5D6B">
        <w:rPr>
          <w:i/>
          <w:lang w:val="fr-FR"/>
        </w:rPr>
        <w:t xml:space="preserve">coefficient de largeur de bande </w:t>
      </w:r>
      <w:r w:rsidR="0030198E" w:rsidRPr="003C5D6B">
        <w:rPr>
          <w:lang w:val="fr-FR"/>
        </w:rPr>
        <w:t xml:space="preserve">reflète combien d'unités de compte sont allouée du fait de la largeur de la bande assignée. Par exemple, si l'unité de compte est fixée pour 25 kHz et que la largeur de bande du système de radiocommunication est 2 MHz, alors ce coefficient de largeur de bande sera de 80. </w:t>
      </w:r>
    </w:p>
    <w:p w:rsidR="0030198E" w:rsidRPr="003C5D6B" w:rsidRDefault="00ED5F9A" w:rsidP="001E2E19">
      <w:pPr>
        <w:pStyle w:val="enumlev1"/>
        <w:rPr>
          <w:lang w:val="fr-FR"/>
        </w:rPr>
      </w:pPr>
      <w:r w:rsidRPr="003C5D6B">
        <w:rPr>
          <w:lang w:val="fr-FR"/>
        </w:rPr>
        <w:t>–</w:t>
      </w:r>
      <w:r w:rsidRPr="003C5D6B">
        <w:rPr>
          <w:lang w:val="fr-FR"/>
        </w:rPr>
        <w:tab/>
      </w:r>
      <w:r w:rsidR="0030198E" w:rsidRPr="003C5D6B">
        <w:rPr>
          <w:lang w:val="fr-FR"/>
        </w:rPr>
        <w:t xml:space="preserve">Le </w:t>
      </w:r>
      <w:r w:rsidR="0030198E" w:rsidRPr="003C5D6B">
        <w:rPr>
          <w:i/>
          <w:lang w:val="fr-FR"/>
        </w:rPr>
        <w:t>coefficient de réutilisation</w:t>
      </w:r>
      <w:r w:rsidR="0030198E" w:rsidRPr="003C5D6B">
        <w:rPr>
          <w:lang w:val="fr-FR"/>
        </w:rPr>
        <w:t xml:space="preserve"> (en Suisse il a été appelé «coefficient de territoire») reflète le nombre de fois que la fréquence en cause pourrait être réemployée dans une zone donnée ou sur le territoire du pays. </w:t>
      </w:r>
    </w:p>
    <w:p w:rsidR="0030198E" w:rsidRPr="003C5D6B" w:rsidRDefault="00ED5F9A" w:rsidP="00ED5F9A">
      <w:pPr>
        <w:pStyle w:val="enumlev1"/>
        <w:rPr>
          <w:lang w:val="fr-FR"/>
        </w:rPr>
      </w:pPr>
      <w:r w:rsidRPr="003C5D6B">
        <w:rPr>
          <w:lang w:val="fr-FR"/>
        </w:rPr>
        <w:t>–</w:t>
      </w:r>
      <w:r w:rsidRPr="003C5D6B">
        <w:rPr>
          <w:lang w:val="fr-FR"/>
        </w:rPr>
        <w:tab/>
      </w:r>
      <w:r w:rsidR="0030198E" w:rsidRPr="003C5D6B">
        <w:rPr>
          <w:lang w:val="fr-FR"/>
        </w:rPr>
        <w:t xml:space="preserve">Le </w:t>
      </w:r>
      <w:r w:rsidR="0030198E" w:rsidRPr="003C5D6B">
        <w:rPr>
          <w:i/>
          <w:lang w:val="fr-FR"/>
        </w:rPr>
        <w:t>coefficient de gamme de fréquences</w:t>
      </w:r>
      <w:r w:rsidR="0030198E" w:rsidRPr="003C5D6B">
        <w:rPr>
          <w:lang w:val="fr-FR"/>
        </w:rPr>
        <w:t xml:space="preserve"> peut être utilisé pour les systèmes de radiocommunication qui disposent d'attributions de fréquences dans plusieurs parties du spectre des fréquences. Ce coefficient traduit les préférences de l'administration en charge de la gestion des fréquences concernant l'emploi de certaines bandes de fréquences par ces systèmes. Des tarifs préférentiels pourraient par exemple être appliqués aux bandes de fréquences élevées où la technologie est moins mûre et qui sont moins congestionnées. </w:t>
      </w:r>
    </w:p>
    <w:p w:rsidR="0030198E" w:rsidRPr="003C5D6B" w:rsidRDefault="00ED5F9A" w:rsidP="00ED5F9A">
      <w:pPr>
        <w:pStyle w:val="enumlev1"/>
        <w:rPr>
          <w:lang w:val="fr-FR"/>
        </w:rPr>
      </w:pPr>
      <w:r w:rsidRPr="003C5D6B">
        <w:rPr>
          <w:lang w:val="fr-FR"/>
        </w:rPr>
        <w:t>–</w:t>
      </w:r>
      <w:r w:rsidRPr="003C5D6B">
        <w:rPr>
          <w:lang w:val="fr-FR"/>
        </w:rPr>
        <w:tab/>
      </w:r>
      <w:r w:rsidR="0030198E" w:rsidRPr="003C5D6B">
        <w:rPr>
          <w:lang w:val="fr-FR"/>
        </w:rPr>
        <w:t xml:space="preserve">Le </w:t>
      </w:r>
      <w:r w:rsidR="0030198E" w:rsidRPr="003C5D6B">
        <w:rPr>
          <w:i/>
          <w:lang w:val="fr-FR"/>
        </w:rPr>
        <w:t>coefficient d'exclusivité</w:t>
      </w:r>
      <w:r w:rsidR="0030198E" w:rsidRPr="003C5D6B">
        <w:rPr>
          <w:lang w:val="fr-FR"/>
        </w:rPr>
        <w:t xml:space="preserve"> reflète le degré de partage et de disponibilité du spectre : Ce coefficient est élevé pour un usage exclusif et plus bas dans le cas d’un usage partagé. On peut également imaginer un système où, dans une bande à usage partagé, le facteur applicable aux utilisateurs opérant une flotte nombreuse d'équipements de radiocommunication serait plus élevé que celui applicable aux utilisateurs n'employant qu'un faible nombre d'appareils.</w:t>
      </w:r>
    </w:p>
    <w:p w:rsidR="0030198E" w:rsidRPr="003C5D6B" w:rsidRDefault="00ED5F9A" w:rsidP="00ED5F9A">
      <w:pPr>
        <w:pStyle w:val="enumlev1"/>
        <w:rPr>
          <w:lang w:val="fr-FR"/>
        </w:rPr>
      </w:pPr>
      <w:r w:rsidRPr="003C5D6B">
        <w:rPr>
          <w:lang w:val="fr-FR"/>
        </w:rPr>
        <w:t>–</w:t>
      </w:r>
      <w:r w:rsidRPr="003C5D6B">
        <w:rPr>
          <w:lang w:val="fr-FR"/>
        </w:rPr>
        <w:tab/>
      </w:r>
      <w:r w:rsidR="0030198E" w:rsidRPr="003C5D6B">
        <w:rPr>
          <w:lang w:val="fr-FR"/>
        </w:rPr>
        <w:t xml:space="preserve">Le </w:t>
      </w:r>
      <w:r w:rsidR="0030198E" w:rsidRPr="003C5D6B">
        <w:rPr>
          <w:i/>
          <w:lang w:val="fr-FR"/>
        </w:rPr>
        <w:t>coefficient de saturation/de zone</w:t>
      </w:r>
      <w:r w:rsidR="0030198E" w:rsidRPr="003C5D6B">
        <w:rPr>
          <w:lang w:val="fr-FR"/>
        </w:rPr>
        <w:t xml:space="preserve"> reflète la densité des utilisateurs potentiels dans différentes parties du territoire national. Il indique la pénurie de la ressource spectre, qui est généralement plus forte dans les zones urbaines que dans les zones rurales. On peut, par exemple, considérer 3 zones (grandes agglomérations, banlieues, zones rurales).</w:t>
      </w:r>
    </w:p>
    <w:p w:rsidR="0030198E" w:rsidRPr="003C5D6B" w:rsidRDefault="00ED5F9A" w:rsidP="00ED5F9A">
      <w:pPr>
        <w:pStyle w:val="enumlev1"/>
        <w:rPr>
          <w:lang w:val="fr-FR"/>
        </w:rPr>
      </w:pPr>
      <w:r w:rsidRPr="003C5D6B">
        <w:rPr>
          <w:lang w:val="fr-FR"/>
        </w:rPr>
        <w:t>–</w:t>
      </w:r>
      <w:r w:rsidRPr="003C5D6B">
        <w:rPr>
          <w:lang w:val="fr-FR"/>
        </w:rPr>
        <w:tab/>
      </w:r>
      <w:r w:rsidR="0030198E" w:rsidRPr="003C5D6B">
        <w:rPr>
          <w:lang w:val="fr-FR"/>
        </w:rPr>
        <w:t xml:space="preserve">Le </w:t>
      </w:r>
      <w:r w:rsidR="0030198E" w:rsidRPr="003C5D6B">
        <w:rPr>
          <w:i/>
          <w:lang w:val="fr-FR"/>
        </w:rPr>
        <w:t>coefficient de temps</w:t>
      </w:r>
      <w:r w:rsidR="0030198E" w:rsidRPr="003C5D6B">
        <w:rPr>
          <w:lang w:val="fr-FR"/>
        </w:rPr>
        <w:t xml:space="preserve"> reflète le nombre total d'unités de temps (qui sont à la base de l'unité de compte, p.ex. un mois ou un an) que couvre l'autorisation d'utiliser le spectre. Le cas échéant une adaptation de ce coefficient pourrait avoir lieu entre la phase d'introduction d'une nouvelle technologie (coefficient plus bas) et la phase de maturité de la technologie (coefficient plus élevé).</w:t>
      </w:r>
    </w:p>
    <w:p w:rsidR="0030198E" w:rsidRPr="003C5D6B" w:rsidRDefault="0030198E" w:rsidP="0030198E">
      <w:pPr>
        <w:rPr>
          <w:lang w:val="fr-FR"/>
        </w:rPr>
      </w:pPr>
      <w:r w:rsidRPr="003C5D6B">
        <w:rPr>
          <w:lang w:val="fr-FR"/>
        </w:rPr>
        <w:t>Il faut souligner que tous les coefficients ne sont pas pertinents pour toutes les applications de radiocommunication. Lorsqu’un coefficient n’est pas pertinent pour un type d'application de radiocommunication, il ne devrait pas être pris en considération pour le calcul de la taxe (ou alors toujours avoir la valeur 1 neutre dans une multiplication). De plus, la valorisation des coefficients demande des études économiques et techniques. Finalement, les proportions entre les valeurs d’un coefficient ne s'appliquent pas nécessairement de façon identique pour chacune des applications et requièrent donc également une réflexion approfondie.</w:t>
      </w:r>
    </w:p>
    <w:p w:rsidR="0030198E" w:rsidRPr="003C5D6B" w:rsidRDefault="0030198E" w:rsidP="0030198E">
      <w:pPr>
        <w:rPr>
          <w:lang w:val="fr-FR"/>
        </w:rPr>
      </w:pPr>
      <w:r w:rsidRPr="003C5D6B">
        <w:rPr>
          <w:lang w:val="fr-FR"/>
        </w:rPr>
        <w:t>Un système de tarification du spectre basé sur la formule générale doit permettre aux utilisateurs confrontés au choix entre plusieurs solutions techniques de facilement comparer les taxes et d’identifier, lorsqu'ils comparent des applications concurrentes, laquelle impliquerait le paiement de la taxe la moins lourde. Ils prendraient conscience que la ressource spectre est rare et que son prix varie selon l’efficacité spectrale des différents usages envisagés.</w:t>
      </w:r>
    </w:p>
    <w:p w:rsidR="0030198E" w:rsidRPr="003C5D6B" w:rsidRDefault="0030198E" w:rsidP="00E52404">
      <w:pPr>
        <w:pStyle w:val="Heading3"/>
        <w:rPr>
          <w:lang w:val="fr-FR"/>
        </w:rPr>
      </w:pPr>
      <w:r w:rsidRPr="003C5D6B">
        <w:rPr>
          <w:lang w:val="fr-FR"/>
        </w:rPr>
        <w:lastRenderedPageBreak/>
        <w:t>3.2.3</w:t>
      </w:r>
      <w:r w:rsidRPr="003C5D6B">
        <w:rPr>
          <w:lang w:val="fr-FR"/>
        </w:rPr>
        <w:tab/>
        <w:t>Observation concernant les adjudications publiques par voie d’enchères</w:t>
      </w:r>
    </w:p>
    <w:p w:rsidR="0030198E" w:rsidRPr="003C5D6B" w:rsidRDefault="0030198E" w:rsidP="001B74DD">
      <w:pPr>
        <w:rPr>
          <w:lang w:val="fr-FR"/>
        </w:rPr>
      </w:pPr>
      <w:r w:rsidRPr="003C5D6B">
        <w:rPr>
          <w:lang w:val="fr-FR"/>
        </w:rPr>
        <w:t>Dans les rares cas où les conditions pour l’emploi d’adjudications publiques par voie d’enchères comme méthode d’assignation de fréquences sont remplies (cela suppose, entre autres, qu'il y ait plus de demande pour des licences de radiocommunication que l'Etat n'a à en offrir à un moment bien spécifique), ces adjudications sont un moyen commode pour taxer l’utilisation du bien public qu’est le spectre des fréquences</w:t>
      </w:r>
      <w:r w:rsidR="001B74DD" w:rsidRPr="003C5D6B">
        <w:rPr>
          <w:rStyle w:val="FootnoteReference"/>
          <w:lang w:val="fr-FR"/>
        </w:rPr>
        <w:footnoteReference w:customMarkFollows="1" w:id="10"/>
        <w:t>10</w:t>
      </w:r>
      <w:r w:rsidRPr="003C5D6B">
        <w:rPr>
          <w:lang w:val="fr-FR"/>
        </w:rPr>
        <w:t>. En effet, c’est l’usager lui-même qui fixe le prix qu’il est prêt à payer à l’Etat pour avoir cette exclusivité. Le(s) gagnant(s) des enchères aura(ont) déterminé le montant de la taxe d'utilisation du spectre (qui sera équivalente à l'offre la plus élevée). Pour les applications de radiocommunication qui permettent l’organisation d’enchères, les complexes réflexions au sein de l'administration sur un système de taxation/valorisation du spectre sont dans une certaine mesure rendues redondantes – le secteur privé s'en charge lui-même.</w:t>
      </w:r>
    </w:p>
    <w:p w:rsidR="0030198E" w:rsidRPr="003C5D6B" w:rsidRDefault="0030198E" w:rsidP="00E52404">
      <w:pPr>
        <w:pStyle w:val="Heading2"/>
        <w:rPr>
          <w:lang w:val="fr-FR"/>
        </w:rPr>
      </w:pPr>
      <w:bookmarkStart w:id="1151" w:name="_Toc280260061"/>
      <w:bookmarkStart w:id="1152" w:name="_Toc280272522"/>
      <w:bookmarkStart w:id="1153" w:name="_Toc284414193"/>
      <w:bookmarkStart w:id="1154" w:name="_Toc284499232"/>
      <w:bookmarkStart w:id="1155" w:name="_Toc287523386"/>
      <w:r w:rsidRPr="003C5D6B">
        <w:rPr>
          <w:lang w:val="fr-FR"/>
        </w:rPr>
        <w:t>3.3</w:t>
      </w:r>
      <w:r w:rsidRPr="003C5D6B">
        <w:rPr>
          <w:lang w:val="fr-FR"/>
        </w:rPr>
        <w:tab/>
        <w:t>Les redevances</w:t>
      </w:r>
      <w:bookmarkEnd w:id="1151"/>
      <w:bookmarkEnd w:id="1152"/>
      <w:bookmarkEnd w:id="1153"/>
      <w:bookmarkEnd w:id="1154"/>
      <w:bookmarkEnd w:id="1155"/>
    </w:p>
    <w:p w:rsidR="0030198E" w:rsidRPr="003C5D6B" w:rsidRDefault="0030198E" w:rsidP="001B74DD">
      <w:pPr>
        <w:rPr>
          <w:lang w:val="fr-FR"/>
        </w:rPr>
      </w:pPr>
      <w:r w:rsidRPr="003C5D6B">
        <w:rPr>
          <w:lang w:val="fr-FR"/>
        </w:rPr>
        <w:t xml:space="preserve">La redevance est due à raison d’une prestation que l’administration fournit au redevable ou d’une activité occasionnée par les agissements de celui-ci. La redevance est la conséquence directe du service requis ou occasionné par l’administré. </w:t>
      </w:r>
      <w:r w:rsidRPr="003C5D6B">
        <w:rPr>
          <w:snapToGrid w:val="0"/>
          <w:lang w:val="fr-FR" w:eastAsia="de-DE"/>
        </w:rPr>
        <w:t>Le parlement a fixé le principe du prélèvement de redevances à l’article 40 LTC. Il a délégué la fixation du montant des redevances à l’article 41 LTC à l’exécutif.</w:t>
      </w:r>
      <w:r w:rsidRPr="003C5D6B">
        <w:rPr>
          <w:lang w:val="fr-FR"/>
        </w:rPr>
        <w:t xml:space="preserve"> Les coûts afférant dans le cadre de poursuites pénales administratives sont mis à la charge des personnes sanctionnées sur la base de l’Ordonnance du 25 novembre 1974 sur les frais et indemnités en procédure pénale administrative</w:t>
      </w:r>
      <w:r w:rsidR="001B74DD" w:rsidRPr="003C5D6B">
        <w:rPr>
          <w:rStyle w:val="FootnoteReference"/>
          <w:lang w:val="fr-FR"/>
        </w:rPr>
        <w:footnoteReference w:customMarkFollows="1" w:id="11"/>
        <w:t>11</w:t>
      </w:r>
      <w:r w:rsidRPr="003C5D6B">
        <w:rPr>
          <w:lang w:val="fr-FR"/>
        </w:rPr>
        <w:t>, et non pas des ordonnances d’exécution de la LTC.</w:t>
      </w:r>
    </w:p>
    <w:p w:rsidR="0030198E" w:rsidRPr="003C5D6B" w:rsidRDefault="0030198E" w:rsidP="0030198E">
      <w:pPr>
        <w:rPr>
          <w:lang w:val="fr-FR"/>
        </w:rPr>
      </w:pPr>
      <w:r w:rsidRPr="003C5D6B">
        <w:rPr>
          <w:lang w:val="fr-FR"/>
        </w:rPr>
        <w:t>En Suisse, on distingue deux types de redevances en fonction de l’occurrence du moment du prélèvement.</w:t>
      </w:r>
    </w:p>
    <w:p w:rsidR="0030198E" w:rsidRPr="003C5D6B" w:rsidRDefault="0030198E" w:rsidP="003633DF">
      <w:pPr>
        <w:pStyle w:val="Heading3"/>
        <w:rPr>
          <w:lang w:val="fr-FR"/>
        </w:rPr>
      </w:pPr>
      <w:r w:rsidRPr="003C5D6B">
        <w:rPr>
          <w:lang w:val="fr-FR"/>
        </w:rPr>
        <w:t>3.3.1</w:t>
      </w:r>
      <w:r w:rsidRPr="003C5D6B">
        <w:rPr>
          <w:lang w:val="fr-FR"/>
        </w:rPr>
        <w:tab/>
        <w:t>Redevances uniques</w:t>
      </w:r>
    </w:p>
    <w:p w:rsidR="0030198E" w:rsidRPr="003C5D6B" w:rsidRDefault="0030198E" w:rsidP="001E2E19">
      <w:pPr>
        <w:rPr>
          <w:lang w:val="fr-FR"/>
        </w:rPr>
      </w:pPr>
      <w:r w:rsidRPr="003C5D6B">
        <w:rPr>
          <w:lang w:val="fr-FR"/>
        </w:rPr>
        <w:t>Dans le domaine de la gestion du spectre des fréquences des redevance uniques peuvent être prélevées pour les prestations suivantes de l’autorité compétente et dont les utilisateurs du spectre sont les bénéficiaires immédiats. Ces redevances couvrent par exemple les prestations suivantes:</w:t>
      </w:r>
    </w:p>
    <w:p w:rsidR="0030198E" w:rsidRPr="003C5D6B" w:rsidRDefault="006C21CD" w:rsidP="006C21CD">
      <w:pPr>
        <w:pStyle w:val="enumlev1"/>
        <w:rPr>
          <w:lang w:val="fr-FR"/>
        </w:rPr>
      </w:pPr>
      <w:r w:rsidRPr="003C5D6B">
        <w:rPr>
          <w:lang w:val="fr-FR"/>
        </w:rPr>
        <w:t>–</w:t>
      </w:r>
      <w:r w:rsidRPr="003C5D6B">
        <w:rPr>
          <w:lang w:val="fr-FR"/>
        </w:rPr>
        <w:tab/>
      </w:r>
      <w:r w:rsidR="0030198E" w:rsidRPr="003C5D6B">
        <w:rPr>
          <w:lang w:val="fr-FR"/>
        </w:rPr>
        <w:t>Octroi de licences de radiocommunication (autorisations d’accéder au spectre)</w:t>
      </w:r>
      <w:r w:rsidR="001A7DF2" w:rsidRPr="003C5D6B">
        <w:rPr>
          <w:lang w:val="fr-FR"/>
        </w:rPr>
        <w:t>.</w:t>
      </w:r>
    </w:p>
    <w:p w:rsidR="0030198E" w:rsidRPr="003C5D6B" w:rsidRDefault="006C21CD" w:rsidP="006C21CD">
      <w:pPr>
        <w:pStyle w:val="enumlev1"/>
        <w:rPr>
          <w:lang w:val="fr-FR"/>
        </w:rPr>
      </w:pPr>
      <w:r w:rsidRPr="003C5D6B">
        <w:rPr>
          <w:lang w:val="fr-FR"/>
        </w:rPr>
        <w:t>–</w:t>
      </w:r>
      <w:r w:rsidRPr="003C5D6B">
        <w:rPr>
          <w:lang w:val="fr-FR"/>
        </w:rPr>
        <w:tab/>
      </w:r>
      <w:r w:rsidR="0030198E" w:rsidRPr="003C5D6B">
        <w:rPr>
          <w:lang w:val="fr-FR"/>
        </w:rPr>
        <w:t>Modification d’une licence de radiocommunication</w:t>
      </w:r>
      <w:r w:rsidR="001A7DF2" w:rsidRPr="003C5D6B">
        <w:rPr>
          <w:lang w:val="fr-FR"/>
        </w:rPr>
        <w:t>.</w:t>
      </w:r>
    </w:p>
    <w:p w:rsidR="0030198E" w:rsidRPr="003C5D6B" w:rsidRDefault="006C21CD" w:rsidP="006C21CD">
      <w:pPr>
        <w:pStyle w:val="enumlev1"/>
        <w:rPr>
          <w:lang w:val="fr-FR"/>
        </w:rPr>
      </w:pPr>
      <w:r w:rsidRPr="003C5D6B">
        <w:rPr>
          <w:lang w:val="fr-FR"/>
        </w:rPr>
        <w:t>–</w:t>
      </w:r>
      <w:r w:rsidRPr="003C5D6B">
        <w:rPr>
          <w:lang w:val="fr-FR"/>
        </w:rPr>
        <w:tab/>
      </w:r>
      <w:r w:rsidR="0030198E" w:rsidRPr="003C5D6B">
        <w:rPr>
          <w:lang w:val="fr-FR"/>
        </w:rPr>
        <w:t>Révocation, respectivement annulation, de licence de radiocommunication</w:t>
      </w:r>
      <w:r w:rsidR="001A7DF2" w:rsidRPr="003C5D6B">
        <w:rPr>
          <w:lang w:val="fr-FR"/>
        </w:rPr>
        <w:t>.</w:t>
      </w:r>
    </w:p>
    <w:p w:rsidR="0030198E" w:rsidRPr="003C5D6B" w:rsidRDefault="006C21CD" w:rsidP="006C21CD">
      <w:pPr>
        <w:pStyle w:val="enumlev1"/>
        <w:rPr>
          <w:lang w:val="fr-FR"/>
        </w:rPr>
      </w:pPr>
      <w:r w:rsidRPr="003C5D6B">
        <w:rPr>
          <w:lang w:val="fr-FR"/>
        </w:rPr>
        <w:t>–</w:t>
      </w:r>
      <w:r w:rsidRPr="003C5D6B">
        <w:rPr>
          <w:lang w:val="fr-FR"/>
        </w:rPr>
        <w:tab/>
      </w:r>
      <w:r w:rsidR="0030198E" w:rsidRPr="003C5D6B">
        <w:rPr>
          <w:lang w:val="fr-FR"/>
        </w:rPr>
        <w:t>Recherche de perturbations (coûts engendrés par le perturbateur lorsqu’il est identifié)</w:t>
      </w:r>
      <w:r w:rsidR="001A7DF2" w:rsidRPr="003C5D6B">
        <w:rPr>
          <w:lang w:val="fr-FR"/>
        </w:rPr>
        <w:t>.</w:t>
      </w:r>
    </w:p>
    <w:p w:rsidR="0030198E" w:rsidRPr="003C5D6B" w:rsidRDefault="0030198E" w:rsidP="003633DF">
      <w:pPr>
        <w:pStyle w:val="Heading3"/>
        <w:rPr>
          <w:lang w:val="fr-FR"/>
        </w:rPr>
      </w:pPr>
      <w:r w:rsidRPr="003C5D6B">
        <w:rPr>
          <w:lang w:val="fr-FR"/>
        </w:rPr>
        <w:t>3.3.2</w:t>
      </w:r>
      <w:r w:rsidRPr="003C5D6B">
        <w:rPr>
          <w:lang w:val="fr-FR"/>
        </w:rPr>
        <w:tab/>
        <w:t>Redevances périodiques</w:t>
      </w:r>
    </w:p>
    <w:p w:rsidR="0030198E" w:rsidRPr="003C5D6B" w:rsidRDefault="0030198E" w:rsidP="001E2E19">
      <w:pPr>
        <w:rPr>
          <w:lang w:val="fr-FR"/>
        </w:rPr>
      </w:pPr>
      <w:r w:rsidRPr="003C5D6B">
        <w:rPr>
          <w:lang w:val="fr-FR"/>
        </w:rPr>
        <w:t xml:space="preserve">Cette redevance qui est appelée «émolument pour la gestion et le contrôle technique du spectre des fréquences» a un rôle central pour la couverture des coûts afférant dans le domaine de la gestion du spectre. Les utilisateurs du spectre sont appelés à participer au financement d’activités de l’autorité gérant le spectre dont ils sont les bénéficiaires médiats. </w:t>
      </w:r>
    </w:p>
    <w:p w:rsidR="0030198E" w:rsidRPr="003C5D6B" w:rsidRDefault="0030198E" w:rsidP="0030198E">
      <w:pPr>
        <w:rPr>
          <w:lang w:val="fr-FR"/>
        </w:rPr>
      </w:pPr>
      <w:r w:rsidRPr="003C5D6B">
        <w:rPr>
          <w:lang w:val="fr-FR"/>
        </w:rPr>
        <w:t>Les redevances périodiques sont perçues pour couvrir les frais courants relatifs aux activités de gestion et le contrôle technique du spectre des fréquences qui ne découlent pas d'une action concrète des différents acteurs mais qui peuvent néanmoins leur être clairement imputées en tant que bénéficiaires. Les coûts de ces prestations sont répercutés sur les membres du groupe concerné sous la forme d’émoluments forfaitaires périodiques.</w:t>
      </w:r>
    </w:p>
    <w:p w:rsidR="0030198E" w:rsidRPr="003C5D6B" w:rsidRDefault="0030198E" w:rsidP="0030198E">
      <w:pPr>
        <w:rPr>
          <w:lang w:val="fr-FR"/>
        </w:rPr>
      </w:pPr>
      <w:r w:rsidRPr="003C5D6B">
        <w:rPr>
          <w:lang w:val="fr-FR"/>
        </w:rPr>
        <w:t>Afin d’être légale et conforme au principe de la couverture des coûts, la mise en place d’une comptabilité analytique a été nécessaire.</w:t>
      </w:r>
    </w:p>
    <w:p w:rsidR="0030198E" w:rsidRPr="003C5D6B" w:rsidRDefault="0030198E" w:rsidP="00E408F2">
      <w:pPr>
        <w:pStyle w:val="Heading3"/>
        <w:rPr>
          <w:lang w:val="fr-FR"/>
        </w:rPr>
      </w:pPr>
      <w:r w:rsidRPr="003C5D6B">
        <w:rPr>
          <w:lang w:val="fr-FR"/>
        </w:rPr>
        <w:t>3.3.3</w:t>
      </w:r>
      <w:r w:rsidRPr="003C5D6B">
        <w:rPr>
          <w:lang w:val="fr-FR"/>
        </w:rPr>
        <w:tab/>
        <w:t>Prestations fournies gratuitement</w:t>
      </w:r>
    </w:p>
    <w:p w:rsidR="0030198E" w:rsidRPr="003C5D6B" w:rsidRDefault="0030198E" w:rsidP="00E040D6">
      <w:pPr>
        <w:rPr>
          <w:lang w:val="fr-FR"/>
        </w:rPr>
      </w:pPr>
      <w:r w:rsidRPr="003C5D6B">
        <w:rPr>
          <w:lang w:val="fr-FR"/>
        </w:rPr>
        <w:t xml:space="preserve">Les prestations pour lesquelles il n’est pas procédé à l’encaissement d’une redevance – ou où le montant de la redevance est </w:t>
      </w:r>
      <w:r w:rsidR="00E040D6" w:rsidRPr="003C5D6B">
        <w:rPr>
          <w:szCs w:val="24"/>
          <w:lang w:val="fr-FR"/>
        </w:rPr>
        <w:t>“</w:t>
      </w:r>
      <w:r w:rsidRPr="003C5D6B">
        <w:rPr>
          <w:lang w:val="fr-FR"/>
        </w:rPr>
        <w:t>soldé</w:t>
      </w:r>
      <w:r w:rsidR="00E040D6" w:rsidRPr="003C5D6B">
        <w:rPr>
          <w:szCs w:val="22"/>
          <w:lang w:val="fr-FR"/>
        </w:rPr>
        <w:t>”</w:t>
      </w:r>
      <w:r w:rsidRPr="003C5D6B">
        <w:rPr>
          <w:lang w:val="fr-FR"/>
        </w:rPr>
        <w:t xml:space="preserve"> – doivent explicitement figurer dans la loi ou dans l'ordonnance. </w:t>
      </w:r>
    </w:p>
    <w:p w:rsidR="0030198E" w:rsidRPr="003C5D6B" w:rsidRDefault="0030198E" w:rsidP="0030198E">
      <w:pPr>
        <w:rPr>
          <w:lang w:val="fr-FR"/>
        </w:rPr>
      </w:pPr>
      <w:r w:rsidRPr="003C5D6B">
        <w:rPr>
          <w:lang w:val="fr-FR"/>
        </w:rPr>
        <w:lastRenderedPageBreak/>
        <w:t xml:space="preserve">Il mérite d’être relevé que pour des raisons pratiques la redevance périodique pour la gestion et contrôle technique du spectre des fréquences ne peut être prélevée auprès des utilisateurs qui sont exemptés de l’obtention d’une autorisation pour avoir accès au spectre. Comme ils ne sont pas connus individuellement de l’autorité, aucune facture ne peut leur être adressée. </w:t>
      </w:r>
    </w:p>
    <w:p w:rsidR="0030198E" w:rsidRPr="003C5D6B" w:rsidRDefault="004E24DF" w:rsidP="004E24DF">
      <w:pPr>
        <w:pStyle w:val="Heading1"/>
        <w:rPr>
          <w:lang w:val="fr-FR"/>
        </w:rPr>
      </w:pPr>
      <w:bookmarkStart w:id="1156" w:name="_Toc280260062"/>
      <w:bookmarkStart w:id="1157" w:name="_Toc280260911"/>
      <w:bookmarkStart w:id="1158" w:name="_Toc280272523"/>
      <w:bookmarkStart w:id="1159" w:name="_Toc284414194"/>
      <w:bookmarkStart w:id="1160" w:name="_Toc284499233"/>
      <w:bookmarkStart w:id="1161" w:name="_Toc287523387"/>
      <w:r w:rsidRPr="003C5D6B">
        <w:rPr>
          <w:lang w:val="fr-FR"/>
        </w:rPr>
        <w:t>4</w:t>
      </w:r>
      <w:r w:rsidRPr="003C5D6B">
        <w:rPr>
          <w:lang w:val="fr-FR"/>
        </w:rPr>
        <w:tab/>
      </w:r>
      <w:r w:rsidR="0030198E" w:rsidRPr="003C5D6B">
        <w:rPr>
          <w:lang w:val="fr-FR"/>
        </w:rPr>
        <w:t>Conclusion</w:t>
      </w:r>
      <w:bookmarkEnd w:id="1156"/>
      <w:bookmarkEnd w:id="1157"/>
      <w:bookmarkEnd w:id="1158"/>
      <w:bookmarkEnd w:id="1159"/>
      <w:bookmarkEnd w:id="1160"/>
      <w:bookmarkEnd w:id="1161"/>
    </w:p>
    <w:p w:rsidR="0030198E" w:rsidRPr="003C5D6B" w:rsidRDefault="0030198E" w:rsidP="0030198E">
      <w:pPr>
        <w:rPr>
          <w:lang w:val="fr-FR"/>
        </w:rPr>
      </w:pPr>
      <w:r w:rsidRPr="003C5D6B">
        <w:rPr>
          <w:lang w:val="fr-FR"/>
        </w:rPr>
        <w:t xml:space="preserve">Le système </w:t>
      </w:r>
      <w:r w:rsidRPr="003C5D6B">
        <w:rPr>
          <w:i/>
          <w:lang w:val="fr-FR"/>
        </w:rPr>
        <w:t>mixte</w:t>
      </w:r>
      <w:r w:rsidRPr="003C5D6B">
        <w:rPr>
          <w:lang w:val="fr-FR"/>
        </w:rPr>
        <w:t xml:space="preserve"> appliqué en Suisse permet à l’autorité de gestion des fréquences d’avoir recours aux deux types de contributions au profit de l’Etat (taxes et redevances) pour son financement. Cette combinaison donne la faculté de couvrir la totalité des coûts afférant avec équité, dans le respect du droit (principe de la couverture des coûts) et avec souplesse. </w:t>
      </w:r>
    </w:p>
    <w:p w:rsidR="0030198E" w:rsidRPr="003C5D6B" w:rsidRDefault="0030198E" w:rsidP="0030198E">
      <w:pPr>
        <w:rPr>
          <w:lang w:val="fr-FR"/>
        </w:rPr>
      </w:pPr>
      <w:r w:rsidRPr="003C5D6B">
        <w:rPr>
          <w:lang w:val="fr-FR"/>
        </w:rPr>
        <w:t>Pour finir, voici un schéma décrivant l’approche mixte:</w:t>
      </w:r>
    </w:p>
    <w:p w:rsidR="00F7590E" w:rsidRDefault="00F7590E">
      <w:pPr>
        <w:tabs>
          <w:tab w:val="clear" w:pos="794"/>
          <w:tab w:val="clear" w:pos="1191"/>
          <w:tab w:val="clear" w:pos="1588"/>
          <w:tab w:val="clear" w:pos="1985"/>
        </w:tabs>
        <w:overflowPunct/>
        <w:autoSpaceDE/>
        <w:autoSpaceDN/>
        <w:adjustRightInd/>
        <w:spacing w:before="0"/>
        <w:jc w:val="left"/>
        <w:textAlignment w:val="auto"/>
        <w:rPr>
          <w:lang w:val="fr-FR"/>
        </w:rPr>
      </w:pPr>
    </w:p>
    <w:p w:rsidR="00E92FFB" w:rsidRPr="00190938" w:rsidRDefault="00E92FFB" w:rsidP="00E92FFB">
      <w:pPr>
        <w:rPr>
          <w:lang w:val="fr-FR"/>
        </w:rPr>
      </w:pPr>
    </w:p>
    <w:p w:rsidR="00E92FFB" w:rsidRPr="00B97E80" w:rsidRDefault="00E92FFB" w:rsidP="00E92FFB">
      <w:pPr>
        <w:tabs>
          <w:tab w:val="clear" w:pos="794"/>
          <w:tab w:val="clear" w:pos="1191"/>
          <w:tab w:val="clear" w:pos="1588"/>
          <w:tab w:val="clear" w:pos="1985"/>
        </w:tabs>
        <w:overflowPunct/>
        <w:autoSpaceDE/>
        <w:autoSpaceDN/>
        <w:adjustRightInd/>
        <w:spacing w:before="0"/>
        <w:jc w:val="left"/>
        <w:textAlignment w:val="auto"/>
        <w:rPr>
          <w:lang w:val="fr-CH"/>
        </w:rPr>
      </w:pPr>
      <w:r w:rsidRPr="00C14B03">
        <w:rPr>
          <w:highlight w:val="yellow"/>
          <w:lang w:val="fr-FR"/>
        </w:rPr>
      </w:r>
      <w:r w:rsidRPr="00C14B03">
        <w:rPr>
          <w:highlight w:val="yellow"/>
          <w:lang w:val="fr-FR"/>
        </w:rPr>
        <w:pict>
          <v:group id="_x0000_s1138" editas="canvas" style="width:491.35pt;height:253.2pt;mso-position-horizontal-relative:char;mso-position-vertical-relative:line" coordorigin="1345,7776" coordsize="9827,5064">
            <o:lock v:ext="edit" aspectratio="t"/>
            <v:shape id="_x0000_s1139" type="#_x0000_t75" style="position:absolute;left:1345;top:7776;width:9827;height:5064" o:preferrelative="f">
              <v:fill o:detectmouseclick="t"/>
              <v:path o:extrusionok="t" o:connecttype="none"/>
              <o:lock v:ext="edit" text="t"/>
            </v:shape>
            <v:rect id="_x0000_s1140" style="position:absolute;left:7510;top:10502;width:3491;height:1543;mso-wrap-style:none;v-text-anchor:middle" fillcolor="silver" stroked="f">
              <v:fill r:id="rId20" o:title="Diagonal weit nach oben" type="pattern"/>
            </v:rect>
            <v:rect id="_x0000_s1141" style="position:absolute;left:3931;top:8958;width:3579;height:1544;mso-wrap-style:none;v-text-anchor:middle" fillcolor="silver" stroked="f">
              <v:fill r:id="rId20" o:title="Diagonal weit nach oben" type="pattern"/>
            </v:rect>
            <v:line id="_x0000_s1142" style="position:absolute;mso-wrap-style:none;v-text-anchor:middle" from="1461,10502" to="10991,10503"/>
            <v:line id="_x0000_s1143" style="position:absolute;mso-wrap-style:none;v-text-anchor:middle" from="1461,8958" to="10991,8959"/>
            <v:line id="_x0000_s1144" style="position:absolute;mso-wrap-style:none;v-text-anchor:middle" from="1521,12038" to="11001,12045"/>
            <v:line id="_x0000_s1145" style="position:absolute;flip:y;mso-wrap-style:none;v-text-anchor:middle" from="3931,7826" to="3932,12045"/>
            <v:line id="_x0000_s1146" style="position:absolute;flip:y;mso-wrap-style:none;v-text-anchor:middle" from="11001,7826" to="11002,12045"/>
            <v:line id="_x0000_s1147" style="position:absolute;flip:y;mso-wrap-style:none;v-text-anchor:middle" from="7510,8186" to="7511,12045"/>
            <v:shapetype id="_x0000_t202" coordsize="21600,21600" o:spt="202" path="m,l,21600r21600,l21600,xe">
              <v:stroke joinstyle="miter"/>
              <v:path gradientshapeok="t" o:connecttype="rect"/>
            </v:shapetype>
            <v:shape id="_x0000_s1148" type="#_x0000_t202" style="position:absolute;left:1499;top:9228;width:2302;height:770" filled="f" fillcolor="silver" stroked="f">
              <v:textbox style="mso-next-textbox:#_x0000_s1148;mso-fit-shape-to-text:t">
                <w:txbxContent>
                  <w:p w:rsidR="00E92FFB" w:rsidRPr="008D5FB5" w:rsidRDefault="00E92FFB" w:rsidP="00E92FFB">
                    <w:pPr>
                      <w:jc w:val="left"/>
                      <w:rPr>
                        <w:bCs/>
                        <w:color w:val="000000"/>
                      </w:rPr>
                    </w:pPr>
                    <w:r w:rsidRPr="00671F66">
                      <w:rPr>
                        <w:b/>
                        <w:bCs/>
                        <w:color w:val="000000"/>
                      </w:rPr>
                      <w:t>Redevances</w:t>
                    </w:r>
                    <w:r w:rsidRPr="008D5FB5">
                      <w:rPr>
                        <w:bCs/>
                        <w:color w:val="000000"/>
                      </w:rPr>
                      <w:t xml:space="preserve"> – pleine couverture des coûts</w:t>
                    </w:r>
                  </w:p>
                </w:txbxContent>
              </v:textbox>
            </v:shape>
            <v:shape id="_x0000_s1149" type="#_x0000_t202" style="position:absolute;left:1461;top:10706;width:2385;height:821" filled="f" fillcolor="#bbe0e3" stroked="f">
              <v:textbox style="mso-next-textbox:#_x0000_s1149">
                <w:txbxContent>
                  <w:p w:rsidR="00E92FFB" w:rsidRPr="00573358" w:rsidRDefault="00E92FFB" w:rsidP="00E92FFB">
                    <w:pPr>
                      <w:jc w:val="left"/>
                      <w:rPr>
                        <w:bCs/>
                        <w:color w:val="000000"/>
                      </w:rPr>
                    </w:pPr>
                    <w:r w:rsidRPr="00573358">
                      <w:rPr>
                        <w:bCs/>
                        <w:color w:val="000000"/>
                      </w:rPr>
                      <w:t>Budget général de l’État</w:t>
                    </w:r>
                    <w:r>
                      <w:rPr>
                        <w:bCs/>
                        <w:color w:val="000000"/>
                      </w:rPr>
                      <w:t xml:space="preserve"> </w:t>
                    </w:r>
                    <w:r w:rsidRPr="00573358">
                      <w:rPr>
                        <w:bCs/>
                        <w:color w:val="000000"/>
                      </w:rPr>
                      <w:t>*</w:t>
                    </w:r>
                  </w:p>
                </w:txbxContent>
              </v:textbox>
            </v:shape>
            <v:line id="_x0000_s1150" style="position:absolute;mso-wrap-style:none;v-text-anchor:middle" from="3931,8185" to="11001,8186"/>
            <v:shape id="_x0000_s1151" type="#_x0000_t202" style="position:absolute;left:5781;top:7776;width:3954;height:408" filled="f" fillcolor="#bbe0e3" stroked="f">
              <v:textbox style="mso-next-textbox:#_x0000_s1151">
                <w:txbxContent>
                  <w:p w:rsidR="00E92FFB" w:rsidRPr="00C912C1" w:rsidRDefault="00E92FFB" w:rsidP="00E92FFB">
                    <w:pPr>
                      <w:spacing w:before="0"/>
                      <w:rPr>
                        <w:color w:val="000000"/>
                        <w:lang w:val="fr-CH"/>
                      </w:rPr>
                    </w:pPr>
                    <w:r w:rsidRPr="00C912C1">
                      <w:rPr>
                        <w:color w:val="000000"/>
                        <w:lang w:val="fr-CH"/>
                      </w:rPr>
                      <w:t>Nature du récipiendaire du “service”</w:t>
                    </w:r>
                  </w:p>
                </w:txbxContent>
              </v:textbox>
            </v:shape>
            <v:shape id="_x0000_s1152" type="#_x0000_t202" style="position:absolute;left:7476;top:8313;width:3505;height:823" filled="f" fillcolor="#bbe0e3" stroked="f">
              <v:textbox style="mso-next-textbox:#_x0000_s1152">
                <w:txbxContent>
                  <w:p w:rsidR="00E92FFB" w:rsidRPr="00190938" w:rsidRDefault="00E92FFB" w:rsidP="00E92FFB">
                    <w:pPr>
                      <w:spacing w:before="0"/>
                      <w:jc w:val="center"/>
                      <w:rPr>
                        <w:bCs/>
                        <w:color w:val="000000"/>
                        <w:lang w:val="fr-FR"/>
                      </w:rPr>
                    </w:pPr>
                    <w:r w:rsidRPr="00190938">
                      <w:rPr>
                        <w:bCs/>
                        <w:color w:val="000000"/>
                        <w:lang w:val="fr-FR"/>
                      </w:rPr>
                      <w:t>Parlement, gouvernement, autres entités de l’administration</w:t>
                    </w:r>
                  </w:p>
                </w:txbxContent>
              </v:textbox>
            </v:shape>
            <v:shape id="_x0000_s1153" type="#_x0000_t202" style="position:absolute;left:4506;top:8368;width:2535;height:598" filled="f" fillcolor="#bbe0e3" stroked="f">
              <v:textbox style="mso-next-textbox:#_x0000_s1153">
                <w:txbxContent>
                  <w:p w:rsidR="00E92FFB" w:rsidRPr="00573358" w:rsidRDefault="00E92FFB" w:rsidP="00E92FFB">
                    <w:pPr>
                      <w:spacing w:before="0"/>
                      <w:rPr>
                        <w:bCs/>
                        <w:color w:val="000000"/>
                      </w:rPr>
                    </w:pPr>
                    <w:r w:rsidRPr="00573358">
                      <w:rPr>
                        <w:bCs/>
                        <w:color w:val="000000"/>
                      </w:rPr>
                      <w:t>Partie tierce privée</w:t>
                    </w:r>
                  </w:p>
                </w:txbxContent>
              </v:textbox>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54" type="#_x0000_t172" style="position:absolute;left:4701;top:9266;width:2115;height:892" adj="7802" fillcolor="black">
              <v:shadow color="#868686"/>
              <v:textpath style="font-family:&quot;Verdana&quot;;font-size:12pt;v-text-kern:t" trim="t" fitpath="t" string="Précepte pour financer &#10;les &quot;services&quot;"/>
            </v:shape>
            <v:shape id="_x0000_s1155" type="#_x0000_t172" style="position:absolute;left:8166;top:10886;width:2115;height:892" adj="7802" fillcolor="black">
              <v:shadow color="#868686"/>
              <v:textpath style="font-family:&quot;Verdana&quot;;font-size:12pt;v-text-kern:t" trim="t" fitpath="t" string="Précepte pour financer &#10;les &quot;services&quot;"/>
            </v:shape>
            <v:shape id="_x0000_s1156" type="#_x0000_t202" style="position:absolute;left:7849;top:9086;width:2896;height:1080" filled="f" fillcolor="#bbe0e3" stroked="f">
              <v:textbox style="mso-next-textbox:#_x0000_s1156">
                <w:txbxContent>
                  <w:p w:rsidR="00E92FFB" w:rsidRPr="00190938" w:rsidRDefault="00E92FFB" w:rsidP="00E92FFB">
                    <w:pPr>
                      <w:spacing w:before="0"/>
                      <w:rPr>
                        <w:bCs/>
                        <w:color w:val="000000"/>
                        <w:lang w:val="fr-FR"/>
                      </w:rPr>
                    </w:pPr>
                    <w:r w:rsidRPr="00190938">
                      <w:rPr>
                        <w:bCs/>
                        <w:color w:val="000000"/>
                        <w:lang w:val="fr-FR"/>
                      </w:rPr>
                      <w:t>Lorsque le récipiendaire peut être considéré comme une partie tierce privée</w:t>
                    </w:r>
                  </w:p>
                </w:txbxContent>
              </v:textbox>
            </v:shape>
            <v:shape id="_x0000_s1157" type="#_x0000_t202" style="position:absolute;left:4016;top:10706;width:3408;height:899" filled="f" fillcolor="#bbe0e3" stroked="f">
              <v:textbox style="mso-next-textbox:#_x0000_s1157">
                <w:txbxContent>
                  <w:p w:rsidR="00E92FFB" w:rsidRPr="00190938" w:rsidRDefault="00E92FFB" w:rsidP="00E92FFB">
                    <w:pPr>
                      <w:jc w:val="center"/>
                      <w:rPr>
                        <w:bCs/>
                        <w:color w:val="000000"/>
                        <w:lang w:val="fr-FR"/>
                      </w:rPr>
                    </w:pPr>
                    <w:r w:rsidRPr="00190938">
                      <w:rPr>
                        <w:bCs/>
                        <w:color w:val="000000"/>
                        <w:lang w:val="fr-FR"/>
                      </w:rPr>
                      <w:t>Lorsque la loi prévoit qu’une facturation n’a pas lieu</w:t>
                    </w:r>
                  </w:p>
                </w:txbxContent>
              </v:textbox>
            </v:shape>
            <v:shape id="_x0000_s1158" type="#_x0000_t202" style="position:absolute;left:1812;top:12026;width:9360;height:814" filled="f" stroked="f">
              <v:textbox style="mso-next-textbox:#_x0000_s1158">
                <w:txbxContent>
                  <w:p w:rsidR="00E92FFB" w:rsidRPr="006012EE" w:rsidRDefault="00E92FFB" w:rsidP="00E92FFB">
                    <w:pPr>
                      <w:pStyle w:val="CEORevision2"/>
                      <w:tabs>
                        <w:tab w:val="left" w:pos="-5245"/>
                        <w:tab w:val="left" w:pos="284"/>
                      </w:tabs>
                      <w:ind w:left="284" w:hanging="284"/>
                      <w:rPr>
                        <w:lang w:val="fr-FR"/>
                      </w:rPr>
                    </w:pPr>
                    <w:r w:rsidRPr="006012EE">
                      <w:rPr>
                        <w:lang w:val="fr-FR"/>
                      </w:rPr>
                      <w:t>*</w:t>
                    </w:r>
                    <w:r w:rsidRPr="006012EE">
                      <w:rPr>
                        <w:lang w:val="fr-FR"/>
                      </w:rPr>
                      <w:tab/>
                      <w:t xml:space="preserve">En Suisse, la part requise du budget général est couverte d’un point de vue calculatoire par les revenus totaux provenant de la perception des </w:t>
                    </w:r>
                    <w:r w:rsidRPr="006012EE">
                      <w:rPr>
                        <w:b/>
                        <w:lang w:val="fr-FR"/>
                      </w:rPr>
                      <w:t>taxes d’utilisation du spectre</w:t>
                    </w:r>
                  </w:p>
                </w:txbxContent>
              </v:textbox>
            </v:shape>
            <w10:wrap type="none"/>
            <w10:anchorlock/>
          </v:group>
        </w:pict>
      </w:r>
    </w:p>
    <w:p w:rsidR="00E92FFB" w:rsidRDefault="00E92FFB" w:rsidP="00E92FFB">
      <w:pPr>
        <w:tabs>
          <w:tab w:val="clear" w:pos="794"/>
          <w:tab w:val="clear" w:pos="1191"/>
          <w:tab w:val="clear" w:pos="1588"/>
          <w:tab w:val="clear" w:pos="1985"/>
        </w:tabs>
        <w:overflowPunct/>
        <w:autoSpaceDE/>
        <w:autoSpaceDN/>
        <w:adjustRightInd/>
        <w:spacing w:before="0"/>
        <w:jc w:val="left"/>
        <w:textAlignment w:val="auto"/>
        <w:rPr>
          <w:lang w:val="fr-CH"/>
        </w:rPr>
      </w:pPr>
    </w:p>
    <w:p w:rsidR="00E92FFB" w:rsidRPr="00B97E80" w:rsidRDefault="00E92FFB" w:rsidP="00E92FFB">
      <w:pPr>
        <w:tabs>
          <w:tab w:val="clear" w:pos="794"/>
          <w:tab w:val="clear" w:pos="1191"/>
          <w:tab w:val="clear" w:pos="1588"/>
          <w:tab w:val="clear" w:pos="1985"/>
        </w:tabs>
        <w:overflowPunct/>
        <w:autoSpaceDE/>
        <w:autoSpaceDN/>
        <w:adjustRightInd/>
        <w:spacing w:before="0"/>
        <w:jc w:val="left"/>
        <w:textAlignment w:val="auto"/>
        <w:rPr>
          <w:lang w:val="fr-CH"/>
        </w:rPr>
      </w:pPr>
    </w:p>
    <w:p w:rsidR="00E92FFB" w:rsidRDefault="00E92FFB">
      <w:pPr>
        <w:tabs>
          <w:tab w:val="clear" w:pos="794"/>
          <w:tab w:val="clear" w:pos="1191"/>
          <w:tab w:val="clear" w:pos="1588"/>
          <w:tab w:val="clear" w:pos="1985"/>
        </w:tabs>
        <w:overflowPunct/>
        <w:autoSpaceDE/>
        <w:autoSpaceDN/>
        <w:adjustRightInd/>
        <w:spacing w:before="0"/>
        <w:jc w:val="left"/>
        <w:textAlignment w:val="auto"/>
        <w:rPr>
          <w:lang w:val="fr-FR"/>
        </w:rPr>
      </w:pPr>
    </w:p>
    <w:p w:rsidR="00F7590E" w:rsidRPr="003C5D6B" w:rsidRDefault="00F7590E">
      <w:pPr>
        <w:tabs>
          <w:tab w:val="clear" w:pos="794"/>
          <w:tab w:val="clear" w:pos="1191"/>
          <w:tab w:val="clear" w:pos="1588"/>
          <w:tab w:val="clear" w:pos="1985"/>
        </w:tabs>
        <w:overflowPunct/>
        <w:autoSpaceDE/>
        <w:autoSpaceDN/>
        <w:adjustRightInd/>
        <w:spacing w:before="0"/>
        <w:jc w:val="left"/>
        <w:textAlignment w:val="auto"/>
        <w:rPr>
          <w:lang w:val="es-ES"/>
        </w:rPr>
      </w:pPr>
      <w:r w:rsidRPr="003C5D6B">
        <w:rPr>
          <w:lang w:val="es-ES"/>
        </w:rPr>
        <w:br w:type="page"/>
      </w:r>
    </w:p>
    <w:p w:rsidR="009B3560" w:rsidRPr="00732AD7" w:rsidRDefault="00411956" w:rsidP="00411956">
      <w:pPr>
        <w:pStyle w:val="AppendixNotitle"/>
        <w:rPr>
          <w:b w:val="0"/>
          <w:bCs/>
        </w:rPr>
      </w:pPr>
      <w:bookmarkStart w:id="1162" w:name="_Toc280260063"/>
      <w:bookmarkStart w:id="1163" w:name="_Toc280260912"/>
      <w:bookmarkStart w:id="1164" w:name="_Toc280272524"/>
      <w:bookmarkStart w:id="1165" w:name="_Toc284414195"/>
      <w:bookmarkStart w:id="1166" w:name="_Toc284499234"/>
      <w:bookmarkStart w:id="1167" w:name="_Toc287523388"/>
      <w:r w:rsidRPr="00E92FFB">
        <w:rPr>
          <w:lang w:val="en-US"/>
        </w:rPr>
        <w:lastRenderedPageBreak/>
        <w:t>Apéndice</w:t>
      </w:r>
      <w:r w:rsidR="009B3560" w:rsidRPr="00E92FFB">
        <w:rPr>
          <w:lang w:val="en-US"/>
        </w:rPr>
        <w:t xml:space="preserve"> 3.1</w:t>
      </w:r>
      <w:r w:rsidR="001A360B" w:rsidRPr="00E92FFB">
        <w:rPr>
          <w:lang w:val="en-US"/>
        </w:rPr>
        <w:t xml:space="preserve"> (</w:t>
      </w:r>
      <w:r w:rsidRPr="00E92FFB">
        <w:rPr>
          <w:lang w:val="en-US"/>
        </w:rPr>
        <w:t>inglés</w:t>
      </w:r>
      <w:r w:rsidR="001A360B" w:rsidRPr="00E92FFB">
        <w:rPr>
          <w:lang w:val="en-US"/>
        </w:rPr>
        <w:t>)</w:t>
      </w:r>
      <w:r w:rsidR="009B3560" w:rsidRPr="00E92FFB">
        <w:rPr>
          <w:lang w:val="en-US"/>
        </w:rPr>
        <w:br/>
      </w:r>
      <w:r w:rsidR="009B3560" w:rsidRPr="00E92FFB">
        <w:rPr>
          <w:lang w:val="en-US"/>
        </w:rPr>
        <w:br/>
      </w:r>
      <w:r w:rsidR="009B3560" w:rsidRPr="00732AD7">
        <w:rPr>
          <w:bCs/>
        </w:rPr>
        <w:t>Example of fee system for frequency utilization in Côte d'Ivoire</w:t>
      </w:r>
      <w:bookmarkEnd w:id="1162"/>
      <w:bookmarkEnd w:id="1163"/>
      <w:bookmarkEnd w:id="1164"/>
      <w:bookmarkEnd w:id="1165"/>
      <w:bookmarkEnd w:id="1166"/>
      <w:bookmarkEnd w:id="1167"/>
    </w:p>
    <w:p w:rsidR="00406ED4" w:rsidRPr="00732AD7" w:rsidRDefault="00406ED4" w:rsidP="00406ED4"/>
    <w:p w:rsidR="00880FE6" w:rsidRPr="00732AD7" w:rsidRDefault="00880FE6" w:rsidP="00880FE6">
      <w:pPr>
        <w:pStyle w:val="Heading1"/>
      </w:pPr>
      <w:r w:rsidRPr="00732AD7">
        <w:rPr>
          <w:i/>
          <w:iCs/>
        </w:rPr>
        <w:tab/>
      </w:r>
      <w:bookmarkStart w:id="1168" w:name="_Toc287523389"/>
      <w:r w:rsidRPr="00732AD7">
        <w:t>INTRODUCTION</w:t>
      </w:r>
      <w:bookmarkEnd w:id="1168"/>
    </w:p>
    <w:p w:rsidR="00880FE6" w:rsidRPr="00732AD7" w:rsidRDefault="00880FE6" w:rsidP="00880FE6">
      <w:r w:rsidRPr="00732AD7">
        <w:t xml:space="preserve">It is important for the administration to identify how to ensure that it receives sufficient income to cover the costs of an effective spectrum management programme. The sound financing of spectrum management may prove decisive in the successful introduction of new spectrum-using services, and their harmful interference-free operation. </w:t>
      </w:r>
    </w:p>
    <w:p w:rsidR="00880FE6" w:rsidRPr="00732AD7" w:rsidRDefault="00880FE6" w:rsidP="00880FE6">
      <w:r w:rsidRPr="00732AD7">
        <w:t>In addition, a properly financed national spectrum management programme offers opportunities to service providers and equipment manufacturers, thus greatly contributing to economic growth.</w:t>
      </w:r>
    </w:p>
    <w:p w:rsidR="00880FE6" w:rsidRPr="00732AD7" w:rsidRDefault="00880FE6" w:rsidP="00880FE6">
      <w:r w:rsidRPr="00732AD7">
        <w:t>On the contrary, poor financing can mean the failure or delayed implementation of important radiocommunication services.</w:t>
      </w:r>
    </w:p>
    <w:p w:rsidR="00880FE6" w:rsidRPr="00732AD7" w:rsidRDefault="00880FE6" w:rsidP="00880FE6">
      <w:r w:rsidRPr="00732AD7">
        <w:t>To provide for this financing, charges and fees for licences are charged to spectrum users. The amount charged depends on the extent of spectrum utilization and the economic advantage deriving therefrom.</w:t>
      </w:r>
    </w:p>
    <w:p w:rsidR="00880FE6" w:rsidRPr="00732AD7" w:rsidRDefault="00880FE6" w:rsidP="00880FE6">
      <w:pPr>
        <w:pStyle w:val="Heading1"/>
      </w:pPr>
      <w:bookmarkStart w:id="1169" w:name="_Toc280260065"/>
      <w:bookmarkStart w:id="1170" w:name="_Toc280260914"/>
      <w:bookmarkStart w:id="1171" w:name="_Toc280272526"/>
      <w:bookmarkStart w:id="1172" w:name="_Toc284414197"/>
      <w:bookmarkStart w:id="1173" w:name="_Toc286314941"/>
      <w:bookmarkStart w:id="1174" w:name="_Toc287523390"/>
      <w:r w:rsidRPr="00732AD7">
        <w:t>II</w:t>
      </w:r>
      <w:r w:rsidRPr="00732AD7">
        <w:tab/>
        <w:t>RADIO NETWORK INVOICING SYSTEM</w:t>
      </w:r>
      <w:bookmarkEnd w:id="1169"/>
      <w:bookmarkEnd w:id="1170"/>
      <w:bookmarkEnd w:id="1171"/>
      <w:bookmarkEnd w:id="1172"/>
      <w:bookmarkEnd w:id="1173"/>
      <w:bookmarkEnd w:id="1174"/>
    </w:p>
    <w:p w:rsidR="00880FE6" w:rsidRPr="00732AD7" w:rsidRDefault="00880FE6" w:rsidP="00880FE6">
      <w:r w:rsidRPr="00732AD7">
        <w:t>Charging in Côte d'Ivoire is based on the following:</w:t>
      </w:r>
    </w:p>
    <w:p w:rsidR="00880FE6" w:rsidRPr="00732AD7" w:rsidRDefault="00880FE6" w:rsidP="00880FE6">
      <w:pPr>
        <w:pStyle w:val="enumlev1"/>
      </w:pPr>
      <w:r w:rsidRPr="00732AD7">
        <w:t>a)</w:t>
      </w:r>
      <w:r w:rsidRPr="00732AD7">
        <w:tab/>
        <w:t>the radio frequency;</w:t>
      </w:r>
    </w:p>
    <w:p w:rsidR="00880FE6" w:rsidRPr="00732AD7" w:rsidRDefault="00880FE6" w:rsidP="00880FE6">
      <w:pPr>
        <w:pStyle w:val="enumlev1"/>
      </w:pPr>
      <w:r w:rsidRPr="00732AD7">
        <w:t>b)</w:t>
      </w:r>
      <w:r w:rsidRPr="00732AD7">
        <w:tab/>
        <w:t>the amount of spectrum assigned, e.g. bandwidth;</w:t>
      </w:r>
    </w:p>
    <w:p w:rsidR="00880FE6" w:rsidRPr="00732AD7" w:rsidRDefault="00880FE6" w:rsidP="00880FE6">
      <w:pPr>
        <w:pStyle w:val="enumlev1"/>
      </w:pPr>
      <w:r w:rsidRPr="00732AD7">
        <w:t>c)</w:t>
      </w:r>
      <w:r w:rsidRPr="00732AD7">
        <w:tab/>
        <w:t>the channels or links;</w:t>
      </w:r>
    </w:p>
    <w:p w:rsidR="00880FE6" w:rsidRPr="00732AD7" w:rsidRDefault="00880FE6" w:rsidP="00880FE6">
      <w:pPr>
        <w:pStyle w:val="enumlev1"/>
      </w:pPr>
      <w:r w:rsidRPr="00732AD7">
        <w:t>d)</w:t>
      </w:r>
      <w:r w:rsidRPr="00732AD7">
        <w:tab/>
        <w:t>the load level of the channels (or links) (bit rate, capacity);</w:t>
      </w:r>
    </w:p>
    <w:p w:rsidR="00880FE6" w:rsidRPr="00732AD7" w:rsidRDefault="00880FE6" w:rsidP="00880FE6">
      <w:pPr>
        <w:pStyle w:val="enumlev1"/>
      </w:pPr>
      <w:r w:rsidRPr="00732AD7">
        <w:t>e)</w:t>
      </w:r>
      <w:r w:rsidRPr="00732AD7">
        <w:tab/>
        <w:t>the spectrum efficiency of equipment used;</w:t>
      </w:r>
    </w:p>
    <w:p w:rsidR="00880FE6" w:rsidRPr="00732AD7" w:rsidRDefault="00880FE6" w:rsidP="00880FE6">
      <w:pPr>
        <w:pStyle w:val="enumlev1"/>
      </w:pPr>
      <w:r w:rsidRPr="00732AD7">
        <w:t>f)</w:t>
      </w:r>
      <w:r w:rsidRPr="00732AD7">
        <w:tab/>
        <w:t>power and coverage area;</w:t>
      </w:r>
    </w:p>
    <w:p w:rsidR="00880FE6" w:rsidRPr="00732AD7" w:rsidRDefault="00880FE6" w:rsidP="00880FE6">
      <w:pPr>
        <w:pStyle w:val="enumlev1"/>
      </w:pPr>
      <w:r w:rsidRPr="00732AD7">
        <w:t>g)</w:t>
      </w:r>
      <w:r w:rsidRPr="00732AD7">
        <w:tab/>
        <w:t>nature of frequency utilization (private or commercial);</w:t>
      </w:r>
    </w:p>
    <w:p w:rsidR="00880FE6" w:rsidRPr="00732AD7" w:rsidRDefault="00880FE6" w:rsidP="00880FE6">
      <w:pPr>
        <w:pStyle w:val="enumlev1"/>
      </w:pPr>
      <w:r w:rsidRPr="00732AD7">
        <w:t>h)</w:t>
      </w:r>
      <w:r w:rsidRPr="00732AD7">
        <w:tab/>
        <w:t>geographical location.</w:t>
      </w:r>
    </w:p>
    <w:p w:rsidR="00880FE6" w:rsidRPr="00732AD7" w:rsidRDefault="00880FE6" w:rsidP="00880FE6">
      <w:pPr>
        <w:pStyle w:val="CEONormal"/>
        <w:rPr>
          <w:rFonts w:asciiTheme="majorBidi" w:hAnsiTheme="majorBidi" w:cstheme="majorBidi"/>
          <w:sz w:val="22"/>
          <w:szCs w:val="22"/>
        </w:rPr>
      </w:pPr>
      <w:r w:rsidRPr="00732AD7">
        <w:rPr>
          <w:rFonts w:asciiTheme="majorBidi" w:hAnsiTheme="majorBidi" w:cstheme="majorBidi"/>
          <w:sz w:val="22"/>
          <w:szCs w:val="22"/>
        </w:rPr>
        <w:t>Given the complexity of the frequency assignment operations, fees are calculated for each type of licence.</w:t>
      </w:r>
    </w:p>
    <w:p w:rsidR="00880FE6" w:rsidRPr="00732AD7" w:rsidRDefault="00880FE6" w:rsidP="00880FE6">
      <w:pPr>
        <w:pStyle w:val="CEONormal"/>
        <w:rPr>
          <w:rFonts w:asciiTheme="majorBidi" w:hAnsiTheme="majorBidi" w:cstheme="majorBidi"/>
          <w:sz w:val="22"/>
          <w:szCs w:val="22"/>
        </w:rPr>
      </w:pPr>
      <w:r w:rsidRPr="00732AD7">
        <w:rPr>
          <w:rFonts w:asciiTheme="majorBidi" w:hAnsiTheme="majorBidi" w:cstheme="majorBidi"/>
          <w:sz w:val="22"/>
          <w:szCs w:val="22"/>
        </w:rPr>
        <w:t>Côte d'Ivoire legislation (decree 97-173 of 19 March 1997) thus establishes five (05) items for invoicing the various different networks, as follows:</w:t>
      </w:r>
    </w:p>
    <w:p w:rsidR="00880FE6" w:rsidRPr="00732AD7" w:rsidRDefault="00880FE6" w:rsidP="00880FE6">
      <w:pPr>
        <w:pStyle w:val="enumlev1"/>
      </w:pPr>
      <w:r w:rsidRPr="00732AD7">
        <w:t>–</w:t>
      </w:r>
      <w:r w:rsidRPr="00732AD7">
        <w:tab/>
        <w:t>file fee;</w:t>
      </w:r>
    </w:p>
    <w:p w:rsidR="00880FE6" w:rsidRPr="00732AD7" w:rsidRDefault="00880FE6" w:rsidP="00880FE6">
      <w:pPr>
        <w:pStyle w:val="enumlev1"/>
      </w:pPr>
      <w:r w:rsidRPr="00732AD7">
        <w:t>–</w:t>
      </w:r>
      <w:r w:rsidRPr="00732AD7">
        <w:tab/>
        <w:t>radio station control fee;</w:t>
      </w:r>
    </w:p>
    <w:p w:rsidR="00880FE6" w:rsidRPr="00732AD7" w:rsidRDefault="00880FE6" w:rsidP="00880FE6">
      <w:pPr>
        <w:pStyle w:val="enumlev1"/>
      </w:pPr>
      <w:r w:rsidRPr="00732AD7">
        <w:t>–</w:t>
      </w:r>
      <w:r w:rsidRPr="00732AD7">
        <w:tab/>
        <w:t>contribution to offsetting management costs;</w:t>
      </w:r>
    </w:p>
    <w:p w:rsidR="00880FE6" w:rsidRPr="00732AD7" w:rsidRDefault="00880FE6" w:rsidP="00880FE6">
      <w:pPr>
        <w:pStyle w:val="enumlev1"/>
      </w:pPr>
      <w:r w:rsidRPr="00732AD7">
        <w:t>–</w:t>
      </w:r>
      <w:r w:rsidRPr="00732AD7">
        <w:tab/>
        <w:t>radio frequency utilization fee;</w:t>
      </w:r>
    </w:p>
    <w:p w:rsidR="00880FE6" w:rsidRPr="00732AD7" w:rsidRDefault="00880FE6" w:rsidP="00880FE6">
      <w:pPr>
        <w:pStyle w:val="enumlev1"/>
      </w:pPr>
      <w:r w:rsidRPr="00732AD7">
        <w:t>–</w:t>
      </w:r>
      <w:r w:rsidRPr="00732AD7">
        <w:tab/>
        <w:t>sticker fee.</w:t>
      </w:r>
    </w:p>
    <w:p w:rsidR="00880FE6" w:rsidRPr="00732AD7" w:rsidRDefault="00880FE6" w:rsidP="00880FE6">
      <w:r w:rsidRPr="00732AD7">
        <w:t>All the amounts are established on a lump-sum basis.</w:t>
      </w:r>
    </w:p>
    <w:p w:rsidR="00880FE6" w:rsidRPr="00732AD7" w:rsidRDefault="00880FE6" w:rsidP="00880FE6"/>
    <w:p w:rsidR="00880FE6" w:rsidRPr="00732AD7" w:rsidRDefault="00880FE6" w:rsidP="00880FE6">
      <w:pPr>
        <w:spacing w:before="0"/>
        <w:rPr>
          <w:b/>
          <w:bCs/>
        </w:rPr>
      </w:pPr>
      <w:r w:rsidRPr="00732AD7">
        <w:rPr>
          <w:b/>
          <w:bCs/>
        </w:rPr>
        <w:t>File fee</w:t>
      </w:r>
    </w:p>
    <w:p w:rsidR="00880FE6" w:rsidRPr="00732AD7" w:rsidRDefault="00880FE6" w:rsidP="00880FE6">
      <w:r w:rsidRPr="00732AD7">
        <w:t>The file fee covers the costs of studying and opening a file.</w:t>
      </w:r>
    </w:p>
    <w:p w:rsidR="00880FE6" w:rsidRPr="00732AD7" w:rsidRDefault="00880FE6" w:rsidP="00880FE6">
      <w:r w:rsidRPr="00732AD7">
        <w:t>It is payable once only when files are submitted and is not refundable.</w:t>
      </w:r>
    </w:p>
    <w:p w:rsidR="00880FE6" w:rsidRPr="00732AD7" w:rsidRDefault="00880FE6" w:rsidP="00880FE6">
      <w:pPr>
        <w:tabs>
          <w:tab w:val="clear" w:pos="794"/>
          <w:tab w:val="clear" w:pos="1191"/>
          <w:tab w:val="clear" w:pos="1588"/>
          <w:tab w:val="clear" w:pos="1985"/>
        </w:tabs>
        <w:overflowPunct/>
        <w:autoSpaceDE/>
        <w:autoSpaceDN/>
        <w:adjustRightInd/>
        <w:spacing w:before="0"/>
        <w:jc w:val="left"/>
        <w:textAlignment w:val="auto"/>
        <w:rPr>
          <w:b/>
          <w:bCs/>
        </w:rPr>
      </w:pPr>
      <w:r w:rsidRPr="00732AD7">
        <w:rPr>
          <w:b/>
          <w:bCs/>
        </w:rPr>
        <w:br w:type="page"/>
      </w:r>
    </w:p>
    <w:p w:rsidR="00880FE6" w:rsidRPr="00732AD7" w:rsidRDefault="00880FE6" w:rsidP="00880FE6">
      <w:pPr>
        <w:rPr>
          <w:b/>
          <w:bCs/>
        </w:rPr>
      </w:pPr>
      <w:r w:rsidRPr="00732AD7">
        <w:rPr>
          <w:b/>
          <w:bCs/>
        </w:rPr>
        <w:lastRenderedPageBreak/>
        <w:t>Control fee</w:t>
      </w:r>
    </w:p>
    <w:p w:rsidR="00880FE6" w:rsidRPr="00732AD7" w:rsidRDefault="00880FE6" w:rsidP="00880FE6">
      <w:r w:rsidRPr="00732AD7">
        <w:t>The control fee represents the cost of controlling the operator’s or licensees’ equipment.</w:t>
      </w:r>
    </w:p>
    <w:p w:rsidR="00880FE6" w:rsidRPr="00732AD7" w:rsidRDefault="00880FE6" w:rsidP="00880FE6">
      <w:r w:rsidRPr="00732AD7">
        <w:t>It takes account of transmitter power or station type (relay or terminal). It is payable for the entire year, regardless of the date of bringing into service of network.</w:t>
      </w:r>
    </w:p>
    <w:p w:rsidR="00880FE6" w:rsidRPr="00732AD7" w:rsidRDefault="00880FE6" w:rsidP="00880FE6"/>
    <w:p w:rsidR="00880FE6" w:rsidRPr="00732AD7" w:rsidRDefault="00880FE6" w:rsidP="00880FE6">
      <w:pPr>
        <w:spacing w:before="0"/>
        <w:rPr>
          <w:b/>
          <w:bCs/>
        </w:rPr>
      </w:pPr>
      <w:r w:rsidRPr="00732AD7">
        <w:rPr>
          <w:b/>
          <w:bCs/>
        </w:rPr>
        <w:t>Contribution to offsetting management costs</w:t>
      </w:r>
    </w:p>
    <w:p w:rsidR="00880FE6" w:rsidRPr="00732AD7" w:rsidRDefault="00880FE6" w:rsidP="00880FE6">
      <w:r w:rsidRPr="00732AD7">
        <w:t>The contribution to offsetting management costs represents the fees related to management of the licence or network, for example in the case of settlement of disputes between operators or between operators and the public, and licence renewal.</w:t>
      </w:r>
    </w:p>
    <w:p w:rsidR="00880FE6" w:rsidRPr="00732AD7" w:rsidRDefault="00880FE6" w:rsidP="00880FE6">
      <w:r w:rsidRPr="00732AD7">
        <w:t>It is payable for the entire year regardless of the date on which the network is established. It is not refundable, and is calculated based on network size and coverage area (local, regional or national).</w:t>
      </w:r>
    </w:p>
    <w:p w:rsidR="00880FE6" w:rsidRPr="00732AD7" w:rsidRDefault="00880FE6" w:rsidP="00880FE6"/>
    <w:p w:rsidR="00880FE6" w:rsidRPr="00732AD7" w:rsidRDefault="00880FE6" w:rsidP="00880FE6">
      <w:pPr>
        <w:spacing w:before="0"/>
        <w:rPr>
          <w:b/>
          <w:bCs/>
        </w:rPr>
      </w:pPr>
      <w:r w:rsidRPr="00732AD7">
        <w:rPr>
          <w:b/>
          <w:bCs/>
        </w:rPr>
        <w:t>Radio frequency utilization fee</w:t>
      </w:r>
    </w:p>
    <w:p w:rsidR="00880FE6" w:rsidRPr="00732AD7" w:rsidRDefault="00880FE6" w:rsidP="00880FE6">
      <w:r w:rsidRPr="00732AD7">
        <w:t>This depends:</w:t>
      </w:r>
    </w:p>
    <w:p w:rsidR="00880FE6" w:rsidRPr="00732AD7" w:rsidRDefault="00880FE6" w:rsidP="00880FE6">
      <w:pPr>
        <w:pStyle w:val="enumlev1"/>
      </w:pPr>
      <w:r w:rsidRPr="00732AD7">
        <w:rPr>
          <w:rFonts w:eastAsia="SimSun"/>
        </w:rPr>
        <w:t>–</w:t>
      </w:r>
      <w:r w:rsidRPr="00732AD7">
        <w:rPr>
          <w:rFonts w:eastAsia="SimSun"/>
        </w:rPr>
        <w:tab/>
        <w:t>on the number of links establishable in the network or the network size, as for example in the</w:t>
      </w:r>
      <w:r w:rsidRPr="00732AD7">
        <w:t xml:space="preserve"> case of conventional networks, or</w:t>
      </w:r>
    </w:p>
    <w:p w:rsidR="00880FE6" w:rsidRPr="00732AD7" w:rsidRDefault="00880FE6" w:rsidP="00880FE6">
      <w:pPr>
        <w:pStyle w:val="enumlev1"/>
      </w:pPr>
      <w:r w:rsidRPr="00732AD7">
        <w:t>–</w:t>
      </w:r>
      <w:r w:rsidRPr="00732AD7">
        <w:tab/>
        <w:t>on the coverage area of the network, amount of spectrum allocated, number of channels, capacity or rate of the link, or</w:t>
      </w:r>
    </w:p>
    <w:p w:rsidR="00880FE6" w:rsidRPr="00732AD7" w:rsidRDefault="00880FE6" w:rsidP="00880FE6">
      <w:pPr>
        <w:pStyle w:val="enumlev1"/>
      </w:pPr>
      <w:r w:rsidRPr="00732AD7">
        <w:t>–</w:t>
      </w:r>
      <w:r w:rsidRPr="00732AD7">
        <w:tab/>
        <w:t>on tonnage in the case of fishing vessels.</w:t>
      </w:r>
    </w:p>
    <w:p w:rsidR="00880FE6" w:rsidRPr="00732AD7" w:rsidRDefault="00880FE6" w:rsidP="00880FE6">
      <w:pPr>
        <w:rPr>
          <w:b/>
          <w:bCs/>
        </w:rPr>
      </w:pPr>
    </w:p>
    <w:p w:rsidR="00880FE6" w:rsidRPr="00732AD7" w:rsidRDefault="00880FE6" w:rsidP="00880FE6">
      <w:pPr>
        <w:spacing w:before="0"/>
        <w:rPr>
          <w:b/>
          <w:bCs/>
        </w:rPr>
      </w:pPr>
      <w:r w:rsidRPr="00732AD7">
        <w:rPr>
          <w:b/>
          <w:bCs/>
        </w:rPr>
        <w:t>Radio sticker</w:t>
      </w:r>
    </w:p>
    <w:p w:rsidR="00880FE6" w:rsidRPr="00732AD7" w:rsidRDefault="00880FE6" w:rsidP="00880FE6">
      <w:r w:rsidRPr="00732AD7">
        <w:t>The sticker is a label affixed to radio equipment to identify stations authorized following controls.</w:t>
      </w:r>
    </w:p>
    <w:p w:rsidR="00880FE6" w:rsidRPr="00732AD7" w:rsidRDefault="00880FE6" w:rsidP="00880FE6">
      <w:r w:rsidRPr="00732AD7">
        <w:t>The cost of the sticker depends on the type of station (fixed, mobile, transportable).</w:t>
      </w:r>
    </w:p>
    <w:p w:rsidR="00880FE6" w:rsidRPr="00732AD7" w:rsidRDefault="00880FE6" w:rsidP="00880FE6">
      <w:pPr>
        <w:pStyle w:val="Heading1"/>
      </w:pPr>
      <w:bookmarkStart w:id="1175" w:name="_Toc280260066"/>
      <w:bookmarkStart w:id="1176" w:name="_Toc280260915"/>
      <w:bookmarkStart w:id="1177" w:name="_Toc280272527"/>
      <w:bookmarkStart w:id="1178" w:name="_Toc284414198"/>
      <w:bookmarkStart w:id="1179" w:name="_Toc286314942"/>
      <w:bookmarkStart w:id="1180" w:name="_Toc287523391"/>
      <w:r w:rsidRPr="00732AD7">
        <w:t>III</w:t>
      </w:r>
      <w:r w:rsidRPr="00732AD7">
        <w:tab/>
        <w:t>OTHER RADIO TAXES</w:t>
      </w:r>
      <w:bookmarkEnd w:id="1175"/>
      <w:bookmarkEnd w:id="1176"/>
      <w:bookmarkEnd w:id="1177"/>
      <w:bookmarkEnd w:id="1178"/>
      <w:bookmarkEnd w:id="1179"/>
      <w:bookmarkEnd w:id="1180"/>
    </w:p>
    <w:p w:rsidR="00880FE6" w:rsidRPr="00732AD7" w:rsidRDefault="00880FE6" w:rsidP="00880FE6">
      <w:r w:rsidRPr="00732AD7">
        <w:t>Over and above the radio fees charged every two months, the following charges are also levied:</w:t>
      </w:r>
    </w:p>
    <w:p w:rsidR="00880FE6" w:rsidRPr="00732AD7" w:rsidRDefault="00880FE6" w:rsidP="00880FE6">
      <w:pPr>
        <w:rPr>
          <w:b/>
          <w:bCs/>
        </w:rPr>
      </w:pPr>
    </w:p>
    <w:p w:rsidR="00880FE6" w:rsidRPr="00732AD7" w:rsidRDefault="00880FE6" w:rsidP="00880FE6">
      <w:pPr>
        <w:spacing w:before="0"/>
        <w:rPr>
          <w:b/>
          <w:bCs/>
        </w:rPr>
      </w:pPr>
      <w:r w:rsidRPr="00732AD7">
        <w:rPr>
          <w:b/>
          <w:bCs/>
        </w:rPr>
        <w:t>Type approval or authorization fees</w:t>
      </w:r>
    </w:p>
    <w:p w:rsidR="00880FE6" w:rsidRPr="00732AD7" w:rsidRDefault="00880FE6" w:rsidP="00880FE6">
      <w:r w:rsidRPr="00732AD7">
        <w:t>This is a fee charged when radio equipment is tested for conformity. Authorizations issued to radio equipment installers constitute proof of their competence to install radio equipment.</w:t>
      </w:r>
    </w:p>
    <w:p w:rsidR="00880FE6" w:rsidRPr="00732AD7" w:rsidRDefault="00880FE6" w:rsidP="00880FE6">
      <w:r w:rsidRPr="00732AD7">
        <w:t>Terminal equipment authorization and the approval of radio equipment installers give rise to payment of the following lump-sum, non-refundable fees:</w:t>
      </w:r>
    </w:p>
    <w:p w:rsidR="00880FE6" w:rsidRPr="00732AD7" w:rsidRDefault="00880FE6" w:rsidP="00880FE6">
      <w:pPr>
        <w:pStyle w:val="enumlev1"/>
      </w:pPr>
      <w:r w:rsidRPr="00732AD7">
        <w:t>1)</w:t>
      </w:r>
      <w:r w:rsidRPr="00732AD7">
        <w:tab/>
        <w:t>For equipment: a file fee and technical control fee per item of equipment.</w:t>
      </w:r>
    </w:p>
    <w:p w:rsidR="00880FE6" w:rsidRPr="00732AD7" w:rsidRDefault="00880FE6" w:rsidP="00880FE6">
      <w:pPr>
        <w:pStyle w:val="enumlev1"/>
      </w:pPr>
      <w:r w:rsidRPr="00732AD7">
        <w:t>2)</w:t>
      </w:r>
      <w:r w:rsidRPr="00732AD7">
        <w:tab/>
        <w:t>For installers: a file fee and authorization fee are charged when the authorization is delivered or renewed.</w:t>
      </w:r>
    </w:p>
    <w:p w:rsidR="00880FE6" w:rsidRPr="00732AD7" w:rsidRDefault="00880FE6" w:rsidP="00880FE6">
      <w:pPr>
        <w:rPr>
          <w:b/>
          <w:bCs/>
        </w:rPr>
      </w:pPr>
    </w:p>
    <w:p w:rsidR="00880FE6" w:rsidRPr="00732AD7" w:rsidRDefault="00880FE6" w:rsidP="00880FE6">
      <w:pPr>
        <w:spacing w:before="0"/>
        <w:rPr>
          <w:b/>
          <w:bCs/>
        </w:rPr>
      </w:pPr>
      <w:r w:rsidRPr="00732AD7">
        <w:rPr>
          <w:b/>
          <w:bCs/>
        </w:rPr>
        <w:t>Fee for handling complaints of interference</w:t>
      </w:r>
    </w:p>
    <w:p w:rsidR="00880FE6" w:rsidRPr="00732AD7" w:rsidRDefault="00880FE6" w:rsidP="00880FE6">
      <w:r w:rsidRPr="00732AD7">
        <w:t>This fee is charged to and paid by the licensees or concession holders at fault, and covers administrative costs or costs related to the interventions effected by the Agency's staff.</w:t>
      </w:r>
    </w:p>
    <w:p w:rsidR="00880FE6" w:rsidRPr="00732AD7" w:rsidRDefault="00880FE6" w:rsidP="00880FE6">
      <w:pPr>
        <w:rPr>
          <w:b/>
          <w:bCs/>
        </w:rPr>
      </w:pPr>
    </w:p>
    <w:p w:rsidR="00880FE6" w:rsidRPr="00732AD7" w:rsidRDefault="00880FE6" w:rsidP="00880FE6">
      <w:pPr>
        <w:spacing w:before="0"/>
        <w:rPr>
          <w:b/>
          <w:bCs/>
        </w:rPr>
      </w:pPr>
      <w:r w:rsidRPr="00732AD7">
        <w:rPr>
          <w:b/>
          <w:bCs/>
        </w:rPr>
        <w:t>Examination fees</w:t>
      </w:r>
    </w:p>
    <w:p w:rsidR="00880FE6" w:rsidRPr="00732AD7" w:rsidRDefault="00880FE6" w:rsidP="00880FE6">
      <w:r w:rsidRPr="00732AD7">
        <w:t>For the delivery of a radiotelegraph operator's certificate, radiotelephone operator's certificate or dual operator's certificate, examination fees are charged before the tests commence. Fees for the same amount are payable for the delivery of the certificate(s) to military operators.</w:t>
      </w:r>
    </w:p>
    <w:p w:rsidR="00880FE6" w:rsidRPr="00732AD7" w:rsidRDefault="00880FE6" w:rsidP="00880FE6">
      <w:r w:rsidRPr="00732AD7">
        <w:lastRenderedPageBreak/>
        <w:t xml:space="preserve">For the delivery, renewal or issue of a duplicate of an amateur, aircraft or ship station licence, and that of an operator's certificate, a lump-sum, non-refundable fee is charged. </w:t>
      </w:r>
    </w:p>
    <w:p w:rsidR="00880FE6" w:rsidRPr="00732AD7" w:rsidRDefault="00880FE6" w:rsidP="00880FE6">
      <w:pPr>
        <w:rPr>
          <w:b/>
          <w:bCs/>
        </w:rPr>
      </w:pPr>
    </w:p>
    <w:p w:rsidR="00880FE6" w:rsidRPr="00732AD7" w:rsidRDefault="00880FE6" w:rsidP="00880FE6">
      <w:pPr>
        <w:spacing w:before="0"/>
        <w:rPr>
          <w:b/>
          <w:bCs/>
        </w:rPr>
      </w:pPr>
      <w:r w:rsidRPr="00732AD7">
        <w:rPr>
          <w:b/>
          <w:bCs/>
        </w:rPr>
        <w:t>Intervention fees</w:t>
      </w:r>
    </w:p>
    <w:p w:rsidR="00880FE6" w:rsidRPr="00732AD7" w:rsidRDefault="00880FE6" w:rsidP="00880FE6">
      <w:r w:rsidRPr="00732AD7">
        <w:t>Exceptional fees incurred for the investigating interference caused to a regularly used radio frequency or due to the non-conformity of installations give rise to the payment of a lump-sum fee per intervention. This fee is payable by the owner of the station causing interference or of the non-complying installations.</w:t>
      </w:r>
    </w:p>
    <w:p w:rsidR="005F7F80" w:rsidRPr="00732AD7" w:rsidRDefault="005F7F80">
      <w:pPr>
        <w:tabs>
          <w:tab w:val="clear" w:pos="794"/>
          <w:tab w:val="clear" w:pos="1191"/>
          <w:tab w:val="clear" w:pos="1588"/>
          <w:tab w:val="clear" w:pos="1985"/>
        </w:tabs>
        <w:overflowPunct/>
        <w:autoSpaceDE/>
        <w:autoSpaceDN/>
        <w:adjustRightInd/>
        <w:spacing w:before="0"/>
        <w:jc w:val="left"/>
        <w:textAlignment w:val="auto"/>
      </w:pPr>
      <w:r w:rsidRPr="00732AD7">
        <w:br w:type="page"/>
      </w:r>
    </w:p>
    <w:p w:rsidR="00B73255" w:rsidRPr="0079454D" w:rsidRDefault="005A4E7D" w:rsidP="005A4E7D">
      <w:pPr>
        <w:pStyle w:val="AppendixNotitle"/>
        <w:rPr>
          <w:lang w:val="fr-FR"/>
        </w:rPr>
      </w:pPr>
      <w:bookmarkStart w:id="1181" w:name="_Toc280260916"/>
      <w:bookmarkStart w:id="1182" w:name="_Toc280272528"/>
      <w:bookmarkStart w:id="1183" w:name="_Toc284414199"/>
      <w:bookmarkStart w:id="1184" w:name="_Toc284499238"/>
      <w:bookmarkStart w:id="1185" w:name="_Toc287523392"/>
      <w:r w:rsidRPr="00E92FFB">
        <w:rPr>
          <w:lang w:val="fr-CH"/>
        </w:rPr>
        <w:lastRenderedPageBreak/>
        <w:t>Apé</w:t>
      </w:r>
      <w:r w:rsidR="000C3912" w:rsidRPr="00E92FFB">
        <w:rPr>
          <w:lang w:val="fr-CH"/>
        </w:rPr>
        <w:t>ndice 3.1</w:t>
      </w:r>
      <w:r w:rsidR="00811475" w:rsidRPr="00E92FFB">
        <w:rPr>
          <w:lang w:val="fr-CH"/>
        </w:rPr>
        <w:t xml:space="preserve"> (</w:t>
      </w:r>
      <w:r w:rsidRPr="00E92FFB">
        <w:rPr>
          <w:lang w:val="fr-CH"/>
        </w:rPr>
        <w:t>francés</w:t>
      </w:r>
      <w:r w:rsidR="00811475" w:rsidRPr="00E92FFB">
        <w:rPr>
          <w:lang w:val="fr-CH"/>
        </w:rPr>
        <w:t>)</w:t>
      </w:r>
      <w:r w:rsidR="00B73255" w:rsidRPr="00E92FFB">
        <w:rPr>
          <w:lang w:val="fr-CH"/>
        </w:rPr>
        <w:br/>
      </w:r>
      <w:r w:rsidR="00B73255" w:rsidRPr="00E92FFB">
        <w:rPr>
          <w:lang w:val="fr-CH"/>
        </w:rPr>
        <w:br/>
      </w:r>
      <w:r w:rsidR="00B73255" w:rsidRPr="0079454D">
        <w:rPr>
          <w:lang w:val="fr-FR"/>
        </w:rPr>
        <w:t>Exemple de système de redevances liées à l'utilisation</w:t>
      </w:r>
      <w:r w:rsidR="00B73255" w:rsidRPr="0079454D">
        <w:rPr>
          <w:lang w:val="fr-FR"/>
        </w:rPr>
        <w:br/>
        <w:t>des fréquences en Côte d'Ivoire</w:t>
      </w:r>
      <w:bookmarkEnd w:id="1181"/>
      <w:bookmarkEnd w:id="1182"/>
      <w:bookmarkEnd w:id="1183"/>
      <w:bookmarkEnd w:id="1184"/>
      <w:bookmarkEnd w:id="1185"/>
    </w:p>
    <w:p w:rsidR="005A4E7D" w:rsidRPr="0079454D" w:rsidRDefault="005A4E7D" w:rsidP="005A4E7D">
      <w:pPr>
        <w:pStyle w:val="Heading1"/>
        <w:rPr>
          <w:lang w:val="fr-FR"/>
        </w:rPr>
      </w:pPr>
      <w:bookmarkStart w:id="1186" w:name="_Toc280260917"/>
      <w:bookmarkStart w:id="1187" w:name="_Toc280272529"/>
      <w:bookmarkStart w:id="1188" w:name="_Toc284414200"/>
      <w:bookmarkStart w:id="1189" w:name="_Toc286314944"/>
      <w:bookmarkStart w:id="1190" w:name="_Toc287523393"/>
      <w:r w:rsidRPr="0079454D">
        <w:rPr>
          <w:lang w:val="fr-FR"/>
        </w:rPr>
        <w:t>I</w:t>
      </w:r>
      <w:r w:rsidRPr="0079454D">
        <w:rPr>
          <w:lang w:val="fr-FR"/>
        </w:rPr>
        <w:tab/>
        <w:t>INTRODUCTION</w:t>
      </w:r>
      <w:bookmarkEnd w:id="1186"/>
      <w:bookmarkEnd w:id="1187"/>
      <w:bookmarkEnd w:id="1188"/>
      <w:bookmarkEnd w:id="1189"/>
      <w:bookmarkEnd w:id="1190"/>
    </w:p>
    <w:p w:rsidR="005A4E7D" w:rsidRPr="0079454D" w:rsidRDefault="005A4E7D" w:rsidP="005A4E7D">
      <w:pPr>
        <w:rPr>
          <w:lang w:val="fr-FR"/>
        </w:rPr>
      </w:pPr>
      <w:r w:rsidRPr="0079454D">
        <w:rPr>
          <w:lang w:val="fr-FR"/>
        </w:rPr>
        <w:t>Il importe que l’administration trouve le moyen de garantir l’obtention de recettes suffisantes pour couvrir les coûts d’un programme effectif de gestion du spectre. Un financement judicieux de la gestion du spectre peut s’avérer décisif pour le succès de la mise en œuvre de nouveaux services utilisateurs du spectre, comme pour leur exploitation en l’absence d’un niveau de brouillage préjudiciable.</w:t>
      </w:r>
    </w:p>
    <w:p w:rsidR="005A4E7D" w:rsidRPr="0079454D" w:rsidRDefault="005A4E7D" w:rsidP="005A4E7D">
      <w:pPr>
        <w:rPr>
          <w:lang w:val="fr-FR"/>
        </w:rPr>
      </w:pPr>
      <w:r w:rsidRPr="0079454D">
        <w:rPr>
          <w:lang w:val="fr-FR"/>
        </w:rPr>
        <w:t>De plus, un programme de gestion nationale du spectre correctement financé, offre des possibilités aux fournisseurs de services et aux constructeurs d’équipements, contribuant ainsi largement à la croissance de l’économie.</w:t>
      </w:r>
    </w:p>
    <w:p w:rsidR="005A4E7D" w:rsidRPr="0079454D" w:rsidRDefault="005A4E7D" w:rsidP="005A4E7D">
      <w:pPr>
        <w:rPr>
          <w:lang w:val="fr-FR"/>
        </w:rPr>
      </w:pPr>
      <w:r w:rsidRPr="0079454D">
        <w:rPr>
          <w:lang w:val="fr-FR"/>
        </w:rPr>
        <w:t>En revanche, un financement inadéquat risque de faire échouer ou de retarder la mise en œuvre de précieux services de radiocommunications.</w:t>
      </w:r>
    </w:p>
    <w:p w:rsidR="005A4E7D" w:rsidRPr="0079454D" w:rsidRDefault="005A4E7D" w:rsidP="005A4E7D">
      <w:pPr>
        <w:rPr>
          <w:lang w:val="fr-FR"/>
        </w:rPr>
      </w:pPr>
      <w:r w:rsidRPr="0079454D">
        <w:rPr>
          <w:lang w:val="fr-FR"/>
        </w:rPr>
        <w:t>Pour faire face à ce financement, des taxes et des redevances au titre des licences sont prélevées auprès des utilisateurs du spectre. Elles sont fonction du degré d’utilisation du spectre et de l’avantage économique retiré de cette utilisation.</w:t>
      </w:r>
    </w:p>
    <w:p w:rsidR="005A4E7D" w:rsidRPr="0079454D" w:rsidRDefault="005A4E7D" w:rsidP="005A4E7D">
      <w:pPr>
        <w:pStyle w:val="Heading1"/>
        <w:rPr>
          <w:lang w:val="fr-FR"/>
        </w:rPr>
      </w:pPr>
      <w:bookmarkStart w:id="1191" w:name="_Toc280260918"/>
      <w:bookmarkStart w:id="1192" w:name="_Toc280272530"/>
      <w:bookmarkStart w:id="1193" w:name="_Toc284414201"/>
      <w:bookmarkStart w:id="1194" w:name="_Toc286314945"/>
      <w:bookmarkStart w:id="1195" w:name="_Toc287523394"/>
      <w:r w:rsidRPr="0079454D">
        <w:rPr>
          <w:lang w:val="fr-FR"/>
        </w:rPr>
        <w:t>II</w:t>
      </w:r>
      <w:r w:rsidRPr="0079454D">
        <w:rPr>
          <w:lang w:val="fr-FR"/>
        </w:rPr>
        <w:tab/>
        <w:t>SYSTEME DE FACTURATION DES RESEAUX RADIOEL</w:t>
      </w:r>
      <w:r w:rsidR="005B2D17" w:rsidRPr="0079454D">
        <w:rPr>
          <w:lang w:val="fr-FR"/>
        </w:rPr>
        <w:t>E</w:t>
      </w:r>
      <w:r w:rsidRPr="0079454D">
        <w:rPr>
          <w:lang w:val="fr-FR"/>
        </w:rPr>
        <w:t>CTRIQUES</w:t>
      </w:r>
      <w:bookmarkEnd w:id="1191"/>
      <w:bookmarkEnd w:id="1192"/>
      <w:bookmarkEnd w:id="1193"/>
      <w:bookmarkEnd w:id="1194"/>
      <w:bookmarkEnd w:id="1195"/>
    </w:p>
    <w:p w:rsidR="005A4E7D" w:rsidRPr="0079454D" w:rsidRDefault="005A4E7D" w:rsidP="005A4E7D">
      <w:pPr>
        <w:rPr>
          <w:lang w:val="fr-FR"/>
        </w:rPr>
      </w:pPr>
      <w:r w:rsidRPr="0079454D">
        <w:rPr>
          <w:lang w:val="fr-FR"/>
        </w:rPr>
        <w:t>La taxation en Côte d’Ivoire est fonction des éléments suivants:</w:t>
      </w:r>
    </w:p>
    <w:p w:rsidR="005A4E7D" w:rsidRPr="0079454D" w:rsidRDefault="005A4E7D" w:rsidP="005A4E7D">
      <w:pPr>
        <w:pStyle w:val="enumlev1"/>
        <w:rPr>
          <w:lang w:val="fr-FR"/>
        </w:rPr>
      </w:pPr>
      <w:r w:rsidRPr="0079454D">
        <w:rPr>
          <w:lang w:val="fr-FR"/>
        </w:rPr>
        <w:t>a)</w:t>
      </w:r>
      <w:r w:rsidRPr="0079454D">
        <w:rPr>
          <w:lang w:val="fr-FR"/>
        </w:rPr>
        <w:tab/>
        <w:t>la fréquence radioélectrique;</w:t>
      </w:r>
    </w:p>
    <w:p w:rsidR="005A4E7D" w:rsidRPr="0079454D" w:rsidRDefault="005A4E7D" w:rsidP="005A4E7D">
      <w:pPr>
        <w:pStyle w:val="enumlev1"/>
        <w:rPr>
          <w:lang w:val="fr-FR"/>
        </w:rPr>
      </w:pPr>
      <w:r w:rsidRPr="0079454D">
        <w:rPr>
          <w:lang w:val="fr-FR"/>
        </w:rPr>
        <w:t>b)</w:t>
      </w:r>
      <w:r w:rsidRPr="0079454D">
        <w:rPr>
          <w:lang w:val="fr-FR"/>
        </w:rPr>
        <w:tab/>
        <w:t>la quantité du spectre assignée, par exemple la largeur de bande;</w:t>
      </w:r>
    </w:p>
    <w:p w:rsidR="005A4E7D" w:rsidRPr="0079454D" w:rsidRDefault="005A4E7D" w:rsidP="005A4E7D">
      <w:pPr>
        <w:pStyle w:val="enumlev1"/>
        <w:rPr>
          <w:lang w:val="fr-FR"/>
        </w:rPr>
      </w:pPr>
      <w:r w:rsidRPr="0079454D">
        <w:rPr>
          <w:lang w:val="fr-FR"/>
        </w:rPr>
        <w:t>c)</w:t>
      </w:r>
      <w:r w:rsidRPr="0079454D">
        <w:rPr>
          <w:lang w:val="fr-FR"/>
        </w:rPr>
        <w:tab/>
        <w:t>les canaux ou les liaisons;</w:t>
      </w:r>
    </w:p>
    <w:p w:rsidR="005A4E7D" w:rsidRPr="0079454D" w:rsidRDefault="005A4E7D" w:rsidP="005A4E7D">
      <w:pPr>
        <w:pStyle w:val="enumlev1"/>
        <w:rPr>
          <w:lang w:val="fr-FR"/>
        </w:rPr>
      </w:pPr>
      <w:r w:rsidRPr="0079454D">
        <w:rPr>
          <w:lang w:val="fr-FR"/>
        </w:rPr>
        <w:t>d)</w:t>
      </w:r>
      <w:r w:rsidRPr="0079454D">
        <w:rPr>
          <w:lang w:val="fr-FR"/>
        </w:rPr>
        <w:tab/>
        <w:t>le niveau de charge des canaux (ou des liaisons), (débit binaire, capacité);</w:t>
      </w:r>
    </w:p>
    <w:p w:rsidR="005A4E7D" w:rsidRPr="0079454D" w:rsidRDefault="005A4E7D" w:rsidP="005A4E7D">
      <w:pPr>
        <w:pStyle w:val="enumlev1"/>
        <w:rPr>
          <w:lang w:val="fr-FR"/>
        </w:rPr>
      </w:pPr>
      <w:r w:rsidRPr="0079454D">
        <w:rPr>
          <w:lang w:val="fr-FR"/>
        </w:rPr>
        <w:t>e)</w:t>
      </w:r>
      <w:r w:rsidRPr="0079454D">
        <w:rPr>
          <w:lang w:val="fr-FR"/>
        </w:rPr>
        <w:tab/>
        <w:t>l’efficacité spectrale des équipements utilisés;</w:t>
      </w:r>
    </w:p>
    <w:p w:rsidR="005A4E7D" w:rsidRPr="0079454D" w:rsidRDefault="005A4E7D" w:rsidP="005A4E7D">
      <w:pPr>
        <w:pStyle w:val="enumlev1"/>
        <w:rPr>
          <w:lang w:val="fr-FR"/>
        </w:rPr>
      </w:pPr>
      <w:r w:rsidRPr="0079454D">
        <w:rPr>
          <w:lang w:val="fr-FR"/>
        </w:rPr>
        <w:t>f)</w:t>
      </w:r>
      <w:r w:rsidRPr="0079454D">
        <w:rPr>
          <w:lang w:val="fr-FR"/>
        </w:rPr>
        <w:tab/>
        <w:t>la puissance et la zone de couverture;</w:t>
      </w:r>
    </w:p>
    <w:p w:rsidR="005A4E7D" w:rsidRPr="0079454D" w:rsidRDefault="005A4E7D" w:rsidP="005A4E7D">
      <w:pPr>
        <w:pStyle w:val="enumlev1"/>
        <w:rPr>
          <w:lang w:val="fr-FR"/>
        </w:rPr>
      </w:pPr>
      <w:r w:rsidRPr="0079454D">
        <w:rPr>
          <w:lang w:val="fr-FR"/>
        </w:rPr>
        <w:t>g)</w:t>
      </w:r>
      <w:r w:rsidRPr="0079454D">
        <w:rPr>
          <w:lang w:val="fr-FR"/>
        </w:rPr>
        <w:tab/>
        <w:t>la nature de l’utilisation des fréquences (usage privé ou à des fins commerciales);</w:t>
      </w:r>
    </w:p>
    <w:p w:rsidR="005A4E7D" w:rsidRPr="0079454D" w:rsidRDefault="005A4E7D" w:rsidP="005A4E7D">
      <w:pPr>
        <w:pStyle w:val="enumlev1"/>
        <w:rPr>
          <w:lang w:val="fr-FR"/>
        </w:rPr>
      </w:pPr>
      <w:r w:rsidRPr="0079454D">
        <w:rPr>
          <w:lang w:val="fr-FR"/>
        </w:rPr>
        <w:t>h)</w:t>
      </w:r>
      <w:r w:rsidRPr="0079454D">
        <w:rPr>
          <w:lang w:val="fr-FR"/>
        </w:rPr>
        <w:tab/>
        <w:t>l’emplacement géographique.</w:t>
      </w:r>
    </w:p>
    <w:p w:rsidR="005A4E7D" w:rsidRPr="0079454D" w:rsidRDefault="005A4E7D" w:rsidP="005A4E7D">
      <w:pPr>
        <w:rPr>
          <w:lang w:val="fr-FR"/>
        </w:rPr>
      </w:pPr>
      <w:r w:rsidRPr="0079454D">
        <w:rPr>
          <w:lang w:val="fr-FR"/>
        </w:rPr>
        <w:t>Pour tenir compte de la complexité des opérations d’assignation des fréquences, les redevances sont calculées pour chaque type de licences.</w:t>
      </w:r>
    </w:p>
    <w:p w:rsidR="005A4E7D" w:rsidRPr="0079454D" w:rsidRDefault="005A4E7D" w:rsidP="005A4E7D">
      <w:pPr>
        <w:rPr>
          <w:lang w:val="fr-FR"/>
        </w:rPr>
      </w:pPr>
      <w:r w:rsidRPr="0079454D">
        <w:rPr>
          <w:lang w:val="fr-FR"/>
        </w:rPr>
        <w:t>Ainsi, la réglementation en Côte d’Ivoire (ordonnance 97-173 du 19 mars 1997) prévoit cinq (05) rubriques de facturation des différents réseaux radioélectriques qui sont:</w:t>
      </w:r>
    </w:p>
    <w:p w:rsidR="005A4E7D" w:rsidRPr="0079454D" w:rsidRDefault="005A4E7D" w:rsidP="005A4E7D">
      <w:pPr>
        <w:pStyle w:val="enumlev1"/>
        <w:rPr>
          <w:lang w:val="fr-FR"/>
        </w:rPr>
      </w:pPr>
      <w:r w:rsidRPr="0079454D">
        <w:rPr>
          <w:lang w:val="fr-FR"/>
        </w:rPr>
        <w:t>–</w:t>
      </w:r>
      <w:r w:rsidRPr="0079454D">
        <w:rPr>
          <w:lang w:val="fr-FR"/>
        </w:rPr>
        <w:tab/>
        <w:t>la taxe de constitution de dossier;</w:t>
      </w:r>
    </w:p>
    <w:p w:rsidR="005A4E7D" w:rsidRPr="0079454D" w:rsidRDefault="005A4E7D" w:rsidP="005A4E7D">
      <w:pPr>
        <w:pStyle w:val="enumlev1"/>
        <w:rPr>
          <w:lang w:val="fr-FR"/>
        </w:rPr>
      </w:pPr>
      <w:r w:rsidRPr="0079454D">
        <w:rPr>
          <w:lang w:val="fr-FR"/>
        </w:rPr>
        <w:t>–</w:t>
      </w:r>
      <w:r w:rsidRPr="0079454D">
        <w:rPr>
          <w:lang w:val="fr-FR"/>
        </w:rPr>
        <w:tab/>
        <w:t>la taxe de contrôle des stations radioélectriques;</w:t>
      </w:r>
    </w:p>
    <w:p w:rsidR="005A4E7D" w:rsidRPr="0079454D" w:rsidRDefault="005A4E7D" w:rsidP="005A4E7D">
      <w:pPr>
        <w:pStyle w:val="enumlev1"/>
        <w:rPr>
          <w:lang w:val="fr-FR"/>
        </w:rPr>
      </w:pPr>
      <w:r w:rsidRPr="0079454D">
        <w:rPr>
          <w:lang w:val="fr-FR"/>
        </w:rPr>
        <w:t>–</w:t>
      </w:r>
      <w:r w:rsidRPr="0079454D">
        <w:rPr>
          <w:lang w:val="fr-FR"/>
        </w:rPr>
        <w:tab/>
        <w:t>la contribution pour frais de gestion;</w:t>
      </w:r>
    </w:p>
    <w:p w:rsidR="005A4E7D" w:rsidRPr="0079454D" w:rsidRDefault="005A4E7D" w:rsidP="005A4E7D">
      <w:pPr>
        <w:pStyle w:val="enumlev1"/>
        <w:rPr>
          <w:lang w:val="fr-FR"/>
        </w:rPr>
      </w:pPr>
      <w:r w:rsidRPr="0079454D">
        <w:rPr>
          <w:lang w:val="fr-FR"/>
        </w:rPr>
        <w:t>–</w:t>
      </w:r>
      <w:r w:rsidRPr="0079454D">
        <w:rPr>
          <w:lang w:val="fr-FR"/>
        </w:rPr>
        <w:tab/>
        <w:t>la redevance due pour l'utilisation de fréquences radioélectriques;</w:t>
      </w:r>
    </w:p>
    <w:p w:rsidR="005A4E7D" w:rsidRPr="0079454D" w:rsidRDefault="005A4E7D" w:rsidP="005A4E7D">
      <w:pPr>
        <w:pStyle w:val="enumlev1"/>
        <w:rPr>
          <w:lang w:val="fr-FR"/>
        </w:rPr>
      </w:pPr>
      <w:r w:rsidRPr="0079454D">
        <w:rPr>
          <w:lang w:val="fr-FR"/>
        </w:rPr>
        <w:t>–</w:t>
      </w:r>
      <w:r w:rsidRPr="0079454D">
        <w:rPr>
          <w:lang w:val="fr-FR"/>
        </w:rPr>
        <w:tab/>
        <w:t>la taxe de vignette.</w:t>
      </w:r>
    </w:p>
    <w:p w:rsidR="005A4E7D" w:rsidRPr="0079454D" w:rsidRDefault="005A4E7D" w:rsidP="005A4E7D">
      <w:pPr>
        <w:rPr>
          <w:lang w:val="fr-FR"/>
        </w:rPr>
      </w:pPr>
      <w:r w:rsidRPr="0079454D">
        <w:rPr>
          <w:lang w:val="fr-FR"/>
        </w:rPr>
        <w:t>Tous les montants  sont fixés de façon forfaitaire.</w:t>
      </w:r>
    </w:p>
    <w:p w:rsidR="005A4E7D" w:rsidRPr="0079454D" w:rsidRDefault="005A4E7D" w:rsidP="005A4E7D">
      <w:pPr>
        <w:rPr>
          <w:lang w:val="fr-FR"/>
        </w:rPr>
      </w:pPr>
    </w:p>
    <w:p w:rsidR="005A4E7D" w:rsidRPr="0079454D" w:rsidRDefault="005A4E7D" w:rsidP="005A4E7D">
      <w:pPr>
        <w:spacing w:before="0"/>
        <w:rPr>
          <w:b/>
          <w:bCs/>
          <w:lang w:val="fr-FR"/>
        </w:rPr>
      </w:pPr>
      <w:r w:rsidRPr="0079454D">
        <w:rPr>
          <w:b/>
          <w:bCs/>
          <w:lang w:val="fr-FR"/>
        </w:rPr>
        <w:t>La taxe de constitution de dossier</w:t>
      </w:r>
    </w:p>
    <w:p w:rsidR="005A4E7D" w:rsidRPr="0079454D" w:rsidRDefault="005A4E7D" w:rsidP="005A4E7D">
      <w:pPr>
        <w:rPr>
          <w:lang w:val="fr-FR"/>
        </w:rPr>
      </w:pPr>
      <w:r w:rsidRPr="0079454D">
        <w:rPr>
          <w:lang w:val="fr-FR"/>
        </w:rPr>
        <w:t>La taxe de constitution constitue les frais d’études d’un dossier ou d’ouverture de dossier.</w:t>
      </w:r>
    </w:p>
    <w:p w:rsidR="005A4E7D" w:rsidRPr="0079454D" w:rsidRDefault="005A4E7D" w:rsidP="005A4E7D">
      <w:pPr>
        <w:rPr>
          <w:lang w:val="fr-FR"/>
        </w:rPr>
      </w:pPr>
      <w:r w:rsidRPr="0079454D">
        <w:rPr>
          <w:lang w:val="fr-FR"/>
        </w:rPr>
        <w:t>Elle est payable une seule fois lors du dépôt des dossiers et est non remboursable.</w:t>
      </w:r>
    </w:p>
    <w:p w:rsidR="005A4E7D" w:rsidRPr="0079454D" w:rsidRDefault="005A4E7D" w:rsidP="005A4E7D">
      <w:pPr>
        <w:tabs>
          <w:tab w:val="clear" w:pos="794"/>
          <w:tab w:val="clear" w:pos="1191"/>
          <w:tab w:val="clear" w:pos="1588"/>
          <w:tab w:val="clear" w:pos="1985"/>
        </w:tabs>
        <w:overflowPunct/>
        <w:autoSpaceDE/>
        <w:autoSpaceDN/>
        <w:adjustRightInd/>
        <w:spacing w:before="0"/>
        <w:jc w:val="left"/>
        <w:textAlignment w:val="auto"/>
        <w:rPr>
          <w:b/>
          <w:bCs/>
          <w:lang w:val="fr-FR"/>
        </w:rPr>
      </w:pPr>
      <w:r w:rsidRPr="0079454D">
        <w:rPr>
          <w:b/>
          <w:bCs/>
          <w:lang w:val="fr-FR"/>
        </w:rPr>
        <w:br w:type="page"/>
      </w:r>
    </w:p>
    <w:p w:rsidR="005A4E7D" w:rsidRPr="0079454D" w:rsidRDefault="005A4E7D" w:rsidP="005A4E7D">
      <w:pPr>
        <w:rPr>
          <w:b/>
          <w:bCs/>
          <w:lang w:val="fr-FR"/>
        </w:rPr>
      </w:pPr>
      <w:r w:rsidRPr="0079454D">
        <w:rPr>
          <w:b/>
          <w:bCs/>
          <w:lang w:val="fr-FR"/>
        </w:rPr>
        <w:lastRenderedPageBreak/>
        <w:t>La taxe de contrôle</w:t>
      </w:r>
    </w:p>
    <w:p w:rsidR="005A4E7D" w:rsidRPr="0079454D" w:rsidRDefault="005A4E7D" w:rsidP="005A4E7D">
      <w:pPr>
        <w:rPr>
          <w:lang w:val="fr-FR"/>
        </w:rPr>
      </w:pPr>
      <w:r w:rsidRPr="0079454D">
        <w:rPr>
          <w:lang w:val="fr-FR"/>
        </w:rPr>
        <w:t>La taxe de contrôle représente les frais de contrôle des équipements de l’opérateur ou des permissionnaires.</w:t>
      </w:r>
    </w:p>
    <w:p w:rsidR="005A4E7D" w:rsidRPr="0079454D" w:rsidRDefault="005A4E7D" w:rsidP="005A4E7D">
      <w:pPr>
        <w:rPr>
          <w:lang w:val="fr-FR"/>
        </w:rPr>
      </w:pPr>
      <w:r w:rsidRPr="0079454D">
        <w:rPr>
          <w:lang w:val="fr-FR"/>
        </w:rPr>
        <w:t>Elle tient compte de la puissance de l’émetteur ou du type de station (relais ou terminale). Elle est due pour l’année entière, quelque soit la date de mise en service du réseau.</w:t>
      </w:r>
    </w:p>
    <w:p w:rsidR="005A4E7D" w:rsidRPr="0079454D" w:rsidRDefault="005A4E7D" w:rsidP="005A4E7D">
      <w:pPr>
        <w:rPr>
          <w:lang w:val="fr-FR"/>
        </w:rPr>
      </w:pPr>
    </w:p>
    <w:p w:rsidR="005A4E7D" w:rsidRPr="0079454D" w:rsidRDefault="005A4E7D" w:rsidP="005A4E7D">
      <w:pPr>
        <w:spacing w:before="0"/>
        <w:rPr>
          <w:b/>
          <w:bCs/>
          <w:lang w:val="fr-FR"/>
        </w:rPr>
      </w:pPr>
      <w:r w:rsidRPr="0079454D">
        <w:rPr>
          <w:b/>
          <w:bCs/>
          <w:lang w:val="fr-FR"/>
        </w:rPr>
        <w:t>La contribution pour frais de gestion</w:t>
      </w:r>
    </w:p>
    <w:p w:rsidR="005A4E7D" w:rsidRPr="0079454D" w:rsidRDefault="005A4E7D" w:rsidP="005A4E7D">
      <w:pPr>
        <w:rPr>
          <w:lang w:val="fr-FR"/>
        </w:rPr>
      </w:pPr>
      <w:r w:rsidRPr="0079454D">
        <w:rPr>
          <w:lang w:val="fr-FR"/>
        </w:rPr>
        <w:t>La contribution pour frais de gestion représente les redevances liées à la gestion de la licence ou du réseau tels que le règlement des litiges entre operateurs ou entre opérateurs et  population, et le renouvellement de la licence.</w:t>
      </w:r>
    </w:p>
    <w:p w:rsidR="005A4E7D" w:rsidRPr="0079454D" w:rsidRDefault="005A4E7D" w:rsidP="005A4E7D">
      <w:pPr>
        <w:rPr>
          <w:lang w:val="fr-FR"/>
        </w:rPr>
      </w:pPr>
      <w:r w:rsidRPr="0079454D">
        <w:rPr>
          <w:lang w:val="fr-FR"/>
        </w:rPr>
        <w:t>Elle est due pour l’année entière quelque soit la date d’établissement du réseau. Elle est non remboursable et calculée en fonction de la taille du réseau et de la zone de couverture (locale, régionale ou nationale).</w:t>
      </w:r>
    </w:p>
    <w:p w:rsidR="005A4E7D" w:rsidRPr="0079454D" w:rsidRDefault="005A4E7D" w:rsidP="005A4E7D">
      <w:pPr>
        <w:rPr>
          <w:lang w:val="fr-FR"/>
        </w:rPr>
      </w:pPr>
    </w:p>
    <w:p w:rsidR="005A4E7D" w:rsidRPr="0079454D" w:rsidRDefault="005A4E7D" w:rsidP="005A4E7D">
      <w:pPr>
        <w:spacing w:before="0"/>
        <w:rPr>
          <w:b/>
          <w:bCs/>
          <w:lang w:val="fr-FR"/>
        </w:rPr>
      </w:pPr>
      <w:r w:rsidRPr="0079454D">
        <w:rPr>
          <w:b/>
          <w:bCs/>
          <w:lang w:val="fr-FR"/>
        </w:rPr>
        <w:t>La redevance due pour l’utilisation de fréquences radioélectriques</w:t>
      </w:r>
    </w:p>
    <w:p w:rsidR="005A4E7D" w:rsidRPr="0079454D" w:rsidRDefault="005A4E7D" w:rsidP="005A4E7D">
      <w:pPr>
        <w:rPr>
          <w:lang w:val="fr-FR"/>
        </w:rPr>
      </w:pPr>
      <w:r w:rsidRPr="0079454D">
        <w:rPr>
          <w:lang w:val="fr-FR"/>
        </w:rPr>
        <w:t>Elle dépend:</w:t>
      </w:r>
    </w:p>
    <w:p w:rsidR="005A4E7D" w:rsidRPr="0079454D" w:rsidRDefault="005A4E7D" w:rsidP="005A4E7D">
      <w:pPr>
        <w:pStyle w:val="enumlev1"/>
        <w:rPr>
          <w:lang w:val="fr-FR"/>
        </w:rPr>
      </w:pPr>
      <w:r w:rsidRPr="0079454D">
        <w:rPr>
          <w:lang w:val="fr-FR"/>
        </w:rPr>
        <w:t>–</w:t>
      </w:r>
      <w:r w:rsidRPr="0079454D">
        <w:rPr>
          <w:lang w:val="fr-FR"/>
        </w:rPr>
        <w:tab/>
        <w:t>soit du nombre de liaisons pouvant être établies dans le réseau ou de la taille du réseau, c’est le cas par exemple des réseaux conventionnels,</w:t>
      </w:r>
    </w:p>
    <w:p w:rsidR="005A4E7D" w:rsidRPr="0079454D" w:rsidRDefault="005A4E7D" w:rsidP="005A4E7D">
      <w:pPr>
        <w:pStyle w:val="enumlev1"/>
        <w:rPr>
          <w:lang w:val="fr-FR"/>
        </w:rPr>
      </w:pPr>
      <w:r w:rsidRPr="0079454D">
        <w:rPr>
          <w:lang w:val="fr-FR"/>
        </w:rPr>
        <w:t>–</w:t>
      </w:r>
      <w:r w:rsidRPr="0079454D">
        <w:rPr>
          <w:lang w:val="fr-FR"/>
        </w:rPr>
        <w:tab/>
        <w:t>soit de la zone de  couverture du réseau, de la quantité de spectre allouée ou du nombre de canaux ou de la capacité ou du débit de la liaison,</w:t>
      </w:r>
    </w:p>
    <w:p w:rsidR="005A4E7D" w:rsidRPr="0079454D" w:rsidRDefault="005A4E7D" w:rsidP="005A4E7D">
      <w:pPr>
        <w:pStyle w:val="enumlev1"/>
        <w:rPr>
          <w:lang w:val="fr-FR"/>
        </w:rPr>
      </w:pPr>
      <w:r w:rsidRPr="0079454D">
        <w:rPr>
          <w:lang w:val="fr-FR"/>
        </w:rPr>
        <w:t>–</w:t>
      </w:r>
      <w:r w:rsidRPr="0079454D">
        <w:rPr>
          <w:lang w:val="fr-FR"/>
        </w:rPr>
        <w:tab/>
        <w:t>soit du tonnage pour les navires de pêche.</w:t>
      </w:r>
    </w:p>
    <w:p w:rsidR="005A4E7D" w:rsidRPr="0079454D" w:rsidRDefault="005A4E7D" w:rsidP="005A4E7D">
      <w:pPr>
        <w:pStyle w:val="enumlev1"/>
        <w:rPr>
          <w:lang w:val="fr-FR"/>
        </w:rPr>
      </w:pPr>
    </w:p>
    <w:p w:rsidR="005A4E7D" w:rsidRPr="0079454D" w:rsidRDefault="005A4E7D" w:rsidP="005A4E7D">
      <w:pPr>
        <w:spacing w:before="0"/>
        <w:rPr>
          <w:b/>
          <w:bCs/>
          <w:lang w:val="fr-FR"/>
        </w:rPr>
      </w:pPr>
      <w:r w:rsidRPr="0079454D">
        <w:rPr>
          <w:b/>
          <w:bCs/>
          <w:lang w:val="fr-FR"/>
        </w:rPr>
        <w:t xml:space="preserve">La vignette radioélectrique </w:t>
      </w:r>
    </w:p>
    <w:p w:rsidR="005A4E7D" w:rsidRPr="0079454D" w:rsidRDefault="005A4E7D" w:rsidP="005A4E7D">
      <w:pPr>
        <w:rPr>
          <w:lang w:val="fr-FR"/>
        </w:rPr>
      </w:pPr>
      <w:r w:rsidRPr="0079454D">
        <w:rPr>
          <w:lang w:val="fr-FR"/>
        </w:rPr>
        <w:t>La vignette est un macaron apposé sur les équipements radio, qui a pour objet d’identifier les stations autorisées lors des contrôles.</w:t>
      </w:r>
    </w:p>
    <w:p w:rsidR="005A4E7D" w:rsidRPr="0079454D" w:rsidRDefault="005A4E7D" w:rsidP="005A4E7D">
      <w:pPr>
        <w:rPr>
          <w:lang w:val="fr-FR"/>
        </w:rPr>
      </w:pPr>
      <w:r w:rsidRPr="0079454D">
        <w:rPr>
          <w:lang w:val="fr-FR"/>
        </w:rPr>
        <w:t>Le montant de cette vignette varie en fonction du type de stations (postes fixes, mobiles ou portatifs).</w:t>
      </w:r>
    </w:p>
    <w:p w:rsidR="005A4E7D" w:rsidRPr="0079454D" w:rsidRDefault="005A4E7D" w:rsidP="005A4E7D">
      <w:pPr>
        <w:pStyle w:val="Heading1"/>
        <w:rPr>
          <w:lang w:val="fr-FR"/>
        </w:rPr>
      </w:pPr>
      <w:bookmarkStart w:id="1196" w:name="_Toc280260919"/>
      <w:bookmarkStart w:id="1197" w:name="_Toc280272531"/>
      <w:bookmarkStart w:id="1198" w:name="_Toc284414202"/>
      <w:bookmarkStart w:id="1199" w:name="_Toc286314946"/>
      <w:bookmarkStart w:id="1200" w:name="_Toc287523395"/>
      <w:r w:rsidRPr="0079454D">
        <w:rPr>
          <w:lang w:val="fr-FR"/>
        </w:rPr>
        <w:t>III</w:t>
      </w:r>
      <w:r w:rsidRPr="0079454D">
        <w:rPr>
          <w:lang w:val="fr-FR"/>
        </w:rPr>
        <w:tab/>
        <w:t>AUTRES TAXES RADIOELECTRIQUES</w:t>
      </w:r>
      <w:bookmarkEnd w:id="1196"/>
      <w:bookmarkEnd w:id="1197"/>
      <w:bookmarkEnd w:id="1198"/>
      <w:bookmarkEnd w:id="1199"/>
      <w:bookmarkEnd w:id="1200"/>
    </w:p>
    <w:p w:rsidR="005A4E7D" w:rsidRPr="0079454D" w:rsidRDefault="005A4E7D" w:rsidP="005A4E7D">
      <w:pPr>
        <w:rPr>
          <w:lang w:val="fr-FR"/>
        </w:rPr>
      </w:pPr>
      <w:r w:rsidRPr="0079454D">
        <w:rPr>
          <w:lang w:val="fr-FR"/>
        </w:rPr>
        <w:t>Outres les taxes radioélectriques perçues par bimestres, les impositions suivantes sont demandées:</w:t>
      </w:r>
    </w:p>
    <w:p w:rsidR="005A4E7D" w:rsidRPr="0079454D" w:rsidRDefault="005A4E7D" w:rsidP="005A4E7D">
      <w:pPr>
        <w:rPr>
          <w:lang w:val="fr-FR"/>
        </w:rPr>
      </w:pPr>
    </w:p>
    <w:p w:rsidR="005A4E7D" w:rsidRPr="0079454D" w:rsidRDefault="005A4E7D" w:rsidP="005A4E7D">
      <w:pPr>
        <w:spacing w:before="0"/>
        <w:rPr>
          <w:b/>
          <w:bCs/>
          <w:lang w:val="fr-FR"/>
        </w:rPr>
      </w:pPr>
      <w:r w:rsidRPr="0079454D">
        <w:rPr>
          <w:b/>
          <w:bCs/>
          <w:lang w:val="fr-FR"/>
        </w:rPr>
        <w:t>Taxes d’homologation ou d’agreement</w:t>
      </w:r>
    </w:p>
    <w:p w:rsidR="005A4E7D" w:rsidRPr="0079454D" w:rsidRDefault="005A4E7D" w:rsidP="005A4E7D">
      <w:pPr>
        <w:rPr>
          <w:lang w:val="fr-FR"/>
        </w:rPr>
      </w:pPr>
      <w:r w:rsidRPr="0079454D">
        <w:rPr>
          <w:lang w:val="fr-FR"/>
        </w:rPr>
        <w:t xml:space="preserve">Il s’agit d’une taxe perçue lors des tests effectués sur les équipements  radioélectriques afin de s’assurer de leur conformité. L’agrément délivré aux installateurs radioélectriques est une preuve de leur capacité à installer des équipements radioélectriques. </w:t>
      </w:r>
    </w:p>
    <w:p w:rsidR="005A4E7D" w:rsidRPr="0079454D" w:rsidRDefault="005A4E7D" w:rsidP="005A4E7D">
      <w:pPr>
        <w:rPr>
          <w:lang w:val="fr-FR"/>
        </w:rPr>
      </w:pPr>
      <w:r w:rsidRPr="0079454D">
        <w:rPr>
          <w:lang w:val="fr-FR"/>
        </w:rPr>
        <w:t>L'agrément des équipements terminaux et l'admission des installateurs en radiocommunications donnent lieu à la perception des taxes forfaitaires et non remboursables suivantes:</w:t>
      </w:r>
    </w:p>
    <w:p w:rsidR="005A4E7D" w:rsidRPr="0079454D" w:rsidRDefault="005A4E7D" w:rsidP="005A4E7D">
      <w:pPr>
        <w:pStyle w:val="enumlev1"/>
        <w:rPr>
          <w:lang w:val="fr-FR"/>
        </w:rPr>
      </w:pPr>
      <w:r w:rsidRPr="0079454D">
        <w:rPr>
          <w:lang w:val="fr-FR"/>
        </w:rPr>
        <w:t>1)</w:t>
      </w:r>
      <w:r w:rsidRPr="0079454D">
        <w:rPr>
          <w:lang w:val="fr-FR"/>
        </w:rPr>
        <w:tab/>
        <w:t>Pour les équipements: une taxe de constitution de dossier et une taxe de contrôle technique par équipement.</w:t>
      </w:r>
    </w:p>
    <w:p w:rsidR="005A4E7D" w:rsidRPr="0079454D" w:rsidRDefault="005A4E7D" w:rsidP="005A4E7D">
      <w:pPr>
        <w:pStyle w:val="enumlev1"/>
        <w:rPr>
          <w:lang w:val="fr-FR"/>
        </w:rPr>
      </w:pPr>
      <w:r w:rsidRPr="0079454D">
        <w:rPr>
          <w:lang w:val="fr-FR"/>
        </w:rPr>
        <w:t>2)</w:t>
      </w:r>
      <w:r w:rsidRPr="0079454D">
        <w:rPr>
          <w:lang w:val="fr-FR"/>
        </w:rPr>
        <w:tab/>
        <w:t>Pour les installateurs: une taxe de constitution de dossier et une taxe d'agrément sont perçues à la délivrance ou au renouvellement de l'autorisation.</w:t>
      </w:r>
    </w:p>
    <w:p w:rsidR="005A4E7D" w:rsidRPr="0079454D" w:rsidRDefault="005A4E7D" w:rsidP="005A4E7D">
      <w:pPr>
        <w:rPr>
          <w:b/>
          <w:bCs/>
          <w:lang w:val="fr-FR"/>
        </w:rPr>
      </w:pPr>
    </w:p>
    <w:p w:rsidR="005A4E7D" w:rsidRPr="0079454D" w:rsidRDefault="005A4E7D" w:rsidP="005A4E7D">
      <w:pPr>
        <w:spacing w:before="0"/>
        <w:rPr>
          <w:b/>
          <w:bCs/>
          <w:lang w:val="fr-FR"/>
        </w:rPr>
      </w:pPr>
      <w:r w:rsidRPr="0079454D">
        <w:rPr>
          <w:b/>
          <w:bCs/>
          <w:lang w:val="fr-FR"/>
        </w:rPr>
        <w:t>Taxe de traitement des plaintes pour brouillages</w:t>
      </w:r>
    </w:p>
    <w:p w:rsidR="005A4E7D" w:rsidRPr="0079454D" w:rsidRDefault="005A4E7D" w:rsidP="005A4E7D">
      <w:pPr>
        <w:rPr>
          <w:lang w:val="fr-FR"/>
        </w:rPr>
      </w:pPr>
      <w:r w:rsidRPr="0079454D">
        <w:rPr>
          <w:lang w:val="fr-FR"/>
        </w:rPr>
        <w:t xml:space="preserve">Il s’agit d’une taxe perçue et payée par les permissionnaires ou concessionnaires fautifs, qui couvre les frais administratifs ou liés au déplacement des agents de l’Agence. </w:t>
      </w:r>
    </w:p>
    <w:p w:rsidR="005A4E7D" w:rsidRPr="0079454D" w:rsidRDefault="005A4E7D" w:rsidP="005A4E7D">
      <w:pPr>
        <w:tabs>
          <w:tab w:val="clear" w:pos="794"/>
          <w:tab w:val="clear" w:pos="1191"/>
          <w:tab w:val="clear" w:pos="1588"/>
          <w:tab w:val="clear" w:pos="1985"/>
        </w:tabs>
        <w:overflowPunct/>
        <w:autoSpaceDE/>
        <w:autoSpaceDN/>
        <w:adjustRightInd/>
        <w:spacing w:before="0"/>
        <w:jc w:val="left"/>
        <w:textAlignment w:val="auto"/>
        <w:rPr>
          <w:b/>
          <w:bCs/>
          <w:lang w:val="fr-FR"/>
        </w:rPr>
      </w:pPr>
      <w:r w:rsidRPr="0079454D">
        <w:rPr>
          <w:b/>
          <w:bCs/>
          <w:lang w:val="fr-FR"/>
        </w:rPr>
        <w:br w:type="page"/>
      </w:r>
    </w:p>
    <w:p w:rsidR="005A4E7D" w:rsidRPr="0079454D" w:rsidRDefault="005A4E7D" w:rsidP="005A4E7D">
      <w:pPr>
        <w:rPr>
          <w:b/>
          <w:bCs/>
          <w:lang w:val="fr-FR"/>
        </w:rPr>
      </w:pPr>
      <w:r w:rsidRPr="0079454D">
        <w:rPr>
          <w:b/>
          <w:bCs/>
          <w:lang w:val="fr-FR"/>
        </w:rPr>
        <w:lastRenderedPageBreak/>
        <w:t>Droits d'examen</w:t>
      </w:r>
    </w:p>
    <w:p w:rsidR="005A4E7D" w:rsidRPr="0079454D" w:rsidRDefault="005A4E7D" w:rsidP="005A4E7D">
      <w:pPr>
        <w:rPr>
          <w:lang w:val="fr-FR"/>
        </w:rPr>
      </w:pPr>
      <w:r w:rsidRPr="0079454D">
        <w:rPr>
          <w:lang w:val="fr-FR"/>
        </w:rPr>
        <w:t>Pour l'obtention du certificat d'opérateur radiotélégraphiste, du certificat d'opérateur radiotéléphoniste ou du certificat comportant la double mention, des droits d'examen sont perçus avant le début des épreuves. Des droits de même montant sont dus pour la délivrance du ou desdits certificats aux titulaires d'une attestation militaire de capacité d'opérateur.</w:t>
      </w:r>
    </w:p>
    <w:p w:rsidR="005A4E7D" w:rsidRPr="0079454D" w:rsidRDefault="005A4E7D" w:rsidP="005A4E7D">
      <w:pPr>
        <w:rPr>
          <w:lang w:val="fr-FR"/>
        </w:rPr>
      </w:pPr>
      <w:r w:rsidRPr="0079454D">
        <w:rPr>
          <w:lang w:val="fr-FR"/>
        </w:rPr>
        <w:t>Lors de la délivrance, du renouvellement ou de l'établissement d'un duplicata de licence de station d'amateur, d'aéronef ou de navire, et d'un certificat d'opérateur, il est perçu une taxe forfaitaire et non remboursable.</w:t>
      </w:r>
    </w:p>
    <w:p w:rsidR="005A4E7D" w:rsidRPr="0079454D" w:rsidRDefault="005A4E7D" w:rsidP="005A4E7D">
      <w:pPr>
        <w:rPr>
          <w:b/>
          <w:bCs/>
          <w:lang w:val="fr-FR"/>
        </w:rPr>
      </w:pPr>
    </w:p>
    <w:p w:rsidR="005A4E7D" w:rsidRPr="0079454D" w:rsidRDefault="005A4E7D" w:rsidP="005A4E7D">
      <w:pPr>
        <w:spacing w:before="0"/>
        <w:rPr>
          <w:b/>
          <w:bCs/>
          <w:lang w:val="fr-FR"/>
        </w:rPr>
      </w:pPr>
      <w:r w:rsidRPr="0079454D">
        <w:rPr>
          <w:b/>
          <w:bCs/>
          <w:lang w:val="fr-FR"/>
        </w:rPr>
        <w:t>Taxes d'intervention</w:t>
      </w:r>
    </w:p>
    <w:p w:rsidR="005A4E7D" w:rsidRPr="0079454D" w:rsidRDefault="005A4E7D" w:rsidP="005A4E7D">
      <w:pPr>
        <w:rPr>
          <w:lang w:val="fr-FR"/>
        </w:rPr>
      </w:pPr>
      <w:r w:rsidRPr="0079454D">
        <w:rPr>
          <w:lang w:val="fr-FR"/>
        </w:rPr>
        <w:t xml:space="preserve">Les frais exceptionnels occasionnés pour le </w:t>
      </w:r>
      <w:r w:rsidR="0079454D" w:rsidRPr="0079454D">
        <w:rPr>
          <w:lang w:val="fr-FR"/>
        </w:rPr>
        <w:t>relèvement</w:t>
      </w:r>
      <w:r w:rsidRPr="0079454D">
        <w:rPr>
          <w:lang w:val="fr-FR"/>
        </w:rPr>
        <w:t xml:space="preserve"> du brouillage d'une fréquence radioélectrique régulièrement utilisée ou par la non conformité des installations donnent lieu au paiement d'une taxe forfaitaire par intervention. Cette taxe est due par le propriétaire de la station brouilleuse ou des Installations non conformes.</w:t>
      </w:r>
    </w:p>
    <w:p w:rsidR="00062CD6" w:rsidRPr="00E92FFB" w:rsidRDefault="00062CD6">
      <w:pPr>
        <w:tabs>
          <w:tab w:val="clear" w:pos="794"/>
          <w:tab w:val="clear" w:pos="1191"/>
          <w:tab w:val="clear" w:pos="1588"/>
          <w:tab w:val="clear" w:pos="1985"/>
        </w:tabs>
        <w:overflowPunct/>
        <w:autoSpaceDE/>
        <w:autoSpaceDN/>
        <w:adjustRightInd/>
        <w:spacing w:before="0"/>
        <w:jc w:val="left"/>
        <w:textAlignment w:val="auto"/>
        <w:rPr>
          <w:lang w:val="fr-CH"/>
        </w:rPr>
      </w:pPr>
      <w:r w:rsidRPr="00E92FFB">
        <w:rPr>
          <w:lang w:val="fr-CH"/>
        </w:rPr>
        <w:br w:type="page"/>
      </w:r>
    </w:p>
    <w:p w:rsidR="00A64A09" w:rsidRPr="00E92FFB" w:rsidRDefault="005E1FF4" w:rsidP="005E1FF4">
      <w:pPr>
        <w:pStyle w:val="AppendixNotitle"/>
        <w:rPr>
          <w:lang w:val="fr-CH"/>
        </w:rPr>
      </w:pPr>
      <w:bookmarkStart w:id="1201" w:name="_Toc280260067"/>
      <w:bookmarkStart w:id="1202" w:name="_Toc280260920"/>
      <w:bookmarkStart w:id="1203" w:name="_Toc280272532"/>
      <w:bookmarkStart w:id="1204" w:name="_Toc284414203"/>
      <w:bookmarkStart w:id="1205" w:name="_Toc284499242"/>
      <w:bookmarkStart w:id="1206" w:name="_Toc287523396"/>
      <w:r w:rsidRPr="00E92FFB">
        <w:rPr>
          <w:lang w:val="fr-CH"/>
        </w:rPr>
        <w:lastRenderedPageBreak/>
        <w:t>Apé</w:t>
      </w:r>
      <w:r w:rsidR="00CD2080" w:rsidRPr="00E92FFB">
        <w:rPr>
          <w:lang w:val="fr-CH"/>
        </w:rPr>
        <w:t>ndice</w:t>
      </w:r>
      <w:r w:rsidR="00ED6371" w:rsidRPr="00E92FFB">
        <w:rPr>
          <w:lang w:val="fr-CH"/>
        </w:rPr>
        <w:t xml:space="preserve"> 3.2</w:t>
      </w:r>
      <w:bookmarkEnd w:id="1201"/>
      <w:bookmarkEnd w:id="1202"/>
      <w:bookmarkEnd w:id="1203"/>
      <w:bookmarkEnd w:id="1204"/>
      <w:r w:rsidR="00CD2080" w:rsidRPr="00E92FFB">
        <w:rPr>
          <w:lang w:val="fr-CH"/>
        </w:rPr>
        <w:t xml:space="preserve"> (</w:t>
      </w:r>
      <w:r w:rsidRPr="00E92FFB">
        <w:rPr>
          <w:lang w:val="fr-CH"/>
        </w:rPr>
        <w:t>francés</w:t>
      </w:r>
      <w:r w:rsidR="00CD2080" w:rsidRPr="00E92FFB">
        <w:rPr>
          <w:lang w:val="fr-CH"/>
        </w:rPr>
        <w:t>)</w:t>
      </w:r>
      <w:bookmarkEnd w:id="1205"/>
      <w:bookmarkEnd w:id="1206"/>
    </w:p>
    <w:p w:rsidR="00AE0835" w:rsidRPr="00E92FFB" w:rsidRDefault="00AE0835" w:rsidP="00AE0835">
      <w:pPr>
        <w:pStyle w:val="Normalaftertitle"/>
        <w:rPr>
          <w:lang w:val="fr-CH"/>
        </w:rPr>
      </w:pPr>
      <w:bookmarkStart w:id="1207" w:name="_Toc280261075"/>
    </w:p>
    <w:p w:rsidR="008F67DB" w:rsidRPr="0079454D" w:rsidRDefault="008F67DB" w:rsidP="008F67DB">
      <w:pPr>
        <w:rPr>
          <w:lang w:val="fr-FR"/>
        </w:rPr>
      </w:pPr>
      <w:r w:rsidRPr="0079454D">
        <w:rPr>
          <w:lang w:val="fr-FR"/>
        </w:rPr>
        <w:t xml:space="preserve">ORDONNANCE N° 97/173 du 19 mars 1997 </w:t>
      </w:r>
    </w:p>
    <w:p w:rsidR="008F67DB" w:rsidRPr="0079454D" w:rsidRDefault="008F67DB" w:rsidP="008F67DB">
      <w:pPr>
        <w:rPr>
          <w:lang w:val="fr-FR"/>
        </w:rPr>
      </w:pPr>
    </w:p>
    <w:p w:rsidR="008F67DB" w:rsidRPr="0079454D" w:rsidRDefault="008F67DB" w:rsidP="008F67DB">
      <w:pPr>
        <w:rPr>
          <w:lang w:val="fr-FR"/>
        </w:rPr>
      </w:pPr>
      <w:r w:rsidRPr="0079454D">
        <w:rPr>
          <w:lang w:val="fr-FR"/>
        </w:rPr>
        <w:t xml:space="preserve">Relative aux droits, taxe et redevances sur les radiocommunications </w:t>
      </w:r>
    </w:p>
    <w:p w:rsidR="008F67DB" w:rsidRPr="0079454D" w:rsidRDefault="008F67DB" w:rsidP="008F67DB">
      <w:pPr>
        <w:rPr>
          <w:lang w:val="fr-FR"/>
        </w:rPr>
      </w:pPr>
    </w:p>
    <w:p w:rsidR="008F67DB" w:rsidRPr="0079454D" w:rsidRDefault="008F67DB" w:rsidP="008F67DB">
      <w:pPr>
        <w:pStyle w:val="CM10"/>
        <w:spacing w:after="300" w:line="303" w:lineRule="atLeast"/>
        <w:jc w:val="both"/>
        <w:rPr>
          <w:rFonts w:asciiTheme="majorBidi" w:hAnsiTheme="majorBidi" w:cstheme="majorBidi"/>
          <w:color w:val="000000"/>
          <w:lang w:val="fr-FR"/>
        </w:rPr>
      </w:pPr>
      <w:r w:rsidRPr="0079454D">
        <w:rPr>
          <w:rFonts w:asciiTheme="majorBidi" w:hAnsiTheme="majorBidi" w:cstheme="majorBidi"/>
          <w:b/>
          <w:bCs/>
          <w:color w:val="000000"/>
          <w:lang w:val="fr-FR"/>
        </w:rPr>
        <w:t xml:space="preserve">LE PRESIDENT DE LA REPUBLIQUE </w:t>
      </w:r>
    </w:p>
    <w:p w:rsidR="008F67DB" w:rsidRPr="0079454D" w:rsidRDefault="008F67DB" w:rsidP="008F67DB">
      <w:pPr>
        <w:rPr>
          <w:lang w:val="fr-FR"/>
        </w:rPr>
      </w:pPr>
      <w:r w:rsidRPr="0079454D">
        <w:rPr>
          <w:lang w:val="fr-FR"/>
        </w:rPr>
        <w:t xml:space="preserve">Sur rapport conjoint du Ministre de l’économie et des finances et du Ministre des infrastructures économiques; </w:t>
      </w:r>
    </w:p>
    <w:p w:rsidR="008F67DB" w:rsidRPr="0079454D" w:rsidRDefault="008F67DB" w:rsidP="008F67DB">
      <w:pPr>
        <w:rPr>
          <w:lang w:val="fr-FR"/>
        </w:rPr>
      </w:pPr>
      <w:r w:rsidRPr="0079454D">
        <w:rPr>
          <w:lang w:val="fr-FR"/>
        </w:rPr>
        <w:t>Vu la constitution;</w:t>
      </w:r>
    </w:p>
    <w:p w:rsidR="008F67DB" w:rsidRPr="0079454D" w:rsidRDefault="008F67DB" w:rsidP="008F67DB">
      <w:pPr>
        <w:rPr>
          <w:lang w:val="fr-FR"/>
        </w:rPr>
      </w:pPr>
      <w:r w:rsidRPr="0079454D">
        <w:rPr>
          <w:lang w:val="fr-FR"/>
        </w:rPr>
        <w:t xml:space="preserve">Vu la loi n° 95-526 du7 juillet 1995 portant Code des télécommunications; </w:t>
      </w:r>
    </w:p>
    <w:p w:rsidR="008F67DB" w:rsidRPr="0079454D" w:rsidRDefault="008F67DB" w:rsidP="008F67DB">
      <w:pPr>
        <w:rPr>
          <w:lang w:val="fr-FR"/>
        </w:rPr>
      </w:pPr>
      <w:r w:rsidRPr="0079454D">
        <w:rPr>
          <w:lang w:val="fr-FR"/>
        </w:rPr>
        <w:t xml:space="preserve">Vu le Décret n° 85-1089 du 16 octobre 1985 portant réglementation de la Radioélectricité privée en Côte d’Ivoire; </w:t>
      </w:r>
    </w:p>
    <w:p w:rsidR="008F67DB" w:rsidRPr="0079454D" w:rsidRDefault="008F67DB" w:rsidP="008F67DB">
      <w:pPr>
        <w:rPr>
          <w:lang w:val="fr-FR"/>
        </w:rPr>
      </w:pPr>
      <w:r w:rsidRPr="0079454D">
        <w:rPr>
          <w:lang w:val="fr-FR"/>
        </w:rPr>
        <w:t xml:space="preserve">Vu le Décret n° 95-554 du 19 juillet 1995 portant organisation et fonctionnement de l’Etablissement public de catégorie particulière dénommé Agence des télécommunications de Côte d’Ivoire; </w:t>
      </w:r>
    </w:p>
    <w:p w:rsidR="008F67DB" w:rsidRPr="0079454D" w:rsidRDefault="008F67DB" w:rsidP="008F67DB">
      <w:pPr>
        <w:rPr>
          <w:lang w:val="fr-FR"/>
        </w:rPr>
      </w:pPr>
      <w:r w:rsidRPr="0079454D">
        <w:rPr>
          <w:lang w:val="fr-FR"/>
        </w:rPr>
        <w:t xml:space="preserve">Vu le Décret n° 96-PR/002 du 26 janvier portant nomination des membres du gouvernement; tel que modifié par le décret n° 96-PR/10 du 10 août 1996; </w:t>
      </w:r>
    </w:p>
    <w:p w:rsidR="008F67DB" w:rsidRPr="0079454D" w:rsidRDefault="008F67DB" w:rsidP="008F67DB">
      <w:pPr>
        <w:rPr>
          <w:lang w:val="fr-FR"/>
        </w:rPr>
      </w:pPr>
      <w:r w:rsidRPr="0079454D">
        <w:rPr>
          <w:lang w:val="fr-FR"/>
        </w:rPr>
        <w:t>Vu le Décret n° 96-179 du 1</w:t>
      </w:r>
      <w:r w:rsidRPr="0079454D">
        <w:rPr>
          <w:vertAlign w:val="superscript"/>
          <w:lang w:val="fr-FR"/>
        </w:rPr>
        <w:t>er</w:t>
      </w:r>
      <w:r w:rsidRPr="0079454D">
        <w:rPr>
          <w:lang w:val="fr-FR"/>
        </w:rPr>
        <w:t xml:space="preserve"> mars 1996 portant attributions des membres du gouvernement; </w:t>
      </w:r>
    </w:p>
    <w:p w:rsidR="008F67DB" w:rsidRPr="0079454D" w:rsidRDefault="008F67DB" w:rsidP="008F67DB">
      <w:pPr>
        <w:pStyle w:val="heading0"/>
        <w:numPr>
          <w:ilvl w:val="0"/>
          <w:numId w:val="1"/>
        </w:numPr>
        <w:ind w:left="360" w:hanging="360"/>
        <w:rPr>
          <w:lang w:val="fr-FR"/>
        </w:rPr>
      </w:pPr>
      <w:r w:rsidRPr="0079454D">
        <w:rPr>
          <w:lang w:val="fr-FR"/>
        </w:rPr>
        <w:t xml:space="preserve">LE CONSEIL DES MINISTRES ENTENDU ORDONNE </w:t>
      </w:r>
    </w:p>
    <w:p w:rsidR="008F67DB" w:rsidRPr="0079454D" w:rsidRDefault="008F67DB" w:rsidP="008F67DB">
      <w:pPr>
        <w:pStyle w:val="ChapNo"/>
        <w:rPr>
          <w:lang w:val="fr-FR"/>
        </w:rPr>
      </w:pPr>
      <w:bookmarkStart w:id="1208" w:name="_Toc280261074"/>
      <w:r w:rsidRPr="0079454D">
        <w:rPr>
          <w:lang w:val="fr-FR"/>
        </w:rPr>
        <w:t>CHAPITRE 1</w:t>
      </w:r>
      <w:r w:rsidRPr="0079454D">
        <w:rPr>
          <w:lang w:val="fr-FR"/>
        </w:rPr>
        <w:br/>
      </w:r>
      <w:r w:rsidRPr="0079454D">
        <w:rPr>
          <w:lang w:val="fr-FR"/>
        </w:rPr>
        <w:br/>
        <w:t>DISPOSITIONS GENERALES:</w:t>
      </w:r>
      <w:r w:rsidRPr="0079454D">
        <w:rPr>
          <w:lang w:val="fr-FR"/>
        </w:rPr>
        <w:br/>
        <w:t>CHAMP D’APPLICATION</w:t>
      </w:r>
      <w:bookmarkEnd w:id="1208"/>
      <w:r w:rsidRPr="0079454D">
        <w:rPr>
          <w:lang w:val="fr-FR"/>
        </w:rPr>
        <w:t xml:space="preserve"> </w:t>
      </w:r>
    </w:p>
    <w:p w:rsidR="008F67DB" w:rsidRPr="0079454D" w:rsidRDefault="008F67DB" w:rsidP="008F67DB">
      <w:pPr>
        <w:rPr>
          <w:lang w:val="fr-FR"/>
        </w:rPr>
      </w:pPr>
      <w:r w:rsidRPr="0079454D">
        <w:rPr>
          <w:b/>
          <w:bCs/>
          <w:u w:val="single"/>
          <w:lang w:val="fr-FR"/>
        </w:rPr>
        <w:t>Article 1</w:t>
      </w:r>
      <w:r w:rsidRPr="0079454D">
        <w:rPr>
          <w:b/>
          <w:bCs/>
          <w:u w:val="single"/>
          <w:vertAlign w:val="superscript"/>
          <w:lang w:val="fr-FR"/>
        </w:rPr>
        <w:t>er</w:t>
      </w:r>
      <w:r w:rsidRPr="0079454D">
        <w:rPr>
          <w:lang w:val="fr-FR"/>
        </w:rPr>
        <w:t>:</w:t>
      </w:r>
      <w:r w:rsidRPr="0079454D">
        <w:rPr>
          <w:b/>
          <w:bCs/>
          <w:lang w:val="fr-FR"/>
        </w:rPr>
        <w:t xml:space="preserve"> </w:t>
      </w:r>
      <w:r w:rsidRPr="0079454D">
        <w:rPr>
          <w:lang w:val="fr-FR"/>
        </w:rPr>
        <w:t xml:space="preserve">Les dispositions qui vont suivre définissent les droits, taxes, redevances et contributions perçu par l’Agence des Télécommunications de Côte d’Ivoire(ATCI) et en fixent les montants. </w:t>
      </w:r>
    </w:p>
    <w:bookmarkEnd w:id="1207"/>
    <w:p w:rsidR="00186A43" w:rsidRPr="0079454D" w:rsidRDefault="00186A43" w:rsidP="00186A43">
      <w:pPr>
        <w:pStyle w:val="ChapNo"/>
        <w:rPr>
          <w:lang w:val="fr-FR"/>
        </w:rPr>
      </w:pPr>
      <w:r w:rsidRPr="0079454D">
        <w:rPr>
          <w:lang w:val="fr-FR"/>
        </w:rPr>
        <w:lastRenderedPageBreak/>
        <w:t>CHAPITRE II</w:t>
      </w:r>
    </w:p>
    <w:p w:rsidR="00186A43" w:rsidRPr="0079454D" w:rsidRDefault="00186A43" w:rsidP="00186A43">
      <w:pPr>
        <w:pStyle w:val="Chaptitle"/>
        <w:rPr>
          <w:lang w:val="fr-FR"/>
        </w:rPr>
      </w:pPr>
      <w:r w:rsidRPr="0079454D">
        <w:rPr>
          <w:lang w:val="fr-FR"/>
        </w:rPr>
        <w:t xml:space="preserve">TAXES REDEVANCES ET CONTRIBUTIONS APPLICABLE AUX RESEAUX ET STATIONS RADIOÉLECTRIQUES </w:t>
      </w:r>
    </w:p>
    <w:p w:rsidR="00186A43" w:rsidRPr="0079454D" w:rsidRDefault="00186A43" w:rsidP="00186A43">
      <w:pPr>
        <w:pStyle w:val="SectionNo"/>
        <w:rPr>
          <w:b/>
          <w:bCs/>
          <w:lang w:val="fr-FR"/>
        </w:rPr>
      </w:pPr>
      <w:bookmarkStart w:id="1209" w:name="_Toc280261076"/>
      <w:r w:rsidRPr="0079454D">
        <w:rPr>
          <w:lang w:val="fr-FR"/>
        </w:rPr>
        <w:t>SECTION 1</w:t>
      </w:r>
      <w:r w:rsidRPr="0079454D">
        <w:rPr>
          <w:lang w:val="fr-FR"/>
        </w:rPr>
        <w:br/>
      </w:r>
      <w:r w:rsidRPr="0079454D">
        <w:rPr>
          <w:lang w:val="fr-FR"/>
        </w:rPr>
        <w:br/>
      </w:r>
      <w:r w:rsidRPr="0079454D">
        <w:rPr>
          <w:b/>
          <w:bCs/>
          <w:caps w:val="0"/>
          <w:lang w:val="fr-FR"/>
        </w:rPr>
        <w:t>Réseaux radioélectriques des services fixes et mobiles, réseaux et stations terriennes des services fixes par satellite et mobile par satellite</w:t>
      </w:r>
      <w:bookmarkEnd w:id="1209"/>
    </w:p>
    <w:p w:rsidR="00186A43" w:rsidRPr="0079454D" w:rsidRDefault="00186A43" w:rsidP="00186A43">
      <w:pPr>
        <w:rPr>
          <w:lang w:val="fr-FR"/>
        </w:rPr>
      </w:pPr>
      <w:r w:rsidRPr="0079454D">
        <w:rPr>
          <w:b/>
          <w:bCs/>
          <w:u w:val="single"/>
          <w:lang w:val="fr-FR"/>
        </w:rPr>
        <w:t>Art.2</w:t>
      </w:r>
      <w:r w:rsidRPr="0079454D">
        <w:rPr>
          <w:lang w:val="fr-FR"/>
        </w:rPr>
        <w:t>: Les demandes ou les titulaires d’autorisation relatives à des réseaux radioélectriques des services fixes et mobiles de terre, ainsi qu’à des réseaux et stations terriennes des services fixes par satellite et mobiles par satellites sont assujettis au paiement des taxes, redevances et contributions Ci-après:</w:t>
      </w:r>
    </w:p>
    <w:p w:rsidR="00186A43" w:rsidRPr="0079454D" w:rsidRDefault="00186A43" w:rsidP="00186A43">
      <w:pPr>
        <w:pStyle w:val="enumlev1"/>
        <w:rPr>
          <w:lang w:val="fr-FR"/>
        </w:rPr>
      </w:pPr>
      <w:r w:rsidRPr="0079454D">
        <w:rPr>
          <w:lang w:val="fr-FR"/>
        </w:rPr>
        <w:t>–</w:t>
      </w:r>
      <w:r w:rsidRPr="0079454D">
        <w:rPr>
          <w:lang w:val="fr-FR"/>
        </w:rPr>
        <w:tab/>
        <w:t xml:space="preserve">la taxe de contribution de dossier; </w:t>
      </w:r>
    </w:p>
    <w:p w:rsidR="00186A43" w:rsidRPr="0079454D" w:rsidRDefault="00186A43" w:rsidP="00186A43">
      <w:pPr>
        <w:pStyle w:val="enumlev1"/>
        <w:rPr>
          <w:lang w:val="fr-FR"/>
        </w:rPr>
      </w:pPr>
      <w:r w:rsidRPr="0079454D">
        <w:rPr>
          <w:lang w:val="fr-FR"/>
        </w:rPr>
        <w:t>–</w:t>
      </w:r>
      <w:r w:rsidRPr="0079454D">
        <w:rPr>
          <w:lang w:val="fr-FR"/>
        </w:rPr>
        <w:tab/>
        <w:t xml:space="preserve">la taxe de contrôle des stations radioélectriques; </w:t>
      </w:r>
    </w:p>
    <w:p w:rsidR="00186A43" w:rsidRPr="0079454D" w:rsidRDefault="00186A43" w:rsidP="00186A43">
      <w:pPr>
        <w:pStyle w:val="enumlev1"/>
        <w:rPr>
          <w:lang w:val="fr-FR"/>
        </w:rPr>
      </w:pPr>
      <w:r w:rsidRPr="0079454D">
        <w:rPr>
          <w:lang w:val="fr-FR"/>
        </w:rPr>
        <w:t>–</w:t>
      </w:r>
      <w:r w:rsidRPr="0079454D">
        <w:rPr>
          <w:lang w:val="fr-FR"/>
        </w:rPr>
        <w:tab/>
        <w:t>la contribution par frais de gestion;</w:t>
      </w:r>
    </w:p>
    <w:p w:rsidR="00186A43" w:rsidRPr="0079454D" w:rsidRDefault="00186A43" w:rsidP="00186A43">
      <w:pPr>
        <w:pStyle w:val="enumlev1"/>
        <w:rPr>
          <w:lang w:val="fr-FR"/>
        </w:rPr>
      </w:pPr>
      <w:r w:rsidRPr="0079454D">
        <w:rPr>
          <w:lang w:val="fr-FR"/>
        </w:rPr>
        <w:t>–</w:t>
      </w:r>
      <w:r w:rsidRPr="0079454D">
        <w:rPr>
          <w:lang w:val="fr-FR"/>
        </w:rPr>
        <w:tab/>
        <w:t xml:space="preserve">la redevance due pour l’utilisation de fréquences radioélectriques. </w:t>
      </w:r>
    </w:p>
    <w:p w:rsidR="00186A43" w:rsidRPr="0079454D" w:rsidRDefault="00186A43" w:rsidP="00186A43">
      <w:pPr>
        <w:pStyle w:val="SectionNo"/>
        <w:rPr>
          <w:lang w:val="fr-FR"/>
        </w:rPr>
      </w:pPr>
      <w:bookmarkStart w:id="1210" w:name="_Toc280261077"/>
      <w:r w:rsidRPr="0079454D">
        <w:rPr>
          <w:lang w:val="fr-FR"/>
        </w:rPr>
        <w:t>SECTION II</w:t>
      </w:r>
      <w:r w:rsidRPr="0079454D">
        <w:rPr>
          <w:lang w:val="fr-FR"/>
        </w:rPr>
        <w:br/>
      </w:r>
      <w:r w:rsidRPr="0079454D">
        <w:rPr>
          <w:lang w:val="fr-FR"/>
        </w:rPr>
        <w:br/>
      </w:r>
      <w:r w:rsidR="0079454D">
        <w:rPr>
          <w:b/>
          <w:bCs/>
          <w:caps w:val="0"/>
          <w:lang w:val="fr-FR"/>
        </w:rPr>
        <w:t>S</w:t>
      </w:r>
      <w:r w:rsidRPr="0079454D">
        <w:rPr>
          <w:b/>
          <w:bCs/>
          <w:caps w:val="0"/>
          <w:lang w:val="fr-FR"/>
        </w:rPr>
        <w:t>tations terriennes de réception communautaire</w:t>
      </w:r>
      <w:bookmarkEnd w:id="1210"/>
    </w:p>
    <w:p w:rsidR="00186A43" w:rsidRPr="0079454D" w:rsidRDefault="00186A43" w:rsidP="00186A43">
      <w:pPr>
        <w:rPr>
          <w:lang w:val="fr-FR"/>
        </w:rPr>
      </w:pPr>
      <w:r w:rsidRPr="0079454D">
        <w:rPr>
          <w:b/>
          <w:bCs/>
          <w:u w:val="single"/>
          <w:lang w:val="fr-FR"/>
        </w:rPr>
        <w:t>Art.3</w:t>
      </w:r>
      <w:r w:rsidRPr="0079454D">
        <w:rPr>
          <w:lang w:val="fr-FR"/>
        </w:rPr>
        <w:t>: Les demandeurs ou les titulaires d’autorisations relatives à des installations de radiodiffusion pour la réception collective ou de réception aux fins de redistribution conformément à l’article 20 de la loi n° 95-526 du 07 Juillet 1995 portant Code des Télécommunications, sont soumis au paiement des taxes, redevances et contributions prévues à l’article 2 ci-dessus.</w:t>
      </w:r>
    </w:p>
    <w:p w:rsidR="00186A43" w:rsidRPr="0079454D" w:rsidRDefault="00186A43" w:rsidP="00186A43">
      <w:pPr>
        <w:pStyle w:val="SectionNo"/>
        <w:rPr>
          <w:b/>
          <w:bCs/>
          <w:lang w:val="fr-FR"/>
        </w:rPr>
      </w:pPr>
      <w:bookmarkStart w:id="1211" w:name="_Toc280261078"/>
      <w:r w:rsidRPr="0079454D">
        <w:rPr>
          <w:lang w:val="fr-FR"/>
        </w:rPr>
        <w:t>SECTION III</w:t>
      </w:r>
      <w:r w:rsidRPr="0079454D">
        <w:rPr>
          <w:lang w:val="fr-FR"/>
        </w:rPr>
        <w:br/>
      </w:r>
      <w:r w:rsidRPr="0079454D">
        <w:rPr>
          <w:lang w:val="fr-FR"/>
        </w:rPr>
        <w:br/>
      </w:r>
      <w:r w:rsidRPr="0079454D">
        <w:rPr>
          <w:b/>
          <w:bCs/>
          <w:caps w:val="0"/>
          <w:lang w:val="fr-FR"/>
        </w:rPr>
        <w:t>Station d’animateur</w:t>
      </w:r>
      <w:bookmarkEnd w:id="1211"/>
    </w:p>
    <w:p w:rsidR="00186A43" w:rsidRPr="0079454D" w:rsidRDefault="00186A43" w:rsidP="00186A43">
      <w:pPr>
        <w:rPr>
          <w:lang w:val="fr-FR"/>
        </w:rPr>
      </w:pPr>
      <w:r w:rsidRPr="0079454D">
        <w:rPr>
          <w:b/>
          <w:bCs/>
          <w:u w:val="single"/>
          <w:lang w:val="fr-FR"/>
        </w:rPr>
        <w:t>Art 4</w:t>
      </w:r>
      <w:r w:rsidRPr="0079454D">
        <w:rPr>
          <w:lang w:val="fr-FR"/>
        </w:rPr>
        <w:t xml:space="preserve">: Les demandeurs ou les titulaires d’autorisation relatives à des stations d’animateurs sont soumis au paiement des taxes ci-après: </w:t>
      </w:r>
    </w:p>
    <w:p w:rsidR="00186A43" w:rsidRPr="0079454D" w:rsidRDefault="00186A43" w:rsidP="00186A43">
      <w:pPr>
        <w:pStyle w:val="enumlev1"/>
        <w:rPr>
          <w:lang w:val="fr-FR"/>
        </w:rPr>
      </w:pPr>
      <w:r w:rsidRPr="0079454D">
        <w:rPr>
          <w:lang w:val="fr-FR"/>
        </w:rPr>
        <w:t>–</w:t>
      </w:r>
      <w:r w:rsidRPr="0079454D">
        <w:rPr>
          <w:lang w:val="fr-FR"/>
        </w:rPr>
        <w:tab/>
        <w:t>la taxe de constitution des dossiers;</w:t>
      </w:r>
    </w:p>
    <w:p w:rsidR="00186A43" w:rsidRPr="0079454D" w:rsidRDefault="00186A43" w:rsidP="00186A43">
      <w:pPr>
        <w:pStyle w:val="enumlev1"/>
        <w:rPr>
          <w:lang w:val="fr-FR"/>
        </w:rPr>
      </w:pPr>
      <w:r w:rsidRPr="0079454D">
        <w:rPr>
          <w:lang w:val="fr-FR"/>
        </w:rPr>
        <w:t>–</w:t>
      </w:r>
      <w:r w:rsidRPr="0079454D">
        <w:rPr>
          <w:lang w:val="fr-FR"/>
        </w:rPr>
        <w:tab/>
        <w:t>la taxe de visite et de contrôle des stations.</w:t>
      </w:r>
    </w:p>
    <w:p w:rsidR="00186A43" w:rsidRPr="0079454D" w:rsidRDefault="00186A43" w:rsidP="00186A43">
      <w:pPr>
        <w:pStyle w:val="SectionNo"/>
        <w:rPr>
          <w:lang w:val="fr-FR"/>
        </w:rPr>
      </w:pPr>
      <w:bookmarkStart w:id="1212" w:name="_Toc280261079"/>
      <w:r w:rsidRPr="0079454D">
        <w:rPr>
          <w:lang w:val="fr-FR"/>
        </w:rPr>
        <w:t>SECTION IV</w:t>
      </w:r>
      <w:bookmarkEnd w:id="1212"/>
    </w:p>
    <w:p w:rsidR="00186A43" w:rsidRPr="0079454D" w:rsidRDefault="00186A43" w:rsidP="00186A43">
      <w:pPr>
        <w:rPr>
          <w:lang w:val="fr-FR"/>
        </w:rPr>
      </w:pPr>
      <w:r w:rsidRPr="0079454D">
        <w:rPr>
          <w:lang w:val="fr-FR"/>
        </w:rPr>
        <w:t xml:space="preserve">Utilisation radioélectrique des services de terre, ainsi que les relations terriennes des services spatiaux, temporairement utilisées, donnent lieu à la perception des taxes redevances et contribution ci-après: </w:t>
      </w:r>
    </w:p>
    <w:p w:rsidR="00186A43" w:rsidRPr="0079454D" w:rsidRDefault="00186A43" w:rsidP="00186A43">
      <w:pPr>
        <w:pStyle w:val="SectionNo"/>
        <w:rPr>
          <w:lang w:val="fr-FR"/>
        </w:rPr>
      </w:pPr>
      <w:bookmarkStart w:id="1213" w:name="_Toc280261080"/>
      <w:r w:rsidRPr="0079454D">
        <w:rPr>
          <w:lang w:val="fr-FR"/>
        </w:rPr>
        <w:lastRenderedPageBreak/>
        <w:t>SECTION V</w:t>
      </w:r>
      <w:r w:rsidRPr="0079454D">
        <w:rPr>
          <w:lang w:val="fr-FR"/>
        </w:rPr>
        <w:br/>
      </w:r>
      <w:r w:rsidRPr="0079454D">
        <w:rPr>
          <w:lang w:val="fr-FR"/>
        </w:rPr>
        <w:br/>
      </w:r>
      <w:r w:rsidRPr="0079454D">
        <w:rPr>
          <w:b/>
          <w:bCs/>
          <w:caps w:val="0"/>
          <w:lang w:val="fr-FR"/>
        </w:rPr>
        <w:t>Emetteur-récepteur de faible puissance ou postes «CB»</w:t>
      </w:r>
      <w:bookmarkEnd w:id="1213"/>
    </w:p>
    <w:p w:rsidR="00186A43" w:rsidRPr="0079454D" w:rsidRDefault="00186A43" w:rsidP="00186A43">
      <w:pPr>
        <w:rPr>
          <w:lang w:val="fr-FR"/>
        </w:rPr>
      </w:pPr>
      <w:r w:rsidRPr="0079454D">
        <w:rPr>
          <w:b/>
          <w:bCs/>
          <w:u w:val="single"/>
          <w:lang w:val="fr-FR"/>
        </w:rPr>
        <w:t>Art. 6</w:t>
      </w:r>
      <w:r w:rsidRPr="0079454D">
        <w:rPr>
          <w:lang w:val="fr-FR"/>
        </w:rPr>
        <w:t xml:space="preserve">: L’utilisation de poste émetteur-récepteur fonctionnant sur les canaux banalisés, dits postes CH, est soumise au paiement d’une redevance forfaitaire, non remboursable au moment de la délivrance de l’autorisation. </w:t>
      </w:r>
    </w:p>
    <w:p w:rsidR="00186A43" w:rsidRPr="0079454D" w:rsidRDefault="00186A43" w:rsidP="00186A43">
      <w:pPr>
        <w:rPr>
          <w:lang w:val="fr-FR"/>
        </w:rPr>
      </w:pPr>
      <w:r w:rsidRPr="0079454D">
        <w:rPr>
          <w:lang w:val="fr-FR"/>
        </w:rPr>
        <w:t xml:space="preserve">Ne sont pas assujettis à cette redevance, les postes CH ayant au maximum 40 canaux fonctionnant exclusivement en modulation angulaire avec une puissance en crête de modulation de 4 watts maxima. </w:t>
      </w:r>
    </w:p>
    <w:p w:rsidR="00186A43" w:rsidRPr="0079454D" w:rsidRDefault="00186A43" w:rsidP="00186A43">
      <w:pPr>
        <w:pStyle w:val="SectionNo"/>
        <w:rPr>
          <w:b/>
          <w:bCs/>
          <w:lang w:val="fr-FR"/>
        </w:rPr>
      </w:pPr>
      <w:bookmarkStart w:id="1214" w:name="_Toc280261081"/>
      <w:r w:rsidRPr="0079454D">
        <w:rPr>
          <w:lang w:val="fr-FR"/>
        </w:rPr>
        <w:t>SECTION VI</w:t>
      </w:r>
      <w:r w:rsidRPr="0079454D">
        <w:rPr>
          <w:lang w:val="fr-FR"/>
        </w:rPr>
        <w:br/>
      </w:r>
      <w:r w:rsidRPr="0079454D">
        <w:rPr>
          <w:lang w:val="fr-FR"/>
        </w:rPr>
        <w:br/>
      </w:r>
      <w:r w:rsidRPr="0079454D">
        <w:rPr>
          <w:b/>
          <w:bCs/>
          <w:caps w:val="0"/>
          <w:lang w:val="fr-FR"/>
        </w:rPr>
        <w:t>Installation de radiocommunications de modèles réduits</w:t>
      </w:r>
      <w:bookmarkEnd w:id="1214"/>
    </w:p>
    <w:p w:rsidR="00186A43" w:rsidRPr="0079454D" w:rsidRDefault="00186A43" w:rsidP="00186A43">
      <w:pPr>
        <w:rPr>
          <w:lang w:val="fr-FR"/>
        </w:rPr>
      </w:pPr>
      <w:r w:rsidRPr="0079454D">
        <w:rPr>
          <w:b/>
          <w:bCs/>
          <w:u w:val="single"/>
          <w:lang w:val="fr-FR"/>
        </w:rPr>
        <w:t>Art. 7</w:t>
      </w:r>
      <w:r w:rsidRPr="0079454D">
        <w:rPr>
          <w:lang w:val="fr-FR"/>
        </w:rPr>
        <w:t>: L’utilisation de postes émetteurs de modèles réduits et d’une puissance n’excédant pas cinq (5) watts, destinés à la radiocommande, à l’exception de deux autorisés de plein droit, est soumise au paiement d’une redevance et non remboursable.</w:t>
      </w:r>
    </w:p>
    <w:p w:rsidR="00186A43" w:rsidRPr="0079454D" w:rsidRDefault="00186A43" w:rsidP="00186A43">
      <w:pPr>
        <w:pStyle w:val="SectionNo"/>
        <w:rPr>
          <w:lang w:val="fr-FR"/>
        </w:rPr>
      </w:pPr>
      <w:bookmarkStart w:id="1215" w:name="_Toc280261082"/>
      <w:r w:rsidRPr="0079454D">
        <w:rPr>
          <w:lang w:val="fr-FR"/>
        </w:rPr>
        <w:t>SECTION VII</w:t>
      </w:r>
      <w:r w:rsidRPr="0079454D">
        <w:rPr>
          <w:lang w:val="fr-FR"/>
        </w:rPr>
        <w:br/>
      </w:r>
      <w:r w:rsidRPr="0079454D">
        <w:rPr>
          <w:lang w:val="fr-FR"/>
        </w:rPr>
        <w:br/>
      </w:r>
      <w:r w:rsidRPr="0079454D">
        <w:rPr>
          <w:rFonts w:asciiTheme="majorBidi" w:hAnsiTheme="majorBidi" w:cstheme="majorBidi"/>
          <w:b/>
          <w:bCs/>
          <w:caps w:val="0"/>
          <w:lang w:val="fr-FR"/>
        </w:rPr>
        <w:t>Taux et modalités de paiement des droits, taxes et redevances radioélectriques</w:t>
      </w:r>
      <w:bookmarkEnd w:id="1215"/>
    </w:p>
    <w:p w:rsidR="00186A43" w:rsidRPr="0079454D" w:rsidRDefault="00186A43" w:rsidP="00186A43">
      <w:pPr>
        <w:rPr>
          <w:lang w:val="fr-FR"/>
        </w:rPr>
      </w:pPr>
      <w:r w:rsidRPr="0079454D">
        <w:rPr>
          <w:b/>
          <w:bCs/>
          <w:u w:val="single"/>
          <w:lang w:val="fr-FR"/>
        </w:rPr>
        <w:t>Art. 8</w:t>
      </w:r>
      <w:r w:rsidRPr="0079454D">
        <w:rPr>
          <w:lang w:val="fr-FR"/>
        </w:rPr>
        <w:t xml:space="preserve">: Les modalités de paiement des droits, taxes, redevances et contributions fixés dans les sections I à IV ci-dessus, sont les suivantes: </w:t>
      </w:r>
    </w:p>
    <w:p w:rsidR="00186A43" w:rsidRPr="0079454D" w:rsidRDefault="00186A43" w:rsidP="00186A43">
      <w:pPr>
        <w:pStyle w:val="enumlev1"/>
        <w:rPr>
          <w:lang w:val="fr-FR"/>
        </w:rPr>
      </w:pPr>
      <w:r w:rsidRPr="0079454D">
        <w:rPr>
          <w:lang w:val="fr-FR"/>
        </w:rPr>
        <w:t>–</w:t>
      </w:r>
      <w:r w:rsidRPr="0079454D">
        <w:rPr>
          <w:lang w:val="fr-FR"/>
        </w:rPr>
        <w:tab/>
        <w:t>la taxe de constitution de dossier, forfaitaire et non remboursable est due avant la délivrance de l’autorisation;</w:t>
      </w:r>
    </w:p>
    <w:p w:rsidR="00186A43" w:rsidRPr="0079454D" w:rsidRDefault="00186A43" w:rsidP="00186A43">
      <w:pPr>
        <w:pStyle w:val="enumlev1"/>
        <w:rPr>
          <w:lang w:val="fr-FR"/>
        </w:rPr>
      </w:pPr>
      <w:r w:rsidRPr="0079454D">
        <w:rPr>
          <w:lang w:val="fr-FR"/>
        </w:rPr>
        <w:t>–</w:t>
      </w:r>
      <w:r w:rsidRPr="0079454D">
        <w:rPr>
          <w:lang w:val="fr-FR"/>
        </w:rPr>
        <w:tab/>
        <w:t>la taxe de contrôle des stations et la contribution pour frais de gestion, perçues d’avance, sont dues pour l’année en cours et ne sont pas remboursables;</w:t>
      </w:r>
    </w:p>
    <w:p w:rsidR="00186A43" w:rsidRPr="0079454D" w:rsidRDefault="00186A43" w:rsidP="00186A43">
      <w:pPr>
        <w:pStyle w:val="enumlev1"/>
        <w:rPr>
          <w:lang w:val="fr-FR"/>
        </w:rPr>
      </w:pPr>
      <w:r w:rsidRPr="0079454D">
        <w:rPr>
          <w:lang w:val="fr-FR"/>
        </w:rPr>
        <w:t>–</w:t>
      </w:r>
      <w:r w:rsidRPr="0079454D">
        <w:rPr>
          <w:lang w:val="fr-FR"/>
        </w:rPr>
        <w:tab/>
        <w:t>la redevance due pour l’utilisation de fréquence radioélectrique est annuelle ; la première année à partir de la date de mise en service des stations, et les années suivantes à partir du 1</w:t>
      </w:r>
      <w:r w:rsidRPr="0079454D">
        <w:rPr>
          <w:vertAlign w:val="superscript"/>
          <w:lang w:val="fr-FR"/>
        </w:rPr>
        <w:t>er</w:t>
      </w:r>
      <w:r w:rsidRPr="0079454D">
        <w:rPr>
          <w:position w:val="12"/>
          <w:vertAlign w:val="superscript"/>
          <w:lang w:val="fr-FR"/>
        </w:rPr>
        <w:t xml:space="preserve"> </w:t>
      </w:r>
      <w:r w:rsidRPr="0079454D">
        <w:rPr>
          <w:lang w:val="fr-FR"/>
        </w:rPr>
        <w:t>janvier.</w:t>
      </w:r>
    </w:p>
    <w:p w:rsidR="00186A43" w:rsidRPr="0079454D" w:rsidRDefault="00186A43" w:rsidP="00186A43">
      <w:pPr>
        <w:rPr>
          <w:lang w:val="fr-FR"/>
        </w:rPr>
      </w:pPr>
      <w:r w:rsidRPr="0079454D">
        <w:rPr>
          <w:b/>
          <w:bCs/>
          <w:u w:val="single"/>
          <w:lang w:val="fr-FR"/>
        </w:rPr>
        <w:t>Art. 9</w:t>
      </w:r>
      <w:r w:rsidRPr="0079454D">
        <w:rPr>
          <w:lang w:val="fr-FR"/>
        </w:rPr>
        <w:t xml:space="preserve">: Le paiement des taxes et redevances est constaté par la délivrance de vignettes obligatoirement apposés sur les appareils, les véhicules et les navires de plaisance dans le cas des stations mobiles. </w:t>
      </w:r>
    </w:p>
    <w:p w:rsidR="00186A43" w:rsidRPr="0079454D" w:rsidRDefault="00186A43" w:rsidP="00186A43">
      <w:pPr>
        <w:pStyle w:val="ChapNo"/>
        <w:rPr>
          <w:lang w:val="fr-FR"/>
        </w:rPr>
      </w:pPr>
      <w:bookmarkStart w:id="1216" w:name="_Toc280261083"/>
      <w:r w:rsidRPr="0079454D">
        <w:rPr>
          <w:lang w:val="fr-FR"/>
        </w:rPr>
        <w:t>CHAPITRE III</w:t>
      </w:r>
      <w:r w:rsidRPr="0079454D">
        <w:rPr>
          <w:lang w:val="fr-FR"/>
        </w:rPr>
        <w:br/>
      </w:r>
      <w:r w:rsidRPr="0079454D">
        <w:rPr>
          <w:lang w:val="fr-FR"/>
        </w:rPr>
        <w:br/>
        <w:t>DROITS ET TAXES DIVERS</w:t>
      </w:r>
      <w:bookmarkEnd w:id="1216"/>
      <w:r w:rsidRPr="0079454D">
        <w:rPr>
          <w:lang w:val="fr-FR"/>
        </w:rPr>
        <w:t xml:space="preserve"> </w:t>
      </w:r>
    </w:p>
    <w:p w:rsidR="00186A43" w:rsidRPr="0079454D" w:rsidRDefault="00186A43" w:rsidP="00186A43">
      <w:pPr>
        <w:pStyle w:val="SectionNo"/>
        <w:rPr>
          <w:rFonts w:asciiTheme="majorBidi" w:hAnsiTheme="majorBidi" w:cstheme="majorBidi"/>
          <w:lang w:val="fr-FR"/>
        </w:rPr>
      </w:pPr>
      <w:bookmarkStart w:id="1217" w:name="_Toc280261084"/>
      <w:r w:rsidRPr="0079454D">
        <w:rPr>
          <w:lang w:val="fr-FR"/>
        </w:rPr>
        <w:t>SECTION I</w:t>
      </w:r>
      <w:r w:rsidRPr="0079454D">
        <w:rPr>
          <w:lang w:val="fr-FR"/>
        </w:rPr>
        <w:br/>
      </w:r>
      <w:r w:rsidRPr="0079454D">
        <w:rPr>
          <w:lang w:val="fr-FR"/>
        </w:rPr>
        <w:br/>
      </w:r>
      <w:r w:rsidRPr="0079454D">
        <w:rPr>
          <w:b/>
          <w:bCs/>
          <w:caps w:val="0"/>
          <w:lang w:val="fr-FR"/>
        </w:rPr>
        <w:t>Droits d’examen</w:t>
      </w:r>
      <w:bookmarkEnd w:id="1217"/>
    </w:p>
    <w:p w:rsidR="00186A43" w:rsidRPr="0079454D" w:rsidRDefault="00186A43" w:rsidP="00186A43">
      <w:pPr>
        <w:rPr>
          <w:lang w:val="fr-FR"/>
        </w:rPr>
      </w:pPr>
      <w:r w:rsidRPr="0079454D">
        <w:rPr>
          <w:b/>
          <w:bCs/>
          <w:u w:val="single"/>
          <w:lang w:val="fr-FR"/>
        </w:rPr>
        <w:t>Art. 10</w:t>
      </w:r>
      <w:r w:rsidRPr="0079454D">
        <w:rPr>
          <w:lang w:val="fr-FR"/>
        </w:rPr>
        <w:t xml:space="preserve">: Pour l’obtention du certificat d’opérateur radiotélégraphiste, du certificat d’opérateur radiotéléphonique ou du certificat comportant la double mention, des droits d’examen sont perçus avant le début des épreuves. Des droits de même montant sont dus pour la délivrance du ou desdits certificats aux titulaires d’une attestation militaire de capacité d’opérateur. </w:t>
      </w:r>
    </w:p>
    <w:p w:rsidR="00186A43" w:rsidRPr="0079454D" w:rsidRDefault="00186A43" w:rsidP="00186A43">
      <w:pPr>
        <w:rPr>
          <w:lang w:val="fr-FR"/>
        </w:rPr>
      </w:pPr>
      <w:r w:rsidRPr="0079454D">
        <w:rPr>
          <w:b/>
          <w:bCs/>
          <w:u w:val="single"/>
          <w:lang w:val="fr-FR"/>
        </w:rPr>
        <w:lastRenderedPageBreak/>
        <w:t>Art. 11</w:t>
      </w:r>
      <w:r w:rsidRPr="0079454D">
        <w:rPr>
          <w:lang w:val="fr-FR"/>
        </w:rPr>
        <w:t xml:space="preserve">: Lors de délivrance, du renouvellement ou de l’établissement d’un duplicata de licence de station d’amateur, d’aéronef ou de navire, et d’un certificat d’opérateur, il est perçu un droit forfaitaire et non remboursable. </w:t>
      </w:r>
    </w:p>
    <w:p w:rsidR="00186A43" w:rsidRPr="0079454D" w:rsidRDefault="00186A43" w:rsidP="00186A43">
      <w:pPr>
        <w:pStyle w:val="SectionNo"/>
        <w:rPr>
          <w:b/>
          <w:bCs/>
          <w:lang w:val="fr-FR"/>
        </w:rPr>
      </w:pPr>
      <w:bookmarkStart w:id="1218" w:name="_Toc280261085"/>
      <w:r w:rsidRPr="0079454D">
        <w:rPr>
          <w:lang w:val="fr-FR"/>
        </w:rPr>
        <w:t>SECTION II</w:t>
      </w:r>
      <w:r w:rsidRPr="0079454D">
        <w:rPr>
          <w:lang w:val="fr-FR"/>
        </w:rPr>
        <w:br/>
      </w:r>
      <w:r w:rsidRPr="0079454D">
        <w:rPr>
          <w:lang w:val="fr-FR"/>
        </w:rPr>
        <w:br/>
      </w:r>
      <w:r w:rsidRPr="0079454D">
        <w:rPr>
          <w:b/>
          <w:bCs/>
          <w:caps w:val="0"/>
          <w:lang w:val="fr-FR"/>
        </w:rPr>
        <w:t>Taxe d’intervention</w:t>
      </w:r>
      <w:bookmarkEnd w:id="1218"/>
      <w:r w:rsidRPr="0079454D">
        <w:rPr>
          <w:b/>
          <w:bCs/>
          <w:caps w:val="0"/>
          <w:lang w:val="fr-FR"/>
        </w:rPr>
        <w:t xml:space="preserve"> </w:t>
      </w:r>
    </w:p>
    <w:p w:rsidR="00186A43" w:rsidRPr="0079454D" w:rsidRDefault="00186A43" w:rsidP="00186A43">
      <w:pPr>
        <w:rPr>
          <w:lang w:val="fr-FR"/>
        </w:rPr>
      </w:pPr>
      <w:r w:rsidRPr="0079454D">
        <w:rPr>
          <w:b/>
          <w:bCs/>
          <w:u w:val="single"/>
          <w:lang w:val="fr-FR"/>
        </w:rPr>
        <w:t>Art. 12</w:t>
      </w:r>
      <w:r w:rsidRPr="0079454D">
        <w:rPr>
          <w:lang w:val="fr-FR"/>
        </w:rPr>
        <w:t xml:space="preserve">: Les frais exceptionnels occasionnés par le brouillage d’une fréquence radioélectrique régulièrement utilisée ou par la non-conformité des installations visées au chapitre II ci-dessus donnent lieu au paiement d’une contribution forfaitaire par intervention. Cette contribution est due par le propriétaire de la station brouille use ou des installations non conformes. </w:t>
      </w:r>
    </w:p>
    <w:p w:rsidR="00186A43" w:rsidRPr="0079454D" w:rsidRDefault="00186A43" w:rsidP="00186A43">
      <w:pPr>
        <w:pStyle w:val="SectionNo"/>
        <w:rPr>
          <w:b/>
          <w:bCs/>
          <w:lang w:val="fr-FR"/>
        </w:rPr>
      </w:pPr>
      <w:bookmarkStart w:id="1219" w:name="_Toc280261086"/>
      <w:r w:rsidRPr="0079454D">
        <w:rPr>
          <w:lang w:val="fr-FR"/>
        </w:rPr>
        <w:t xml:space="preserve">SECTION III </w:t>
      </w:r>
      <w:r w:rsidRPr="0079454D">
        <w:rPr>
          <w:lang w:val="fr-FR"/>
        </w:rPr>
        <w:br/>
      </w:r>
      <w:r w:rsidRPr="0079454D">
        <w:rPr>
          <w:lang w:val="fr-FR"/>
        </w:rPr>
        <w:br/>
      </w:r>
      <w:r w:rsidRPr="0079454D">
        <w:rPr>
          <w:b/>
          <w:bCs/>
          <w:caps w:val="0"/>
          <w:lang w:val="fr-FR"/>
        </w:rPr>
        <w:t>Taxe d’agrément</w:t>
      </w:r>
      <w:bookmarkEnd w:id="1219"/>
      <w:r w:rsidRPr="0079454D">
        <w:rPr>
          <w:b/>
          <w:bCs/>
          <w:caps w:val="0"/>
          <w:lang w:val="fr-FR"/>
        </w:rPr>
        <w:t xml:space="preserve"> </w:t>
      </w:r>
    </w:p>
    <w:p w:rsidR="00186A43" w:rsidRPr="0079454D" w:rsidRDefault="00186A43" w:rsidP="00186A43">
      <w:pPr>
        <w:rPr>
          <w:lang w:val="fr-FR"/>
        </w:rPr>
      </w:pPr>
      <w:r w:rsidRPr="0079454D">
        <w:rPr>
          <w:b/>
          <w:bCs/>
          <w:u w:val="single"/>
          <w:lang w:val="fr-FR"/>
        </w:rPr>
        <w:t>Art. 13</w:t>
      </w:r>
      <w:r w:rsidRPr="0079454D">
        <w:rPr>
          <w:lang w:val="fr-FR"/>
        </w:rPr>
        <w:t xml:space="preserve">: L’agrément des équipements terminaux et l’admission des installateurs en radiocommunications donnent lieu à </w:t>
      </w:r>
      <w:r w:rsidR="0079454D" w:rsidRPr="0079454D">
        <w:rPr>
          <w:lang w:val="fr-FR"/>
        </w:rPr>
        <w:t>la</w:t>
      </w:r>
      <w:r w:rsidRPr="0079454D">
        <w:rPr>
          <w:lang w:val="fr-FR"/>
        </w:rPr>
        <w:t xml:space="preserve"> perception des redevances forfaitaires et non remboursables suivantes: </w:t>
      </w:r>
    </w:p>
    <w:p w:rsidR="00186A43" w:rsidRPr="0079454D" w:rsidRDefault="00186A43" w:rsidP="00186A43">
      <w:pPr>
        <w:pStyle w:val="enumlev1"/>
        <w:rPr>
          <w:lang w:val="fr-FR"/>
        </w:rPr>
      </w:pPr>
      <w:r w:rsidRPr="0079454D">
        <w:rPr>
          <w:lang w:val="fr-FR"/>
        </w:rPr>
        <w:t>1)</w:t>
      </w:r>
      <w:r w:rsidRPr="0079454D">
        <w:rPr>
          <w:lang w:val="fr-FR"/>
        </w:rPr>
        <w:tab/>
      </w:r>
      <w:r w:rsidRPr="0079454D">
        <w:rPr>
          <w:b/>
          <w:bCs/>
          <w:lang w:val="fr-FR"/>
        </w:rPr>
        <w:t>Pour les équipements</w:t>
      </w:r>
      <w:r w:rsidRPr="0079454D">
        <w:rPr>
          <w:lang w:val="fr-FR"/>
        </w:rPr>
        <w:t xml:space="preserve">: une taxe de contribution de dossier et une taxe de dossier et une taxe contrôle technique par équipement. </w:t>
      </w:r>
    </w:p>
    <w:p w:rsidR="00186A43" w:rsidRPr="0079454D" w:rsidRDefault="00186A43" w:rsidP="00186A43">
      <w:pPr>
        <w:pStyle w:val="enumlev1"/>
        <w:rPr>
          <w:lang w:val="fr-FR"/>
        </w:rPr>
      </w:pPr>
      <w:r w:rsidRPr="0079454D">
        <w:rPr>
          <w:lang w:val="fr-FR"/>
        </w:rPr>
        <w:t>2)</w:t>
      </w:r>
      <w:r w:rsidRPr="0079454D">
        <w:rPr>
          <w:lang w:val="fr-FR"/>
        </w:rPr>
        <w:tab/>
      </w:r>
      <w:r w:rsidRPr="0079454D">
        <w:rPr>
          <w:b/>
          <w:bCs/>
          <w:lang w:val="fr-FR"/>
        </w:rPr>
        <w:t>Pour les installateurs</w:t>
      </w:r>
      <w:r w:rsidRPr="0079454D">
        <w:rPr>
          <w:lang w:val="fr-FR"/>
        </w:rPr>
        <w:t xml:space="preserve">: une taxe de constitution de dossier et une taxe d’agrément perçu à la délivrance ou au renouvellement de l’autorisation. </w:t>
      </w:r>
    </w:p>
    <w:p w:rsidR="00813681" w:rsidRPr="0079454D" w:rsidRDefault="00813681">
      <w:pPr>
        <w:tabs>
          <w:tab w:val="clear" w:pos="794"/>
          <w:tab w:val="clear" w:pos="1191"/>
          <w:tab w:val="clear" w:pos="1588"/>
          <w:tab w:val="clear" w:pos="1985"/>
        </w:tabs>
        <w:overflowPunct/>
        <w:autoSpaceDE/>
        <w:autoSpaceDN/>
        <w:adjustRightInd/>
        <w:spacing w:before="0"/>
        <w:jc w:val="left"/>
        <w:textAlignment w:val="auto"/>
        <w:rPr>
          <w:b/>
          <w:caps/>
          <w:sz w:val="28"/>
          <w:lang w:val="fr-FR"/>
        </w:rPr>
      </w:pPr>
      <w:r w:rsidRPr="0079454D">
        <w:rPr>
          <w:lang w:val="fr-FR"/>
        </w:rPr>
        <w:br w:type="page"/>
      </w:r>
    </w:p>
    <w:p w:rsidR="00EB6FC2" w:rsidRPr="0079454D" w:rsidRDefault="00EB6FC2" w:rsidP="00EB6FC2">
      <w:pPr>
        <w:pStyle w:val="ChapNo"/>
        <w:rPr>
          <w:lang w:val="fr-FR"/>
        </w:rPr>
      </w:pPr>
      <w:bookmarkStart w:id="1220" w:name="_Toc280261087"/>
      <w:r w:rsidRPr="0079454D">
        <w:rPr>
          <w:lang w:val="fr-FR"/>
        </w:rPr>
        <w:lastRenderedPageBreak/>
        <w:t>CHAPITRE IV</w:t>
      </w:r>
      <w:bookmarkEnd w:id="1220"/>
    </w:p>
    <w:p w:rsidR="00EB6FC2" w:rsidRPr="0079454D" w:rsidRDefault="00EB6FC2" w:rsidP="00EB6FC2">
      <w:pPr>
        <w:rPr>
          <w:lang w:val="fr-FR"/>
        </w:rPr>
      </w:pPr>
      <w:r w:rsidRPr="0079454D">
        <w:rPr>
          <w:b/>
          <w:bCs/>
          <w:u w:val="single"/>
          <w:lang w:val="fr-FR"/>
        </w:rPr>
        <w:t>Art. 14</w:t>
      </w:r>
      <w:r w:rsidRPr="0079454D">
        <w:rPr>
          <w:lang w:val="fr-FR"/>
        </w:rPr>
        <w:t>: Les montants des droits, taxes, redevances et contributions sont fixés comme suit:</w:t>
      </w:r>
    </w:p>
    <w:p w:rsidR="00EB6FC2" w:rsidRPr="0079454D" w:rsidRDefault="00EB6FC2" w:rsidP="00EB6FC2">
      <w:pPr>
        <w:pStyle w:val="Default"/>
        <w:rPr>
          <w:rFonts w:asciiTheme="majorBidi" w:hAnsiTheme="majorBidi" w:cstheme="majorBidi"/>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6"/>
        <w:gridCol w:w="1230"/>
        <w:gridCol w:w="1134"/>
        <w:gridCol w:w="1276"/>
        <w:gridCol w:w="1264"/>
      </w:tblGrid>
      <w:tr w:rsidR="00EB6FC2" w:rsidRPr="0079454D" w:rsidTr="003C5D6B">
        <w:trPr>
          <w:jc w:val="center"/>
        </w:trPr>
        <w:tc>
          <w:tcPr>
            <w:tcW w:w="4536" w:type="dxa"/>
          </w:tcPr>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B1. Régional (moyenne de 100km)</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 xml:space="preserve">B2. Réseau </w:t>
            </w:r>
            <w:r w:rsidR="0079454D" w:rsidRPr="0079454D">
              <w:rPr>
                <w:rFonts w:asciiTheme="majorBidi" w:hAnsiTheme="majorBidi" w:cstheme="majorBidi"/>
                <w:sz w:val="20"/>
                <w:szCs w:val="20"/>
                <w:lang w:val="fr-FR"/>
              </w:rPr>
              <w:t>interrégional</w:t>
            </w:r>
            <w:r w:rsidRPr="0079454D">
              <w:rPr>
                <w:rFonts w:asciiTheme="majorBidi" w:hAnsiTheme="majorBidi" w:cstheme="majorBidi"/>
                <w:sz w:val="20"/>
                <w:szCs w:val="20"/>
                <w:lang w:val="fr-FR"/>
              </w:rPr>
              <w:t xml:space="preserve"> (moyenne</w:t>
            </w:r>
            <w:r w:rsidRPr="0079454D">
              <w:rPr>
                <w:rFonts w:asciiTheme="majorBidi" w:hAnsiTheme="majorBidi" w:cstheme="majorBidi"/>
                <w:sz w:val="20"/>
                <w:szCs w:val="20"/>
                <w:lang w:val="fr-FR"/>
              </w:rPr>
              <w:br/>
              <w:t>de 250 km)</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B3. Réseau national (moyenne de 500 km)</w:t>
            </w:r>
          </w:p>
          <w:p w:rsidR="00EB6FC2" w:rsidRPr="0079454D" w:rsidRDefault="00EB6FC2" w:rsidP="003C5D6B">
            <w:pPr>
              <w:pStyle w:val="Default"/>
              <w:spacing w:before="60" w:after="60"/>
              <w:rPr>
                <w:rFonts w:asciiTheme="majorBidi" w:hAnsiTheme="majorBidi" w:cstheme="majorBidi"/>
                <w:sz w:val="20"/>
                <w:szCs w:val="20"/>
                <w:lang w:val="fr-FR"/>
              </w:rPr>
            </w:pP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C1. Réseau comportant moins de 5 stations</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C2. Réseau de 5 à 10 stations</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C3. Réseau de plus de 10 stations</w:t>
            </w:r>
          </w:p>
          <w:p w:rsidR="00EB6FC2" w:rsidRPr="0079454D" w:rsidRDefault="00EB6FC2" w:rsidP="003C5D6B">
            <w:pPr>
              <w:pStyle w:val="Default"/>
              <w:spacing w:before="60" w:after="60"/>
              <w:rPr>
                <w:rFonts w:asciiTheme="majorBidi" w:hAnsiTheme="majorBidi" w:cstheme="majorBidi"/>
                <w:sz w:val="20"/>
                <w:szCs w:val="20"/>
                <w:lang w:val="fr-FR"/>
              </w:rPr>
            </w:pP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1.3 Réseau de radio recherche/ radiomessagerie (paging) largeur du canal = 12,5 KHz</w:t>
            </w:r>
          </w:p>
          <w:p w:rsidR="00EB6FC2" w:rsidRPr="0079454D" w:rsidRDefault="00EB6FC2" w:rsidP="003C5D6B">
            <w:pPr>
              <w:pStyle w:val="Default"/>
              <w:spacing w:before="60" w:after="60"/>
              <w:rPr>
                <w:rFonts w:asciiTheme="majorBidi" w:hAnsiTheme="majorBidi" w:cstheme="majorBidi"/>
                <w:sz w:val="20"/>
                <w:szCs w:val="20"/>
                <w:lang w:val="fr-FR"/>
              </w:rPr>
            </w:pP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A1. Réseau local (urbain)</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A2. Réseau régional (interurbain)</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A3. Réseau national</w:t>
            </w:r>
          </w:p>
          <w:p w:rsidR="00EB6FC2" w:rsidRPr="0079454D" w:rsidRDefault="00EB6FC2" w:rsidP="003C5D6B">
            <w:pPr>
              <w:pStyle w:val="Default"/>
              <w:spacing w:before="60" w:after="60"/>
              <w:rPr>
                <w:rFonts w:asciiTheme="majorBidi" w:hAnsiTheme="majorBidi" w:cstheme="majorBidi"/>
                <w:sz w:val="20"/>
                <w:szCs w:val="20"/>
                <w:lang w:val="fr-FR"/>
              </w:rPr>
            </w:pP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B1. Station de base</w:t>
            </w:r>
          </w:p>
          <w:p w:rsidR="00EB6FC2" w:rsidRPr="0079454D" w:rsidRDefault="00EB6FC2" w:rsidP="003C5D6B">
            <w:pPr>
              <w:pStyle w:val="Default"/>
              <w:spacing w:before="60" w:after="60"/>
              <w:rPr>
                <w:rFonts w:asciiTheme="majorBidi" w:hAnsiTheme="majorBidi" w:cstheme="majorBidi"/>
                <w:sz w:val="20"/>
                <w:szCs w:val="20"/>
                <w:lang w:val="fr-FR"/>
              </w:rPr>
            </w:pP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C1. Fréquence disponible localement</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C2. Fréquence disponible au plan régional</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C3. Fréquence sur l’ensemble du territoire national</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14. Réseau à ressources partagées (trunking) (largeur du canal = 12,5 KHZ)</w:t>
            </w:r>
          </w:p>
          <w:p w:rsidR="00EB6FC2" w:rsidRPr="0079454D" w:rsidRDefault="00EB6FC2" w:rsidP="003C5D6B">
            <w:pPr>
              <w:pStyle w:val="Default"/>
              <w:spacing w:before="60" w:after="60"/>
              <w:rPr>
                <w:rFonts w:asciiTheme="majorBidi" w:hAnsiTheme="majorBidi" w:cstheme="majorBidi"/>
                <w:sz w:val="20"/>
                <w:szCs w:val="20"/>
                <w:lang w:val="fr-FR"/>
              </w:rPr>
            </w:pP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A1. Réseau local (urbain)</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A2. Réseau interurbain</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A3. Réseau national</w:t>
            </w:r>
          </w:p>
          <w:p w:rsidR="00EB6FC2" w:rsidRPr="0079454D" w:rsidRDefault="00EB6FC2" w:rsidP="003C5D6B">
            <w:pPr>
              <w:pStyle w:val="Default"/>
              <w:spacing w:before="60" w:after="60"/>
              <w:rPr>
                <w:rFonts w:asciiTheme="majorBidi" w:hAnsiTheme="majorBidi" w:cstheme="majorBidi"/>
                <w:sz w:val="20"/>
                <w:szCs w:val="20"/>
                <w:lang w:val="fr-FR"/>
              </w:rPr>
            </w:pP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B1. Station de base</w:t>
            </w:r>
          </w:p>
          <w:p w:rsidR="00EB6FC2" w:rsidRPr="0079454D" w:rsidRDefault="00EB6FC2" w:rsidP="003C5D6B">
            <w:pPr>
              <w:pStyle w:val="Default"/>
              <w:spacing w:before="60" w:after="60"/>
              <w:rPr>
                <w:rFonts w:asciiTheme="majorBidi" w:hAnsiTheme="majorBidi" w:cstheme="majorBidi"/>
                <w:sz w:val="20"/>
                <w:szCs w:val="20"/>
                <w:lang w:val="fr-FR"/>
              </w:rPr>
            </w:pP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C1. Canal duplex disponible localement</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C2. Canal duplex disponible</w:t>
            </w:r>
          </w:p>
          <w:p w:rsidR="00EB6FC2" w:rsidRPr="0079454D" w:rsidRDefault="00EB6FC2" w:rsidP="003C5D6B">
            <w:pPr>
              <w:pStyle w:val="Default"/>
              <w:spacing w:before="60" w:after="60"/>
              <w:rPr>
                <w:rFonts w:asciiTheme="majorBidi" w:hAnsiTheme="majorBidi" w:cstheme="majorBidi"/>
                <w:sz w:val="20"/>
                <w:szCs w:val="20"/>
                <w:lang w:val="fr-FR"/>
              </w:rPr>
            </w:pPr>
            <w:r w:rsidRPr="0079454D">
              <w:rPr>
                <w:rFonts w:asciiTheme="majorBidi" w:hAnsiTheme="majorBidi" w:cstheme="majorBidi"/>
                <w:sz w:val="20"/>
                <w:szCs w:val="20"/>
                <w:lang w:val="fr-FR"/>
              </w:rPr>
              <w:t xml:space="preserve">C3. Canal duplex disponible sur l’ensemble du territoire national </w:t>
            </w:r>
          </w:p>
        </w:tc>
        <w:tc>
          <w:tcPr>
            <w:tcW w:w="1230" w:type="dxa"/>
          </w:tcPr>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br/>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br/>
            </w:r>
            <w:r w:rsidRPr="0079454D">
              <w:rPr>
                <w:rFonts w:asciiTheme="majorBidi" w:hAnsiTheme="majorBidi" w:cstheme="majorBidi"/>
                <w:sz w:val="20"/>
                <w:szCs w:val="20"/>
                <w:lang w:val="fr-FR"/>
              </w:rPr>
              <w:br/>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116 000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290 000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580 000</w:t>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w:t>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116 000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290 000</w:t>
            </w:r>
          </w:p>
          <w:p w:rsidR="00EB6FC2" w:rsidRPr="0079454D" w:rsidRDefault="00EB6FC2" w:rsidP="003C5D6B">
            <w:pPr>
              <w:pStyle w:val="Default"/>
              <w:spacing w:before="60" w:after="60"/>
              <w:jc w:val="center"/>
              <w:rPr>
                <w:rFonts w:asciiTheme="majorBidi" w:hAnsiTheme="majorBidi" w:cstheme="majorBidi"/>
                <w:color w:val="auto"/>
                <w:sz w:val="20"/>
                <w:szCs w:val="20"/>
                <w:lang w:val="fr-FR"/>
              </w:rPr>
            </w:pPr>
            <w:r w:rsidRPr="0079454D">
              <w:rPr>
                <w:rFonts w:asciiTheme="majorBidi" w:hAnsiTheme="majorBidi" w:cstheme="majorBidi"/>
                <w:sz w:val="20"/>
                <w:szCs w:val="20"/>
                <w:lang w:val="fr-FR"/>
              </w:rPr>
              <w:t>580 000</w:t>
            </w:r>
          </w:p>
        </w:tc>
        <w:tc>
          <w:tcPr>
            <w:tcW w:w="1134" w:type="dxa"/>
          </w:tcPr>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br/>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w:t>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br/>
            </w:r>
            <w:r w:rsidRPr="0079454D">
              <w:rPr>
                <w:rFonts w:asciiTheme="majorBidi" w:hAnsiTheme="majorBidi" w:cstheme="majorBidi"/>
                <w:sz w:val="20"/>
                <w:szCs w:val="20"/>
                <w:lang w:val="fr-FR"/>
              </w:rPr>
              <w:br/>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34 800</w:t>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34 800</w:t>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w:t>
            </w:r>
          </w:p>
          <w:p w:rsidR="00EB6FC2" w:rsidRPr="0079454D" w:rsidRDefault="00EB6FC2" w:rsidP="003C5D6B">
            <w:pPr>
              <w:pStyle w:val="Default"/>
              <w:spacing w:before="60" w:after="60"/>
              <w:jc w:val="center"/>
              <w:rPr>
                <w:rFonts w:asciiTheme="majorBidi" w:hAnsiTheme="majorBidi" w:cstheme="majorBidi"/>
                <w:color w:val="auto"/>
                <w:sz w:val="20"/>
                <w:szCs w:val="20"/>
                <w:lang w:val="fr-FR"/>
              </w:rPr>
            </w:pPr>
            <w:r w:rsidRPr="0079454D">
              <w:rPr>
                <w:rFonts w:asciiTheme="majorBidi" w:hAnsiTheme="majorBidi" w:cstheme="majorBidi"/>
                <w:sz w:val="20"/>
                <w:szCs w:val="20"/>
                <w:lang w:val="fr-FR"/>
              </w:rPr>
              <w:t>–</w:t>
            </w:r>
          </w:p>
        </w:tc>
        <w:tc>
          <w:tcPr>
            <w:tcW w:w="1276" w:type="dxa"/>
          </w:tcPr>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br/>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58 000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87 000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145 000</w:t>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br/>
            </w:r>
            <w:r w:rsidRPr="0079454D">
              <w:rPr>
                <w:rFonts w:asciiTheme="majorBidi" w:hAnsiTheme="majorBidi" w:cstheme="majorBidi"/>
                <w:sz w:val="20"/>
                <w:szCs w:val="20"/>
                <w:lang w:val="fr-FR"/>
              </w:rPr>
              <w:br/>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580 000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870 000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1 450 000</w:t>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580 000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870 000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1 450 000</w:t>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w:t>
            </w:r>
          </w:p>
          <w:p w:rsidR="00EB6FC2" w:rsidRPr="0079454D" w:rsidRDefault="00EB6FC2" w:rsidP="003C5D6B">
            <w:pPr>
              <w:pStyle w:val="Default"/>
              <w:spacing w:before="60" w:after="60"/>
              <w:jc w:val="center"/>
              <w:rPr>
                <w:rFonts w:asciiTheme="majorBidi" w:hAnsiTheme="majorBidi" w:cstheme="majorBidi"/>
                <w:color w:val="auto"/>
                <w:sz w:val="20"/>
                <w:szCs w:val="20"/>
                <w:lang w:val="fr-FR"/>
              </w:rPr>
            </w:pPr>
            <w:r w:rsidRPr="0079454D">
              <w:rPr>
                <w:rFonts w:asciiTheme="majorBidi" w:hAnsiTheme="majorBidi" w:cstheme="majorBidi"/>
                <w:sz w:val="20"/>
                <w:szCs w:val="20"/>
                <w:lang w:val="fr-FR"/>
              </w:rPr>
              <w:t>–</w:t>
            </w:r>
          </w:p>
        </w:tc>
        <w:tc>
          <w:tcPr>
            <w:tcW w:w="1264" w:type="dxa"/>
          </w:tcPr>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348 000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870 000</w:t>
            </w:r>
            <w:r w:rsidRPr="0079454D">
              <w:rPr>
                <w:rFonts w:asciiTheme="majorBidi" w:hAnsiTheme="majorBidi" w:cstheme="majorBidi"/>
                <w:sz w:val="20"/>
                <w:szCs w:val="20"/>
                <w:lang w:val="fr-FR"/>
              </w:rPr>
              <w:br/>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1 740 000</w:t>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br/>
            </w:r>
            <w:r w:rsidRPr="0079454D">
              <w:rPr>
                <w:rFonts w:asciiTheme="majorBidi" w:hAnsiTheme="majorBidi" w:cstheme="majorBidi"/>
                <w:sz w:val="20"/>
                <w:szCs w:val="20"/>
                <w:lang w:val="fr-FR"/>
              </w:rPr>
              <w:br/>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1 004 000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3 480 000</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5 800 000</w:t>
            </w: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 xml:space="preserve">1 740 000 </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 xml:space="preserve">5 800 000 </w:t>
            </w:r>
          </w:p>
          <w:p w:rsidR="00EB6FC2" w:rsidRPr="0079454D" w:rsidRDefault="00EB6FC2" w:rsidP="003C5D6B">
            <w:pPr>
              <w:pStyle w:val="Default"/>
              <w:spacing w:before="60"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 xml:space="preserve">8 700 000 </w:t>
            </w:r>
          </w:p>
        </w:tc>
      </w:tr>
    </w:tbl>
    <w:p w:rsidR="00EB6FC2" w:rsidRPr="0079454D" w:rsidRDefault="00EB6FC2" w:rsidP="00EB6FC2">
      <w:pPr>
        <w:rPr>
          <w:lang w:val="fr-FR"/>
        </w:rPr>
      </w:pPr>
    </w:p>
    <w:p w:rsidR="00EB6FC2" w:rsidRPr="0079454D" w:rsidRDefault="00EB6FC2" w:rsidP="00EB6FC2">
      <w:pPr>
        <w:rPr>
          <w:lang w:val="fr-FR"/>
        </w:rPr>
      </w:pPr>
    </w:p>
    <w:p w:rsidR="009F266C" w:rsidRPr="0079454D" w:rsidRDefault="00401ECE" w:rsidP="00907B04">
      <w:pPr>
        <w:pStyle w:val="AnnexNotitle"/>
        <w:spacing w:before="0"/>
        <w:rPr>
          <w:rFonts w:asciiTheme="majorBidi" w:hAnsiTheme="majorBidi" w:cstheme="majorBidi"/>
          <w:bCs/>
          <w:lang w:val="fr-FR"/>
        </w:rPr>
      </w:pPr>
      <w:r w:rsidRPr="0079454D">
        <w:rPr>
          <w:lang w:val="fr-FR"/>
        </w:rPr>
        <w:br w:type="page"/>
      </w:r>
      <w:bookmarkStart w:id="1221" w:name="_Toc280260068"/>
      <w:bookmarkStart w:id="1222" w:name="_Toc280272533"/>
      <w:bookmarkStart w:id="1223" w:name="_Toc284414204"/>
      <w:bookmarkStart w:id="1224" w:name="_Toc286314948"/>
      <w:bookmarkStart w:id="1225" w:name="_Toc287523397"/>
      <w:r w:rsidR="009F266C" w:rsidRPr="0079454D">
        <w:rPr>
          <w:lang w:val="fr-FR"/>
        </w:rPr>
        <w:lastRenderedPageBreak/>
        <w:t>ANNEXE</w:t>
      </w:r>
      <w:r w:rsidR="009F266C" w:rsidRPr="0079454D">
        <w:rPr>
          <w:lang w:val="fr-FR"/>
        </w:rPr>
        <w:br/>
      </w:r>
      <w:r w:rsidR="009F266C" w:rsidRPr="0079454D">
        <w:rPr>
          <w:lang w:val="fr-FR"/>
        </w:rPr>
        <w:br/>
      </w:r>
      <w:r w:rsidR="009F266C" w:rsidRPr="0079454D">
        <w:rPr>
          <w:rFonts w:asciiTheme="majorBidi" w:hAnsiTheme="majorBidi" w:cstheme="majorBidi"/>
          <w:bCs/>
          <w:lang w:val="fr-FR"/>
        </w:rPr>
        <w:t>ORDONNANCE N° 97-173 DU 19 MARS 1997</w:t>
      </w:r>
      <w:r w:rsidR="009F266C" w:rsidRPr="0079454D">
        <w:rPr>
          <w:rFonts w:asciiTheme="majorBidi" w:hAnsiTheme="majorBidi" w:cstheme="majorBidi"/>
          <w:bCs/>
          <w:lang w:val="fr-FR"/>
        </w:rPr>
        <w:br/>
        <w:t>MONTANT DES DROITS, TAXES ET REDEVANCES RADIOÉLECTRIQUES</w:t>
      </w:r>
      <w:bookmarkEnd w:id="1221"/>
      <w:bookmarkEnd w:id="1222"/>
      <w:bookmarkEnd w:id="1223"/>
      <w:bookmarkEnd w:id="1224"/>
      <w:bookmarkEnd w:id="1225"/>
    </w:p>
    <w:p w:rsidR="009F266C" w:rsidRPr="0079454D" w:rsidRDefault="009F266C" w:rsidP="009F266C">
      <w:pPr>
        <w:pStyle w:val="Heading1"/>
        <w:tabs>
          <w:tab w:val="clear" w:pos="794"/>
          <w:tab w:val="left" w:pos="426"/>
        </w:tabs>
        <w:rPr>
          <w:lang w:val="fr-FR"/>
        </w:rPr>
      </w:pPr>
      <w:bookmarkStart w:id="1226" w:name="_Toc280260069"/>
      <w:bookmarkStart w:id="1227" w:name="_Toc280260921"/>
      <w:bookmarkStart w:id="1228" w:name="_Toc280272534"/>
      <w:bookmarkStart w:id="1229" w:name="_Toc284414205"/>
      <w:bookmarkStart w:id="1230" w:name="_Toc286314949"/>
      <w:bookmarkStart w:id="1231" w:name="_Toc287523398"/>
      <w:r w:rsidRPr="0079454D">
        <w:rPr>
          <w:lang w:val="fr-FR"/>
        </w:rPr>
        <w:t>A</w:t>
      </w:r>
      <w:r w:rsidRPr="0079454D">
        <w:rPr>
          <w:lang w:val="fr-FR"/>
        </w:rPr>
        <w:tab/>
        <w:t>SERVICES DE RADIOCOMMUNICATION DE TERRE</w:t>
      </w:r>
      <w:bookmarkEnd w:id="1226"/>
      <w:bookmarkEnd w:id="1227"/>
      <w:bookmarkEnd w:id="1228"/>
      <w:bookmarkEnd w:id="1229"/>
      <w:bookmarkEnd w:id="1230"/>
      <w:bookmarkEnd w:id="1231"/>
    </w:p>
    <w:p w:rsidR="009F266C" w:rsidRPr="0079454D" w:rsidRDefault="009F266C" w:rsidP="009F266C">
      <w:pPr>
        <w:spacing w:before="0"/>
        <w:rPr>
          <w:lang w:val="fr-FR"/>
        </w:rPr>
      </w:pPr>
    </w:p>
    <w:tbl>
      <w:tblPr>
        <w:tblW w:w="0" w:type="auto"/>
        <w:jc w:val="center"/>
        <w:tblBorders>
          <w:top w:val="nil"/>
          <w:left w:val="nil"/>
          <w:bottom w:val="nil"/>
          <w:right w:val="nil"/>
        </w:tblBorders>
        <w:tblLayout w:type="fixed"/>
        <w:tblLook w:val="0000"/>
      </w:tblPr>
      <w:tblGrid>
        <w:gridCol w:w="3969"/>
        <w:gridCol w:w="1418"/>
        <w:gridCol w:w="1418"/>
        <w:gridCol w:w="1418"/>
        <w:gridCol w:w="1418"/>
      </w:tblGrid>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Notitle"/>
              <w:spacing w:before="120" w:line="220" w:lineRule="exact"/>
              <w:rPr>
                <w:sz w:val="20"/>
                <w:lang w:val="fr-FR"/>
              </w:rPr>
            </w:pPr>
            <w:r w:rsidRPr="0079454D">
              <w:rPr>
                <w:sz w:val="20"/>
                <w:lang w:val="fr-FR"/>
              </w:rPr>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Notitle"/>
              <w:spacing w:before="120" w:line="220" w:lineRule="exact"/>
              <w:rPr>
                <w:sz w:val="20"/>
                <w:lang w:val="fr-FR"/>
              </w:rPr>
            </w:pPr>
            <w:r w:rsidRPr="0079454D">
              <w:rPr>
                <w:sz w:val="20"/>
                <w:lang w:val="fr-FR"/>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Notitle"/>
              <w:spacing w:before="120" w:line="220" w:lineRule="exact"/>
              <w:rPr>
                <w:sz w:val="20"/>
                <w:lang w:val="fr-FR"/>
              </w:rPr>
            </w:pPr>
            <w:r w:rsidRPr="0079454D">
              <w:rPr>
                <w:sz w:val="20"/>
                <w:lang w:val="fr-FR"/>
              </w:rPr>
              <w:t xml:space="preserve">Taxe de visite ou de </w:t>
            </w:r>
            <w:r w:rsidR="0079454D" w:rsidRPr="0079454D">
              <w:rPr>
                <w:sz w:val="20"/>
                <w:lang w:val="fr-FR"/>
              </w:rPr>
              <w:t>contrôle</w:t>
            </w:r>
            <w:r w:rsidRPr="0079454D">
              <w:rPr>
                <w:sz w:val="20"/>
                <w:lang w:val="fr-FR"/>
              </w:rPr>
              <w:t xml:space="preserv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Notitle"/>
              <w:spacing w:before="120" w:line="220" w:lineRule="exact"/>
              <w:ind w:leftChars="-50" w:left="-110" w:rightChars="-50" w:right="-110"/>
              <w:rPr>
                <w:sz w:val="20"/>
                <w:lang w:val="fr-FR"/>
              </w:rPr>
            </w:pPr>
            <w:r w:rsidRPr="0079454D">
              <w:rPr>
                <w:sz w:val="20"/>
                <w:lang w:val="fr-FR"/>
              </w:rPr>
              <w:t xml:space="preserve">Contribution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79454D" w:rsidP="007C343B">
            <w:pPr>
              <w:pStyle w:val="TableNotitle"/>
              <w:spacing w:before="120" w:line="220" w:lineRule="exact"/>
              <w:ind w:leftChars="-50" w:left="-110" w:rightChars="-50" w:right="-110"/>
              <w:rPr>
                <w:sz w:val="20"/>
                <w:lang w:val="fr-FR"/>
              </w:rPr>
            </w:pPr>
            <w:r w:rsidRPr="0079454D">
              <w:rPr>
                <w:sz w:val="20"/>
                <w:lang w:val="fr-FR"/>
              </w:rPr>
              <w:t>Redevance</w:t>
            </w:r>
            <w:r w:rsidR="009F266C" w:rsidRPr="0079454D">
              <w:rPr>
                <w:sz w:val="20"/>
                <w:lang w:val="fr-FR"/>
              </w:rPr>
              <w:t xml:space="preserve"> pour l’utilisation d’une </w:t>
            </w:r>
            <w:r w:rsidRPr="0079454D">
              <w:rPr>
                <w:sz w:val="20"/>
                <w:lang w:val="fr-FR"/>
              </w:rPr>
              <w:t>fréquence</w:t>
            </w:r>
            <w:r w:rsidR="009F266C" w:rsidRPr="0079454D">
              <w:rPr>
                <w:sz w:val="20"/>
                <w:lang w:val="fr-FR"/>
              </w:rPr>
              <w:t xml:space="preserve"> ou d’un canal radioélectrique </w:t>
            </w: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spacing w:line="220" w:lineRule="exact"/>
              <w:ind w:left="284" w:hanging="284"/>
              <w:rPr>
                <w:sz w:val="20"/>
                <w:lang w:val="fr-FR"/>
              </w:rPr>
            </w:pPr>
            <w:r w:rsidRPr="0079454D">
              <w:rPr>
                <w:sz w:val="20"/>
                <w:lang w:val="fr-FR"/>
              </w:rPr>
              <w:t>I</w:t>
            </w:r>
            <w:r w:rsidRPr="0079454D">
              <w:rPr>
                <w:sz w:val="20"/>
                <w:lang w:val="fr-FR"/>
              </w:rPr>
              <w:tab/>
              <w:t xml:space="preserve">RESEAU FIXE ET MOBILES TERRESTRES INDEPENDANTS A USAGE PRIVEE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spacing w:line="220" w:lineRule="exact"/>
              <w:ind w:left="851" w:hanging="851"/>
              <w:rPr>
                <w:sz w:val="20"/>
                <w:lang w:val="fr-FR"/>
              </w:rPr>
            </w:pPr>
            <w:r w:rsidRPr="0079454D">
              <w:rPr>
                <w:sz w:val="20"/>
                <w:lang w:val="fr-FR"/>
              </w:rPr>
              <w:tab/>
              <w:t>I.1</w:t>
            </w:r>
            <w:r w:rsidRPr="0079454D">
              <w:rPr>
                <w:sz w:val="20"/>
                <w:lang w:val="fr-FR"/>
              </w:rPr>
              <w:tab/>
            </w:r>
            <w:r w:rsidRPr="0079454D">
              <w:rPr>
                <w:sz w:val="20"/>
                <w:lang w:val="fr-FR"/>
              </w:rPr>
              <w:tab/>
              <w:t xml:space="preserve">Réseau de radiotéléphonie VHF/UHF (largeur du canal = 12,5 kHz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11 600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tabs>
                <w:tab w:val="clear" w:pos="567"/>
                <w:tab w:val="clear" w:pos="851"/>
                <w:tab w:val="left" w:pos="444"/>
                <w:tab w:val="left" w:pos="833"/>
              </w:tabs>
              <w:spacing w:line="220" w:lineRule="exact"/>
              <w:ind w:left="851" w:hanging="851"/>
              <w:rPr>
                <w:sz w:val="20"/>
                <w:lang w:val="fr-FR"/>
              </w:rPr>
            </w:pPr>
            <w:r w:rsidRPr="0079454D">
              <w:rPr>
                <w:sz w:val="20"/>
                <w:lang w:val="fr-FR"/>
              </w:rPr>
              <w:tab/>
            </w:r>
            <w:r w:rsidRPr="0079454D">
              <w:rPr>
                <w:sz w:val="20"/>
                <w:lang w:val="fr-FR"/>
              </w:rPr>
              <w:tab/>
              <w:t>A1</w:t>
            </w:r>
            <w:r w:rsidRPr="0079454D">
              <w:rPr>
                <w:sz w:val="20"/>
                <w:lang w:val="fr-FR"/>
              </w:rPr>
              <w:tab/>
              <w:t xml:space="preserve">Puissance de l’émetteur inférieur ou égal à 10 w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8 700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r>
      <w:tr w:rsidR="009F266C" w:rsidRPr="0079454D" w:rsidTr="003C5D6B">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9F266C" w:rsidRPr="0079454D" w:rsidRDefault="009F266C" w:rsidP="007C343B">
            <w:pPr>
              <w:pStyle w:val="TableText0"/>
              <w:tabs>
                <w:tab w:val="clear" w:pos="567"/>
                <w:tab w:val="clear" w:pos="851"/>
                <w:tab w:val="left" w:pos="444"/>
                <w:tab w:val="left" w:pos="833"/>
              </w:tabs>
              <w:spacing w:line="220" w:lineRule="exact"/>
              <w:ind w:left="851" w:hanging="851"/>
              <w:rPr>
                <w:sz w:val="20"/>
                <w:lang w:val="fr-FR"/>
              </w:rPr>
            </w:pPr>
            <w:r w:rsidRPr="0079454D">
              <w:rPr>
                <w:sz w:val="20"/>
                <w:lang w:val="fr-FR"/>
              </w:rPr>
              <w:tab/>
            </w:r>
            <w:r w:rsidRPr="0079454D">
              <w:rPr>
                <w:sz w:val="20"/>
                <w:lang w:val="fr-FR"/>
              </w:rPr>
              <w:tab/>
              <w:t>A2</w:t>
            </w:r>
            <w:r w:rsidRPr="0079454D">
              <w:rPr>
                <w:sz w:val="20"/>
                <w:lang w:val="fr-FR"/>
              </w:rPr>
              <w:tab/>
              <w:t xml:space="preserve">Puissance de l’émetteur comprise entre 10 et 25 w </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145 000</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r>
      <w:tr w:rsidR="009F266C" w:rsidRPr="0079454D" w:rsidTr="003C5D6B">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tabs>
                <w:tab w:val="clear" w:pos="567"/>
                <w:tab w:val="clear" w:pos="851"/>
                <w:tab w:val="left" w:pos="444"/>
                <w:tab w:val="left" w:pos="833"/>
              </w:tabs>
              <w:spacing w:line="220" w:lineRule="exact"/>
              <w:ind w:left="851" w:hanging="851"/>
              <w:rPr>
                <w:sz w:val="20"/>
                <w:lang w:val="fr-FR"/>
              </w:rPr>
            </w:pPr>
            <w:r w:rsidRPr="0079454D">
              <w:rPr>
                <w:sz w:val="20"/>
                <w:lang w:val="fr-FR"/>
              </w:rPr>
              <w:tab/>
            </w:r>
            <w:r w:rsidRPr="0079454D">
              <w:rPr>
                <w:sz w:val="20"/>
                <w:lang w:val="fr-FR"/>
              </w:rPr>
              <w:tab/>
              <w:t>A3</w:t>
            </w:r>
            <w:r w:rsidRPr="0079454D">
              <w:rPr>
                <w:sz w:val="20"/>
                <w:lang w:val="fr-FR"/>
              </w:rPr>
              <w:tab/>
              <w:t xml:space="preserve">Puissance de l’émetteur supérieur à 25 km </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58 000</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tabs>
                <w:tab w:val="clear" w:pos="567"/>
                <w:tab w:val="clear" w:pos="851"/>
                <w:tab w:val="left" w:pos="444"/>
                <w:tab w:val="left" w:pos="833"/>
              </w:tabs>
              <w:spacing w:line="220" w:lineRule="exact"/>
              <w:ind w:left="851" w:hanging="851"/>
              <w:rPr>
                <w:sz w:val="20"/>
                <w:lang w:val="fr-FR"/>
              </w:rPr>
            </w:pPr>
            <w:r w:rsidRPr="0079454D">
              <w:rPr>
                <w:sz w:val="20"/>
                <w:lang w:val="fr-FR"/>
              </w:rPr>
              <w:tab/>
            </w:r>
            <w:r w:rsidRPr="0079454D">
              <w:rPr>
                <w:sz w:val="20"/>
                <w:lang w:val="fr-FR"/>
              </w:rPr>
              <w:tab/>
              <w:t>B1</w:t>
            </w:r>
            <w:r w:rsidRPr="0079454D">
              <w:rPr>
                <w:sz w:val="20"/>
                <w:lang w:val="fr-FR"/>
              </w:rPr>
              <w:tab/>
              <w:t xml:space="preserve">Réseau local sans relais (moyenne de 10 km)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145 000</w:t>
            </w:r>
          </w:p>
        </w:tc>
      </w:tr>
      <w:tr w:rsidR="009F266C" w:rsidRPr="0079454D" w:rsidTr="003C5D6B">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9F266C" w:rsidRPr="0079454D" w:rsidRDefault="009F266C" w:rsidP="007C343B">
            <w:pPr>
              <w:pStyle w:val="TableText0"/>
              <w:tabs>
                <w:tab w:val="clear" w:pos="567"/>
                <w:tab w:val="clear" w:pos="851"/>
                <w:tab w:val="left" w:pos="444"/>
                <w:tab w:val="left" w:pos="833"/>
              </w:tabs>
              <w:spacing w:line="220" w:lineRule="exact"/>
              <w:ind w:left="851" w:hanging="851"/>
              <w:rPr>
                <w:sz w:val="20"/>
                <w:lang w:val="fr-FR"/>
              </w:rPr>
            </w:pPr>
            <w:r w:rsidRPr="0079454D">
              <w:rPr>
                <w:sz w:val="20"/>
                <w:lang w:val="fr-FR"/>
              </w:rPr>
              <w:tab/>
            </w:r>
            <w:r w:rsidRPr="0079454D">
              <w:rPr>
                <w:sz w:val="20"/>
                <w:lang w:val="fr-FR"/>
              </w:rPr>
              <w:tab/>
              <w:t>B2</w:t>
            </w:r>
            <w:r w:rsidRPr="0079454D">
              <w:rPr>
                <w:sz w:val="20"/>
                <w:lang w:val="fr-FR"/>
              </w:rPr>
              <w:tab/>
              <w:t xml:space="preserve">Réseau local sans relais (moyenne de 25 km) </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362 500</w:t>
            </w:r>
          </w:p>
        </w:tc>
      </w:tr>
      <w:tr w:rsidR="009F266C" w:rsidRPr="00E92FFB" w:rsidTr="003C5D6B">
        <w:trPr>
          <w:jc w:val="center"/>
        </w:trPr>
        <w:tc>
          <w:tcPr>
            <w:tcW w:w="3969"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tabs>
                <w:tab w:val="clear" w:pos="567"/>
                <w:tab w:val="clear" w:pos="851"/>
                <w:tab w:val="left" w:pos="444"/>
                <w:tab w:val="left" w:pos="833"/>
              </w:tabs>
              <w:spacing w:line="220" w:lineRule="exact"/>
              <w:rPr>
                <w:sz w:val="20"/>
                <w:lang w:val="fr-FR"/>
              </w:rPr>
            </w:pPr>
            <w:r w:rsidRPr="0079454D">
              <w:rPr>
                <w:sz w:val="20"/>
                <w:lang w:val="fr-FR"/>
              </w:rPr>
              <w:tab/>
            </w:r>
            <w:r w:rsidRPr="0079454D">
              <w:rPr>
                <w:sz w:val="20"/>
                <w:lang w:val="fr-FR"/>
              </w:rPr>
              <w:tab/>
              <w:t>B3</w:t>
            </w:r>
            <w:r w:rsidRPr="0079454D">
              <w:rPr>
                <w:sz w:val="20"/>
                <w:lang w:val="fr-FR"/>
              </w:rPr>
              <w:tab/>
              <w:t xml:space="preserve">Réseau local à Abidjan </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Double des tarifs ci-dessus</w:t>
            </w:r>
          </w:p>
        </w:tc>
      </w:tr>
      <w:tr w:rsidR="009F266C" w:rsidRPr="0079454D" w:rsidTr="003C5D6B">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9F266C" w:rsidRPr="0079454D" w:rsidRDefault="009F266C" w:rsidP="007C343B">
            <w:pPr>
              <w:pStyle w:val="TableText0"/>
              <w:tabs>
                <w:tab w:val="clear" w:pos="567"/>
                <w:tab w:val="left" w:pos="444"/>
              </w:tabs>
              <w:spacing w:line="220" w:lineRule="exact"/>
              <w:ind w:left="851" w:hanging="851"/>
              <w:rPr>
                <w:sz w:val="20"/>
                <w:lang w:val="fr-FR"/>
              </w:rPr>
            </w:pPr>
            <w:r w:rsidRPr="0079454D">
              <w:rPr>
                <w:sz w:val="20"/>
                <w:lang w:val="fr-FR"/>
              </w:rPr>
              <w:tab/>
            </w:r>
            <w:r w:rsidRPr="0079454D">
              <w:rPr>
                <w:sz w:val="20"/>
                <w:lang w:val="fr-FR"/>
              </w:rPr>
              <w:tab/>
              <w:t>C1</w:t>
            </w:r>
            <w:r w:rsidRPr="0079454D">
              <w:rPr>
                <w:sz w:val="20"/>
                <w:lang w:val="fr-FR"/>
              </w:rPr>
              <w:tab/>
              <w:t xml:space="preserve">Réseau comportant moins de 10 postes à Abidjan </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290 000</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79454D" w:rsidTr="003C5D6B">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tabs>
                <w:tab w:val="clear" w:pos="567"/>
                <w:tab w:val="left" w:pos="444"/>
              </w:tabs>
              <w:spacing w:line="220" w:lineRule="exact"/>
              <w:ind w:left="851" w:hanging="851"/>
              <w:rPr>
                <w:sz w:val="20"/>
                <w:lang w:val="fr-FR"/>
              </w:rPr>
            </w:pPr>
            <w:r w:rsidRPr="0079454D">
              <w:rPr>
                <w:sz w:val="20"/>
                <w:lang w:val="fr-FR"/>
              </w:rPr>
              <w:tab/>
            </w:r>
            <w:r w:rsidRPr="0079454D">
              <w:rPr>
                <w:sz w:val="20"/>
                <w:lang w:val="fr-FR"/>
              </w:rPr>
              <w:tab/>
              <w:t>C2</w:t>
            </w:r>
            <w:r w:rsidRPr="0079454D">
              <w:rPr>
                <w:sz w:val="20"/>
                <w:lang w:val="fr-FR"/>
              </w:rPr>
              <w:tab/>
              <w:t xml:space="preserve">Réseau de 10 à 50 postes à Abidjan </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145 000</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tabs>
                <w:tab w:val="clear" w:pos="567"/>
                <w:tab w:val="left" w:pos="444"/>
              </w:tabs>
              <w:spacing w:line="220" w:lineRule="exact"/>
              <w:ind w:left="851" w:hanging="851"/>
              <w:rPr>
                <w:sz w:val="20"/>
                <w:lang w:val="fr-FR"/>
              </w:rPr>
            </w:pPr>
            <w:r w:rsidRPr="0079454D">
              <w:rPr>
                <w:sz w:val="20"/>
                <w:lang w:val="fr-FR"/>
              </w:rPr>
              <w:tab/>
            </w:r>
            <w:r w:rsidRPr="0079454D">
              <w:rPr>
                <w:sz w:val="20"/>
                <w:lang w:val="fr-FR"/>
              </w:rPr>
              <w:tab/>
              <w:t>C3</w:t>
            </w:r>
            <w:r w:rsidRPr="0079454D">
              <w:rPr>
                <w:sz w:val="20"/>
                <w:lang w:val="fr-FR"/>
              </w:rPr>
              <w:tab/>
              <w:t xml:space="preserve">Réseau de plus de 50 postes à Abidjan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9F266C" w:rsidRPr="0079454D" w:rsidRDefault="009F266C" w:rsidP="007C343B">
            <w:pPr>
              <w:pStyle w:val="TableText0"/>
              <w:tabs>
                <w:tab w:val="clear" w:pos="567"/>
                <w:tab w:val="left" w:pos="444"/>
              </w:tabs>
              <w:spacing w:line="220" w:lineRule="exact"/>
              <w:rPr>
                <w:sz w:val="20"/>
                <w:lang w:val="fr-FR"/>
              </w:rPr>
            </w:pPr>
            <w:r w:rsidRPr="0079454D">
              <w:rPr>
                <w:sz w:val="20"/>
                <w:lang w:val="fr-FR"/>
              </w:rPr>
              <w:tab/>
            </w:r>
            <w:r w:rsidRPr="0079454D">
              <w:rPr>
                <w:sz w:val="20"/>
                <w:lang w:val="fr-FR"/>
              </w:rPr>
              <w:tab/>
              <w:t>C4</w:t>
            </w:r>
            <w:r w:rsidRPr="0079454D">
              <w:rPr>
                <w:sz w:val="20"/>
                <w:lang w:val="fr-FR"/>
              </w:rPr>
              <w:tab/>
              <w:t xml:space="preserve">Réseau situé hors Abidjan </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79454D" w:rsidTr="003C5D6B">
        <w:trPr>
          <w:jc w:val="center"/>
        </w:trPr>
        <w:tc>
          <w:tcPr>
            <w:tcW w:w="3969" w:type="dxa"/>
            <w:tcBorders>
              <w:top w:val="single" w:sz="4" w:space="0" w:color="000000"/>
              <w:left w:val="single" w:sz="4" w:space="0" w:color="000000"/>
              <w:bottom w:val="single" w:sz="4" w:space="0" w:color="000000"/>
              <w:right w:val="single" w:sz="4" w:space="0" w:color="000000"/>
            </w:tcBorders>
            <w:vAlign w:val="center"/>
          </w:tcPr>
          <w:p w:rsidR="009F266C" w:rsidRPr="0079454D" w:rsidRDefault="009F266C" w:rsidP="007C343B">
            <w:pPr>
              <w:pStyle w:val="TableText0"/>
              <w:spacing w:line="220" w:lineRule="exact"/>
              <w:ind w:left="851" w:hanging="851"/>
              <w:rPr>
                <w:sz w:val="20"/>
                <w:lang w:val="fr-FR"/>
              </w:rPr>
            </w:pPr>
            <w:r w:rsidRPr="0079454D">
              <w:rPr>
                <w:sz w:val="20"/>
                <w:lang w:val="fr-FR"/>
              </w:rPr>
              <w:tab/>
              <w:t>I.2</w:t>
            </w:r>
            <w:r w:rsidRPr="0079454D">
              <w:rPr>
                <w:sz w:val="20"/>
                <w:lang w:val="fr-FR"/>
              </w:rPr>
              <w:tab/>
            </w:r>
            <w:r w:rsidRPr="0079454D">
              <w:rPr>
                <w:sz w:val="20"/>
                <w:lang w:val="fr-FR"/>
              </w:rPr>
              <w:tab/>
              <w:t xml:space="preserve">Réseau de radiotéléphonie MF/HF (largeur du canal = 3 khz) </w:t>
            </w:r>
          </w:p>
        </w:tc>
        <w:tc>
          <w:tcPr>
            <w:tcW w:w="1418" w:type="dxa"/>
            <w:tcBorders>
              <w:top w:val="single" w:sz="4"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11 600</w:t>
            </w:r>
          </w:p>
        </w:tc>
        <w:tc>
          <w:tcPr>
            <w:tcW w:w="1418" w:type="dxa"/>
            <w:tcBorders>
              <w:top w:val="single" w:sz="4"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4"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4" w:space="0" w:color="000000"/>
              <w:left w:val="single" w:sz="4" w:space="0" w:color="000000"/>
              <w:bottom w:val="single" w:sz="4"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79454D" w:rsidTr="003C5D6B">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tabs>
                <w:tab w:val="clear" w:pos="567"/>
                <w:tab w:val="left" w:pos="444"/>
              </w:tabs>
              <w:spacing w:line="220" w:lineRule="exact"/>
              <w:ind w:left="851" w:hanging="851"/>
              <w:rPr>
                <w:sz w:val="20"/>
                <w:lang w:val="fr-FR"/>
              </w:rPr>
            </w:pPr>
            <w:r w:rsidRPr="0079454D">
              <w:rPr>
                <w:sz w:val="20"/>
                <w:lang w:val="fr-FR"/>
              </w:rPr>
              <w:tab/>
            </w:r>
            <w:r w:rsidRPr="0079454D">
              <w:rPr>
                <w:sz w:val="20"/>
                <w:lang w:val="fr-FR"/>
              </w:rPr>
              <w:tab/>
              <w:t>A1</w:t>
            </w:r>
            <w:r w:rsidRPr="0079454D">
              <w:rPr>
                <w:sz w:val="20"/>
                <w:lang w:val="fr-FR"/>
              </w:rPr>
              <w:tab/>
              <w:t xml:space="preserve">Puissance de l’émetteur inférieur à 50 w </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14 500</w:t>
            </w: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4"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tabs>
                <w:tab w:val="clear" w:pos="567"/>
                <w:tab w:val="left" w:pos="444"/>
              </w:tabs>
              <w:spacing w:line="220" w:lineRule="exact"/>
              <w:ind w:left="851" w:hanging="851"/>
              <w:rPr>
                <w:sz w:val="20"/>
                <w:lang w:val="fr-FR"/>
              </w:rPr>
            </w:pPr>
            <w:r w:rsidRPr="0079454D">
              <w:rPr>
                <w:sz w:val="20"/>
                <w:lang w:val="fr-FR"/>
              </w:rPr>
              <w:tab/>
            </w:r>
            <w:r w:rsidRPr="0079454D">
              <w:rPr>
                <w:sz w:val="20"/>
                <w:lang w:val="fr-FR"/>
              </w:rPr>
              <w:tab/>
              <w:t>A2</w:t>
            </w:r>
            <w:r w:rsidRPr="0079454D">
              <w:rPr>
                <w:sz w:val="20"/>
                <w:lang w:val="fr-FR"/>
              </w:rPr>
              <w:tab/>
              <w:t xml:space="preserve">Puissance de l’émetteur comprise entre 50 et 150 w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17 400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tabs>
                <w:tab w:val="clear" w:pos="567"/>
                <w:tab w:val="left" w:pos="444"/>
              </w:tabs>
              <w:spacing w:line="220" w:lineRule="exact"/>
              <w:ind w:left="851" w:hanging="851"/>
              <w:rPr>
                <w:sz w:val="20"/>
                <w:lang w:val="fr-FR"/>
              </w:rPr>
            </w:pPr>
            <w:r w:rsidRPr="0079454D">
              <w:rPr>
                <w:sz w:val="20"/>
                <w:lang w:val="fr-FR"/>
              </w:rPr>
              <w:tab/>
            </w:r>
            <w:r w:rsidRPr="0079454D">
              <w:rPr>
                <w:sz w:val="20"/>
                <w:lang w:val="fr-FR"/>
              </w:rPr>
              <w:tab/>
              <w:t>A3</w:t>
            </w:r>
            <w:r w:rsidRPr="0079454D">
              <w:rPr>
                <w:sz w:val="20"/>
                <w:lang w:val="fr-FR"/>
              </w:rPr>
              <w:tab/>
              <w:t xml:space="preserve">Puissance de l’émetteur supérieur à 150 w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tabs>
                <w:tab w:val="clear" w:pos="567"/>
                <w:tab w:val="left" w:pos="444"/>
              </w:tabs>
              <w:spacing w:line="220" w:lineRule="exact"/>
              <w:ind w:left="851" w:hanging="851"/>
              <w:rPr>
                <w:sz w:val="20"/>
                <w:lang w:val="fr-FR"/>
              </w:rPr>
            </w:pPr>
            <w:r w:rsidRPr="0079454D">
              <w:rPr>
                <w:rFonts w:asciiTheme="majorBidi" w:hAnsiTheme="majorBidi" w:cstheme="majorBidi"/>
                <w:sz w:val="20"/>
                <w:lang w:val="fr-FR"/>
              </w:rPr>
              <w:tab/>
              <w:t>I.3</w:t>
            </w:r>
            <w:r w:rsidRPr="0079454D">
              <w:rPr>
                <w:rFonts w:asciiTheme="majorBidi" w:hAnsiTheme="majorBidi" w:cstheme="majorBidi"/>
                <w:sz w:val="20"/>
                <w:lang w:val="fr-FR"/>
              </w:rPr>
              <w:tab/>
              <w:t>Faisceau hertziens au dessus de 1 GHz</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tabs>
                <w:tab w:val="clear" w:pos="567"/>
                <w:tab w:val="left" w:pos="444"/>
              </w:tabs>
              <w:spacing w:line="220" w:lineRule="exact"/>
              <w:ind w:left="851" w:hanging="851"/>
              <w:rPr>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Artère ou réseau local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116 000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580 000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7C343B">
            <w:pPr>
              <w:pStyle w:val="TableText0"/>
              <w:tabs>
                <w:tab w:val="clear" w:pos="567"/>
                <w:tab w:val="left" w:pos="444"/>
              </w:tabs>
              <w:spacing w:line="220" w:lineRule="exact"/>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Artère ou réseau national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290 000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r w:rsidRPr="0079454D">
              <w:rPr>
                <w:sz w:val="20"/>
                <w:lang w:val="fr-FR"/>
              </w:rPr>
              <w:t>870 000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7C343B">
            <w:pPr>
              <w:pStyle w:val="TableText0"/>
              <w:spacing w:line="220" w:lineRule="exact"/>
              <w:jc w:val="center"/>
              <w:rPr>
                <w:sz w:val="20"/>
                <w:lang w:val="fr-FR"/>
              </w:rPr>
            </w:pP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t xml:space="preserve">Taxe de visite ou de </w:t>
            </w:r>
            <w:r w:rsidR="0079454D" w:rsidRPr="0079454D">
              <w:rPr>
                <w:sz w:val="20"/>
                <w:lang w:val="fr-FR"/>
              </w:rPr>
              <w:t>contrôle</w:t>
            </w:r>
            <w:r w:rsidRPr="0079454D">
              <w:rPr>
                <w:sz w:val="20"/>
                <w:lang w:val="fr-FR"/>
              </w:rPr>
              <w:t xml:space="preserv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ind w:leftChars="-50" w:left="-110" w:rightChars="-50" w:right="-110"/>
              <w:rPr>
                <w:sz w:val="20"/>
                <w:lang w:val="fr-FR"/>
              </w:rPr>
            </w:pPr>
            <w:r w:rsidRPr="0079454D">
              <w:rPr>
                <w:sz w:val="20"/>
                <w:lang w:val="fr-FR"/>
              </w:rPr>
              <w:t xml:space="preserve">Contribution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79454D" w:rsidP="003C5D6B">
            <w:pPr>
              <w:pStyle w:val="TableNotitle"/>
              <w:spacing w:before="120"/>
              <w:ind w:leftChars="-50" w:left="-110" w:rightChars="-50" w:right="-110"/>
              <w:rPr>
                <w:sz w:val="20"/>
                <w:lang w:val="fr-FR"/>
              </w:rPr>
            </w:pPr>
            <w:r w:rsidRPr="0079454D">
              <w:rPr>
                <w:sz w:val="20"/>
                <w:lang w:val="fr-FR"/>
              </w:rPr>
              <w:t>Redevance</w:t>
            </w:r>
            <w:r w:rsidR="009F266C" w:rsidRPr="0079454D">
              <w:rPr>
                <w:sz w:val="20"/>
                <w:lang w:val="fr-FR"/>
              </w:rPr>
              <w:t xml:space="preserve"> pour l’utilisation d’une </w:t>
            </w:r>
            <w:r w:rsidRPr="0079454D">
              <w:rPr>
                <w:sz w:val="20"/>
                <w:lang w:val="fr-FR"/>
              </w:rPr>
              <w:t>fréquence</w:t>
            </w:r>
            <w:r w:rsidR="009F266C" w:rsidRPr="0079454D">
              <w:rPr>
                <w:sz w:val="20"/>
                <w:lang w:val="fr-FR"/>
              </w:rPr>
              <w:t xml:space="preserve"> ou d’un canal radioélectrique </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B1</w:t>
            </w:r>
            <w:r w:rsidRPr="0079454D">
              <w:rPr>
                <w:rFonts w:asciiTheme="majorBidi" w:hAnsiTheme="majorBidi" w:cstheme="majorBidi"/>
                <w:sz w:val="20"/>
                <w:lang w:val="fr-FR"/>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1 450 000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B2</w:t>
            </w:r>
            <w:r w:rsidRPr="0079454D">
              <w:rPr>
                <w:rFonts w:asciiTheme="majorBidi" w:hAnsiTheme="majorBidi" w:cstheme="majorBidi"/>
                <w:sz w:val="20"/>
                <w:lang w:val="fr-FR"/>
              </w:rPr>
              <w:tab/>
              <w:t>Station relais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C1</w:t>
            </w:r>
            <w:r w:rsidRPr="0079454D">
              <w:rPr>
                <w:rFonts w:asciiTheme="majorBidi" w:hAnsiTheme="majorBidi" w:cstheme="majorBidi"/>
                <w:sz w:val="20"/>
                <w:lang w:val="fr-FR"/>
              </w:rPr>
              <w:tab/>
              <w:t>Liaison de 1 à 24 voies téléphoniques ou 2 Mbits/s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1 160 000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C2</w:t>
            </w:r>
            <w:r w:rsidRPr="0079454D">
              <w:rPr>
                <w:rFonts w:asciiTheme="majorBidi" w:hAnsiTheme="majorBidi" w:cstheme="majorBidi"/>
                <w:sz w:val="20"/>
                <w:lang w:val="fr-FR"/>
              </w:rPr>
              <w:tab/>
              <w:t>Liaison de 25 à 120 voies téléphonique de 2,1 à 8 Mbits/s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1 450 000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C3</w:t>
            </w:r>
            <w:r w:rsidRPr="0079454D">
              <w:rPr>
                <w:rFonts w:asciiTheme="majorBidi" w:hAnsiTheme="majorBidi" w:cstheme="majorBidi"/>
                <w:sz w:val="20"/>
                <w:lang w:val="fr-FR"/>
              </w:rPr>
              <w:tab/>
              <w:t>Liaison de 121 à 600 voies téléphoniques ou 8 à 34 Mbits/s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1 740 000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C4</w:t>
            </w:r>
            <w:r w:rsidRPr="0079454D">
              <w:rPr>
                <w:rFonts w:asciiTheme="majorBidi" w:hAnsiTheme="majorBidi" w:cstheme="majorBidi"/>
                <w:sz w:val="20"/>
                <w:lang w:val="fr-FR"/>
              </w:rPr>
              <w:tab/>
              <w:t>Liaison de plus de 600 voies téléphoniques ou plus de 34 Mbits/s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2 900 000</w:t>
            </w: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284" w:hanging="284"/>
              <w:rPr>
                <w:rFonts w:asciiTheme="majorBidi" w:hAnsiTheme="majorBidi" w:cstheme="majorBidi"/>
                <w:sz w:val="20"/>
                <w:lang w:val="fr-FR"/>
              </w:rPr>
            </w:pPr>
            <w:r w:rsidRPr="0079454D">
              <w:rPr>
                <w:rFonts w:asciiTheme="majorBidi" w:hAnsiTheme="majorBidi" w:cstheme="majorBidi"/>
                <w:sz w:val="20"/>
                <w:lang w:val="fr-FR"/>
              </w:rPr>
              <w:t>II</w:t>
            </w:r>
            <w:r w:rsidRPr="0079454D">
              <w:rPr>
                <w:rFonts w:asciiTheme="majorBidi" w:hAnsiTheme="majorBidi" w:cstheme="majorBidi"/>
                <w:sz w:val="20"/>
                <w:lang w:val="fr-FR"/>
              </w:rPr>
              <w:tab/>
              <w:t>RESEAU FIXES ET MOBILES TERRESTRE OUVERTES AU PUBLIC (service commercial)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II.1</w:t>
            </w:r>
            <w:r w:rsidRPr="0079454D">
              <w:rPr>
                <w:rFonts w:asciiTheme="majorBidi" w:hAnsiTheme="majorBidi" w:cstheme="majorBidi"/>
                <w:sz w:val="20"/>
                <w:lang w:val="fr-FR"/>
              </w:rPr>
              <w:tab/>
              <w:t>Réseau de recherche et de messagerie (paging)</w:t>
            </w:r>
            <w:r w:rsidRPr="0079454D">
              <w:rPr>
                <w:rFonts w:asciiTheme="majorBidi" w:hAnsiTheme="majorBidi" w:cstheme="majorBidi"/>
                <w:sz w:val="20"/>
                <w:lang w:val="fr-FR"/>
              </w:rPr>
              <w:br/>
              <w:t>(largeur du canal = 12,5 kHz)</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Réseau local (urbain)</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Réseau régional (interurbain)</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1 160 000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5 500 000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A3</w:t>
            </w:r>
            <w:r w:rsidRPr="0079454D">
              <w:rPr>
                <w:rFonts w:asciiTheme="majorBidi" w:hAnsiTheme="majorBidi" w:cstheme="majorBidi"/>
                <w:sz w:val="20"/>
                <w:lang w:val="fr-FR"/>
              </w:rPr>
              <w:tab/>
              <w:t>Réseau national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1 740 000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14 500 000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B1</w:t>
            </w:r>
            <w:r w:rsidRPr="0079454D">
              <w:rPr>
                <w:rFonts w:asciiTheme="majorBidi" w:hAnsiTheme="majorBidi" w:cstheme="majorBidi"/>
                <w:sz w:val="20"/>
                <w:lang w:val="fr-FR"/>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3 770 000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29 000 000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C1</w:t>
            </w:r>
            <w:r w:rsidRPr="0079454D">
              <w:rPr>
                <w:rFonts w:asciiTheme="majorBidi" w:hAnsiTheme="majorBidi" w:cstheme="majorBidi"/>
                <w:sz w:val="20"/>
                <w:lang w:val="fr-FR"/>
              </w:rPr>
              <w:tab/>
              <w:t>Fréquence disponible localement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C2</w:t>
            </w:r>
            <w:r w:rsidRPr="0079454D">
              <w:rPr>
                <w:rFonts w:asciiTheme="majorBidi" w:hAnsiTheme="majorBidi" w:cstheme="majorBidi"/>
                <w:sz w:val="20"/>
                <w:lang w:val="fr-FR"/>
              </w:rPr>
              <w:tab/>
              <w:t>Fréquence disponible au plan régional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3 480 000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C3</w:t>
            </w:r>
            <w:r w:rsidRPr="0079454D">
              <w:rPr>
                <w:rFonts w:asciiTheme="majorBidi" w:hAnsiTheme="majorBidi" w:cstheme="majorBidi"/>
                <w:sz w:val="20"/>
                <w:lang w:val="fr-FR"/>
              </w:rPr>
              <w:tab/>
              <w:t>Fréquence disponible sur l’ensemble du territoire national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5 800 000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II.2</w:t>
            </w:r>
            <w:r w:rsidRPr="0079454D">
              <w:rPr>
                <w:rFonts w:asciiTheme="majorBidi" w:hAnsiTheme="majorBidi" w:cstheme="majorBidi"/>
                <w:sz w:val="20"/>
                <w:lang w:val="fr-FR"/>
              </w:rPr>
              <w:tab/>
              <w:t>Réseau à ressources partagées (trunking)</w:t>
            </w:r>
            <w:r w:rsidRPr="0079454D">
              <w:rPr>
                <w:rFonts w:asciiTheme="majorBidi" w:hAnsiTheme="majorBidi" w:cstheme="majorBidi"/>
                <w:sz w:val="20"/>
                <w:lang w:val="fr-FR"/>
              </w:rPr>
              <w:br/>
              <w:t xml:space="preserve">(largeur du local = 12,5 kHz)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8 700 000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Réseau local (urbain)</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1 160 000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5 500 000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Réseau régional (interurbain)</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1 740 000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14 500 000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A3</w:t>
            </w:r>
            <w:r w:rsidRPr="0079454D">
              <w:rPr>
                <w:rFonts w:asciiTheme="majorBidi" w:hAnsiTheme="majorBidi" w:cstheme="majorBidi"/>
                <w:sz w:val="20"/>
                <w:lang w:val="fr-FR"/>
              </w:rPr>
              <w:tab/>
              <w:t>Réseau national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3 770 000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29 000 000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B1</w:t>
            </w:r>
            <w:r w:rsidRPr="0079454D">
              <w:rPr>
                <w:rFonts w:asciiTheme="majorBidi" w:hAnsiTheme="majorBidi" w:cstheme="majorBidi"/>
                <w:sz w:val="20"/>
                <w:lang w:val="fr-FR"/>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C1</w:t>
            </w:r>
            <w:r w:rsidRPr="0079454D">
              <w:rPr>
                <w:rFonts w:asciiTheme="majorBidi" w:hAnsiTheme="majorBidi" w:cstheme="majorBidi"/>
                <w:sz w:val="20"/>
                <w:lang w:val="fr-FR"/>
              </w:rPr>
              <w:tab/>
              <w:t>Canal duplex disponible localement</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5 800 000</w:t>
            </w:r>
          </w:p>
        </w:tc>
      </w:tr>
      <w:tr w:rsidR="009F266C" w:rsidRPr="0079454D" w:rsidTr="003C5D6B">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C2</w:t>
            </w:r>
            <w:r w:rsidRPr="0079454D">
              <w:rPr>
                <w:rFonts w:asciiTheme="majorBidi" w:hAnsiTheme="majorBidi" w:cstheme="majorBidi"/>
                <w:sz w:val="20"/>
                <w:lang w:val="fr-FR"/>
              </w:rPr>
              <w:tab/>
              <w:t>Canal duplex disponible au plan régional</w:t>
            </w: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8 700 000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C3</w:t>
            </w:r>
            <w:r w:rsidRPr="0079454D">
              <w:rPr>
                <w:rFonts w:asciiTheme="majorBidi" w:hAnsiTheme="majorBidi" w:cstheme="majorBidi"/>
                <w:sz w:val="20"/>
                <w:lang w:val="fr-FR"/>
              </w:rPr>
              <w:tab/>
              <w:t>Canal duplex disponible sur l’ensemble du territoire national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10 440 000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II.3</w:t>
            </w:r>
            <w:r w:rsidRPr="0079454D">
              <w:rPr>
                <w:rFonts w:asciiTheme="majorBidi" w:hAnsiTheme="majorBidi" w:cstheme="majorBidi"/>
                <w:sz w:val="20"/>
                <w:lang w:val="fr-FR"/>
              </w:rPr>
              <w:tab/>
              <w:t>Réseau cellulaire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3 770 000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B1</w:t>
            </w:r>
            <w:r w:rsidRPr="0079454D">
              <w:rPr>
                <w:rFonts w:asciiTheme="majorBidi" w:hAnsiTheme="majorBidi" w:cstheme="majorBidi"/>
                <w:sz w:val="20"/>
                <w:lang w:val="fr-FR"/>
              </w:rPr>
              <w:tab/>
              <w:t>Par canal duplexe disponible sur l’ensemble de territoire national</w:t>
            </w:r>
            <w:r w:rsidRPr="0079454D">
              <w:rPr>
                <w:rFonts w:asciiTheme="majorBidi" w:hAnsiTheme="majorBidi" w:cstheme="majorBidi"/>
                <w:sz w:val="20"/>
                <w:lang w:val="fr-FR"/>
              </w:rPr>
              <w:br/>
              <w:t>(Largeur du canal) = 200 kHz</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10 440 000</w:t>
            </w: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00" w:after="100"/>
              <w:rPr>
                <w:sz w:val="20"/>
                <w:lang w:val="fr-FR"/>
              </w:rPr>
            </w:pPr>
            <w:r w:rsidRPr="0079454D">
              <w:rPr>
                <w:sz w:val="20"/>
                <w:lang w:val="fr-FR"/>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00" w:after="100"/>
              <w:rPr>
                <w:sz w:val="20"/>
                <w:lang w:val="fr-FR"/>
              </w:rPr>
            </w:pPr>
            <w:r w:rsidRPr="0079454D">
              <w:rPr>
                <w:sz w:val="20"/>
                <w:lang w:val="fr-FR"/>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00" w:after="100"/>
              <w:rPr>
                <w:sz w:val="20"/>
                <w:lang w:val="fr-FR"/>
              </w:rPr>
            </w:pPr>
            <w:r w:rsidRPr="0079454D">
              <w:rPr>
                <w:sz w:val="20"/>
                <w:lang w:val="fr-FR"/>
              </w:rPr>
              <w:t xml:space="preserve">Taxe de visite ou de </w:t>
            </w:r>
            <w:r w:rsidR="0079454D" w:rsidRPr="0079454D">
              <w:rPr>
                <w:sz w:val="20"/>
                <w:lang w:val="fr-FR"/>
              </w:rPr>
              <w:t>contrôle</w:t>
            </w:r>
            <w:r w:rsidRPr="0079454D">
              <w:rPr>
                <w:sz w:val="20"/>
                <w:lang w:val="fr-FR"/>
              </w:rPr>
              <w:t xml:space="preserv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00" w:after="100"/>
              <w:ind w:leftChars="-50" w:left="-110" w:rightChars="-50" w:right="-110"/>
              <w:rPr>
                <w:sz w:val="20"/>
                <w:lang w:val="fr-FR"/>
              </w:rPr>
            </w:pPr>
            <w:r w:rsidRPr="0079454D">
              <w:rPr>
                <w:sz w:val="20"/>
                <w:lang w:val="fr-FR"/>
              </w:rPr>
              <w:t xml:space="preserve">Contribution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79454D" w:rsidP="003C5D6B">
            <w:pPr>
              <w:pStyle w:val="TableNotitle"/>
              <w:spacing w:before="100" w:after="100"/>
              <w:ind w:leftChars="-50" w:left="-110" w:rightChars="-50" w:right="-110"/>
              <w:rPr>
                <w:sz w:val="20"/>
                <w:lang w:val="fr-FR"/>
              </w:rPr>
            </w:pPr>
            <w:r w:rsidRPr="0079454D">
              <w:rPr>
                <w:sz w:val="20"/>
                <w:lang w:val="fr-FR"/>
              </w:rPr>
              <w:t>Redevance</w:t>
            </w:r>
            <w:r w:rsidR="009F266C" w:rsidRPr="0079454D">
              <w:rPr>
                <w:sz w:val="20"/>
                <w:lang w:val="fr-FR"/>
              </w:rPr>
              <w:t xml:space="preserve"> pour l’utilisation d’une </w:t>
            </w:r>
            <w:r w:rsidRPr="0079454D">
              <w:rPr>
                <w:sz w:val="20"/>
                <w:lang w:val="fr-FR"/>
              </w:rPr>
              <w:t>fréquence</w:t>
            </w:r>
            <w:r w:rsidR="009F266C" w:rsidRPr="0079454D">
              <w:rPr>
                <w:sz w:val="20"/>
                <w:lang w:val="fr-FR"/>
              </w:rPr>
              <w:t xml:space="preserve"> ou d’un canal radioélectrique </w:t>
            </w: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II.4</w:t>
            </w:r>
            <w:r w:rsidRPr="0079454D">
              <w:rPr>
                <w:rFonts w:asciiTheme="majorBidi" w:hAnsiTheme="majorBidi" w:cstheme="majorBidi"/>
                <w:sz w:val="20"/>
                <w:lang w:val="fr-FR"/>
              </w:rPr>
              <w:tab/>
              <w:t>Faisceau hertzien au dessus de 1 GHz</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Artère ou réseau local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1 160 000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5 800 000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Artère ou réseau régional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1 740 000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14 500 000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A3</w:t>
            </w:r>
            <w:r w:rsidRPr="0079454D">
              <w:rPr>
                <w:rFonts w:asciiTheme="majorBidi" w:hAnsiTheme="majorBidi" w:cstheme="majorBidi"/>
                <w:sz w:val="20"/>
                <w:lang w:val="fr-FR"/>
              </w:rPr>
              <w:tab/>
              <w:t>Artère ou réseau national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3 770 000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29 000 000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B1</w:t>
            </w:r>
            <w:r w:rsidRPr="0079454D">
              <w:rPr>
                <w:rFonts w:asciiTheme="majorBidi" w:hAnsiTheme="majorBidi" w:cstheme="majorBidi"/>
                <w:sz w:val="20"/>
                <w:lang w:val="fr-FR"/>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B2</w:t>
            </w:r>
            <w:r w:rsidRPr="0079454D">
              <w:rPr>
                <w:rFonts w:asciiTheme="majorBidi" w:hAnsiTheme="majorBidi" w:cstheme="majorBidi"/>
                <w:sz w:val="20"/>
                <w:lang w:val="fr-FR"/>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C1</w:t>
            </w:r>
            <w:r w:rsidRPr="0079454D">
              <w:rPr>
                <w:rFonts w:asciiTheme="majorBidi" w:hAnsiTheme="majorBidi" w:cstheme="majorBidi"/>
                <w:sz w:val="20"/>
                <w:lang w:val="fr-FR"/>
              </w:rPr>
              <w:tab/>
              <w:t>Liaison de 120 voies téléphoniques ou de 8 Mbits/s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5 800 000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C2</w:t>
            </w:r>
            <w:r w:rsidRPr="0079454D">
              <w:rPr>
                <w:rFonts w:asciiTheme="majorBidi" w:hAnsiTheme="majorBidi" w:cstheme="majorBidi"/>
                <w:sz w:val="20"/>
                <w:lang w:val="fr-FR"/>
              </w:rPr>
              <w:tab/>
              <w:t>Liaison de121 voies téléphoniques ou de 2 ,1 a 8 Mbits/s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10 440 000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C3</w:t>
            </w:r>
            <w:r w:rsidRPr="0079454D">
              <w:rPr>
                <w:rFonts w:asciiTheme="majorBidi" w:hAnsiTheme="majorBidi" w:cstheme="majorBidi"/>
                <w:sz w:val="20"/>
                <w:lang w:val="fr-FR"/>
              </w:rPr>
              <w:tab/>
              <w:t>Liaison de 601 a 1</w:t>
            </w:r>
            <w:r w:rsidRPr="0079454D">
              <w:rPr>
                <w:rFonts w:asciiTheme="majorBidi" w:hAnsiTheme="majorBidi" w:cstheme="majorBidi"/>
                <w:sz w:val="16"/>
                <w:szCs w:val="16"/>
                <w:lang w:val="fr-FR"/>
              </w:rPr>
              <w:t xml:space="preserve"> </w:t>
            </w:r>
            <w:r w:rsidRPr="0079454D">
              <w:rPr>
                <w:rFonts w:asciiTheme="majorBidi" w:hAnsiTheme="majorBidi" w:cstheme="majorBidi"/>
                <w:sz w:val="20"/>
                <w:lang w:val="fr-FR"/>
              </w:rPr>
              <w:t>200 voies téléphoniques ou de 34 a 70 Mbits/s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14 500 000</w:t>
            </w: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C4</w:t>
            </w:r>
            <w:r w:rsidRPr="0079454D">
              <w:rPr>
                <w:rFonts w:asciiTheme="majorBidi" w:hAnsiTheme="majorBidi" w:cstheme="majorBidi"/>
                <w:sz w:val="20"/>
                <w:lang w:val="fr-FR"/>
              </w:rPr>
              <w:tab/>
              <w:t>Liaison plus de 1</w:t>
            </w:r>
            <w:r w:rsidRPr="0079454D">
              <w:rPr>
                <w:rFonts w:asciiTheme="majorBidi" w:hAnsiTheme="majorBidi" w:cstheme="majorBidi"/>
                <w:sz w:val="16"/>
                <w:szCs w:val="16"/>
                <w:lang w:val="fr-FR"/>
              </w:rPr>
              <w:t xml:space="preserve"> </w:t>
            </w:r>
            <w:r w:rsidRPr="0079454D">
              <w:rPr>
                <w:rFonts w:asciiTheme="majorBidi" w:hAnsiTheme="majorBidi" w:cstheme="majorBidi"/>
                <w:sz w:val="20"/>
                <w:lang w:val="fr-FR"/>
              </w:rPr>
              <w:t>200 voies télé</w:t>
            </w:r>
            <w:r w:rsidRPr="0079454D">
              <w:rPr>
                <w:rFonts w:asciiTheme="majorBidi" w:hAnsiTheme="majorBidi" w:cstheme="majorBidi"/>
                <w:sz w:val="20"/>
                <w:lang w:val="fr-FR"/>
              </w:rPr>
              <w:softHyphen/>
              <w:t>phoniques ou de plus de 70 Mbits/s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284" w:hanging="284"/>
              <w:rPr>
                <w:rFonts w:asciiTheme="majorBidi" w:hAnsiTheme="majorBidi" w:cstheme="majorBidi"/>
                <w:sz w:val="20"/>
                <w:lang w:val="fr-FR"/>
              </w:rPr>
            </w:pPr>
            <w:r w:rsidRPr="0079454D">
              <w:rPr>
                <w:rFonts w:asciiTheme="majorBidi" w:hAnsiTheme="majorBidi" w:cstheme="majorBidi"/>
                <w:sz w:val="20"/>
                <w:lang w:val="fr-FR"/>
              </w:rPr>
              <w:t>III</w:t>
            </w:r>
            <w:r w:rsidRPr="0079454D">
              <w:rPr>
                <w:rFonts w:asciiTheme="majorBidi" w:hAnsiTheme="majorBidi" w:cstheme="majorBidi"/>
                <w:sz w:val="20"/>
                <w:lang w:val="fr-FR"/>
              </w:rPr>
              <w:tab/>
              <w:t>SERVICE RADIOMARITIME TERRESTRE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b/>
                <w:bCs/>
                <w:sz w:val="20"/>
                <w:lang w:val="fr-FR"/>
              </w:rPr>
              <w:tab/>
            </w:r>
            <w:r w:rsidRPr="0079454D">
              <w:rPr>
                <w:rFonts w:asciiTheme="majorBidi" w:hAnsiTheme="majorBidi" w:cstheme="majorBidi"/>
                <w:sz w:val="20"/>
                <w:lang w:val="fr-FR"/>
              </w:rPr>
              <w:t>III.1</w:t>
            </w:r>
            <w:r w:rsidRPr="0079454D">
              <w:rPr>
                <w:rFonts w:asciiTheme="majorBidi" w:hAnsiTheme="majorBidi" w:cstheme="majorBidi"/>
                <w:sz w:val="20"/>
                <w:lang w:val="fr-FR"/>
              </w:rPr>
              <w:tab/>
              <w:t xml:space="preserve">Station côtière privée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87 000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3 480 000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 xml:space="preserve">Liaison radio téléphonique VHF (25 kHz)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174 000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 xml:space="preserve">Liaison radio téléphonique MF/HF (moins de 1 kHz)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139 200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A3</w:t>
            </w:r>
            <w:r w:rsidRPr="0079454D">
              <w:rPr>
                <w:rFonts w:asciiTheme="majorBidi" w:hAnsiTheme="majorBidi" w:cstheme="majorBidi"/>
                <w:sz w:val="20"/>
                <w:lang w:val="fr-FR"/>
              </w:rPr>
              <w:tab/>
              <w:t>Liaison radiotéléphonique MH/HF (3 kHz)</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417 600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III.2</w:t>
            </w:r>
            <w:r w:rsidRPr="0079454D">
              <w:rPr>
                <w:rFonts w:asciiTheme="majorBidi" w:hAnsiTheme="majorBidi" w:cstheme="majorBidi"/>
                <w:sz w:val="20"/>
                <w:lang w:val="fr-FR"/>
              </w:rPr>
              <w:tab/>
              <w:t xml:space="preserve">Station côtière ouverte à la correspondance publique (service commercial)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1 450 000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8 700 000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 xml:space="preserve">Liaison radio téléphonique VHF (25 kHz)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174 000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 xml:space="preserve">Liaison radio téléphonique MF/HF (moins de 1 kHz)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139 000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A3</w:t>
            </w:r>
            <w:r w:rsidRPr="0079454D">
              <w:rPr>
                <w:rFonts w:asciiTheme="majorBidi" w:hAnsiTheme="majorBidi" w:cstheme="majorBidi"/>
                <w:sz w:val="20"/>
                <w:lang w:val="fr-FR"/>
              </w:rPr>
              <w:tab/>
              <w:t xml:space="preserve">Liaison radiotéléphonique MH/HF (3 kHz)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417 600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III.3</w:t>
            </w:r>
            <w:r w:rsidRPr="0079454D">
              <w:rPr>
                <w:rFonts w:asciiTheme="majorBidi" w:hAnsiTheme="majorBidi" w:cstheme="majorBidi"/>
                <w:sz w:val="20"/>
                <w:lang w:val="fr-FR"/>
              </w:rPr>
              <w:tab/>
              <w:t xml:space="preserve">Station de navire de commerce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17 400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Opérations portuaires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174 000</w:t>
            </w: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III.4</w:t>
            </w:r>
            <w:r w:rsidRPr="0079454D">
              <w:rPr>
                <w:rFonts w:asciiTheme="majorBidi" w:hAnsiTheme="majorBidi" w:cstheme="majorBidi"/>
                <w:sz w:val="20"/>
                <w:lang w:val="fr-FR"/>
              </w:rPr>
              <w:tab/>
              <w:t>Station de navire de pêche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Moins de 150 tonneaux</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11 600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116 000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Plus de 150 tonneaux</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11 600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174 000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B1</w:t>
            </w:r>
            <w:r w:rsidRPr="0079454D">
              <w:rPr>
                <w:rFonts w:asciiTheme="majorBidi" w:hAnsiTheme="majorBidi" w:cstheme="majorBidi"/>
                <w:sz w:val="20"/>
                <w:lang w:val="fr-FR"/>
              </w:rPr>
              <w:tab/>
              <w:t xml:space="preserve">Opérations portuaires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174 000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III.5</w:t>
            </w:r>
            <w:r w:rsidRPr="0079454D">
              <w:rPr>
                <w:rFonts w:asciiTheme="majorBidi" w:hAnsiTheme="majorBidi" w:cstheme="majorBidi"/>
                <w:sz w:val="20"/>
                <w:lang w:val="fr-FR"/>
              </w:rPr>
              <w:tab/>
              <w:t xml:space="preserve">Navire de plaisance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11 600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NEANT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III.6</w:t>
            </w:r>
            <w:r w:rsidRPr="0079454D">
              <w:rPr>
                <w:rFonts w:asciiTheme="majorBidi" w:hAnsiTheme="majorBidi" w:cstheme="majorBidi"/>
                <w:sz w:val="20"/>
                <w:lang w:val="fr-FR"/>
              </w:rPr>
              <w:tab/>
              <w:t>Emetteur-récepteur gamme marine 55 canaux</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11 600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11 600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Forfait = 696 000</w:t>
            </w: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t xml:space="preserve">Taxe de visite ou de </w:t>
            </w:r>
            <w:r w:rsidR="0079454D" w:rsidRPr="0079454D">
              <w:rPr>
                <w:sz w:val="20"/>
                <w:lang w:val="fr-FR"/>
              </w:rPr>
              <w:t>contrôle</w:t>
            </w:r>
            <w:r w:rsidRPr="0079454D">
              <w:rPr>
                <w:sz w:val="20"/>
                <w:lang w:val="fr-FR"/>
              </w:rPr>
              <w:t xml:space="preserv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ind w:leftChars="-50" w:left="-110" w:rightChars="-50" w:right="-110"/>
              <w:rPr>
                <w:sz w:val="20"/>
                <w:lang w:val="fr-FR"/>
              </w:rPr>
            </w:pPr>
            <w:r w:rsidRPr="0079454D">
              <w:rPr>
                <w:sz w:val="20"/>
                <w:lang w:val="fr-FR"/>
              </w:rPr>
              <w:t xml:space="preserve">Contribution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79454D" w:rsidP="003C5D6B">
            <w:pPr>
              <w:pStyle w:val="TableNotitle"/>
              <w:spacing w:before="120"/>
              <w:ind w:leftChars="-50" w:left="-110" w:rightChars="-50" w:right="-110"/>
              <w:rPr>
                <w:sz w:val="20"/>
                <w:lang w:val="fr-FR"/>
              </w:rPr>
            </w:pPr>
            <w:r w:rsidRPr="0079454D">
              <w:rPr>
                <w:sz w:val="20"/>
                <w:lang w:val="fr-FR"/>
              </w:rPr>
              <w:t>Redevance</w:t>
            </w:r>
            <w:r w:rsidR="009F266C" w:rsidRPr="0079454D">
              <w:rPr>
                <w:sz w:val="20"/>
                <w:lang w:val="fr-FR"/>
              </w:rPr>
              <w:t xml:space="preserve"> pour l’utilisation d’une </w:t>
            </w:r>
            <w:r w:rsidRPr="0079454D">
              <w:rPr>
                <w:sz w:val="20"/>
                <w:lang w:val="fr-FR"/>
              </w:rPr>
              <w:t>fréquence</w:t>
            </w:r>
            <w:r w:rsidR="009F266C" w:rsidRPr="0079454D">
              <w:rPr>
                <w:sz w:val="20"/>
                <w:lang w:val="fr-FR"/>
              </w:rPr>
              <w:t xml:space="preserve"> ou d’un canal radioélectrique </w:t>
            </w: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284" w:hanging="284"/>
              <w:rPr>
                <w:rFonts w:asciiTheme="majorBidi" w:hAnsiTheme="majorBidi" w:cstheme="majorBidi"/>
                <w:sz w:val="20"/>
                <w:lang w:val="fr-FR"/>
              </w:rPr>
            </w:pPr>
            <w:r w:rsidRPr="0079454D">
              <w:rPr>
                <w:rFonts w:asciiTheme="majorBidi" w:hAnsiTheme="majorBidi" w:cstheme="majorBidi"/>
                <w:sz w:val="20"/>
                <w:lang w:val="fr-FR"/>
              </w:rPr>
              <w:t>IV</w:t>
            </w:r>
            <w:r w:rsidRPr="0079454D">
              <w:rPr>
                <w:rFonts w:asciiTheme="majorBidi" w:hAnsiTheme="majorBidi" w:cstheme="majorBidi"/>
                <w:sz w:val="20"/>
                <w:lang w:val="fr-FR"/>
              </w:rPr>
              <w:tab/>
              <w:t>STATION DU SERVICE MOBILE AERONAUTIQUE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1.</w:t>
            </w:r>
            <w:r w:rsidRPr="0079454D">
              <w:rPr>
                <w:rFonts w:asciiTheme="majorBidi" w:hAnsiTheme="majorBidi" w:cstheme="majorBidi"/>
                <w:sz w:val="20"/>
                <w:lang w:val="fr-FR"/>
              </w:rPr>
              <w:tab/>
              <w:t>Station aéronautique privée (service non officiel)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116 000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87 000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116 000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r>
            <w:r w:rsidRPr="0079454D">
              <w:rPr>
                <w:rFonts w:asciiTheme="majorBidi" w:hAnsiTheme="majorBidi" w:cstheme="majorBidi"/>
                <w:sz w:val="20"/>
                <w:lang w:val="fr-FR"/>
              </w:rPr>
              <w:tab/>
              <w:t>liaison sol-air</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145 000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b/>
                <w:bCs/>
                <w:sz w:val="20"/>
                <w:lang w:val="fr-FR"/>
              </w:rPr>
              <w:tab/>
            </w:r>
            <w:r w:rsidRPr="0079454D">
              <w:rPr>
                <w:rFonts w:asciiTheme="majorBidi" w:hAnsiTheme="majorBidi" w:cstheme="majorBidi"/>
                <w:b/>
                <w:bCs/>
                <w:sz w:val="20"/>
                <w:lang w:val="fr-FR"/>
              </w:rPr>
              <w:tab/>
            </w:r>
            <w:r w:rsidRPr="0079454D">
              <w:rPr>
                <w:rFonts w:asciiTheme="majorBidi" w:hAnsiTheme="majorBidi" w:cstheme="majorBidi"/>
                <w:b/>
                <w:bCs/>
                <w:sz w:val="20"/>
                <w:lang w:val="fr-FR"/>
              </w:rPr>
              <w:tab/>
            </w:r>
            <w:r w:rsidRPr="0079454D">
              <w:rPr>
                <w:rFonts w:asciiTheme="majorBidi" w:hAnsiTheme="majorBidi" w:cstheme="majorBidi"/>
                <w:sz w:val="20"/>
                <w:lang w:val="fr-FR"/>
              </w:rPr>
              <w:t>A2</w:t>
            </w:r>
            <w:r w:rsidRPr="0079454D">
              <w:rPr>
                <w:rFonts w:asciiTheme="majorBidi" w:hAnsiTheme="majorBidi" w:cstheme="majorBidi"/>
                <w:sz w:val="20"/>
                <w:lang w:val="fr-FR"/>
              </w:rPr>
              <w:tab/>
            </w:r>
            <w:r w:rsidRPr="0079454D">
              <w:rPr>
                <w:rFonts w:asciiTheme="majorBidi" w:hAnsiTheme="majorBidi" w:cstheme="majorBidi"/>
                <w:sz w:val="20"/>
                <w:lang w:val="fr-FR"/>
              </w:rPr>
              <w:tab/>
              <w:t xml:space="preserve">liaison sol-sol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2.</w:t>
            </w:r>
            <w:r w:rsidRPr="0079454D">
              <w:rPr>
                <w:rFonts w:asciiTheme="majorBidi" w:hAnsiTheme="majorBidi" w:cstheme="majorBidi"/>
                <w:sz w:val="20"/>
                <w:lang w:val="fr-FR"/>
              </w:rPr>
              <w:tab/>
              <w:t>Station d’aéronef civil de transport public</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17 400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3.</w:t>
            </w:r>
            <w:r w:rsidRPr="0079454D">
              <w:rPr>
                <w:rFonts w:asciiTheme="majorBidi" w:hAnsiTheme="majorBidi" w:cstheme="majorBidi"/>
                <w:sz w:val="20"/>
                <w:lang w:val="fr-FR"/>
              </w:rPr>
              <w:tab/>
              <w:t>Station d’aéronef privée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11 600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284" w:hanging="284"/>
              <w:rPr>
                <w:rFonts w:asciiTheme="majorBidi" w:hAnsiTheme="majorBidi" w:cstheme="majorBidi"/>
                <w:sz w:val="20"/>
                <w:lang w:val="fr-FR"/>
              </w:rPr>
            </w:pPr>
            <w:r w:rsidRPr="0079454D">
              <w:rPr>
                <w:rFonts w:asciiTheme="majorBidi" w:hAnsiTheme="majorBidi" w:cstheme="majorBidi"/>
                <w:sz w:val="20"/>
                <w:lang w:val="fr-FR"/>
              </w:rPr>
              <w:t>V</w:t>
            </w:r>
            <w:r w:rsidRPr="0079454D">
              <w:rPr>
                <w:rFonts w:asciiTheme="majorBidi" w:hAnsiTheme="majorBidi" w:cstheme="majorBidi"/>
                <w:sz w:val="20"/>
                <w:lang w:val="fr-FR"/>
              </w:rPr>
              <w:tab/>
              <w:t>STATIONS DE SERVICE AMATEUR</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Station de radiotéléphonie VHF/UMF</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8 700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Station de radiotéléphonie et radiotélégraphie MF/HF</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17 400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r>
    </w:tbl>
    <w:p w:rsidR="009F266C" w:rsidRPr="0079454D" w:rsidRDefault="009F266C" w:rsidP="009F266C">
      <w:pPr>
        <w:spacing w:before="0"/>
        <w:rPr>
          <w:sz w:val="18"/>
          <w:lang w:val="fr-FR"/>
        </w:rPr>
      </w:pPr>
    </w:p>
    <w:p w:rsidR="009F266C" w:rsidRPr="0079454D" w:rsidRDefault="009F266C" w:rsidP="009F266C">
      <w:pPr>
        <w:pStyle w:val="Heading1"/>
        <w:tabs>
          <w:tab w:val="clear" w:pos="794"/>
          <w:tab w:val="left" w:pos="426"/>
        </w:tabs>
        <w:rPr>
          <w:lang w:val="fr-FR"/>
        </w:rPr>
      </w:pPr>
      <w:bookmarkStart w:id="1232" w:name="_Toc280260070"/>
      <w:bookmarkStart w:id="1233" w:name="_Toc280260922"/>
      <w:bookmarkStart w:id="1234" w:name="_Toc280272535"/>
      <w:bookmarkStart w:id="1235" w:name="_Toc284414206"/>
      <w:bookmarkStart w:id="1236" w:name="_Toc286314950"/>
      <w:bookmarkStart w:id="1237" w:name="_Toc287523399"/>
      <w:r w:rsidRPr="0079454D">
        <w:rPr>
          <w:lang w:val="fr-FR"/>
        </w:rPr>
        <w:t>B</w:t>
      </w:r>
      <w:r w:rsidRPr="0079454D">
        <w:rPr>
          <w:lang w:val="fr-FR"/>
        </w:rPr>
        <w:tab/>
        <w:t xml:space="preserve">SERVICE DE RADIOCOMMUNICATION PAR </w:t>
      </w:r>
      <w:bookmarkEnd w:id="1232"/>
      <w:bookmarkEnd w:id="1233"/>
      <w:bookmarkEnd w:id="1234"/>
      <w:bookmarkEnd w:id="1235"/>
      <w:bookmarkEnd w:id="1236"/>
      <w:bookmarkEnd w:id="1237"/>
      <w:r w:rsidR="0079454D" w:rsidRPr="0079454D">
        <w:rPr>
          <w:lang w:val="fr-FR"/>
        </w:rPr>
        <w:t>SATELLITE</w:t>
      </w:r>
    </w:p>
    <w:p w:rsidR="009F266C" w:rsidRPr="0079454D" w:rsidRDefault="009F266C" w:rsidP="009F266C">
      <w:pPr>
        <w:spacing w:before="0"/>
        <w:rPr>
          <w:lang w:val="fr-FR"/>
        </w:rPr>
      </w:pPr>
    </w:p>
    <w:tbl>
      <w:tblPr>
        <w:tblW w:w="0" w:type="auto"/>
        <w:jc w:val="center"/>
        <w:tblBorders>
          <w:top w:val="nil"/>
          <w:left w:val="nil"/>
          <w:bottom w:val="nil"/>
          <w:right w:val="nil"/>
        </w:tblBorders>
        <w:tblLayout w:type="fixed"/>
        <w:tblLook w:val="0000"/>
      </w:tblPr>
      <w:tblGrid>
        <w:gridCol w:w="3969"/>
        <w:gridCol w:w="1418"/>
        <w:gridCol w:w="1418"/>
        <w:gridCol w:w="1418"/>
        <w:gridCol w:w="1418"/>
      </w:tblGrid>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t xml:space="preserve">Taxe de visite ou de </w:t>
            </w:r>
            <w:r w:rsidR="0079454D" w:rsidRPr="0079454D">
              <w:rPr>
                <w:sz w:val="20"/>
                <w:lang w:val="fr-FR"/>
              </w:rPr>
              <w:t>contrôle</w:t>
            </w:r>
            <w:r w:rsidRPr="0079454D">
              <w:rPr>
                <w:sz w:val="20"/>
                <w:lang w:val="fr-FR"/>
              </w:rPr>
              <w:t xml:space="preserv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79454D" w:rsidP="003C5D6B">
            <w:pPr>
              <w:pStyle w:val="TableNotitle"/>
              <w:spacing w:before="120"/>
              <w:ind w:leftChars="-50" w:left="-110" w:rightChars="-50" w:right="-110"/>
              <w:rPr>
                <w:sz w:val="20"/>
                <w:lang w:val="fr-FR"/>
              </w:rPr>
            </w:pPr>
            <w:r>
              <w:rPr>
                <w:sz w:val="20"/>
                <w:lang w:val="fr-FR"/>
              </w:rPr>
              <w:t>Redev</w:t>
            </w:r>
            <w:r w:rsidR="009F266C" w:rsidRPr="0079454D">
              <w:rPr>
                <w:sz w:val="20"/>
                <w:lang w:val="fr-FR"/>
              </w:rPr>
              <w:t>ance pour frais de gestion</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79454D" w:rsidP="003C5D6B">
            <w:pPr>
              <w:pStyle w:val="TableNotitle"/>
              <w:spacing w:before="120"/>
              <w:rPr>
                <w:sz w:val="20"/>
                <w:lang w:val="fr-FR"/>
              </w:rPr>
            </w:pPr>
            <w:r w:rsidRPr="0079454D">
              <w:rPr>
                <w:sz w:val="20"/>
                <w:lang w:val="fr-FR"/>
              </w:rPr>
              <w:t>Redevance</w:t>
            </w:r>
            <w:r w:rsidR="009F266C" w:rsidRPr="0079454D">
              <w:rPr>
                <w:sz w:val="20"/>
                <w:lang w:val="fr-FR"/>
              </w:rPr>
              <w:t xml:space="preserve"> pour l’utilisation d’un canal </w:t>
            </w:r>
            <w:r w:rsidRPr="0079454D">
              <w:rPr>
                <w:sz w:val="20"/>
                <w:lang w:val="fr-FR"/>
              </w:rPr>
              <w:t>radio</w:t>
            </w:r>
            <w:r>
              <w:rPr>
                <w:sz w:val="20"/>
                <w:lang w:val="fr-FR"/>
              </w:rPr>
              <w:t>-</w:t>
            </w:r>
            <w:r w:rsidRPr="0079454D">
              <w:rPr>
                <w:sz w:val="20"/>
                <w:lang w:val="fr-FR"/>
              </w:rPr>
              <w:t>électrique</w:t>
            </w:r>
            <w:r w:rsidR="009F266C" w:rsidRPr="0079454D">
              <w:rPr>
                <w:sz w:val="20"/>
                <w:lang w:val="fr-FR"/>
              </w:rPr>
              <w:t xml:space="preserve"> </w:t>
            </w: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284" w:hanging="284"/>
              <w:rPr>
                <w:rFonts w:asciiTheme="majorBidi" w:hAnsiTheme="majorBidi" w:cstheme="majorBidi"/>
                <w:sz w:val="20"/>
                <w:lang w:val="fr-FR"/>
              </w:rPr>
            </w:pPr>
            <w:r w:rsidRPr="0079454D">
              <w:rPr>
                <w:rFonts w:asciiTheme="majorBidi" w:hAnsiTheme="majorBidi" w:cstheme="majorBidi"/>
                <w:sz w:val="20"/>
                <w:lang w:val="fr-FR"/>
              </w:rPr>
              <w:t>I</w:t>
            </w:r>
            <w:r w:rsidRPr="0079454D">
              <w:rPr>
                <w:rFonts w:asciiTheme="majorBidi" w:hAnsiTheme="majorBidi" w:cstheme="majorBidi"/>
                <w:sz w:val="20"/>
                <w:lang w:val="fr-FR"/>
              </w:rPr>
              <w:tab/>
              <w:t xml:space="preserve">RESEAU ET STATION TERRIENNES A USAGE PRIVEE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I.1</w:t>
            </w:r>
            <w:r w:rsidRPr="0079454D">
              <w:rPr>
                <w:rFonts w:asciiTheme="majorBidi" w:hAnsiTheme="majorBidi" w:cstheme="majorBidi"/>
                <w:sz w:val="20"/>
                <w:lang w:val="fr-FR"/>
              </w:rPr>
              <w:tab/>
              <w:t xml:space="preserve">Réseau national (fixe ou mobile)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1 044 000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8 700 000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 xml:space="preserve">Station maîtresse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87 000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 xml:space="preserve">Station dépendante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B1</w:t>
            </w:r>
            <w:r w:rsidRPr="0079454D">
              <w:rPr>
                <w:rFonts w:asciiTheme="majorBidi" w:hAnsiTheme="majorBidi" w:cstheme="majorBidi"/>
                <w:sz w:val="20"/>
                <w:lang w:val="fr-FR"/>
              </w:rPr>
              <w:tab/>
              <w:t xml:space="preserve">Liaison de 1 à 24 voies téléphoniques ou moins de 2,1 Mbits/s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1 160 000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B2</w:t>
            </w:r>
            <w:r w:rsidRPr="0079454D">
              <w:rPr>
                <w:rFonts w:asciiTheme="majorBidi" w:hAnsiTheme="majorBidi" w:cstheme="majorBidi"/>
                <w:sz w:val="20"/>
                <w:lang w:val="fr-FR"/>
              </w:rPr>
              <w:tab/>
              <w:t xml:space="preserve">Liaison de 25à 120 voies téléphoniques ou moins de 2,1 à 8 Mbits/s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1 450 000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B3</w:t>
            </w:r>
            <w:r w:rsidRPr="0079454D">
              <w:rPr>
                <w:rFonts w:asciiTheme="majorBidi" w:hAnsiTheme="majorBidi" w:cstheme="majorBidi"/>
                <w:sz w:val="20"/>
                <w:lang w:val="fr-FR"/>
              </w:rPr>
              <w:tab/>
              <w:t>Liaison de 121 à 600 voies téléphoniques ou moins de 8 à 34 Mbits/s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1 740 000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B4</w:t>
            </w:r>
            <w:r w:rsidRPr="0079454D">
              <w:rPr>
                <w:rFonts w:asciiTheme="majorBidi" w:hAnsiTheme="majorBidi" w:cstheme="majorBidi"/>
                <w:sz w:val="20"/>
                <w:lang w:val="fr-FR"/>
              </w:rPr>
              <w:tab/>
              <w:t>Liaison de plus de 600 voies téléphoniques ou de plus de 34 Mbits/s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2 900 000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I.2</w:t>
            </w:r>
            <w:r w:rsidRPr="0079454D">
              <w:rPr>
                <w:rFonts w:asciiTheme="majorBidi" w:hAnsiTheme="majorBidi" w:cstheme="majorBidi"/>
                <w:sz w:val="20"/>
                <w:lang w:val="fr-FR"/>
              </w:rPr>
              <w:tab/>
              <w:t xml:space="preserve">Réseau international indépendant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116 000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348 000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I.3</w:t>
            </w:r>
            <w:r w:rsidRPr="0079454D">
              <w:rPr>
                <w:rFonts w:asciiTheme="majorBidi" w:hAnsiTheme="majorBidi" w:cstheme="majorBidi"/>
                <w:sz w:val="20"/>
                <w:lang w:val="fr-FR"/>
              </w:rPr>
              <w:tab/>
              <w:t xml:space="preserve">Micro station terrienne (VSAT) internationale dépendant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174 000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145 000</w:t>
            </w: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Notitle"/>
              <w:spacing w:before="120"/>
              <w:rPr>
                <w:sz w:val="20"/>
                <w:lang w:val="fr-FR"/>
              </w:rPr>
            </w:pPr>
            <w:r w:rsidRPr="0079454D">
              <w:rPr>
                <w:sz w:val="20"/>
                <w:lang w:val="fr-FR"/>
              </w:rPr>
              <w:t xml:space="preserve">Taxe de visite ou de </w:t>
            </w:r>
            <w:r w:rsidR="0079454D" w:rsidRPr="0079454D">
              <w:rPr>
                <w:sz w:val="20"/>
                <w:lang w:val="fr-FR"/>
              </w:rPr>
              <w:t>contrôle</w:t>
            </w:r>
            <w:r w:rsidRPr="0079454D">
              <w:rPr>
                <w:sz w:val="20"/>
                <w:lang w:val="fr-FR"/>
              </w:rPr>
              <w:t xml:space="preserv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79454D" w:rsidP="003C5D6B">
            <w:pPr>
              <w:pStyle w:val="TableNotitle"/>
              <w:spacing w:before="120"/>
              <w:ind w:leftChars="-50" w:left="-110" w:rightChars="-50" w:right="-110"/>
              <w:rPr>
                <w:sz w:val="20"/>
                <w:lang w:val="fr-FR"/>
              </w:rPr>
            </w:pPr>
            <w:r>
              <w:rPr>
                <w:sz w:val="20"/>
                <w:lang w:val="fr-FR"/>
              </w:rPr>
              <w:t>Redev</w:t>
            </w:r>
            <w:r w:rsidR="009F266C" w:rsidRPr="0079454D">
              <w:rPr>
                <w:sz w:val="20"/>
                <w:lang w:val="fr-FR"/>
              </w:rPr>
              <w:t>ance pour frais de gestion</w:t>
            </w:r>
          </w:p>
        </w:tc>
        <w:tc>
          <w:tcPr>
            <w:tcW w:w="1418"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79454D" w:rsidP="003C5D6B">
            <w:pPr>
              <w:pStyle w:val="TableNotitle"/>
              <w:spacing w:before="120"/>
              <w:rPr>
                <w:sz w:val="20"/>
                <w:lang w:val="fr-FR"/>
              </w:rPr>
            </w:pPr>
            <w:r w:rsidRPr="0079454D">
              <w:rPr>
                <w:sz w:val="20"/>
                <w:lang w:val="fr-FR"/>
              </w:rPr>
              <w:t>Redevance</w:t>
            </w:r>
            <w:r w:rsidR="009F266C" w:rsidRPr="0079454D">
              <w:rPr>
                <w:sz w:val="20"/>
                <w:lang w:val="fr-FR"/>
              </w:rPr>
              <w:t xml:space="preserve"> pour l’utilisation d’un canal radio</w:t>
            </w:r>
            <w:r w:rsidR="009F266C" w:rsidRPr="0079454D">
              <w:rPr>
                <w:sz w:val="20"/>
                <w:lang w:val="fr-FR"/>
              </w:rPr>
              <w:softHyphen/>
              <w:t xml:space="preserve">électrique </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I.4</w:t>
            </w:r>
            <w:r w:rsidRPr="0079454D">
              <w:rPr>
                <w:rFonts w:asciiTheme="majorBidi" w:hAnsiTheme="majorBidi" w:cstheme="majorBidi"/>
                <w:sz w:val="20"/>
                <w:lang w:val="fr-FR"/>
              </w:rPr>
              <w:tab/>
              <w:t xml:space="preserve">Station terrienne portable ou mobile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145 000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116 000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I.5</w:t>
            </w:r>
            <w:r w:rsidRPr="0079454D">
              <w:rPr>
                <w:rFonts w:asciiTheme="majorBidi" w:hAnsiTheme="majorBidi" w:cstheme="majorBidi"/>
                <w:sz w:val="20"/>
                <w:lang w:val="fr-FR"/>
              </w:rPr>
              <w:tab/>
              <w:t>Station terrienne de réception individuelle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11 600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14 500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284" w:hanging="284"/>
              <w:rPr>
                <w:rFonts w:asciiTheme="majorBidi" w:hAnsiTheme="majorBidi" w:cstheme="majorBidi"/>
                <w:sz w:val="20"/>
                <w:lang w:val="fr-FR"/>
              </w:rPr>
            </w:pPr>
            <w:r w:rsidRPr="0079454D">
              <w:rPr>
                <w:rFonts w:asciiTheme="majorBidi" w:hAnsiTheme="majorBidi" w:cstheme="majorBidi"/>
                <w:sz w:val="20"/>
                <w:lang w:val="fr-FR"/>
              </w:rPr>
              <w:t>II</w:t>
            </w:r>
            <w:r w:rsidRPr="0079454D">
              <w:rPr>
                <w:rFonts w:asciiTheme="majorBidi" w:hAnsiTheme="majorBidi" w:cstheme="majorBidi"/>
                <w:sz w:val="20"/>
                <w:lang w:val="fr-FR"/>
              </w:rPr>
              <w:tab/>
              <w:t xml:space="preserve">RESEAU ET STATIONS TERRIENNES OUVERTS AU PUBLIC (service commercial)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II.1</w:t>
            </w:r>
            <w:r w:rsidRPr="0079454D">
              <w:rPr>
                <w:rFonts w:asciiTheme="majorBidi" w:hAnsiTheme="majorBidi" w:cstheme="majorBidi"/>
                <w:sz w:val="20"/>
                <w:lang w:val="fr-FR"/>
              </w:rPr>
              <w:tab/>
              <w:t>Réseau national ouvert au public</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3 770 000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29 000 000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 xml:space="preserve">Station terrienne aéronautique côtière ou terrestre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 xml:space="preserve">Station terrienne d’aéronef de navire et terrestre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87 000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B1</w:t>
            </w:r>
            <w:r w:rsidRPr="0079454D">
              <w:rPr>
                <w:rFonts w:asciiTheme="majorBidi" w:hAnsiTheme="majorBidi" w:cstheme="majorBidi"/>
                <w:sz w:val="20"/>
                <w:lang w:val="fr-FR"/>
              </w:rPr>
              <w:tab/>
              <w:t xml:space="preserve">Liaison de 1 à 120 voies téléphoniques ou de 2 à 8 Mbits/s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B2</w:t>
            </w:r>
            <w:r w:rsidRPr="0079454D">
              <w:rPr>
                <w:rFonts w:asciiTheme="majorBidi" w:hAnsiTheme="majorBidi" w:cstheme="majorBidi"/>
                <w:sz w:val="20"/>
                <w:lang w:val="fr-FR"/>
              </w:rPr>
              <w:tab/>
              <w:t xml:space="preserve">Liaison de 121 à 600 voies téléphoniques ou de 8 à 34 Mbits/s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5 800 000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B3</w:t>
            </w:r>
            <w:r w:rsidRPr="0079454D">
              <w:rPr>
                <w:rFonts w:asciiTheme="majorBidi" w:hAnsiTheme="majorBidi" w:cstheme="majorBidi"/>
                <w:sz w:val="20"/>
                <w:lang w:val="fr-FR"/>
              </w:rPr>
              <w:tab/>
              <w:t xml:space="preserve">Liaison de 601 à 1200 voies téléphoniques ou de 34 à 70 Mbits/s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10 440 000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B4</w:t>
            </w:r>
            <w:r w:rsidRPr="0079454D">
              <w:rPr>
                <w:rFonts w:asciiTheme="majorBidi" w:hAnsiTheme="majorBidi" w:cstheme="majorBidi"/>
                <w:sz w:val="20"/>
                <w:lang w:val="fr-FR"/>
              </w:rPr>
              <w:tab/>
              <w:t xml:space="preserve">Liaison de plus de 1 200 voies téléphoniques ou plus de 70 Mbits/s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14 500 000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II.2</w:t>
            </w:r>
            <w:r w:rsidRPr="0079454D">
              <w:rPr>
                <w:rFonts w:asciiTheme="majorBidi" w:hAnsiTheme="majorBidi" w:cstheme="majorBidi"/>
                <w:sz w:val="20"/>
                <w:lang w:val="fr-FR"/>
              </w:rPr>
              <w:tab/>
              <w:t>Station terrienne reliée au réseau public international</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17 400 000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II.3</w:t>
            </w:r>
            <w:r w:rsidRPr="0079454D">
              <w:rPr>
                <w:rFonts w:asciiTheme="majorBidi" w:hAnsiTheme="majorBidi" w:cstheme="majorBidi"/>
                <w:sz w:val="20"/>
                <w:lang w:val="fr-FR"/>
              </w:rPr>
              <w:tab/>
              <w:t xml:space="preserve">Station terrienne d’un réseau international indépendant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1 740 000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87 000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11 600 000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3 480 000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II.4</w:t>
            </w:r>
            <w:r w:rsidRPr="0079454D">
              <w:rPr>
                <w:rFonts w:asciiTheme="majorBidi" w:hAnsiTheme="majorBidi" w:cstheme="majorBidi"/>
                <w:sz w:val="20"/>
                <w:lang w:val="fr-FR"/>
              </w:rPr>
              <w:tab/>
              <w:t xml:space="preserve">Station VSAT internationale indépendant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870 000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34 800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5 800 000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1 740 000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t>II.5</w:t>
            </w:r>
            <w:r w:rsidRPr="0079454D">
              <w:rPr>
                <w:rFonts w:asciiTheme="majorBidi" w:hAnsiTheme="majorBidi" w:cstheme="majorBidi"/>
                <w:sz w:val="20"/>
                <w:lang w:val="fr-FR"/>
              </w:rPr>
              <w:tab/>
              <w:t xml:space="preserve">Station terrienne de réception communautaire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34 000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2 900 000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 xml:space="preserve">Réception de moins de 5 programmes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14 500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1 450 000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 xml:space="preserve">Réception de moins de 5 à 10 programmes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5 800 000</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A3</w:t>
            </w:r>
            <w:r w:rsidRPr="0079454D">
              <w:rPr>
                <w:rFonts w:asciiTheme="majorBidi" w:hAnsiTheme="majorBidi" w:cstheme="majorBidi"/>
                <w:sz w:val="20"/>
                <w:lang w:val="fr-FR"/>
              </w:rPr>
              <w:tab/>
              <w:t>Réception de plus de 10 programmes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145 000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58 000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1 160 000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11 600 000</w:t>
            </w:r>
          </w:p>
        </w:tc>
      </w:tr>
    </w:tbl>
    <w:p w:rsidR="009F266C" w:rsidRPr="0079454D" w:rsidRDefault="009F266C" w:rsidP="009F266C">
      <w:pPr>
        <w:rPr>
          <w:lang w:val="fr-FR"/>
        </w:rPr>
      </w:pPr>
    </w:p>
    <w:p w:rsidR="009F266C" w:rsidRPr="0079454D" w:rsidRDefault="009F266C" w:rsidP="009F266C">
      <w:pPr>
        <w:tabs>
          <w:tab w:val="clear" w:pos="794"/>
          <w:tab w:val="clear" w:pos="1191"/>
          <w:tab w:val="clear" w:pos="1588"/>
          <w:tab w:val="clear" w:pos="1985"/>
        </w:tabs>
        <w:overflowPunct/>
        <w:autoSpaceDE/>
        <w:autoSpaceDN/>
        <w:adjustRightInd/>
        <w:spacing w:before="0"/>
        <w:jc w:val="left"/>
        <w:textAlignment w:val="auto"/>
        <w:rPr>
          <w:b/>
          <w:lang w:val="fr-FR"/>
        </w:rPr>
      </w:pPr>
      <w:bookmarkStart w:id="1238" w:name="_Toc280260071"/>
      <w:bookmarkStart w:id="1239" w:name="_Toc280260923"/>
      <w:r w:rsidRPr="0079454D">
        <w:rPr>
          <w:lang w:val="fr-FR"/>
        </w:rPr>
        <w:br w:type="page"/>
      </w:r>
    </w:p>
    <w:p w:rsidR="009F266C" w:rsidRPr="0079454D" w:rsidRDefault="009F266C" w:rsidP="009F266C">
      <w:pPr>
        <w:pStyle w:val="Heading1"/>
        <w:tabs>
          <w:tab w:val="clear" w:pos="794"/>
          <w:tab w:val="left" w:pos="426"/>
        </w:tabs>
        <w:rPr>
          <w:lang w:val="fr-FR"/>
        </w:rPr>
      </w:pPr>
      <w:bookmarkStart w:id="1240" w:name="_Toc280272536"/>
      <w:bookmarkStart w:id="1241" w:name="_Toc284414207"/>
      <w:bookmarkStart w:id="1242" w:name="_Toc286314951"/>
      <w:bookmarkStart w:id="1243" w:name="_Toc287523400"/>
      <w:r w:rsidRPr="0079454D">
        <w:rPr>
          <w:lang w:val="fr-FR"/>
        </w:rPr>
        <w:lastRenderedPageBreak/>
        <w:t>C</w:t>
      </w:r>
      <w:r w:rsidRPr="0079454D">
        <w:rPr>
          <w:lang w:val="fr-FR"/>
        </w:rPr>
        <w:tab/>
        <w:t xml:space="preserve">UTILISATION TEMPORAIRE DE STATIONS </w:t>
      </w:r>
      <w:bookmarkEnd w:id="1238"/>
      <w:bookmarkEnd w:id="1239"/>
      <w:bookmarkEnd w:id="1240"/>
      <w:bookmarkEnd w:id="1241"/>
      <w:bookmarkEnd w:id="1242"/>
      <w:bookmarkEnd w:id="1243"/>
      <w:r w:rsidR="0079454D" w:rsidRPr="0079454D">
        <w:rPr>
          <w:lang w:val="fr-FR"/>
        </w:rPr>
        <w:t>RADIOELECTRIQUES</w:t>
      </w:r>
      <w:r w:rsidRPr="0079454D">
        <w:rPr>
          <w:lang w:val="fr-FR"/>
        </w:rPr>
        <w:t xml:space="preserve"> </w:t>
      </w:r>
    </w:p>
    <w:p w:rsidR="009F266C" w:rsidRPr="0079454D" w:rsidRDefault="009F266C" w:rsidP="009F266C">
      <w:pPr>
        <w:spacing w:before="0"/>
        <w:rPr>
          <w:lang w:val="fr-FR"/>
        </w:rPr>
      </w:pPr>
    </w:p>
    <w:tbl>
      <w:tblPr>
        <w:tblW w:w="0" w:type="auto"/>
        <w:jc w:val="center"/>
        <w:tblBorders>
          <w:top w:val="nil"/>
          <w:left w:val="nil"/>
          <w:bottom w:val="nil"/>
          <w:right w:val="nil"/>
        </w:tblBorders>
        <w:tblLayout w:type="fixed"/>
        <w:tblLook w:val="0000"/>
      </w:tblPr>
      <w:tblGrid>
        <w:gridCol w:w="3969"/>
        <w:gridCol w:w="1418"/>
        <w:gridCol w:w="1418"/>
        <w:gridCol w:w="1418"/>
        <w:gridCol w:w="1418"/>
      </w:tblGrid>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Notitle"/>
              <w:spacing w:before="120"/>
              <w:rPr>
                <w:lang w:val="fr-FR"/>
              </w:rPr>
            </w:pPr>
            <w:r w:rsidRPr="0079454D">
              <w:rPr>
                <w:lang w:val="fr-FR"/>
              </w:rPr>
              <w:t>Réseaux ou stations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Notitle"/>
              <w:spacing w:before="120"/>
              <w:rPr>
                <w:lang w:val="fr-FR"/>
              </w:rPr>
            </w:pPr>
            <w:r w:rsidRPr="0079454D">
              <w:rPr>
                <w:lang w:val="fr-FR"/>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Notitle"/>
              <w:spacing w:before="120"/>
              <w:rPr>
                <w:lang w:val="fr-FR"/>
              </w:rPr>
            </w:pPr>
            <w:r w:rsidRPr="0079454D">
              <w:rPr>
                <w:lang w:val="fr-FR"/>
              </w:rPr>
              <w:t xml:space="preserve">Taxe de visite ou de </w:t>
            </w:r>
            <w:r w:rsidR="0079454D" w:rsidRPr="0079454D">
              <w:rPr>
                <w:lang w:val="fr-FR"/>
              </w:rPr>
              <w:t>contrôle</w:t>
            </w:r>
            <w:r w:rsidRPr="0079454D">
              <w:rPr>
                <w:lang w:val="fr-FR"/>
              </w:rPr>
              <w:t xml:space="preserve"> des stations</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79454D" w:rsidP="003C5D6B">
            <w:pPr>
              <w:pStyle w:val="TableNotitle"/>
              <w:spacing w:before="120"/>
              <w:ind w:leftChars="-50" w:left="-110" w:rightChars="-50" w:right="-110"/>
              <w:rPr>
                <w:lang w:val="fr-FR"/>
              </w:rPr>
            </w:pPr>
            <w:r>
              <w:rPr>
                <w:lang w:val="fr-FR"/>
              </w:rPr>
              <w:t>Redev</w:t>
            </w:r>
            <w:r w:rsidR="009F266C" w:rsidRPr="0079454D">
              <w:rPr>
                <w:lang w:val="fr-FR"/>
              </w:rPr>
              <w:t>ance pour frais de gestion</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79454D" w:rsidP="003C5D6B">
            <w:pPr>
              <w:pStyle w:val="TableNotitle"/>
              <w:spacing w:before="120"/>
              <w:rPr>
                <w:lang w:val="fr-FR"/>
              </w:rPr>
            </w:pPr>
            <w:r w:rsidRPr="0079454D">
              <w:rPr>
                <w:lang w:val="fr-FR"/>
              </w:rPr>
              <w:t>Redevance</w:t>
            </w:r>
            <w:r w:rsidR="009F266C" w:rsidRPr="0079454D">
              <w:rPr>
                <w:lang w:val="fr-FR"/>
              </w:rPr>
              <w:t xml:space="preserve"> pour utilisation de fréquence</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284" w:hanging="284"/>
              <w:rPr>
                <w:rFonts w:asciiTheme="majorBidi" w:hAnsiTheme="majorBidi" w:cstheme="majorBidi"/>
                <w:sz w:val="20"/>
                <w:lang w:val="fr-FR"/>
              </w:rPr>
            </w:pPr>
            <w:r w:rsidRPr="0079454D">
              <w:rPr>
                <w:rFonts w:asciiTheme="majorBidi" w:hAnsiTheme="majorBidi" w:cstheme="majorBidi"/>
                <w:b/>
                <w:bCs/>
                <w:sz w:val="20"/>
                <w:lang w:val="fr-FR"/>
              </w:rPr>
              <w:t xml:space="preserve">1 – Services de terre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E92FFB"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 xml:space="preserve">Station fixe ou de base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11 600</w:t>
            </w:r>
          </w:p>
        </w:tc>
        <w:tc>
          <w:tcPr>
            <w:tcW w:w="1418" w:type="dxa"/>
            <w:vMerge w:val="restart"/>
            <w:tcBorders>
              <w:top w:val="single" w:sz="6" w:space="0" w:color="000000"/>
              <w:left w:val="single" w:sz="4"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Calculée au mois entier, au prorata du temps d’utilisation</w:t>
            </w:r>
          </w:p>
        </w:tc>
        <w:tc>
          <w:tcPr>
            <w:tcW w:w="1418" w:type="dxa"/>
            <w:vMerge w:val="restart"/>
            <w:tcBorders>
              <w:top w:val="single" w:sz="6" w:space="0" w:color="000000"/>
              <w:left w:val="single" w:sz="4"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Calculée au mois entier, au prorata du temps d’utilisation</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 xml:space="preserve">Station mobile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8 700</w:t>
            </w:r>
          </w:p>
        </w:tc>
        <w:tc>
          <w:tcPr>
            <w:tcW w:w="1418" w:type="dxa"/>
            <w:vMerge/>
            <w:tcBorders>
              <w:left w:val="single" w:sz="4" w:space="0" w:color="000000"/>
              <w:right w:val="single" w:sz="4" w:space="0" w:color="000000"/>
            </w:tcBorders>
          </w:tcPr>
          <w:p w:rsidR="009F266C" w:rsidRPr="0079454D" w:rsidRDefault="009F266C" w:rsidP="003C5D6B">
            <w:pPr>
              <w:pStyle w:val="TableText0"/>
              <w:jc w:val="center"/>
              <w:rPr>
                <w:sz w:val="20"/>
                <w:lang w:val="fr-FR"/>
              </w:rPr>
            </w:pPr>
          </w:p>
        </w:tc>
        <w:tc>
          <w:tcPr>
            <w:tcW w:w="1418" w:type="dxa"/>
            <w:vMerge/>
            <w:tcBorders>
              <w:left w:val="single" w:sz="4"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A3</w:t>
            </w:r>
            <w:r w:rsidRPr="0079454D">
              <w:rPr>
                <w:rFonts w:asciiTheme="majorBidi" w:hAnsiTheme="majorBidi" w:cstheme="majorBidi"/>
                <w:sz w:val="20"/>
                <w:lang w:val="fr-FR"/>
              </w:rPr>
              <w:tab/>
              <w:t>Station portable ou portative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5 800</w:t>
            </w:r>
          </w:p>
        </w:tc>
        <w:tc>
          <w:tcPr>
            <w:tcW w:w="1418" w:type="dxa"/>
            <w:vMerge/>
            <w:tcBorders>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vMerge/>
            <w:tcBorders>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b/>
                <w:bCs/>
                <w:sz w:val="20"/>
                <w:lang w:val="fr-FR"/>
              </w:rPr>
              <w:t xml:space="preserve">2 – Service spatiaux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A1</w:t>
            </w:r>
            <w:r w:rsidRPr="0079454D">
              <w:rPr>
                <w:rFonts w:asciiTheme="majorBidi" w:hAnsiTheme="majorBidi" w:cstheme="majorBidi"/>
                <w:sz w:val="20"/>
                <w:lang w:val="fr-FR"/>
              </w:rPr>
              <w:tab/>
              <w:t xml:space="preserve">Station terrienne aéronautique, côtière ou terrestre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29 000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A2</w:t>
            </w:r>
            <w:r w:rsidRPr="0079454D">
              <w:rPr>
                <w:rFonts w:asciiTheme="majorBidi" w:hAnsiTheme="majorBidi" w:cstheme="majorBidi"/>
                <w:sz w:val="20"/>
                <w:lang w:val="fr-FR"/>
              </w:rPr>
              <w:tab/>
              <w:t xml:space="preserve">Station terrienne mobile </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17 400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9F266C" w:rsidRPr="0079454D" w:rsidRDefault="009F266C" w:rsidP="003C5D6B">
            <w:pPr>
              <w:pStyle w:val="TableText0"/>
              <w:tabs>
                <w:tab w:val="clear" w:pos="567"/>
                <w:tab w:val="left" w:pos="444"/>
              </w:tabs>
              <w:ind w:left="851" w:hanging="851"/>
              <w:rPr>
                <w:rFonts w:asciiTheme="majorBidi" w:hAnsiTheme="majorBidi" w:cstheme="majorBidi"/>
                <w:sz w:val="20"/>
                <w:lang w:val="fr-FR"/>
              </w:rPr>
            </w:pPr>
            <w:r w:rsidRPr="0079454D">
              <w:rPr>
                <w:rFonts w:asciiTheme="majorBidi" w:hAnsiTheme="majorBidi" w:cstheme="majorBidi"/>
                <w:sz w:val="20"/>
                <w:lang w:val="fr-FR"/>
              </w:rPr>
              <w:tab/>
            </w:r>
            <w:r w:rsidRPr="0079454D">
              <w:rPr>
                <w:rFonts w:asciiTheme="majorBidi" w:hAnsiTheme="majorBidi" w:cstheme="majorBidi"/>
                <w:sz w:val="20"/>
                <w:lang w:val="fr-FR"/>
              </w:rPr>
              <w:tab/>
              <w:t>A3</w:t>
            </w:r>
            <w:r w:rsidRPr="0079454D">
              <w:rPr>
                <w:rFonts w:asciiTheme="majorBidi" w:hAnsiTheme="majorBidi" w:cstheme="majorBidi"/>
                <w:sz w:val="20"/>
                <w:lang w:val="fr-FR"/>
              </w:rPr>
              <w:tab/>
              <w:t>Station terrienne portable ou portative</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Néant</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r w:rsidRPr="0079454D">
              <w:rPr>
                <w:sz w:val="20"/>
                <w:lang w:val="fr-FR"/>
              </w:rPr>
              <w:t>11 600</w:t>
            </w: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c>
          <w:tcPr>
            <w:tcW w:w="1418"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TableText0"/>
              <w:jc w:val="center"/>
              <w:rPr>
                <w:sz w:val="20"/>
                <w:lang w:val="fr-FR"/>
              </w:rPr>
            </w:pPr>
          </w:p>
        </w:tc>
      </w:tr>
    </w:tbl>
    <w:p w:rsidR="009F266C" w:rsidRPr="0079454D" w:rsidRDefault="009F266C" w:rsidP="009F266C">
      <w:pPr>
        <w:rPr>
          <w:lang w:val="fr-FR"/>
        </w:rPr>
      </w:pPr>
    </w:p>
    <w:p w:rsidR="009F266C" w:rsidRPr="0079454D" w:rsidRDefault="009F266C" w:rsidP="009F266C">
      <w:pPr>
        <w:pStyle w:val="Heading1"/>
        <w:rPr>
          <w:lang w:val="fr-FR"/>
        </w:rPr>
      </w:pPr>
      <w:bookmarkStart w:id="1244" w:name="_Toc280260072"/>
      <w:bookmarkStart w:id="1245" w:name="_Toc280260924"/>
      <w:bookmarkStart w:id="1246" w:name="_Toc280272537"/>
      <w:bookmarkStart w:id="1247" w:name="_Toc284414208"/>
      <w:bookmarkStart w:id="1248" w:name="_Toc286314952"/>
      <w:bookmarkStart w:id="1249" w:name="_Toc287523401"/>
      <w:r w:rsidRPr="0079454D">
        <w:rPr>
          <w:lang w:val="fr-FR"/>
        </w:rPr>
        <w:t>I – DROITS ET TAXES DIVERS EQUIPEMENTS SPECIAUX</w:t>
      </w:r>
      <w:bookmarkEnd w:id="1244"/>
      <w:bookmarkEnd w:id="1245"/>
      <w:bookmarkEnd w:id="1246"/>
      <w:bookmarkEnd w:id="1247"/>
      <w:bookmarkEnd w:id="1248"/>
      <w:bookmarkEnd w:id="1249"/>
    </w:p>
    <w:p w:rsidR="009F266C" w:rsidRPr="0079454D" w:rsidRDefault="009F266C" w:rsidP="009F266C">
      <w:pPr>
        <w:rPr>
          <w:lang w:val="fr-FR"/>
        </w:rPr>
      </w:pPr>
    </w:p>
    <w:tbl>
      <w:tblPr>
        <w:tblStyle w:val="TableGrid"/>
        <w:tblW w:w="0" w:type="auto"/>
        <w:tblLook w:val="04A0"/>
      </w:tblPr>
      <w:tblGrid>
        <w:gridCol w:w="9855"/>
      </w:tblGrid>
      <w:tr w:rsidR="009F266C" w:rsidRPr="0079454D" w:rsidTr="003C5D6B">
        <w:tc>
          <w:tcPr>
            <w:tcW w:w="9855" w:type="dxa"/>
          </w:tcPr>
          <w:p w:rsidR="009F266C" w:rsidRPr="0079454D" w:rsidRDefault="009F266C" w:rsidP="003C5D6B">
            <w:pPr>
              <w:pStyle w:val="enumlev1"/>
              <w:rPr>
                <w:sz w:val="20"/>
                <w:lang w:val="fr-FR"/>
              </w:rPr>
            </w:pPr>
            <w:r w:rsidRPr="0079454D">
              <w:rPr>
                <w:sz w:val="20"/>
                <w:lang w:val="fr-FR"/>
              </w:rPr>
              <w:t>1.</w:t>
            </w:r>
            <w:r w:rsidRPr="0079454D">
              <w:rPr>
                <w:sz w:val="20"/>
                <w:lang w:val="fr-FR"/>
              </w:rPr>
              <w:tab/>
              <w:t xml:space="preserve">Emetteurs – Récepteur de faible puissance ou poste «CB» Taxes annuelles forfaitaires </w:t>
            </w:r>
            <w:r w:rsidRPr="0079454D">
              <w:rPr>
                <w:b/>
                <w:bCs/>
                <w:sz w:val="20"/>
                <w:lang w:val="fr-FR"/>
              </w:rPr>
              <w:t xml:space="preserve">23 200 F </w:t>
            </w:r>
          </w:p>
          <w:p w:rsidR="009F266C" w:rsidRPr="0079454D" w:rsidRDefault="009F266C" w:rsidP="003C5D6B">
            <w:pPr>
              <w:rPr>
                <w:sz w:val="20"/>
                <w:lang w:val="fr-FR"/>
              </w:rPr>
            </w:pPr>
            <w:r w:rsidRPr="0079454D">
              <w:rPr>
                <w:sz w:val="20"/>
                <w:lang w:val="fr-FR"/>
              </w:rPr>
              <w:t>2.</w:t>
            </w:r>
            <w:r w:rsidRPr="0079454D">
              <w:rPr>
                <w:sz w:val="20"/>
                <w:lang w:val="fr-FR"/>
              </w:rPr>
              <w:tab/>
              <w:t>Installations de radiocommande de modèle réduit.</w:t>
            </w:r>
          </w:p>
          <w:p w:rsidR="009F266C" w:rsidRPr="0079454D" w:rsidRDefault="009F266C" w:rsidP="003C5D6B">
            <w:pPr>
              <w:spacing w:after="80"/>
              <w:rPr>
                <w:sz w:val="20"/>
                <w:lang w:val="fr-FR"/>
              </w:rPr>
            </w:pPr>
            <w:r w:rsidRPr="0079454D">
              <w:rPr>
                <w:sz w:val="20"/>
                <w:lang w:val="fr-FR"/>
              </w:rPr>
              <w:t xml:space="preserve">Taxes spéciale (5 ans ) </w:t>
            </w:r>
            <w:r w:rsidRPr="0079454D">
              <w:rPr>
                <w:b/>
                <w:bCs/>
                <w:sz w:val="20"/>
                <w:lang w:val="fr-FR"/>
              </w:rPr>
              <w:t>29 000 F</w:t>
            </w:r>
          </w:p>
        </w:tc>
      </w:tr>
    </w:tbl>
    <w:p w:rsidR="009F266C" w:rsidRPr="0079454D" w:rsidRDefault="009F266C" w:rsidP="009F266C">
      <w:pPr>
        <w:pStyle w:val="Heading1"/>
        <w:rPr>
          <w:lang w:val="fr-FR"/>
        </w:rPr>
      </w:pPr>
      <w:bookmarkStart w:id="1250" w:name="_Toc280260073"/>
      <w:bookmarkStart w:id="1251" w:name="_Toc280260925"/>
      <w:bookmarkStart w:id="1252" w:name="_Toc280272538"/>
      <w:bookmarkStart w:id="1253" w:name="_Toc284414209"/>
      <w:bookmarkStart w:id="1254" w:name="_Toc286314953"/>
      <w:bookmarkStart w:id="1255" w:name="_Toc287523402"/>
      <w:r w:rsidRPr="0079454D">
        <w:rPr>
          <w:lang w:val="fr-FR"/>
        </w:rPr>
        <w:t>II – DROIT DE LICENCE/CERTIFICAT</w:t>
      </w:r>
      <w:bookmarkEnd w:id="1250"/>
      <w:bookmarkEnd w:id="1251"/>
      <w:bookmarkEnd w:id="1252"/>
      <w:bookmarkEnd w:id="1253"/>
      <w:bookmarkEnd w:id="1254"/>
      <w:bookmarkEnd w:id="1255"/>
    </w:p>
    <w:p w:rsidR="009F266C" w:rsidRPr="0079454D" w:rsidRDefault="009F266C" w:rsidP="009F266C">
      <w:pPr>
        <w:rPr>
          <w:lang w:val="fr-FR"/>
        </w:rPr>
      </w:pPr>
    </w:p>
    <w:tbl>
      <w:tblPr>
        <w:tblW w:w="0" w:type="auto"/>
        <w:jc w:val="center"/>
        <w:tblBorders>
          <w:top w:val="nil"/>
          <w:left w:val="nil"/>
          <w:bottom w:val="nil"/>
          <w:right w:val="nil"/>
        </w:tblBorders>
        <w:tblLayout w:type="fixed"/>
        <w:tblLook w:val="0000"/>
      </w:tblPr>
      <w:tblGrid>
        <w:gridCol w:w="3686"/>
        <w:gridCol w:w="1985"/>
        <w:gridCol w:w="1985"/>
        <w:gridCol w:w="1985"/>
      </w:tblGrid>
      <w:tr w:rsidR="009F266C" w:rsidRPr="0079454D" w:rsidTr="003C5D6B">
        <w:trPr>
          <w:jc w:val="center"/>
        </w:trPr>
        <w:tc>
          <w:tcPr>
            <w:tcW w:w="3686" w:type="dxa"/>
            <w:tcBorders>
              <w:top w:val="single" w:sz="4" w:space="0" w:color="000000"/>
              <w:left w:val="single" w:sz="4" w:space="0" w:color="000000"/>
              <w:right w:val="single" w:sz="4" w:space="0" w:color="000000"/>
            </w:tcBorders>
          </w:tcPr>
          <w:p w:rsidR="009F266C" w:rsidRPr="0079454D" w:rsidRDefault="009F266C" w:rsidP="003C5D6B">
            <w:pPr>
              <w:pStyle w:val="TableNotitle"/>
              <w:spacing w:before="120"/>
              <w:rPr>
                <w:sz w:val="20"/>
                <w:lang w:val="fr-FR"/>
              </w:rPr>
            </w:pPr>
          </w:p>
        </w:tc>
        <w:tc>
          <w:tcPr>
            <w:tcW w:w="1985" w:type="dxa"/>
            <w:tcBorders>
              <w:top w:val="single" w:sz="4" w:space="0" w:color="000000"/>
              <w:left w:val="single" w:sz="4" w:space="0" w:color="000000"/>
              <w:right w:val="single" w:sz="4" w:space="0" w:color="000000"/>
            </w:tcBorders>
            <w:vAlign w:val="bottom"/>
          </w:tcPr>
          <w:p w:rsidR="009F266C" w:rsidRPr="0079454D" w:rsidRDefault="009F266C" w:rsidP="003C5D6B">
            <w:pPr>
              <w:pStyle w:val="TableNotitle"/>
              <w:spacing w:before="120"/>
              <w:rPr>
                <w:sz w:val="20"/>
                <w:lang w:val="fr-FR"/>
              </w:rPr>
            </w:pPr>
            <w:r w:rsidRPr="0079454D">
              <w:rPr>
                <w:bCs/>
                <w:sz w:val="20"/>
                <w:lang w:val="fr-FR"/>
              </w:rPr>
              <w:t xml:space="preserve">Établissement </w:t>
            </w:r>
          </w:p>
        </w:tc>
        <w:tc>
          <w:tcPr>
            <w:tcW w:w="1985" w:type="dxa"/>
            <w:tcBorders>
              <w:top w:val="single" w:sz="4" w:space="0" w:color="000000"/>
              <w:left w:val="single" w:sz="4" w:space="0" w:color="000000"/>
              <w:right w:val="single" w:sz="4" w:space="0" w:color="000000"/>
            </w:tcBorders>
            <w:vAlign w:val="bottom"/>
          </w:tcPr>
          <w:p w:rsidR="009F266C" w:rsidRPr="0079454D" w:rsidRDefault="009F266C" w:rsidP="003C5D6B">
            <w:pPr>
              <w:pStyle w:val="TableNotitle"/>
              <w:spacing w:before="120"/>
              <w:rPr>
                <w:sz w:val="20"/>
                <w:lang w:val="fr-FR"/>
              </w:rPr>
            </w:pPr>
            <w:r w:rsidRPr="0079454D">
              <w:rPr>
                <w:bCs/>
                <w:sz w:val="20"/>
                <w:lang w:val="fr-FR"/>
              </w:rPr>
              <w:t xml:space="preserve">Renouvellement </w:t>
            </w:r>
          </w:p>
        </w:tc>
        <w:tc>
          <w:tcPr>
            <w:tcW w:w="1985" w:type="dxa"/>
            <w:tcBorders>
              <w:top w:val="single" w:sz="4" w:space="0" w:color="000000"/>
              <w:left w:val="single" w:sz="4" w:space="0" w:color="000000"/>
              <w:right w:val="single" w:sz="4" w:space="0" w:color="000000"/>
            </w:tcBorders>
            <w:vAlign w:val="bottom"/>
          </w:tcPr>
          <w:p w:rsidR="009F266C" w:rsidRPr="0079454D" w:rsidRDefault="009F266C" w:rsidP="003C5D6B">
            <w:pPr>
              <w:pStyle w:val="TableNotitle"/>
              <w:spacing w:before="120"/>
              <w:rPr>
                <w:sz w:val="20"/>
                <w:lang w:val="fr-FR"/>
              </w:rPr>
            </w:pPr>
            <w:r w:rsidRPr="0079454D">
              <w:rPr>
                <w:bCs/>
                <w:sz w:val="20"/>
                <w:lang w:val="fr-FR"/>
              </w:rPr>
              <w:t xml:space="preserve">DUPLICATA </w:t>
            </w:r>
          </w:p>
        </w:tc>
      </w:tr>
      <w:tr w:rsidR="009F266C" w:rsidRPr="0079454D" w:rsidTr="003C5D6B">
        <w:trPr>
          <w:jc w:val="center"/>
        </w:trPr>
        <w:tc>
          <w:tcPr>
            <w:tcW w:w="3686" w:type="dxa"/>
            <w:tcBorders>
              <w:left w:val="single" w:sz="4" w:space="0" w:color="000000"/>
              <w:right w:val="single" w:sz="4" w:space="0" w:color="000000"/>
            </w:tcBorders>
          </w:tcPr>
          <w:p w:rsidR="009F266C" w:rsidRPr="0079454D" w:rsidRDefault="009F266C" w:rsidP="003C5D6B">
            <w:pPr>
              <w:pStyle w:val="Default"/>
              <w:tabs>
                <w:tab w:val="left" w:pos="420"/>
              </w:tabs>
              <w:ind w:left="420" w:hanging="420"/>
              <w:rPr>
                <w:rFonts w:asciiTheme="majorBidi" w:hAnsiTheme="majorBidi" w:cstheme="majorBidi"/>
                <w:sz w:val="20"/>
                <w:lang w:val="fr-FR"/>
              </w:rPr>
            </w:pPr>
            <w:r w:rsidRPr="0079454D">
              <w:rPr>
                <w:rFonts w:asciiTheme="majorBidi" w:hAnsiTheme="majorBidi" w:cstheme="majorBidi"/>
                <w:sz w:val="20"/>
                <w:lang w:val="fr-FR"/>
              </w:rPr>
              <w:t>1</w:t>
            </w:r>
            <w:r w:rsidRPr="0079454D">
              <w:rPr>
                <w:rFonts w:asciiTheme="majorBidi" w:hAnsiTheme="majorBidi" w:cstheme="majorBidi"/>
                <w:sz w:val="20"/>
                <w:lang w:val="fr-FR"/>
              </w:rPr>
              <w:tab/>
              <w:t xml:space="preserve">Station d’amateur d’aéronef ou de navire </w:t>
            </w:r>
          </w:p>
        </w:tc>
        <w:tc>
          <w:tcPr>
            <w:tcW w:w="1985" w:type="dxa"/>
            <w:tcBorders>
              <w:left w:val="single" w:sz="4" w:space="0" w:color="000000"/>
              <w:right w:val="single" w:sz="4" w:space="0" w:color="000000"/>
            </w:tcBorders>
            <w:vAlign w:val="center"/>
          </w:tcPr>
          <w:p w:rsidR="009F266C" w:rsidRPr="0079454D" w:rsidRDefault="009F266C" w:rsidP="003C5D6B">
            <w:pPr>
              <w:pStyle w:val="Default"/>
              <w:jc w:val="center"/>
              <w:rPr>
                <w:rFonts w:asciiTheme="majorBidi" w:hAnsiTheme="majorBidi" w:cstheme="majorBidi"/>
                <w:sz w:val="20"/>
                <w:lang w:val="fr-FR"/>
              </w:rPr>
            </w:pPr>
            <w:r w:rsidRPr="0079454D">
              <w:rPr>
                <w:rFonts w:asciiTheme="majorBidi" w:hAnsiTheme="majorBidi" w:cstheme="majorBidi"/>
                <w:sz w:val="20"/>
                <w:lang w:val="fr-FR"/>
              </w:rPr>
              <w:t>5 800</w:t>
            </w:r>
          </w:p>
        </w:tc>
        <w:tc>
          <w:tcPr>
            <w:tcW w:w="1985" w:type="dxa"/>
            <w:tcBorders>
              <w:left w:val="single" w:sz="4" w:space="0" w:color="000000"/>
              <w:right w:val="single" w:sz="4" w:space="0" w:color="000000"/>
            </w:tcBorders>
            <w:vAlign w:val="center"/>
          </w:tcPr>
          <w:p w:rsidR="009F266C" w:rsidRPr="0079454D" w:rsidRDefault="009F266C" w:rsidP="003C5D6B">
            <w:pPr>
              <w:pStyle w:val="Default"/>
              <w:jc w:val="center"/>
              <w:rPr>
                <w:rFonts w:asciiTheme="majorBidi" w:hAnsiTheme="majorBidi" w:cstheme="majorBidi"/>
                <w:sz w:val="20"/>
                <w:lang w:val="fr-FR"/>
              </w:rPr>
            </w:pPr>
            <w:r w:rsidRPr="0079454D">
              <w:rPr>
                <w:rFonts w:asciiTheme="majorBidi" w:hAnsiTheme="majorBidi" w:cstheme="majorBidi"/>
                <w:sz w:val="20"/>
                <w:lang w:val="fr-FR"/>
              </w:rPr>
              <w:t>5 800</w:t>
            </w:r>
          </w:p>
        </w:tc>
        <w:tc>
          <w:tcPr>
            <w:tcW w:w="1985" w:type="dxa"/>
            <w:tcBorders>
              <w:left w:val="single" w:sz="4" w:space="0" w:color="000000"/>
              <w:right w:val="single" w:sz="4" w:space="0" w:color="000000"/>
            </w:tcBorders>
            <w:vAlign w:val="center"/>
          </w:tcPr>
          <w:p w:rsidR="009F266C" w:rsidRPr="0079454D" w:rsidRDefault="009F266C" w:rsidP="003C5D6B">
            <w:pPr>
              <w:pStyle w:val="Default"/>
              <w:jc w:val="center"/>
              <w:rPr>
                <w:rFonts w:asciiTheme="majorBidi" w:hAnsiTheme="majorBidi" w:cstheme="majorBidi"/>
                <w:sz w:val="20"/>
                <w:lang w:val="fr-FR"/>
              </w:rPr>
            </w:pPr>
            <w:r w:rsidRPr="0079454D">
              <w:rPr>
                <w:rFonts w:asciiTheme="majorBidi" w:hAnsiTheme="majorBidi" w:cstheme="majorBidi"/>
                <w:sz w:val="20"/>
                <w:lang w:val="fr-FR"/>
              </w:rPr>
              <w:t>11 600</w:t>
            </w:r>
          </w:p>
        </w:tc>
      </w:tr>
      <w:tr w:rsidR="009F266C" w:rsidRPr="0079454D" w:rsidTr="003C5D6B">
        <w:trPr>
          <w:jc w:val="center"/>
        </w:trPr>
        <w:tc>
          <w:tcPr>
            <w:tcW w:w="3686" w:type="dxa"/>
            <w:tcBorders>
              <w:left w:val="single" w:sz="4" w:space="0" w:color="000000"/>
              <w:right w:val="single" w:sz="4" w:space="0" w:color="000000"/>
            </w:tcBorders>
          </w:tcPr>
          <w:p w:rsidR="009F266C" w:rsidRPr="0079454D" w:rsidRDefault="009F266C" w:rsidP="003C5D6B">
            <w:pPr>
              <w:pStyle w:val="Default"/>
              <w:tabs>
                <w:tab w:val="left" w:pos="420"/>
              </w:tabs>
              <w:ind w:left="420" w:hanging="420"/>
              <w:rPr>
                <w:rFonts w:asciiTheme="majorBidi" w:hAnsiTheme="majorBidi" w:cstheme="majorBidi"/>
                <w:sz w:val="20"/>
                <w:lang w:val="fr-FR"/>
              </w:rPr>
            </w:pPr>
            <w:r w:rsidRPr="0079454D">
              <w:rPr>
                <w:rFonts w:asciiTheme="majorBidi" w:hAnsiTheme="majorBidi" w:cstheme="majorBidi"/>
                <w:sz w:val="20"/>
                <w:lang w:val="fr-FR"/>
              </w:rPr>
              <w:t>2</w:t>
            </w:r>
            <w:r w:rsidRPr="0079454D">
              <w:rPr>
                <w:rFonts w:asciiTheme="majorBidi" w:hAnsiTheme="majorBidi" w:cstheme="majorBidi"/>
                <w:sz w:val="20"/>
                <w:lang w:val="fr-FR"/>
              </w:rPr>
              <w:tab/>
              <w:t xml:space="preserve">Station terrienne d’amateur, d’aéronef ou de navire </w:t>
            </w:r>
          </w:p>
        </w:tc>
        <w:tc>
          <w:tcPr>
            <w:tcW w:w="1985" w:type="dxa"/>
            <w:tcBorders>
              <w:left w:val="single" w:sz="4" w:space="0" w:color="000000"/>
              <w:right w:val="single" w:sz="4" w:space="0" w:color="000000"/>
            </w:tcBorders>
            <w:vAlign w:val="center"/>
          </w:tcPr>
          <w:p w:rsidR="009F266C" w:rsidRPr="0079454D" w:rsidRDefault="009F266C" w:rsidP="003C5D6B">
            <w:pPr>
              <w:pStyle w:val="Default"/>
              <w:jc w:val="center"/>
              <w:rPr>
                <w:rFonts w:asciiTheme="majorBidi" w:hAnsiTheme="majorBidi" w:cstheme="majorBidi"/>
                <w:sz w:val="20"/>
                <w:lang w:val="fr-FR"/>
              </w:rPr>
            </w:pPr>
            <w:r w:rsidRPr="0079454D">
              <w:rPr>
                <w:rFonts w:asciiTheme="majorBidi" w:hAnsiTheme="majorBidi" w:cstheme="majorBidi"/>
                <w:sz w:val="20"/>
                <w:lang w:val="fr-FR"/>
              </w:rPr>
              <w:t>11 600</w:t>
            </w:r>
          </w:p>
        </w:tc>
        <w:tc>
          <w:tcPr>
            <w:tcW w:w="1985" w:type="dxa"/>
            <w:tcBorders>
              <w:left w:val="single" w:sz="4" w:space="0" w:color="000000"/>
              <w:right w:val="single" w:sz="4" w:space="0" w:color="000000"/>
            </w:tcBorders>
            <w:vAlign w:val="center"/>
          </w:tcPr>
          <w:p w:rsidR="009F266C" w:rsidRPr="0079454D" w:rsidRDefault="009F266C" w:rsidP="003C5D6B">
            <w:pPr>
              <w:pStyle w:val="Default"/>
              <w:jc w:val="center"/>
              <w:rPr>
                <w:rFonts w:asciiTheme="majorBidi" w:hAnsiTheme="majorBidi" w:cstheme="majorBidi"/>
                <w:sz w:val="20"/>
                <w:lang w:val="fr-FR"/>
              </w:rPr>
            </w:pPr>
            <w:r w:rsidRPr="0079454D">
              <w:rPr>
                <w:rFonts w:asciiTheme="majorBidi" w:hAnsiTheme="majorBidi" w:cstheme="majorBidi"/>
                <w:sz w:val="20"/>
                <w:lang w:val="fr-FR"/>
              </w:rPr>
              <w:t>11 600</w:t>
            </w:r>
          </w:p>
        </w:tc>
        <w:tc>
          <w:tcPr>
            <w:tcW w:w="1985" w:type="dxa"/>
            <w:tcBorders>
              <w:left w:val="single" w:sz="4" w:space="0" w:color="000000"/>
              <w:right w:val="single" w:sz="4" w:space="0" w:color="000000"/>
            </w:tcBorders>
            <w:vAlign w:val="center"/>
          </w:tcPr>
          <w:p w:rsidR="009F266C" w:rsidRPr="0079454D" w:rsidRDefault="009F266C" w:rsidP="003C5D6B">
            <w:pPr>
              <w:pStyle w:val="Default"/>
              <w:jc w:val="center"/>
              <w:rPr>
                <w:rFonts w:asciiTheme="majorBidi" w:hAnsiTheme="majorBidi" w:cstheme="majorBidi"/>
                <w:sz w:val="20"/>
                <w:lang w:val="fr-FR"/>
              </w:rPr>
            </w:pPr>
            <w:r w:rsidRPr="0079454D">
              <w:rPr>
                <w:rFonts w:asciiTheme="majorBidi" w:hAnsiTheme="majorBidi" w:cstheme="majorBidi"/>
                <w:sz w:val="20"/>
                <w:lang w:val="fr-FR"/>
              </w:rPr>
              <w:t>23 200</w:t>
            </w:r>
          </w:p>
        </w:tc>
      </w:tr>
      <w:tr w:rsidR="009F266C" w:rsidRPr="0079454D" w:rsidTr="003C5D6B">
        <w:trPr>
          <w:jc w:val="center"/>
        </w:trPr>
        <w:tc>
          <w:tcPr>
            <w:tcW w:w="3686" w:type="dxa"/>
            <w:tcBorders>
              <w:left w:val="single" w:sz="4" w:space="0" w:color="000000"/>
              <w:bottom w:val="single" w:sz="6" w:space="0" w:color="000000"/>
              <w:right w:val="single" w:sz="4" w:space="0" w:color="000000"/>
            </w:tcBorders>
          </w:tcPr>
          <w:p w:rsidR="009F266C" w:rsidRPr="0079454D" w:rsidRDefault="009F266C" w:rsidP="003C5D6B">
            <w:pPr>
              <w:pStyle w:val="Default"/>
              <w:tabs>
                <w:tab w:val="left" w:pos="420"/>
              </w:tabs>
              <w:spacing w:after="60"/>
              <w:ind w:left="420" w:hanging="420"/>
              <w:rPr>
                <w:rFonts w:asciiTheme="majorBidi" w:hAnsiTheme="majorBidi" w:cstheme="majorBidi"/>
                <w:sz w:val="20"/>
                <w:lang w:val="fr-FR"/>
              </w:rPr>
            </w:pPr>
            <w:r w:rsidRPr="0079454D">
              <w:rPr>
                <w:rFonts w:asciiTheme="majorBidi" w:hAnsiTheme="majorBidi" w:cstheme="majorBidi"/>
                <w:sz w:val="20"/>
                <w:lang w:val="fr-FR"/>
              </w:rPr>
              <w:t>3</w:t>
            </w:r>
            <w:r w:rsidRPr="0079454D">
              <w:rPr>
                <w:rFonts w:asciiTheme="majorBidi" w:hAnsiTheme="majorBidi" w:cstheme="majorBidi"/>
                <w:sz w:val="20"/>
                <w:lang w:val="fr-FR"/>
              </w:rPr>
              <w:tab/>
              <w:t xml:space="preserve">Certificat d’opérateur </w:t>
            </w:r>
          </w:p>
        </w:tc>
        <w:tc>
          <w:tcPr>
            <w:tcW w:w="1985" w:type="dxa"/>
            <w:tcBorders>
              <w:left w:val="single" w:sz="4" w:space="0" w:color="000000"/>
              <w:bottom w:val="single" w:sz="6" w:space="0" w:color="000000"/>
              <w:right w:val="single" w:sz="4" w:space="0" w:color="000000"/>
            </w:tcBorders>
          </w:tcPr>
          <w:p w:rsidR="009F266C" w:rsidRPr="0079454D" w:rsidRDefault="009F266C" w:rsidP="003C5D6B">
            <w:pPr>
              <w:pStyle w:val="Default"/>
              <w:spacing w:after="60"/>
              <w:jc w:val="center"/>
              <w:rPr>
                <w:rFonts w:asciiTheme="majorBidi" w:hAnsiTheme="majorBidi" w:cstheme="majorBidi"/>
                <w:sz w:val="20"/>
                <w:lang w:val="fr-FR"/>
              </w:rPr>
            </w:pPr>
            <w:r w:rsidRPr="0079454D">
              <w:rPr>
                <w:rFonts w:asciiTheme="majorBidi" w:hAnsiTheme="majorBidi" w:cstheme="majorBidi"/>
                <w:sz w:val="20"/>
                <w:lang w:val="fr-FR"/>
              </w:rPr>
              <w:t>5 800</w:t>
            </w:r>
          </w:p>
        </w:tc>
        <w:tc>
          <w:tcPr>
            <w:tcW w:w="1985" w:type="dxa"/>
            <w:tcBorders>
              <w:left w:val="single" w:sz="4" w:space="0" w:color="000000"/>
              <w:bottom w:val="single" w:sz="6" w:space="0" w:color="000000"/>
              <w:right w:val="single" w:sz="4" w:space="0" w:color="000000"/>
            </w:tcBorders>
          </w:tcPr>
          <w:p w:rsidR="009F266C" w:rsidRPr="0079454D" w:rsidRDefault="009F266C" w:rsidP="003C5D6B">
            <w:pPr>
              <w:pStyle w:val="Default"/>
              <w:spacing w:after="60"/>
              <w:jc w:val="center"/>
              <w:rPr>
                <w:rFonts w:asciiTheme="majorBidi" w:hAnsiTheme="majorBidi" w:cstheme="majorBidi"/>
                <w:color w:val="auto"/>
                <w:sz w:val="20"/>
                <w:lang w:val="fr-FR"/>
              </w:rPr>
            </w:pPr>
          </w:p>
        </w:tc>
        <w:tc>
          <w:tcPr>
            <w:tcW w:w="1985" w:type="dxa"/>
            <w:tcBorders>
              <w:left w:val="single" w:sz="4" w:space="0" w:color="000000"/>
              <w:bottom w:val="single" w:sz="6" w:space="0" w:color="000000"/>
              <w:right w:val="single" w:sz="4" w:space="0" w:color="000000"/>
            </w:tcBorders>
          </w:tcPr>
          <w:p w:rsidR="009F266C" w:rsidRPr="0079454D" w:rsidRDefault="009F266C" w:rsidP="003C5D6B">
            <w:pPr>
              <w:pStyle w:val="Default"/>
              <w:spacing w:after="60"/>
              <w:jc w:val="center"/>
              <w:rPr>
                <w:rFonts w:asciiTheme="majorBidi" w:hAnsiTheme="majorBidi" w:cstheme="majorBidi"/>
                <w:sz w:val="20"/>
                <w:lang w:val="fr-FR"/>
              </w:rPr>
            </w:pPr>
            <w:r w:rsidRPr="0079454D">
              <w:rPr>
                <w:rFonts w:asciiTheme="majorBidi" w:hAnsiTheme="majorBidi" w:cstheme="majorBidi"/>
                <w:sz w:val="20"/>
                <w:lang w:val="fr-FR"/>
              </w:rPr>
              <w:t>11 600</w:t>
            </w:r>
          </w:p>
        </w:tc>
      </w:tr>
    </w:tbl>
    <w:p w:rsidR="009F266C" w:rsidRPr="0079454D" w:rsidRDefault="009F266C" w:rsidP="009F266C">
      <w:pPr>
        <w:rPr>
          <w:lang w:val="fr-FR"/>
        </w:rPr>
      </w:pPr>
    </w:p>
    <w:tbl>
      <w:tblPr>
        <w:tblW w:w="0" w:type="auto"/>
        <w:jc w:val="center"/>
        <w:tblBorders>
          <w:top w:val="nil"/>
          <w:left w:val="nil"/>
          <w:bottom w:val="nil"/>
          <w:right w:val="nil"/>
        </w:tblBorders>
        <w:tblLayout w:type="fixed"/>
        <w:tblLook w:val="0000"/>
      </w:tblPr>
      <w:tblGrid>
        <w:gridCol w:w="5670"/>
        <w:gridCol w:w="3969"/>
      </w:tblGrid>
      <w:tr w:rsidR="009F266C" w:rsidRPr="0079454D" w:rsidTr="003C5D6B">
        <w:trPr>
          <w:jc w:val="center"/>
        </w:trPr>
        <w:tc>
          <w:tcPr>
            <w:tcW w:w="5670" w:type="dxa"/>
            <w:tcBorders>
              <w:top w:val="single" w:sz="4" w:space="0" w:color="000000"/>
              <w:left w:val="single" w:sz="4" w:space="0" w:color="000000"/>
              <w:bottom w:val="single" w:sz="6" w:space="0" w:color="000000"/>
              <w:right w:val="single" w:sz="4" w:space="0" w:color="000000"/>
            </w:tcBorders>
          </w:tcPr>
          <w:p w:rsidR="009F266C" w:rsidRPr="0079454D" w:rsidRDefault="009F266C" w:rsidP="003C5D6B">
            <w:pPr>
              <w:pStyle w:val="Default"/>
              <w:tabs>
                <w:tab w:val="left" w:pos="390"/>
              </w:tabs>
              <w:spacing w:before="60" w:after="60"/>
              <w:rPr>
                <w:rFonts w:asciiTheme="majorBidi" w:hAnsiTheme="majorBidi" w:cstheme="majorBidi"/>
                <w:b/>
                <w:bCs/>
                <w:sz w:val="20"/>
                <w:lang w:val="fr-FR"/>
              </w:rPr>
            </w:pPr>
            <w:r w:rsidRPr="0079454D">
              <w:rPr>
                <w:rFonts w:asciiTheme="majorBidi" w:hAnsiTheme="majorBidi" w:cstheme="majorBidi"/>
                <w:b/>
                <w:bCs/>
                <w:sz w:val="20"/>
                <w:lang w:val="fr-FR"/>
              </w:rPr>
              <w:t>1</w:t>
            </w:r>
            <w:r w:rsidRPr="0079454D">
              <w:rPr>
                <w:rFonts w:asciiTheme="majorBidi" w:hAnsiTheme="majorBidi" w:cstheme="majorBidi"/>
                <w:b/>
                <w:bCs/>
                <w:sz w:val="20"/>
                <w:lang w:val="fr-FR"/>
              </w:rPr>
              <w:tab/>
              <w:t>Certificat d’opérateur radiotélégraphique de station de navire</w:t>
            </w:r>
          </w:p>
          <w:p w:rsidR="009F266C" w:rsidRPr="0079454D" w:rsidRDefault="009F266C" w:rsidP="003C5D6B">
            <w:pPr>
              <w:pStyle w:val="Default"/>
              <w:tabs>
                <w:tab w:val="left" w:pos="390"/>
              </w:tabs>
              <w:ind w:left="720" w:hanging="720"/>
              <w:rPr>
                <w:rFonts w:asciiTheme="majorBidi" w:hAnsiTheme="majorBidi" w:cstheme="majorBidi"/>
                <w:sz w:val="20"/>
                <w:lang w:val="fr-FR"/>
              </w:rPr>
            </w:pPr>
            <w:r w:rsidRPr="0079454D">
              <w:rPr>
                <w:rFonts w:asciiTheme="majorBidi" w:hAnsiTheme="majorBidi" w:cstheme="majorBidi"/>
                <w:sz w:val="20"/>
                <w:lang w:val="fr-FR"/>
              </w:rPr>
              <w:tab/>
              <w:t>a.</w:t>
            </w:r>
            <w:r w:rsidRPr="0079454D">
              <w:rPr>
                <w:rFonts w:asciiTheme="majorBidi" w:hAnsiTheme="majorBidi" w:cstheme="majorBidi"/>
                <w:sz w:val="20"/>
                <w:lang w:val="fr-FR"/>
              </w:rPr>
              <w:tab/>
              <w:t>Certificat général d’opérateur des radiocommunications</w:t>
            </w:r>
          </w:p>
          <w:p w:rsidR="009F266C" w:rsidRPr="0079454D" w:rsidRDefault="009F266C" w:rsidP="003C5D6B">
            <w:pPr>
              <w:pStyle w:val="Default"/>
              <w:tabs>
                <w:tab w:val="left" w:pos="390"/>
              </w:tabs>
              <w:ind w:left="720" w:hanging="720"/>
              <w:rPr>
                <w:rFonts w:asciiTheme="majorBidi" w:hAnsiTheme="majorBidi" w:cstheme="majorBidi"/>
                <w:sz w:val="20"/>
                <w:lang w:val="fr-FR"/>
              </w:rPr>
            </w:pPr>
            <w:r w:rsidRPr="0079454D">
              <w:rPr>
                <w:rFonts w:asciiTheme="majorBidi" w:hAnsiTheme="majorBidi" w:cstheme="majorBidi"/>
                <w:sz w:val="20"/>
                <w:lang w:val="fr-FR"/>
              </w:rPr>
              <w:tab/>
              <w:t>b.</w:t>
            </w:r>
            <w:r w:rsidRPr="0079454D">
              <w:rPr>
                <w:rFonts w:asciiTheme="majorBidi" w:hAnsiTheme="majorBidi" w:cstheme="majorBidi"/>
                <w:sz w:val="20"/>
                <w:lang w:val="fr-FR"/>
              </w:rPr>
              <w:tab/>
              <w:t>Certificat d’opérateur radiotélégraphiste de première classe</w:t>
            </w:r>
          </w:p>
          <w:p w:rsidR="009F266C" w:rsidRPr="0079454D" w:rsidRDefault="009F266C" w:rsidP="003C5D6B">
            <w:pPr>
              <w:pStyle w:val="Default"/>
              <w:tabs>
                <w:tab w:val="left" w:pos="390"/>
              </w:tabs>
              <w:ind w:left="720" w:hanging="720"/>
              <w:rPr>
                <w:rFonts w:asciiTheme="majorBidi" w:hAnsiTheme="majorBidi" w:cstheme="majorBidi"/>
                <w:sz w:val="20"/>
                <w:lang w:val="fr-FR"/>
              </w:rPr>
            </w:pPr>
            <w:r w:rsidRPr="0079454D">
              <w:rPr>
                <w:rFonts w:asciiTheme="majorBidi" w:hAnsiTheme="majorBidi" w:cstheme="majorBidi"/>
                <w:sz w:val="20"/>
                <w:lang w:val="fr-FR"/>
              </w:rPr>
              <w:tab/>
              <w:t>c.</w:t>
            </w:r>
            <w:r w:rsidRPr="0079454D">
              <w:rPr>
                <w:rFonts w:asciiTheme="majorBidi" w:hAnsiTheme="majorBidi" w:cstheme="majorBidi"/>
                <w:sz w:val="20"/>
                <w:lang w:val="fr-FR"/>
              </w:rPr>
              <w:tab/>
              <w:t>Certificat d’opérateur radiotélégraphiste de deuxième classe</w:t>
            </w:r>
          </w:p>
          <w:p w:rsidR="009F266C" w:rsidRPr="0079454D" w:rsidRDefault="009F266C" w:rsidP="003C5D6B">
            <w:pPr>
              <w:pStyle w:val="Default"/>
              <w:tabs>
                <w:tab w:val="left" w:pos="390"/>
              </w:tabs>
              <w:spacing w:after="60"/>
              <w:rPr>
                <w:rFonts w:asciiTheme="majorBidi" w:hAnsiTheme="majorBidi" w:cstheme="majorBidi"/>
                <w:sz w:val="20"/>
                <w:lang w:val="fr-FR"/>
              </w:rPr>
            </w:pPr>
            <w:r w:rsidRPr="0079454D">
              <w:rPr>
                <w:rFonts w:asciiTheme="majorBidi" w:hAnsiTheme="majorBidi" w:cstheme="majorBidi"/>
                <w:sz w:val="20"/>
                <w:lang w:val="fr-FR"/>
              </w:rPr>
              <w:tab/>
              <w:t>d.</w:t>
            </w:r>
            <w:r w:rsidRPr="0079454D">
              <w:rPr>
                <w:rFonts w:asciiTheme="majorBidi" w:hAnsiTheme="majorBidi" w:cstheme="majorBidi"/>
                <w:sz w:val="20"/>
                <w:lang w:val="fr-FR"/>
              </w:rPr>
              <w:tab/>
              <w:t xml:space="preserve">Certificat spécial d’opérateur radiotélégraphiste </w:t>
            </w:r>
          </w:p>
        </w:tc>
        <w:tc>
          <w:tcPr>
            <w:tcW w:w="3969" w:type="dxa"/>
            <w:tcBorders>
              <w:top w:val="single" w:sz="4" w:space="0" w:color="000000"/>
              <w:left w:val="single" w:sz="4" w:space="0" w:color="000000"/>
              <w:bottom w:val="single" w:sz="6" w:space="0" w:color="000000"/>
              <w:right w:val="single" w:sz="4" w:space="0" w:color="000000"/>
            </w:tcBorders>
          </w:tcPr>
          <w:p w:rsidR="009F266C" w:rsidRPr="0079454D" w:rsidRDefault="009F266C" w:rsidP="003C5D6B">
            <w:pPr>
              <w:pStyle w:val="Default"/>
              <w:jc w:val="center"/>
              <w:rPr>
                <w:rFonts w:asciiTheme="majorBidi" w:hAnsiTheme="majorBidi" w:cstheme="majorBidi"/>
                <w:sz w:val="20"/>
                <w:lang w:val="fr-FR"/>
              </w:rPr>
            </w:pPr>
            <w:r w:rsidRPr="0079454D">
              <w:rPr>
                <w:rFonts w:asciiTheme="majorBidi" w:hAnsiTheme="majorBidi" w:cstheme="majorBidi"/>
                <w:sz w:val="20"/>
                <w:lang w:val="fr-FR"/>
              </w:rPr>
              <w:br/>
            </w:r>
          </w:p>
          <w:p w:rsidR="009F266C" w:rsidRPr="0079454D" w:rsidRDefault="009F266C" w:rsidP="003C5D6B">
            <w:pPr>
              <w:pStyle w:val="Default"/>
              <w:jc w:val="center"/>
              <w:rPr>
                <w:rFonts w:asciiTheme="majorBidi" w:hAnsiTheme="majorBidi" w:cstheme="majorBidi"/>
                <w:sz w:val="20"/>
                <w:lang w:val="fr-FR"/>
              </w:rPr>
            </w:pPr>
            <w:r w:rsidRPr="0079454D">
              <w:rPr>
                <w:rFonts w:asciiTheme="majorBidi" w:hAnsiTheme="majorBidi" w:cstheme="majorBidi"/>
                <w:sz w:val="20"/>
                <w:lang w:val="fr-FR"/>
              </w:rPr>
              <w:t>58 000 F</w:t>
            </w:r>
          </w:p>
          <w:p w:rsidR="009F266C" w:rsidRPr="0079454D" w:rsidRDefault="009F266C" w:rsidP="003C5D6B">
            <w:pPr>
              <w:pStyle w:val="Default"/>
              <w:jc w:val="center"/>
              <w:rPr>
                <w:rFonts w:asciiTheme="majorBidi" w:hAnsiTheme="majorBidi" w:cstheme="majorBidi"/>
                <w:sz w:val="20"/>
                <w:lang w:val="fr-FR"/>
              </w:rPr>
            </w:pPr>
            <w:r w:rsidRPr="0079454D">
              <w:rPr>
                <w:rFonts w:asciiTheme="majorBidi" w:hAnsiTheme="majorBidi" w:cstheme="majorBidi"/>
                <w:sz w:val="20"/>
                <w:lang w:val="fr-FR"/>
              </w:rPr>
              <w:br/>
              <w:t>29 000 F</w:t>
            </w:r>
          </w:p>
          <w:p w:rsidR="009F266C" w:rsidRPr="0079454D" w:rsidRDefault="009F266C" w:rsidP="003C5D6B">
            <w:pPr>
              <w:pStyle w:val="Default"/>
              <w:jc w:val="center"/>
              <w:rPr>
                <w:rFonts w:asciiTheme="majorBidi" w:hAnsiTheme="majorBidi" w:cstheme="majorBidi"/>
                <w:sz w:val="20"/>
                <w:lang w:val="fr-FR"/>
              </w:rPr>
            </w:pPr>
            <w:r w:rsidRPr="0079454D">
              <w:rPr>
                <w:rFonts w:asciiTheme="majorBidi" w:hAnsiTheme="majorBidi" w:cstheme="majorBidi"/>
                <w:sz w:val="20"/>
                <w:lang w:val="fr-FR"/>
              </w:rPr>
              <w:br/>
              <w:t>29 000 F</w:t>
            </w:r>
          </w:p>
          <w:p w:rsidR="009F266C" w:rsidRPr="0079454D" w:rsidRDefault="009F266C" w:rsidP="003C5D6B">
            <w:pPr>
              <w:pStyle w:val="Default"/>
              <w:spacing w:after="60"/>
              <w:jc w:val="center"/>
              <w:rPr>
                <w:rFonts w:asciiTheme="majorBidi" w:hAnsiTheme="majorBidi" w:cstheme="majorBidi"/>
                <w:sz w:val="20"/>
                <w:lang w:val="fr-FR"/>
              </w:rPr>
            </w:pPr>
            <w:r w:rsidRPr="0079454D">
              <w:rPr>
                <w:rFonts w:asciiTheme="majorBidi" w:hAnsiTheme="majorBidi" w:cstheme="majorBidi"/>
                <w:sz w:val="20"/>
                <w:lang w:val="fr-FR"/>
              </w:rPr>
              <w:br/>
              <w:t>29 000 F</w:t>
            </w:r>
          </w:p>
        </w:tc>
      </w:tr>
    </w:tbl>
    <w:p w:rsidR="009F266C" w:rsidRPr="0079454D" w:rsidRDefault="009F266C" w:rsidP="009F266C">
      <w:pPr>
        <w:rPr>
          <w:lang w:val="fr-FR"/>
        </w:rPr>
      </w:pPr>
    </w:p>
    <w:p w:rsidR="009F266C" w:rsidRPr="0079454D" w:rsidRDefault="009F266C" w:rsidP="009F266C">
      <w:pPr>
        <w:tabs>
          <w:tab w:val="clear" w:pos="794"/>
          <w:tab w:val="clear" w:pos="1191"/>
          <w:tab w:val="clear" w:pos="1588"/>
          <w:tab w:val="clear" w:pos="1985"/>
        </w:tabs>
        <w:overflowPunct/>
        <w:autoSpaceDE/>
        <w:autoSpaceDN/>
        <w:adjustRightInd/>
        <w:spacing w:before="0"/>
        <w:jc w:val="left"/>
        <w:textAlignment w:val="auto"/>
        <w:rPr>
          <w:lang w:val="fr-FR"/>
        </w:rPr>
      </w:pPr>
      <w:r w:rsidRPr="0079454D">
        <w:rPr>
          <w:lang w:val="fr-FR"/>
        </w:rPr>
        <w:br w:type="page"/>
      </w:r>
    </w:p>
    <w:tbl>
      <w:tblPr>
        <w:tblW w:w="0" w:type="auto"/>
        <w:jc w:val="center"/>
        <w:tblBorders>
          <w:top w:val="nil"/>
          <w:left w:val="nil"/>
          <w:bottom w:val="nil"/>
          <w:right w:val="nil"/>
        </w:tblBorders>
        <w:tblLayout w:type="fixed"/>
        <w:tblLook w:val="0000"/>
      </w:tblPr>
      <w:tblGrid>
        <w:gridCol w:w="5670"/>
        <w:gridCol w:w="3969"/>
      </w:tblGrid>
      <w:tr w:rsidR="009F266C" w:rsidRPr="0079454D" w:rsidTr="003C5D6B">
        <w:trPr>
          <w:jc w:val="center"/>
        </w:trPr>
        <w:tc>
          <w:tcPr>
            <w:tcW w:w="5670"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Default"/>
              <w:tabs>
                <w:tab w:val="left" w:pos="390"/>
              </w:tabs>
              <w:spacing w:before="60" w:after="60"/>
              <w:rPr>
                <w:rFonts w:asciiTheme="majorBidi" w:hAnsiTheme="majorBidi" w:cstheme="majorBidi"/>
                <w:b/>
                <w:bCs/>
                <w:sz w:val="20"/>
                <w:lang w:val="fr-FR"/>
              </w:rPr>
            </w:pPr>
            <w:r w:rsidRPr="0079454D">
              <w:rPr>
                <w:rFonts w:asciiTheme="majorBidi" w:hAnsiTheme="majorBidi" w:cstheme="majorBidi"/>
                <w:b/>
                <w:bCs/>
                <w:sz w:val="20"/>
                <w:lang w:val="fr-FR"/>
              </w:rPr>
              <w:lastRenderedPageBreak/>
              <w:t>2</w:t>
            </w:r>
            <w:r w:rsidRPr="0079454D">
              <w:rPr>
                <w:rFonts w:asciiTheme="majorBidi" w:hAnsiTheme="majorBidi" w:cstheme="majorBidi"/>
                <w:b/>
                <w:bCs/>
                <w:sz w:val="20"/>
                <w:lang w:val="fr-FR"/>
              </w:rPr>
              <w:tab/>
              <w:t>Certificat d’opérateur radiotélégraphiste de station d’aéronef ou de navire</w:t>
            </w:r>
          </w:p>
          <w:p w:rsidR="009F266C" w:rsidRPr="0079454D" w:rsidRDefault="009F266C" w:rsidP="003C5D6B">
            <w:pPr>
              <w:pStyle w:val="Default"/>
              <w:tabs>
                <w:tab w:val="left" w:pos="390"/>
              </w:tabs>
              <w:ind w:left="720" w:hanging="720"/>
              <w:rPr>
                <w:rFonts w:asciiTheme="majorBidi" w:hAnsiTheme="majorBidi" w:cstheme="majorBidi"/>
                <w:sz w:val="20"/>
                <w:lang w:val="fr-FR"/>
              </w:rPr>
            </w:pPr>
            <w:r w:rsidRPr="0079454D">
              <w:rPr>
                <w:rFonts w:asciiTheme="majorBidi" w:hAnsiTheme="majorBidi" w:cstheme="majorBidi"/>
                <w:sz w:val="20"/>
                <w:lang w:val="fr-FR"/>
              </w:rPr>
              <w:tab/>
              <w:t>a.</w:t>
            </w:r>
            <w:r w:rsidRPr="0079454D">
              <w:rPr>
                <w:rFonts w:asciiTheme="majorBidi" w:hAnsiTheme="majorBidi" w:cstheme="majorBidi"/>
                <w:sz w:val="20"/>
                <w:lang w:val="fr-FR"/>
              </w:rPr>
              <w:tab/>
              <w:t>Certificat général</w:t>
            </w:r>
          </w:p>
          <w:p w:rsidR="009F266C" w:rsidRPr="0079454D" w:rsidRDefault="009F266C" w:rsidP="003C5D6B">
            <w:pPr>
              <w:pStyle w:val="Default"/>
              <w:tabs>
                <w:tab w:val="left" w:pos="390"/>
              </w:tabs>
              <w:spacing w:after="60"/>
              <w:ind w:left="720" w:hanging="720"/>
              <w:rPr>
                <w:rFonts w:asciiTheme="majorBidi" w:hAnsiTheme="majorBidi" w:cstheme="majorBidi"/>
                <w:b/>
                <w:bCs/>
                <w:sz w:val="20"/>
                <w:lang w:val="fr-FR"/>
              </w:rPr>
            </w:pPr>
            <w:r w:rsidRPr="0079454D">
              <w:rPr>
                <w:rFonts w:asciiTheme="majorBidi" w:hAnsiTheme="majorBidi" w:cstheme="majorBidi"/>
                <w:sz w:val="20"/>
                <w:lang w:val="fr-FR"/>
              </w:rPr>
              <w:tab/>
              <w:t>b.</w:t>
            </w:r>
            <w:r w:rsidRPr="0079454D">
              <w:rPr>
                <w:rFonts w:asciiTheme="majorBidi" w:hAnsiTheme="majorBidi" w:cstheme="majorBidi"/>
                <w:sz w:val="20"/>
                <w:lang w:val="fr-FR"/>
              </w:rPr>
              <w:tab/>
              <w:t>Certificat restreint</w:t>
            </w:r>
          </w:p>
        </w:tc>
        <w:tc>
          <w:tcPr>
            <w:tcW w:w="3969" w:type="dxa"/>
            <w:tcBorders>
              <w:top w:val="single" w:sz="6" w:space="0" w:color="000000"/>
              <w:left w:val="single" w:sz="4" w:space="0" w:color="000000"/>
              <w:bottom w:val="single" w:sz="6" w:space="0" w:color="000000"/>
              <w:right w:val="single" w:sz="4" w:space="0" w:color="000000"/>
            </w:tcBorders>
            <w:vAlign w:val="bottom"/>
          </w:tcPr>
          <w:p w:rsidR="009F266C" w:rsidRPr="0079454D" w:rsidRDefault="009F266C" w:rsidP="003C5D6B">
            <w:pPr>
              <w:pStyle w:val="Default"/>
              <w:spacing w:before="60" w:after="60"/>
              <w:jc w:val="center"/>
              <w:rPr>
                <w:rFonts w:asciiTheme="majorBidi" w:hAnsiTheme="majorBidi" w:cstheme="majorBidi"/>
                <w:sz w:val="20"/>
                <w:lang w:val="fr-FR"/>
              </w:rPr>
            </w:pPr>
            <w:r w:rsidRPr="0079454D">
              <w:rPr>
                <w:rFonts w:asciiTheme="majorBidi" w:hAnsiTheme="majorBidi" w:cstheme="majorBidi"/>
                <w:sz w:val="20"/>
                <w:lang w:val="fr-FR"/>
              </w:rPr>
              <w:br/>
            </w:r>
          </w:p>
          <w:p w:rsidR="009F266C" w:rsidRPr="0079454D" w:rsidRDefault="009F266C" w:rsidP="003C5D6B">
            <w:pPr>
              <w:pStyle w:val="Default"/>
              <w:jc w:val="center"/>
              <w:rPr>
                <w:rFonts w:asciiTheme="majorBidi" w:hAnsiTheme="majorBidi" w:cstheme="majorBidi"/>
                <w:sz w:val="20"/>
                <w:lang w:val="fr-FR"/>
              </w:rPr>
            </w:pPr>
            <w:r w:rsidRPr="0079454D">
              <w:rPr>
                <w:rFonts w:asciiTheme="majorBidi" w:hAnsiTheme="majorBidi" w:cstheme="majorBidi"/>
                <w:sz w:val="20"/>
                <w:lang w:val="fr-FR"/>
              </w:rPr>
              <w:t>14 500 F</w:t>
            </w:r>
          </w:p>
          <w:p w:rsidR="009F266C" w:rsidRPr="0079454D" w:rsidRDefault="009F266C" w:rsidP="003C5D6B">
            <w:pPr>
              <w:pStyle w:val="Default"/>
              <w:spacing w:after="60"/>
              <w:jc w:val="center"/>
              <w:rPr>
                <w:rFonts w:asciiTheme="majorBidi" w:hAnsiTheme="majorBidi" w:cstheme="majorBidi"/>
                <w:sz w:val="20"/>
                <w:lang w:val="fr-FR"/>
              </w:rPr>
            </w:pPr>
            <w:r w:rsidRPr="0079454D">
              <w:rPr>
                <w:rFonts w:asciiTheme="majorBidi" w:hAnsiTheme="majorBidi" w:cstheme="majorBidi"/>
                <w:sz w:val="20"/>
                <w:lang w:val="fr-FR"/>
              </w:rPr>
              <w:t>14 500 F</w:t>
            </w:r>
          </w:p>
        </w:tc>
      </w:tr>
      <w:tr w:rsidR="009F266C" w:rsidRPr="0079454D" w:rsidTr="003C5D6B">
        <w:trPr>
          <w:jc w:val="center"/>
        </w:trPr>
        <w:tc>
          <w:tcPr>
            <w:tcW w:w="5670"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Default"/>
              <w:tabs>
                <w:tab w:val="left" w:pos="390"/>
              </w:tabs>
              <w:spacing w:before="60" w:after="60"/>
              <w:rPr>
                <w:rFonts w:asciiTheme="majorBidi" w:hAnsiTheme="majorBidi" w:cstheme="majorBidi"/>
                <w:b/>
                <w:bCs/>
                <w:sz w:val="20"/>
                <w:lang w:val="fr-FR"/>
              </w:rPr>
            </w:pPr>
            <w:r w:rsidRPr="0079454D">
              <w:rPr>
                <w:rFonts w:asciiTheme="majorBidi" w:hAnsiTheme="majorBidi" w:cstheme="majorBidi"/>
                <w:b/>
                <w:bCs/>
                <w:sz w:val="20"/>
                <w:lang w:val="fr-FR"/>
              </w:rPr>
              <w:t>3</w:t>
            </w:r>
            <w:r w:rsidRPr="0079454D">
              <w:rPr>
                <w:rFonts w:asciiTheme="majorBidi" w:hAnsiTheme="majorBidi" w:cstheme="majorBidi"/>
                <w:b/>
                <w:bCs/>
                <w:sz w:val="20"/>
                <w:lang w:val="fr-FR"/>
              </w:rPr>
              <w:tab/>
              <w:t>Certificat d’opérateur de station d’amateur</w:t>
            </w:r>
          </w:p>
          <w:p w:rsidR="009F266C" w:rsidRPr="0079454D" w:rsidRDefault="009F266C" w:rsidP="003C5D6B">
            <w:pPr>
              <w:pStyle w:val="Default"/>
              <w:tabs>
                <w:tab w:val="left" w:pos="390"/>
              </w:tabs>
              <w:ind w:left="720" w:hanging="720"/>
              <w:rPr>
                <w:rFonts w:asciiTheme="majorBidi" w:hAnsiTheme="majorBidi" w:cstheme="majorBidi"/>
                <w:sz w:val="20"/>
                <w:lang w:val="fr-FR"/>
              </w:rPr>
            </w:pPr>
            <w:r w:rsidRPr="0079454D">
              <w:rPr>
                <w:rFonts w:asciiTheme="majorBidi" w:hAnsiTheme="majorBidi" w:cstheme="majorBidi"/>
                <w:sz w:val="20"/>
                <w:lang w:val="fr-FR"/>
              </w:rPr>
              <w:tab/>
              <w:t>a.</w:t>
            </w:r>
            <w:r w:rsidRPr="0079454D">
              <w:rPr>
                <w:rFonts w:asciiTheme="majorBidi" w:hAnsiTheme="majorBidi" w:cstheme="majorBidi"/>
                <w:sz w:val="20"/>
                <w:lang w:val="fr-FR"/>
              </w:rPr>
              <w:tab/>
              <w:t>Radiotélégraphiste</w:t>
            </w:r>
          </w:p>
          <w:p w:rsidR="009F266C" w:rsidRPr="0079454D" w:rsidRDefault="009F266C" w:rsidP="003C5D6B">
            <w:pPr>
              <w:pStyle w:val="Default"/>
              <w:tabs>
                <w:tab w:val="left" w:pos="390"/>
              </w:tabs>
              <w:spacing w:after="60"/>
              <w:ind w:left="720" w:hanging="720"/>
              <w:rPr>
                <w:rFonts w:asciiTheme="majorBidi" w:hAnsiTheme="majorBidi" w:cstheme="majorBidi"/>
                <w:b/>
                <w:bCs/>
                <w:sz w:val="20"/>
                <w:lang w:val="fr-FR"/>
              </w:rPr>
            </w:pPr>
            <w:r w:rsidRPr="0079454D">
              <w:rPr>
                <w:rFonts w:asciiTheme="majorBidi" w:hAnsiTheme="majorBidi" w:cstheme="majorBidi"/>
                <w:sz w:val="20"/>
                <w:lang w:val="fr-FR"/>
              </w:rPr>
              <w:tab/>
              <w:t>b.</w:t>
            </w:r>
            <w:r w:rsidRPr="0079454D">
              <w:rPr>
                <w:rFonts w:asciiTheme="majorBidi" w:hAnsiTheme="majorBidi" w:cstheme="majorBidi"/>
                <w:sz w:val="20"/>
                <w:lang w:val="fr-FR"/>
              </w:rPr>
              <w:tab/>
              <w:t xml:space="preserve">Radiotélégraphiste </w:t>
            </w:r>
          </w:p>
        </w:tc>
        <w:tc>
          <w:tcPr>
            <w:tcW w:w="3969"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Default"/>
              <w:spacing w:before="60"/>
              <w:jc w:val="center"/>
              <w:rPr>
                <w:rFonts w:asciiTheme="majorBidi" w:hAnsiTheme="majorBidi" w:cstheme="majorBidi"/>
                <w:sz w:val="20"/>
                <w:lang w:val="fr-FR"/>
              </w:rPr>
            </w:pPr>
          </w:p>
          <w:p w:rsidR="009F266C" w:rsidRPr="0079454D" w:rsidRDefault="009F266C" w:rsidP="003C5D6B">
            <w:pPr>
              <w:pStyle w:val="Default"/>
              <w:spacing w:before="60"/>
              <w:jc w:val="center"/>
              <w:rPr>
                <w:rFonts w:asciiTheme="majorBidi" w:hAnsiTheme="majorBidi" w:cstheme="majorBidi"/>
                <w:sz w:val="20"/>
                <w:lang w:val="fr-FR"/>
              </w:rPr>
            </w:pPr>
            <w:r w:rsidRPr="0079454D">
              <w:rPr>
                <w:rFonts w:asciiTheme="majorBidi" w:hAnsiTheme="majorBidi" w:cstheme="majorBidi"/>
                <w:sz w:val="20"/>
                <w:lang w:val="fr-FR"/>
              </w:rPr>
              <w:t>14 500 F</w:t>
            </w:r>
          </w:p>
          <w:p w:rsidR="009F266C" w:rsidRPr="0079454D" w:rsidRDefault="009F266C" w:rsidP="003C5D6B">
            <w:pPr>
              <w:pStyle w:val="Default"/>
              <w:spacing w:after="60"/>
              <w:jc w:val="center"/>
              <w:rPr>
                <w:rFonts w:asciiTheme="majorBidi" w:hAnsiTheme="majorBidi" w:cstheme="majorBidi"/>
                <w:sz w:val="20"/>
                <w:lang w:val="fr-FR"/>
              </w:rPr>
            </w:pPr>
            <w:r w:rsidRPr="0079454D">
              <w:rPr>
                <w:rFonts w:asciiTheme="majorBidi" w:hAnsiTheme="majorBidi" w:cstheme="majorBidi"/>
                <w:sz w:val="20"/>
                <w:lang w:val="fr-FR"/>
              </w:rPr>
              <w:t>14 500 F</w:t>
            </w:r>
          </w:p>
        </w:tc>
      </w:tr>
    </w:tbl>
    <w:p w:rsidR="009F266C" w:rsidRPr="0079454D" w:rsidRDefault="009F266C" w:rsidP="009F266C">
      <w:pPr>
        <w:pStyle w:val="Default"/>
        <w:rPr>
          <w:rFonts w:asciiTheme="majorBidi" w:hAnsiTheme="majorBidi" w:cstheme="majorBidi"/>
          <w:color w:val="auto"/>
          <w:lang w:val="fr-FR"/>
        </w:rPr>
      </w:pPr>
    </w:p>
    <w:p w:rsidR="009F266C" w:rsidRPr="0079454D" w:rsidRDefault="009F266C" w:rsidP="009F266C">
      <w:pPr>
        <w:pStyle w:val="Heading1"/>
        <w:rPr>
          <w:lang w:val="fr-FR"/>
        </w:rPr>
      </w:pPr>
      <w:bookmarkStart w:id="1256" w:name="_Toc280260074"/>
      <w:bookmarkStart w:id="1257" w:name="_Toc280260926"/>
      <w:bookmarkStart w:id="1258" w:name="_Toc280272539"/>
      <w:bookmarkStart w:id="1259" w:name="_Toc284414210"/>
      <w:bookmarkStart w:id="1260" w:name="_Toc286314954"/>
      <w:bookmarkStart w:id="1261" w:name="_Toc287523403"/>
      <w:r w:rsidRPr="0079454D">
        <w:rPr>
          <w:lang w:val="fr-FR"/>
        </w:rPr>
        <w:t>IV – DROIT DE DELIVRANCE DES AGREMENTS</w:t>
      </w:r>
      <w:bookmarkEnd w:id="1256"/>
      <w:bookmarkEnd w:id="1257"/>
      <w:bookmarkEnd w:id="1258"/>
      <w:bookmarkEnd w:id="1259"/>
      <w:bookmarkEnd w:id="1260"/>
      <w:bookmarkEnd w:id="1261"/>
    </w:p>
    <w:p w:rsidR="009F266C" w:rsidRPr="0079454D" w:rsidRDefault="009F266C" w:rsidP="009F266C">
      <w:pPr>
        <w:spacing w:before="0"/>
        <w:rPr>
          <w:b/>
          <w:bCs/>
          <w:lang w:val="fr-FR"/>
        </w:rPr>
      </w:pPr>
    </w:p>
    <w:tbl>
      <w:tblPr>
        <w:tblW w:w="0" w:type="auto"/>
        <w:jc w:val="center"/>
        <w:tblBorders>
          <w:top w:val="nil"/>
          <w:left w:val="nil"/>
          <w:bottom w:val="nil"/>
          <w:right w:val="nil"/>
        </w:tblBorders>
        <w:tblLayout w:type="fixed"/>
        <w:tblLook w:val="0000"/>
      </w:tblPr>
      <w:tblGrid>
        <w:gridCol w:w="3969"/>
        <w:gridCol w:w="2835"/>
        <w:gridCol w:w="2835"/>
      </w:tblGrid>
      <w:tr w:rsidR="009F266C" w:rsidRPr="0079454D" w:rsidTr="003C5D6B">
        <w:trPr>
          <w:jc w:val="center"/>
        </w:trPr>
        <w:tc>
          <w:tcPr>
            <w:tcW w:w="6804" w:type="dxa"/>
            <w:gridSpan w:val="2"/>
            <w:tcBorders>
              <w:top w:val="single" w:sz="4" w:space="0" w:color="000000"/>
              <w:left w:val="single" w:sz="4" w:space="0" w:color="000000"/>
              <w:bottom w:val="single" w:sz="6" w:space="0" w:color="000000"/>
              <w:right w:val="single" w:sz="4" w:space="0" w:color="000000"/>
            </w:tcBorders>
          </w:tcPr>
          <w:p w:rsidR="009F266C" w:rsidRPr="0079454D" w:rsidRDefault="009F266C" w:rsidP="003C5D6B">
            <w:pPr>
              <w:pStyle w:val="TableNotitle"/>
              <w:spacing w:before="120"/>
              <w:rPr>
                <w:sz w:val="20"/>
                <w:lang w:val="fr-FR"/>
              </w:rPr>
            </w:pPr>
            <w:r w:rsidRPr="0079454D">
              <w:rPr>
                <w:sz w:val="20"/>
                <w:lang w:val="fr-FR"/>
              </w:rPr>
              <w:t xml:space="preserve">Taxe de constitution de dossier </w:t>
            </w:r>
          </w:p>
        </w:tc>
        <w:tc>
          <w:tcPr>
            <w:tcW w:w="2835" w:type="dxa"/>
            <w:tcBorders>
              <w:top w:val="single" w:sz="4" w:space="0" w:color="000000"/>
              <w:left w:val="single" w:sz="4" w:space="0" w:color="000000"/>
              <w:bottom w:val="single" w:sz="6" w:space="0" w:color="000000"/>
              <w:right w:val="single" w:sz="4" w:space="0" w:color="000000"/>
            </w:tcBorders>
          </w:tcPr>
          <w:p w:rsidR="009F266C" w:rsidRPr="0079454D" w:rsidRDefault="009F266C" w:rsidP="003C5D6B">
            <w:pPr>
              <w:pStyle w:val="TableNotitle"/>
              <w:spacing w:before="120"/>
              <w:rPr>
                <w:sz w:val="20"/>
                <w:lang w:val="fr-FR"/>
              </w:rPr>
            </w:pPr>
            <w:r w:rsidRPr="0079454D">
              <w:rPr>
                <w:sz w:val="20"/>
                <w:lang w:val="fr-FR"/>
              </w:rPr>
              <w:t xml:space="preserve">Agrément </w:t>
            </w:r>
          </w:p>
        </w:tc>
      </w:tr>
      <w:tr w:rsidR="009F266C" w:rsidRPr="0079454D" w:rsidTr="003C5D6B">
        <w:trPr>
          <w:jc w:val="center"/>
        </w:trPr>
        <w:tc>
          <w:tcPr>
            <w:tcW w:w="3969"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Default"/>
              <w:spacing w:before="60"/>
              <w:rPr>
                <w:rFonts w:asciiTheme="majorBidi" w:hAnsiTheme="majorBidi" w:cstheme="majorBidi"/>
                <w:sz w:val="20"/>
                <w:szCs w:val="20"/>
                <w:lang w:val="fr-FR"/>
              </w:rPr>
            </w:pPr>
            <w:r w:rsidRPr="0079454D">
              <w:rPr>
                <w:rFonts w:asciiTheme="majorBidi" w:hAnsiTheme="majorBidi" w:cstheme="majorBidi"/>
                <w:sz w:val="20"/>
                <w:szCs w:val="20"/>
                <w:lang w:val="fr-FR"/>
              </w:rPr>
              <w:t>1 – Installateur</w:t>
            </w:r>
          </w:p>
          <w:p w:rsidR="009F266C" w:rsidRPr="0079454D" w:rsidRDefault="009F266C" w:rsidP="003C5D6B">
            <w:pPr>
              <w:pStyle w:val="Default"/>
              <w:rPr>
                <w:rFonts w:asciiTheme="majorBidi" w:hAnsiTheme="majorBidi" w:cstheme="majorBidi"/>
                <w:sz w:val="20"/>
                <w:szCs w:val="20"/>
                <w:lang w:val="fr-FR"/>
              </w:rPr>
            </w:pPr>
            <w:r w:rsidRPr="0079454D">
              <w:rPr>
                <w:rFonts w:asciiTheme="majorBidi" w:hAnsiTheme="majorBidi" w:cstheme="majorBidi"/>
                <w:sz w:val="20"/>
                <w:szCs w:val="20"/>
                <w:lang w:val="fr-FR"/>
              </w:rPr>
              <w:t>2 – Vendeur</w:t>
            </w:r>
          </w:p>
          <w:p w:rsidR="009F266C" w:rsidRPr="0079454D" w:rsidRDefault="009F266C" w:rsidP="003C5D6B">
            <w:pPr>
              <w:pStyle w:val="Default"/>
              <w:rPr>
                <w:rFonts w:asciiTheme="majorBidi" w:hAnsiTheme="majorBidi" w:cstheme="majorBidi"/>
                <w:sz w:val="20"/>
                <w:szCs w:val="20"/>
                <w:lang w:val="fr-FR"/>
              </w:rPr>
            </w:pPr>
            <w:r w:rsidRPr="0079454D">
              <w:rPr>
                <w:rFonts w:asciiTheme="majorBidi" w:hAnsiTheme="majorBidi" w:cstheme="majorBidi"/>
                <w:sz w:val="20"/>
                <w:szCs w:val="20"/>
                <w:lang w:val="fr-FR"/>
              </w:rPr>
              <w:t>3 – Equipement terminal simple</w:t>
            </w:r>
          </w:p>
          <w:p w:rsidR="009F266C" w:rsidRPr="0079454D" w:rsidRDefault="009F266C" w:rsidP="003C5D6B">
            <w:pPr>
              <w:pStyle w:val="Default"/>
              <w:spacing w:after="60"/>
              <w:rPr>
                <w:rFonts w:asciiTheme="majorBidi" w:hAnsiTheme="majorBidi" w:cstheme="majorBidi"/>
                <w:sz w:val="20"/>
                <w:szCs w:val="20"/>
                <w:lang w:val="fr-FR"/>
              </w:rPr>
            </w:pPr>
            <w:r w:rsidRPr="0079454D">
              <w:rPr>
                <w:rFonts w:asciiTheme="majorBidi" w:hAnsiTheme="majorBidi" w:cstheme="majorBidi"/>
                <w:sz w:val="20"/>
                <w:szCs w:val="20"/>
                <w:lang w:val="fr-FR"/>
              </w:rPr>
              <w:t xml:space="preserve">4 – Equipement terminal complexe </w:t>
            </w:r>
          </w:p>
        </w:tc>
        <w:tc>
          <w:tcPr>
            <w:tcW w:w="2835" w:type="dxa"/>
            <w:tcBorders>
              <w:top w:val="single" w:sz="6" w:space="0" w:color="000000"/>
              <w:left w:val="single" w:sz="4" w:space="0" w:color="000000"/>
              <w:bottom w:val="single" w:sz="6" w:space="0" w:color="000000"/>
              <w:right w:val="single" w:sz="4" w:space="0" w:color="000000"/>
            </w:tcBorders>
          </w:tcPr>
          <w:p w:rsidR="009F266C" w:rsidRPr="0079454D" w:rsidRDefault="009F266C" w:rsidP="003C5D6B">
            <w:pPr>
              <w:pStyle w:val="Default"/>
              <w:spacing w:before="60"/>
              <w:jc w:val="center"/>
              <w:rPr>
                <w:rFonts w:asciiTheme="majorBidi" w:hAnsiTheme="majorBidi" w:cstheme="majorBidi"/>
                <w:sz w:val="20"/>
                <w:szCs w:val="20"/>
                <w:lang w:val="fr-FR"/>
              </w:rPr>
            </w:pPr>
            <w:r w:rsidRPr="0079454D">
              <w:rPr>
                <w:rFonts w:asciiTheme="majorBidi" w:hAnsiTheme="majorBidi" w:cstheme="majorBidi"/>
                <w:sz w:val="20"/>
                <w:szCs w:val="20"/>
                <w:lang w:val="fr-FR"/>
              </w:rPr>
              <w:t>58 000</w:t>
            </w:r>
          </w:p>
          <w:p w:rsidR="009F266C" w:rsidRPr="0079454D" w:rsidRDefault="009F266C" w:rsidP="003C5D6B">
            <w:pPr>
              <w:pStyle w:val="Default"/>
              <w:jc w:val="center"/>
              <w:rPr>
                <w:rFonts w:asciiTheme="majorBidi" w:hAnsiTheme="majorBidi" w:cstheme="majorBidi"/>
                <w:sz w:val="20"/>
                <w:szCs w:val="20"/>
                <w:lang w:val="fr-FR"/>
              </w:rPr>
            </w:pPr>
            <w:r w:rsidRPr="0079454D">
              <w:rPr>
                <w:rFonts w:asciiTheme="majorBidi" w:hAnsiTheme="majorBidi" w:cstheme="majorBidi"/>
                <w:sz w:val="20"/>
                <w:szCs w:val="20"/>
                <w:lang w:val="fr-FR"/>
              </w:rPr>
              <w:t>58 000</w:t>
            </w:r>
          </w:p>
          <w:p w:rsidR="009F266C" w:rsidRPr="0079454D" w:rsidRDefault="009F266C" w:rsidP="003C5D6B">
            <w:pPr>
              <w:pStyle w:val="Default"/>
              <w:jc w:val="center"/>
              <w:rPr>
                <w:rFonts w:asciiTheme="majorBidi" w:hAnsiTheme="majorBidi" w:cstheme="majorBidi"/>
                <w:sz w:val="20"/>
                <w:szCs w:val="20"/>
                <w:lang w:val="fr-FR"/>
              </w:rPr>
            </w:pPr>
            <w:r w:rsidRPr="0079454D">
              <w:rPr>
                <w:rFonts w:asciiTheme="majorBidi" w:hAnsiTheme="majorBidi" w:cstheme="majorBidi"/>
                <w:sz w:val="20"/>
                <w:szCs w:val="20"/>
                <w:lang w:val="fr-FR"/>
              </w:rPr>
              <w:t>5 800</w:t>
            </w:r>
          </w:p>
          <w:p w:rsidR="009F266C" w:rsidRPr="0079454D" w:rsidRDefault="009F266C" w:rsidP="003C5D6B">
            <w:pPr>
              <w:pStyle w:val="Default"/>
              <w:spacing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11 600</w:t>
            </w:r>
          </w:p>
        </w:tc>
        <w:tc>
          <w:tcPr>
            <w:tcW w:w="2835"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Default"/>
              <w:spacing w:before="60"/>
              <w:jc w:val="center"/>
              <w:rPr>
                <w:rFonts w:asciiTheme="majorBidi" w:hAnsiTheme="majorBidi" w:cstheme="majorBidi"/>
                <w:sz w:val="20"/>
                <w:szCs w:val="20"/>
                <w:lang w:val="fr-FR"/>
              </w:rPr>
            </w:pPr>
            <w:r w:rsidRPr="0079454D">
              <w:rPr>
                <w:rFonts w:asciiTheme="majorBidi" w:hAnsiTheme="majorBidi" w:cstheme="majorBidi"/>
                <w:sz w:val="20"/>
                <w:szCs w:val="20"/>
                <w:lang w:val="fr-FR"/>
              </w:rPr>
              <w:t>348 000 F</w:t>
            </w:r>
          </w:p>
          <w:p w:rsidR="009F266C" w:rsidRPr="0079454D" w:rsidRDefault="009F266C" w:rsidP="003C5D6B">
            <w:pPr>
              <w:pStyle w:val="Default"/>
              <w:jc w:val="center"/>
              <w:rPr>
                <w:rFonts w:asciiTheme="majorBidi" w:hAnsiTheme="majorBidi" w:cstheme="majorBidi"/>
                <w:sz w:val="20"/>
                <w:szCs w:val="20"/>
                <w:lang w:val="fr-FR"/>
              </w:rPr>
            </w:pPr>
            <w:r w:rsidRPr="0079454D">
              <w:rPr>
                <w:rFonts w:asciiTheme="majorBidi" w:hAnsiTheme="majorBidi" w:cstheme="majorBidi"/>
                <w:sz w:val="20"/>
                <w:szCs w:val="20"/>
                <w:lang w:val="fr-FR"/>
              </w:rPr>
              <w:t>145 000 F</w:t>
            </w:r>
          </w:p>
          <w:p w:rsidR="009F266C" w:rsidRPr="0079454D" w:rsidRDefault="009F266C" w:rsidP="003C5D6B">
            <w:pPr>
              <w:pStyle w:val="Default"/>
              <w:jc w:val="center"/>
              <w:rPr>
                <w:rFonts w:asciiTheme="majorBidi" w:hAnsiTheme="majorBidi" w:cstheme="majorBidi"/>
                <w:sz w:val="20"/>
                <w:szCs w:val="20"/>
                <w:lang w:val="fr-FR"/>
              </w:rPr>
            </w:pPr>
            <w:r w:rsidRPr="0079454D">
              <w:rPr>
                <w:rFonts w:asciiTheme="majorBidi" w:hAnsiTheme="majorBidi" w:cstheme="majorBidi"/>
                <w:sz w:val="20"/>
                <w:szCs w:val="20"/>
                <w:lang w:val="fr-FR"/>
              </w:rPr>
              <w:t>58 500 F</w:t>
            </w:r>
          </w:p>
          <w:p w:rsidR="009F266C" w:rsidRPr="0079454D" w:rsidRDefault="009F266C" w:rsidP="003C5D6B">
            <w:pPr>
              <w:pStyle w:val="Default"/>
              <w:spacing w:after="60"/>
              <w:jc w:val="center"/>
              <w:rPr>
                <w:rFonts w:asciiTheme="majorBidi" w:hAnsiTheme="majorBidi" w:cstheme="majorBidi"/>
                <w:sz w:val="20"/>
                <w:szCs w:val="20"/>
                <w:lang w:val="fr-FR"/>
              </w:rPr>
            </w:pPr>
            <w:r w:rsidRPr="0079454D">
              <w:rPr>
                <w:rFonts w:asciiTheme="majorBidi" w:hAnsiTheme="majorBidi" w:cstheme="majorBidi"/>
                <w:sz w:val="20"/>
                <w:szCs w:val="20"/>
                <w:lang w:val="fr-FR"/>
              </w:rPr>
              <w:t>116 000 F</w:t>
            </w:r>
          </w:p>
        </w:tc>
      </w:tr>
    </w:tbl>
    <w:p w:rsidR="009F266C" w:rsidRPr="0079454D" w:rsidRDefault="009F266C" w:rsidP="009F266C">
      <w:pPr>
        <w:pStyle w:val="Default"/>
        <w:spacing w:before="60" w:after="60"/>
        <w:rPr>
          <w:rFonts w:asciiTheme="majorBidi" w:hAnsiTheme="majorBidi" w:cstheme="majorBidi"/>
          <w:b/>
          <w:bCs/>
          <w:sz w:val="20"/>
          <w:szCs w:val="20"/>
          <w:lang w:val="fr-FR"/>
        </w:rPr>
      </w:pPr>
    </w:p>
    <w:p w:rsidR="009F266C" w:rsidRPr="0079454D" w:rsidRDefault="009F266C" w:rsidP="009F266C">
      <w:pPr>
        <w:pStyle w:val="Heading1"/>
        <w:rPr>
          <w:lang w:val="fr-FR"/>
        </w:rPr>
      </w:pPr>
      <w:bookmarkStart w:id="1262" w:name="_Toc286314955"/>
      <w:bookmarkStart w:id="1263" w:name="_Toc287523404"/>
      <w:r w:rsidRPr="0079454D">
        <w:rPr>
          <w:lang w:val="fr-FR"/>
        </w:rPr>
        <w:t>V – TAXES D’INTERVENTIONS</w:t>
      </w:r>
      <w:bookmarkEnd w:id="1262"/>
      <w:bookmarkEnd w:id="1263"/>
    </w:p>
    <w:p w:rsidR="009F266C" w:rsidRPr="0079454D" w:rsidRDefault="009F266C" w:rsidP="009F266C">
      <w:pPr>
        <w:spacing w:before="0"/>
        <w:rPr>
          <w:lang w:val="fr-FR"/>
        </w:rPr>
      </w:pPr>
    </w:p>
    <w:tbl>
      <w:tblPr>
        <w:tblW w:w="0" w:type="auto"/>
        <w:jc w:val="center"/>
        <w:tblBorders>
          <w:top w:val="nil"/>
          <w:left w:val="nil"/>
          <w:bottom w:val="nil"/>
          <w:right w:val="nil"/>
        </w:tblBorders>
        <w:tblLayout w:type="fixed"/>
        <w:tblLook w:val="0000"/>
      </w:tblPr>
      <w:tblGrid>
        <w:gridCol w:w="3969"/>
        <w:gridCol w:w="2835"/>
        <w:gridCol w:w="2835"/>
      </w:tblGrid>
      <w:tr w:rsidR="009F266C" w:rsidRPr="0079454D" w:rsidTr="003C5D6B">
        <w:trPr>
          <w:jc w:val="center"/>
        </w:trPr>
        <w:tc>
          <w:tcPr>
            <w:tcW w:w="3969"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Default"/>
              <w:spacing w:before="60"/>
              <w:rPr>
                <w:rFonts w:asciiTheme="majorBidi" w:hAnsiTheme="majorBidi" w:cstheme="majorBidi"/>
                <w:sz w:val="20"/>
                <w:szCs w:val="20"/>
                <w:lang w:val="fr-FR"/>
              </w:rPr>
            </w:pPr>
            <w:r w:rsidRPr="0079454D">
              <w:rPr>
                <w:rFonts w:asciiTheme="majorBidi" w:hAnsiTheme="majorBidi" w:cstheme="majorBidi"/>
                <w:sz w:val="20"/>
                <w:szCs w:val="20"/>
                <w:lang w:val="fr-FR"/>
              </w:rPr>
              <w:t>1 – Cas de brouillages</w:t>
            </w:r>
          </w:p>
          <w:p w:rsidR="009F266C" w:rsidRPr="0079454D" w:rsidRDefault="009F266C" w:rsidP="003C5D6B">
            <w:pPr>
              <w:pStyle w:val="Default"/>
              <w:rPr>
                <w:rFonts w:asciiTheme="majorBidi" w:hAnsiTheme="majorBidi" w:cstheme="majorBidi"/>
                <w:sz w:val="20"/>
                <w:szCs w:val="20"/>
                <w:lang w:val="fr-FR"/>
              </w:rPr>
            </w:pPr>
            <w:r w:rsidRPr="0079454D">
              <w:rPr>
                <w:rFonts w:asciiTheme="majorBidi" w:hAnsiTheme="majorBidi" w:cstheme="majorBidi"/>
                <w:sz w:val="20"/>
                <w:szCs w:val="20"/>
                <w:lang w:val="fr-FR"/>
              </w:rPr>
              <w:t>2 – Cas de non-conformité des installations</w:t>
            </w:r>
          </w:p>
          <w:p w:rsidR="009F266C" w:rsidRPr="0079454D" w:rsidRDefault="009F266C" w:rsidP="003C5D6B">
            <w:pPr>
              <w:pStyle w:val="Default"/>
              <w:spacing w:after="60"/>
              <w:rPr>
                <w:rFonts w:asciiTheme="majorBidi" w:hAnsiTheme="majorBidi" w:cstheme="majorBidi"/>
                <w:sz w:val="20"/>
                <w:szCs w:val="20"/>
                <w:lang w:val="fr-FR"/>
              </w:rPr>
            </w:pPr>
            <w:r w:rsidRPr="0079454D">
              <w:rPr>
                <w:rFonts w:asciiTheme="majorBidi" w:hAnsiTheme="majorBidi" w:cstheme="majorBidi"/>
                <w:sz w:val="20"/>
                <w:szCs w:val="20"/>
                <w:lang w:val="fr-FR"/>
              </w:rPr>
              <w:t>3 – Divers</w:t>
            </w:r>
          </w:p>
        </w:tc>
        <w:tc>
          <w:tcPr>
            <w:tcW w:w="2835" w:type="dxa"/>
            <w:tcBorders>
              <w:top w:val="single" w:sz="6" w:space="0" w:color="000000"/>
              <w:left w:val="single" w:sz="4" w:space="0" w:color="000000"/>
              <w:bottom w:val="single" w:sz="4" w:space="0" w:color="000000"/>
              <w:right w:val="single" w:sz="4" w:space="0" w:color="000000"/>
            </w:tcBorders>
          </w:tcPr>
          <w:p w:rsidR="009F266C" w:rsidRPr="0079454D" w:rsidRDefault="009F266C" w:rsidP="003C5D6B">
            <w:pPr>
              <w:pStyle w:val="Default"/>
              <w:jc w:val="center"/>
              <w:rPr>
                <w:rFonts w:asciiTheme="majorBidi" w:hAnsiTheme="majorBidi" w:cstheme="majorBidi"/>
                <w:color w:val="auto"/>
                <w:sz w:val="20"/>
                <w:szCs w:val="20"/>
                <w:lang w:val="fr-FR"/>
              </w:rPr>
            </w:pPr>
          </w:p>
        </w:tc>
        <w:tc>
          <w:tcPr>
            <w:tcW w:w="2835" w:type="dxa"/>
            <w:tcBorders>
              <w:top w:val="single" w:sz="4" w:space="0" w:color="000000"/>
              <w:left w:val="single" w:sz="4" w:space="0" w:color="000000"/>
              <w:bottom w:val="single" w:sz="4" w:space="0" w:color="000000"/>
              <w:right w:val="single" w:sz="4" w:space="0" w:color="000000"/>
            </w:tcBorders>
          </w:tcPr>
          <w:p w:rsidR="009F266C" w:rsidRPr="0079454D" w:rsidRDefault="009F266C" w:rsidP="003C5D6B">
            <w:pPr>
              <w:pStyle w:val="Default"/>
              <w:spacing w:before="60"/>
              <w:jc w:val="center"/>
              <w:rPr>
                <w:rFonts w:asciiTheme="majorBidi" w:hAnsiTheme="majorBidi" w:cstheme="majorBidi"/>
                <w:sz w:val="20"/>
                <w:szCs w:val="20"/>
                <w:lang w:val="fr-FR"/>
              </w:rPr>
            </w:pPr>
            <w:r w:rsidRPr="0079454D">
              <w:rPr>
                <w:rFonts w:asciiTheme="majorBidi" w:hAnsiTheme="majorBidi" w:cstheme="majorBidi"/>
                <w:sz w:val="20"/>
                <w:szCs w:val="20"/>
                <w:lang w:val="fr-FR"/>
              </w:rPr>
              <w:t>116 000 F</w:t>
            </w:r>
          </w:p>
          <w:p w:rsidR="009F266C" w:rsidRPr="0079454D" w:rsidRDefault="009F266C" w:rsidP="003C5D6B">
            <w:pPr>
              <w:pStyle w:val="Default"/>
              <w:jc w:val="center"/>
              <w:rPr>
                <w:rFonts w:asciiTheme="majorBidi" w:hAnsiTheme="majorBidi" w:cstheme="majorBidi"/>
                <w:sz w:val="20"/>
                <w:szCs w:val="20"/>
                <w:lang w:val="fr-FR"/>
              </w:rPr>
            </w:pPr>
            <w:r w:rsidRPr="0079454D">
              <w:rPr>
                <w:rFonts w:asciiTheme="majorBidi" w:hAnsiTheme="majorBidi" w:cstheme="majorBidi"/>
                <w:sz w:val="20"/>
                <w:szCs w:val="20"/>
                <w:lang w:val="fr-FR"/>
              </w:rPr>
              <w:t>145 000 F</w:t>
            </w:r>
          </w:p>
          <w:p w:rsidR="009F266C" w:rsidRPr="0079454D" w:rsidRDefault="009F266C" w:rsidP="003C5D6B">
            <w:pPr>
              <w:pStyle w:val="Default"/>
              <w:jc w:val="center"/>
              <w:rPr>
                <w:rFonts w:asciiTheme="majorBidi" w:hAnsiTheme="majorBidi" w:cstheme="majorBidi"/>
                <w:sz w:val="20"/>
                <w:szCs w:val="20"/>
                <w:lang w:val="fr-FR"/>
              </w:rPr>
            </w:pPr>
            <w:r w:rsidRPr="0079454D">
              <w:rPr>
                <w:rFonts w:asciiTheme="majorBidi" w:hAnsiTheme="majorBidi" w:cstheme="majorBidi"/>
                <w:sz w:val="20"/>
                <w:szCs w:val="20"/>
                <w:lang w:val="fr-FR"/>
              </w:rPr>
              <w:t>58 000 F</w:t>
            </w:r>
          </w:p>
        </w:tc>
      </w:tr>
    </w:tbl>
    <w:p w:rsidR="009F266C" w:rsidRPr="0079454D" w:rsidRDefault="009F266C" w:rsidP="009F266C">
      <w:pPr>
        <w:pStyle w:val="Default"/>
        <w:spacing w:before="60" w:after="60"/>
        <w:rPr>
          <w:rFonts w:asciiTheme="majorBidi" w:hAnsiTheme="majorBidi" w:cstheme="majorBidi"/>
          <w:b/>
          <w:bCs/>
          <w:sz w:val="20"/>
          <w:szCs w:val="20"/>
          <w:lang w:val="fr-FR"/>
        </w:rPr>
      </w:pPr>
    </w:p>
    <w:p w:rsidR="009F266C" w:rsidRPr="0079454D" w:rsidRDefault="009F266C" w:rsidP="009F266C">
      <w:pPr>
        <w:pStyle w:val="Heading1"/>
        <w:rPr>
          <w:lang w:val="fr-FR"/>
        </w:rPr>
      </w:pPr>
      <w:bookmarkStart w:id="1264" w:name="_Toc286314956"/>
      <w:bookmarkStart w:id="1265" w:name="_Toc287523405"/>
      <w:r w:rsidRPr="0079454D">
        <w:rPr>
          <w:lang w:val="fr-FR"/>
        </w:rPr>
        <w:t>VI – VIGNETTES</w:t>
      </w:r>
      <w:bookmarkEnd w:id="1264"/>
      <w:bookmarkEnd w:id="1265"/>
    </w:p>
    <w:p w:rsidR="009F266C" w:rsidRPr="0079454D" w:rsidRDefault="009F266C" w:rsidP="009F266C">
      <w:pPr>
        <w:spacing w:before="0"/>
        <w:rPr>
          <w:lang w:val="fr-FR"/>
        </w:rPr>
      </w:pPr>
    </w:p>
    <w:tbl>
      <w:tblPr>
        <w:tblW w:w="0" w:type="auto"/>
        <w:jc w:val="center"/>
        <w:tblBorders>
          <w:top w:val="nil"/>
          <w:left w:val="nil"/>
          <w:bottom w:val="nil"/>
          <w:right w:val="nil"/>
        </w:tblBorders>
        <w:tblLayout w:type="fixed"/>
        <w:tblLook w:val="0000"/>
      </w:tblPr>
      <w:tblGrid>
        <w:gridCol w:w="3969"/>
        <w:gridCol w:w="2835"/>
        <w:gridCol w:w="2835"/>
      </w:tblGrid>
      <w:tr w:rsidR="009F266C" w:rsidRPr="0079454D" w:rsidTr="003C5D6B">
        <w:trPr>
          <w:jc w:val="center"/>
        </w:trPr>
        <w:tc>
          <w:tcPr>
            <w:tcW w:w="3969" w:type="dxa"/>
            <w:tcBorders>
              <w:top w:val="single" w:sz="4" w:space="0" w:color="000000"/>
              <w:left w:val="single" w:sz="4" w:space="0" w:color="000000"/>
              <w:bottom w:val="single" w:sz="4" w:space="0" w:color="000000"/>
              <w:right w:val="single" w:sz="4" w:space="0" w:color="000000"/>
            </w:tcBorders>
            <w:vAlign w:val="bottom"/>
          </w:tcPr>
          <w:p w:rsidR="009F266C" w:rsidRPr="0079454D" w:rsidRDefault="009F266C" w:rsidP="003C5D6B">
            <w:pPr>
              <w:pStyle w:val="Default"/>
              <w:spacing w:before="60"/>
              <w:rPr>
                <w:rFonts w:asciiTheme="majorBidi" w:hAnsiTheme="majorBidi" w:cstheme="majorBidi"/>
                <w:sz w:val="20"/>
                <w:szCs w:val="20"/>
                <w:lang w:val="fr-FR"/>
              </w:rPr>
            </w:pPr>
            <w:r w:rsidRPr="0079454D">
              <w:rPr>
                <w:rFonts w:asciiTheme="majorBidi" w:hAnsiTheme="majorBidi" w:cstheme="majorBidi"/>
                <w:sz w:val="20"/>
                <w:szCs w:val="20"/>
                <w:lang w:val="fr-FR"/>
              </w:rPr>
              <w:t>1 – Poste fixe</w:t>
            </w:r>
          </w:p>
          <w:p w:rsidR="009F266C" w:rsidRPr="0079454D" w:rsidRDefault="009F266C" w:rsidP="003C5D6B">
            <w:pPr>
              <w:pStyle w:val="Default"/>
              <w:rPr>
                <w:rFonts w:asciiTheme="majorBidi" w:hAnsiTheme="majorBidi" w:cstheme="majorBidi"/>
                <w:sz w:val="20"/>
                <w:szCs w:val="20"/>
                <w:lang w:val="fr-FR"/>
              </w:rPr>
            </w:pPr>
            <w:r w:rsidRPr="0079454D">
              <w:rPr>
                <w:rFonts w:asciiTheme="majorBidi" w:hAnsiTheme="majorBidi" w:cstheme="majorBidi"/>
                <w:sz w:val="20"/>
                <w:szCs w:val="20"/>
                <w:lang w:val="fr-FR"/>
              </w:rPr>
              <w:t>2 – Poste mobile</w:t>
            </w:r>
          </w:p>
          <w:p w:rsidR="009F266C" w:rsidRPr="0079454D" w:rsidRDefault="009F266C" w:rsidP="003C5D6B">
            <w:pPr>
              <w:pStyle w:val="Default"/>
              <w:spacing w:after="60"/>
              <w:rPr>
                <w:rFonts w:asciiTheme="majorBidi" w:hAnsiTheme="majorBidi" w:cstheme="majorBidi"/>
                <w:sz w:val="20"/>
                <w:szCs w:val="20"/>
                <w:lang w:val="fr-FR"/>
              </w:rPr>
            </w:pPr>
            <w:r w:rsidRPr="0079454D">
              <w:rPr>
                <w:rFonts w:asciiTheme="majorBidi" w:hAnsiTheme="majorBidi" w:cstheme="majorBidi"/>
                <w:sz w:val="20"/>
                <w:szCs w:val="20"/>
                <w:lang w:val="fr-FR"/>
              </w:rPr>
              <w:t xml:space="preserve">3 – Portatif </w:t>
            </w:r>
          </w:p>
        </w:tc>
        <w:tc>
          <w:tcPr>
            <w:tcW w:w="2835" w:type="dxa"/>
            <w:tcBorders>
              <w:top w:val="single" w:sz="4" w:space="0" w:color="000000"/>
              <w:left w:val="single" w:sz="4" w:space="0" w:color="000000"/>
              <w:bottom w:val="single" w:sz="4" w:space="0" w:color="000000"/>
              <w:right w:val="single" w:sz="4" w:space="0" w:color="000000"/>
            </w:tcBorders>
          </w:tcPr>
          <w:p w:rsidR="009F266C" w:rsidRPr="0079454D" w:rsidRDefault="009F266C" w:rsidP="003C5D6B">
            <w:pPr>
              <w:pStyle w:val="Default"/>
              <w:jc w:val="center"/>
              <w:rPr>
                <w:rFonts w:asciiTheme="majorBidi" w:hAnsiTheme="majorBidi" w:cstheme="majorBidi"/>
                <w:color w:val="auto"/>
                <w:sz w:val="20"/>
                <w:szCs w:val="20"/>
                <w:lang w:val="fr-FR"/>
              </w:rPr>
            </w:pPr>
          </w:p>
        </w:tc>
        <w:tc>
          <w:tcPr>
            <w:tcW w:w="2835" w:type="dxa"/>
            <w:tcBorders>
              <w:top w:val="single" w:sz="4" w:space="0" w:color="000000"/>
              <w:left w:val="single" w:sz="4" w:space="0" w:color="000000"/>
              <w:bottom w:val="single" w:sz="4" w:space="0" w:color="000000"/>
              <w:right w:val="single" w:sz="4" w:space="0" w:color="000000"/>
            </w:tcBorders>
          </w:tcPr>
          <w:p w:rsidR="009F266C" w:rsidRPr="0079454D" w:rsidRDefault="009F266C" w:rsidP="003C5D6B">
            <w:pPr>
              <w:pStyle w:val="Default"/>
              <w:spacing w:before="60"/>
              <w:jc w:val="center"/>
              <w:rPr>
                <w:rFonts w:asciiTheme="majorBidi" w:hAnsiTheme="majorBidi" w:cstheme="majorBidi"/>
                <w:sz w:val="20"/>
                <w:szCs w:val="20"/>
                <w:lang w:val="fr-FR"/>
              </w:rPr>
            </w:pPr>
            <w:r w:rsidRPr="0079454D">
              <w:rPr>
                <w:rFonts w:asciiTheme="majorBidi" w:hAnsiTheme="majorBidi" w:cstheme="majorBidi"/>
                <w:sz w:val="20"/>
                <w:szCs w:val="20"/>
                <w:lang w:val="fr-FR"/>
              </w:rPr>
              <w:t>2 900 F</w:t>
            </w:r>
          </w:p>
          <w:p w:rsidR="009F266C" w:rsidRPr="0079454D" w:rsidRDefault="009F266C" w:rsidP="003C5D6B">
            <w:pPr>
              <w:pStyle w:val="Default"/>
              <w:jc w:val="center"/>
              <w:rPr>
                <w:rFonts w:asciiTheme="majorBidi" w:hAnsiTheme="majorBidi" w:cstheme="majorBidi"/>
                <w:sz w:val="20"/>
                <w:szCs w:val="20"/>
                <w:lang w:val="fr-FR"/>
              </w:rPr>
            </w:pPr>
            <w:r w:rsidRPr="0079454D">
              <w:rPr>
                <w:rFonts w:asciiTheme="majorBidi" w:hAnsiTheme="majorBidi" w:cstheme="majorBidi"/>
                <w:sz w:val="20"/>
                <w:szCs w:val="20"/>
                <w:lang w:val="fr-FR"/>
              </w:rPr>
              <w:t>1 740 F</w:t>
            </w:r>
          </w:p>
          <w:p w:rsidR="009F266C" w:rsidRPr="0079454D" w:rsidRDefault="009F266C" w:rsidP="003C5D6B">
            <w:pPr>
              <w:pStyle w:val="Default"/>
              <w:spacing w:after="60"/>
              <w:jc w:val="center"/>
              <w:rPr>
                <w:rFonts w:asciiTheme="majorBidi" w:hAnsiTheme="majorBidi" w:cstheme="majorBidi"/>
                <w:color w:val="auto"/>
                <w:sz w:val="20"/>
                <w:szCs w:val="20"/>
                <w:lang w:val="fr-FR"/>
              </w:rPr>
            </w:pPr>
            <w:r w:rsidRPr="0079454D">
              <w:rPr>
                <w:rFonts w:asciiTheme="majorBidi" w:hAnsiTheme="majorBidi" w:cstheme="majorBidi"/>
                <w:sz w:val="20"/>
                <w:szCs w:val="20"/>
                <w:lang w:val="fr-FR"/>
              </w:rPr>
              <w:t>1 160 F</w:t>
            </w:r>
          </w:p>
        </w:tc>
      </w:tr>
    </w:tbl>
    <w:p w:rsidR="009F266C" w:rsidRPr="0079454D" w:rsidRDefault="009F266C" w:rsidP="009F266C">
      <w:pPr>
        <w:rPr>
          <w:lang w:val="fr-FR"/>
        </w:rPr>
      </w:pPr>
    </w:p>
    <w:p w:rsidR="009F266C" w:rsidRPr="0079454D" w:rsidRDefault="009F266C" w:rsidP="009F266C">
      <w:pPr>
        <w:pStyle w:val="ChapNo"/>
        <w:rPr>
          <w:rFonts w:asciiTheme="majorBidi" w:hAnsiTheme="majorBidi" w:cstheme="majorBidi"/>
          <w:color w:val="000000"/>
          <w:lang w:val="fr-FR"/>
        </w:rPr>
      </w:pPr>
      <w:bookmarkStart w:id="1266" w:name="_Toc280261088"/>
      <w:r w:rsidRPr="0079454D">
        <w:rPr>
          <w:lang w:val="fr-FR"/>
        </w:rPr>
        <w:t>CHAPITRE V</w:t>
      </w:r>
      <w:r w:rsidRPr="0079454D">
        <w:rPr>
          <w:lang w:val="fr-FR"/>
        </w:rPr>
        <w:br/>
      </w:r>
      <w:r w:rsidRPr="0079454D">
        <w:rPr>
          <w:lang w:val="fr-FR"/>
        </w:rPr>
        <w:br/>
      </w:r>
      <w:r w:rsidRPr="0079454D">
        <w:rPr>
          <w:rFonts w:asciiTheme="majorBidi" w:hAnsiTheme="majorBidi" w:cstheme="majorBidi"/>
          <w:bCs/>
          <w:color w:val="000000"/>
          <w:lang w:val="fr-FR"/>
        </w:rPr>
        <w:t>DISPOSITION PENALES</w:t>
      </w:r>
      <w:bookmarkEnd w:id="1266"/>
    </w:p>
    <w:p w:rsidR="009F266C" w:rsidRPr="0079454D" w:rsidRDefault="009F266C" w:rsidP="009F266C">
      <w:pPr>
        <w:rPr>
          <w:rFonts w:asciiTheme="majorBidi" w:hAnsiTheme="majorBidi" w:cstheme="majorBidi"/>
          <w:color w:val="000000"/>
          <w:lang w:val="fr-FR"/>
        </w:rPr>
      </w:pPr>
      <w:r w:rsidRPr="0079454D">
        <w:rPr>
          <w:rFonts w:asciiTheme="majorBidi" w:hAnsiTheme="majorBidi" w:cstheme="majorBidi"/>
          <w:b/>
          <w:bCs/>
          <w:color w:val="000000"/>
          <w:u w:val="single"/>
          <w:lang w:val="fr-FR"/>
        </w:rPr>
        <w:t>Art. 15</w:t>
      </w:r>
      <w:r w:rsidRPr="0079454D">
        <w:rPr>
          <w:rFonts w:asciiTheme="majorBidi" w:hAnsiTheme="majorBidi" w:cstheme="majorBidi"/>
          <w:color w:val="000000"/>
          <w:lang w:val="fr-FR"/>
        </w:rPr>
        <w:t xml:space="preserve">: Les </w:t>
      </w:r>
      <w:r w:rsidRPr="0079454D">
        <w:rPr>
          <w:lang w:val="fr-FR"/>
        </w:rPr>
        <w:t>infractions</w:t>
      </w:r>
      <w:r w:rsidRPr="0079454D">
        <w:rPr>
          <w:rFonts w:asciiTheme="majorBidi" w:hAnsiTheme="majorBidi" w:cstheme="majorBidi"/>
          <w:color w:val="000000"/>
          <w:lang w:val="fr-FR"/>
        </w:rPr>
        <w:t xml:space="preserve"> aux dispositions de la présente ordonnance sont sanctionnées par les articles 14 et 35de la loi N°95-526 du 7 juillet 1995, portant code des télécommunications.</w:t>
      </w:r>
    </w:p>
    <w:p w:rsidR="009F266C" w:rsidRPr="0079454D" w:rsidRDefault="009F266C" w:rsidP="009F266C">
      <w:pPr>
        <w:rPr>
          <w:rFonts w:asciiTheme="majorBidi" w:hAnsiTheme="majorBidi" w:cstheme="majorBidi"/>
          <w:color w:val="000000"/>
          <w:lang w:val="fr-FR"/>
        </w:rPr>
      </w:pPr>
      <w:r w:rsidRPr="0079454D">
        <w:rPr>
          <w:rFonts w:asciiTheme="majorBidi" w:hAnsiTheme="majorBidi" w:cstheme="majorBidi"/>
          <w:b/>
          <w:bCs/>
          <w:color w:val="000000"/>
          <w:u w:val="single"/>
          <w:lang w:val="fr-FR"/>
        </w:rPr>
        <w:t>Art. 16</w:t>
      </w:r>
      <w:r w:rsidRPr="0079454D">
        <w:rPr>
          <w:rFonts w:asciiTheme="majorBidi" w:hAnsiTheme="majorBidi" w:cstheme="majorBidi"/>
          <w:color w:val="000000"/>
          <w:lang w:val="fr-FR"/>
        </w:rPr>
        <w:t xml:space="preserve">: En outre, le non-paiement des taxes, redevances et contributions entraîne la suspension </w:t>
      </w:r>
      <w:r w:rsidR="0079454D" w:rsidRPr="0079454D">
        <w:rPr>
          <w:rFonts w:asciiTheme="majorBidi" w:hAnsiTheme="majorBidi" w:cstheme="majorBidi"/>
          <w:color w:val="000000"/>
          <w:lang w:val="fr-FR"/>
        </w:rPr>
        <w:t>des autorisations</w:t>
      </w:r>
      <w:r w:rsidRPr="0079454D">
        <w:rPr>
          <w:rFonts w:asciiTheme="majorBidi" w:hAnsiTheme="majorBidi" w:cstheme="majorBidi"/>
          <w:color w:val="000000"/>
          <w:lang w:val="fr-FR"/>
        </w:rPr>
        <w:t xml:space="preserve"> et la mise sous scellés du matériel radioélectrique. </w:t>
      </w:r>
    </w:p>
    <w:p w:rsidR="009F266C" w:rsidRPr="0079454D" w:rsidRDefault="009F266C" w:rsidP="009F266C">
      <w:pPr>
        <w:pStyle w:val="ChapNo"/>
        <w:rPr>
          <w:rFonts w:asciiTheme="majorBidi" w:hAnsiTheme="majorBidi" w:cstheme="majorBidi"/>
          <w:lang w:val="fr-FR"/>
        </w:rPr>
      </w:pPr>
      <w:bookmarkStart w:id="1267" w:name="_Toc280261089"/>
      <w:r w:rsidRPr="0079454D">
        <w:rPr>
          <w:lang w:val="fr-FR"/>
        </w:rPr>
        <w:t>CHAPITRE VI</w:t>
      </w:r>
      <w:r w:rsidRPr="0079454D">
        <w:rPr>
          <w:lang w:val="fr-FR"/>
        </w:rPr>
        <w:br/>
      </w:r>
      <w:r w:rsidRPr="0079454D">
        <w:rPr>
          <w:lang w:val="fr-FR"/>
        </w:rPr>
        <w:br/>
      </w:r>
      <w:r w:rsidRPr="0079454D">
        <w:rPr>
          <w:rFonts w:asciiTheme="majorBidi" w:hAnsiTheme="majorBidi" w:cstheme="majorBidi"/>
          <w:bCs/>
          <w:lang w:val="fr-FR"/>
        </w:rPr>
        <w:t>DISPOSITION FINALES</w:t>
      </w:r>
      <w:bookmarkEnd w:id="1267"/>
      <w:r w:rsidRPr="0079454D">
        <w:rPr>
          <w:rFonts w:asciiTheme="majorBidi" w:hAnsiTheme="majorBidi" w:cstheme="majorBidi"/>
          <w:bCs/>
          <w:lang w:val="fr-FR"/>
        </w:rPr>
        <w:t xml:space="preserve"> </w:t>
      </w:r>
    </w:p>
    <w:p w:rsidR="009F266C" w:rsidRPr="0079454D" w:rsidRDefault="009F266C" w:rsidP="009F266C">
      <w:pPr>
        <w:rPr>
          <w:rFonts w:asciiTheme="majorBidi" w:hAnsiTheme="majorBidi" w:cstheme="majorBidi"/>
          <w:lang w:val="fr-FR"/>
        </w:rPr>
      </w:pPr>
      <w:r w:rsidRPr="0079454D">
        <w:rPr>
          <w:rFonts w:asciiTheme="majorBidi" w:hAnsiTheme="majorBidi" w:cstheme="majorBidi"/>
          <w:b/>
          <w:bCs/>
          <w:u w:val="single"/>
          <w:lang w:val="fr-FR"/>
        </w:rPr>
        <w:t>Art. 17</w:t>
      </w:r>
      <w:r w:rsidRPr="0079454D">
        <w:rPr>
          <w:rFonts w:asciiTheme="majorBidi" w:hAnsiTheme="majorBidi" w:cstheme="majorBidi"/>
          <w:lang w:val="fr-FR"/>
        </w:rPr>
        <w:t xml:space="preserve">: </w:t>
      </w:r>
      <w:r w:rsidRPr="0079454D">
        <w:rPr>
          <w:rFonts w:asciiTheme="majorBidi" w:hAnsiTheme="majorBidi" w:cstheme="majorBidi"/>
          <w:color w:val="000000"/>
          <w:lang w:val="fr-FR"/>
        </w:rPr>
        <w:t>sont</w:t>
      </w:r>
      <w:r w:rsidRPr="0079454D">
        <w:rPr>
          <w:rFonts w:asciiTheme="majorBidi" w:hAnsiTheme="majorBidi" w:cstheme="majorBidi"/>
          <w:lang w:val="fr-FR"/>
        </w:rPr>
        <w:t xml:space="preserve"> abrogées toutes les dispositions antérieures contraires </w:t>
      </w:r>
      <w:r w:rsidR="0079454D" w:rsidRPr="0079454D">
        <w:rPr>
          <w:rFonts w:asciiTheme="majorBidi" w:hAnsiTheme="majorBidi" w:cstheme="majorBidi"/>
          <w:lang w:val="fr-FR"/>
        </w:rPr>
        <w:t>à</w:t>
      </w:r>
      <w:r w:rsidRPr="0079454D">
        <w:rPr>
          <w:rFonts w:asciiTheme="majorBidi" w:hAnsiTheme="majorBidi" w:cstheme="majorBidi"/>
          <w:lang w:val="fr-FR"/>
        </w:rPr>
        <w:t xml:space="preserve"> celles de la présente ordonnance.</w:t>
      </w:r>
    </w:p>
    <w:p w:rsidR="009F266C" w:rsidRPr="0079454D" w:rsidRDefault="009F266C" w:rsidP="009F266C">
      <w:pPr>
        <w:rPr>
          <w:rFonts w:asciiTheme="majorBidi" w:hAnsiTheme="majorBidi" w:cstheme="majorBidi"/>
          <w:lang w:val="fr-FR"/>
        </w:rPr>
      </w:pPr>
      <w:r w:rsidRPr="0079454D">
        <w:rPr>
          <w:rFonts w:asciiTheme="majorBidi" w:hAnsiTheme="majorBidi" w:cstheme="majorBidi"/>
          <w:b/>
          <w:bCs/>
          <w:u w:val="single"/>
          <w:lang w:val="fr-FR"/>
        </w:rPr>
        <w:lastRenderedPageBreak/>
        <w:t>Art.18</w:t>
      </w:r>
      <w:r w:rsidRPr="0079454D">
        <w:rPr>
          <w:rFonts w:asciiTheme="majorBidi" w:hAnsiTheme="majorBidi" w:cstheme="majorBidi"/>
          <w:lang w:val="fr-FR"/>
        </w:rPr>
        <w:t xml:space="preserve">: Le Ministre de l’économie et des finances et le Ministre des infrastructures économiques </w:t>
      </w:r>
      <w:r w:rsidRPr="0079454D">
        <w:rPr>
          <w:rFonts w:asciiTheme="majorBidi" w:hAnsiTheme="majorBidi" w:cstheme="majorBidi"/>
          <w:color w:val="000000"/>
          <w:lang w:val="fr-FR"/>
        </w:rPr>
        <w:t>sont</w:t>
      </w:r>
      <w:r w:rsidRPr="0079454D">
        <w:rPr>
          <w:rFonts w:asciiTheme="majorBidi" w:hAnsiTheme="majorBidi" w:cstheme="majorBidi"/>
          <w:lang w:val="fr-FR"/>
        </w:rPr>
        <w:t xml:space="preserve"> chargés, en ce qui le concerne, de l’application de la présente ordonnance qui sera exécutée comme loi de l’Etat, publiée selon la procédure d’urgence et au journal officiel de la République de Côte d’Ivoire. </w:t>
      </w:r>
    </w:p>
    <w:p w:rsidR="009F266C" w:rsidRPr="0079454D" w:rsidRDefault="009F266C" w:rsidP="009F266C">
      <w:pPr>
        <w:rPr>
          <w:lang w:val="fr-FR"/>
        </w:rPr>
      </w:pPr>
    </w:p>
    <w:p w:rsidR="009F266C" w:rsidRPr="0079454D" w:rsidRDefault="009F266C" w:rsidP="009F266C">
      <w:pPr>
        <w:rPr>
          <w:lang w:val="fr-FR"/>
        </w:rPr>
      </w:pPr>
    </w:p>
    <w:p w:rsidR="009F266C" w:rsidRPr="0079454D" w:rsidRDefault="009F266C" w:rsidP="009F266C">
      <w:pPr>
        <w:pStyle w:val="Default"/>
        <w:spacing w:line="303" w:lineRule="atLeast"/>
        <w:ind w:left="5367"/>
        <w:jc w:val="both"/>
        <w:rPr>
          <w:rFonts w:asciiTheme="majorBidi" w:hAnsiTheme="majorBidi" w:cstheme="majorBidi"/>
          <w:lang w:val="fr-FR"/>
        </w:rPr>
      </w:pPr>
      <w:r w:rsidRPr="0079454D">
        <w:rPr>
          <w:rFonts w:asciiTheme="majorBidi" w:hAnsiTheme="majorBidi" w:cstheme="majorBidi"/>
          <w:color w:val="auto"/>
          <w:lang w:val="fr-FR"/>
        </w:rPr>
        <w:t xml:space="preserve">Fait à Abidjan, le 19 mars 1997 </w:t>
      </w:r>
    </w:p>
    <w:p w:rsidR="009F266C" w:rsidRPr="0079454D" w:rsidRDefault="009F266C" w:rsidP="009F266C">
      <w:pPr>
        <w:pStyle w:val="Default"/>
        <w:rPr>
          <w:rFonts w:asciiTheme="majorBidi" w:hAnsiTheme="majorBidi" w:cstheme="majorBidi"/>
          <w:color w:val="auto"/>
          <w:lang w:val="fr-FR"/>
        </w:rPr>
      </w:pPr>
    </w:p>
    <w:p w:rsidR="009F266C" w:rsidRPr="00E92FFB" w:rsidRDefault="009F266C" w:rsidP="009F266C">
      <w:pPr>
        <w:rPr>
          <w:rFonts w:asciiTheme="majorBidi" w:hAnsiTheme="majorBidi" w:cstheme="majorBidi"/>
          <w:sz w:val="24"/>
          <w:szCs w:val="24"/>
          <w:lang w:val="fr-CH"/>
        </w:rPr>
      </w:pPr>
    </w:p>
    <w:p w:rsidR="009F266C" w:rsidRPr="00E92FFB" w:rsidRDefault="009F266C" w:rsidP="009F266C">
      <w:pPr>
        <w:rPr>
          <w:rFonts w:asciiTheme="majorBidi" w:hAnsiTheme="majorBidi" w:cstheme="majorBidi"/>
          <w:sz w:val="24"/>
          <w:szCs w:val="24"/>
          <w:lang w:val="fr-CH"/>
        </w:rPr>
      </w:pPr>
    </w:p>
    <w:p w:rsidR="009F266C" w:rsidRPr="00E92FFB" w:rsidRDefault="009F266C" w:rsidP="009F266C">
      <w:pPr>
        <w:pStyle w:val="AnnexNotitle"/>
        <w:rPr>
          <w:rFonts w:asciiTheme="majorBidi" w:hAnsiTheme="majorBidi" w:cstheme="majorBidi"/>
          <w:sz w:val="24"/>
          <w:szCs w:val="24"/>
          <w:lang w:val="fr-CH"/>
        </w:rPr>
      </w:pPr>
    </w:p>
    <w:bookmarkEnd w:id="16"/>
    <w:p w:rsidR="00401ECE" w:rsidRPr="00E92FFB" w:rsidRDefault="00401ECE">
      <w:pPr>
        <w:tabs>
          <w:tab w:val="clear" w:pos="794"/>
          <w:tab w:val="clear" w:pos="1191"/>
          <w:tab w:val="clear" w:pos="1588"/>
          <w:tab w:val="clear" w:pos="1985"/>
        </w:tabs>
        <w:overflowPunct/>
        <w:autoSpaceDE/>
        <w:autoSpaceDN/>
        <w:adjustRightInd/>
        <w:spacing w:before="0"/>
        <w:jc w:val="left"/>
        <w:textAlignment w:val="auto"/>
        <w:rPr>
          <w:lang w:val="fr-CH"/>
        </w:rPr>
      </w:pPr>
    </w:p>
    <w:sectPr w:rsidR="00401ECE" w:rsidRPr="00E92FFB" w:rsidSect="00311736">
      <w:headerReference w:type="even" r:id="rId21"/>
      <w:headerReference w:type="first" r:id="rId22"/>
      <w:type w:val="oddPage"/>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D6B" w:rsidRDefault="003C5D6B">
      <w:r>
        <w:separator/>
      </w:r>
    </w:p>
  </w:endnote>
  <w:endnote w:type="continuationSeparator" w:id="0">
    <w:p w:rsidR="003C5D6B" w:rsidRDefault="003C5D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tarSymbol">
    <w:altName w:val="MS Mincho"/>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Zurich Ex BT">
    <w:panose1 w:val="020B0505020202020204"/>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Default="003C5D6B"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Default="003C5D6B">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Default="003C5D6B"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Default="003C5D6B"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D6B" w:rsidRDefault="003C5D6B">
      <w:r>
        <w:t>____________________</w:t>
      </w:r>
    </w:p>
  </w:footnote>
  <w:footnote w:type="continuationSeparator" w:id="0">
    <w:p w:rsidR="003C5D6B" w:rsidRDefault="003C5D6B">
      <w:r>
        <w:continuationSeparator/>
      </w:r>
    </w:p>
  </w:footnote>
  <w:footnote w:id="1">
    <w:p w:rsidR="003C5D6B" w:rsidRDefault="003C5D6B" w:rsidP="00593F1A">
      <w:pPr>
        <w:pStyle w:val="FootnoteText"/>
      </w:pPr>
      <w:r>
        <w:rPr>
          <w:rStyle w:val="FootnoteReference"/>
        </w:rPr>
        <w:t>1</w:t>
      </w:r>
      <w:r>
        <w:tab/>
      </w:r>
      <w:r>
        <w:rPr>
          <w:lang w:val="fr-FR"/>
        </w:rPr>
        <w:t xml:space="preserve">Le terme de </w:t>
      </w:r>
      <w:r>
        <w:rPr>
          <w:szCs w:val="24"/>
        </w:rPr>
        <w:t>“</w:t>
      </w:r>
      <w:r w:rsidRPr="001C4644">
        <w:rPr>
          <w:lang w:val="fr-FR"/>
        </w:rPr>
        <w:t>taxe</w:t>
      </w:r>
      <w:r>
        <w:rPr>
          <w:szCs w:val="22"/>
        </w:rPr>
        <w:t>”</w:t>
      </w:r>
      <w:r w:rsidRPr="001C4644">
        <w:rPr>
          <w:lang w:val="fr-FR"/>
        </w:rPr>
        <w:t xml:space="preserve"> (ou </w:t>
      </w:r>
      <w:r>
        <w:rPr>
          <w:szCs w:val="24"/>
        </w:rPr>
        <w:t>“</w:t>
      </w:r>
      <w:r w:rsidRPr="001C4644">
        <w:rPr>
          <w:lang w:val="fr-FR"/>
        </w:rPr>
        <w:t>impôt</w:t>
      </w:r>
      <w:r>
        <w:rPr>
          <w:szCs w:val="22"/>
        </w:rPr>
        <w:t>”</w:t>
      </w:r>
      <w:r w:rsidRPr="001C4644">
        <w:rPr>
          <w:lang w:val="fr-FR"/>
        </w:rPr>
        <w:t xml:space="preserve">) employé dans ce document est à comprendre dans le sens en usage dans la lange </w:t>
      </w:r>
      <w:r w:rsidRPr="001C4644">
        <w:rPr>
          <w:i/>
          <w:lang w:val="fr-FR"/>
        </w:rPr>
        <w:t>juridique</w:t>
      </w:r>
      <w:r w:rsidRPr="001C4644">
        <w:rPr>
          <w:lang w:val="fr-FR"/>
        </w:rPr>
        <w:t xml:space="preserve"> française. Voir également Chapitre 2.1 ci-dessous. Le Rapport UIT-R SM.2012-1 sur les aspects économiques de la gestio</w:t>
      </w:r>
      <w:r>
        <w:rPr>
          <w:lang w:val="fr-FR"/>
        </w:rPr>
        <w:t xml:space="preserve">n du spectre emploie le terme </w:t>
      </w:r>
      <w:r>
        <w:rPr>
          <w:szCs w:val="24"/>
        </w:rPr>
        <w:t>“</w:t>
      </w:r>
      <w:r>
        <w:rPr>
          <w:lang w:val="fr-FR"/>
        </w:rPr>
        <w:t>taxes d’utilisation du spectre</w:t>
      </w:r>
      <w:r>
        <w:rPr>
          <w:szCs w:val="22"/>
        </w:rPr>
        <w:t>”</w:t>
      </w:r>
      <w:r w:rsidRPr="001C4644">
        <w:rPr>
          <w:lang w:val="fr-FR"/>
        </w:rPr>
        <w:t xml:space="preserve"> (Chapitre 2.2.1.2).</w:t>
      </w:r>
    </w:p>
  </w:footnote>
  <w:footnote w:id="2">
    <w:p w:rsidR="003C5D6B" w:rsidRDefault="003C5D6B" w:rsidP="00593F1A">
      <w:pPr>
        <w:pStyle w:val="FootnoteText"/>
      </w:pPr>
      <w:r>
        <w:rPr>
          <w:rStyle w:val="FootnoteReference"/>
        </w:rPr>
        <w:t>2</w:t>
      </w:r>
      <w:r>
        <w:tab/>
      </w:r>
      <w:r>
        <w:rPr>
          <w:lang w:val="fr-FR"/>
        </w:rPr>
        <w:t xml:space="preserve">Le terme de </w:t>
      </w:r>
      <w:r>
        <w:rPr>
          <w:szCs w:val="24"/>
        </w:rPr>
        <w:t>“</w:t>
      </w:r>
      <w:r w:rsidRPr="001C4644">
        <w:rPr>
          <w:lang w:val="fr-FR"/>
        </w:rPr>
        <w:t>redevance</w:t>
      </w:r>
      <w:r>
        <w:rPr>
          <w:szCs w:val="22"/>
        </w:rPr>
        <w:t>”</w:t>
      </w:r>
      <w:r w:rsidRPr="001C4644">
        <w:rPr>
          <w:lang w:val="fr-FR"/>
        </w:rPr>
        <w:t xml:space="preserve"> employé dans ce document est à comprendre dans le sens en usage dans la lange </w:t>
      </w:r>
      <w:r w:rsidRPr="001C4644">
        <w:rPr>
          <w:i/>
          <w:lang w:val="fr-FR"/>
        </w:rPr>
        <w:t>juridique</w:t>
      </w:r>
      <w:r w:rsidRPr="001C4644">
        <w:rPr>
          <w:lang w:val="fr-FR"/>
        </w:rPr>
        <w:t xml:space="preserve"> française. Voir également Chapitre 2.2 ci-dessous. Le terme employé dans le Rapport UIT-R SM.2012-1 sur les aspects économiques de la gestion du spectre est </w:t>
      </w:r>
      <w:r>
        <w:rPr>
          <w:szCs w:val="24"/>
        </w:rPr>
        <w:t>“</w:t>
      </w:r>
      <w:r w:rsidRPr="001C4644">
        <w:rPr>
          <w:lang w:val="fr-FR"/>
        </w:rPr>
        <w:t>taxes calculées en fonction des c</w:t>
      </w:r>
      <w:r>
        <w:rPr>
          <w:lang w:val="fr-FR"/>
        </w:rPr>
        <w:t>oûts de gestion du spectre</w:t>
      </w:r>
      <w:r>
        <w:rPr>
          <w:szCs w:val="22"/>
        </w:rPr>
        <w:t>”</w:t>
      </w:r>
      <w:r w:rsidRPr="001C4644">
        <w:rPr>
          <w:lang w:val="fr-FR"/>
        </w:rPr>
        <w:t xml:space="preserve"> (Chapitre 2.3.4.1).</w:t>
      </w:r>
    </w:p>
  </w:footnote>
  <w:footnote w:id="3">
    <w:p w:rsidR="003C5D6B" w:rsidRDefault="003C5D6B">
      <w:pPr>
        <w:pStyle w:val="FootnoteText"/>
      </w:pPr>
      <w:r>
        <w:rPr>
          <w:rStyle w:val="FootnoteReference"/>
        </w:rPr>
        <w:t>3</w:t>
      </w:r>
      <w:r>
        <w:tab/>
      </w:r>
      <w:r w:rsidRPr="001C4644">
        <w:rPr>
          <w:lang w:val="fr-FR"/>
        </w:rPr>
        <w:t>L’administré est défini comme toute personne physique ou morale (société) qui est dans un rapport de dépendance vis-à-vis de l’administration.</w:t>
      </w:r>
    </w:p>
  </w:footnote>
  <w:footnote w:id="4">
    <w:p w:rsidR="003C5D6B" w:rsidRDefault="003C5D6B">
      <w:pPr>
        <w:pStyle w:val="FootnoteText"/>
      </w:pPr>
      <w:r>
        <w:rPr>
          <w:rStyle w:val="FootnoteReference"/>
        </w:rPr>
        <w:t>4</w:t>
      </w:r>
      <w:r>
        <w:tab/>
      </w:r>
      <w:r w:rsidRPr="001C4644">
        <w:rPr>
          <w:lang w:val="fr-FR"/>
        </w:rPr>
        <w:t xml:space="preserve">Principe appelé dans le jargon juridique </w:t>
      </w:r>
      <w:r w:rsidRPr="001C4644">
        <w:rPr>
          <w:i/>
          <w:lang w:val="fr-FR"/>
        </w:rPr>
        <w:t>principe de la couverture des coûts</w:t>
      </w:r>
      <w:r w:rsidRPr="001C4644">
        <w:rPr>
          <w:lang w:val="fr-FR"/>
        </w:rPr>
        <w:t>. Celui-ci arrête que le produit total des redevances ne doit pas dépasser la charge financière de la branche de l’administration concernée. Dans le cas où l’usager ne supporte qu’une partie des coûts, le reste est pris en charge par les budgets publics financés par les impôts ou d’autres revenus de l’État. Même si une participation est demandée pour le service obtenu, la part que supporte en fin de compte l’usager ne couvre pas nécessairement l’ensemble des coûts engendrés.</w:t>
      </w:r>
    </w:p>
  </w:footnote>
  <w:footnote w:id="5">
    <w:p w:rsidR="003C5D6B" w:rsidRDefault="003C5D6B">
      <w:pPr>
        <w:pStyle w:val="FootnoteText"/>
      </w:pPr>
      <w:r>
        <w:rPr>
          <w:rStyle w:val="FootnoteReference"/>
        </w:rPr>
        <w:t>5</w:t>
      </w:r>
      <w:r>
        <w:tab/>
      </w:r>
      <w:r w:rsidRPr="001C4644">
        <w:rPr>
          <w:lang w:val="fr-FR"/>
        </w:rPr>
        <w:t xml:space="preserve">Appelé dans le jargon juridique le </w:t>
      </w:r>
      <w:r w:rsidRPr="001C4644">
        <w:rPr>
          <w:i/>
          <w:lang w:val="fr-FR"/>
        </w:rPr>
        <w:t>principe de l’équivalence</w:t>
      </w:r>
      <w:r w:rsidRPr="001C4644">
        <w:rPr>
          <w:lang w:val="fr-FR"/>
        </w:rPr>
        <w:t>. Celui-ci dispose que le montant d’une redevance ne doit pas être en disproportion manifeste avec la valeur objective de la prestation. Cette valeur peut se déterminer par référence à l’utilité qu’en retire l’administré.</w:t>
      </w:r>
    </w:p>
  </w:footnote>
  <w:footnote w:id="6">
    <w:p w:rsidR="003C5D6B" w:rsidRDefault="003C5D6B">
      <w:pPr>
        <w:pStyle w:val="FootnoteText"/>
      </w:pPr>
      <w:r>
        <w:rPr>
          <w:rStyle w:val="FootnoteReference"/>
        </w:rPr>
        <w:t>6</w:t>
      </w:r>
      <w:r>
        <w:tab/>
      </w:r>
      <w:r w:rsidRPr="00BD6343">
        <w:rPr>
          <w:lang w:val="fr-FR"/>
        </w:rPr>
        <w:t>V</w:t>
      </w:r>
      <w:r w:rsidRPr="00BD6343">
        <w:rPr>
          <w:snapToGrid w:val="0"/>
          <w:lang w:val="fr-FR" w:eastAsia="de-DE"/>
        </w:rPr>
        <w:t>oir</w:t>
      </w:r>
      <w:r w:rsidRPr="00BD6343">
        <w:rPr>
          <w:lang w:val="fr-FR"/>
        </w:rPr>
        <w:t xml:space="preserve"> </w:t>
      </w:r>
      <w:hyperlink r:id="rId1" w:history="1">
        <w:r w:rsidRPr="00190938">
          <w:rPr>
            <w:rStyle w:val="Hyperlink"/>
            <w:lang w:val="fr-FR"/>
          </w:rPr>
          <w:t>http://www.admin.ch/ch/f/rs/7/784.106.fr.pdf</w:t>
        </w:r>
      </w:hyperlink>
    </w:p>
  </w:footnote>
  <w:footnote w:id="7">
    <w:p w:rsidR="003C5D6B" w:rsidRDefault="003C5D6B">
      <w:pPr>
        <w:pStyle w:val="FootnoteText"/>
      </w:pPr>
      <w:r>
        <w:rPr>
          <w:rStyle w:val="FootnoteReference"/>
        </w:rPr>
        <w:t>7</w:t>
      </w:r>
      <w:r>
        <w:tab/>
      </w:r>
      <w:r w:rsidRPr="00BD6343">
        <w:rPr>
          <w:lang w:val="fr-FR"/>
        </w:rPr>
        <w:t xml:space="preserve">Voir </w:t>
      </w:r>
      <w:hyperlink r:id="rId2" w:history="1">
        <w:r w:rsidRPr="00190938">
          <w:rPr>
            <w:rStyle w:val="Hyperlink"/>
            <w:lang w:val="fr-FR"/>
          </w:rPr>
          <w:t>http://www.admin.ch/ch/f/rs/7/784.106.12.fr.pdf</w:t>
        </w:r>
      </w:hyperlink>
    </w:p>
  </w:footnote>
  <w:footnote w:id="8">
    <w:p w:rsidR="003C5D6B" w:rsidRDefault="003C5D6B">
      <w:pPr>
        <w:pStyle w:val="FootnoteText"/>
      </w:pPr>
      <w:r>
        <w:rPr>
          <w:rStyle w:val="FootnoteReference"/>
        </w:rPr>
        <w:t>8</w:t>
      </w:r>
      <w:r>
        <w:tab/>
      </w:r>
      <w:r w:rsidRPr="001C4644">
        <w:rPr>
          <w:lang w:val="fr-FR"/>
        </w:rPr>
        <w:t xml:space="preserve">Voir </w:t>
      </w:r>
      <w:hyperlink r:id="rId3" w:history="1">
        <w:r w:rsidRPr="00190938">
          <w:rPr>
            <w:rStyle w:val="Hyperlink"/>
            <w:lang w:val="fr-FR"/>
          </w:rPr>
          <w:t>http://www.admin.ch/ch/f/rs/7/784.10.fr.pdf</w:t>
        </w:r>
      </w:hyperlink>
    </w:p>
  </w:footnote>
  <w:footnote w:id="9">
    <w:p w:rsidR="003C5D6B" w:rsidRDefault="003C5D6B">
      <w:pPr>
        <w:pStyle w:val="FootnoteText"/>
      </w:pPr>
      <w:r>
        <w:rPr>
          <w:rStyle w:val="FootnoteReference"/>
        </w:rPr>
        <w:t>9</w:t>
      </w:r>
      <w:r>
        <w:tab/>
      </w:r>
      <w:r w:rsidRPr="001C4644">
        <w:rPr>
          <w:lang w:val="fr-FR"/>
        </w:rPr>
        <w:t>En Suisse le gouvernement porte le nom de Conseil fédéral. Sur la base de ce pouvoir réglementaire, il a édicté l’OREDT mentionnée ci-dessus.</w:t>
      </w:r>
    </w:p>
  </w:footnote>
  <w:footnote w:id="10">
    <w:p w:rsidR="003C5D6B" w:rsidRDefault="003C5D6B">
      <w:pPr>
        <w:pStyle w:val="FootnoteText"/>
      </w:pPr>
      <w:r>
        <w:rPr>
          <w:rStyle w:val="FootnoteReference"/>
        </w:rPr>
        <w:t>10</w:t>
      </w:r>
      <w:r>
        <w:tab/>
      </w:r>
      <w:r w:rsidRPr="001C4644">
        <w:rPr>
          <w:lang w:val="fr-FR"/>
        </w:rPr>
        <w:t>Voir également le Chapitre 2.2.1.3 du Rapport UIT-R SM.2012-1 sur les aspects économiques de la gestion du spectre.</w:t>
      </w:r>
    </w:p>
  </w:footnote>
  <w:footnote w:id="11">
    <w:p w:rsidR="003C5D6B" w:rsidRDefault="003C5D6B" w:rsidP="004A5A45">
      <w:pPr>
        <w:pStyle w:val="FootnoteText"/>
      </w:pPr>
      <w:r>
        <w:rPr>
          <w:rStyle w:val="FootnoteReference"/>
        </w:rPr>
        <w:t>11</w:t>
      </w:r>
      <w:r>
        <w:tab/>
      </w:r>
      <w:r w:rsidRPr="00190938">
        <w:rPr>
          <w:rStyle w:val="FooterChar"/>
          <w:lang w:val="fr-FR"/>
        </w:rPr>
        <w:t>V</w:t>
      </w:r>
      <w:r w:rsidRPr="001C4644">
        <w:rPr>
          <w:lang w:val="fr-FR"/>
        </w:rPr>
        <w:t>oir</w:t>
      </w:r>
      <w:r w:rsidRPr="00190938">
        <w:rPr>
          <w:rStyle w:val="FooterChar"/>
          <w:lang w:val="fr-FR"/>
        </w:rPr>
        <w:t xml:space="preserve"> </w:t>
      </w:r>
      <w:hyperlink r:id="rId4" w:history="1">
        <w:r w:rsidRPr="00FD744E">
          <w:rPr>
            <w:rStyle w:val="Hyperlink"/>
            <w:lang w:val="fr-FR"/>
          </w:rPr>
          <w:t>http://www.admin.ch/ch/f/rs/3/313.32.fr.pd</w:t>
        </w:r>
        <w:r w:rsidRPr="00BD6343">
          <w:rPr>
            <w:rStyle w:val="Hyperlink"/>
            <w:lang w:val="fr-FR"/>
          </w:rPr>
          <w:t>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Default="003B6168" w:rsidP="00747593">
    <w:pPr>
      <w:pStyle w:val="Header"/>
      <w:tabs>
        <w:tab w:val="left" w:pos="1122"/>
      </w:tabs>
      <w:jc w:val="left"/>
      <w:rPr>
        <w:lang w:val="fr-CH"/>
      </w:rPr>
    </w:pPr>
    <w:r>
      <w:rPr>
        <w:rStyle w:val="PageNumber"/>
      </w:rPr>
      <w:fldChar w:fldCharType="begin"/>
    </w:r>
    <w:r w:rsidR="003C5D6B">
      <w:rPr>
        <w:rStyle w:val="PageNumber"/>
      </w:rPr>
      <w:instrText xml:space="preserve"> PAGE </w:instrText>
    </w:r>
    <w:r>
      <w:rPr>
        <w:rStyle w:val="PageNumber"/>
      </w:rPr>
      <w:fldChar w:fldCharType="separate"/>
    </w:r>
    <w:r w:rsidR="003C5D6B">
      <w:rPr>
        <w:rStyle w:val="PageNumber"/>
        <w:noProof/>
      </w:rPr>
      <w:t>ii</w:t>
    </w:r>
    <w:r>
      <w:rPr>
        <w:rStyle w:val="PageNumber"/>
      </w:rPr>
      <w:fldChar w:fldCharType="end"/>
    </w:r>
    <w:r w:rsidR="003C5D6B">
      <w:rPr>
        <w:rStyle w:val="PageNumber"/>
        <w:lang w:val="fr-CH"/>
      </w:rPr>
      <w:tab/>
    </w:r>
    <w:r w:rsidR="003C5D6B">
      <w:rPr>
        <w:rStyle w:val="PageNumber"/>
        <w:lang w:val="fr-CH"/>
      </w:rPr>
      <w:tab/>
      <w:t>Q</w:t>
    </w:r>
    <w:r w:rsidR="003C5D6B" w:rsidRPr="002D4FCA">
      <w:rPr>
        <w:bCs/>
        <w:szCs w:val="22"/>
        <w:lang w:val="fr-CH"/>
      </w:rPr>
      <w:t>uestion</w:t>
    </w:r>
    <w:r w:rsidR="003C5D6B">
      <w:rPr>
        <w:b w:val="0"/>
        <w:bCs/>
        <w:szCs w:val="22"/>
        <w:lang w:val="fr-CH"/>
      </w:rPr>
      <w:t xml:space="preserve"> </w:t>
    </w:r>
    <w:r w:rsidR="003C5D6B">
      <w:rPr>
        <w:bCs/>
        <w:szCs w:val="22"/>
        <w:lang w:val="fr-CH"/>
      </w:rPr>
      <w:t>22</w:t>
    </w:r>
    <w:r w:rsidR="003C5D6B" w:rsidRPr="00DB09F2">
      <w:rPr>
        <w:bCs/>
        <w:szCs w:val="22"/>
        <w:lang w:val="fr-CH"/>
      </w:rPr>
      <w:t>/</w:t>
    </w:r>
    <w:r w:rsidR="003C5D6B">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Pr="00262DEE" w:rsidRDefault="003C5D6B" w:rsidP="0056766A">
    <w:pPr>
      <w:pStyle w:val="Header"/>
      <w:tabs>
        <w:tab w:val="clear" w:pos="4820"/>
        <w:tab w:val="clear" w:pos="9639"/>
        <w:tab w:val="center" w:pos="4849"/>
        <w:tab w:val="right" w:pos="8789"/>
        <w:tab w:val="right" w:pos="9730"/>
      </w:tabs>
      <w:spacing w:before="240"/>
      <w:ind w:left="-510"/>
      <w:rPr>
        <w:rFonts w:ascii="Univers BoldExt" w:hAnsi="Univers BoldExt"/>
        <w:b w:val="0"/>
        <w:bCs/>
        <w:color w:val="999999"/>
        <w:spacing w:val="88"/>
        <w:sz w:val="24"/>
        <w:szCs w:val="24"/>
        <w:lang w:val="fr-CH"/>
      </w:rPr>
    </w:pPr>
    <w:r>
      <w:rPr>
        <w:rFonts w:ascii="Univers BoldExt" w:hAnsi="Univers BoldExt"/>
        <w:b w:val="0"/>
        <w:bCs/>
        <w:color w:val="999999"/>
        <w:spacing w:val="88"/>
        <w:sz w:val="24"/>
        <w:szCs w:val="24"/>
        <w:lang w:val="fr-CH"/>
      </w:rPr>
      <w:t>Unión Internacional de T</w:t>
    </w:r>
    <w:r w:rsidRPr="00262DEE">
      <w:rPr>
        <w:rFonts w:ascii="Univers BoldExt" w:hAnsi="Univers BoldExt"/>
        <w:b w:val="0"/>
        <w:bCs/>
        <w:color w:val="999999"/>
        <w:spacing w:val="88"/>
        <w:sz w:val="24"/>
        <w:szCs w:val="24"/>
        <w:lang w:val="fr-CH"/>
      </w:rPr>
      <w:t>elecomunicaciones</w:t>
    </w:r>
  </w:p>
  <w:p w:rsidR="003C5D6B" w:rsidRPr="0062594A" w:rsidRDefault="003C5D6B"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Pr="00E87C8C" w:rsidRDefault="003C5D6B"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3B6168">
      <w:rPr>
        <w:rStyle w:val="PageNumber"/>
      </w:rPr>
      <w:fldChar w:fldCharType="begin"/>
    </w:r>
    <w:r>
      <w:rPr>
        <w:rStyle w:val="PageNumber"/>
      </w:rPr>
      <w:instrText xml:space="preserve"> PAGE </w:instrText>
    </w:r>
    <w:r w:rsidR="003B6168">
      <w:rPr>
        <w:rStyle w:val="PageNumber"/>
      </w:rPr>
      <w:fldChar w:fldCharType="separate"/>
    </w:r>
    <w:r>
      <w:rPr>
        <w:rStyle w:val="PageNumber"/>
        <w:noProof/>
      </w:rPr>
      <w:t>4</w:t>
    </w:r>
    <w:r w:rsidR="003B6168">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Pr="0093317B" w:rsidRDefault="003C5D6B"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Pr="00237D3E" w:rsidRDefault="003C5D6B" w:rsidP="00237D3E">
    <w:pPr>
      <w:pStyle w:val="Header"/>
      <w:rPr>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Default="003B6168" w:rsidP="00FA2624">
    <w:pPr>
      <w:pStyle w:val="Header"/>
      <w:tabs>
        <w:tab w:val="left" w:pos="1122"/>
      </w:tabs>
      <w:jc w:val="left"/>
      <w:rPr>
        <w:lang w:val="fr-CH"/>
      </w:rPr>
    </w:pPr>
    <w:r>
      <w:rPr>
        <w:rStyle w:val="PageNumber"/>
      </w:rPr>
      <w:fldChar w:fldCharType="begin"/>
    </w:r>
    <w:r w:rsidR="003C5D6B">
      <w:rPr>
        <w:rStyle w:val="PageNumber"/>
      </w:rPr>
      <w:instrText xml:space="preserve"> PAGE </w:instrText>
    </w:r>
    <w:r>
      <w:rPr>
        <w:rStyle w:val="PageNumber"/>
      </w:rPr>
      <w:fldChar w:fldCharType="separate"/>
    </w:r>
    <w:r w:rsidR="00E92FFB">
      <w:rPr>
        <w:rStyle w:val="PageNumber"/>
        <w:noProof/>
      </w:rPr>
      <w:t>ii</w:t>
    </w:r>
    <w:r>
      <w:rPr>
        <w:rStyle w:val="PageNumber"/>
      </w:rPr>
      <w:fldChar w:fldCharType="end"/>
    </w:r>
    <w:r w:rsidR="003C5D6B">
      <w:rPr>
        <w:rStyle w:val="PageNumber"/>
        <w:lang w:val="fr-CH"/>
      </w:rPr>
      <w:tab/>
    </w:r>
    <w:r w:rsidR="003C5D6B">
      <w:rPr>
        <w:rStyle w:val="PageNumber"/>
        <w:lang w:val="fr-CH"/>
      </w:rPr>
      <w:tab/>
      <w:t>Resolución</w:t>
    </w:r>
    <w:r w:rsidR="003C5D6B">
      <w:rPr>
        <w:b w:val="0"/>
        <w:bCs/>
        <w:szCs w:val="22"/>
        <w:lang w:val="fr-CH"/>
      </w:rPr>
      <w:t xml:space="preserve"> </w:t>
    </w:r>
    <w:r w:rsidR="003C5D6B" w:rsidRPr="00A562C1">
      <w:rPr>
        <w:szCs w:val="22"/>
        <w:lang w:val="fr-CH"/>
      </w:rPr>
      <w:t>9</w:t>
    </w:r>
    <w:r w:rsidR="003C5D6B">
      <w:rPr>
        <w:szCs w:val="22"/>
        <w:lang w:val="fr-CH"/>
      </w:rPr>
      <w:t xml:space="preserve"> – D</w:t>
    </w:r>
    <w:r w:rsidR="003C5D6B" w:rsidRPr="006B0B0E">
      <w:rPr>
        <w:szCs w:val="22"/>
        <w:lang w:val="fr-CH"/>
      </w:rPr>
      <w:t>irectrices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Default="003C5D6B" w:rsidP="00F51892">
    <w:pPr>
      <w:pStyle w:val="Header"/>
      <w:tabs>
        <w:tab w:val="left" w:pos="1122"/>
      </w:tabs>
      <w:jc w:val="left"/>
      <w:rPr>
        <w:lang w:val="fr-CH"/>
      </w:rPr>
    </w:pPr>
    <w:r>
      <w:rPr>
        <w:rStyle w:val="PageNumber"/>
        <w:lang w:val="fr-CH"/>
      </w:rPr>
      <w:tab/>
    </w:r>
    <w:r>
      <w:rPr>
        <w:rStyle w:val="PageNumber"/>
        <w:lang w:val="fr-CH"/>
      </w:rPr>
      <w:tab/>
      <w:t>Resolución</w:t>
    </w:r>
    <w:r>
      <w:rPr>
        <w:b w:val="0"/>
        <w:bCs/>
        <w:szCs w:val="22"/>
        <w:lang w:val="fr-CH"/>
      </w:rPr>
      <w:t xml:space="preserve"> </w:t>
    </w:r>
    <w:r w:rsidRPr="00A562C1">
      <w:rPr>
        <w:szCs w:val="22"/>
        <w:lang w:val="fr-CH"/>
      </w:rPr>
      <w:t>9</w:t>
    </w:r>
    <w:r>
      <w:rPr>
        <w:szCs w:val="22"/>
        <w:lang w:val="fr-CH"/>
      </w:rPr>
      <w:t xml:space="preserve"> – Directrices</w:t>
    </w:r>
    <w:r>
      <w:rPr>
        <w:bCs/>
        <w:szCs w:val="22"/>
        <w:lang w:val="fr-CH"/>
      </w:rPr>
      <w:tab/>
    </w:r>
    <w:r w:rsidR="003B6168">
      <w:rPr>
        <w:rStyle w:val="PageNumber"/>
      </w:rPr>
      <w:fldChar w:fldCharType="begin"/>
    </w:r>
    <w:r>
      <w:rPr>
        <w:rStyle w:val="PageNumber"/>
      </w:rPr>
      <w:instrText xml:space="preserve"> PAGE </w:instrText>
    </w:r>
    <w:r w:rsidR="003B6168">
      <w:rPr>
        <w:rStyle w:val="PageNumber"/>
      </w:rPr>
      <w:fldChar w:fldCharType="separate"/>
    </w:r>
    <w:r w:rsidR="00E92FFB">
      <w:rPr>
        <w:rStyle w:val="PageNumber"/>
        <w:noProof/>
      </w:rPr>
      <w:t>67</w:t>
    </w:r>
    <w:r w:rsidR="003B6168">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Default="003B6168" w:rsidP="00D53D94">
    <w:pPr>
      <w:pStyle w:val="Header"/>
      <w:tabs>
        <w:tab w:val="left" w:pos="1122"/>
      </w:tabs>
      <w:jc w:val="left"/>
      <w:rPr>
        <w:lang w:val="fr-CH"/>
      </w:rPr>
    </w:pPr>
    <w:r>
      <w:rPr>
        <w:rStyle w:val="PageNumber"/>
      </w:rPr>
      <w:fldChar w:fldCharType="begin"/>
    </w:r>
    <w:r w:rsidR="003C5D6B">
      <w:rPr>
        <w:rStyle w:val="PageNumber"/>
      </w:rPr>
      <w:instrText xml:space="preserve"> PAGE </w:instrText>
    </w:r>
    <w:r>
      <w:rPr>
        <w:rStyle w:val="PageNumber"/>
      </w:rPr>
      <w:fldChar w:fldCharType="separate"/>
    </w:r>
    <w:r w:rsidR="00E92FFB">
      <w:rPr>
        <w:rStyle w:val="PageNumber"/>
        <w:noProof/>
      </w:rPr>
      <w:t>86</w:t>
    </w:r>
    <w:r>
      <w:rPr>
        <w:rStyle w:val="PageNumber"/>
      </w:rPr>
      <w:fldChar w:fldCharType="end"/>
    </w:r>
    <w:r w:rsidR="003C5D6B">
      <w:rPr>
        <w:rStyle w:val="PageNumber"/>
        <w:lang w:val="fr-CH"/>
      </w:rPr>
      <w:tab/>
    </w:r>
    <w:r w:rsidR="003C5D6B">
      <w:rPr>
        <w:rStyle w:val="PageNumber"/>
        <w:lang w:val="fr-CH"/>
      </w:rPr>
      <w:tab/>
      <w:t>Resolución 9 – D</w:t>
    </w:r>
    <w:r w:rsidR="003C5D6B" w:rsidRPr="006B0B0E">
      <w:rPr>
        <w:rStyle w:val="PageNumber"/>
        <w:lang w:val="fr-CH"/>
      </w:rPr>
      <w:t>irectrices</w:t>
    </w:r>
    <w:r w:rsidR="003C5D6B">
      <w:rPr>
        <w:bCs/>
        <w:szCs w:val="22"/>
        <w:lang w:val="fr-CH"/>
      </w:rPr>
      <w:tab/>
    </w:r>
    <w:r>
      <w:rPr>
        <w:noProof/>
        <w:lang w:val="en-US" w:eastAsia="zh-CN"/>
      </w:rPr>
      <w:pict>
        <v:shapetype id="_x0000_t202" coordsize="21600,21600" o:spt="202" path="m,l,21600r21600,l21600,xe">
          <v:stroke joinstyle="miter"/>
          <v:path gradientshapeok="t" o:connecttype="rect"/>
        </v:shapetype>
        <v:shape id="_x0000_s2065" type="#_x0000_t202" style="position:absolute;margin-left:721.1pt;margin-top:20.25pt;width:30pt;height:482.25pt;z-index:251668480;mso-position-horizontal-relative:text;mso-position-vertical-relative:text" stroked="f">
          <v:textbox style="layout-flow:vertical;mso-next-textbox:#_x0000_s2065">
            <w:txbxContent>
              <w:p w:rsidR="003C5D6B" w:rsidRPr="00761109" w:rsidRDefault="003B6168" w:rsidP="00761109">
                <w:pPr>
                  <w:spacing w:before="0"/>
                  <w:rPr>
                    <w:b/>
                    <w:bCs/>
                  </w:rPr>
                </w:pPr>
                <w:r w:rsidRPr="00761109">
                  <w:rPr>
                    <w:rStyle w:val="PageNumber"/>
                    <w:b/>
                    <w:bCs/>
                  </w:rPr>
                  <w:fldChar w:fldCharType="begin"/>
                </w:r>
                <w:r w:rsidR="003C5D6B" w:rsidRPr="00761109">
                  <w:rPr>
                    <w:rStyle w:val="PageNumber"/>
                    <w:b/>
                    <w:bCs/>
                  </w:rPr>
                  <w:instrText xml:space="preserve"> PAGE </w:instrText>
                </w:r>
                <w:r w:rsidRPr="00761109">
                  <w:rPr>
                    <w:rStyle w:val="PageNumber"/>
                    <w:b/>
                    <w:bCs/>
                  </w:rPr>
                  <w:fldChar w:fldCharType="separate"/>
                </w:r>
                <w:r w:rsidR="00E92FFB">
                  <w:rPr>
                    <w:rStyle w:val="PageNumber"/>
                    <w:b/>
                    <w:bCs/>
                    <w:noProof/>
                  </w:rPr>
                  <w:t>86</w:t>
                </w:r>
                <w:r w:rsidRPr="00761109">
                  <w:rPr>
                    <w:rStyle w:val="PageNumber"/>
                    <w:b/>
                    <w:bCs/>
                  </w:rPr>
                  <w:fldChar w:fldCharType="end"/>
                </w:r>
                <w:r w:rsidR="003C5D6B" w:rsidRPr="00761109">
                  <w:rPr>
                    <w:rStyle w:val="PageNumber"/>
                    <w:b/>
                    <w:bCs/>
                    <w:lang w:val="fr-CH"/>
                  </w:rPr>
                  <w:tab/>
                </w:r>
                <w:r w:rsidR="003C5D6B" w:rsidRPr="00761109">
                  <w:rPr>
                    <w:rStyle w:val="PageNumber"/>
                    <w:b/>
                    <w:bCs/>
                    <w:lang w:val="fr-CH"/>
                  </w:rPr>
                  <w:tab/>
                </w:r>
                <w:r w:rsidR="003C5D6B">
                  <w:rPr>
                    <w:rStyle w:val="PageNumber"/>
                    <w:b/>
                    <w:bCs/>
                    <w:lang w:val="fr-CH"/>
                  </w:rPr>
                  <w:tab/>
                </w:r>
                <w:r w:rsidR="003C5D6B">
                  <w:rPr>
                    <w:rStyle w:val="PageNumber"/>
                    <w:b/>
                    <w:bCs/>
                    <w:lang w:val="fr-CH"/>
                  </w:rPr>
                  <w:tab/>
                </w:r>
                <w:r w:rsidR="003C5D6B">
                  <w:rPr>
                    <w:rStyle w:val="PageNumber"/>
                    <w:b/>
                    <w:bCs/>
                    <w:lang w:val="fr-CH"/>
                  </w:rPr>
                  <w:tab/>
                </w:r>
                <w:r w:rsidR="003C5D6B">
                  <w:rPr>
                    <w:rStyle w:val="PageNumber"/>
                    <w:b/>
                    <w:bCs/>
                    <w:lang w:val="fr-CH"/>
                  </w:rPr>
                  <w:tab/>
                </w:r>
                <w:r w:rsidR="003C5D6B">
                  <w:rPr>
                    <w:rStyle w:val="PageNumber"/>
                    <w:b/>
                    <w:bCs/>
                    <w:lang w:val="fr-CH"/>
                  </w:rPr>
                  <w:tab/>
                </w:r>
                <w:r w:rsidR="003C5D6B" w:rsidRPr="00761109">
                  <w:rPr>
                    <w:rStyle w:val="PageNumber"/>
                    <w:b/>
                    <w:bCs/>
                    <w:lang w:val="fr-CH"/>
                  </w:rPr>
                  <w:t>Report on Resolution 9</w:t>
                </w:r>
              </w:p>
            </w:txbxContent>
          </v:textbox>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6B" w:rsidRPr="00761109" w:rsidRDefault="003B6168" w:rsidP="00761109">
    <w:pPr>
      <w:pStyle w:val="Header"/>
    </w:pPr>
    <w:r>
      <w:rPr>
        <w:noProof/>
        <w:lang w:val="en-US" w:eastAsia="zh-CN"/>
      </w:rPr>
      <w:pict>
        <v:shapetype id="_x0000_t202" coordsize="21600,21600" o:spt="202" path="m,l,21600r21600,l21600,xe">
          <v:stroke joinstyle="miter"/>
          <v:path gradientshapeok="t" o:connecttype="rect"/>
        </v:shapetype>
        <v:shape id="_x0000_s2056" type="#_x0000_t202" style="position:absolute;left:0;text-align:left;margin-left:727.1pt;margin-top:20.25pt;width:30pt;height:495.75pt;z-index:251666432" stroked="f">
          <v:textbox style="layout-flow:vertical;mso-next-textbox:#_x0000_s2056">
            <w:txbxContent>
              <w:p w:rsidR="003C5D6B" w:rsidRPr="00761109" w:rsidRDefault="003C5D6B" w:rsidP="00761109">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3B6168" w:rsidRPr="00761109">
                  <w:rPr>
                    <w:rStyle w:val="PageNumber"/>
                    <w:b/>
                    <w:bCs/>
                  </w:rPr>
                  <w:fldChar w:fldCharType="begin"/>
                </w:r>
                <w:r w:rsidRPr="00761109">
                  <w:rPr>
                    <w:rStyle w:val="PageNumber"/>
                    <w:b/>
                    <w:bCs/>
                  </w:rPr>
                  <w:instrText xml:space="preserve"> PAGE </w:instrText>
                </w:r>
                <w:r w:rsidR="003B6168" w:rsidRPr="00761109">
                  <w:rPr>
                    <w:rStyle w:val="PageNumber"/>
                    <w:b/>
                    <w:bCs/>
                  </w:rPr>
                  <w:fldChar w:fldCharType="separate"/>
                </w:r>
                <w:r>
                  <w:rPr>
                    <w:rStyle w:val="PageNumber"/>
                    <w:b/>
                    <w:bCs/>
                    <w:noProof/>
                  </w:rPr>
                  <w:t>57</w:t>
                </w:r>
                <w:r w:rsidR="003B6168"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3B6168" w:rsidRPr="00761109">
                  <w:rPr>
                    <w:rStyle w:val="PageNumber"/>
                    <w:b/>
                    <w:bCs/>
                  </w:rPr>
                  <w:fldChar w:fldCharType="begin"/>
                </w:r>
                <w:r w:rsidRPr="00761109">
                  <w:rPr>
                    <w:rStyle w:val="PageNumber"/>
                    <w:b/>
                    <w:bCs/>
                  </w:rPr>
                  <w:instrText xml:space="preserve"> PAGE </w:instrText>
                </w:r>
                <w:r w:rsidR="003B6168" w:rsidRPr="00761109">
                  <w:rPr>
                    <w:rStyle w:val="PageNumber"/>
                    <w:b/>
                    <w:bCs/>
                  </w:rPr>
                  <w:fldChar w:fldCharType="separate"/>
                </w:r>
                <w:r>
                  <w:rPr>
                    <w:rStyle w:val="PageNumber"/>
                    <w:b/>
                    <w:bCs/>
                    <w:noProof/>
                  </w:rPr>
                  <w:t>57</w:t>
                </w:r>
                <w:r w:rsidR="003B6168" w:rsidRPr="00761109">
                  <w:rPr>
                    <w:rStyle w:val="PageNumber"/>
                    <w:b/>
                    <w:bCs/>
                  </w:rPr>
                  <w:fldChar w:fldCharType="end"/>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85pt;height:8.85pt" o:bullet="t">
        <v:imagedata r:id="rId1" o:title="BD10267_"/>
      </v:shape>
    </w:pict>
  </w:numPicBullet>
  <w:abstractNum w:abstractNumId="0">
    <w:nsid w:val="8EC7C007"/>
    <w:multiLevelType w:val="hybridMultilevel"/>
    <w:tmpl w:val="0EEDAF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C896D33E"/>
    <w:lvl w:ilvl="0">
      <w:start w:val="1"/>
      <w:numFmt w:val="decimal"/>
      <w:lvlText w:val="%1."/>
      <w:lvlJc w:val="left"/>
      <w:pPr>
        <w:tabs>
          <w:tab w:val="num" w:pos="1492"/>
        </w:tabs>
        <w:ind w:left="1492" w:hanging="360"/>
      </w:pPr>
    </w:lvl>
  </w:abstractNum>
  <w:abstractNum w:abstractNumId="2">
    <w:nsid w:val="FFFFFF7D"/>
    <w:multiLevelType w:val="singleLevel"/>
    <w:tmpl w:val="E6341ACE"/>
    <w:lvl w:ilvl="0">
      <w:start w:val="1"/>
      <w:numFmt w:val="decimal"/>
      <w:lvlText w:val="%1."/>
      <w:lvlJc w:val="left"/>
      <w:pPr>
        <w:tabs>
          <w:tab w:val="num" w:pos="1209"/>
        </w:tabs>
        <w:ind w:left="1209" w:hanging="360"/>
      </w:pPr>
    </w:lvl>
  </w:abstractNum>
  <w:abstractNum w:abstractNumId="3">
    <w:nsid w:val="FFFFFF7E"/>
    <w:multiLevelType w:val="singleLevel"/>
    <w:tmpl w:val="3E3262C0"/>
    <w:lvl w:ilvl="0">
      <w:start w:val="1"/>
      <w:numFmt w:val="decimal"/>
      <w:lvlText w:val="%1."/>
      <w:lvlJc w:val="left"/>
      <w:pPr>
        <w:tabs>
          <w:tab w:val="num" w:pos="926"/>
        </w:tabs>
        <w:ind w:left="926" w:hanging="360"/>
      </w:pPr>
    </w:lvl>
  </w:abstractNum>
  <w:abstractNum w:abstractNumId="4">
    <w:nsid w:val="FFFFFF7F"/>
    <w:multiLevelType w:val="singleLevel"/>
    <w:tmpl w:val="E7E010EA"/>
    <w:lvl w:ilvl="0">
      <w:start w:val="1"/>
      <w:numFmt w:val="decimal"/>
      <w:lvlText w:val="%1."/>
      <w:lvlJc w:val="left"/>
      <w:pPr>
        <w:tabs>
          <w:tab w:val="num" w:pos="643"/>
        </w:tabs>
        <w:ind w:left="643" w:hanging="360"/>
      </w:pPr>
    </w:lvl>
  </w:abstractNum>
  <w:abstractNum w:abstractNumId="5">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A165284"/>
    <w:lvl w:ilvl="0">
      <w:start w:val="1"/>
      <w:numFmt w:val="decimal"/>
      <w:lvlText w:val="%1."/>
      <w:lvlJc w:val="left"/>
      <w:pPr>
        <w:tabs>
          <w:tab w:val="num" w:pos="360"/>
        </w:tabs>
        <w:ind w:left="360" w:hanging="360"/>
      </w:pPr>
    </w:lvl>
  </w:abstractNum>
  <w:abstractNum w:abstractNumId="1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lvl>
  </w:abstractNum>
  <w:abstractNum w:abstractNumId="12">
    <w:nsid w:val="00000001"/>
    <w:multiLevelType w:val="multilevel"/>
    <w:tmpl w:val="00000001"/>
    <w:lvl w:ilvl="0">
      <w:start w:val="1"/>
      <w:numFmt w:val="none"/>
      <w:pStyle w:val="CEOHeade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A8B037"/>
    <w:multiLevelType w:val="hybridMultilevel"/>
    <w:tmpl w:val="339E52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263401E"/>
    <w:multiLevelType w:val="singleLevel"/>
    <w:tmpl w:val="B700F934"/>
    <w:lvl w:ilvl="0">
      <w:start w:val="1"/>
      <w:numFmt w:val="decimal"/>
      <w:lvlText w:val="%1)"/>
      <w:lvlJc w:val="left"/>
      <w:pPr>
        <w:tabs>
          <w:tab w:val="num" w:pos="360"/>
        </w:tabs>
        <w:ind w:left="360" w:hanging="360"/>
      </w:pPr>
    </w:lvl>
  </w:abstractNum>
  <w:abstractNum w:abstractNumId="15">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0D006C79"/>
    <w:multiLevelType w:val="hybridMultilevel"/>
    <w:tmpl w:val="CD582A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nsid w:val="162A06FD"/>
    <w:multiLevelType w:val="multilevel"/>
    <w:tmpl w:val="82C421F8"/>
    <w:lvl w:ilvl="0">
      <w:start w:val="1"/>
      <w:numFmt w:val="decimal"/>
      <w:lvlText w:val="%1"/>
      <w:lvlJc w:val="left"/>
      <w:pPr>
        <w:tabs>
          <w:tab w:val="num" w:pos="792"/>
        </w:tabs>
        <w:ind w:left="792" w:hanging="792"/>
      </w:pPr>
      <w:rPr>
        <w:rFonts w:hint="default"/>
      </w:rPr>
    </w:lvl>
    <w:lvl w:ilvl="1">
      <w:start w:val="2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3E07AD9"/>
    <w:multiLevelType w:val="multilevel"/>
    <w:tmpl w:val="2F04FD90"/>
    <w:lvl w:ilvl="0">
      <w:start w:val="1"/>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827F2D"/>
    <w:multiLevelType w:val="hybridMultilevel"/>
    <w:tmpl w:val="AC920F96"/>
    <w:lvl w:ilvl="0" w:tplc="503A19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8B87808"/>
    <w:multiLevelType w:val="multilevel"/>
    <w:tmpl w:val="5ABE81DC"/>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DC66F3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3">
    <w:nsid w:val="54B15ABD"/>
    <w:multiLevelType w:val="multilevel"/>
    <w:tmpl w:val="A094DA1C"/>
    <w:lvl w:ilvl="0">
      <w:start w:val="15"/>
      <w:numFmt w:val="decimal"/>
      <w:lvlText w:val="%1"/>
      <w:lvlJc w:val="left"/>
      <w:pPr>
        <w:tabs>
          <w:tab w:val="num" w:pos="2970"/>
        </w:tabs>
        <w:ind w:left="2970" w:hanging="2970"/>
      </w:pPr>
      <w:rPr>
        <w:rFonts w:hint="default"/>
        <w:b/>
        <w:color w:val="auto"/>
      </w:rPr>
    </w:lvl>
    <w:lvl w:ilvl="1">
      <w:start w:val="7"/>
      <w:numFmt w:val="decimal"/>
      <w:lvlText w:val="%1.%2"/>
      <w:lvlJc w:val="left"/>
      <w:pPr>
        <w:tabs>
          <w:tab w:val="num" w:pos="2970"/>
        </w:tabs>
        <w:ind w:left="2970" w:hanging="2970"/>
      </w:pPr>
      <w:rPr>
        <w:rFonts w:hint="default"/>
        <w:b/>
        <w:color w:val="auto"/>
      </w:rPr>
    </w:lvl>
    <w:lvl w:ilvl="2">
      <w:start w:val="16"/>
      <w:numFmt w:val="decimal"/>
      <w:lvlText w:val="%1.%2-%3"/>
      <w:lvlJc w:val="left"/>
      <w:pPr>
        <w:tabs>
          <w:tab w:val="num" w:pos="2970"/>
        </w:tabs>
        <w:ind w:left="2970" w:hanging="2970"/>
      </w:pPr>
      <w:rPr>
        <w:rFonts w:hint="default"/>
        <w:b/>
        <w:color w:val="auto"/>
      </w:rPr>
    </w:lvl>
    <w:lvl w:ilvl="3">
      <w:start w:val="6"/>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4">
    <w:nsid w:val="5B505F91"/>
    <w:multiLevelType w:val="hybridMultilevel"/>
    <w:tmpl w:val="4EEC26AE"/>
    <w:lvl w:ilvl="0" w:tplc="02C49AFE">
      <w:numFmt w:val="bullet"/>
      <w:lvlText w:val=""/>
      <w:lvlJc w:val="left"/>
      <w:pPr>
        <w:tabs>
          <w:tab w:val="num" w:pos="284"/>
        </w:tabs>
        <w:ind w:left="284" w:hanging="284"/>
      </w:pPr>
      <w:rPr>
        <w:rFonts w:ascii="Symbol" w:hAnsi="Symbol" w:hint="default"/>
      </w:rPr>
    </w:lvl>
    <w:lvl w:ilvl="1" w:tplc="767E5784" w:tentative="1">
      <w:start w:val="1"/>
      <w:numFmt w:val="bullet"/>
      <w:lvlText w:val="o"/>
      <w:lvlJc w:val="left"/>
      <w:pPr>
        <w:tabs>
          <w:tab w:val="num" w:pos="1440"/>
        </w:tabs>
        <w:ind w:left="1440" w:hanging="360"/>
      </w:pPr>
      <w:rPr>
        <w:rFonts w:ascii="Courier New" w:hAnsi="Courier New" w:cs="Courier New" w:hint="default"/>
      </w:rPr>
    </w:lvl>
    <w:lvl w:ilvl="2" w:tplc="F4E8F910" w:tentative="1">
      <w:start w:val="1"/>
      <w:numFmt w:val="bullet"/>
      <w:lvlText w:val=""/>
      <w:lvlJc w:val="left"/>
      <w:pPr>
        <w:tabs>
          <w:tab w:val="num" w:pos="2160"/>
        </w:tabs>
        <w:ind w:left="2160" w:hanging="360"/>
      </w:pPr>
      <w:rPr>
        <w:rFonts w:ascii="Wingdings" w:hAnsi="Wingdings" w:hint="default"/>
      </w:rPr>
    </w:lvl>
    <w:lvl w:ilvl="3" w:tplc="74566D30" w:tentative="1">
      <w:start w:val="1"/>
      <w:numFmt w:val="bullet"/>
      <w:lvlText w:val=""/>
      <w:lvlJc w:val="left"/>
      <w:pPr>
        <w:tabs>
          <w:tab w:val="num" w:pos="2880"/>
        </w:tabs>
        <w:ind w:left="2880" w:hanging="360"/>
      </w:pPr>
      <w:rPr>
        <w:rFonts w:ascii="Symbol" w:hAnsi="Symbol" w:hint="default"/>
      </w:rPr>
    </w:lvl>
    <w:lvl w:ilvl="4" w:tplc="2878CA84" w:tentative="1">
      <w:start w:val="1"/>
      <w:numFmt w:val="bullet"/>
      <w:lvlText w:val="o"/>
      <w:lvlJc w:val="left"/>
      <w:pPr>
        <w:tabs>
          <w:tab w:val="num" w:pos="3600"/>
        </w:tabs>
        <w:ind w:left="3600" w:hanging="360"/>
      </w:pPr>
      <w:rPr>
        <w:rFonts w:ascii="Courier New" w:hAnsi="Courier New" w:cs="Courier New" w:hint="default"/>
      </w:rPr>
    </w:lvl>
    <w:lvl w:ilvl="5" w:tplc="9D38104E" w:tentative="1">
      <w:start w:val="1"/>
      <w:numFmt w:val="bullet"/>
      <w:lvlText w:val=""/>
      <w:lvlJc w:val="left"/>
      <w:pPr>
        <w:tabs>
          <w:tab w:val="num" w:pos="4320"/>
        </w:tabs>
        <w:ind w:left="4320" w:hanging="360"/>
      </w:pPr>
      <w:rPr>
        <w:rFonts w:ascii="Wingdings" w:hAnsi="Wingdings" w:hint="default"/>
      </w:rPr>
    </w:lvl>
    <w:lvl w:ilvl="6" w:tplc="C770A6BC" w:tentative="1">
      <w:start w:val="1"/>
      <w:numFmt w:val="bullet"/>
      <w:lvlText w:val=""/>
      <w:lvlJc w:val="left"/>
      <w:pPr>
        <w:tabs>
          <w:tab w:val="num" w:pos="5040"/>
        </w:tabs>
        <w:ind w:left="5040" w:hanging="360"/>
      </w:pPr>
      <w:rPr>
        <w:rFonts w:ascii="Symbol" w:hAnsi="Symbol" w:hint="default"/>
      </w:rPr>
    </w:lvl>
    <w:lvl w:ilvl="7" w:tplc="1A5A632C" w:tentative="1">
      <w:start w:val="1"/>
      <w:numFmt w:val="bullet"/>
      <w:lvlText w:val="o"/>
      <w:lvlJc w:val="left"/>
      <w:pPr>
        <w:tabs>
          <w:tab w:val="num" w:pos="5760"/>
        </w:tabs>
        <w:ind w:left="5760" w:hanging="360"/>
      </w:pPr>
      <w:rPr>
        <w:rFonts w:ascii="Courier New" w:hAnsi="Courier New" w:cs="Courier New" w:hint="default"/>
      </w:rPr>
    </w:lvl>
    <w:lvl w:ilvl="8" w:tplc="F5E29532" w:tentative="1">
      <w:start w:val="1"/>
      <w:numFmt w:val="bullet"/>
      <w:lvlText w:val=""/>
      <w:lvlJc w:val="left"/>
      <w:pPr>
        <w:tabs>
          <w:tab w:val="num" w:pos="6480"/>
        </w:tabs>
        <w:ind w:left="6480" w:hanging="360"/>
      </w:pPr>
      <w:rPr>
        <w:rFonts w:ascii="Wingdings" w:hAnsi="Wingdings" w:hint="default"/>
      </w:rPr>
    </w:lvl>
  </w:abstractNum>
  <w:abstractNum w:abstractNumId="35">
    <w:nsid w:val="61536E0C"/>
    <w:multiLevelType w:val="hybridMultilevel"/>
    <w:tmpl w:val="3A12123E"/>
    <w:lvl w:ilvl="0" w:tplc="4B1E25F4">
      <w:start w:val="1"/>
      <w:numFmt w:val="decimal"/>
      <w:lvlText w:val="%1."/>
      <w:lvlJc w:val="left"/>
      <w:pPr>
        <w:tabs>
          <w:tab w:val="num" w:pos="360"/>
        </w:tabs>
        <w:ind w:left="360" w:hanging="360"/>
      </w:pPr>
    </w:lvl>
    <w:lvl w:ilvl="1" w:tplc="47B43CD4">
      <w:start w:val="1"/>
      <w:numFmt w:val="lowerLetter"/>
      <w:lvlText w:val="%2."/>
      <w:lvlJc w:val="left"/>
      <w:pPr>
        <w:tabs>
          <w:tab w:val="num" w:pos="1080"/>
        </w:tabs>
        <w:ind w:left="1080" w:hanging="360"/>
      </w:pPr>
    </w:lvl>
    <w:lvl w:ilvl="2" w:tplc="F9E8DC3E">
      <w:start w:val="1"/>
      <w:numFmt w:val="lowerRoman"/>
      <w:lvlText w:val="%3."/>
      <w:lvlJc w:val="right"/>
      <w:pPr>
        <w:tabs>
          <w:tab w:val="num" w:pos="1800"/>
        </w:tabs>
        <w:ind w:left="1800" w:hanging="180"/>
      </w:pPr>
    </w:lvl>
    <w:lvl w:ilvl="3" w:tplc="B6EAB58A" w:tentative="1">
      <w:start w:val="1"/>
      <w:numFmt w:val="decimal"/>
      <w:lvlText w:val="%4."/>
      <w:lvlJc w:val="left"/>
      <w:pPr>
        <w:tabs>
          <w:tab w:val="num" w:pos="2520"/>
        </w:tabs>
        <w:ind w:left="2520" w:hanging="360"/>
      </w:pPr>
    </w:lvl>
    <w:lvl w:ilvl="4" w:tplc="0A10755E" w:tentative="1">
      <w:start w:val="1"/>
      <w:numFmt w:val="lowerLetter"/>
      <w:lvlText w:val="%5."/>
      <w:lvlJc w:val="left"/>
      <w:pPr>
        <w:tabs>
          <w:tab w:val="num" w:pos="3240"/>
        </w:tabs>
        <w:ind w:left="3240" w:hanging="360"/>
      </w:pPr>
    </w:lvl>
    <w:lvl w:ilvl="5" w:tplc="0A3AA60A" w:tentative="1">
      <w:start w:val="1"/>
      <w:numFmt w:val="lowerRoman"/>
      <w:lvlText w:val="%6."/>
      <w:lvlJc w:val="right"/>
      <w:pPr>
        <w:tabs>
          <w:tab w:val="num" w:pos="3960"/>
        </w:tabs>
        <w:ind w:left="3960" w:hanging="180"/>
      </w:pPr>
    </w:lvl>
    <w:lvl w:ilvl="6" w:tplc="7296460C" w:tentative="1">
      <w:start w:val="1"/>
      <w:numFmt w:val="decimal"/>
      <w:lvlText w:val="%7."/>
      <w:lvlJc w:val="left"/>
      <w:pPr>
        <w:tabs>
          <w:tab w:val="num" w:pos="4680"/>
        </w:tabs>
        <w:ind w:left="4680" w:hanging="360"/>
      </w:pPr>
    </w:lvl>
    <w:lvl w:ilvl="7" w:tplc="C5D2AF22" w:tentative="1">
      <w:start w:val="1"/>
      <w:numFmt w:val="lowerLetter"/>
      <w:lvlText w:val="%8."/>
      <w:lvlJc w:val="left"/>
      <w:pPr>
        <w:tabs>
          <w:tab w:val="num" w:pos="5400"/>
        </w:tabs>
        <w:ind w:left="5400" w:hanging="360"/>
      </w:pPr>
    </w:lvl>
    <w:lvl w:ilvl="8" w:tplc="414A3A38" w:tentative="1">
      <w:start w:val="1"/>
      <w:numFmt w:val="lowerRoman"/>
      <w:lvlText w:val="%9."/>
      <w:lvlJc w:val="right"/>
      <w:pPr>
        <w:tabs>
          <w:tab w:val="num" w:pos="6120"/>
        </w:tabs>
        <w:ind w:left="6120" w:hanging="180"/>
      </w:pPr>
    </w:lvl>
  </w:abstractNum>
  <w:abstractNum w:abstractNumId="36">
    <w:nsid w:val="65495C12"/>
    <w:multiLevelType w:val="multilevel"/>
    <w:tmpl w:val="C0A2ABBE"/>
    <w:lvl w:ilvl="0">
      <w:start w:val="1"/>
      <w:numFmt w:val="decimal"/>
      <w:lvlText w:val="%1"/>
      <w:lvlJc w:val="left"/>
      <w:pPr>
        <w:tabs>
          <w:tab w:val="num" w:pos="792"/>
        </w:tabs>
        <w:ind w:left="792" w:hanging="792"/>
      </w:pPr>
      <w:rPr>
        <w:rFonts w:hint="default"/>
      </w:rPr>
    </w:lvl>
    <w:lvl w:ilvl="1">
      <w:start w:val="15"/>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6D96243"/>
    <w:multiLevelType w:val="hybridMultilevel"/>
    <w:tmpl w:val="68D4E2BE"/>
    <w:lvl w:ilvl="0" w:tplc="6FD26526">
      <w:start w:val="1"/>
      <w:numFmt w:val="lowerLetter"/>
      <w:pStyle w:val="CEOIndent1-abc"/>
      <w:lvlText w:val="%1."/>
      <w:lvlJc w:val="left"/>
      <w:pPr>
        <w:tabs>
          <w:tab w:val="num" w:pos="1494"/>
        </w:tabs>
        <w:ind w:left="1494" w:hanging="360"/>
      </w:pPr>
      <w:rPr>
        <w:rFonts w:ascii="Verdana" w:hAnsi="Verdana" w:hint="default"/>
        <w:b w:val="0"/>
        <w:i w:val="0"/>
        <w:sz w:val="18"/>
      </w:rPr>
    </w:lvl>
    <w:lvl w:ilvl="1" w:tplc="FD02B8AC" w:tentative="1">
      <w:start w:val="1"/>
      <w:numFmt w:val="lowerLetter"/>
      <w:lvlText w:val="%2."/>
      <w:lvlJc w:val="left"/>
      <w:pPr>
        <w:tabs>
          <w:tab w:val="num" w:pos="1440"/>
        </w:tabs>
        <w:ind w:left="1440" w:hanging="360"/>
      </w:pPr>
    </w:lvl>
    <w:lvl w:ilvl="2" w:tplc="577A386A" w:tentative="1">
      <w:start w:val="1"/>
      <w:numFmt w:val="lowerRoman"/>
      <w:lvlText w:val="%3."/>
      <w:lvlJc w:val="right"/>
      <w:pPr>
        <w:tabs>
          <w:tab w:val="num" w:pos="2160"/>
        </w:tabs>
        <w:ind w:left="2160" w:hanging="180"/>
      </w:pPr>
    </w:lvl>
    <w:lvl w:ilvl="3" w:tplc="C43CA7D0" w:tentative="1">
      <w:start w:val="1"/>
      <w:numFmt w:val="decimal"/>
      <w:lvlText w:val="%4."/>
      <w:lvlJc w:val="left"/>
      <w:pPr>
        <w:tabs>
          <w:tab w:val="num" w:pos="2880"/>
        </w:tabs>
        <w:ind w:left="2880" w:hanging="360"/>
      </w:pPr>
    </w:lvl>
    <w:lvl w:ilvl="4" w:tplc="75DA9C20" w:tentative="1">
      <w:start w:val="1"/>
      <w:numFmt w:val="lowerLetter"/>
      <w:lvlText w:val="%5."/>
      <w:lvlJc w:val="left"/>
      <w:pPr>
        <w:tabs>
          <w:tab w:val="num" w:pos="3600"/>
        </w:tabs>
        <w:ind w:left="3600" w:hanging="360"/>
      </w:pPr>
    </w:lvl>
    <w:lvl w:ilvl="5" w:tplc="21A4050C" w:tentative="1">
      <w:start w:val="1"/>
      <w:numFmt w:val="lowerRoman"/>
      <w:lvlText w:val="%6."/>
      <w:lvlJc w:val="right"/>
      <w:pPr>
        <w:tabs>
          <w:tab w:val="num" w:pos="4320"/>
        </w:tabs>
        <w:ind w:left="4320" w:hanging="180"/>
      </w:pPr>
    </w:lvl>
    <w:lvl w:ilvl="6" w:tplc="EFA2D4EE" w:tentative="1">
      <w:start w:val="1"/>
      <w:numFmt w:val="decimal"/>
      <w:lvlText w:val="%7."/>
      <w:lvlJc w:val="left"/>
      <w:pPr>
        <w:tabs>
          <w:tab w:val="num" w:pos="5040"/>
        </w:tabs>
        <w:ind w:left="5040" w:hanging="360"/>
      </w:pPr>
    </w:lvl>
    <w:lvl w:ilvl="7" w:tplc="3F447978" w:tentative="1">
      <w:start w:val="1"/>
      <w:numFmt w:val="lowerLetter"/>
      <w:lvlText w:val="%8."/>
      <w:lvlJc w:val="left"/>
      <w:pPr>
        <w:tabs>
          <w:tab w:val="num" w:pos="5760"/>
        </w:tabs>
        <w:ind w:left="5760" w:hanging="360"/>
      </w:pPr>
    </w:lvl>
    <w:lvl w:ilvl="8" w:tplc="4BE62E22" w:tentative="1">
      <w:start w:val="1"/>
      <w:numFmt w:val="lowerRoman"/>
      <w:lvlText w:val="%9."/>
      <w:lvlJc w:val="right"/>
      <w:pPr>
        <w:tabs>
          <w:tab w:val="num" w:pos="6480"/>
        </w:tabs>
        <w:ind w:left="6480" w:hanging="180"/>
      </w:pPr>
    </w:lvl>
  </w:abstractNum>
  <w:abstractNum w:abstractNumId="38">
    <w:nsid w:val="70CB61D4"/>
    <w:multiLevelType w:val="multilevel"/>
    <w:tmpl w:val="B3821D76"/>
    <w:lvl w:ilvl="0">
      <w:start w:val="15"/>
      <w:numFmt w:val="decimal"/>
      <w:lvlText w:val="%1"/>
      <w:lvlJc w:val="left"/>
      <w:pPr>
        <w:tabs>
          <w:tab w:val="num" w:pos="2970"/>
        </w:tabs>
        <w:ind w:left="2970" w:hanging="2970"/>
      </w:pPr>
      <w:rPr>
        <w:rFonts w:hint="default"/>
        <w:b/>
        <w:color w:val="auto"/>
      </w:rPr>
    </w:lvl>
    <w:lvl w:ilvl="1">
      <w:start w:val="63"/>
      <w:numFmt w:val="decimal"/>
      <w:lvlText w:val="%1.%2"/>
      <w:lvlJc w:val="left"/>
      <w:pPr>
        <w:tabs>
          <w:tab w:val="num" w:pos="2970"/>
        </w:tabs>
        <w:ind w:left="2970" w:hanging="2970"/>
      </w:pPr>
      <w:rPr>
        <w:rFonts w:hint="default"/>
        <w:b/>
        <w:color w:val="auto"/>
      </w:rPr>
    </w:lvl>
    <w:lvl w:ilvl="2">
      <w:start w:val="15"/>
      <w:numFmt w:val="decimal"/>
      <w:lvlText w:val="%1.%2-%3"/>
      <w:lvlJc w:val="left"/>
      <w:pPr>
        <w:tabs>
          <w:tab w:val="num" w:pos="2970"/>
        </w:tabs>
        <w:ind w:left="2970" w:hanging="2970"/>
      </w:pPr>
      <w:rPr>
        <w:rFonts w:hint="default"/>
        <w:b/>
        <w:color w:val="auto"/>
      </w:rPr>
    </w:lvl>
    <w:lvl w:ilvl="3">
      <w:start w:val="7"/>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9">
    <w:nsid w:val="79306EEA"/>
    <w:multiLevelType w:val="multilevel"/>
    <w:tmpl w:val="12C42EE4"/>
    <w:lvl w:ilvl="0">
      <w:start w:val="1"/>
      <w:numFmt w:val="decimal"/>
      <w:lvlText w:val="%1"/>
      <w:lvlJc w:val="left"/>
      <w:pPr>
        <w:tabs>
          <w:tab w:val="num" w:pos="795"/>
        </w:tabs>
        <w:ind w:left="795" w:hanging="795"/>
      </w:pPr>
      <w:rPr>
        <w:rFonts w:hint="default"/>
      </w:r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795"/>
        </w:tabs>
        <w:ind w:left="795" w:hanging="79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A2E094F"/>
    <w:multiLevelType w:val="hybridMultilevel"/>
    <w:tmpl w:val="B4A0EF7E"/>
    <w:lvl w:ilvl="0" w:tplc="D9B0D9B4">
      <w:start w:val="1"/>
      <w:numFmt w:val="bullet"/>
      <w:lvlText w:val=""/>
      <w:lvlJc w:val="left"/>
      <w:pPr>
        <w:tabs>
          <w:tab w:val="num" w:pos="360"/>
        </w:tabs>
        <w:ind w:left="360" w:hanging="360"/>
      </w:pPr>
      <w:rPr>
        <w:rFonts w:ascii="Symbol" w:hAnsi="Symbol" w:hint="default"/>
      </w:rPr>
    </w:lvl>
    <w:lvl w:ilvl="1" w:tplc="8F949AD4" w:tentative="1">
      <w:start w:val="1"/>
      <w:numFmt w:val="bullet"/>
      <w:lvlText w:val="o"/>
      <w:lvlJc w:val="left"/>
      <w:pPr>
        <w:tabs>
          <w:tab w:val="num" w:pos="1080"/>
        </w:tabs>
        <w:ind w:left="1080" w:hanging="360"/>
      </w:pPr>
      <w:rPr>
        <w:rFonts w:ascii="Courier New" w:hAnsi="Courier New" w:cs="Courier New" w:hint="default"/>
      </w:rPr>
    </w:lvl>
    <w:lvl w:ilvl="2" w:tplc="48623DC4" w:tentative="1">
      <w:start w:val="1"/>
      <w:numFmt w:val="bullet"/>
      <w:lvlText w:val=""/>
      <w:lvlJc w:val="left"/>
      <w:pPr>
        <w:tabs>
          <w:tab w:val="num" w:pos="1800"/>
        </w:tabs>
        <w:ind w:left="1800" w:hanging="360"/>
      </w:pPr>
      <w:rPr>
        <w:rFonts w:ascii="Wingdings" w:hAnsi="Wingdings" w:hint="default"/>
      </w:rPr>
    </w:lvl>
    <w:lvl w:ilvl="3" w:tplc="EABE2744" w:tentative="1">
      <w:start w:val="1"/>
      <w:numFmt w:val="bullet"/>
      <w:lvlText w:val=""/>
      <w:lvlJc w:val="left"/>
      <w:pPr>
        <w:tabs>
          <w:tab w:val="num" w:pos="2520"/>
        </w:tabs>
        <w:ind w:left="2520" w:hanging="360"/>
      </w:pPr>
      <w:rPr>
        <w:rFonts w:ascii="Symbol" w:hAnsi="Symbol" w:hint="default"/>
      </w:rPr>
    </w:lvl>
    <w:lvl w:ilvl="4" w:tplc="AE187604" w:tentative="1">
      <w:start w:val="1"/>
      <w:numFmt w:val="bullet"/>
      <w:lvlText w:val="o"/>
      <w:lvlJc w:val="left"/>
      <w:pPr>
        <w:tabs>
          <w:tab w:val="num" w:pos="3240"/>
        </w:tabs>
        <w:ind w:left="3240" w:hanging="360"/>
      </w:pPr>
      <w:rPr>
        <w:rFonts w:ascii="Courier New" w:hAnsi="Courier New" w:cs="Courier New" w:hint="default"/>
      </w:rPr>
    </w:lvl>
    <w:lvl w:ilvl="5" w:tplc="E61EB78C" w:tentative="1">
      <w:start w:val="1"/>
      <w:numFmt w:val="bullet"/>
      <w:lvlText w:val=""/>
      <w:lvlJc w:val="left"/>
      <w:pPr>
        <w:tabs>
          <w:tab w:val="num" w:pos="3960"/>
        </w:tabs>
        <w:ind w:left="3960" w:hanging="360"/>
      </w:pPr>
      <w:rPr>
        <w:rFonts w:ascii="Wingdings" w:hAnsi="Wingdings" w:hint="default"/>
      </w:rPr>
    </w:lvl>
    <w:lvl w:ilvl="6" w:tplc="FB5A45D0" w:tentative="1">
      <w:start w:val="1"/>
      <w:numFmt w:val="bullet"/>
      <w:lvlText w:val=""/>
      <w:lvlJc w:val="left"/>
      <w:pPr>
        <w:tabs>
          <w:tab w:val="num" w:pos="4680"/>
        </w:tabs>
        <w:ind w:left="4680" w:hanging="360"/>
      </w:pPr>
      <w:rPr>
        <w:rFonts w:ascii="Symbol" w:hAnsi="Symbol" w:hint="default"/>
      </w:rPr>
    </w:lvl>
    <w:lvl w:ilvl="7" w:tplc="AFEA5A1C" w:tentative="1">
      <w:start w:val="1"/>
      <w:numFmt w:val="bullet"/>
      <w:lvlText w:val="o"/>
      <w:lvlJc w:val="left"/>
      <w:pPr>
        <w:tabs>
          <w:tab w:val="num" w:pos="5400"/>
        </w:tabs>
        <w:ind w:left="5400" w:hanging="360"/>
      </w:pPr>
      <w:rPr>
        <w:rFonts w:ascii="Courier New" w:hAnsi="Courier New" w:cs="Courier New" w:hint="default"/>
      </w:rPr>
    </w:lvl>
    <w:lvl w:ilvl="8" w:tplc="3B4638A4" w:tentative="1">
      <w:start w:val="1"/>
      <w:numFmt w:val="bullet"/>
      <w:lvlText w:val=""/>
      <w:lvlJc w:val="left"/>
      <w:pPr>
        <w:tabs>
          <w:tab w:val="num" w:pos="6120"/>
        </w:tabs>
        <w:ind w:left="6120" w:hanging="360"/>
      </w:pPr>
      <w:rPr>
        <w:rFonts w:ascii="Wingdings" w:hAnsi="Wingdings" w:hint="default"/>
      </w:rPr>
    </w:lvl>
  </w:abstractNum>
  <w:abstractNum w:abstractNumId="41">
    <w:nsid w:val="7AF8608A"/>
    <w:multiLevelType w:val="multilevel"/>
    <w:tmpl w:val="9BDAA224"/>
    <w:lvl w:ilvl="0">
      <w:start w:val="17"/>
      <w:numFmt w:val="decimal"/>
      <w:lvlText w:val="%1"/>
      <w:lvlJc w:val="left"/>
      <w:pPr>
        <w:tabs>
          <w:tab w:val="num" w:pos="2970"/>
        </w:tabs>
        <w:ind w:left="2970" w:hanging="2970"/>
      </w:pPr>
      <w:rPr>
        <w:rFonts w:hint="default"/>
        <w:b/>
        <w:color w:val="auto"/>
      </w:rPr>
    </w:lvl>
    <w:lvl w:ilvl="1">
      <w:start w:val="1"/>
      <w:numFmt w:val="decimal"/>
      <w:lvlText w:val="%1.%2"/>
      <w:lvlJc w:val="left"/>
      <w:pPr>
        <w:tabs>
          <w:tab w:val="num" w:pos="2970"/>
        </w:tabs>
        <w:ind w:left="2970" w:hanging="2970"/>
      </w:pPr>
      <w:rPr>
        <w:rFonts w:hint="default"/>
        <w:b/>
        <w:color w:val="auto"/>
      </w:rPr>
    </w:lvl>
    <w:lvl w:ilvl="2">
      <w:start w:val="17"/>
      <w:numFmt w:val="decimal"/>
      <w:lvlText w:val="%1.%2-%3"/>
      <w:lvlJc w:val="left"/>
      <w:pPr>
        <w:tabs>
          <w:tab w:val="num" w:pos="2970"/>
        </w:tabs>
        <w:ind w:left="2970" w:hanging="2970"/>
      </w:pPr>
      <w:rPr>
        <w:rFonts w:hint="default"/>
        <w:b/>
        <w:color w:val="auto"/>
      </w:rPr>
    </w:lvl>
    <w:lvl w:ilvl="3">
      <w:start w:val="2"/>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42">
    <w:nsid w:val="7B803F8C"/>
    <w:multiLevelType w:val="hybridMultilevel"/>
    <w:tmpl w:val="29843874"/>
    <w:lvl w:ilvl="0" w:tplc="132CEE2C">
      <w:start w:val="1"/>
      <w:numFmt w:val="lowerLetter"/>
      <w:lvlText w:val="%1."/>
      <w:lvlJc w:val="left"/>
      <w:pPr>
        <w:tabs>
          <w:tab w:val="num" w:pos="1440"/>
        </w:tabs>
        <w:ind w:left="1440" w:hanging="360"/>
      </w:pPr>
      <w:rPr>
        <w:rFonts w:hint="default"/>
      </w:rPr>
    </w:lvl>
    <w:lvl w:ilvl="1" w:tplc="ADDEC79E">
      <w:start w:val="1"/>
      <w:numFmt w:val="lowerLetter"/>
      <w:pStyle w:val="CEOindent-abc"/>
      <w:lvlText w:val="%2."/>
      <w:lvlJc w:val="left"/>
      <w:pPr>
        <w:tabs>
          <w:tab w:val="num" w:pos="1440"/>
        </w:tabs>
        <w:ind w:left="1440" w:hanging="360"/>
      </w:pPr>
      <w:rPr>
        <w:rFonts w:hint="default"/>
      </w:rPr>
    </w:lvl>
    <w:lvl w:ilvl="2" w:tplc="90B27922" w:tentative="1">
      <w:start w:val="1"/>
      <w:numFmt w:val="lowerRoman"/>
      <w:lvlText w:val="%3."/>
      <w:lvlJc w:val="right"/>
      <w:pPr>
        <w:tabs>
          <w:tab w:val="num" w:pos="2160"/>
        </w:tabs>
        <w:ind w:left="2160" w:hanging="180"/>
      </w:pPr>
    </w:lvl>
    <w:lvl w:ilvl="3" w:tplc="AC8849EA" w:tentative="1">
      <w:start w:val="1"/>
      <w:numFmt w:val="decimal"/>
      <w:lvlText w:val="%4."/>
      <w:lvlJc w:val="left"/>
      <w:pPr>
        <w:tabs>
          <w:tab w:val="num" w:pos="2880"/>
        </w:tabs>
        <w:ind w:left="2880" w:hanging="360"/>
      </w:pPr>
    </w:lvl>
    <w:lvl w:ilvl="4" w:tplc="0F628072" w:tentative="1">
      <w:start w:val="1"/>
      <w:numFmt w:val="lowerLetter"/>
      <w:lvlText w:val="%5."/>
      <w:lvlJc w:val="left"/>
      <w:pPr>
        <w:tabs>
          <w:tab w:val="num" w:pos="3600"/>
        </w:tabs>
        <w:ind w:left="3600" w:hanging="360"/>
      </w:pPr>
    </w:lvl>
    <w:lvl w:ilvl="5" w:tplc="1BEC95EA" w:tentative="1">
      <w:start w:val="1"/>
      <w:numFmt w:val="lowerRoman"/>
      <w:lvlText w:val="%6."/>
      <w:lvlJc w:val="right"/>
      <w:pPr>
        <w:tabs>
          <w:tab w:val="num" w:pos="4320"/>
        </w:tabs>
        <w:ind w:left="4320" w:hanging="180"/>
      </w:pPr>
    </w:lvl>
    <w:lvl w:ilvl="6" w:tplc="BFF21CA8" w:tentative="1">
      <w:start w:val="1"/>
      <w:numFmt w:val="decimal"/>
      <w:lvlText w:val="%7."/>
      <w:lvlJc w:val="left"/>
      <w:pPr>
        <w:tabs>
          <w:tab w:val="num" w:pos="5040"/>
        </w:tabs>
        <w:ind w:left="5040" w:hanging="360"/>
      </w:pPr>
    </w:lvl>
    <w:lvl w:ilvl="7" w:tplc="9DC62A5E" w:tentative="1">
      <w:start w:val="1"/>
      <w:numFmt w:val="lowerLetter"/>
      <w:lvlText w:val="%8."/>
      <w:lvlJc w:val="left"/>
      <w:pPr>
        <w:tabs>
          <w:tab w:val="num" w:pos="5760"/>
        </w:tabs>
        <w:ind w:left="5760" w:hanging="360"/>
      </w:pPr>
    </w:lvl>
    <w:lvl w:ilvl="8" w:tplc="CB7497D4" w:tentative="1">
      <w:start w:val="1"/>
      <w:numFmt w:val="lowerRoman"/>
      <w:lvlText w:val="%9."/>
      <w:lvlJc w:val="right"/>
      <w:pPr>
        <w:tabs>
          <w:tab w:val="num" w:pos="6480"/>
        </w:tabs>
        <w:ind w:left="6480" w:hanging="180"/>
      </w:pPr>
    </w:lvl>
  </w:abstractNum>
  <w:abstractNum w:abstractNumId="43">
    <w:nsid w:val="7FA10C87"/>
    <w:multiLevelType w:val="hybridMultilevel"/>
    <w:tmpl w:val="FC7E00C2"/>
    <w:lvl w:ilvl="0" w:tplc="040C0017">
      <w:start w:val="5"/>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14"/>
  </w:num>
  <w:num w:numId="4">
    <w:abstractNumId w:val="27"/>
  </w:num>
  <w:num w:numId="5">
    <w:abstractNumId w:val="11"/>
    <w:lvlOverride w:ilvl="0">
      <w:lvl w:ilvl="0">
        <w:numFmt w:val="bullet"/>
        <w:lvlText w:val=""/>
        <w:legacy w:legacy="1" w:legacySpace="0" w:legacyIndent="0"/>
        <w:lvlJc w:val="left"/>
        <w:rPr>
          <w:rFonts w:ascii="Symbol" w:hAnsi="Symbol" w:hint="default"/>
        </w:rPr>
      </w:lvl>
    </w:lvlOverride>
  </w:num>
  <w:num w:numId="6">
    <w:abstractNumId w:val="32"/>
  </w:num>
  <w:num w:numId="7">
    <w:abstractNumId w:val="8"/>
  </w:num>
  <w:num w:numId="8">
    <w:abstractNumId w:val="7"/>
  </w:num>
  <w:num w:numId="9">
    <w:abstractNumId w:val="16"/>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9"/>
  </w:num>
  <w:num w:numId="18">
    <w:abstractNumId w:val="34"/>
  </w:num>
  <w:num w:numId="19">
    <w:abstractNumId w:val="2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5"/>
  </w:num>
  <w:num w:numId="23">
    <w:abstractNumId w:val="28"/>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6"/>
  </w:num>
  <w:num w:numId="27">
    <w:abstractNumId w:val="21"/>
  </w:num>
  <w:num w:numId="28">
    <w:abstractNumId w:val="36"/>
  </w:num>
  <w:num w:numId="29">
    <w:abstractNumId w:val="20"/>
  </w:num>
  <w:num w:numId="30">
    <w:abstractNumId w:val="40"/>
  </w:num>
  <w:num w:numId="31">
    <w:abstractNumId w:val="24"/>
  </w:num>
  <w:num w:numId="32">
    <w:abstractNumId w:val="22"/>
  </w:num>
  <w:num w:numId="33">
    <w:abstractNumId w:val="37"/>
  </w:num>
  <w:num w:numId="34">
    <w:abstractNumId w:val="42"/>
  </w:num>
  <w:num w:numId="35">
    <w:abstractNumId w:val="17"/>
  </w:num>
  <w:num w:numId="36">
    <w:abstractNumId w:val="23"/>
  </w:num>
  <w:num w:numId="37">
    <w:abstractNumId w:val="12"/>
  </w:num>
  <w:num w:numId="38">
    <w:abstractNumId w:val="38"/>
  </w:num>
  <w:num w:numId="39">
    <w:abstractNumId w:val="33"/>
  </w:num>
  <w:num w:numId="40">
    <w:abstractNumId w:val="41"/>
  </w:num>
  <w:num w:numId="41">
    <w:abstractNumId w:val="43"/>
  </w:num>
  <w:num w:numId="42">
    <w:abstractNumId w:val="18"/>
  </w:num>
  <w:num w:numId="43">
    <w:abstractNumId w:val="13"/>
  </w:num>
  <w:num w:numId="44">
    <w:abstractNumId w:val="0"/>
  </w:num>
  <w:num w:numId="45">
    <w:abstractNumId w:val="31"/>
  </w:num>
  <w:num w:numId="46">
    <w:abstractNumId w:val="3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7" w:nlCheck="1" w:checkStyle="1"/>
  <w:activeWritingStyle w:appName="MSWord" w:lang="en-US" w:vendorID="64" w:dllVersion="131077" w:nlCheck="1" w:checkStyle="1"/>
  <w:activeWritingStyle w:appName="MSWord" w:lang="es-E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001"/>
  <w:defaultTabStop w:val="720"/>
  <w:hyphenationZone w:val="357"/>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rsids>
    <w:rsidRoot w:val="00F97148"/>
    <w:rsid w:val="000003AA"/>
    <w:rsid w:val="00000A4F"/>
    <w:rsid w:val="00001EC1"/>
    <w:rsid w:val="00002558"/>
    <w:rsid w:val="000032CF"/>
    <w:rsid w:val="0000365F"/>
    <w:rsid w:val="000036F4"/>
    <w:rsid w:val="000038A5"/>
    <w:rsid w:val="00003B4C"/>
    <w:rsid w:val="00003CE0"/>
    <w:rsid w:val="000104A0"/>
    <w:rsid w:val="00010B79"/>
    <w:rsid w:val="00010FE6"/>
    <w:rsid w:val="00011887"/>
    <w:rsid w:val="000118E2"/>
    <w:rsid w:val="00013DC1"/>
    <w:rsid w:val="00015535"/>
    <w:rsid w:val="0001651E"/>
    <w:rsid w:val="00016903"/>
    <w:rsid w:val="00016BF5"/>
    <w:rsid w:val="00017277"/>
    <w:rsid w:val="00020045"/>
    <w:rsid w:val="000231E5"/>
    <w:rsid w:val="00025314"/>
    <w:rsid w:val="0002641B"/>
    <w:rsid w:val="00026A4A"/>
    <w:rsid w:val="00027602"/>
    <w:rsid w:val="00027D03"/>
    <w:rsid w:val="0003039B"/>
    <w:rsid w:val="00030629"/>
    <w:rsid w:val="0003188E"/>
    <w:rsid w:val="00032CDA"/>
    <w:rsid w:val="0003433B"/>
    <w:rsid w:val="000343B3"/>
    <w:rsid w:val="00035700"/>
    <w:rsid w:val="00036303"/>
    <w:rsid w:val="0003633E"/>
    <w:rsid w:val="00036415"/>
    <w:rsid w:val="000377CD"/>
    <w:rsid w:val="00041985"/>
    <w:rsid w:val="00043339"/>
    <w:rsid w:val="000438AD"/>
    <w:rsid w:val="0004485F"/>
    <w:rsid w:val="00047026"/>
    <w:rsid w:val="000475D2"/>
    <w:rsid w:val="0004791C"/>
    <w:rsid w:val="00052702"/>
    <w:rsid w:val="00055999"/>
    <w:rsid w:val="00055C69"/>
    <w:rsid w:val="00055EE2"/>
    <w:rsid w:val="000575AF"/>
    <w:rsid w:val="00057B18"/>
    <w:rsid w:val="00060820"/>
    <w:rsid w:val="000608A2"/>
    <w:rsid w:val="00061064"/>
    <w:rsid w:val="0006154D"/>
    <w:rsid w:val="000615C2"/>
    <w:rsid w:val="00061811"/>
    <w:rsid w:val="00062CD6"/>
    <w:rsid w:val="0006325B"/>
    <w:rsid w:val="00064F42"/>
    <w:rsid w:val="00065262"/>
    <w:rsid w:val="00065683"/>
    <w:rsid w:val="00065692"/>
    <w:rsid w:val="0006684C"/>
    <w:rsid w:val="00067022"/>
    <w:rsid w:val="00070BBB"/>
    <w:rsid w:val="0007132A"/>
    <w:rsid w:val="00072C45"/>
    <w:rsid w:val="00072C88"/>
    <w:rsid w:val="00073A0C"/>
    <w:rsid w:val="00074E1B"/>
    <w:rsid w:val="000764C7"/>
    <w:rsid w:val="00077525"/>
    <w:rsid w:val="00077691"/>
    <w:rsid w:val="00077D5D"/>
    <w:rsid w:val="00080501"/>
    <w:rsid w:val="00080564"/>
    <w:rsid w:val="00080641"/>
    <w:rsid w:val="00080B99"/>
    <w:rsid w:val="00081F9F"/>
    <w:rsid w:val="00083040"/>
    <w:rsid w:val="0008342F"/>
    <w:rsid w:val="00084345"/>
    <w:rsid w:val="000845FD"/>
    <w:rsid w:val="00084875"/>
    <w:rsid w:val="00084C48"/>
    <w:rsid w:val="0008570C"/>
    <w:rsid w:val="00085B2E"/>
    <w:rsid w:val="00086956"/>
    <w:rsid w:val="000900E3"/>
    <w:rsid w:val="000915D1"/>
    <w:rsid w:val="00091B85"/>
    <w:rsid w:val="000921F8"/>
    <w:rsid w:val="000968A9"/>
    <w:rsid w:val="00096FCD"/>
    <w:rsid w:val="000A068B"/>
    <w:rsid w:val="000A08DF"/>
    <w:rsid w:val="000A0926"/>
    <w:rsid w:val="000A0BAE"/>
    <w:rsid w:val="000A1098"/>
    <w:rsid w:val="000A1331"/>
    <w:rsid w:val="000A1C7E"/>
    <w:rsid w:val="000A1CB8"/>
    <w:rsid w:val="000A2861"/>
    <w:rsid w:val="000A3545"/>
    <w:rsid w:val="000A39EC"/>
    <w:rsid w:val="000A4005"/>
    <w:rsid w:val="000A596D"/>
    <w:rsid w:val="000A64D9"/>
    <w:rsid w:val="000A6EEF"/>
    <w:rsid w:val="000A74F2"/>
    <w:rsid w:val="000B146C"/>
    <w:rsid w:val="000B1E86"/>
    <w:rsid w:val="000B259F"/>
    <w:rsid w:val="000B2CFB"/>
    <w:rsid w:val="000B3024"/>
    <w:rsid w:val="000B30A2"/>
    <w:rsid w:val="000B30AE"/>
    <w:rsid w:val="000B33D5"/>
    <w:rsid w:val="000B403C"/>
    <w:rsid w:val="000B54BE"/>
    <w:rsid w:val="000B5B9C"/>
    <w:rsid w:val="000B5C27"/>
    <w:rsid w:val="000B61AC"/>
    <w:rsid w:val="000B647E"/>
    <w:rsid w:val="000B736B"/>
    <w:rsid w:val="000C0DA9"/>
    <w:rsid w:val="000C1194"/>
    <w:rsid w:val="000C1A79"/>
    <w:rsid w:val="000C1B1A"/>
    <w:rsid w:val="000C3613"/>
    <w:rsid w:val="000C3912"/>
    <w:rsid w:val="000C523A"/>
    <w:rsid w:val="000C5CBD"/>
    <w:rsid w:val="000C680E"/>
    <w:rsid w:val="000C6E3D"/>
    <w:rsid w:val="000C7F20"/>
    <w:rsid w:val="000D128F"/>
    <w:rsid w:val="000D1657"/>
    <w:rsid w:val="000D476E"/>
    <w:rsid w:val="000D4A85"/>
    <w:rsid w:val="000D4D81"/>
    <w:rsid w:val="000D5603"/>
    <w:rsid w:val="000D5C10"/>
    <w:rsid w:val="000D6596"/>
    <w:rsid w:val="000D7851"/>
    <w:rsid w:val="000E0367"/>
    <w:rsid w:val="000E1977"/>
    <w:rsid w:val="000E2E20"/>
    <w:rsid w:val="000E36DD"/>
    <w:rsid w:val="000E405B"/>
    <w:rsid w:val="000E4E0E"/>
    <w:rsid w:val="000E5D76"/>
    <w:rsid w:val="000E6C26"/>
    <w:rsid w:val="000E7C4A"/>
    <w:rsid w:val="000F00FF"/>
    <w:rsid w:val="000F026C"/>
    <w:rsid w:val="000F0928"/>
    <w:rsid w:val="000F10E2"/>
    <w:rsid w:val="000F126E"/>
    <w:rsid w:val="000F2F32"/>
    <w:rsid w:val="000F375A"/>
    <w:rsid w:val="000F3AB5"/>
    <w:rsid w:val="000F486E"/>
    <w:rsid w:val="000F5097"/>
    <w:rsid w:val="000F6A2A"/>
    <w:rsid w:val="000F7F76"/>
    <w:rsid w:val="0010045E"/>
    <w:rsid w:val="00100534"/>
    <w:rsid w:val="00101375"/>
    <w:rsid w:val="0010310F"/>
    <w:rsid w:val="001035E3"/>
    <w:rsid w:val="0010386F"/>
    <w:rsid w:val="0010499F"/>
    <w:rsid w:val="00105CFB"/>
    <w:rsid w:val="00106CFA"/>
    <w:rsid w:val="00110F70"/>
    <w:rsid w:val="00111BDC"/>
    <w:rsid w:val="00112903"/>
    <w:rsid w:val="00113338"/>
    <w:rsid w:val="001134F9"/>
    <w:rsid w:val="0011377C"/>
    <w:rsid w:val="0011440A"/>
    <w:rsid w:val="0011451F"/>
    <w:rsid w:val="00114AA7"/>
    <w:rsid w:val="00115571"/>
    <w:rsid w:val="00115E2D"/>
    <w:rsid w:val="001162EB"/>
    <w:rsid w:val="0011645C"/>
    <w:rsid w:val="001178FD"/>
    <w:rsid w:val="00117A21"/>
    <w:rsid w:val="00120BFC"/>
    <w:rsid w:val="00122957"/>
    <w:rsid w:val="001229D0"/>
    <w:rsid w:val="00124DAD"/>
    <w:rsid w:val="00124FB4"/>
    <w:rsid w:val="00125A27"/>
    <w:rsid w:val="00126ED1"/>
    <w:rsid w:val="0012717E"/>
    <w:rsid w:val="00127B11"/>
    <w:rsid w:val="001308DA"/>
    <w:rsid w:val="00130C89"/>
    <w:rsid w:val="00131F4D"/>
    <w:rsid w:val="00132FDF"/>
    <w:rsid w:val="00136260"/>
    <w:rsid w:val="00137E50"/>
    <w:rsid w:val="00137E5A"/>
    <w:rsid w:val="001401C6"/>
    <w:rsid w:val="00140E6C"/>
    <w:rsid w:val="00141100"/>
    <w:rsid w:val="001415A9"/>
    <w:rsid w:val="00141723"/>
    <w:rsid w:val="001426A7"/>
    <w:rsid w:val="0014475F"/>
    <w:rsid w:val="001454D4"/>
    <w:rsid w:val="001460EE"/>
    <w:rsid w:val="0014691A"/>
    <w:rsid w:val="0014746B"/>
    <w:rsid w:val="001476E5"/>
    <w:rsid w:val="00147E69"/>
    <w:rsid w:val="0015035A"/>
    <w:rsid w:val="00151785"/>
    <w:rsid w:val="00151874"/>
    <w:rsid w:val="00151995"/>
    <w:rsid w:val="00152EF8"/>
    <w:rsid w:val="00153922"/>
    <w:rsid w:val="00155A67"/>
    <w:rsid w:val="001560F3"/>
    <w:rsid w:val="0015627E"/>
    <w:rsid w:val="00156988"/>
    <w:rsid w:val="00156DA9"/>
    <w:rsid w:val="00156F94"/>
    <w:rsid w:val="00157474"/>
    <w:rsid w:val="00163F7E"/>
    <w:rsid w:val="0016569B"/>
    <w:rsid w:val="00166053"/>
    <w:rsid w:val="00166244"/>
    <w:rsid w:val="00166431"/>
    <w:rsid w:val="00166549"/>
    <w:rsid w:val="00170B8D"/>
    <w:rsid w:val="00170FE4"/>
    <w:rsid w:val="00171030"/>
    <w:rsid w:val="0017110E"/>
    <w:rsid w:val="001719C0"/>
    <w:rsid w:val="00171B83"/>
    <w:rsid w:val="00172018"/>
    <w:rsid w:val="00173A63"/>
    <w:rsid w:val="00173ED0"/>
    <w:rsid w:val="001744CA"/>
    <w:rsid w:val="00174E58"/>
    <w:rsid w:val="001757A8"/>
    <w:rsid w:val="0017672F"/>
    <w:rsid w:val="00180BBF"/>
    <w:rsid w:val="00181882"/>
    <w:rsid w:val="001836BF"/>
    <w:rsid w:val="00183F01"/>
    <w:rsid w:val="00184497"/>
    <w:rsid w:val="00186A43"/>
    <w:rsid w:val="001906BB"/>
    <w:rsid w:val="00190F06"/>
    <w:rsid w:val="0019195D"/>
    <w:rsid w:val="00191E9B"/>
    <w:rsid w:val="001927C0"/>
    <w:rsid w:val="00192AD0"/>
    <w:rsid w:val="0019314C"/>
    <w:rsid w:val="00193445"/>
    <w:rsid w:val="00193CCB"/>
    <w:rsid w:val="0019421A"/>
    <w:rsid w:val="00194F2A"/>
    <w:rsid w:val="00195190"/>
    <w:rsid w:val="0019694A"/>
    <w:rsid w:val="001A0156"/>
    <w:rsid w:val="001A13C0"/>
    <w:rsid w:val="001A1806"/>
    <w:rsid w:val="001A1EBB"/>
    <w:rsid w:val="001A2578"/>
    <w:rsid w:val="001A2678"/>
    <w:rsid w:val="001A30C0"/>
    <w:rsid w:val="001A360B"/>
    <w:rsid w:val="001A3E3C"/>
    <w:rsid w:val="001A4124"/>
    <w:rsid w:val="001A648C"/>
    <w:rsid w:val="001A6CBC"/>
    <w:rsid w:val="001A6F4C"/>
    <w:rsid w:val="001A7DF2"/>
    <w:rsid w:val="001B112E"/>
    <w:rsid w:val="001B1BC3"/>
    <w:rsid w:val="001B1CCF"/>
    <w:rsid w:val="001B1D06"/>
    <w:rsid w:val="001B2E2A"/>
    <w:rsid w:val="001B4837"/>
    <w:rsid w:val="001B62CA"/>
    <w:rsid w:val="001B6C2B"/>
    <w:rsid w:val="001B7013"/>
    <w:rsid w:val="001B7231"/>
    <w:rsid w:val="001B74DD"/>
    <w:rsid w:val="001B7F8A"/>
    <w:rsid w:val="001C02E3"/>
    <w:rsid w:val="001C147D"/>
    <w:rsid w:val="001C1DEC"/>
    <w:rsid w:val="001C2FE5"/>
    <w:rsid w:val="001C450B"/>
    <w:rsid w:val="001C4923"/>
    <w:rsid w:val="001C4BA3"/>
    <w:rsid w:val="001C621D"/>
    <w:rsid w:val="001C6F27"/>
    <w:rsid w:val="001D0543"/>
    <w:rsid w:val="001D1509"/>
    <w:rsid w:val="001D1739"/>
    <w:rsid w:val="001D1B00"/>
    <w:rsid w:val="001D3015"/>
    <w:rsid w:val="001D40DC"/>
    <w:rsid w:val="001D40F5"/>
    <w:rsid w:val="001D411E"/>
    <w:rsid w:val="001D5625"/>
    <w:rsid w:val="001D622B"/>
    <w:rsid w:val="001D62B2"/>
    <w:rsid w:val="001D7B29"/>
    <w:rsid w:val="001D7EB3"/>
    <w:rsid w:val="001E0BE9"/>
    <w:rsid w:val="001E0D38"/>
    <w:rsid w:val="001E1987"/>
    <w:rsid w:val="001E1D0E"/>
    <w:rsid w:val="001E2C63"/>
    <w:rsid w:val="001E2E19"/>
    <w:rsid w:val="001E35F8"/>
    <w:rsid w:val="001E393C"/>
    <w:rsid w:val="001E3E82"/>
    <w:rsid w:val="001E4AA6"/>
    <w:rsid w:val="001E4EFC"/>
    <w:rsid w:val="001E591D"/>
    <w:rsid w:val="001E5A8B"/>
    <w:rsid w:val="001E5BC1"/>
    <w:rsid w:val="001E6B63"/>
    <w:rsid w:val="001E7CAC"/>
    <w:rsid w:val="001F05BD"/>
    <w:rsid w:val="001F05EE"/>
    <w:rsid w:val="001F1011"/>
    <w:rsid w:val="001F2F83"/>
    <w:rsid w:val="001F3325"/>
    <w:rsid w:val="001F3BFE"/>
    <w:rsid w:val="001F632A"/>
    <w:rsid w:val="002001C0"/>
    <w:rsid w:val="002009F0"/>
    <w:rsid w:val="00200C50"/>
    <w:rsid w:val="00200D16"/>
    <w:rsid w:val="00202194"/>
    <w:rsid w:val="002024CF"/>
    <w:rsid w:val="00203296"/>
    <w:rsid w:val="002052F0"/>
    <w:rsid w:val="00206C31"/>
    <w:rsid w:val="00206C53"/>
    <w:rsid w:val="00206DD5"/>
    <w:rsid w:val="0020761F"/>
    <w:rsid w:val="00210743"/>
    <w:rsid w:val="002107F4"/>
    <w:rsid w:val="00210C72"/>
    <w:rsid w:val="0021123F"/>
    <w:rsid w:val="00215528"/>
    <w:rsid w:val="00215C08"/>
    <w:rsid w:val="00217E9F"/>
    <w:rsid w:val="0022203F"/>
    <w:rsid w:val="00222646"/>
    <w:rsid w:val="0022402B"/>
    <w:rsid w:val="00224924"/>
    <w:rsid w:val="00226354"/>
    <w:rsid w:val="00226A5C"/>
    <w:rsid w:val="0022778B"/>
    <w:rsid w:val="00227800"/>
    <w:rsid w:val="002314C9"/>
    <w:rsid w:val="002315E1"/>
    <w:rsid w:val="0023295F"/>
    <w:rsid w:val="0023334A"/>
    <w:rsid w:val="002336B5"/>
    <w:rsid w:val="0023394E"/>
    <w:rsid w:val="00233AD1"/>
    <w:rsid w:val="00234059"/>
    <w:rsid w:val="00234904"/>
    <w:rsid w:val="00234CFA"/>
    <w:rsid w:val="00235E81"/>
    <w:rsid w:val="00236250"/>
    <w:rsid w:val="002369FD"/>
    <w:rsid w:val="0023709E"/>
    <w:rsid w:val="0023765F"/>
    <w:rsid w:val="00237D3E"/>
    <w:rsid w:val="00240C1C"/>
    <w:rsid w:val="00240EA5"/>
    <w:rsid w:val="0024122F"/>
    <w:rsid w:val="002414C9"/>
    <w:rsid w:val="00242898"/>
    <w:rsid w:val="00242DAE"/>
    <w:rsid w:val="00244D9A"/>
    <w:rsid w:val="00244EF3"/>
    <w:rsid w:val="002455FC"/>
    <w:rsid w:val="00245C7B"/>
    <w:rsid w:val="002460E4"/>
    <w:rsid w:val="00246A28"/>
    <w:rsid w:val="00246ABA"/>
    <w:rsid w:val="00247AA5"/>
    <w:rsid w:val="002528C0"/>
    <w:rsid w:val="00254364"/>
    <w:rsid w:val="002546CC"/>
    <w:rsid w:val="00255FAC"/>
    <w:rsid w:val="00256C4F"/>
    <w:rsid w:val="00257B5D"/>
    <w:rsid w:val="00260AAB"/>
    <w:rsid w:val="00260F99"/>
    <w:rsid w:val="0026248C"/>
    <w:rsid w:val="00262DEE"/>
    <w:rsid w:val="002634F5"/>
    <w:rsid w:val="00264224"/>
    <w:rsid w:val="002647F0"/>
    <w:rsid w:val="0026535F"/>
    <w:rsid w:val="002654C0"/>
    <w:rsid w:val="00266BB2"/>
    <w:rsid w:val="00267ED8"/>
    <w:rsid w:val="002714E0"/>
    <w:rsid w:val="00272A76"/>
    <w:rsid w:val="00274628"/>
    <w:rsid w:val="0027589D"/>
    <w:rsid w:val="00277B65"/>
    <w:rsid w:val="00280AEE"/>
    <w:rsid w:val="00281436"/>
    <w:rsid w:val="002823CD"/>
    <w:rsid w:val="00282BE9"/>
    <w:rsid w:val="00283311"/>
    <w:rsid w:val="00284032"/>
    <w:rsid w:val="002854EE"/>
    <w:rsid w:val="00285EB6"/>
    <w:rsid w:val="00287100"/>
    <w:rsid w:val="00290099"/>
    <w:rsid w:val="002901EF"/>
    <w:rsid w:val="002904B5"/>
    <w:rsid w:val="00290D1C"/>
    <w:rsid w:val="00291240"/>
    <w:rsid w:val="00291A4D"/>
    <w:rsid w:val="00291B8E"/>
    <w:rsid w:val="00291FEB"/>
    <w:rsid w:val="002949F9"/>
    <w:rsid w:val="00294C26"/>
    <w:rsid w:val="00294C44"/>
    <w:rsid w:val="00295870"/>
    <w:rsid w:val="00296DBD"/>
    <w:rsid w:val="00296EDF"/>
    <w:rsid w:val="0029787C"/>
    <w:rsid w:val="002A0DFA"/>
    <w:rsid w:val="002A1026"/>
    <w:rsid w:val="002A1617"/>
    <w:rsid w:val="002A27D0"/>
    <w:rsid w:val="002A33A2"/>
    <w:rsid w:val="002A4500"/>
    <w:rsid w:val="002A4BFD"/>
    <w:rsid w:val="002A62A0"/>
    <w:rsid w:val="002A6A17"/>
    <w:rsid w:val="002A778B"/>
    <w:rsid w:val="002B0E45"/>
    <w:rsid w:val="002B2BA5"/>
    <w:rsid w:val="002B347C"/>
    <w:rsid w:val="002B4821"/>
    <w:rsid w:val="002B49B0"/>
    <w:rsid w:val="002B53E2"/>
    <w:rsid w:val="002B62CE"/>
    <w:rsid w:val="002B679F"/>
    <w:rsid w:val="002C08E0"/>
    <w:rsid w:val="002C225C"/>
    <w:rsid w:val="002C27EA"/>
    <w:rsid w:val="002C2FC8"/>
    <w:rsid w:val="002C37A9"/>
    <w:rsid w:val="002C5F86"/>
    <w:rsid w:val="002C67D1"/>
    <w:rsid w:val="002C76FE"/>
    <w:rsid w:val="002C77CC"/>
    <w:rsid w:val="002D0BA1"/>
    <w:rsid w:val="002D0D9A"/>
    <w:rsid w:val="002D122B"/>
    <w:rsid w:val="002D15B4"/>
    <w:rsid w:val="002D18B8"/>
    <w:rsid w:val="002D1A9C"/>
    <w:rsid w:val="002D2358"/>
    <w:rsid w:val="002D3849"/>
    <w:rsid w:val="002D39E6"/>
    <w:rsid w:val="002D4365"/>
    <w:rsid w:val="002D4A26"/>
    <w:rsid w:val="002D4FCA"/>
    <w:rsid w:val="002D5285"/>
    <w:rsid w:val="002D528E"/>
    <w:rsid w:val="002D5CEB"/>
    <w:rsid w:val="002D6197"/>
    <w:rsid w:val="002D766F"/>
    <w:rsid w:val="002D7756"/>
    <w:rsid w:val="002D7C01"/>
    <w:rsid w:val="002E060D"/>
    <w:rsid w:val="002E22B6"/>
    <w:rsid w:val="002E2FC7"/>
    <w:rsid w:val="002E3B5D"/>
    <w:rsid w:val="002E410D"/>
    <w:rsid w:val="002E6A8B"/>
    <w:rsid w:val="002E72B8"/>
    <w:rsid w:val="002F05FE"/>
    <w:rsid w:val="002F29A6"/>
    <w:rsid w:val="002F30F0"/>
    <w:rsid w:val="002F31A2"/>
    <w:rsid w:val="002F360B"/>
    <w:rsid w:val="002F463C"/>
    <w:rsid w:val="002F49C3"/>
    <w:rsid w:val="002F68AC"/>
    <w:rsid w:val="002F68B0"/>
    <w:rsid w:val="002F71C2"/>
    <w:rsid w:val="002F7CBE"/>
    <w:rsid w:val="002F7CE1"/>
    <w:rsid w:val="00300AAB"/>
    <w:rsid w:val="0030198E"/>
    <w:rsid w:val="00301A6E"/>
    <w:rsid w:val="00301B3B"/>
    <w:rsid w:val="00302D83"/>
    <w:rsid w:val="0030342E"/>
    <w:rsid w:val="003036CC"/>
    <w:rsid w:val="003045D0"/>
    <w:rsid w:val="003070F7"/>
    <w:rsid w:val="003072AC"/>
    <w:rsid w:val="0031024C"/>
    <w:rsid w:val="00310994"/>
    <w:rsid w:val="00311736"/>
    <w:rsid w:val="00311A96"/>
    <w:rsid w:val="00311D5D"/>
    <w:rsid w:val="00312595"/>
    <w:rsid w:val="0031285A"/>
    <w:rsid w:val="00312EEE"/>
    <w:rsid w:val="003136AD"/>
    <w:rsid w:val="00314B9D"/>
    <w:rsid w:val="00315411"/>
    <w:rsid w:val="00315567"/>
    <w:rsid w:val="003156AF"/>
    <w:rsid w:val="00315979"/>
    <w:rsid w:val="003160B6"/>
    <w:rsid w:val="00316FFD"/>
    <w:rsid w:val="00317150"/>
    <w:rsid w:val="003175C8"/>
    <w:rsid w:val="00320D72"/>
    <w:rsid w:val="003223F1"/>
    <w:rsid w:val="0032559F"/>
    <w:rsid w:val="003266BD"/>
    <w:rsid w:val="003276B7"/>
    <w:rsid w:val="00327F0F"/>
    <w:rsid w:val="00330221"/>
    <w:rsid w:val="003309ED"/>
    <w:rsid w:val="00330B91"/>
    <w:rsid w:val="00331292"/>
    <w:rsid w:val="00332C31"/>
    <w:rsid w:val="0033427B"/>
    <w:rsid w:val="003356D7"/>
    <w:rsid w:val="00336437"/>
    <w:rsid w:val="00336471"/>
    <w:rsid w:val="00336B59"/>
    <w:rsid w:val="00336F26"/>
    <w:rsid w:val="00337712"/>
    <w:rsid w:val="00337F4F"/>
    <w:rsid w:val="00340618"/>
    <w:rsid w:val="00343171"/>
    <w:rsid w:val="003437E9"/>
    <w:rsid w:val="00343D7F"/>
    <w:rsid w:val="003479E0"/>
    <w:rsid w:val="00350544"/>
    <w:rsid w:val="00352084"/>
    <w:rsid w:val="0035434D"/>
    <w:rsid w:val="00355785"/>
    <w:rsid w:val="00355E77"/>
    <w:rsid w:val="00356049"/>
    <w:rsid w:val="00356CC2"/>
    <w:rsid w:val="003603B5"/>
    <w:rsid w:val="0036052F"/>
    <w:rsid w:val="003627B2"/>
    <w:rsid w:val="00362A5F"/>
    <w:rsid w:val="003633DF"/>
    <w:rsid w:val="00364137"/>
    <w:rsid w:val="00364D8D"/>
    <w:rsid w:val="0036541D"/>
    <w:rsid w:val="00366375"/>
    <w:rsid w:val="00370725"/>
    <w:rsid w:val="00370C9A"/>
    <w:rsid w:val="003718F9"/>
    <w:rsid w:val="00372DEF"/>
    <w:rsid w:val="00376745"/>
    <w:rsid w:val="00376E8E"/>
    <w:rsid w:val="00377B49"/>
    <w:rsid w:val="0038021B"/>
    <w:rsid w:val="00381342"/>
    <w:rsid w:val="00381F3F"/>
    <w:rsid w:val="00382736"/>
    <w:rsid w:val="00382983"/>
    <w:rsid w:val="003829E6"/>
    <w:rsid w:val="003839EB"/>
    <w:rsid w:val="00383F84"/>
    <w:rsid w:val="00387213"/>
    <w:rsid w:val="00387E96"/>
    <w:rsid w:val="00390223"/>
    <w:rsid w:val="003907FB"/>
    <w:rsid w:val="003939D6"/>
    <w:rsid w:val="003946E7"/>
    <w:rsid w:val="00394791"/>
    <w:rsid w:val="0039616F"/>
    <w:rsid w:val="003961F7"/>
    <w:rsid w:val="00396F81"/>
    <w:rsid w:val="00396FB1"/>
    <w:rsid w:val="00397DEF"/>
    <w:rsid w:val="003A04EA"/>
    <w:rsid w:val="003A13CD"/>
    <w:rsid w:val="003A3389"/>
    <w:rsid w:val="003A39BA"/>
    <w:rsid w:val="003A417E"/>
    <w:rsid w:val="003A5151"/>
    <w:rsid w:val="003A5E56"/>
    <w:rsid w:val="003A5EEA"/>
    <w:rsid w:val="003A68F0"/>
    <w:rsid w:val="003A717A"/>
    <w:rsid w:val="003A7C71"/>
    <w:rsid w:val="003B0EFD"/>
    <w:rsid w:val="003B1017"/>
    <w:rsid w:val="003B1AFC"/>
    <w:rsid w:val="003B1CC2"/>
    <w:rsid w:val="003B4129"/>
    <w:rsid w:val="003B6168"/>
    <w:rsid w:val="003B6263"/>
    <w:rsid w:val="003B6BCC"/>
    <w:rsid w:val="003B6E71"/>
    <w:rsid w:val="003B765D"/>
    <w:rsid w:val="003B7969"/>
    <w:rsid w:val="003B7A9A"/>
    <w:rsid w:val="003C0856"/>
    <w:rsid w:val="003C0958"/>
    <w:rsid w:val="003C0BF7"/>
    <w:rsid w:val="003C138C"/>
    <w:rsid w:val="003C39F0"/>
    <w:rsid w:val="003C4615"/>
    <w:rsid w:val="003C4A4C"/>
    <w:rsid w:val="003C5D6B"/>
    <w:rsid w:val="003C60F1"/>
    <w:rsid w:val="003C617B"/>
    <w:rsid w:val="003C6CA8"/>
    <w:rsid w:val="003C6CAF"/>
    <w:rsid w:val="003C6D0A"/>
    <w:rsid w:val="003C78B2"/>
    <w:rsid w:val="003C7BF7"/>
    <w:rsid w:val="003D0196"/>
    <w:rsid w:val="003D0AF3"/>
    <w:rsid w:val="003D1E70"/>
    <w:rsid w:val="003D2732"/>
    <w:rsid w:val="003D28C4"/>
    <w:rsid w:val="003D2DBE"/>
    <w:rsid w:val="003D3377"/>
    <w:rsid w:val="003D59D6"/>
    <w:rsid w:val="003D6BFD"/>
    <w:rsid w:val="003E0EB8"/>
    <w:rsid w:val="003E26DC"/>
    <w:rsid w:val="003E2E93"/>
    <w:rsid w:val="003E4192"/>
    <w:rsid w:val="003E41BF"/>
    <w:rsid w:val="003E4C34"/>
    <w:rsid w:val="003E6203"/>
    <w:rsid w:val="003E656B"/>
    <w:rsid w:val="003E69DA"/>
    <w:rsid w:val="003E6C90"/>
    <w:rsid w:val="003E712A"/>
    <w:rsid w:val="003F001E"/>
    <w:rsid w:val="003F195A"/>
    <w:rsid w:val="003F268C"/>
    <w:rsid w:val="003F3516"/>
    <w:rsid w:val="003F4B00"/>
    <w:rsid w:val="003F4B40"/>
    <w:rsid w:val="003F5B1B"/>
    <w:rsid w:val="003F64C1"/>
    <w:rsid w:val="004017B7"/>
    <w:rsid w:val="00401ECE"/>
    <w:rsid w:val="004022EE"/>
    <w:rsid w:val="004022F0"/>
    <w:rsid w:val="004027AB"/>
    <w:rsid w:val="00402CCF"/>
    <w:rsid w:val="00402E74"/>
    <w:rsid w:val="00404F1D"/>
    <w:rsid w:val="00406C3E"/>
    <w:rsid w:val="00406ED4"/>
    <w:rsid w:val="004109A1"/>
    <w:rsid w:val="00411956"/>
    <w:rsid w:val="00412409"/>
    <w:rsid w:val="0041291B"/>
    <w:rsid w:val="00413C8A"/>
    <w:rsid w:val="0041414F"/>
    <w:rsid w:val="004152C1"/>
    <w:rsid w:val="00415B1F"/>
    <w:rsid w:val="00416CAB"/>
    <w:rsid w:val="004179BC"/>
    <w:rsid w:val="004204B9"/>
    <w:rsid w:val="00420AF3"/>
    <w:rsid w:val="00420F48"/>
    <w:rsid w:val="004216E7"/>
    <w:rsid w:val="00422957"/>
    <w:rsid w:val="0042317C"/>
    <w:rsid w:val="00423203"/>
    <w:rsid w:val="00424D52"/>
    <w:rsid w:val="00425EEA"/>
    <w:rsid w:val="00425F5D"/>
    <w:rsid w:val="00427FE4"/>
    <w:rsid w:val="004322D9"/>
    <w:rsid w:val="004325CD"/>
    <w:rsid w:val="00432EAD"/>
    <w:rsid w:val="00433B27"/>
    <w:rsid w:val="00433D6A"/>
    <w:rsid w:val="0043474A"/>
    <w:rsid w:val="00435C38"/>
    <w:rsid w:val="0043625B"/>
    <w:rsid w:val="004367E6"/>
    <w:rsid w:val="00436C2A"/>
    <w:rsid w:val="004374B1"/>
    <w:rsid w:val="004400F8"/>
    <w:rsid w:val="0044119B"/>
    <w:rsid w:val="00441826"/>
    <w:rsid w:val="00441B71"/>
    <w:rsid w:val="004420B4"/>
    <w:rsid w:val="004424A2"/>
    <w:rsid w:val="00442D03"/>
    <w:rsid w:val="00442FC0"/>
    <w:rsid w:val="00443F05"/>
    <w:rsid w:val="00444069"/>
    <w:rsid w:val="004452B8"/>
    <w:rsid w:val="00445B0E"/>
    <w:rsid w:val="004461A0"/>
    <w:rsid w:val="0044719B"/>
    <w:rsid w:val="00450D0E"/>
    <w:rsid w:val="00450F5E"/>
    <w:rsid w:val="004518E0"/>
    <w:rsid w:val="00451F70"/>
    <w:rsid w:val="0045326D"/>
    <w:rsid w:val="00461B11"/>
    <w:rsid w:val="0046306C"/>
    <w:rsid w:val="004632F7"/>
    <w:rsid w:val="00463770"/>
    <w:rsid w:val="00464218"/>
    <w:rsid w:val="00465AC9"/>
    <w:rsid w:val="00470244"/>
    <w:rsid w:val="0047055F"/>
    <w:rsid w:val="00470C5C"/>
    <w:rsid w:val="0047229C"/>
    <w:rsid w:val="004735E4"/>
    <w:rsid w:val="00473765"/>
    <w:rsid w:val="00473947"/>
    <w:rsid w:val="00473DED"/>
    <w:rsid w:val="00474C02"/>
    <w:rsid w:val="00476183"/>
    <w:rsid w:val="0047660C"/>
    <w:rsid w:val="004772F3"/>
    <w:rsid w:val="00477C1A"/>
    <w:rsid w:val="00480196"/>
    <w:rsid w:val="00480D3F"/>
    <w:rsid w:val="0048142C"/>
    <w:rsid w:val="00481B1C"/>
    <w:rsid w:val="00481F33"/>
    <w:rsid w:val="004833C0"/>
    <w:rsid w:val="00484089"/>
    <w:rsid w:val="004848FD"/>
    <w:rsid w:val="00484EC3"/>
    <w:rsid w:val="00485128"/>
    <w:rsid w:val="00485652"/>
    <w:rsid w:val="00486AE5"/>
    <w:rsid w:val="00486E6B"/>
    <w:rsid w:val="00486F07"/>
    <w:rsid w:val="00487898"/>
    <w:rsid w:val="0048795F"/>
    <w:rsid w:val="00487FEE"/>
    <w:rsid w:val="00490187"/>
    <w:rsid w:val="0049099C"/>
    <w:rsid w:val="00491CD2"/>
    <w:rsid w:val="00491D2C"/>
    <w:rsid w:val="00493A5F"/>
    <w:rsid w:val="00493B95"/>
    <w:rsid w:val="0049418E"/>
    <w:rsid w:val="00494537"/>
    <w:rsid w:val="004958C8"/>
    <w:rsid w:val="004A1D01"/>
    <w:rsid w:val="004A1E26"/>
    <w:rsid w:val="004A212F"/>
    <w:rsid w:val="004A3104"/>
    <w:rsid w:val="004A44EB"/>
    <w:rsid w:val="004A4C07"/>
    <w:rsid w:val="004A5A45"/>
    <w:rsid w:val="004A5C70"/>
    <w:rsid w:val="004A7428"/>
    <w:rsid w:val="004A7EFA"/>
    <w:rsid w:val="004B0781"/>
    <w:rsid w:val="004B1877"/>
    <w:rsid w:val="004B2116"/>
    <w:rsid w:val="004B2DFD"/>
    <w:rsid w:val="004B30C2"/>
    <w:rsid w:val="004B4949"/>
    <w:rsid w:val="004B531A"/>
    <w:rsid w:val="004B589A"/>
    <w:rsid w:val="004B6CDD"/>
    <w:rsid w:val="004B6F23"/>
    <w:rsid w:val="004B7BDA"/>
    <w:rsid w:val="004B7DC2"/>
    <w:rsid w:val="004C0320"/>
    <w:rsid w:val="004C09E4"/>
    <w:rsid w:val="004C19EF"/>
    <w:rsid w:val="004C1E49"/>
    <w:rsid w:val="004C1F9C"/>
    <w:rsid w:val="004C1FBA"/>
    <w:rsid w:val="004C228C"/>
    <w:rsid w:val="004C2B34"/>
    <w:rsid w:val="004C2DEA"/>
    <w:rsid w:val="004C366B"/>
    <w:rsid w:val="004C3771"/>
    <w:rsid w:val="004C4F66"/>
    <w:rsid w:val="004C527E"/>
    <w:rsid w:val="004C5E36"/>
    <w:rsid w:val="004C6B3D"/>
    <w:rsid w:val="004D0A60"/>
    <w:rsid w:val="004D0D2B"/>
    <w:rsid w:val="004D360D"/>
    <w:rsid w:val="004D4A6A"/>
    <w:rsid w:val="004D70BA"/>
    <w:rsid w:val="004E0765"/>
    <w:rsid w:val="004E0D03"/>
    <w:rsid w:val="004E18ED"/>
    <w:rsid w:val="004E1A7F"/>
    <w:rsid w:val="004E24DF"/>
    <w:rsid w:val="004E3BB4"/>
    <w:rsid w:val="004E46AA"/>
    <w:rsid w:val="004E48B6"/>
    <w:rsid w:val="004E4E93"/>
    <w:rsid w:val="004E5BAF"/>
    <w:rsid w:val="004E6529"/>
    <w:rsid w:val="004F0C31"/>
    <w:rsid w:val="004F1055"/>
    <w:rsid w:val="004F1504"/>
    <w:rsid w:val="004F1B62"/>
    <w:rsid w:val="004F22F1"/>
    <w:rsid w:val="004F262E"/>
    <w:rsid w:val="004F3149"/>
    <w:rsid w:val="004F334A"/>
    <w:rsid w:val="004F4634"/>
    <w:rsid w:val="004F50C6"/>
    <w:rsid w:val="004F52FD"/>
    <w:rsid w:val="004F5429"/>
    <w:rsid w:val="004F59B8"/>
    <w:rsid w:val="004F6E8F"/>
    <w:rsid w:val="004F7249"/>
    <w:rsid w:val="00500204"/>
    <w:rsid w:val="00500524"/>
    <w:rsid w:val="00500940"/>
    <w:rsid w:val="00500CD4"/>
    <w:rsid w:val="005028A3"/>
    <w:rsid w:val="005031BF"/>
    <w:rsid w:val="005035A3"/>
    <w:rsid w:val="00504862"/>
    <w:rsid w:val="005054DD"/>
    <w:rsid w:val="0050673A"/>
    <w:rsid w:val="00507086"/>
    <w:rsid w:val="005072C0"/>
    <w:rsid w:val="0050784F"/>
    <w:rsid w:val="005079AE"/>
    <w:rsid w:val="00511555"/>
    <w:rsid w:val="00512CC8"/>
    <w:rsid w:val="00513114"/>
    <w:rsid w:val="005133C3"/>
    <w:rsid w:val="00513D5B"/>
    <w:rsid w:val="0051402C"/>
    <w:rsid w:val="00514547"/>
    <w:rsid w:val="00514B41"/>
    <w:rsid w:val="0051725D"/>
    <w:rsid w:val="0051765C"/>
    <w:rsid w:val="0052016F"/>
    <w:rsid w:val="00520894"/>
    <w:rsid w:val="005219D2"/>
    <w:rsid w:val="00523F08"/>
    <w:rsid w:val="00524DDD"/>
    <w:rsid w:val="00526EBB"/>
    <w:rsid w:val="00527073"/>
    <w:rsid w:val="00527465"/>
    <w:rsid w:val="00530357"/>
    <w:rsid w:val="00530994"/>
    <w:rsid w:val="005315B8"/>
    <w:rsid w:val="00534CBB"/>
    <w:rsid w:val="00535489"/>
    <w:rsid w:val="00535C30"/>
    <w:rsid w:val="00536338"/>
    <w:rsid w:val="00537893"/>
    <w:rsid w:val="00537B1C"/>
    <w:rsid w:val="0054008F"/>
    <w:rsid w:val="00541026"/>
    <w:rsid w:val="005416B7"/>
    <w:rsid w:val="00541799"/>
    <w:rsid w:val="005422CE"/>
    <w:rsid w:val="0054323D"/>
    <w:rsid w:val="00543384"/>
    <w:rsid w:val="00543677"/>
    <w:rsid w:val="005449F9"/>
    <w:rsid w:val="00545855"/>
    <w:rsid w:val="00546E3D"/>
    <w:rsid w:val="005506F8"/>
    <w:rsid w:val="00551BF2"/>
    <w:rsid w:val="00551EC8"/>
    <w:rsid w:val="0055248C"/>
    <w:rsid w:val="00553859"/>
    <w:rsid w:val="00553871"/>
    <w:rsid w:val="00553D5A"/>
    <w:rsid w:val="00554C4E"/>
    <w:rsid w:val="0055641B"/>
    <w:rsid w:val="0055685F"/>
    <w:rsid w:val="00556883"/>
    <w:rsid w:val="00556D78"/>
    <w:rsid w:val="00560200"/>
    <w:rsid w:val="00560DB3"/>
    <w:rsid w:val="0056101E"/>
    <w:rsid w:val="00561B1E"/>
    <w:rsid w:val="00561E3D"/>
    <w:rsid w:val="005621CE"/>
    <w:rsid w:val="0056350A"/>
    <w:rsid w:val="005651B8"/>
    <w:rsid w:val="00566466"/>
    <w:rsid w:val="00566AA8"/>
    <w:rsid w:val="00567410"/>
    <w:rsid w:val="0056750E"/>
    <w:rsid w:val="0056766A"/>
    <w:rsid w:val="00571538"/>
    <w:rsid w:val="00572D2E"/>
    <w:rsid w:val="00574684"/>
    <w:rsid w:val="00574975"/>
    <w:rsid w:val="00574E6B"/>
    <w:rsid w:val="00575EC2"/>
    <w:rsid w:val="00576909"/>
    <w:rsid w:val="00576A3C"/>
    <w:rsid w:val="00577838"/>
    <w:rsid w:val="00577ED5"/>
    <w:rsid w:val="00581B91"/>
    <w:rsid w:val="005825D6"/>
    <w:rsid w:val="005829F9"/>
    <w:rsid w:val="00583470"/>
    <w:rsid w:val="005836FD"/>
    <w:rsid w:val="00583865"/>
    <w:rsid w:val="00583A22"/>
    <w:rsid w:val="00583B0F"/>
    <w:rsid w:val="00584E09"/>
    <w:rsid w:val="00585025"/>
    <w:rsid w:val="00585801"/>
    <w:rsid w:val="00585974"/>
    <w:rsid w:val="0058627F"/>
    <w:rsid w:val="005933C1"/>
    <w:rsid w:val="0059369A"/>
    <w:rsid w:val="00593F1A"/>
    <w:rsid w:val="005941A6"/>
    <w:rsid w:val="00594F8D"/>
    <w:rsid w:val="005958DB"/>
    <w:rsid w:val="00597D24"/>
    <w:rsid w:val="00597EF4"/>
    <w:rsid w:val="005A01F6"/>
    <w:rsid w:val="005A07CE"/>
    <w:rsid w:val="005A131C"/>
    <w:rsid w:val="005A193C"/>
    <w:rsid w:val="005A1E5A"/>
    <w:rsid w:val="005A3678"/>
    <w:rsid w:val="005A396A"/>
    <w:rsid w:val="005A3B2B"/>
    <w:rsid w:val="005A4E35"/>
    <w:rsid w:val="005A4E7D"/>
    <w:rsid w:val="005A4F79"/>
    <w:rsid w:val="005A6417"/>
    <w:rsid w:val="005A6CD8"/>
    <w:rsid w:val="005A76EF"/>
    <w:rsid w:val="005B0547"/>
    <w:rsid w:val="005B0868"/>
    <w:rsid w:val="005B1254"/>
    <w:rsid w:val="005B2D17"/>
    <w:rsid w:val="005B3037"/>
    <w:rsid w:val="005B333D"/>
    <w:rsid w:val="005B38B5"/>
    <w:rsid w:val="005B6841"/>
    <w:rsid w:val="005C2212"/>
    <w:rsid w:val="005C475C"/>
    <w:rsid w:val="005C4C21"/>
    <w:rsid w:val="005C656B"/>
    <w:rsid w:val="005C6883"/>
    <w:rsid w:val="005C6D5B"/>
    <w:rsid w:val="005C7389"/>
    <w:rsid w:val="005D129C"/>
    <w:rsid w:val="005D3B1E"/>
    <w:rsid w:val="005D3DF4"/>
    <w:rsid w:val="005D4B12"/>
    <w:rsid w:val="005D5873"/>
    <w:rsid w:val="005D5A95"/>
    <w:rsid w:val="005D6BCF"/>
    <w:rsid w:val="005D6F84"/>
    <w:rsid w:val="005E073F"/>
    <w:rsid w:val="005E0A51"/>
    <w:rsid w:val="005E0B26"/>
    <w:rsid w:val="005E108B"/>
    <w:rsid w:val="005E108E"/>
    <w:rsid w:val="005E19BA"/>
    <w:rsid w:val="005E1FF4"/>
    <w:rsid w:val="005E2936"/>
    <w:rsid w:val="005E31F9"/>
    <w:rsid w:val="005E33B2"/>
    <w:rsid w:val="005E3627"/>
    <w:rsid w:val="005E3C36"/>
    <w:rsid w:val="005E438E"/>
    <w:rsid w:val="005E5408"/>
    <w:rsid w:val="005E5EF0"/>
    <w:rsid w:val="005E69D5"/>
    <w:rsid w:val="005E6FB1"/>
    <w:rsid w:val="005E702A"/>
    <w:rsid w:val="005E76E8"/>
    <w:rsid w:val="005E79BF"/>
    <w:rsid w:val="005E7B66"/>
    <w:rsid w:val="005F195A"/>
    <w:rsid w:val="005F25E8"/>
    <w:rsid w:val="005F300D"/>
    <w:rsid w:val="005F38C6"/>
    <w:rsid w:val="005F3A1A"/>
    <w:rsid w:val="005F3BA5"/>
    <w:rsid w:val="005F3C1E"/>
    <w:rsid w:val="005F3ED5"/>
    <w:rsid w:val="005F52FF"/>
    <w:rsid w:val="005F62D6"/>
    <w:rsid w:val="005F6B21"/>
    <w:rsid w:val="005F70AC"/>
    <w:rsid w:val="005F7F80"/>
    <w:rsid w:val="006001C0"/>
    <w:rsid w:val="00600310"/>
    <w:rsid w:val="00600376"/>
    <w:rsid w:val="0060100C"/>
    <w:rsid w:val="00601903"/>
    <w:rsid w:val="00601B7B"/>
    <w:rsid w:val="00601FDD"/>
    <w:rsid w:val="0060238B"/>
    <w:rsid w:val="006031CD"/>
    <w:rsid w:val="00604A68"/>
    <w:rsid w:val="00604E5F"/>
    <w:rsid w:val="006051A7"/>
    <w:rsid w:val="006059B6"/>
    <w:rsid w:val="0060625E"/>
    <w:rsid w:val="00606A25"/>
    <w:rsid w:val="006070F7"/>
    <w:rsid w:val="00607BF2"/>
    <w:rsid w:val="00610B9B"/>
    <w:rsid w:val="0061125E"/>
    <w:rsid w:val="006139CD"/>
    <w:rsid w:val="00614008"/>
    <w:rsid w:val="00615BA7"/>
    <w:rsid w:val="0061625A"/>
    <w:rsid w:val="00616940"/>
    <w:rsid w:val="00616A73"/>
    <w:rsid w:val="0061763D"/>
    <w:rsid w:val="00622F67"/>
    <w:rsid w:val="00623DFD"/>
    <w:rsid w:val="006242B5"/>
    <w:rsid w:val="00625367"/>
    <w:rsid w:val="0062683D"/>
    <w:rsid w:val="006311D9"/>
    <w:rsid w:val="006336DA"/>
    <w:rsid w:val="006345D0"/>
    <w:rsid w:val="00634AB7"/>
    <w:rsid w:val="0063794C"/>
    <w:rsid w:val="00640F60"/>
    <w:rsid w:val="00641555"/>
    <w:rsid w:val="00641684"/>
    <w:rsid w:val="00643C57"/>
    <w:rsid w:val="006445FF"/>
    <w:rsid w:val="0064488D"/>
    <w:rsid w:val="006449E2"/>
    <w:rsid w:val="006451FC"/>
    <w:rsid w:val="00645D4F"/>
    <w:rsid w:val="00650335"/>
    <w:rsid w:val="00650A8B"/>
    <w:rsid w:val="00650D02"/>
    <w:rsid w:val="00651328"/>
    <w:rsid w:val="00651A6E"/>
    <w:rsid w:val="006528A5"/>
    <w:rsid w:val="00653016"/>
    <w:rsid w:val="006531EC"/>
    <w:rsid w:val="00654857"/>
    <w:rsid w:val="00655CB5"/>
    <w:rsid w:val="00655FB7"/>
    <w:rsid w:val="00656158"/>
    <w:rsid w:val="00656718"/>
    <w:rsid w:val="00657E19"/>
    <w:rsid w:val="00660205"/>
    <w:rsid w:val="00660F9B"/>
    <w:rsid w:val="00661AA1"/>
    <w:rsid w:val="00663715"/>
    <w:rsid w:val="0066436F"/>
    <w:rsid w:val="00665A91"/>
    <w:rsid w:val="0066600F"/>
    <w:rsid w:val="0066622E"/>
    <w:rsid w:val="00666B6F"/>
    <w:rsid w:val="006671B1"/>
    <w:rsid w:val="00667700"/>
    <w:rsid w:val="0067047A"/>
    <w:rsid w:val="0067293B"/>
    <w:rsid w:val="00673D27"/>
    <w:rsid w:val="00675D99"/>
    <w:rsid w:val="00675E66"/>
    <w:rsid w:val="00676486"/>
    <w:rsid w:val="0067693F"/>
    <w:rsid w:val="00680F50"/>
    <w:rsid w:val="00680FE6"/>
    <w:rsid w:val="0068155E"/>
    <w:rsid w:val="0068303D"/>
    <w:rsid w:val="006835FA"/>
    <w:rsid w:val="00684B73"/>
    <w:rsid w:val="00684CA0"/>
    <w:rsid w:val="0068542F"/>
    <w:rsid w:val="006868D8"/>
    <w:rsid w:val="0068732E"/>
    <w:rsid w:val="0069101F"/>
    <w:rsid w:val="006917E8"/>
    <w:rsid w:val="006918C7"/>
    <w:rsid w:val="006921F3"/>
    <w:rsid w:val="0069247E"/>
    <w:rsid w:val="0069283E"/>
    <w:rsid w:val="0069290C"/>
    <w:rsid w:val="00692EFE"/>
    <w:rsid w:val="006930F0"/>
    <w:rsid w:val="006942DF"/>
    <w:rsid w:val="00694BE3"/>
    <w:rsid w:val="006955EB"/>
    <w:rsid w:val="006959E2"/>
    <w:rsid w:val="00695CAB"/>
    <w:rsid w:val="006970C6"/>
    <w:rsid w:val="006975D9"/>
    <w:rsid w:val="00697728"/>
    <w:rsid w:val="006A1399"/>
    <w:rsid w:val="006A29C4"/>
    <w:rsid w:val="006A38EE"/>
    <w:rsid w:val="006A3F65"/>
    <w:rsid w:val="006A5192"/>
    <w:rsid w:val="006A53AF"/>
    <w:rsid w:val="006A593A"/>
    <w:rsid w:val="006A7D24"/>
    <w:rsid w:val="006B0B0E"/>
    <w:rsid w:val="006B0FA8"/>
    <w:rsid w:val="006B1723"/>
    <w:rsid w:val="006B18DC"/>
    <w:rsid w:val="006B2211"/>
    <w:rsid w:val="006B361E"/>
    <w:rsid w:val="006B3C91"/>
    <w:rsid w:val="006B5879"/>
    <w:rsid w:val="006B709C"/>
    <w:rsid w:val="006B7241"/>
    <w:rsid w:val="006C00B9"/>
    <w:rsid w:val="006C0726"/>
    <w:rsid w:val="006C0E7E"/>
    <w:rsid w:val="006C21CD"/>
    <w:rsid w:val="006C3C3B"/>
    <w:rsid w:val="006C412F"/>
    <w:rsid w:val="006C4BA5"/>
    <w:rsid w:val="006C5093"/>
    <w:rsid w:val="006C59DF"/>
    <w:rsid w:val="006C60C5"/>
    <w:rsid w:val="006C69A9"/>
    <w:rsid w:val="006C6AF7"/>
    <w:rsid w:val="006C755C"/>
    <w:rsid w:val="006D09FA"/>
    <w:rsid w:val="006D1AA6"/>
    <w:rsid w:val="006D31D9"/>
    <w:rsid w:val="006E0CF1"/>
    <w:rsid w:val="006E1EDC"/>
    <w:rsid w:val="006E244C"/>
    <w:rsid w:val="006E55FD"/>
    <w:rsid w:val="006E5CF2"/>
    <w:rsid w:val="006E6BD9"/>
    <w:rsid w:val="006E6D40"/>
    <w:rsid w:val="006E713D"/>
    <w:rsid w:val="006F01A1"/>
    <w:rsid w:val="006F0B3D"/>
    <w:rsid w:val="006F2B58"/>
    <w:rsid w:val="006F3DCF"/>
    <w:rsid w:val="006F4487"/>
    <w:rsid w:val="006F46C2"/>
    <w:rsid w:val="006F4A36"/>
    <w:rsid w:val="006F5226"/>
    <w:rsid w:val="006F727B"/>
    <w:rsid w:val="006F73AE"/>
    <w:rsid w:val="006F7432"/>
    <w:rsid w:val="006F7B0E"/>
    <w:rsid w:val="00700B57"/>
    <w:rsid w:val="00702834"/>
    <w:rsid w:val="00702D47"/>
    <w:rsid w:val="00703141"/>
    <w:rsid w:val="007033AC"/>
    <w:rsid w:val="00710223"/>
    <w:rsid w:val="007104E8"/>
    <w:rsid w:val="007107E9"/>
    <w:rsid w:val="007110FB"/>
    <w:rsid w:val="0071165A"/>
    <w:rsid w:val="00711687"/>
    <w:rsid w:val="007119F7"/>
    <w:rsid w:val="00713822"/>
    <w:rsid w:val="00715574"/>
    <w:rsid w:val="00715A2A"/>
    <w:rsid w:val="00716600"/>
    <w:rsid w:val="00716936"/>
    <w:rsid w:val="00716A59"/>
    <w:rsid w:val="00716F37"/>
    <w:rsid w:val="00716F96"/>
    <w:rsid w:val="007178A1"/>
    <w:rsid w:val="00717B21"/>
    <w:rsid w:val="00717DD7"/>
    <w:rsid w:val="00717F77"/>
    <w:rsid w:val="00720B7B"/>
    <w:rsid w:val="00721D95"/>
    <w:rsid w:val="0072230F"/>
    <w:rsid w:val="0072267D"/>
    <w:rsid w:val="00723136"/>
    <w:rsid w:val="00724153"/>
    <w:rsid w:val="00724CAD"/>
    <w:rsid w:val="00725F11"/>
    <w:rsid w:val="007260D4"/>
    <w:rsid w:val="00726C48"/>
    <w:rsid w:val="00727A55"/>
    <w:rsid w:val="00732AD7"/>
    <w:rsid w:val="00732EF0"/>
    <w:rsid w:val="00733044"/>
    <w:rsid w:val="007333AC"/>
    <w:rsid w:val="00733534"/>
    <w:rsid w:val="00734720"/>
    <w:rsid w:val="00734A3E"/>
    <w:rsid w:val="007373B1"/>
    <w:rsid w:val="00737557"/>
    <w:rsid w:val="007400C2"/>
    <w:rsid w:val="00740179"/>
    <w:rsid w:val="007408F0"/>
    <w:rsid w:val="00740D9B"/>
    <w:rsid w:val="007412AC"/>
    <w:rsid w:val="0074140E"/>
    <w:rsid w:val="007417B5"/>
    <w:rsid w:val="0074387F"/>
    <w:rsid w:val="00747593"/>
    <w:rsid w:val="00752E7F"/>
    <w:rsid w:val="007533EC"/>
    <w:rsid w:val="00753E79"/>
    <w:rsid w:val="007549AD"/>
    <w:rsid w:val="00755947"/>
    <w:rsid w:val="00756221"/>
    <w:rsid w:val="00757F2E"/>
    <w:rsid w:val="00760788"/>
    <w:rsid w:val="00761109"/>
    <w:rsid w:val="00761BB2"/>
    <w:rsid w:val="00764248"/>
    <w:rsid w:val="007642BF"/>
    <w:rsid w:val="00765C45"/>
    <w:rsid w:val="00766F72"/>
    <w:rsid w:val="00771441"/>
    <w:rsid w:val="00771F95"/>
    <w:rsid w:val="00773401"/>
    <w:rsid w:val="00774543"/>
    <w:rsid w:val="0077508D"/>
    <w:rsid w:val="00776F4F"/>
    <w:rsid w:val="00777E9B"/>
    <w:rsid w:val="00780601"/>
    <w:rsid w:val="00780862"/>
    <w:rsid w:val="00782520"/>
    <w:rsid w:val="007830E0"/>
    <w:rsid w:val="00783A1F"/>
    <w:rsid w:val="00784C35"/>
    <w:rsid w:val="0078543D"/>
    <w:rsid w:val="007866B5"/>
    <w:rsid w:val="00786D7F"/>
    <w:rsid w:val="00787710"/>
    <w:rsid w:val="00790393"/>
    <w:rsid w:val="007912AB"/>
    <w:rsid w:val="00791592"/>
    <w:rsid w:val="00791968"/>
    <w:rsid w:val="00792758"/>
    <w:rsid w:val="00793073"/>
    <w:rsid w:val="0079310F"/>
    <w:rsid w:val="0079380D"/>
    <w:rsid w:val="0079454D"/>
    <w:rsid w:val="00795C4D"/>
    <w:rsid w:val="00796467"/>
    <w:rsid w:val="007A03FE"/>
    <w:rsid w:val="007A06FA"/>
    <w:rsid w:val="007A221D"/>
    <w:rsid w:val="007A3BF5"/>
    <w:rsid w:val="007A40E5"/>
    <w:rsid w:val="007A52D4"/>
    <w:rsid w:val="007A5803"/>
    <w:rsid w:val="007A61EF"/>
    <w:rsid w:val="007A6732"/>
    <w:rsid w:val="007A76F4"/>
    <w:rsid w:val="007B0403"/>
    <w:rsid w:val="007B04D0"/>
    <w:rsid w:val="007B0F9F"/>
    <w:rsid w:val="007B3444"/>
    <w:rsid w:val="007B46AC"/>
    <w:rsid w:val="007B4B2E"/>
    <w:rsid w:val="007B4F62"/>
    <w:rsid w:val="007B5989"/>
    <w:rsid w:val="007B745C"/>
    <w:rsid w:val="007B75C7"/>
    <w:rsid w:val="007C05DE"/>
    <w:rsid w:val="007C16B3"/>
    <w:rsid w:val="007C22BE"/>
    <w:rsid w:val="007C32B3"/>
    <w:rsid w:val="007C343B"/>
    <w:rsid w:val="007C35E3"/>
    <w:rsid w:val="007C3EB3"/>
    <w:rsid w:val="007C4C80"/>
    <w:rsid w:val="007C5653"/>
    <w:rsid w:val="007C5683"/>
    <w:rsid w:val="007C56A1"/>
    <w:rsid w:val="007C6239"/>
    <w:rsid w:val="007C70CA"/>
    <w:rsid w:val="007C776B"/>
    <w:rsid w:val="007C7A5C"/>
    <w:rsid w:val="007D0CE4"/>
    <w:rsid w:val="007D1D68"/>
    <w:rsid w:val="007D3BA8"/>
    <w:rsid w:val="007D4666"/>
    <w:rsid w:val="007D57F9"/>
    <w:rsid w:val="007D752C"/>
    <w:rsid w:val="007D77AC"/>
    <w:rsid w:val="007D7FF4"/>
    <w:rsid w:val="007E1322"/>
    <w:rsid w:val="007E1F25"/>
    <w:rsid w:val="007E347C"/>
    <w:rsid w:val="007E3855"/>
    <w:rsid w:val="007E5853"/>
    <w:rsid w:val="007E5DB8"/>
    <w:rsid w:val="007E720A"/>
    <w:rsid w:val="007E7358"/>
    <w:rsid w:val="007F0553"/>
    <w:rsid w:val="007F0B17"/>
    <w:rsid w:val="007F22CA"/>
    <w:rsid w:val="007F2806"/>
    <w:rsid w:val="007F39F1"/>
    <w:rsid w:val="007F3AC1"/>
    <w:rsid w:val="007F3CF6"/>
    <w:rsid w:val="007F3FEB"/>
    <w:rsid w:val="007F42F1"/>
    <w:rsid w:val="007F473A"/>
    <w:rsid w:val="007F4F32"/>
    <w:rsid w:val="007F5944"/>
    <w:rsid w:val="007F7686"/>
    <w:rsid w:val="007F7FA8"/>
    <w:rsid w:val="007F7FF8"/>
    <w:rsid w:val="00800702"/>
    <w:rsid w:val="008033A9"/>
    <w:rsid w:val="0080423E"/>
    <w:rsid w:val="008057FF"/>
    <w:rsid w:val="00805BBB"/>
    <w:rsid w:val="0080634C"/>
    <w:rsid w:val="00806BEA"/>
    <w:rsid w:val="00807F8E"/>
    <w:rsid w:val="00811065"/>
    <w:rsid w:val="00811475"/>
    <w:rsid w:val="008129C6"/>
    <w:rsid w:val="00813681"/>
    <w:rsid w:val="00813B13"/>
    <w:rsid w:val="008154A5"/>
    <w:rsid w:val="008168B7"/>
    <w:rsid w:val="00820CBD"/>
    <w:rsid w:val="00821B86"/>
    <w:rsid w:val="00822963"/>
    <w:rsid w:val="00822ACE"/>
    <w:rsid w:val="00822D19"/>
    <w:rsid w:val="00822D58"/>
    <w:rsid w:val="00822F0A"/>
    <w:rsid w:val="008246FA"/>
    <w:rsid w:val="00826E49"/>
    <w:rsid w:val="00830310"/>
    <w:rsid w:val="008310B3"/>
    <w:rsid w:val="00833443"/>
    <w:rsid w:val="008338A2"/>
    <w:rsid w:val="008346BA"/>
    <w:rsid w:val="00834AC8"/>
    <w:rsid w:val="00835EAD"/>
    <w:rsid w:val="00836CFB"/>
    <w:rsid w:val="00840785"/>
    <w:rsid w:val="0084160D"/>
    <w:rsid w:val="00841BEA"/>
    <w:rsid w:val="008421BA"/>
    <w:rsid w:val="008426A3"/>
    <w:rsid w:val="00842CEB"/>
    <w:rsid w:val="00844643"/>
    <w:rsid w:val="008458E3"/>
    <w:rsid w:val="00845CFD"/>
    <w:rsid w:val="00846C18"/>
    <w:rsid w:val="00846F1C"/>
    <w:rsid w:val="0084713C"/>
    <w:rsid w:val="00847206"/>
    <w:rsid w:val="00847A14"/>
    <w:rsid w:val="0085030C"/>
    <w:rsid w:val="008514CE"/>
    <w:rsid w:val="00852D34"/>
    <w:rsid w:val="00853C04"/>
    <w:rsid w:val="008544F5"/>
    <w:rsid w:val="00854680"/>
    <w:rsid w:val="0085493C"/>
    <w:rsid w:val="00854C25"/>
    <w:rsid w:val="00854E60"/>
    <w:rsid w:val="00856579"/>
    <w:rsid w:val="00857BFD"/>
    <w:rsid w:val="00860260"/>
    <w:rsid w:val="00860521"/>
    <w:rsid w:val="00860D01"/>
    <w:rsid w:val="0086133D"/>
    <w:rsid w:val="0086134E"/>
    <w:rsid w:val="0086156A"/>
    <w:rsid w:val="00862904"/>
    <w:rsid w:val="008635B9"/>
    <w:rsid w:val="00864BBD"/>
    <w:rsid w:val="008650D4"/>
    <w:rsid w:val="00865758"/>
    <w:rsid w:val="0086580C"/>
    <w:rsid w:val="00867F5D"/>
    <w:rsid w:val="00870B0C"/>
    <w:rsid w:val="00871D4D"/>
    <w:rsid w:val="00871F70"/>
    <w:rsid w:val="0087278C"/>
    <w:rsid w:val="00873754"/>
    <w:rsid w:val="00873FC9"/>
    <w:rsid w:val="0087488B"/>
    <w:rsid w:val="008752C9"/>
    <w:rsid w:val="0087551E"/>
    <w:rsid w:val="008771A5"/>
    <w:rsid w:val="008772C6"/>
    <w:rsid w:val="00877E09"/>
    <w:rsid w:val="00880FE6"/>
    <w:rsid w:val="008811ED"/>
    <w:rsid w:val="00882A4D"/>
    <w:rsid w:val="00885074"/>
    <w:rsid w:val="008852D5"/>
    <w:rsid w:val="0088702E"/>
    <w:rsid w:val="008871DE"/>
    <w:rsid w:val="00890458"/>
    <w:rsid w:val="008908E6"/>
    <w:rsid w:val="00891829"/>
    <w:rsid w:val="00891D36"/>
    <w:rsid w:val="00891F35"/>
    <w:rsid w:val="008946E2"/>
    <w:rsid w:val="00895962"/>
    <w:rsid w:val="00895B40"/>
    <w:rsid w:val="00895E9F"/>
    <w:rsid w:val="0089673A"/>
    <w:rsid w:val="00896B55"/>
    <w:rsid w:val="008A0296"/>
    <w:rsid w:val="008A07E9"/>
    <w:rsid w:val="008A0BB2"/>
    <w:rsid w:val="008A14C2"/>
    <w:rsid w:val="008A1A90"/>
    <w:rsid w:val="008A3F59"/>
    <w:rsid w:val="008A4658"/>
    <w:rsid w:val="008A491D"/>
    <w:rsid w:val="008A4AAC"/>
    <w:rsid w:val="008A7B2E"/>
    <w:rsid w:val="008B019B"/>
    <w:rsid w:val="008B0890"/>
    <w:rsid w:val="008B11E8"/>
    <w:rsid w:val="008B280C"/>
    <w:rsid w:val="008B3423"/>
    <w:rsid w:val="008B369F"/>
    <w:rsid w:val="008B5769"/>
    <w:rsid w:val="008B5832"/>
    <w:rsid w:val="008B6BEE"/>
    <w:rsid w:val="008B6D79"/>
    <w:rsid w:val="008B6E9F"/>
    <w:rsid w:val="008B7030"/>
    <w:rsid w:val="008B7A12"/>
    <w:rsid w:val="008C0414"/>
    <w:rsid w:val="008C2009"/>
    <w:rsid w:val="008C3330"/>
    <w:rsid w:val="008C36B2"/>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20C2"/>
    <w:rsid w:val="008E414E"/>
    <w:rsid w:val="008E4A16"/>
    <w:rsid w:val="008E4C99"/>
    <w:rsid w:val="008E4E33"/>
    <w:rsid w:val="008E674B"/>
    <w:rsid w:val="008E6D15"/>
    <w:rsid w:val="008F01E6"/>
    <w:rsid w:val="008F07D7"/>
    <w:rsid w:val="008F1AEE"/>
    <w:rsid w:val="008F29FE"/>
    <w:rsid w:val="008F3858"/>
    <w:rsid w:val="008F38ED"/>
    <w:rsid w:val="008F3D4D"/>
    <w:rsid w:val="008F414A"/>
    <w:rsid w:val="008F43E8"/>
    <w:rsid w:val="008F459F"/>
    <w:rsid w:val="008F60B9"/>
    <w:rsid w:val="008F6264"/>
    <w:rsid w:val="008F63E5"/>
    <w:rsid w:val="008F67DB"/>
    <w:rsid w:val="008F7400"/>
    <w:rsid w:val="009009C3"/>
    <w:rsid w:val="00901955"/>
    <w:rsid w:val="00902654"/>
    <w:rsid w:val="00902981"/>
    <w:rsid w:val="00902F94"/>
    <w:rsid w:val="00902FFA"/>
    <w:rsid w:val="00903797"/>
    <w:rsid w:val="00903D7B"/>
    <w:rsid w:val="00903FF2"/>
    <w:rsid w:val="00904765"/>
    <w:rsid w:val="0090533E"/>
    <w:rsid w:val="00907B04"/>
    <w:rsid w:val="00911D79"/>
    <w:rsid w:val="00912549"/>
    <w:rsid w:val="00913113"/>
    <w:rsid w:val="00913193"/>
    <w:rsid w:val="0091446C"/>
    <w:rsid w:val="0091546F"/>
    <w:rsid w:val="0091625B"/>
    <w:rsid w:val="00917E34"/>
    <w:rsid w:val="009205FA"/>
    <w:rsid w:val="0092148C"/>
    <w:rsid w:val="00921625"/>
    <w:rsid w:val="0092228F"/>
    <w:rsid w:val="0092277E"/>
    <w:rsid w:val="009227FD"/>
    <w:rsid w:val="00922A0F"/>
    <w:rsid w:val="0092386B"/>
    <w:rsid w:val="009240F9"/>
    <w:rsid w:val="0092517D"/>
    <w:rsid w:val="00927349"/>
    <w:rsid w:val="0092737A"/>
    <w:rsid w:val="0092741A"/>
    <w:rsid w:val="00927755"/>
    <w:rsid w:val="009301CE"/>
    <w:rsid w:val="00930F5D"/>
    <w:rsid w:val="00931133"/>
    <w:rsid w:val="00931280"/>
    <w:rsid w:val="009322C0"/>
    <w:rsid w:val="009324B9"/>
    <w:rsid w:val="0093317B"/>
    <w:rsid w:val="00933216"/>
    <w:rsid w:val="00934942"/>
    <w:rsid w:val="00934FC0"/>
    <w:rsid w:val="00941E75"/>
    <w:rsid w:val="00942DC7"/>
    <w:rsid w:val="00943301"/>
    <w:rsid w:val="0094362C"/>
    <w:rsid w:val="0094369E"/>
    <w:rsid w:val="009439CD"/>
    <w:rsid w:val="009446CB"/>
    <w:rsid w:val="0094485D"/>
    <w:rsid w:val="009448CE"/>
    <w:rsid w:val="00944972"/>
    <w:rsid w:val="00944A9E"/>
    <w:rsid w:val="00944BD3"/>
    <w:rsid w:val="00944DD7"/>
    <w:rsid w:val="00945242"/>
    <w:rsid w:val="009454AA"/>
    <w:rsid w:val="009509C1"/>
    <w:rsid w:val="009523CD"/>
    <w:rsid w:val="00952DB4"/>
    <w:rsid w:val="0095312C"/>
    <w:rsid w:val="00953B9C"/>
    <w:rsid w:val="009546BE"/>
    <w:rsid w:val="00954EBA"/>
    <w:rsid w:val="00956525"/>
    <w:rsid w:val="0095653B"/>
    <w:rsid w:val="00956B41"/>
    <w:rsid w:val="00956C8C"/>
    <w:rsid w:val="0095734C"/>
    <w:rsid w:val="009575B0"/>
    <w:rsid w:val="00957D65"/>
    <w:rsid w:val="009608DA"/>
    <w:rsid w:val="009612AF"/>
    <w:rsid w:val="00961AB8"/>
    <w:rsid w:val="0096232E"/>
    <w:rsid w:val="0096269D"/>
    <w:rsid w:val="00964050"/>
    <w:rsid w:val="00964347"/>
    <w:rsid w:val="00964627"/>
    <w:rsid w:val="00965277"/>
    <w:rsid w:val="00966FFE"/>
    <w:rsid w:val="00967BF6"/>
    <w:rsid w:val="00967C11"/>
    <w:rsid w:val="00967ED9"/>
    <w:rsid w:val="00970688"/>
    <w:rsid w:val="009709C5"/>
    <w:rsid w:val="00970F08"/>
    <w:rsid w:val="00971186"/>
    <w:rsid w:val="00972786"/>
    <w:rsid w:val="00973CF6"/>
    <w:rsid w:val="00974F1C"/>
    <w:rsid w:val="00975CD6"/>
    <w:rsid w:val="00976867"/>
    <w:rsid w:val="009772EE"/>
    <w:rsid w:val="0097733A"/>
    <w:rsid w:val="009774C4"/>
    <w:rsid w:val="00977B10"/>
    <w:rsid w:val="00977D99"/>
    <w:rsid w:val="00983238"/>
    <w:rsid w:val="009864B6"/>
    <w:rsid w:val="00986821"/>
    <w:rsid w:val="00990C57"/>
    <w:rsid w:val="0099149A"/>
    <w:rsid w:val="00991D8E"/>
    <w:rsid w:val="00993733"/>
    <w:rsid w:val="0099384E"/>
    <w:rsid w:val="00993B48"/>
    <w:rsid w:val="00994A02"/>
    <w:rsid w:val="0099520D"/>
    <w:rsid w:val="00996152"/>
    <w:rsid w:val="00996528"/>
    <w:rsid w:val="00996598"/>
    <w:rsid w:val="00996B72"/>
    <w:rsid w:val="00996CC1"/>
    <w:rsid w:val="0099714F"/>
    <w:rsid w:val="0099749E"/>
    <w:rsid w:val="00997574"/>
    <w:rsid w:val="00997694"/>
    <w:rsid w:val="00997A20"/>
    <w:rsid w:val="009A041C"/>
    <w:rsid w:val="009A0AD0"/>
    <w:rsid w:val="009A4344"/>
    <w:rsid w:val="009A479E"/>
    <w:rsid w:val="009A4B27"/>
    <w:rsid w:val="009A56D7"/>
    <w:rsid w:val="009A5BA9"/>
    <w:rsid w:val="009A735B"/>
    <w:rsid w:val="009A758A"/>
    <w:rsid w:val="009A7C5E"/>
    <w:rsid w:val="009A7C74"/>
    <w:rsid w:val="009A7EE9"/>
    <w:rsid w:val="009B0561"/>
    <w:rsid w:val="009B0737"/>
    <w:rsid w:val="009B083E"/>
    <w:rsid w:val="009B32E4"/>
    <w:rsid w:val="009B3560"/>
    <w:rsid w:val="009B3CDA"/>
    <w:rsid w:val="009B52A0"/>
    <w:rsid w:val="009B73D5"/>
    <w:rsid w:val="009B7F27"/>
    <w:rsid w:val="009C27B3"/>
    <w:rsid w:val="009C39CD"/>
    <w:rsid w:val="009C5154"/>
    <w:rsid w:val="009C5764"/>
    <w:rsid w:val="009C59C0"/>
    <w:rsid w:val="009C61C4"/>
    <w:rsid w:val="009D09D6"/>
    <w:rsid w:val="009D30D7"/>
    <w:rsid w:val="009D4631"/>
    <w:rsid w:val="009D58B3"/>
    <w:rsid w:val="009D70B7"/>
    <w:rsid w:val="009D7153"/>
    <w:rsid w:val="009D75A3"/>
    <w:rsid w:val="009D76D7"/>
    <w:rsid w:val="009E0384"/>
    <w:rsid w:val="009E0A3F"/>
    <w:rsid w:val="009E0C9D"/>
    <w:rsid w:val="009E11F3"/>
    <w:rsid w:val="009E1C41"/>
    <w:rsid w:val="009E28F7"/>
    <w:rsid w:val="009E3002"/>
    <w:rsid w:val="009E3483"/>
    <w:rsid w:val="009E43F0"/>
    <w:rsid w:val="009E53A2"/>
    <w:rsid w:val="009E584C"/>
    <w:rsid w:val="009E76BC"/>
    <w:rsid w:val="009E7F03"/>
    <w:rsid w:val="009F06C9"/>
    <w:rsid w:val="009F0C09"/>
    <w:rsid w:val="009F1673"/>
    <w:rsid w:val="009F20DE"/>
    <w:rsid w:val="009F266C"/>
    <w:rsid w:val="009F2C74"/>
    <w:rsid w:val="009F3278"/>
    <w:rsid w:val="009F4C28"/>
    <w:rsid w:val="009F5668"/>
    <w:rsid w:val="009F6A5A"/>
    <w:rsid w:val="009F6FA8"/>
    <w:rsid w:val="009F71C2"/>
    <w:rsid w:val="00A005D9"/>
    <w:rsid w:val="00A00E0A"/>
    <w:rsid w:val="00A025FD"/>
    <w:rsid w:val="00A04BF1"/>
    <w:rsid w:val="00A0645F"/>
    <w:rsid w:val="00A066A4"/>
    <w:rsid w:val="00A06987"/>
    <w:rsid w:val="00A06E48"/>
    <w:rsid w:val="00A109EF"/>
    <w:rsid w:val="00A10FE5"/>
    <w:rsid w:val="00A11A3F"/>
    <w:rsid w:val="00A11ACD"/>
    <w:rsid w:val="00A12383"/>
    <w:rsid w:val="00A13C39"/>
    <w:rsid w:val="00A15B9B"/>
    <w:rsid w:val="00A172EC"/>
    <w:rsid w:val="00A1756D"/>
    <w:rsid w:val="00A20E1B"/>
    <w:rsid w:val="00A20FD1"/>
    <w:rsid w:val="00A2202A"/>
    <w:rsid w:val="00A22F3C"/>
    <w:rsid w:val="00A23520"/>
    <w:rsid w:val="00A25D6A"/>
    <w:rsid w:val="00A26F26"/>
    <w:rsid w:val="00A27640"/>
    <w:rsid w:val="00A27A83"/>
    <w:rsid w:val="00A27EBA"/>
    <w:rsid w:val="00A30B04"/>
    <w:rsid w:val="00A30B66"/>
    <w:rsid w:val="00A313C6"/>
    <w:rsid w:val="00A35350"/>
    <w:rsid w:val="00A36319"/>
    <w:rsid w:val="00A40346"/>
    <w:rsid w:val="00A40639"/>
    <w:rsid w:val="00A407D4"/>
    <w:rsid w:val="00A40A64"/>
    <w:rsid w:val="00A41211"/>
    <w:rsid w:val="00A42F9F"/>
    <w:rsid w:val="00A43685"/>
    <w:rsid w:val="00A436E0"/>
    <w:rsid w:val="00A43F14"/>
    <w:rsid w:val="00A44643"/>
    <w:rsid w:val="00A449B8"/>
    <w:rsid w:val="00A45FE8"/>
    <w:rsid w:val="00A504D8"/>
    <w:rsid w:val="00A50514"/>
    <w:rsid w:val="00A5092F"/>
    <w:rsid w:val="00A515F4"/>
    <w:rsid w:val="00A51DC7"/>
    <w:rsid w:val="00A51E65"/>
    <w:rsid w:val="00A524FF"/>
    <w:rsid w:val="00A52738"/>
    <w:rsid w:val="00A52E20"/>
    <w:rsid w:val="00A5300E"/>
    <w:rsid w:val="00A535F4"/>
    <w:rsid w:val="00A562C1"/>
    <w:rsid w:val="00A566B0"/>
    <w:rsid w:val="00A570CD"/>
    <w:rsid w:val="00A61351"/>
    <w:rsid w:val="00A61D95"/>
    <w:rsid w:val="00A64104"/>
    <w:rsid w:val="00A64A09"/>
    <w:rsid w:val="00A64D82"/>
    <w:rsid w:val="00A64FF2"/>
    <w:rsid w:val="00A66033"/>
    <w:rsid w:val="00A666D7"/>
    <w:rsid w:val="00A66933"/>
    <w:rsid w:val="00A66B3C"/>
    <w:rsid w:val="00A67D91"/>
    <w:rsid w:val="00A7120D"/>
    <w:rsid w:val="00A72060"/>
    <w:rsid w:val="00A729DE"/>
    <w:rsid w:val="00A7362E"/>
    <w:rsid w:val="00A73EDC"/>
    <w:rsid w:val="00A77AE4"/>
    <w:rsid w:val="00A81A9F"/>
    <w:rsid w:val="00A82838"/>
    <w:rsid w:val="00A828DD"/>
    <w:rsid w:val="00A83924"/>
    <w:rsid w:val="00A83C44"/>
    <w:rsid w:val="00A83EAF"/>
    <w:rsid w:val="00A851EB"/>
    <w:rsid w:val="00A85AEA"/>
    <w:rsid w:val="00A85D08"/>
    <w:rsid w:val="00A85F85"/>
    <w:rsid w:val="00A86ACF"/>
    <w:rsid w:val="00A86C2E"/>
    <w:rsid w:val="00A92040"/>
    <w:rsid w:val="00A9553B"/>
    <w:rsid w:val="00A96242"/>
    <w:rsid w:val="00AA1B34"/>
    <w:rsid w:val="00AA2896"/>
    <w:rsid w:val="00AA2AAC"/>
    <w:rsid w:val="00AA2F70"/>
    <w:rsid w:val="00AA3282"/>
    <w:rsid w:val="00AA5846"/>
    <w:rsid w:val="00AA5FB6"/>
    <w:rsid w:val="00AA7107"/>
    <w:rsid w:val="00AA7D06"/>
    <w:rsid w:val="00AA7DDE"/>
    <w:rsid w:val="00AB0398"/>
    <w:rsid w:val="00AB15EE"/>
    <w:rsid w:val="00AB23C7"/>
    <w:rsid w:val="00AB26CE"/>
    <w:rsid w:val="00AB2B48"/>
    <w:rsid w:val="00AB39B0"/>
    <w:rsid w:val="00AB4D32"/>
    <w:rsid w:val="00AB7451"/>
    <w:rsid w:val="00AB7CE3"/>
    <w:rsid w:val="00AB7D47"/>
    <w:rsid w:val="00AC0F92"/>
    <w:rsid w:val="00AC11A6"/>
    <w:rsid w:val="00AC188E"/>
    <w:rsid w:val="00AC263E"/>
    <w:rsid w:val="00AC29B1"/>
    <w:rsid w:val="00AC2A6B"/>
    <w:rsid w:val="00AC581B"/>
    <w:rsid w:val="00AC651A"/>
    <w:rsid w:val="00AC6795"/>
    <w:rsid w:val="00AC67B9"/>
    <w:rsid w:val="00AC7272"/>
    <w:rsid w:val="00AD0555"/>
    <w:rsid w:val="00AD089F"/>
    <w:rsid w:val="00AD0CF1"/>
    <w:rsid w:val="00AD10BA"/>
    <w:rsid w:val="00AD2612"/>
    <w:rsid w:val="00AD3557"/>
    <w:rsid w:val="00AD4FF9"/>
    <w:rsid w:val="00AD552B"/>
    <w:rsid w:val="00AD79AA"/>
    <w:rsid w:val="00AD7C8A"/>
    <w:rsid w:val="00AE0334"/>
    <w:rsid w:val="00AE0835"/>
    <w:rsid w:val="00AE2562"/>
    <w:rsid w:val="00AE3CCC"/>
    <w:rsid w:val="00AE3FE4"/>
    <w:rsid w:val="00AE42B5"/>
    <w:rsid w:val="00AE5B8E"/>
    <w:rsid w:val="00AE7855"/>
    <w:rsid w:val="00AF2001"/>
    <w:rsid w:val="00AF2564"/>
    <w:rsid w:val="00AF3CFF"/>
    <w:rsid w:val="00AF4045"/>
    <w:rsid w:val="00AF5696"/>
    <w:rsid w:val="00AF6474"/>
    <w:rsid w:val="00AF712B"/>
    <w:rsid w:val="00B005E6"/>
    <w:rsid w:val="00B01199"/>
    <w:rsid w:val="00B01EB6"/>
    <w:rsid w:val="00B02614"/>
    <w:rsid w:val="00B0278B"/>
    <w:rsid w:val="00B027AA"/>
    <w:rsid w:val="00B032EC"/>
    <w:rsid w:val="00B03ECA"/>
    <w:rsid w:val="00B04761"/>
    <w:rsid w:val="00B04A90"/>
    <w:rsid w:val="00B05935"/>
    <w:rsid w:val="00B11073"/>
    <w:rsid w:val="00B111A9"/>
    <w:rsid w:val="00B11208"/>
    <w:rsid w:val="00B112A3"/>
    <w:rsid w:val="00B1244B"/>
    <w:rsid w:val="00B12A0A"/>
    <w:rsid w:val="00B131D6"/>
    <w:rsid w:val="00B13FBC"/>
    <w:rsid w:val="00B149EC"/>
    <w:rsid w:val="00B14A2B"/>
    <w:rsid w:val="00B15380"/>
    <w:rsid w:val="00B15C09"/>
    <w:rsid w:val="00B2236D"/>
    <w:rsid w:val="00B22BE0"/>
    <w:rsid w:val="00B25DE6"/>
    <w:rsid w:val="00B267F0"/>
    <w:rsid w:val="00B27BCC"/>
    <w:rsid w:val="00B30B2B"/>
    <w:rsid w:val="00B31680"/>
    <w:rsid w:val="00B31B23"/>
    <w:rsid w:val="00B32A4C"/>
    <w:rsid w:val="00B3462E"/>
    <w:rsid w:val="00B347F3"/>
    <w:rsid w:val="00B3542E"/>
    <w:rsid w:val="00B36671"/>
    <w:rsid w:val="00B37EBC"/>
    <w:rsid w:val="00B409B6"/>
    <w:rsid w:val="00B45384"/>
    <w:rsid w:val="00B45921"/>
    <w:rsid w:val="00B45D3A"/>
    <w:rsid w:val="00B4669D"/>
    <w:rsid w:val="00B469DD"/>
    <w:rsid w:val="00B46CB9"/>
    <w:rsid w:val="00B5122F"/>
    <w:rsid w:val="00B51759"/>
    <w:rsid w:val="00B519B3"/>
    <w:rsid w:val="00B51E6F"/>
    <w:rsid w:val="00B51E98"/>
    <w:rsid w:val="00B533E9"/>
    <w:rsid w:val="00B5372A"/>
    <w:rsid w:val="00B537AF"/>
    <w:rsid w:val="00B54343"/>
    <w:rsid w:val="00B54900"/>
    <w:rsid w:val="00B5568B"/>
    <w:rsid w:val="00B5798C"/>
    <w:rsid w:val="00B604A1"/>
    <w:rsid w:val="00B60BCC"/>
    <w:rsid w:val="00B60C0E"/>
    <w:rsid w:val="00B60D26"/>
    <w:rsid w:val="00B61182"/>
    <w:rsid w:val="00B626EB"/>
    <w:rsid w:val="00B6310B"/>
    <w:rsid w:val="00B633F9"/>
    <w:rsid w:val="00B6478B"/>
    <w:rsid w:val="00B6562D"/>
    <w:rsid w:val="00B728CD"/>
    <w:rsid w:val="00B72ED2"/>
    <w:rsid w:val="00B73255"/>
    <w:rsid w:val="00B742A5"/>
    <w:rsid w:val="00B74397"/>
    <w:rsid w:val="00B7767D"/>
    <w:rsid w:val="00B77AAD"/>
    <w:rsid w:val="00B77CB7"/>
    <w:rsid w:val="00B80109"/>
    <w:rsid w:val="00B80466"/>
    <w:rsid w:val="00B81098"/>
    <w:rsid w:val="00B81703"/>
    <w:rsid w:val="00B81D10"/>
    <w:rsid w:val="00B81F5C"/>
    <w:rsid w:val="00B84631"/>
    <w:rsid w:val="00B85053"/>
    <w:rsid w:val="00B8559F"/>
    <w:rsid w:val="00B85AB6"/>
    <w:rsid w:val="00B8708E"/>
    <w:rsid w:val="00B87D86"/>
    <w:rsid w:val="00B902FB"/>
    <w:rsid w:val="00B909D3"/>
    <w:rsid w:val="00B91A2E"/>
    <w:rsid w:val="00B925DA"/>
    <w:rsid w:val="00B92E48"/>
    <w:rsid w:val="00B938D8"/>
    <w:rsid w:val="00B93C69"/>
    <w:rsid w:val="00B942BA"/>
    <w:rsid w:val="00B95843"/>
    <w:rsid w:val="00B96B0A"/>
    <w:rsid w:val="00BA1216"/>
    <w:rsid w:val="00BA1418"/>
    <w:rsid w:val="00BA1B4B"/>
    <w:rsid w:val="00BA238E"/>
    <w:rsid w:val="00BA35FC"/>
    <w:rsid w:val="00BA406F"/>
    <w:rsid w:val="00BA4F76"/>
    <w:rsid w:val="00BA59E9"/>
    <w:rsid w:val="00BA5E5A"/>
    <w:rsid w:val="00BA7D6D"/>
    <w:rsid w:val="00BB0293"/>
    <w:rsid w:val="00BB0A0C"/>
    <w:rsid w:val="00BB2920"/>
    <w:rsid w:val="00BB3CD2"/>
    <w:rsid w:val="00BB6445"/>
    <w:rsid w:val="00BB67B0"/>
    <w:rsid w:val="00BB69BC"/>
    <w:rsid w:val="00BB6AA5"/>
    <w:rsid w:val="00BB6C9C"/>
    <w:rsid w:val="00BC098E"/>
    <w:rsid w:val="00BC1AFE"/>
    <w:rsid w:val="00BC3498"/>
    <w:rsid w:val="00BC3EB4"/>
    <w:rsid w:val="00BC52F5"/>
    <w:rsid w:val="00BC57C6"/>
    <w:rsid w:val="00BC72B7"/>
    <w:rsid w:val="00BC7867"/>
    <w:rsid w:val="00BD0061"/>
    <w:rsid w:val="00BD0968"/>
    <w:rsid w:val="00BD12C3"/>
    <w:rsid w:val="00BD38F0"/>
    <w:rsid w:val="00BD3C28"/>
    <w:rsid w:val="00BD3EA8"/>
    <w:rsid w:val="00BD53B2"/>
    <w:rsid w:val="00BD5621"/>
    <w:rsid w:val="00BD5774"/>
    <w:rsid w:val="00BD6494"/>
    <w:rsid w:val="00BD64C6"/>
    <w:rsid w:val="00BD764F"/>
    <w:rsid w:val="00BD7DC4"/>
    <w:rsid w:val="00BE0875"/>
    <w:rsid w:val="00BE2ACA"/>
    <w:rsid w:val="00BE3BE7"/>
    <w:rsid w:val="00BE5BA2"/>
    <w:rsid w:val="00BF0022"/>
    <w:rsid w:val="00BF00B0"/>
    <w:rsid w:val="00BF0AC2"/>
    <w:rsid w:val="00BF40B4"/>
    <w:rsid w:val="00BF57C1"/>
    <w:rsid w:val="00BF6139"/>
    <w:rsid w:val="00BF7D99"/>
    <w:rsid w:val="00BF7EF8"/>
    <w:rsid w:val="00C004F9"/>
    <w:rsid w:val="00C023B2"/>
    <w:rsid w:val="00C023E1"/>
    <w:rsid w:val="00C0260D"/>
    <w:rsid w:val="00C02A9A"/>
    <w:rsid w:val="00C02D3D"/>
    <w:rsid w:val="00C03DE1"/>
    <w:rsid w:val="00C047A7"/>
    <w:rsid w:val="00C047BF"/>
    <w:rsid w:val="00C050D4"/>
    <w:rsid w:val="00C0539E"/>
    <w:rsid w:val="00C069D4"/>
    <w:rsid w:val="00C06F9E"/>
    <w:rsid w:val="00C06FF7"/>
    <w:rsid w:val="00C07E1D"/>
    <w:rsid w:val="00C1084A"/>
    <w:rsid w:val="00C11A62"/>
    <w:rsid w:val="00C11B4A"/>
    <w:rsid w:val="00C13461"/>
    <w:rsid w:val="00C1358F"/>
    <w:rsid w:val="00C1394B"/>
    <w:rsid w:val="00C144A2"/>
    <w:rsid w:val="00C148EA"/>
    <w:rsid w:val="00C14C21"/>
    <w:rsid w:val="00C15390"/>
    <w:rsid w:val="00C155C6"/>
    <w:rsid w:val="00C15EB2"/>
    <w:rsid w:val="00C16043"/>
    <w:rsid w:val="00C161A6"/>
    <w:rsid w:val="00C20E45"/>
    <w:rsid w:val="00C2166F"/>
    <w:rsid w:val="00C259BF"/>
    <w:rsid w:val="00C27917"/>
    <w:rsid w:val="00C303D6"/>
    <w:rsid w:val="00C307E8"/>
    <w:rsid w:val="00C3104A"/>
    <w:rsid w:val="00C32159"/>
    <w:rsid w:val="00C326EA"/>
    <w:rsid w:val="00C33340"/>
    <w:rsid w:val="00C3585C"/>
    <w:rsid w:val="00C35F4F"/>
    <w:rsid w:val="00C36255"/>
    <w:rsid w:val="00C36D0B"/>
    <w:rsid w:val="00C37651"/>
    <w:rsid w:val="00C37CC8"/>
    <w:rsid w:val="00C37E45"/>
    <w:rsid w:val="00C40043"/>
    <w:rsid w:val="00C40115"/>
    <w:rsid w:val="00C40171"/>
    <w:rsid w:val="00C4047D"/>
    <w:rsid w:val="00C41792"/>
    <w:rsid w:val="00C43B70"/>
    <w:rsid w:val="00C44206"/>
    <w:rsid w:val="00C454C2"/>
    <w:rsid w:val="00C45DCA"/>
    <w:rsid w:val="00C50A49"/>
    <w:rsid w:val="00C51015"/>
    <w:rsid w:val="00C51F71"/>
    <w:rsid w:val="00C535A3"/>
    <w:rsid w:val="00C56C28"/>
    <w:rsid w:val="00C61637"/>
    <w:rsid w:val="00C61AD0"/>
    <w:rsid w:val="00C61B66"/>
    <w:rsid w:val="00C61F64"/>
    <w:rsid w:val="00C62BE4"/>
    <w:rsid w:val="00C6354F"/>
    <w:rsid w:val="00C63D35"/>
    <w:rsid w:val="00C6437B"/>
    <w:rsid w:val="00C656B7"/>
    <w:rsid w:val="00C658EB"/>
    <w:rsid w:val="00C6597A"/>
    <w:rsid w:val="00C663DC"/>
    <w:rsid w:val="00C67536"/>
    <w:rsid w:val="00C70783"/>
    <w:rsid w:val="00C70806"/>
    <w:rsid w:val="00C710D9"/>
    <w:rsid w:val="00C7290A"/>
    <w:rsid w:val="00C72CAC"/>
    <w:rsid w:val="00C74AAD"/>
    <w:rsid w:val="00C74C5F"/>
    <w:rsid w:val="00C75CD6"/>
    <w:rsid w:val="00C761AE"/>
    <w:rsid w:val="00C76ADD"/>
    <w:rsid w:val="00C76B98"/>
    <w:rsid w:val="00C76DB3"/>
    <w:rsid w:val="00C7703C"/>
    <w:rsid w:val="00C77DBB"/>
    <w:rsid w:val="00C842F9"/>
    <w:rsid w:val="00C84EE1"/>
    <w:rsid w:val="00C861B4"/>
    <w:rsid w:val="00C862A2"/>
    <w:rsid w:val="00C8756F"/>
    <w:rsid w:val="00C904CF"/>
    <w:rsid w:val="00C9068A"/>
    <w:rsid w:val="00C92A36"/>
    <w:rsid w:val="00C930D0"/>
    <w:rsid w:val="00C93737"/>
    <w:rsid w:val="00C94987"/>
    <w:rsid w:val="00C95304"/>
    <w:rsid w:val="00C974DB"/>
    <w:rsid w:val="00C97A8D"/>
    <w:rsid w:val="00CA1B56"/>
    <w:rsid w:val="00CA32B4"/>
    <w:rsid w:val="00CA3629"/>
    <w:rsid w:val="00CA46FE"/>
    <w:rsid w:val="00CA4845"/>
    <w:rsid w:val="00CA590E"/>
    <w:rsid w:val="00CA615C"/>
    <w:rsid w:val="00CA6FB1"/>
    <w:rsid w:val="00CA6FE9"/>
    <w:rsid w:val="00CA7302"/>
    <w:rsid w:val="00CA7989"/>
    <w:rsid w:val="00CB0217"/>
    <w:rsid w:val="00CB158C"/>
    <w:rsid w:val="00CB1F4E"/>
    <w:rsid w:val="00CB3DCB"/>
    <w:rsid w:val="00CB40E7"/>
    <w:rsid w:val="00CB70DB"/>
    <w:rsid w:val="00CB740C"/>
    <w:rsid w:val="00CC10ED"/>
    <w:rsid w:val="00CC2648"/>
    <w:rsid w:val="00CC5008"/>
    <w:rsid w:val="00CC51F8"/>
    <w:rsid w:val="00CC5F10"/>
    <w:rsid w:val="00CC68B2"/>
    <w:rsid w:val="00CC79EB"/>
    <w:rsid w:val="00CD08A5"/>
    <w:rsid w:val="00CD2080"/>
    <w:rsid w:val="00CD2BA9"/>
    <w:rsid w:val="00CD4694"/>
    <w:rsid w:val="00CD5BBC"/>
    <w:rsid w:val="00CD5FF4"/>
    <w:rsid w:val="00CD7765"/>
    <w:rsid w:val="00CE11A4"/>
    <w:rsid w:val="00CE1F20"/>
    <w:rsid w:val="00CE57F6"/>
    <w:rsid w:val="00CE72B1"/>
    <w:rsid w:val="00CE7324"/>
    <w:rsid w:val="00CF0028"/>
    <w:rsid w:val="00CF15DE"/>
    <w:rsid w:val="00CF1ADE"/>
    <w:rsid w:val="00CF1C82"/>
    <w:rsid w:val="00CF31EF"/>
    <w:rsid w:val="00CF3737"/>
    <w:rsid w:val="00CF3D3E"/>
    <w:rsid w:val="00CF3E45"/>
    <w:rsid w:val="00CF469A"/>
    <w:rsid w:val="00CF5859"/>
    <w:rsid w:val="00CF76B1"/>
    <w:rsid w:val="00CF789C"/>
    <w:rsid w:val="00D007A1"/>
    <w:rsid w:val="00D018D4"/>
    <w:rsid w:val="00D01AD4"/>
    <w:rsid w:val="00D01BB3"/>
    <w:rsid w:val="00D02522"/>
    <w:rsid w:val="00D04506"/>
    <w:rsid w:val="00D04CA0"/>
    <w:rsid w:val="00D05415"/>
    <w:rsid w:val="00D06E34"/>
    <w:rsid w:val="00D07798"/>
    <w:rsid w:val="00D0795F"/>
    <w:rsid w:val="00D07F2F"/>
    <w:rsid w:val="00D105A2"/>
    <w:rsid w:val="00D10DAA"/>
    <w:rsid w:val="00D113DF"/>
    <w:rsid w:val="00D125D9"/>
    <w:rsid w:val="00D12974"/>
    <w:rsid w:val="00D13A3A"/>
    <w:rsid w:val="00D13C3F"/>
    <w:rsid w:val="00D13D51"/>
    <w:rsid w:val="00D16363"/>
    <w:rsid w:val="00D16CF4"/>
    <w:rsid w:val="00D17663"/>
    <w:rsid w:val="00D17740"/>
    <w:rsid w:val="00D17BFF"/>
    <w:rsid w:val="00D20936"/>
    <w:rsid w:val="00D21790"/>
    <w:rsid w:val="00D2298B"/>
    <w:rsid w:val="00D24843"/>
    <w:rsid w:val="00D24C94"/>
    <w:rsid w:val="00D278DE"/>
    <w:rsid w:val="00D308F2"/>
    <w:rsid w:val="00D3099D"/>
    <w:rsid w:val="00D30E90"/>
    <w:rsid w:val="00D31B12"/>
    <w:rsid w:val="00D34398"/>
    <w:rsid w:val="00D3517C"/>
    <w:rsid w:val="00D35862"/>
    <w:rsid w:val="00D3652A"/>
    <w:rsid w:val="00D400DF"/>
    <w:rsid w:val="00D403F8"/>
    <w:rsid w:val="00D40EFB"/>
    <w:rsid w:val="00D42148"/>
    <w:rsid w:val="00D42557"/>
    <w:rsid w:val="00D434BF"/>
    <w:rsid w:val="00D43E5F"/>
    <w:rsid w:val="00D43F91"/>
    <w:rsid w:val="00D43F9E"/>
    <w:rsid w:val="00D44E5B"/>
    <w:rsid w:val="00D47DA6"/>
    <w:rsid w:val="00D50570"/>
    <w:rsid w:val="00D53D94"/>
    <w:rsid w:val="00D5490C"/>
    <w:rsid w:val="00D55D7D"/>
    <w:rsid w:val="00D565EC"/>
    <w:rsid w:val="00D5669B"/>
    <w:rsid w:val="00D57904"/>
    <w:rsid w:val="00D57A43"/>
    <w:rsid w:val="00D57C4D"/>
    <w:rsid w:val="00D57F66"/>
    <w:rsid w:val="00D60711"/>
    <w:rsid w:val="00D61858"/>
    <w:rsid w:val="00D629DE"/>
    <w:rsid w:val="00D630F1"/>
    <w:rsid w:val="00D64D12"/>
    <w:rsid w:val="00D64E25"/>
    <w:rsid w:val="00D653D6"/>
    <w:rsid w:val="00D65924"/>
    <w:rsid w:val="00D66604"/>
    <w:rsid w:val="00D7085B"/>
    <w:rsid w:val="00D72438"/>
    <w:rsid w:val="00D72DF5"/>
    <w:rsid w:val="00D73E1B"/>
    <w:rsid w:val="00D7535D"/>
    <w:rsid w:val="00D75BF0"/>
    <w:rsid w:val="00D76966"/>
    <w:rsid w:val="00D76CCA"/>
    <w:rsid w:val="00D80177"/>
    <w:rsid w:val="00D80DFF"/>
    <w:rsid w:val="00D81BCA"/>
    <w:rsid w:val="00D81BE1"/>
    <w:rsid w:val="00D81C45"/>
    <w:rsid w:val="00D82754"/>
    <w:rsid w:val="00D84416"/>
    <w:rsid w:val="00D849CD"/>
    <w:rsid w:val="00D84B54"/>
    <w:rsid w:val="00D85358"/>
    <w:rsid w:val="00D85EEA"/>
    <w:rsid w:val="00D86694"/>
    <w:rsid w:val="00D86934"/>
    <w:rsid w:val="00D879BE"/>
    <w:rsid w:val="00D907A4"/>
    <w:rsid w:val="00D908B4"/>
    <w:rsid w:val="00D916C4"/>
    <w:rsid w:val="00D91FAC"/>
    <w:rsid w:val="00D922B9"/>
    <w:rsid w:val="00D92958"/>
    <w:rsid w:val="00D92A1F"/>
    <w:rsid w:val="00D9325E"/>
    <w:rsid w:val="00D9362D"/>
    <w:rsid w:val="00D936F2"/>
    <w:rsid w:val="00D95D8B"/>
    <w:rsid w:val="00D9684E"/>
    <w:rsid w:val="00D96DE4"/>
    <w:rsid w:val="00DA0D78"/>
    <w:rsid w:val="00DA13B1"/>
    <w:rsid w:val="00DA209B"/>
    <w:rsid w:val="00DA31C2"/>
    <w:rsid w:val="00DA3317"/>
    <w:rsid w:val="00DA3FB7"/>
    <w:rsid w:val="00DA482A"/>
    <w:rsid w:val="00DA6802"/>
    <w:rsid w:val="00DB09F2"/>
    <w:rsid w:val="00DB0CFB"/>
    <w:rsid w:val="00DB1791"/>
    <w:rsid w:val="00DB2266"/>
    <w:rsid w:val="00DB37DD"/>
    <w:rsid w:val="00DB5E51"/>
    <w:rsid w:val="00DB6D85"/>
    <w:rsid w:val="00DB7E9E"/>
    <w:rsid w:val="00DC01EF"/>
    <w:rsid w:val="00DC08AC"/>
    <w:rsid w:val="00DC0F14"/>
    <w:rsid w:val="00DC0F30"/>
    <w:rsid w:val="00DC1677"/>
    <w:rsid w:val="00DC18F2"/>
    <w:rsid w:val="00DC3952"/>
    <w:rsid w:val="00DC3E69"/>
    <w:rsid w:val="00DC51E7"/>
    <w:rsid w:val="00DC5376"/>
    <w:rsid w:val="00DC5ECF"/>
    <w:rsid w:val="00DC6637"/>
    <w:rsid w:val="00DC688A"/>
    <w:rsid w:val="00DC759C"/>
    <w:rsid w:val="00DC7BBB"/>
    <w:rsid w:val="00DD11CC"/>
    <w:rsid w:val="00DD132D"/>
    <w:rsid w:val="00DD227B"/>
    <w:rsid w:val="00DD2AEC"/>
    <w:rsid w:val="00DD2D08"/>
    <w:rsid w:val="00DD34EE"/>
    <w:rsid w:val="00DD35EE"/>
    <w:rsid w:val="00DD44DC"/>
    <w:rsid w:val="00DD4EBB"/>
    <w:rsid w:val="00DD50E9"/>
    <w:rsid w:val="00DD5CDC"/>
    <w:rsid w:val="00DD6497"/>
    <w:rsid w:val="00DD79FB"/>
    <w:rsid w:val="00DE0146"/>
    <w:rsid w:val="00DE167A"/>
    <w:rsid w:val="00DE1E30"/>
    <w:rsid w:val="00DE3322"/>
    <w:rsid w:val="00DE3339"/>
    <w:rsid w:val="00DE34A7"/>
    <w:rsid w:val="00DE567C"/>
    <w:rsid w:val="00DE5826"/>
    <w:rsid w:val="00DE5A26"/>
    <w:rsid w:val="00DF0344"/>
    <w:rsid w:val="00DF0FC7"/>
    <w:rsid w:val="00DF1207"/>
    <w:rsid w:val="00DF5FFA"/>
    <w:rsid w:val="00DF69AC"/>
    <w:rsid w:val="00DF7464"/>
    <w:rsid w:val="00E032B0"/>
    <w:rsid w:val="00E03567"/>
    <w:rsid w:val="00E03724"/>
    <w:rsid w:val="00E03A5B"/>
    <w:rsid w:val="00E040D6"/>
    <w:rsid w:val="00E0411B"/>
    <w:rsid w:val="00E04915"/>
    <w:rsid w:val="00E05829"/>
    <w:rsid w:val="00E0647F"/>
    <w:rsid w:val="00E066FC"/>
    <w:rsid w:val="00E12076"/>
    <w:rsid w:val="00E123B8"/>
    <w:rsid w:val="00E13BA2"/>
    <w:rsid w:val="00E17384"/>
    <w:rsid w:val="00E20004"/>
    <w:rsid w:val="00E2047A"/>
    <w:rsid w:val="00E213DE"/>
    <w:rsid w:val="00E21765"/>
    <w:rsid w:val="00E21F0F"/>
    <w:rsid w:val="00E228FA"/>
    <w:rsid w:val="00E23211"/>
    <w:rsid w:val="00E235BA"/>
    <w:rsid w:val="00E240BE"/>
    <w:rsid w:val="00E24B71"/>
    <w:rsid w:val="00E24C81"/>
    <w:rsid w:val="00E2565B"/>
    <w:rsid w:val="00E261F4"/>
    <w:rsid w:val="00E26B06"/>
    <w:rsid w:val="00E316A3"/>
    <w:rsid w:val="00E31ADA"/>
    <w:rsid w:val="00E31DD7"/>
    <w:rsid w:val="00E338D6"/>
    <w:rsid w:val="00E34144"/>
    <w:rsid w:val="00E341DF"/>
    <w:rsid w:val="00E346BE"/>
    <w:rsid w:val="00E34AAE"/>
    <w:rsid w:val="00E352E0"/>
    <w:rsid w:val="00E3651B"/>
    <w:rsid w:val="00E37388"/>
    <w:rsid w:val="00E408F2"/>
    <w:rsid w:val="00E428A5"/>
    <w:rsid w:val="00E42BE3"/>
    <w:rsid w:val="00E43DBA"/>
    <w:rsid w:val="00E44717"/>
    <w:rsid w:val="00E4479A"/>
    <w:rsid w:val="00E44BD9"/>
    <w:rsid w:val="00E44F71"/>
    <w:rsid w:val="00E4520D"/>
    <w:rsid w:val="00E459FC"/>
    <w:rsid w:val="00E46533"/>
    <w:rsid w:val="00E46AE5"/>
    <w:rsid w:val="00E46DA8"/>
    <w:rsid w:val="00E508E2"/>
    <w:rsid w:val="00E50DB8"/>
    <w:rsid w:val="00E52404"/>
    <w:rsid w:val="00E529B8"/>
    <w:rsid w:val="00E52FAC"/>
    <w:rsid w:val="00E54640"/>
    <w:rsid w:val="00E5487F"/>
    <w:rsid w:val="00E54D9F"/>
    <w:rsid w:val="00E60C8E"/>
    <w:rsid w:val="00E62058"/>
    <w:rsid w:val="00E6310F"/>
    <w:rsid w:val="00E63419"/>
    <w:rsid w:val="00E65F7A"/>
    <w:rsid w:val="00E66798"/>
    <w:rsid w:val="00E671B3"/>
    <w:rsid w:val="00E67C5F"/>
    <w:rsid w:val="00E70FF1"/>
    <w:rsid w:val="00E71594"/>
    <w:rsid w:val="00E71FDB"/>
    <w:rsid w:val="00E74FA6"/>
    <w:rsid w:val="00E76BAC"/>
    <w:rsid w:val="00E77688"/>
    <w:rsid w:val="00E77B72"/>
    <w:rsid w:val="00E819AD"/>
    <w:rsid w:val="00E81BA9"/>
    <w:rsid w:val="00E822BA"/>
    <w:rsid w:val="00E82C77"/>
    <w:rsid w:val="00E832D3"/>
    <w:rsid w:val="00E83FA2"/>
    <w:rsid w:val="00E8483B"/>
    <w:rsid w:val="00E86AEF"/>
    <w:rsid w:val="00E878CA"/>
    <w:rsid w:val="00E879FE"/>
    <w:rsid w:val="00E87B66"/>
    <w:rsid w:val="00E87C8C"/>
    <w:rsid w:val="00E903A6"/>
    <w:rsid w:val="00E905FA"/>
    <w:rsid w:val="00E906D1"/>
    <w:rsid w:val="00E90B71"/>
    <w:rsid w:val="00E90DA7"/>
    <w:rsid w:val="00E91E32"/>
    <w:rsid w:val="00E92403"/>
    <w:rsid w:val="00E92BBC"/>
    <w:rsid w:val="00E92D3D"/>
    <w:rsid w:val="00E92FFB"/>
    <w:rsid w:val="00E93006"/>
    <w:rsid w:val="00E94542"/>
    <w:rsid w:val="00E978B3"/>
    <w:rsid w:val="00EA0692"/>
    <w:rsid w:val="00EA07D0"/>
    <w:rsid w:val="00EA0DF8"/>
    <w:rsid w:val="00EA0F32"/>
    <w:rsid w:val="00EA1DE4"/>
    <w:rsid w:val="00EA49F0"/>
    <w:rsid w:val="00EA5863"/>
    <w:rsid w:val="00EA5D14"/>
    <w:rsid w:val="00EA6DDD"/>
    <w:rsid w:val="00EA7773"/>
    <w:rsid w:val="00EA7EFF"/>
    <w:rsid w:val="00EB0657"/>
    <w:rsid w:val="00EB08F1"/>
    <w:rsid w:val="00EB0987"/>
    <w:rsid w:val="00EB1601"/>
    <w:rsid w:val="00EB19A3"/>
    <w:rsid w:val="00EB1D66"/>
    <w:rsid w:val="00EB1F9F"/>
    <w:rsid w:val="00EB2055"/>
    <w:rsid w:val="00EB33C8"/>
    <w:rsid w:val="00EB3DAF"/>
    <w:rsid w:val="00EB403F"/>
    <w:rsid w:val="00EB6601"/>
    <w:rsid w:val="00EB68AF"/>
    <w:rsid w:val="00EB6A07"/>
    <w:rsid w:val="00EB6A81"/>
    <w:rsid w:val="00EB6E23"/>
    <w:rsid w:val="00EB6FC2"/>
    <w:rsid w:val="00EB7F10"/>
    <w:rsid w:val="00EC275F"/>
    <w:rsid w:val="00EC2A2B"/>
    <w:rsid w:val="00EC3579"/>
    <w:rsid w:val="00EC3779"/>
    <w:rsid w:val="00EC4D30"/>
    <w:rsid w:val="00EC6564"/>
    <w:rsid w:val="00EC663B"/>
    <w:rsid w:val="00EC6E3D"/>
    <w:rsid w:val="00ED024A"/>
    <w:rsid w:val="00ED0AD0"/>
    <w:rsid w:val="00ED16F0"/>
    <w:rsid w:val="00ED1CC2"/>
    <w:rsid w:val="00ED2E8C"/>
    <w:rsid w:val="00ED3767"/>
    <w:rsid w:val="00ED376F"/>
    <w:rsid w:val="00ED3A4E"/>
    <w:rsid w:val="00ED3D19"/>
    <w:rsid w:val="00ED5F9A"/>
    <w:rsid w:val="00ED6371"/>
    <w:rsid w:val="00EE0B9B"/>
    <w:rsid w:val="00EE2C89"/>
    <w:rsid w:val="00EE3439"/>
    <w:rsid w:val="00EE469B"/>
    <w:rsid w:val="00EE4F56"/>
    <w:rsid w:val="00EE5C11"/>
    <w:rsid w:val="00EE63AF"/>
    <w:rsid w:val="00EE72C6"/>
    <w:rsid w:val="00EE76B9"/>
    <w:rsid w:val="00EE7B4C"/>
    <w:rsid w:val="00EF1608"/>
    <w:rsid w:val="00EF16FF"/>
    <w:rsid w:val="00EF330B"/>
    <w:rsid w:val="00EF39E8"/>
    <w:rsid w:val="00EF4052"/>
    <w:rsid w:val="00EF43B4"/>
    <w:rsid w:val="00EF45AD"/>
    <w:rsid w:val="00EF5A1B"/>
    <w:rsid w:val="00EF5FCB"/>
    <w:rsid w:val="00EF66F5"/>
    <w:rsid w:val="00F00AC3"/>
    <w:rsid w:val="00F00D44"/>
    <w:rsid w:val="00F01822"/>
    <w:rsid w:val="00F022EF"/>
    <w:rsid w:val="00F028E4"/>
    <w:rsid w:val="00F02C39"/>
    <w:rsid w:val="00F038DC"/>
    <w:rsid w:val="00F03A4B"/>
    <w:rsid w:val="00F03BD7"/>
    <w:rsid w:val="00F03C37"/>
    <w:rsid w:val="00F0529E"/>
    <w:rsid w:val="00F06B09"/>
    <w:rsid w:val="00F06EC5"/>
    <w:rsid w:val="00F06FBF"/>
    <w:rsid w:val="00F07019"/>
    <w:rsid w:val="00F072AA"/>
    <w:rsid w:val="00F07A93"/>
    <w:rsid w:val="00F10589"/>
    <w:rsid w:val="00F107D5"/>
    <w:rsid w:val="00F1086F"/>
    <w:rsid w:val="00F10AB9"/>
    <w:rsid w:val="00F10F4D"/>
    <w:rsid w:val="00F11B71"/>
    <w:rsid w:val="00F1255A"/>
    <w:rsid w:val="00F133CD"/>
    <w:rsid w:val="00F152A2"/>
    <w:rsid w:val="00F15354"/>
    <w:rsid w:val="00F1563A"/>
    <w:rsid w:val="00F15BC1"/>
    <w:rsid w:val="00F167D3"/>
    <w:rsid w:val="00F16C3D"/>
    <w:rsid w:val="00F1723E"/>
    <w:rsid w:val="00F1747D"/>
    <w:rsid w:val="00F17D7A"/>
    <w:rsid w:val="00F21571"/>
    <w:rsid w:val="00F21DDF"/>
    <w:rsid w:val="00F22B93"/>
    <w:rsid w:val="00F230ED"/>
    <w:rsid w:val="00F24B62"/>
    <w:rsid w:val="00F25101"/>
    <w:rsid w:val="00F258EF"/>
    <w:rsid w:val="00F25A74"/>
    <w:rsid w:val="00F26143"/>
    <w:rsid w:val="00F316E1"/>
    <w:rsid w:val="00F322EE"/>
    <w:rsid w:val="00F328BF"/>
    <w:rsid w:val="00F328E8"/>
    <w:rsid w:val="00F329C9"/>
    <w:rsid w:val="00F332B9"/>
    <w:rsid w:val="00F33588"/>
    <w:rsid w:val="00F34C15"/>
    <w:rsid w:val="00F3573E"/>
    <w:rsid w:val="00F36EF4"/>
    <w:rsid w:val="00F375BD"/>
    <w:rsid w:val="00F37AF0"/>
    <w:rsid w:val="00F37E15"/>
    <w:rsid w:val="00F412E5"/>
    <w:rsid w:val="00F41B52"/>
    <w:rsid w:val="00F42D6C"/>
    <w:rsid w:val="00F42E9B"/>
    <w:rsid w:val="00F44B74"/>
    <w:rsid w:val="00F503A8"/>
    <w:rsid w:val="00F511C5"/>
    <w:rsid w:val="00F51892"/>
    <w:rsid w:val="00F5260C"/>
    <w:rsid w:val="00F52C53"/>
    <w:rsid w:val="00F539F9"/>
    <w:rsid w:val="00F540D0"/>
    <w:rsid w:val="00F546A5"/>
    <w:rsid w:val="00F54B93"/>
    <w:rsid w:val="00F554B4"/>
    <w:rsid w:val="00F55743"/>
    <w:rsid w:val="00F55D33"/>
    <w:rsid w:val="00F55FFA"/>
    <w:rsid w:val="00F566EC"/>
    <w:rsid w:val="00F56C9C"/>
    <w:rsid w:val="00F57B72"/>
    <w:rsid w:val="00F601D3"/>
    <w:rsid w:val="00F60598"/>
    <w:rsid w:val="00F61542"/>
    <w:rsid w:val="00F61786"/>
    <w:rsid w:val="00F61A6F"/>
    <w:rsid w:val="00F6208C"/>
    <w:rsid w:val="00F629C5"/>
    <w:rsid w:val="00F640A6"/>
    <w:rsid w:val="00F651BA"/>
    <w:rsid w:val="00F65231"/>
    <w:rsid w:val="00F65236"/>
    <w:rsid w:val="00F66849"/>
    <w:rsid w:val="00F70BEF"/>
    <w:rsid w:val="00F73B8A"/>
    <w:rsid w:val="00F745E2"/>
    <w:rsid w:val="00F756E6"/>
    <w:rsid w:val="00F7586C"/>
    <w:rsid w:val="00F7590E"/>
    <w:rsid w:val="00F76227"/>
    <w:rsid w:val="00F76A3A"/>
    <w:rsid w:val="00F76A5F"/>
    <w:rsid w:val="00F77EB2"/>
    <w:rsid w:val="00F816EB"/>
    <w:rsid w:val="00F81A7E"/>
    <w:rsid w:val="00F81C67"/>
    <w:rsid w:val="00F8278A"/>
    <w:rsid w:val="00F83EE8"/>
    <w:rsid w:val="00F8454D"/>
    <w:rsid w:val="00F84A9A"/>
    <w:rsid w:val="00F8571A"/>
    <w:rsid w:val="00F86594"/>
    <w:rsid w:val="00F90C4B"/>
    <w:rsid w:val="00F90C92"/>
    <w:rsid w:val="00F90F52"/>
    <w:rsid w:val="00F92E00"/>
    <w:rsid w:val="00F932E9"/>
    <w:rsid w:val="00F9393D"/>
    <w:rsid w:val="00F93C65"/>
    <w:rsid w:val="00F93CBA"/>
    <w:rsid w:val="00F944CE"/>
    <w:rsid w:val="00F95104"/>
    <w:rsid w:val="00F96FB6"/>
    <w:rsid w:val="00F97148"/>
    <w:rsid w:val="00FA074B"/>
    <w:rsid w:val="00FA0D23"/>
    <w:rsid w:val="00FA2624"/>
    <w:rsid w:val="00FA2BA6"/>
    <w:rsid w:val="00FA3F6F"/>
    <w:rsid w:val="00FA46B7"/>
    <w:rsid w:val="00FA49A6"/>
    <w:rsid w:val="00FA4ADA"/>
    <w:rsid w:val="00FA55B5"/>
    <w:rsid w:val="00FA5828"/>
    <w:rsid w:val="00FA5E76"/>
    <w:rsid w:val="00FA765B"/>
    <w:rsid w:val="00FA7E5C"/>
    <w:rsid w:val="00FB0808"/>
    <w:rsid w:val="00FB08F9"/>
    <w:rsid w:val="00FB0FF6"/>
    <w:rsid w:val="00FB147F"/>
    <w:rsid w:val="00FB1518"/>
    <w:rsid w:val="00FB18DD"/>
    <w:rsid w:val="00FB1D70"/>
    <w:rsid w:val="00FB234B"/>
    <w:rsid w:val="00FB38A9"/>
    <w:rsid w:val="00FB582D"/>
    <w:rsid w:val="00FB5F1E"/>
    <w:rsid w:val="00FB60C8"/>
    <w:rsid w:val="00FC1EF0"/>
    <w:rsid w:val="00FC262E"/>
    <w:rsid w:val="00FC29B6"/>
    <w:rsid w:val="00FC3AFD"/>
    <w:rsid w:val="00FC4833"/>
    <w:rsid w:val="00FC7377"/>
    <w:rsid w:val="00FC7865"/>
    <w:rsid w:val="00FC794C"/>
    <w:rsid w:val="00FC7A06"/>
    <w:rsid w:val="00FD1457"/>
    <w:rsid w:val="00FD1D12"/>
    <w:rsid w:val="00FD4840"/>
    <w:rsid w:val="00FD4D4D"/>
    <w:rsid w:val="00FD5074"/>
    <w:rsid w:val="00FD5B82"/>
    <w:rsid w:val="00FE05F5"/>
    <w:rsid w:val="00FE08CF"/>
    <w:rsid w:val="00FE1CC0"/>
    <w:rsid w:val="00FE21AD"/>
    <w:rsid w:val="00FE2A8D"/>
    <w:rsid w:val="00FE3C75"/>
    <w:rsid w:val="00FE3CDF"/>
    <w:rsid w:val="00FE4083"/>
    <w:rsid w:val="00FE6326"/>
    <w:rsid w:val="00FE6C97"/>
    <w:rsid w:val="00FF1492"/>
    <w:rsid w:val="00FF192B"/>
    <w:rsid w:val="00FF1C2F"/>
    <w:rsid w:val="00FF1D49"/>
    <w:rsid w:val="00FF2CC2"/>
    <w:rsid w:val="00FF47A9"/>
    <w:rsid w:val="00FF5313"/>
    <w:rsid w:val="00FF56D1"/>
    <w:rsid w:val="00FF6298"/>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016BF5"/>
    <w:pPr>
      <w:keepNext/>
      <w:keepLines/>
      <w:spacing w:before="360"/>
      <w:ind w:left="794" w:hanging="794"/>
      <w:outlineLvl w:val="0"/>
    </w:pPr>
    <w:rPr>
      <w:b/>
    </w:rPr>
  </w:style>
  <w:style w:type="paragraph" w:styleId="Heading2">
    <w:name w:val="heading 2"/>
    <w:basedOn w:val="Heading1"/>
    <w:next w:val="Normal"/>
    <w:link w:val="Heading2Char"/>
    <w:qFormat/>
    <w:rsid w:val="00016BF5"/>
    <w:pPr>
      <w:spacing w:before="240"/>
      <w:outlineLvl w:val="1"/>
    </w:pPr>
  </w:style>
  <w:style w:type="paragraph" w:styleId="Heading3">
    <w:name w:val="heading 3"/>
    <w:basedOn w:val="Heading1"/>
    <w:next w:val="Normal"/>
    <w:link w:val="Heading3Char"/>
    <w:qFormat/>
    <w:rsid w:val="00016BF5"/>
    <w:pPr>
      <w:spacing w:before="160"/>
      <w:outlineLvl w:val="2"/>
    </w:pPr>
  </w:style>
  <w:style w:type="paragraph" w:styleId="Heading4">
    <w:name w:val="heading 4"/>
    <w:basedOn w:val="Heading3"/>
    <w:next w:val="Normal"/>
    <w:link w:val="Heading4Char"/>
    <w:qFormat/>
    <w:rsid w:val="00016BF5"/>
    <w:pPr>
      <w:tabs>
        <w:tab w:val="clear" w:pos="794"/>
        <w:tab w:val="left" w:pos="1021"/>
      </w:tabs>
      <w:ind w:left="1021" w:hanging="1021"/>
      <w:outlineLvl w:val="3"/>
    </w:pPr>
  </w:style>
  <w:style w:type="paragraph" w:styleId="Heading5">
    <w:name w:val="heading 5"/>
    <w:basedOn w:val="Heading4"/>
    <w:next w:val="Normal"/>
    <w:link w:val="Heading5Char"/>
    <w:qFormat/>
    <w:rsid w:val="00016BF5"/>
    <w:pPr>
      <w:outlineLvl w:val="4"/>
    </w:pPr>
  </w:style>
  <w:style w:type="paragraph" w:styleId="Heading6">
    <w:name w:val="heading 6"/>
    <w:basedOn w:val="Heading4"/>
    <w:next w:val="Normal"/>
    <w:link w:val="Heading6Char"/>
    <w:qFormat/>
    <w:rsid w:val="00016BF5"/>
    <w:pPr>
      <w:tabs>
        <w:tab w:val="clear" w:pos="1021"/>
        <w:tab w:val="clear" w:pos="1191"/>
      </w:tabs>
      <w:ind w:left="1588" w:hanging="1588"/>
      <w:outlineLvl w:val="5"/>
    </w:pPr>
  </w:style>
  <w:style w:type="paragraph" w:styleId="Heading7">
    <w:name w:val="heading 7"/>
    <w:basedOn w:val="Heading6"/>
    <w:next w:val="Normal"/>
    <w:link w:val="Heading7Char"/>
    <w:qFormat/>
    <w:rsid w:val="00016BF5"/>
    <w:pPr>
      <w:outlineLvl w:val="6"/>
    </w:pPr>
  </w:style>
  <w:style w:type="paragraph" w:styleId="Heading8">
    <w:name w:val="heading 8"/>
    <w:basedOn w:val="Heading6"/>
    <w:next w:val="Normal"/>
    <w:link w:val="Heading8Char"/>
    <w:qFormat/>
    <w:rsid w:val="00016BF5"/>
    <w:pPr>
      <w:outlineLvl w:val="7"/>
    </w:pPr>
  </w:style>
  <w:style w:type="paragraph" w:styleId="Heading9">
    <w:name w:val="heading 9"/>
    <w:basedOn w:val="Heading6"/>
    <w:next w:val="Normal"/>
    <w:link w:val="Heading9Char"/>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uiPriority w:val="99"/>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link w:val="enumlev1Char"/>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uiPriority w:val="99"/>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link w:val="TableNotitleChar"/>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761109"/>
    <w:pPr>
      <w:keepLines/>
      <w:tabs>
        <w:tab w:val="clear" w:pos="794"/>
        <w:tab w:val="clear" w:pos="1191"/>
        <w:tab w:val="clear" w:pos="1588"/>
        <w:tab w:val="clear" w:pos="1985"/>
        <w:tab w:val="left" w:pos="964"/>
        <w:tab w:val="left" w:leader="dot" w:pos="8789"/>
        <w:tab w:val="right" w:pos="9639"/>
      </w:tabs>
      <w:spacing w:before="240"/>
      <w:ind w:left="567" w:right="851" w:hanging="567"/>
    </w:pPr>
    <w:rPr>
      <w:noProof/>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uiPriority w:val="39"/>
    <w:rsid w:val="0008342F"/>
  </w:style>
  <w:style w:type="paragraph" w:styleId="TOC5">
    <w:name w:val="toc 5"/>
    <w:basedOn w:val="TOC4"/>
    <w:uiPriority w:val="39"/>
    <w:rsid w:val="0008342F"/>
  </w:style>
  <w:style w:type="paragraph" w:styleId="TOC6">
    <w:name w:val="toc 6"/>
    <w:basedOn w:val="TOC4"/>
    <w:uiPriority w:val="39"/>
    <w:rsid w:val="0008342F"/>
  </w:style>
  <w:style w:type="paragraph" w:styleId="TOC7">
    <w:name w:val="toc 7"/>
    <w:basedOn w:val="TOC4"/>
    <w:uiPriority w:val="39"/>
    <w:rsid w:val="0008342F"/>
  </w:style>
  <w:style w:type="paragraph" w:styleId="TOC8">
    <w:name w:val="toc 8"/>
    <w:basedOn w:val="TOC4"/>
    <w:uiPriority w:val="39"/>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11645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255FAC"/>
    <w:pPr>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7" w:hanging="567"/>
      <w:textAlignment w:val="auto"/>
    </w:pPr>
    <w:rPr>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rsid w:val="00902981"/>
    <w:rPr>
      <w:sz w:val="16"/>
      <w:szCs w:val="16"/>
    </w:rPr>
  </w:style>
  <w:style w:type="paragraph" w:styleId="CommentText">
    <w:name w:val="annotation text"/>
    <w:basedOn w:val="Normal"/>
    <w:link w:val="CommentTextChar"/>
    <w:rsid w:val="00902981"/>
    <w:rPr>
      <w:sz w:val="20"/>
    </w:rPr>
  </w:style>
  <w:style w:type="paragraph" w:styleId="CommentSubject">
    <w:name w:val="annotation subject"/>
    <w:basedOn w:val="CommentText"/>
    <w:next w:val="CommentText"/>
    <w:link w:val="CommentSubjectChar"/>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character" w:customStyle="1" w:styleId="Heading1Char">
    <w:name w:val="Heading 1 Char"/>
    <w:basedOn w:val="DefaultParagraphFont"/>
    <w:link w:val="Heading1"/>
    <w:rsid w:val="00C95304"/>
    <w:rPr>
      <w:rFonts w:ascii="Times New Roman" w:hAnsi="Times New Roman"/>
      <w:b/>
      <w:sz w:val="22"/>
      <w:lang w:val="en-GB" w:eastAsia="en-US"/>
    </w:rPr>
  </w:style>
  <w:style w:type="character" w:customStyle="1" w:styleId="Heading2Char">
    <w:name w:val="Heading 2 Char"/>
    <w:basedOn w:val="DefaultParagraphFont"/>
    <w:link w:val="Heading2"/>
    <w:rsid w:val="00C95304"/>
    <w:rPr>
      <w:rFonts w:ascii="Times New Roman" w:hAnsi="Times New Roman"/>
      <w:b/>
      <w:sz w:val="22"/>
      <w:lang w:val="en-GB" w:eastAsia="en-US"/>
    </w:rPr>
  </w:style>
  <w:style w:type="character" w:customStyle="1" w:styleId="Heading3Char">
    <w:name w:val="Heading 3 Char"/>
    <w:basedOn w:val="DefaultParagraphFont"/>
    <w:link w:val="Heading3"/>
    <w:rsid w:val="00C95304"/>
    <w:rPr>
      <w:rFonts w:ascii="Times New Roman" w:hAnsi="Times New Roman"/>
      <w:b/>
      <w:sz w:val="22"/>
      <w:lang w:val="en-GB" w:eastAsia="en-US"/>
    </w:rPr>
  </w:style>
  <w:style w:type="character" w:customStyle="1" w:styleId="Heading4Char">
    <w:name w:val="Heading 4 Char"/>
    <w:basedOn w:val="DefaultParagraphFont"/>
    <w:link w:val="Heading4"/>
    <w:rsid w:val="00C95304"/>
    <w:rPr>
      <w:rFonts w:ascii="Times New Roman" w:hAnsi="Times New Roman"/>
      <w:b/>
      <w:sz w:val="22"/>
      <w:lang w:val="en-GB" w:eastAsia="en-US"/>
    </w:rPr>
  </w:style>
  <w:style w:type="character" w:customStyle="1" w:styleId="Heading5Char">
    <w:name w:val="Heading 5 Char"/>
    <w:basedOn w:val="DefaultParagraphFont"/>
    <w:link w:val="Heading5"/>
    <w:rsid w:val="00C95304"/>
    <w:rPr>
      <w:rFonts w:ascii="Times New Roman" w:hAnsi="Times New Roman"/>
      <w:b/>
      <w:sz w:val="22"/>
      <w:lang w:val="en-GB" w:eastAsia="en-US"/>
    </w:rPr>
  </w:style>
  <w:style w:type="character" w:customStyle="1" w:styleId="Heading6Char">
    <w:name w:val="Heading 6 Char"/>
    <w:basedOn w:val="DefaultParagraphFont"/>
    <w:link w:val="Heading6"/>
    <w:rsid w:val="00C95304"/>
    <w:rPr>
      <w:rFonts w:ascii="Times New Roman" w:hAnsi="Times New Roman"/>
      <w:b/>
      <w:sz w:val="22"/>
      <w:lang w:val="en-GB" w:eastAsia="en-US"/>
    </w:rPr>
  </w:style>
  <w:style w:type="character" w:customStyle="1" w:styleId="Heading7Char">
    <w:name w:val="Heading 7 Char"/>
    <w:basedOn w:val="DefaultParagraphFont"/>
    <w:link w:val="Heading7"/>
    <w:rsid w:val="00C95304"/>
    <w:rPr>
      <w:rFonts w:ascii="Times New Roman" w:hAnsi="Times New Roman"/>
      <w:b/>
      <w:sz w:val="22"/>
      <w:lang w:val="en-GB" w:eastAsia="en-US"/>
    </w:rPr>
  </w:style>
  <w:style w:type="character" w:customStyle="1" w:styleId="Heading8Char">
    <w:name w:val="Heading 8 Char"/>
    <w:basedOn w:val="DefaultParagraphFont"/>
    <w:link w:val="Heading8"/>
    <w:rsid w:val="00C95304"/>
    <w:rPr>
      <w:rFonts w:ascii="Times New Roman" w:hAnsi="Times New Roman"/>
      <w:b/>
      <w:sz w:val="22"/>
      <w:lang w:val="en-GB" w:eastAsia="en-US"/>
    </w:rPr>
  </w:style>
  <w:style w:type="character" w:customStyle="1" w:styleId="Heading9Char">
    <w:name w:val="Heading 9 Char"/>
    <w:basedOn w:val="DefaultParagraphFont"/>
    <w:link w:val="Heading9"/>
    <w:rsid w:val="00C95304"/>
    <w:rPr>
      <w:rFonts w:ascii="Times New Roman" w:hAnsi="Times New Roman"/>
      <w:b/>
      <w:sz w:val="22"/>
      <w:lang w:val="en-GB" w:eastAsia="en-US"/>
    </w:rPr>
  </w:style>
  <w:style w:type="paragraph" w:customStyle="1" w:styleId="CEONormal">
    <w:name w:val="CEO_Normal"/>
    <w:autoRedefine/>
    <w:rsid w:val="00C95304"/>
    <w:pPr>
      <w:spacing w:before="120"/>
    </w:pPr>
    <w:rPr>
      <w:rFonts w:ascii="Verdana" w:eastAsia="SimSun" w:hAnsi="Verdana"/>
      <w:sz w:val="19"/>
      <w:szCs w:val="19"/>
      <w:lang w:val="en-GB" w:eastAsia="en-US"/>
    </w:rPr>
  </w:style>
  <w:style w:type="paragraph" w:customStyle="1" w:styleId="CEOForAction">
    <w:name w:val="CEO_ForAction"/>
    <w:basedOn w:val="CEONormal"/>
    <w:next w:val="CEOSourceTitle"/>
    <w:rsid w:val="00C95304"/>
    <w:pPr>
      <w:spacing w:after="120"/>
      <w:ind w:left="743"/>
    </w:pPr>
    <w:rPr>
      <w:b/>
      <w:bCs/>
      <w:iCs/>
    </w:rPr>
  </w:style>
  <w:style w:type="paragraph" w:customStyle="1" w:styleId="CEOSourceTitle">
    <w:name w:val="CEO_Source_Title"/>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DocDates">
    <w:name w:val="CEO_DocDates"/>
    <w:basedOn w:val="Normal"/>
    <w:next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MeetingDates">
    <w:name w:val="CEO_MeetingDates"/>
    <w:basedOn w:val="Normal"/>
    <w:rsid w:val="00C95304"/>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C95304"/>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C95304"/>
    <w:pPr>
      <w:tabs>
        <w:tab w:val="left" w:pos="2098"/>
      </w:tabs>
      <w:ind w:left="2098" w:hanging="2098"/>
    </w:pPr>
    <w:rPr>
      <w:lang w:val="fr-CH"/>
    </w:rPr>
  </w:style>
  <w:style w:type="paragraph" w:customStyle="1" w:styleId="CEOSectorName">
    <w:name w:val="CEO_SectorName"/>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ourceTitleDetails">
    <w:name w:val="CEO_SourceTitleDetails"/>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Logo">
    <w:name w:val="CEO_Logo"/>
    <w:basedOn w:val="CEONormal"/>
    <w:rsid w:val="00C95304"/>
    <w:pPr>
      <w:spacing w:before="0"/>
      <w:jc w:val="right"/>
    </w:pPr>
  </w:style>
  <w:style w:type="paragraph" w:customStyle="1" w:styleId="CEORevision">
    <w:name w:val="CEO_Revision"/>
    <w:basedOn w:val="CEONormal"/>
    <w:autoRedefine/>
    <w:rsid w:val="00C95304"/>
    <w:pPr>
      <w:tabs>
        <w:tab w:val="left" w:pos="1928"/>
      </w:tabs>
    </w:pPr>
    <w:rPr>
      <w:b/>
      <w:sz w:val="18"/>
      <w:szCs w:val="18"/>
    </w:rPr>
  </w:style>
  <w:style w:type="paragraph" w:customStyle="1" w:styleId="CEOActionRequired">
    <w:name w:val="CEO_ActionRequired"/>
    <w:basedOn w:val="CEONormal"/>
    <w:rsid w:val="00C95304"/>
    <w:pPr>
      <w:tabs>
        <w:tab w:val="left" w:pos="1928"/>
      </w:tabs>
    </w:pPr>
    <w:rPr>
      <w:b/>
    </w:rPr>
  </w:style>
  <w:style w:type="character" w:customStyle="1" w:styleId="HeaderChar">
    <w:name w:val="Header Char"/>
    <w:basedOn w:val="DefaultParagraphFont"/>
    <w:link w:val="Header"/>
    <w:rsid w:val="00C95304"/>
    <w:rPr>
      <w:rFonts w:ascii="Times New Roman" w:hAnsi="Times New Roman"/>
      <w:b/>
      <w:sz w:val="22"/>
      <w:lang w:val="en-GB" w:eastAsia="en-US"/>
    </w:rPr>
  </w:style>
  <w:style w:type="character" w:customStyle="1" w:styleId="FooterChar">
    <w:name w:val="Footer Char"/>
    <w:basedOn w:val="DefaultParagraphFont"/>
    <w:link w:val="Footer"/>
    <w:rsid w:val="00C95304"/>
    <w:rPr>
      <w:rFonts w:ascii="Times New Roman" w:hAnsi="Times New Roman"/>
      <w:caps/>
      <w:noProof/>
      <w:sz w:val="16"/>
      <w:lang w:val="en-GB" w:eastAsia="en-US"/>
    </w:rPr>
  </w:style>
  <w:style w:type="paragraph" w:customStyle="1" w:styleId="CEOFooterContact2-3">
    <w:name w:val="CEO_FooterContact2-3"/>
    <w:basedOn w:val="Normal"/>
    <w:rsid w:val="00C95304"/>
    <w:pPr>
      <w:tabs>
        <w:tab w:val="clear" w:pos="794"/>
        <w:tab w:val="clear" w:pos="1191"/>
        <w:tab w:val="clear" w:pos="1588"/>
        <w:tab w:val="clear" w:pos="1985"/>
      </w:tabs>
      <w:overflowPunct/>
      <w:autoSpaceDE/>
      <w:autoSpaceDN/>
      <w:adjustRightInd/>
      <w:spacing w:before="0"/>
      <w:ind w:left="3827" w:hanging="2268"/>
      <w:jc w:val="left"/>
      <w:textAlignment w:val="auto"/>
    </w:pPr>
    <w:rPr>
      <w:rFonts w:ascii="Verdana" w:eastAsia="SimSun" w:hAnsi="Verdana"/>
      <w:sz w:val="16"/>
      <w:szCs w:val="16"/>
    </w:rPr>
  </w:style>
  <w:style w:type="paragraph" w:customStyle="1" w:styleId="CEOFooterContact1">
    <w:name w:val="CEO_FooterContact1"/>
    <w:basedOn w:val="Normal"/>
    <w:next w:val="CEOFooterContact2-3"/>
    <w:rsid w:val="00C95304"/>
    <w:pPr>
      <w:pBdr>
        <w:top w:val="single" w:sz="4" w:space="5" w:color="auto"/>
      </w:pBdr>
      <w:tabs>
        <w:tab w:val="clear" w:pos="794"/>
        <w:tab w:val="clear" w:pos="1191"/>
        <w:tab w:val="clear" w:pos="1588"/>
        <w:tab w:val="clear" w:pos="1985"/>
        <w:tab w:val="left" w:pos="1560"/>
      </w:tabs>
      <w:overflowPunct/>
      <w:autoSpaceDE/>
      <w:autoSpaceDN/>
      <w:adjustRightInd/>
      <w:ind w:left="3827" w:hanging="3827"/>
      <w:jc w:val="left"/>
      <w:textAlignment w:val="auto"/>
    </w:pPr>
    <w:rPr>
      <w:rFonts w:ascii="Verdana" w:eastAsia="SimSun" w:hAnsi="Verdana"/>
      <w:sz w:val="16"/>
      <w:szCs w:val="16"/>
    </w:rPr>
  </w:style>
  <w:style w:type="paragraph" w:customStyle="1" w:styleId="CEODocTitle2lines-Second">
    <w:name w:val="CEO_DocTitle2lines-Second"/>
    <w:basedOn w:val="CEODocTitle2lines-First"/>
    <w:rsid w:val="00C95304"/>
    <w:pPr>
      <w:spacing w:before="0" w:after="480"/>
    </w:pPr>
  </w:style>
  <w:style w:type="paragraph" w:customStyle="1" w:styleId="CEODocTitle2lines-First">
    <w:name w:val="CEO_DocTitle2lines-First"/>
    <w:basedOn w:val="CEODocTitle-1line"/>
    <w:next w:val="Normal"/>
    <w:link w:val="CEODocTitle2lines-FirstChar"/>
    <w:rsid w:val="00C95304"/>
    <w:pPr>
      <w:spacing w:after="0"/>
    </w:pPr>
  </w:style>
  <w:style w:type="paragraph" w:customStyle="1" w:styleId="CEODocTitle-1line">
    <w:name w:val="CEO_DocTitle-1line"/>
    <w:basedOn w:val="Normal"/>
    <w:next w:val="Normal"/>
    <w:link w:val="CEODocTitle-1lineChar"/>
    <w:rsid w:val="00C95304"/>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C95304"/>
    <w:pPr>
      <w:keepNext/>
      <w:keepLines/>
      <w:tabs>
        <w:tab w:val="clear" w:pos="720"/>
      </w:tabs>
      <w:spacing w:before="480"/>
      <w:ind w:left="0" w:firstLine="0"/>
    </w:pPr>
  </w:style>
  <w:style w:type="paragraph" w:customStyle="1" w:styleId="CEOcontribution-H123">
    <w:name w:val="CEO_contribution-H123"/>
    <w:basedOn w:val="Normal"/>
    <w:rsid w:val="00C95304"/>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C95304"/>
    <w:pPr>
      <w:keepNext w:val="0"/>
      <w:keepLines w:val="0"/>
      <w:tabs>
        <w:tab w:val="clear" w:pos="794"/>
        <w:tab w:val="clear" w:pos="1191"/>
        <w:tab w:val="clear" w:pos="1588"/>
        <w:tab w:val="clear" w:pos="1985"/>
      </w:tabs>
      <w:overflowPunct/>
      <w:autoSpaceDE/>
      <w:autoSpaceDN/>
      <w:adjustRightInd/>
      <w:spacing w:before="120" w:after="120"/>
      <w:ind w:left="0" w:firstLine="0"/>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C95304"/>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C95304"/>
    <w:pPr>
      <w:tabs>
        <w:tab w:val="clear" w:pos="927"/>
      </w:tabs>
      <w:ind w:left="0" w:right="12" w:firstLine="0"/>
      <w:jc w:val="right"/>
    </w:pPr>
  </w:style>
  <w:style w:type="paragraph" w:customStyle="1" w:styleId="CEODocNoDetails">
    <w:name w:val="CEO_DocNoDetails"/>
    <w:basedOn w:val="Normal"/>
    <w:rsid w:val="00C95304"/>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rsid w:val="00C95304"/>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C95304"/>
    <w:pPr>
      <w:numPr>
        <w:numId w:val="37"/>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C9530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C95304"/>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C95304"/>
    <w:pPr>
      <w:tabs>
        <w:tab w:val="clear" w:pos="720"/>
      </w:tabs>
      <w:spacing w:before="360"/>
      <w:ind w:left="0" w:firstLine="0"/>
    </w:pPr>
    <w:rPr>
      <w:b w:val="0"/>
    </w:rPr>
  </w:style>
  <w:style w:type="paragraph" w:customStyle="1" w:styleId="CEOParagraph111">
    <w:name w:val="CEO_Paragraph1.1.1"/>
    <w:basedOn w:val="Heading3"/>
    <w:rsid w:val="00C95304"/>
    <w:pPr>
      <w:keepNext w:val="0"/>
      <w:keepLines w:val="0"/>
      <w:tabs>
        <w:tab w:val="clear" w:pos="794"/>
        <w:tab w:val="clear" w:pos="1191"/>
        <w:tab w:val="clear" w:pos="1588"/>
        <w:tab w:val="clear" w:pos="1985"/>
      </w:tabs>
      <w:overflowPunct/>
      <w:autoSpaceDE/>
      <w:autoSpaceDN/>
      <w:adjustRightInd/>
      <w:spacing w:before="0"/>
      <w:ind w:left="0" w:firstLine="0"/>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C95304"/>
    <w:pPr>
      <w:numPr>
        <w:ilvl w:val="1"/>
        <w:numId w:val="34"/>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Traditional Arabic"/>
      <w:bCs/>
      <w:sz w:val="18"/>
      <w:szCs w:val="28"/>
    </w:rPr>
  </w:style>
  <w:style w:type="paragraph" w:customStyle="1" w:styleId="CEOIndent-bulletsblackdot">
    <w:name w:val="CEO_Indent-bulletsblackdot"/>
    <w:basedOn w:val="Normal"/>
    <w:rsid w:val="00C95304"/>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Indent-bulletsBlueSquare">
    <w:name w:val="CEO_Indent-bulletsBlueSquare"/>
    <w:basedOn w:val="CEOIndent-bulletsblackdot"/>
    <w:rsid w:val="00C95304"/>
    <w:pPr>
      <w:numPr>
        <w:numId w:val="35"/>
      </w:numPr>
    </w:pPr>
  </w:style>
  <w:style w:type="paragraph" w:customStyle="1" w:styleId="CEOQuestionDetails">
    <w:name w:val="CEO_QuestionDetails"/>
    <w:basedOn w:val="CEOOriginalLanguage"/>
    <w:rsid w:val="00C95304"/>
    <w:rPr>
      <w:b w:val="0"/>
      <w:bCs/>
    </w:rPr>
  </w:style>
  <w:style w:type="paragraph" w:customStyle="1" w:styleId="CEOSignatureName">
    <w:name w:val="CEO_SignatureName"/>
    <w:basedOn w:val="Normal"/>
    <w:rsid w:val="00C9530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C95304"/>
    <w:pPr>
      <w:spacing w:before="0"/>
    </w:pPr>
  </w:style>
  <w:style w:type="paragraph" w:customStyle="1" w:styleId="CEOSTG">
    <w:name w:val="CEO_STG"/>
    <w:basedOn w:val="CEOOriginalLanguage"/>
    <w:rsid w:val="00C95304"/>
    <w:pPr>
      <w:spacing w:before="120"/>
      <w:jc w:val="center"/>
    </w:pPr>
  </w:style>
  <w:style w:type="paragraph" w:customStyle="1" w:styleId="CEOindent-endash">
    <w:name w:val="CEO_indent-endash"/>
    <w:basedOn w:val="CEOEmdashList"/>
    <w:rsid w:val="00C95304"/>
    <w:pPr>
      <w:numPr>
        <w:numId w:val="36"/>
      </w:numPr>
    </w:pPr>
  </w:style>
  <w:style w:type="paragraph" w:customStyle="1" w:styleId="CEOEmdashList">
    <w:name w:val="CEO_EmdashList"/>
    <w:basedOn w:val="CEONormal"/>
    <w:rsid w:val="00C95304"/>
  </w:style>
  <w:style w:type="paragraph" w:customStyle="1" w:styleId="CEOConsidering">
    <w:name w:val="CEO_Considering"/>
    <w:basedOn w:val="CEONormal"/>
    <w:rsid w:val="00C95304"/>
    <w:pPr>
      <w:keepNext/>
      <w:keepLines/>
      <w:spacing w:after="120"/>
      <w:ind w:left="851"/>
    </w:pPr>
    <w:rPr>
      <w:i/>
      <w:iCs/>
    </w:rPr>
  </w:style>
  <w:style w:type="paragraph" w:customStyle="1" w:styleId="CEOEndBar">
    <w:name w:val="CEO_EndBar"/>
    <w:basedOn w:val="CEONormal"/>
    <w:rsid w:val="00C95304"/>
    <w:pPr>
      <w:spacing w:after="120"/>
      <w:jc w:val="center"/>
    </w:pPr>
  </w:style>
  <w:style w:type="paragraph" w:customStyle="1" w:styleId="CEOExtract">
    <w:name w:val="CEO_Extract"/>
    <w:basedOn w:val="CEONormal"/>
    <w:rsid w:val="00C95304"/>
    <w:pPr>
      <w:keepNext/>
      <w:keepLines/>
      <w:spacing w:after="120"/>
    </w:pPr>
  </w:style>
  <w:style w:type="paragraph" w:customStyle="1" w:styleId="CEOHeader">
    <w:name w:val="CEO_Header"/>
    <w:basedOn w:val="Normal"/>
    <w:rsid w:val="00C95304"/>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C95304"/>
    <w:pPr>
      <w:spacing w:after="120"/>
      <w:ind w:left="426"/>
    </w:pPr>
  </w:style>
  <w:style w:type="paragraph" w:customStyle="1" w:styleId="CEOMeetingSTG">
    <w:name w:val="CEO_MeetingSTG"/>
    <w:basedOn w:val="CEOMeetingName"/>
    <w:rsid w:val="00C95304"/>
    <w:pPr>
      <w:spacing w:before="120" w:after="120"/>
    </w:pPr>
  </w:style>
  <w:style w:type="paragraph" w:customStyle="1" w:styleId="CEORevisionNote">
    <w:name w:val="CEO_RevisionNote"/>
    <w:basedOn w:val="CEORevision"/>
    <w:autoRedefine/>
    <w:rsid w:val="00C95304"/>
    <w:pPr>
      <w:spacing w:after="120"/>
    </w:pPr>
    <w:rPr>
      <w:b w:val="0"/>
      <w:i/>
      <w:iCs/>
      <w:lang w:val="en-US"/>
    </w:rPr>
  </w:style>
  <w:style w:type="paragraph" w:customStyle="1" w:styleId="CEORequiredAction">
    <w:name w:val="CEO_RequiredAction"/>
    <w:basedOn w:val="CEONormal"/>
    <w:rsid w:val="00C95304"/>
    <w:pPr>
      <w:tabs>
        <w:tab w:val="left" w:pos="1928"/>
      </w:tabs>
    </w:pPr>
    <w:rPr>
      <w:b/>
    </w:rPr>
  </w:style>
  <w:style w:type="paragraph" w:customStyle="1" w:styleId="CEOAnnex">
    <w:name w:val="CEO_Annex"/>
    <w:basedOn w:val="CEOSignatureTitle"/>
    <w:rsid w:val="00C95304"/>
    <w:pPr>
      <w:spacing w:before="1000"/>
    </w:pPr>
  </w:style>
  <w:style w:type="paragraph" w:customStyle="1" w:styleId="CEOEndashListNoIndent">
    <w:name w:val="CEO_EndashListNoIndent"/>
    <w:basedOn w:val="CEONormal"/>
    <w:rsid w:val="00C95304"/>
    <w:pPr>
      <w:numPr>
        <w:numId w:val="31"/>
      </w:numPr>
    </w:pPr>
  </w:style>
  <w:style w:type="paragraph" w:customStyle="1" w:styleId="CEOFootnoteText">
    <w:name w:val="CEO_Footnote Text"/>
    <w:basedOn w:val="CEONormal"/>
    <w:rsid w:val="00C95304"/>
    <w:pPr>
      <w:tabs>
        <w:tab w:val="left" w:pos="357"/>
      </w:tabs>
      <w:spacing w:before="0"/>
    </w:pPr>
  </w:style>
  <w:style w:type="paragraph" w:customStyle="1" w:styleId="CEOHeading1-Numbered">
    <w:name w:val="CEO_Heading1-Numbered"/>
    <w:basedOn w:val="CEONormal"/>
    <w:rsid w:val="00C95304"/>
    <w:pPr>
      <w:numPr>
        <w:numId w:val="32"/>
      </w:numPr>
      <w:pBdr>
        <w:bottom w:val="single" w:sz="12" w:space="1" w:color="808080"/>
      </w:pBdr>
    </w:pPr>
    <w:rPr>
      <w:b/>
      <w:bCs/>
      <w:color w:val="808080"/>
      <w:sz w:val="20"/>
    </w:rPr>
  </w:style>
  <w:style w:type="paragraph" w:customStyle="1" w:styleId="CEOHeading1">
    <w:name w:val="CEO_Heading1"/>
    <w:basedOn w:val="CEOHeading1-Numbered"/>
    <w:next w:val="CEONormal"/>
    <w:rsid w:val="00C95304"/>
    <w:pPr>
      <w:numPr>
        <w:numId w:val="0"/>
      </w:numPr>
    </w:pPr>
    <w:rPr>
      <w:lang w:val="fr-CH"/>
    </w:rPr>
  </w:style>
  <w:style w:type="paragraph" w:customStyle="1" w:styleId="CEOIndent1-abc">
    <w:name w:val="CEO_Indent1-abc"/>
    <w:basedOn w:val="CEONormal"/>
    <w:rsid w:val="00C95304"/>
    <w:pPr>
      <w:numPr>
        <w:numId w:val="33"/>
      </w:numPr>
      <w:spacing w:before="60" w:after="60"/>
      <w:ind w:right="709"/>
    </w:pPr>
  </w:style>
  <w:style w:type="paragraph" w:customStyle="1" w:styleId="CEOAbstract">
    <w:name w:val="CEOAbstract"/>
    <w:rsid w:val="00C95304"/>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C95304"/>
    <w:pPr>
      <w:spacing w:before="720"/>
    </w:pPr>
  </w:style>
  <w:style w:type="paragraph" w:customStyle="1" w:styleId="CEOSmall">
    <w:name w:val="CEO_Small"/>
    <w:basedOn w:val="CEONormal"/>
    <w:rsid w:val="00C95304"/>
  </w:style>
  <w:style w:type="paragraph" w:customStyle="1" w:styleId="CEOStartNextPage">
    <w:name w:val="CEO_StartNextPage"/>
    <w:next w:val="CEONormal"/>
    <w:rsid w:val="00C95304"/>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C95304"/>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C95304"/>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C95304"/>
    <w:pPr>
      <w:spacing w:before="120"/>
    </w:pPr>
    <w:rPr>
      <w:rFonts w:ascii="Verdana" w:eastAsia="SimSun" w:hAnsi="Verdana"/>
      <w:bCs/>
      <w:sz w:val="19"/>
      <w:szCs w:val="19"/>
      <w:lang w:val="en-GB" w:eastAsia="en-US"/>
    </w:rPr>
  </w:style>
  <w:style w:type="paragraph" w:customStyle="1" w:styleId="Band">
    <w:name w:val="Band"/>
    <w:basedOn w:val="ECA"/>
    <w:rsid w:val="00AE42B5"/>
  </w:style>
  <w:style w:type="character" w:customStyle="1" w:styleId="WW-Absatz-Standardschriftart">
    <w:name w:val="WW-Absatz-Standardschriftart"/>
    <w:rsid w:val="00C95304"/>
  </w:style>
  <w:style w:type="character" w:customStyle="1" w:styleId="WW-Absatz-Standardschriftart1">
    <w:name w:val="WW-Absatz-Standardschriftart1"/>
    <w:rsid w:val="00C95304"/>
  </w:style>
  <w:style w:type="character" w:customStyle="1" w:styleId="WW-Absatz-Standardschriftart11">
    <w:name w:val="WW-Absatz-Standardschriftart11"/>
    <w:rsid w:val="00C95304"/>
  </w:style>
  <w:style w:type="character" w:customStyle="1" w:styleId="WW-Absatz-Standardschriftart111">
    <w:name w:val="WW-Absatz-Standardschriftart111"/>
    <w:rsid w:val="00C95304"/>
  </w:style>
  <w:style w:type="character" w:customStyle="1" w:styleId="WW-Absatz-Standardschriftart1111">
    <w:name w:val="WW-Absatz-Standardschriftart1111"/>
    <w:rsid w:val="00C95304"/>
  </w:style>
  <w:style w:type="character" w:customStyle="1" w:styleId="WW-Absatz-Standardschriftart11111">
    <w:name w:val="WW-Absatz-Standardschriftart11111"/>
    <w:rsid w:val="00C95304"/>
  </w:style>
  <w:style w:type="character" w:customStyle="1" w:styleId="WW-Absatz-Standardschriftart111111">
    <w:name w:val="WW-Absatz-Standardschriftart111111"/>
    <w:rsid w:val="00C95304"/>
  </w:style>
  <w:style w:type="character" w:customStyle="1" w:styleId="WW-Absatz-Standardschriftart1111111">
    <w:name w:val="WW-Absatz-Standardschriftart1111111"/>
    <w:rsid w:val="00C95304"/>
  </w:style>
  <w:style w:type="character" w:customStyle="1" w:styleId="WW-Absatz-Standardschriftart11111111">
    <w:name w:val="WW-Absatz-Standardschriftart11111111"/>
    <w:rsid w:val="00C95304"/>
  </w:style>
  <w:style w:type="character" w:customStyle="1" w:styleId="WW-Absatz-Standardschriftart111111111">
    <w:name w:val="WW-Absatz-Standardschriftart111111111"/>
    <w:rsid w:val="00C95304"/>
  </w:style>
  <w:style w:type="character" w:customStyle="1" w:styleId="WW-Absatz-Standardschriftart1111111111">
    <w:name w:val="WW-Absatz-Standardschriftart1111111111"/>
    <w:rsid w:val="00C95304"/>
  </w:style>
  <w:style w:type="character" w:customStyle="1" w:styleId="WW-Absatz-Standardschriftart11111111111">
    <w:name w:val="WW-Absatz-Standardschriftart11111111111"/>
    <w:rsid w:val="00C95304"/>
  </w:style>
  <w:style w:type="character" w:customStyle="1" w:styleId="WW-Absatz-Standardschriftart111111111111">
    <w:name w:val="WW-Absatz-Standardschriftart111111111111"/>
    <w:rsid w:val="00C95304"/>
  </w:style>
  <w:style w:type="character" w:customStyle="1" w:styleId="WW-Absatz-Standardschriftart1111111111111">
    <w:name w:val="WW-Absatz-Standardschriftart1111111111111"/>
    <w:rsid w:val="00C95304"/>
  </w:style>
  <w:style w:type="character" w:customStyle="1" w:styleId="WW-Absatz-Standardschriftart11111111111111">
    <w:name w:val="WW-Absatz-Standardschriftart11111111111111"/>
    <w:rsid w:val="00C95304"/>
  </w:style>
  <w:style w:type="character" w:customStyle="1" w:styleId="WW-Absatz-Standardschriftart1111111111111111">
    <w:name w:val="WW-Absatz-Standardschriftart1111111111111111"/>
    <w:rsid w:val="00C95304"/>
  </w:style>
  <w:style w:type="character" w:customStyle="1" w:styleId="Policepardfaut">
    <w:name w:val="Police par défaut"/>
    <w:rsid w:val="00C95304"/>
  </w:style>
  <w:style w:type="character" w:customStyle="1" w:styleId="WW-Absatz-Standardschriftart11111111111111111">
    <w:name w:val="WW-Absatz-Standardschriftart11111111111111111"/>
    <w:rsid w:val="00C95304"/>
  </w:style>
  <w:style w:type="character" w:customStyle="1" w:styleId="WW-Absatz-Standardschriftart111111111111111111">
    <w:name w:val="WW-Absatz-Standardschriftart111111111111111111"/>
    <w:rsid w:val="00C95304"/>
  </w:style>
  <w:style w:type="character" w:customStyle="1" w:styleId="WW-Absatz-Standardschriftart1111111111111111111">
    <w:name w:val="WW-Absatz-Standardschriftart1111111111111111111"/>
    <w:rsid w:val="00C95304"/>
  </w:style>
  <w:style w:type="character" w:customStyle="1" w:styleId="WW8Num5z0">
    <w:name w:val="WW8Num5z0"/>
    <w:rsid w:val="00C95304"/>
    <w:rPr>
      <w:rFonts w:ascii="Symbol" w:hAnsi="Symbol"/>
    </w:rPr>
  </w:style>
  <w:style w:type="character" w:customStyle="1" w:styleId="WW8Num6z0">
    <w:name w:val="WW8Num6z0"/>
    <w:rsid w:val="00C95304"/>
    <w:rPr>
      <w:rFonts w:ascii="Symbol" w:hAnsi="Symbol"/>
    </w:rPr>
  </w:style>
  <w:style w:type="character" w:customStyle="1" w:styleId="WW8Num7z0">
    <w:name w:val="WW8Num7z0"/>
    <w:rsid w:val="00C95304"/>
    <w:rPr>
      <w:rFonts w:ascii="Symbol" w:hAnsi="Symbol"/>
    </w:rPr>
  </w:style>
  <w:style w:type="character" w:customStyle="1" w:styleId="WW8Num8z0">
    <w:name w:val="WW8Num8z0"/>
    <w:rsid w:val="00C95304"/>
    <w:rPr>
      <w:rFonts w:ascii="Symbol" w:hAnsi="Symbol"/>
    </w:rPr>
  </w:style>
  <w:style w:type="character" w:customStyle="1" w:styleId="WW8Num10z0">
    <w:name w:val="WW8Num10z0"/>
    <w:rsid w:val="00C95304"/>
    <w:rPr>
      <w:rFonts w:ascii="Symbol" w:hAnsi="Symbol"/>
    </w:rPr>
  </w:style>
  <w:style w:type="character" w:customStyle="1" w:styleId="WW8Num13z0">
    <w:name w:val="WW8Num13z0"/>
    <w:rsid w:val="00C95304"/>
    <w:rPr>
      <w:rFonts w:ascii="Verdana" w:hAnsi="Verdana"/>
      <w:b w:val="0"/>
      <w:i w:val="0"/>
      <w:color w:val="auto"/>
      <w:sz w:val="18"/>
    </w:rPr>
  </w:style>
  <w:style w:type="character" w:customStyle="1" w:styleId="WW8NumSt11z0">
    <w:name w:val="WW8NumSt11z0"/>
    <w:rsid w:val="00C95304"/>
    <w:rPr>
      <w:rFonts w:ascii="Symbol" w:hAnsi="Symbol"/>
    </w:rPr>
  </w:style>
  <w:style w:type="character" w:customStyle="1" w:styleId="MOS-NormalChar">
    <w:name w:val="MOS-Normal Char"/>
    <w:basedOn w:val="DefaultParagraphFont"/>
    <w:rsid w:val="00C95304"/>
    <w:rPr>
      <w:rFonts w:ascii="Verdana" w:eastAsia="SimSun" w:hAnsi="Verdana" w:cs="Traditional Arabic"/>
      <w:noProof w:val="0"/>
      <w:sz w:val="18"/>
      <w:szCs w:val="28"/>
      <w:lang w:val="en-GB" w:eastAsia="ar-SA" w:bidi="ar-SA"/>
    </w:rPr>
  </w:style>
  <w:style w:type="character" w:customStyle="1" w:styleId="MOSQuestionNameChar">
    <w:name w:val="MOSQuestionName Char"/>
    <w:basedOn w:val="MOS-NormalChar"/>
    <w:rsid w:val="00C95304"/>
    <w:rPr>
      <w:b/>
      <w:bCs/>
    </w:rPr>
  </w:style>
  <w:style w:type="character" w:customStyle="1" w:styleId="MOSForActionCharChar">
    <w:name w:val="MOSForAction Char Char"/>
    <w:basedOn w:val="MOSQuestionNameChar"/>
    <w:rsid w:val="00C95304"/>
  </w:style>
  <w:style w:type="character" w:customStyle="1" w:styleId="MOSForInfoChar">
    <w:name w:val="MOSForInfo Char"/>
    <w:basedOn w:val="MOSQuestionNameChar"/>
    <w:rsid w:val="00C95304"/>
  </w:style>
  <w:style w:type="character" w:customStyle="1" w:styleId="Mos-NormalBoldChar">
    <w:name w:val="Mos-NormalBold Char"/>
    <w:basedOn w:val="MOS-NormalChar"/>
    <w:rsid w:val="00C95304"/>
    <w:rPr>
      <w:b/>
    </w:rPr>
  </w:style>
  <w:style w:type="character" w:customStyle="1" w:styleId="Puces">
    <w:name w:val="Puces"/>
    <w:rsid w:val="00C95304"/>
    <w:rPr>
      <w:rFonts w:ascii="StarSymbol" w:eastAsia="StarSymbol" w:hAnsi="StarSymbol" w:cs="StarSymbol"/>
      <w:sz w:val="18"/>
      <w:szCs w:val="18"/>
    </w:rPr>
  </w:style>
  <w:style w:type="character" w:customStyle="1" w:styleId="Caractresdenumrotation">
    <w:name w:val="Caractères de numérotation"/>
    <w:rsid w:val="00C95304"/>
  </w:style>
  <w:style w:type="paragraph" w:customStyle="1" w:styleId="Titre">
    <w:name w:val="Titre"/>
    <w:basedOn w:val="Normal"/>
    <w:next w:val="BodyText"/>
    <w:rsid w:val="00C9530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character" w:customStyle="1" w:styleId="BodyTextChar">
    <w:name w:val="Body Text Char"/>
    <w:basedOn w:val="DefaultParagraphFont"/>
    <w:link w:val="BodyText"/>
    <w:rsid w:val="00C95304"/>
    <w:rPr>
      <w:rFonts w:ascii="Times New Roman" w:hAnsi="Times New Roman"/>
      <w:bCs/>
      <w:sz w:val="22"/>
      <w:lang w:eastAsia="en-US"/>
    </w:rPr>
  </w:style>
  <w:style w:type="paragraph" w:styleId="List">
    <w:name w:val="List"/>
    <w:basedOn w:val="BodyText"/>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bCs w:val="0"/>
      <w:sz w:val="20"/>
      <w:lang w:eastAsia="ar-SA"/>
    </w:rPr>
  </w:style>
  <w:style w:type="paragraph" w:customStyle="1" w:styleId="Lgende">
    <w:name w:val="Légende"/>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Rpertoire">
    <w:name w:val="Répertoire"/>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sz w:val="20"/>
      <w:lang w:val="en-US" w:eastAsia="ar-SA"/>
    </w:rPr>
  </w:style>
  <w:style w:type="paragraph" w:customStyle="1" w:styleId="Titre1">
    <w:name w:val="Titre1"/>
    <w:basedOn w:val="Normal"/>
    <w:next w:val="BodyText"/>
    <w:rsid w:val="00C9530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Lgende1">
    <w:name w:val="Légende1"/>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MOS-SGHeader">
    <w:name w:val="MOS-SGHeader"/>
    <w:basedOn w:val="Normal"/>
    <w:rsid w:val="00C95304"/>
    <w:pPr>
      <w:tabs>
        <w:tab w:val="clear" w:pos="794"/>
        <w:tab w:val="clear" w:pos="1191"/>
        <w:tab w:val="clear" w:pos="1588"/>
        <w:tab w:val="clear" w:pos="1985"/>
      </w:tabs>
      <w:suppressAutoHyphens/>
      <w:overflowPunct/>
      <w:autoSpaceDE/>
      <w:autoSpaceDN/>
      <w:adjustRightInd/>
      <w:spacing w:before="360" w:after="48" w:line="240" w:lineRule="atLeast"/>
      <w:jc w:val="left"/>
      <w:textAlignment w:val="auto"/>
    </w:pPr>
    <w:rPr>
      <w:rFonts w:ascii="Verdana" w:eastAsia="SimSun" w:hAnsi="Verdana" w:cs="Times"/>
      <w:b/>
      <w:position w:val="26"/>
      <w:sz w:val="26"/>
      <w:szCs w:val="26"/>
      <w:lang w:val="en-US" w:eastAsia="ar-SA"/>
    </w:rPr>
  </w:style>
  <w:style w:type="paragraph" w:styleId="EnvelopeAddress">
    <w:name w:val="envelope address"/>
    <w:basedOn w:val="Normal"/>
    <w:rsid w:val="00C95304"/>
    <w:pPr>
      <w:tabs>
        <w:tab w:val="clear" w:pos="794"/>
        <w:tab w:val="clear" w:pos="1191"/>
        <w:tab w:val="clear" w:pos="1588"/>
        <w:tab w:val="clear" w:pos="1985"/>
      </w:tabs>
      <w:suppressAutoHyphens/>
      <w:overflowPunct/>
      <w:autoSpaceDE/>
      <w:autoSpaceDN/>
      <w:adjustRightInd/>
      <w:spacing w:after="120"/>
      <w:ind w:left="2880"/>
      <w:jc w:val="left"/>
      <w:textAlignment w:val="auto"/>
    </w:pPr>
    <w:rPr>
      <w:rFonts w:ascii="Trebuchet MS" w:eastAsia="SimSun" w:hAnsi="Trebuchet MS" w:cs="Arial"/>
      <w:sz w:val="24"/>
      <w:szCs w:val="24"/>
      <w:lang w:val="en-US" w:eastAsia="ar-SA"/>
    </w:rPr>
  </w:style>
  <w:style w:type="paragraph" w:styleId="EnvelopeReturn">
    <w:name w:val="envelope return"/>
    <w:basedOn w:val="Normal"/>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Verdana" w:eastAsia="SimSun" w:hAnsi="Verdana" w:cs="Arial"/>
      <w:sz w:val="20"/>
      <w:lang w:val="en-US" w:eastAsia="ar-SA"/>
    </w:rPr>
  </w:style>
  <w:style w:type="paragraph" w:customStyle="1" w:styleId="MOS-Normal">
    <w:name w:val="MOS-Normal"/>
    <w:rsid w:val="00C95304"/>
    <w:pPr>
      <w:suppressAutoHyphens/>
      <w:spacing w:before="120" w:after="120"/>
    </w:pPr>
    <w:rPr>
      <w:rFonts w:ascii="Verdana" w:eastAsia="SimSun" w:hAnsi="Verdana" w:cs="Traditional Arabic"/>
      <w:sz w:val="18"/>
      <w:szCs w:val="28"/>
      <w:lang w:val="en-GB" w:eastAsia="ar-SA"/>
    </w:rPr>
  </w:style>
  <w:style w:type="paragraph" w:customStyle="1" w:styleId="MOSSignature">
    <w:name w:val="MOSSignature"/>
    <w:basedOn w:val="Normal"/>
    <w:rsid w:val="00C95304"/>
    <w:pPr>
      <w:tabs>
        <w:tab w:val="clear" w:pos="794"/>
        <w:tab w:val="clear" w:pos="1191"/>
        <w:tab w:val="clear" w:pos="1588"/>
        <w:tab w:val="clear" w:pos="1985"/>
      </w:tabs>
      <w:suppressAutoHyphens/>
      <w:overflowPunct/>
      <w:autoSpaceDE/>
      <w:autoSpaceDN/>
      <w:adjustRightInd/>
      <w:spacing w:before="720"/>
      <w:jc w:val="left"/>
      <w:textAlignment w:val="auto"/>
    </w:pPr>
    <w:rPr>
      <w:rFonts w:ascii="Verdana" w:eastAsia="SimSun" w:hAnsi="Verdana"/>
      <w:sz w:val="18"/>
      <w:lang w:eastAsia="ar-SA"/>
    </w:rPr>
  </w:style>
  <w:style w:type="paragraph" w:customStyle="1" w:styleId="MOS-SignatureTitle">
    <w:name w:val="MOS-SignatureTitle"/>
    <w:basedOn w:val="MOSSignature"/>
    <w:rsid w:val="00C95304"/>
    <w:pPr>
      <w:spacing w:before="0"/>
    </w:pPr>
  </w:style>
  <w:style w:type="paragraph" w:customStyle="1" w:styleId="MOSFooter">
    <w:name w:val="MOSFooter"/>
    <w:basedOn w:val="Normal"/>
    <w:rsid w:val="00C95304"/>
    <w:pPr>
      <w:tabs>
        <w:tab w:val="clear" w:pos="794"/>
        <w:tab w:val="clear" w:pos="1191"/>
        <w:tab w:val="clear" w:pos="1588"/>
        <w:tab w:val="clear" w:pos="1985"/>
        <w:tab w:val="right" w:pos="9072"/>
      </w:tabs>
      <w:suppressAutoHyphens/>
      <w:overflowPunct/>
      <w:autoSpaceDE/>
      <w:autoSpaceDN/>
      <w:adjustRightInd/>
      <w:spacing w:before="0"/>
      <w:jc w:val="left"/>
      <w:textAlignment w:val="auto"/>
    </w:pPr>
    <w:rPr>
      <w:rFonts w:ascii="Verdana" w:eastAsia="SimSun" w:hAnsi="Verdana"/>
      <w:sz w:val="16"/>
      <w:lang w:eastAsia="ar-SA"/>
    </w:rPr>
  </w:style>
  <w:style w:type="paragraph" w:customStyle="1" w:styleId="MOSAnnex">
    <w:name w:val="MOSAnnex"/>
    <w:basedOn w:val="MOS-SignatureTitle"/>
    <w:rsid w:val="00C95304"/>
    <w:pPr>
      <w:spacing w:before="1000"/>
    </w:pPr>
  </w:style>
  <w:style w:type="paragraph" w:customStyle="1" w:styleId="MOSBureau">
    <w:name w:val="MOSBureau"/>
    <w:basedOn w:val="Normal"/>
    <w:rsid w:val="00C95304"/>
    <w:pPr>
      <w:tabs>
        <w:tab w:val="clear" w:pos="794"/>
        <w:tab w:val="clear" w:pos="1191"/>
        <w:tab w:val="clear" w:pos="1588"/>
        <w:tab w:val="clear" w:pos="1985"/>
        <w:tab w:val="right" w:pos="8732"/>
      </w:tabs>
      <w:suppressAutoHyphens/>
      <w:overflowPunct/>
      <w:autoSpaceDE/>
      <w:autoSpaceDN/>
      <w:adjustRightInd/>
      <w:jc w:val="left"/>
      <w:textAlignment w:val="auto"/>
    </w:pPr>
    <w:rPr>
      <w:rFonts w:ascii="Futura Lt BT" w:hAnsi="Futura Lt BT"/>
      <w:sz w:val="28"/>
      <w:lang w:val="en-US" w:eastAsia="he-IL" w:bidi="he-IL"/>
    </w:rPr>
  </w:style>
  <w:style w:type="paragraph" w:customStyle="1" w:styleId="MOSLetterHead-Contacts">
    <w:name w:val="MOSLetterHead-Contacts"/>
    <w:basedOn w:val="Normal"/>
    <w:next w:val="Normal"/>
    <w:rsid w:val="00C95304"/>
    <w:pPr>
      <w:tabs>
        <w:tab w:val="clear" w:pos="794"/>
        <w:tab w:val="clear" w:pos="1191"/>
        <w:tab w:val="clear" w:pos="1588"/>
        <w:tab w:val="clear" w:pos="1985"/>
        <w:tab w:val="left" w:pos="8364"/>
      </w:tabs>
      <w:suppressAutoHyphens/>
      <w:overflowPunct/>
      <w:autoSpaceDE/>
      <w:autoSpaceDN/>
      <w:adjustRightInd/>
      <w:snapToGrid w:val="0"/>
      <w:spacing w:before="20" w:after="20"/>
      <w:jc w:val="left"/>
      <w:textAlignment w:val="auto"/>
    </w:pPr>
    <w:rPr>
      <w:rFonts w:ascii="Futura Lt BT" w:eastAsia="SimSun" w:hAnsi="Futura Lt BT"/>
      <w:spacing w:val="20"/>
      <w:sz w:val="20"/>
      <w:lang w:val="de-DE" w:eastAsia="ar-SA"/>
    </w:rPr>
  </w:style>
  <w:style w:type="paragraph" w:customStyle="1" w:styleId="MOS-Date">
    <w:name w:val="MOS-Date"/>
    <w:basedOn w:val="Normal"/>
    <w:rsid w:val="00C95304"/>
    <w:pPr>
      <w:tabs>
        <w:tab w:val="clear" w:pos="794"/>
        <w:tab w:val="clear" w:pos="1191"/>
        <w:tab w:val="clear" w:pos="1588"/>
        <w:tab w:val="clear" w:pos="1985"/>
      </w:tabs>
      <w:suppressAutoHyphens/>
      <w:overflowPunct/>
      <w:autoSpaceDE/>
      <w:autoSpaceDN/>
      <w:adjustRightInd/>
      <w:spacing w:after="120"/>
      <w:ind w:left="34" w:right="317"/>
      <w:jc w:val="right"/>
      <w:textAlignment w:val="auto"/>
    </w:pPr>
    <w:rPr>
      <w:rFonts w:ascii="Verdana" w:eastAsia="SimSun" w:hAnsi="Verdana"/>
      <w:sz w:val="18"/>
      <w:lang w:eastAsia="ar-SA"/>
    </w:rPr>
  </w:style>
  <w:style w:type="paragraph" w:customStyle="1" w:styleId="MOSAPContacts">
    <w:name w:val="MOSAPContacts"/>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sz w:val="18"/>
      <w:lang w:eastAsia="ar-SA"/>
    </w:rPr>
  </w:style>
  <w:style w:type="paragraph" w:customStyle="1" w:styleId="MOSLetterHead-AddLine12">
    <w:name w:val="MOSLetterHead-AddLine1_2"/>
    <w:basedOn w:val="Normal"/>
    <w:rsid w:val="00C95304"/>
    <w:pPr>
      <w:tabs>
        <w:tab w:val="clear" w:pos="794"/>
        <w:tab w:val="clear" w:pos="1191"/>
        <w:tab w:val="clear" w:pos="1588"/>
        <w:tab w:val="clear" w:pos="1985"/>
      </w:tabs>
      <w:suppressAutoHyphens/>
      <w:overflowPunct/>
      <w:autoSpaceDE/>
      <w:autoSpaceDN/>
      <w:adjustRightInd/>
      <w:spacing w:before="0"/>
      <w:ind w:left="34" w:right="318"/>
      <w:jc w:val="left"/>
      <w:textAlignment w:val="auto"/>
    </w:pPr>
    <w:rPr>
      <w:rFonts w:ascii="Futura Lt BT" w:eastAsia="SimSun" w:hAnsi="Futura Lt BT"/>
      <w:b/>
      <w:sz w:val="18"/>
      <w:lang w:eastAsia="ar-SA"/>
    </w:rPr>
  </w:style>
  <w:style w:type="paragraph" w:customStyle="1" w:styleId="MOSLetterHead-AddLine3">
    <w:name w:val="MOSLetterHead-AddLine3"/>
    <w:basedOn w:val="Normal"/>
    <w:rsid w:val="00C95304"/>
    <w:pPr>
      <w:tabs>
        <w:tab w:val="clear" w:pos="794"/>
        <w:tab w:val="clear" w:pos="1191"/>
        <w:tab w:val="clear" w:pos="1588"/>
        <w:tab w:val="clear" w:pos="1985"/>
      </w:tabs>
      <w:suppressAutoHyphens/>
      <w:overflowPunct/>
      <w:autoSpaceDE/>
      <w:autoSpaceDN/>
      <w:adjustRightInd/>
      <w:spacing w:before="0" w:after="120"/>
      <w:ind w:left="34" w:right="318"/>
      <w:jc w:val="left"/>
      <w:textAlignment w:val="auto"/>
    </w:pPr>
    <w:rPr>
      <w:rFonts w:ascii="Futura Lt BT" w:eastAsia="SimSun" w:hAnsi="Futura Lt BT"/>
      <w:b/>
      <w:sz w:val="18"/>
      <w:lang w:eastAsia="ar-SA"/>
    </w:rPr>
  </w:style>
  <w:style w:type="paragraph" w:customStyle="1" w:styleId="MOSLetterHead-Addline12Right">
    <w:name w:val="MOSLetterHead-Addline1_2Right"/>
    <w:basedOn w:val="Normal"/>
    <w:rsid w:val="00C95304"/>
    <w:pPr>
      <w:tabs>
        <w:tab w:val="clear" w:pos="794"/>
        <w:tab w:val="clear" w:pos="1191"/>
        <w:tab w:val="clear" w:pos="1588"/>
        <w:tab w:val="clear" w:pos="1985"/>
      </w:tabs>
      <w:suppressAutoHyphens/>
      <w:overflowPunct/>
      <w:autoSpaceDE/>
      <w:autoSpaceDN/>
      <w:adjustRightInd/>
      <w:spacing w:before="0"/>
      <w:ind w:left="34"/>
      <w:jc w:val="right"/>
      <w:textAlignment w:val="auto"/>
    </w:pPr>
    <w:rPr>
      <w:rFonts w:ascii="Futura Lt BT" w:eastAsia="SimSun" w:hAnsi="Futura Lt BT"/>
      <w:b/>
      <w:sz w:val="18"/>
      <w:lang w:eastAsia="ar-SA"/>
    </w:rPr>
  </w:style>
  <w:style w:type="paragraph" w:customStyle="1" w:styleId="MOSLetterHead-AddLine3Right">
    <w:name w:val="MOSLetterHead-AddLine3Right"/>
    <w:basedOn w:val="MOSLetterHead-Addline12Right"/>
    <w:rsid w:val="00C95304"/>
  </w:style>
  <w:style w:type="paragraph" w:customStyle="1" w:styleId="MOSSectionBreauCircular">
    <w:name w:val="MOSSectionBreauCircular"/>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Trebuchet MS" w:eastAsia="SimSun" w:hAnsi="Trebuchet MS"/>
      <w:b/>
      <w:bCs/>
      <w:sz w:val="8"/>
      <w:szCs w:val="8"/>
      <w:lang w:eastAsia="ar-SA"/>
    </w:rPr>
  </w:style>
  <w:style w:type="paragraph" w:customStyle="1" w:styleId="MOSEmdashList">
    <w:name w:val="MOSEmdashList"/>
    <w:basedOn w:val="Normal"/>
    <w:rsid w:val="00C95304"/>
    <w:pPr>
      <w:tabs>
        <w:tab w:val="clear" w:pos="794"/>
        <w:tab w:val="clear" w:pos="1191"/>
        <w:tab w:val="clear" w:pos="1588"/>
        <w:tab w:val="clear" w:pos="1985"/>
        <w:tab w:val="left" w:pos="459"/>
      </w:tabs>
      <w:suppressAutoHyphens/>
      <w:overflowPunct/>
      <w:autoSpaceDE/>
      <w:autoSpaceDN/>
      <w:adjustRightInd/>
      <w:spacing w:before="0"/>
      <w:ind w:left="-1100"/>
      <w:jc w:val="left"/>
      <w:textAlignment w:val="auto"/>
    </w:pPr>
    <w:rPr>
      <w:rFonts w:ascii="Verdana" w:eastAsia="SimSun" w:hAnsi="Verdana"/>
      <w:sz w:val="20"/>
      <w:lang w:val="en-US" w:eastAsia="ar-SA"/>
    </w:rPr>
  </w:style>
  <w:style w:type="paragraph" w:customStyle="1" w:styleId="MOSPage">
    <w:name w:val="MOSPage"/>
    <w:basedOn w:val="MOSFooter"/>
    <w:rsid w:val="00C95304"/>
    <w:pPr>
      <w:jc w:val="right"/>
    </w:pPr>
    <w:rPr>
      <w:smallCaps/>
      <w:spacing w:val="24"/>
      <w:szCs w:val="18"/>
      <w:lang w:val="fr-CH"/>
    </w:rPr>
  </w:style>
  <w:style w:type="paragraph" w:customStyle="1" w:styleId="MOSSourceTitle">
    <w:name w:val="MOSSource_Title"/>
    <w:basedOn w:val="Normal"/>
    <w:rsid w:val="00C95304"/>
    <w:pPr>
      <w:tabs>
        <w:tab w:val="clear" w:pos="794"/>
        <w:tab w:val="clear" w:pos="1191"/>
        <w:tab w:val="clear" w:pos="1588"/>
        <w:tab w:val="clear" w:pos="1985"/>
      </w:tabs>
      <w:suppressAutoHyphens/>
      <w:overflowPunct/>
      <w:autoSpaceDE/>
      <w:autoSpaceDN/>
      <w:adjustRightInd/>
      <w:spacing w:before="60" w:after="60"/>
      <w:jc w:val="left"/>
      <w:textAlignment w:val="auto"/>
    </w:pPr>
    <w:rPr>
      <w:rFonts w:ascii="Verdana" w:eastAsia="SimSun" w:hAnsi="Verdana"/>
      <w:b/>
      <w:bCs/>
      <w:sz w:val="18"/>
      <w:lang w:eastAsia="ar-SA"/>
    </w:rPr>
  </w:style>
  <w:style w:type="paragraph" w:customStyle="1" w:styleId="MOSQuestionName">
    <w:name w:val="MOSQuestionName"/>
    <w:basedOn w:val="MOS-Normal"/>
    <w:rsid w:val="00C95304"/>
    <w:rPr>
      <w:b/>
      <w:bCs/>
    </w:rPr>
  </w:style>
  <w:style w:type="paragraph" w:customStyle="1" w:styleId="MOSMeetingName">
    <w:name w:val="MOSMeetingName"/>
    <w:basedOn w:val="Normal"/>
    <w:rsid w:val="00C95304"/>
    <w:pPr>
      <w:tabs>
        <w:tab w:val="clear" w:pos="794"/>
        <w:tab w:val="clear" w:pos="1191"/>
        <w:tab w:val="clear" w:pos="1588"/>
        <w:tab w:val="clear" w:pos="1985"/>
        <w:tab w:val="left" w:pos="851"/>
      </w:tabs>
      <w:suppressAutoHyphens/>
      <w:overflowPunct/>
      <w:autoSpaceDE/>
      <w:autoSpaceDN/>
      <w:adjustRightInd/>
      <w:spacing w:after="120" w:line="240" w:lineRule="atLeast"/>
      <w:jc w:val="left"/>
      <w:textAlignment w:val="auto"/>
    </w:pPr>
    <w:rPr>
      <w:rFonts w:ascii="Verdana" w:eastAsia="SimSun" w:hAnsi="Verdana"/>
      <w:b/>
      <w:sz w:val="20"/>
      <w:lang w:val="en-US" w:eastAsia="ar-SA"/>
    </w:rPr>
  </w:style>
  <w:style w:type="paragraph" w:customStyle="1" w:styleId="MOSDocInfo">
    <w:name w:val="MOSDocInfo"/>
    <w:basedOn w:val="Normal"/>
    <w:rsid w:val="00C95304"/>
    <w:pPr>
      <w:tabs>
        <w:tab w:val="clear" w:pos="794"/>
        <w:tab w:val="clear" w:pos="1191"/>
        <w:tab w:val="clear" w:pos="1588"/>
        <w:tab w:val="clear" w:pos="1985"/>
        <w:tab w:val="left" w:pos="851"/>
      </w:tabs>
      <w:suppressAutoHyphens/>
      <w:overflowPunct/>
      <w:autoSpaceDE/>
      <w:autoSpaceDN/>
      <w:adjustRightInd/>
      <w:spacing w:before="0" w:line="240" w:lineRule="atLeast"/>
      <w:ind w:left="97"/>
      <w:jc w:val="left"/>
      <w:textAlignment w:val="auto"/>
    </w:pPr>
    <w:rPr>
      <w:rFonts w:ascii="Verdana" w:eastAsia="SimSun" w:hAnsi="Verdana"/>
      <w:b/>
      <w:sz w:val="20"/>
      <w:lang w:eastAsia="ar-SA"/>
    </w:rPr>
  </w:style>
  <w:style w:type="paragraph" w:customStyle="1" w:styleId="MOSTableDocs">
    <w:name w:val="MOSTableDocs"/>
    <w:basedOn w:val="Normal"/>
    <w:rsid w:val="00C95304"/>
    <w:pPr>
      <w:tabs>
        <w:tab w:val="clear" w:pos="794"/>
        <w:tab w:val="clear" w:pos="1191"/>
        <w:tab w:val="clear" w:pos="1588"/>
        <w:tab w:val="clear" w:pos="1985"/>
      </w:tabs>
      <w:suppressAutoHyphens/>
      <w:overflowPunct/>
      <w:autoSpaceDE/>
      <w:autoSpaceDN/>
      <w:adjustRightInd/>
      <w:spacing w:after="120"/>
      <w:jc w:val="center"/>
      <w:textAlignment w:val="auto"/>
    </w:pPr>
    <w:rPr>
      <w:rFonts w:ascii="Verdana" w:eastAsia="SimSun" w:hAnsi="Verdana"/>
      <w:b/>
      <w:bCs/>
      <w:sz w:val="18"/>
      <w:lang w:eastAsia="ar-SA"/>
    </w:rPr>
  </w:style>
  <w:style w:type="paragraph" w:customStyle="1" w:styleId="MOS-SGFooterAdd">
    <w:name w:val="MOS-SGFooterAdd"/>
    <w:basedOn w:val="Footer"/>
    <w:rsid w:val="00C9530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Univers Extended"/>
      <w:caps w:val="0"/>
      <w:noProof w:val="0"/>
      <w:szCs w:val="16"/>
      <w:lang w:val="fr-CH" w:eastAsia="ar-SA"/>
    </w:rPr>
  </w:style>
  <w:style w:type="paragraph" w:customStyle="1" w:styleId="MOSNormalCentered">
    <w:name w:val="MOSNormalCentered"/>
    <w:basedOn w:val="MOS-Normal"/>
    <w:rsid w:val="00C95304"/>
    <w:pPr>
      <w:jc w:val="center"/>
    </w:pPr>
  </w:style>
  <w:style w:type="paragraph" w:customStyle="1" w:styleId="MOSFooterAddress">
    <w:name w:val="MOSFooterAddress"/>
    <w:basedOn w:val="Footer"/>
    <w:rsid w:val="00C9530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Wingdings"/>
      <w:bCs/>
      <w:caps w:val="0"/>
      <w:noProof w:val="0"/>
      <w:spacing w:val="22"/>
      <w:sz w:val="14"/>
      <w:szCs w:val="14"/>
      <w:lang w:val="fr-CH" w:eastAsia="ar-SA"/>
    </w:rPr>
  </w:style>
  <w:style w:type="paragraph" w:customStyle="1" w:styleId="MOS-TickBox">
    <w:name w:val="MOS-TickBox"/>
    <w:basedOn w:val="MOSQuestionName"/>
    <w:rsid w:val="00C95304"/>
    <w:pPr>
      <w:spacing w:before="40"/>
      <w:ind w:left="51" w:right="851"/>
      <w:jc w:val="right"/>
    </w:pPr>
    <w:rPr>
      <w:bCs w:val="0"/>
      <w:iCs/>
      <w:sz w:val="16"/>
      <w:szCs w:val="16"/>
    </w:rPr>
  </w:style>
  <w:style w:type="paragraph" w:customStyle="1" w:styleId="MOSForAction">
    <w:name w:val="MOSForAction"/>
    <w:basedOn w:val="MOSQuestionName"/>
    <w:rsid w:val="00C95304"/>
    <w:pPr>
      <w:tabs>
        <w:tab w:val="right" w:pos="2596"/>
        <w:tab w:val="right" w:pos="3736"/>
      </w:tabs>
      <w:spacing w:before="200"/>
      <w:ind w:left="193" w:right="142"/>
    </w:pPr>
  </w:style>
  <w:style w:type="paragraph" w:customStyle="1" w:styleId="MOSForInfo">
    <w:name w:val="MOSForInfo"/>
    <w:basedOn w:val="MOSQuestionName"/>
    <w:rsid w:val="00C95304"/>
    <w:pPr>
      <w:tabs>
        <w:tab w:val="right" w:pos="2596"/>
        <w:tab w:val="right" w:pos="3877"/>
      </w:tabs>
      <w:spacing w:after="0"/>
      <w:ind w:left="193"/>
    </w:pPr>
  </w:style>
  <w:style w:type="paragraph" w:customStyle="1" w:styleId="Mos-NormalBold">
    <w:name w:val="Mos-NormalBold"/>
    <w:basedOn w:val="MOS-Normal"/>
    <w:rsid w:val="00C95304"/>
    <w:pPr>
      <w:tabs>
        <w:tab w:val="left" w:pos="3660"/>
        <w:tab w:val="left" w:pos="4253"/>
        <w:tab w:val="left" w:pos="5529"/>
      </w:tabs>
      <w:snapToGrid w:val="0"/>
    </w:pPr>
    <w:rPr>
      <w:b/>
    </w:rPr>
  </w:style>
  <w:style w:type="paragraph" w:customStyle="1" w:styleId="MOSAbstract">
    <w:name w:val="MOSAbstract"/>
    <w:basedOn w:val="Mos-NormalBold"/>
    <w:rsid w:val="00C95304"/>
    <w:pPr>
      <w:jc w:val="center"/>
    </w:pPr>
    <w:rPr>
      <w:sz w:val="22"/>
      <w:szCs w:val="22"/>
    </w:rPr>
  </w:style>
  <w:style w:type="paragraph" w:customStyle="1" w:styleId="MOSAbstractNoteStartDoc">
    <w:name w:val="MOSAbstractNote_StartDoc"/>
    <w:basedOn w:val="MOSFooterAddress"/>
    <w:rsid w:val="00C95304"/>
    <w:pPr>
      <w:spacing w:before="0"/>
    </w:pPr>
    <w:rPr>
      <w:rFonts w:ascii="Arial" w:hAnsi="Arial" w:cs="Arial"/>
      <w:sz w:val="16"/>
      <w:szCs w:val="16"/>
    </w:rPr>
  </w:style>
  <w:style w:type="paragraph" w:customStyle="1" w:styleId="MOSAbstractText">
    <w:name w:val="MOSAbstractText"/>
    <w:basedOn w:val="MOS-Normal"/>
    <w:rsid w:val="00C95304"/>
    <w:pPr>
      <w:ind w:left="142" w:right="284"/>
    </w:pPr>
  </w:style>
  <w:style w:type="paragraph" w:customStyle="1" w:styleId="MOS-BoxText">
    <w:name w:val="MOS-BoxText"/>
    <w:basedOn w:val="MOS-Normal"/>
    <w:rsid w:val="00C95304"/>
    <w:pPr>
      <w:spacing w:before="0" w:after="0"/>
      <w:jc w:val="center"/>
    </w:pPr>
  </w:style>
  <w:style w:type="paragraph" w:customStyle="1" w:styleId="MOS-SquareBox">
    <w:name w:val="MOS-SquareBox"/>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cs="Traditional Arabic"/>
      <w:sz w:val="18"/>
      <w:szCs w:val="28"/>
      <w:lang w:eastAsia="ar-SA"/>
    </w:rPr>
  </w:style>
  <w:style w:type="paragraph" w:customStyle="1" w:styleId="Contenudetableau">
    <w:name w:val="Contenu de tableau"/>
    <w:basedOn w:val="Normal"/>
    <w:rsid w:val="00C95304"/>
    <w:pPr>
      <w:suppressLineNumbers/>
      <w:suppressAutoHyphens/>
      <w:autoSpaceDN/>
      <w:adjustRightInd/>
      <w:jc w:val="left"/>
    </w:pPr>
    <w:rPr>
      <w:rFonts w:cs="CG Times"/>
      <w:sz w:val="24"/>
      <w:lang w:val="fr-FR" w:eastAsia="ar-SA"/>
    </w:rPr>
  </w:style>
  <w:style w:type="paragraph" w:customStyle="1" w:styleId="Contenuducadre">
    <w:name w:val="Contenu du cadre"/>
    <w:basedOn w:val="BodyText"/>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bCs w:val="0"/>
      <w:sz w:val="20"/>
      <w:lang w:eastAsia="ar-SA"/>
    </w:rPr>
  </w:style>
  <w:style w:type="paragraph" w:customStyle="1" w:styleId="Titredetableau">
    <w:name w:val="Titre de tableau"/>
    <w:basedOn w:val="Contenudetableau"/>
    <w:rsid w:val="00C95304"/>
    <w:pPr>
      <w:jc w:val="center"/>
    </w:pPr>
    <w:rPr>
      <w:b/>
      <w:bCs/>
    </w:rPr>
  </w:style>
  <w:style w:type="character" w:customStyle="1" w:styleId="CommentTextChar">
    <w:name w:val="Comment Text Char"/>
    <w:basedOn w:val="DefaultParagraphFont"/>
    <w:link w:val="CommentText"/>
    <w:rsid w:val="00C95304"/>
    <w:rPr>
      <w:rFonts w:ascii="Times New Roman" w:hAnsi="Times New Roman"/>
      <w:lang w:val="en-GB" w:eastAsia="en-US"/>
    </w:rPr>
  </w:style>
  <w:style w:type="character" w:customStyle="1" w:styleId="CommentSubjectChar">
    <w:name w:val="Comment Subject Char"/>
    <w:basedOn w:val="CommentTextChar"/>
    <w:link w:val="CommentSubject"/>
    <w:rsid w:val="00C95304"/>
    <w:rPr>
      <w:b/>
      <w:bCs/>
    </w:rPr>
  </w:style>
  <w:style w:type="character" w:customStyle="1" w:styleId="CEODocTitle-1lineChar">
    <w:name w:val="CEO_DocTitle-1line Char"/>
    <w:basedOn w:val="DefaultParagraphFont"/>
    <w:link w:val="CEODocTitle-1line"/>
    <w:rsid w:val="00F44B74"/>
    <w:rPr>
      <w:rFonts w:ascii="Verdana" w:eastAsia="SimHei" w:hAnsi="Verdana" w:cs="Simplified Arabic"/>
      <w:b/>
      <w:bCs/>
      <w:sz w:val="28"/>
      <w:szCs w:val="28"/>
      <w:lang w:eastAsia="en-US"/>
    </w:rPr>
  </w:style>
  <w:style w:type="character" w:customStyle="1" w:styleId="CEODocTitle2lines-FirstChar">
    <w:name w:val="CEO_DocTitle2lines-First Char"/>
    <w:basedOn w:val="CEODocTitle-1lineChar"/>
    <w:link w:val="CEODocTitle2lines-First"/>
    <w:rsid w:val="00F44B74"/>
  </w:style>
  <w:style w:type="character" w:customStyle="1" w:styleId="StyleLienhypertextesuivi">
    <w:name w:val="Style Lien hypertexte suivi"/>
    <w:basedOn w:val="FollowedHyperlink"/>
    <w:rsid w:val="003B4129"/>
    <w:rPr>
      <w:rFonts w:ascii="Arial" w:hAnsi="Arial" w:cs="Arial"/>
      <w:noProof w:val="0"/>
      <w:sz w:val="20"/>
      <w:szCs w:val="20"/>
      <w:lang w:val="en-GB"/>
    </w:rPr>
  </w:style>
  <w:style w:type="character" w:styleId="HTMLCite">
    <w:name w:val="HTML Cite"/>
    <w:basedOn w:val="DefaultParagraphFont"/>
    <w:rsid w:val="003B4129"/>
    <w:rPr>
      <w:rFonts w:ascii="Trebuchet MS" w:hAnsi="Trebuchet MS" w:cs="Times New Roman"/>
      <w:i/>
      <w:iCs/>
      <w:noProof w:val="0"/>
      <w:lang w:val="en-GB"/>
    </w:rPr>
  </w:style>
  <w:style w:type="paragraph" w:customStyle="1" w:styleId="ECA">
    <w:name w:val="ECA"/>
    <w:basedOn w:val="Normal"/>
    <w:rsid w:val="00AE42B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character" w:customStyle="1" w:styleId="Freq">
    <w:name w:val="Freq"/>
    <w:basedOn w:val="DefaultParagraphFont"/>
    <w:rsid w:val="00AE42B5"/>
    <w:rPr>
      <w:rFonts w:ascii="Trebuchet MS" w:hAnsi="Trebuchet MS"/>
      <w:noProof w:val="0"/>
      <w:sz w:val="24"/>
      <w:lang w:val="en-GB"/>
    </w:rPr>
  </w:style>
  <w:style w:type="paragraph" w:customStyle="1" w:styleId="CEORevision2">
    <w:name w:val="CEO_Revision2"/>
    <w:basedOn w:val="CEONormal"/>
    <w:next w:val="Normal"/>
    <w:rsid w:val="00AE42B5"/>
    <w:rPr>
      <w:sz w:val="16"/>
      <w:szCs w:val="16"/>
      <w:lang w:val="es-ES"/>
    </w:rPr>
  </w:style>
  <w:style w:type="paragraph" w:customStyle="1" w:styleId="Normalaftertitle0">
    <w:name w:val="Normal after title"/>
    <w:basedOn w:val="Normal"/>
    <w:next w:val="Normal"/>
    <w:rsid w:val="00AE42B5"/>
    <w:pPr>
      <w:spacing w:before="320"/>
      <w:jc w:val="left"/>
      <w:textAlignment w:val="auto"/>
    </w:pPr>
    <w:rPr>
      <w:sz w:val="24"/>
      <w:lang w:val="fr-FR"/>
    </w:rPr>
  </w:style>
  <w:style w:type="character" w:styleId="PlaceholderText">
    <w:name w:val="Placeholder Text"/>
    <w:basedOn w:val="DefaultParagraphFont"/>
    <w:uiPriority w:val="99"/>
    <w:semiHidden/>
    <w:rsid w:val="006A38EE"/>
    <w:rPr>
      <w:color w:val="808080"/>
    </w:rPr>
  </w:style>
  <w:style w:type="character" w:customStyle="1" w:styleId="enumlev1Char">
    <w:name w:val="enumlev1 Char"/>
    <w:basedOn w:val="DefaultParagraphFont"/>
    <w:link w:val="enumlev1"/>
    <w:rsid w:val="006F46C2"/>
    <w:rPr>
      <w:rFonts w:ascii="Times New Roman" w:hAnsi="Times New Roman"/>
      <w:sz w:val="22"/>
      <w:lang w:val="en-GB" w:eastAsia="en-US"/>
    </w:rPr>
  </w:style>
  <w:style w:type="character" w:customStyle="1" w:styleId="TableNotitleChar">
    <w:name w:val="Table_No &amp; title Char"/>
    <w:basedOn w:val="DefaultParagraphFont"/>
    <w:link w:val="TableNotitle"/>
    <w:rsid w:val="006F46C2"/>
    <w:rPr>
      <w:rFonts w:ascii="Times New Roman" w:hAnsi="Times New Roman"/>
      <w:b/>
      <w:sz w:val="22"/>
      <w:lang w:val="en-GB" w:eastAsia="en-US"/>
    </w:rPr>
  </w:style>
  <w:style w:type="paragraph" w:customStyle="1" w:styleId="CM10">
    <w:name w:val="CM10"/>
    <w:basedOn w:val="Default"/>
    <w:next w:val="Default"/>
    <w:uiPriority w:val="99"/>
    <w:rsid w:val="005B0868"/>
    <w:rPr>
      <w:rFonts w:ascii="Times" w:eastAsiaTheme="minorEastAsia" w:hAnsi="Times" w:cstheme="minorBidi"/>
      <w:color w:val="auto"/>
    </w:rPr>
  </w:style>
  <w:style w:type="paragraph" w:customStyle="1" w:styleId="CM1">
    <w:name w:val="CM1"/>
    <w:basedOn w:val="Default"/>
    <w:next w:val="Default"/>
    <w:uiPriority w:val="99"/>
    <w:rsid w:val="005B0868"/>
    <w:pPr>
      <w:spacing w:line="303" w:lineRule="atLeast"/>
    </w:pPr>
    <w:rPr>
      <w:rFonts w:ascii="Times" w:eastAsiaTheme="minorEastAsia" w:hAnsi="Times" w:cstheme="minorBidi"/>
      <w:color w:val="auto"/>
    </w:rPr>
  </w:style>
  <w:style w:type="paragraph" w:customStyle="1" w:styleId="CM11">
    <w:name w:val="CM11"/>
    <w:basedOn w:val="Default"/>
    <w:next w:val="Default"/>
    <w:uiPriority w:val="99"/>
    <w:rsid w:val="005B0868"/>
    <w:rPr>
      <w:rFonts w:ascii="Times" w:eastAsiaTheme="minorEastAsia" w:hAnsi="Times" w:cstheme="minorBidi"/>
      <w:color w:val="auto"/>
    </w:rPr>
  </w:style>
  <w:style w:type="paragraph" w:customStyle="1" w:styleId="CM2">
    <w:name w:val="CM2"/>
    <w:basedOn w:val="Default"/>
    <w:next w:val="Default"/>
    <w:uiPriority w:val="99"/>
    <w:rsid w:val="005B0868"/>
    <w:pPr>
      <w:spacing w:line="303" w:lineRule="atLeast"/>
    </w:pPr>
    <w:rPr>
      <w:rFonts w:ascii="Times" w:eastAsiaTheme="minorEastAsia" w:hAnsi="Times" w:cstheme="minorBidi"/>
      <w:color w:val="auto"/>
    </w:rPr>
  </w:style>
  <w:style w:type="paragraph" w:customStyle="1" w:styleId="CM3">
    <w:name w:val="CM3"/>
    <w:basedOn w:val="Default"/>
    <w:next w:val="Default"/>
    <w:uiPriority w:val="99"/>
    <w:rsid w:val="005B0868"/>
    <w:pPr>
      <w:spacing w:line="303" w:lineRule="atLeast"/>
    </w:pPr>
    <w:rPr>
      <w:rFonts w:ascii="Times" w:eastAsiaTheme="minorEastAsia" w:hAnsi="Times" w:cstheme="minorBidi"/>
      <w:color w:val="auto"/>
    </w:rPr>
  </w:style>
  <w:style w:type="paragraph" w:customStyle="1" w:styleId="CM5">
    <w:name w:val="CM5"/>
    <w:basedOn w:val="Default"/>
    <w:next w:val="Default"/>
    <w:uiPriority w:val="99"/>
    <w:rsid w:val="005B0868"/>
    <w:pPr>
      <w:spacing w:line="303" w:lineRule="atLeast"/>
    </w:pPr>
    <w:rPr>
      <w:rFonts w:ascii="Times" w:eastAsiaTheme="minorEastAsia" w:hAnsi="Times" w:cstheme="minorBidi"/>
      <w:color w:val="auto"/>
    </w:rPr>
  </w:style>
  <w:style w:type="paragraph" w:customStyle="1" w:styleId="CM8">
    <w:name w:val="CM8"/>
    <w:basedOn w:val="Default"/>
    <w:next w:val="Default"/>
    <w:uiPriority w:val="99"/>
    <w:rsid w:val="005B0868"/>
    <w:pPr>
      <w:spacing w:line="303" w:lineRule="atLeast"/>
    </w:pPr>
    <w:rPr>
      <w:rFonts w:ascii="Times" w:eastAsiaTheme="minorEastAsia" w:hAnsi="Times" w:cstheme="minorBidi"/>
      <w:color w:val="auto"/>
    </w:rPr>
  </w:style>
  <w:style w:type="paragraph" w:customStyle="1" w:styleId="CM4">
    <w:name w:val="CM4"/>
    <w:basedOn w:val="Default"/>
    <w:next w:val="Default"/>
    <w:uiPriority w:val="99"/>
    <w:rsid w:val="005B0868"/>
    <w:pPr>
      <w:spacing w:line="303" w:lineRule="atLeast"/>
    </w:pPr>
    <w:rPr>
      <w:rFonts w:ascii="Times" w:eastAsiaTheme="minorEastAsia" w:hAnsi="Times" w:cstheme="minorBidi"/>
      <w:color w:val="auto"/>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admin.ch/ch/f/rs/7/784.10.fr.pdf" TargetMode="External"/><Relationship Id="rId2" Type="http://schemas.openxmlformats.org/officeDocument/2006/relationships/hyperlink" Target="http://www.admin.ch/ch/f/rs/7/784.106.12.fr.pdf" TargetMode="External"/><Relationship Id="rId1" Type="http://schemas.openxmlformats.org/officeDocument/2006/relationships/hyperlink" Target="http://www.admin.ch/ch/f/rs/7/784.106.fr.pdf" TargetMode="External"/><Relationship Id="rId4" Type="http://schemas.openxmlformats.org/officeDocument/2006/relationships/hyperlink" Target="http://www.admin.ch/ch/f/rs/3/313.32.fr.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F49-850A-4D61-9B5E-240A7279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2843</TotalTime>
  <Pages>90</Pages>
  <Words>27938</Words>
  <Characters>157178</Characters>
  <Application>Microsoft Office Word</Application>
  <DocSecurity>0</DocSecurity>
  <Lines>1309</Lines>
  <Paragraphs>369</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184747</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1148</cp:revision>
  <cp:lastPrinted>2011-02-02T10:17:00Z</cp:lastPrinted>
  <dcterms:created xsi:type="dcterms:W3CDTF">2010-02-09T15:34:00Z</dcterms:created>
  <dcterms:modified xsi:type="dcterms:W3CDTF">2011-03-25T13:48:00Z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