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693" w:type="dxa"/>
        <w:tblInd w:w="7763" w:type="dxa"/>
        <w:tblBorders>
          <w:left w:val="single" w:sz="18" w:space="0" w:color="808080"/>
        </w:tblBorders>
        <w:tblLook w:val="0000"/>
      </w:tblPr>
      <w:tblGrid>
        <w:gridCol w:w="2693"/>
      </w:tblGrid>
      <w:tr w:rsidR="00EB6A81" w:rsidRPr="00903B2C" w:rsidTr="00C65D0A">
        <w:trPr>
          <w:cantSplit/>
        </w:trPr>
        <w:tc>
          <w:tcPr>
            <w:tcW w:w="2693" w:type="dxa"/>
            <w:tcBorders>
              <w:left w:val="nil"/>
              <w:bottom w:val="single" w:sz="4" w:space="0" w:color="auto"/>
            </w:tcBorders>
          </w:tcPr>
          <w:p w:rsidR="00EB6A81" w:rsidRPr="00903B2C" w:rsidRDefault="009D04B3" w:rsidP="009D04B3">
            <w:pPr>
              <w:pStyle w:val="Heading3"/>
              <w:tabs>
                <w:tab w:val="clear" w:pos="794"/>
              </w:tabs>
              <w:spacing w:before="240"/>
              <w:ind w:left="0" w:firstLine="0"/>
              <w:jc w:val="left"/>
              <w:rPr>
                <w:rFonts w:ascii="Trebuchet MS" w:hAnsi="Trebuchet MS" w:cs="Arial"/>
                <w:b w:val="0"/>
                <w:bCs/>
                <w:i/>
                <w:iCs/>
                <w:lang w:val="ru-RU"/>
              </w:rPr>
            </w:pPr>
            <w:bookmarkStart w:id="0" w:name="_Toc125339404"/>
            <w:bookmarkStart w:id="1" w:name="_Toc216756779"/>
            <w:bookmarkStart w:id="2" w:name="_Toc216757889"/>
            <w:bookmarkStart w:id="3" w:name="_Toc221682161"/>
            <w:bookmarkStart w:id="4" w:name="_Toc253554992"/>
            <w:bookmarkStart w:id="5" w:name="_Toc254774691"/>
            <w:bookmarkStart w:id="6" w:name="_Toc258417508"/>
            <w:bookmarkStart w:id="7" w:name="_Toc258502879"/>
            <w:bookmarkStart w:id="8" w:name="_Toc261271992"/>
            <w:bookmarkStart w:id="9" w:name="_Toc262027544"/>
            <w:bookmarkStart w:id="10" w:name="_Toc262027731"/>
            <w:bookmarkStart w:id="11" w:name="_Toc262199150"/>
            <w:bookmarkStart w:id="12" w:name="_Toc262199425"/>
            <w:bookmarkStart w:id="13" w:name="_Toc288119024"/>
            <w:bookmarkStart w:id="14" w:name="Бразили"/>
            <w:r w:rsidRPr="00903B2C">
              <w:rPr>
                <w:rFonts w:ascii="Trebuchet MS" w:hAnsi="Trebuchet MS"/>
                <w:i/>
                <w:iCs/>
                <w:lang w:val="ru-RU"/>
              </w:rPr>
              <w:t>РЕЗОЛЮЦИЯ</w:t>
            </w:r>
            <w:bookmarkEnd w:id="0"/>
            <w:bookmarkEnd w:id="1"/>
            <w:bookmarkEnd w:id="2"/>
            <w:bookmarkEnd w:id="3"/>
            <w:bookmarkEnd w:id="4"/>
            <w:bookmarkEnd w:id="5"/>
            <w:bookmarkEnd w:id="6"/>
            <w:bookmarkEnd w:id="7"/>
            <w:bookmarkEnd w:id="8"/>
            <w:bookmarkEnd w:id="9"/>
            <w:bookmarkEnd w:id="10"/>
            <w:bookmarkEnd w:id="11"/>
            <w:bookmarkEnd w:id="12"/>
            <w:r w:rsidRPr="00903B2C">
              <w:rPr>
                <w:rFonts w:ascii="Trebuchet MS" w:hAnsi="Trebuchet MS"/>
                <w:i/>
                <w:iCs/>
                <w:lang w:val="ru-RU"/>
              </w:rPr>
              <w:t xml:space="preserve"> 9</w:t>
            </w:r>
            <w:r w:rsidRPr="00903B2C">
              <w:rPr>
                <w:rFonts w:ascii="Trebuchet MS" w:hAnsi="Trebuchet MS"/>
                <w:i/>
                <w:iCs/>
                <w:lang w:val="ru-RU"/>
              </w:rPr>
              <w:br/>
            </w:r>
            <w:r w:rsidRPr="00903B2C">
              <w:rPr>
                <w:rFonts w:ascii="Trebuchet MS" w:hAnsi="Trebuchet MS"/>
                <w:i/>
                <w:iCs/>
                <w:sz w:val="20"/>
                <w:lang w:val="ru-RU"/>
              </w:rPr>
              <w:t>(Пересм. Доха, 2006 г.)</w:t>
            </w:r>
            <w:bookmarkEnd w:id="13"/>
          </w:p>
        </w:tc>
      </w:tr>
      <w:tr w:rsidR="002A62A0" w:rsidRPr="00903B2C" w:rsidTr="00C65D0A">
        <w:trPr>
          <w:cantSplit/>
          <w:trHeight w:val="895"/>
        </w:trPr>
        <w:tc>
          <w:tcPr>
            <w:tcW w:w="2693" w:type="dxa"/>
            <w:tcBorders>
              <w:top w:val="single" w:sz="4" w:space="0" w:color="auto"/>
              <w:left w:val="nil"/>
            </w:tcBorders>
          </w:tcPr>
          <w:p w:rsidR="002A62A0" w:rsidRPr="00D41ADA" w:rsidRDefault="00981C40" w:rsidP="00D41ADA">
            <w:pPr>
              <w:pStyle w:val="Heading3"/>
              <w:tabs>
                <w:tab w:val="clear" w:pos="794"/>
                <w:tab w:val="clear" w:pos="1191"/>
                <w:tab w:val="clear" w:pos="1588"/>
                <w:tab w:val="clear" w:pos="1985"/>
              </w:tabs>
              <w:spacing w:before="120"/>
              <w:ind w:left="0" w:firstLine="0"/>
              <w:jc w:val="left"/>
              <w:rPr>
                <w:rFonts w:ascii="Trebuchet MS" w:hAnsi="Trebuchet MS" w:cs="Arial"/>
                <w:b w:val="0"/>
                <w:bCs/>
                <w:i/>
                <w:iCs/>
                <w:lang w:val="ru-RU"/>
              </w:rPr>
            </w:pPr>
            <w:r>
              <w:rPr>
                <w:rFonts w:ascii="Trebuchet MS" w:hAnsi="Trebuchet MS" w:cs="Arial"/>
                <w:b w:val="0"/>
                <w:bCs/>
                <w:i/>
                <w:iCs/>
                <w:lang w:val="ru-RU"/>
              </w:rPr>
              <w:t>Руководящие</w:t>
            </w:r>
            <w:r>
              <w:rPr>
                <w:rFonts w:ascii="Trebuchet MS" w:hAnsi="Trebuchet MS" w:cs="Arial"/>
                <w:b w:val="0"/>
                <w:bCs/>
                <w:i/>
                <w:iCs/>
                <w:lang w:val="ru-RU"/>
              </w:rPr>
              <w:br/>
            </w:r>
            <w:r w:rsidR="00D41ADA">
              <w:rPr>
                <w:rFonts w:ascii="Trebuchet MS" w:hAnsi="Trebuchet MS" w:cs="Arial"/>
                <w:b w:val="0"/>
                <w:bCs/>
                <w:i/>
                <w:iCs/>
                <w:lang w:val="ru-RU"/>
              </w:rPr>
              <w:t>принципы</w:t>
            </w:r>
          </w:p>
          <w:p w:rsidR="002A62A0" w:rsidRPr="00903B2C" w:rsidRDefault="002A62A0" w:rsidP="007A3E22">
            <w:pPr>
              <w:pStyle w:val="Heading3"/>
              <w:ind w:left="0"/>
              <w:jc w:val="left"/>
              <w:rPr>
                <w:rFonts w:ascii="Trebuchet MS" w:hAnsi="Trebuchet MS" w:cs="Arial"/>
                <w:i/>
                <w:iCs/>
                <w:lang w:val="ru-RU"/>
              </w:rPr>
            </w:pPr>
          </w:p>
        </w:tc>
      </w:tr>
    </w:tbl>
    <w:p w:rsidR="00EB6A81" w:rsidRPr="00903B2C" w:rsidRDefault="00EB6A81" w:rsidP="007A3E22">
      <w:pPr>
        <w:rPr>
          <w:rFonts w:ascii="Arial" w:hAnsi="Arial" w:cs="Arial"/>
          <w:lang w:val="ru-RU"/>
        </w:rPr>
      </w:pPr>
    </w:p>
    <w:p w:rsidR="00EB6A81" w:rsidRPr="00903B2C" w:rsidRDefault="00EB6A81" w:rsidP="007A3E22">
      <w:pPr>
        <w:rPr>
          <w:rFonts w:ascii="Arial" w:hAnsi="Arial" w:cs="Arial"/>
          <w:lang w:val="ru-RU"/>
        </w:rPr>
      </w:pPr>
    </w:p>
    <w:p w:rsidR="00EB6A81" w:rsidRPr="00903B2C" w:rsidRDefault="00EB6A81" w:rsidP="007A3E22">
      <w:pPr>
        <w:pStyle w:val="Normalaftertitle"/>
        <w:spacing w:before="120"/>
        <w:rPr>
          <w:rFonts w:ascii="Arial" w:hAnsi="Arial" w:cs="Arial"/>
          <w:lang w:val="ru-RU"/>
        </w:rPr>
      </w:pPr>
    </w:p>
    <w:p w:rsidR="00EB6A81" w:rsidRPr="00903B2C" w:rsidRDefault="00EB6A81" w:rsidP="007A3E22">
      <w:pPr>
        <w:rPr>
          <w:rFonts w:ascii="Arial" w:hAnsi="Arial" w:cs="Arial"/>
          <w:lang w:val="ru-RU"/>
        </w:rPr>
      </w:pPr>
    </w:p>
    <w:p w:rsidR="00EB6A81" w:rsidRPr="00903B2C" w:rsidRDefault="00EB6A81" w:rsidP="007A3E22">
      <w:pPr>
        <w:rPr>
          <w:rFonts w:ascii="Arial" w:hAnsi="Arial" w:cs="Arial"/>
          <w:lang w:val="ru-RU"/>
        </w:rPr>
      </w:pPr>
    </w:p>
    <w:p w:rsidR="00EB6A81" w:rsidRPr="00903B2C" w:rsidRDefault="00EB6A81" w:rsidP="007A3E22">
      <w:pPr>
        <w:rPr>
          <w:rFonts w:ascii="Arial" w:hAnsi="Arial" w:cs="Arial"/>
          <w:lang w:val="ru-RU"/>
        </w:rPr>
      </w:pPr>
    </w:p>
    <w:p w:rsidR="00EB6A81" w:rsidRPr="00903B2C" w:rsidRDefault="00CD30E0" w:rsidP="007A3E22">
      <w:pPr>
        <w:pBdr>
          <w:top w:val="single" w:sz="4" w:space="4" w:color="D9D9D9" w:themeColor="background1" w:themeShade="D9"/>
          <w:left w:val="single" w:sz="4" w:space="1" w:color="D9D9D9" w:themeColor="background1" w:themeShade="D9"/>
          <w:bottom w:val="single" w:sz="4" w:space="4" w:color="D9D9D9" w:themeColor="background1" w:themeShade="D9"/>
          <w:right w:val="single" w:sz="4" w:space="1" w:color="D9D9D9" w:themeColor="background1" w:themeShade="D9"/>
        </w:pBdr>
        <w:shd w:val="clear" w:color="auto" w:fill="B3B3B3"/>
        <w:tabs>
          <w:tab w:val="clear" w:pos="794"/>
          <w:tab w:val="clear" w:pos="1191"/>
          <w:tab w:val="clear" w:pos="1588"/>
          <w:tab w:val="clear" w:pos="1985"/>
          <w:tab w:val="left" w:pos="1418"/>
          <w:tab w:val="left" w:pos="5879"/>
        </w:tabs>
        <w:spacing w:before="160"/>
        <w:ind w:right="-142"/>
        <w:jc w:val="center"/>
        <w:rPr>
          <w:rFonts w:ascii="Trebuchet MS" w:hAnsi="Trebuchet MS" w:cs="Arial"/>
          <w:color w:val="FFFFFF"/>
          <w:spacing w:val="-6"/>
          <w:sz w:val="25"/>
          <w:szCs w:val="25"/>
          <w:lang w:val="ru-RU"/>
        </w:rPr>
      </w:pPr>
      <w:r w:rsidRPr="00903B2C">
        <w:rPr>
          <w:rFonts w:ascii="Trebuchet MS" w:hAnsi="Trebuchet MS" w:cs="Arial"/>
          <w:b/>
          <w:bCs/>
          <w:color w:val="FFFFFF"/>
          <w:spacing w:val="-10"/>
          <w:sz w:val="28"/>
          <w:szCs w:val="28"/>
          <w:lang w:val="ru-RU"/>
        </w:rPr>
        <w:t>МСЭ</w:t>
      </w:r>
      <w:r w:rsidR="00F8454D" w:rsidRPr="00903B2C">
        <w:rPr>
          <w:rFonts w:ascii="Trebuchet MS" w:hAnsi="Trebuchet MS" w:cs="Arial"/>
          <w:b/>
          <w:bCs/>
          <w:color w:val="FFFFFF"/>
          <w:spacing w:val="-10"/>
          <w:sz w:val="28"/>
          <w:szCs w:val="28"/>
          <w:lang w:val="ru-RU"/>
        </w:rPr>
        <w:t>-D</w:t>
      </w:r>
      <w:r w:rsidR="00FE7C82" w:rsidRPr="00903B2C">
        <w:rPr>
          <w:rFonts w:ascii="Trebuchet MS" w:hAnsi="Trebuchet MS" w:cs="Arial"/>
          <w:b/>
          <w:bCs/>
          <w:color w:val="FFFFFF"/>
          <w:spacing w:val="-6"/>
          <w:sz w:val="28"/>
          <w:szCs w:val="28"/>
          <w:lang w:val="ru-RU"/>
        </w:rPr>
        <w:t xml:space="preserve"> </w:t>
      </w:r>
      <w:r w:rsidR="0068342E" w:rsidRPr="00903B2C">
        <w:rPr>
          <w:rFonts w:ascii="Trebuchet MS" w:hAnsi="Trebuchet MS" w:cs="Arial"/>
          <w:b/>
          <w:bCs/>
          <w:color w:val="FFFFFF"/>
          <w:spacing w:val="-6"/>
          <w:sz w:val="28"/>
          <w:szCs w:val="28"/>
          <w:lang w:val="ru-RU"/>
        </w:rPr>
        <w:t>2</w:t>
      </w:r>
      <w:r w:rsidR="009D270D" w:rsidRPr="00903B2C">
        <w:rPr>
          <w:rFonts w:ascii="Trebuchet MS" w:hAnsi="Trebuchet MS" w:cs="Arial"/>
          <w:b/>
          <w:bCs/>
          <w:color w:val="FFFFFF"/>
          <w:spacing w:val="-6"/>
          <w:sz w:val="28"/>
          <w:szCs w:val="28"/>
          <w:lang w:val="ru-RU"/>
        </w:rPr>
        <w:t>-я Исследовательская комиссия</w:t>
      </w:r>
      <w:r w:rsidR="00FE7C82" w:rsidRPr="00903B2C">
        <w:rPr>
          <w:rFonts w:ascii="Trebuchet MS" w:hAnsi="Trebuchet MS" w:cs="Arial"/>
          <w:b/>
          <w:bCs/>
          <w:color w:val="FFFFFF"/>
          <w:spacing w:val="-6"/>
          <w:sz w:val="28"/>
          <w:szCs w:val="28"/>
          <w:lang w:val="ru-RU"/>
        </w:rPr>
        <w:t xml:space="preserve">  </w:t>
      </w:r>
      <w:r w:rsidR="009D270D" w:rsidRPr="00903B2C">
        <w:rPr>
          <w:rFonts w:ascii="Trebuchet MS" w:hAnsi="Trebuchet MS" w:cs="Arial"/>
          <w:b/>
          <w:bCs/>
          <w:color w:val="FFFFFF"/>
          <w:spacing w:val="-6"/>
          <w:szCs w:val="22"/>
          <w:lang w:val="ru-RU"/>
        </w:rPr>
        <w:t xml:space="preserve">4-й </w:t>
      </w:r>
      <w:r w:rsidR="009D270D" w:rsidRPr="00903B2C">
        <w:rPr>
          <w:rFonts w:ascii="Trebuchet MS" w:hAnsi="Trebuchet MS" w:cs="Arial"/>
          <w:b/>
          <w:bCs/>
          <w:color w:val="FFFFFF"/>
          <w:spacing w:val="-4"/>
          <w:szCs w:val="22"/>
          <w:lang w:val="ru-RU"/>
        </w:rPr>
        <w:t>Исследовательский период</w:t>
      </w:r>
      <w:r w:rsidR="009D270D" w:rsidRPr="00903B2C">
        <w:rPr>
          <w:rFonts w:ascii="Trebuchet MS" w:hAnsi="Trebuchet MS" w:cs="Arial"/>
          <w:b/>
          <w:bCs/>
          <w:color w:val="FFFFFF"/>
          <w:spacing w:val="-6"/>
          <w:szCs w:val="22"/>
          <w:lang w:val="ru-RU"/>
        </w:rPr>
        <w:t xml:space="preserve"> </w:t>
      </w:r>
      <w:r w:rsidRPr="00903B2C">
        <w:rPr>
          <w:rFonts w:ascii="Trebuchet MS" w:hAnsi="Trebuchet MS" w:cs="Arial"/>
          <w:b/>
          <w:bCs/>
          <w:color w:val="FFFFFF"/>
          <w:spacing w:val="-6"/>
          <w:szCs w:val="22"/>
          <w:lang w:val="ru-RU"/>
        </w:rPr>
        <w:t>(2006−2010 гг.)</w:t>
      </w:r>
    </w:p>
    <w:p w:rsidR="00EB6A81" w:rsidRPr="00903B2C" w:rsidRDefault="00EB6A81" w:rsidP="007A3E22">
      <w:pPr>
        <w:ind w:right="2520"/>
        <w:jc w:val="right"/>
        <w:rPr>
          <w:rFonts w:ascii="Arial" w:hAnsi="Arial" w:cs="Arial"/>
          <w:sz w:val="25"/>
          <w:szCs w:val="25"/>
          <w:lang w:val="ru-RU"/>
        </w:rPr>
      </w:pPr>
    </w:p>
    <w:p w:rsidR="00EB6A81" w:rsidRPr="00903B2C" w:rsidRDefault="00EB6A81" w:rsidP="007A3E22">
      <w:pPr>
        <w:ind w:right="2520"/>
        <w:jc w:val="right"/>
        <w:rPr>
          <w:rFonts w:ascii="Arial" w:hAnsi="Arial" w:cs="Arial"/>
          <w:lang w:val="ru-RU"/>
        </w:rPr>
      </w:pPr>
    </w:p>
    <w:p w:rsidR="00EB6A81" w:rsidRPr="00903B2C" w:rsidRDefault="00EB6A81" w:rsidP="007A3E22">
      <w:pPr>
        <w:ind w:right="2520"/>
        <w:jc w:val="right"/>
        <w:rPr>
          <w:rFonts w:ascii="Arial" w:hAnsi="Arial" w:cs="Arial"/>
          <w:lang w:val="ru-RU"/>
        </w:rPr>
      </w:pPr>
    </w:p>
    <w:p w:rsidR="00EB6A81" w:rsidRPr="00903B2C" w:rsidRDefault="009D04B3" w:rsidP="00F620FA">
      <w:pPr>
        <w:spacing w:line="600" w:lineRule="exact"/>
        <w:ind w:right="2126"/>
        <w:jc w:val="right"/>
        <w:rPr>
          <w:rFonts w:ascii="Trebuchet MS" w:hAnsi="Trebuchet MS" w:cs="Tahoma"/>
          <w:i/>
          <w:iCs/>
          <w:sz w:val="44"/>
          <w:szCs w:val="44"/>
          <w:lang w:val="ru-RU"/>
        </w:rPr>
      </w:pPr>
      <w:r w:rsidRPr="00903B2C">
        <w:rPr>
          <w:rFonts w:ascii="Trebuchet MS" w:hAnsi="Trebuchet MS" w:cs="Tahoma"/>
          <w:b/>
          <w:bCs/>
          <w:i/>
          <w:iCs/>
          <w:sz w:val="44"/>
          <w:szCs w:val="44"/>
          <w:lang w:val="ru-RU"/>
        </w:rPr>
        <w:t>Резолюци</w:t>
      </w:r>
      <w:r w:rsidR="00B15B8E">
        <w:rPr>
          <w:rFonts w:ascii="Trebuchet MS" w:hAnsi="Trebuchet MS" w:cs="Tahoma"/>
          <w:b/>
          <w:bCs/>
          <w:i/>
          <w:iCs/>
          <w:sz w:val="44"/>
          <w:szCs w:val="44"/>
          <w:lang w:val="ru-RU"/>
        </w:rPr>
        <w:t>я</w:t>
      </w:r>
      <w:r w:rsidRPr="00903B2C">
        <w:rPr>
          <w:rFonts w:ascii="Trebuchet MS" w:hAnsi="Trebuchet MS" w:cs="Tahoma"/>
          <w:b/>
          <w:bCs/>
          <w:i/>
          <w:iCs/>
          <w:sz w:val="44"/>
          <w:szCs w:val="44"/>
          <w:lang w:val="ru-RU"/>
        </w:rPr>
        <w:t xml:space="preserve"> 9 </w:t>
      </w:r>
      <w:r w:rsidRPr="00903B2C">
        <w:rPr>
          <w:rFonts w:ascii="Trebuchet MS" w:hAnsi="Trebuchet MS" w:cs="Tahoma"/>
          <w:b/>
          <w:bCs/>
          <w:i/>
          <w:iCs/>
          <w:sz w:val="44"/>
          <w:szCs w:val="44"/>
          <w:lang w:val="ru-RU"/>
        </w:rPr>
        <w:br/>
      </w:r>
      <w:r w:rsidR="00B15B8E" w:rsidRPr="00B15B8E">
        <w:rPr>
          <w:rFonts w:ascii="Trebuchet MS" w:hAnsi="Trebuchet MS" w:cs="Tahoma"/>
          <w:i/>
          <w:iCs/>
          <w:sz w:val="44"/>
          <w:szCs w:val="44"/>
          <w:lang w:val="ru-RU"/>
        </w:rPr>
        <w:t xml:space="preserve">Руководящие принципы по созданию согласованной системы сборов </w:t>
      </w:r>
      <w:r w:rsidR="00B15B8E" w:rsidRPr="00B15B8E">
        <w:rPr>
          <w:rFonts w:ascii="Trebuchet MS" w:hAnsi="Trebuchet MS" w:cs="Tahoma"/>
          <w:i/>
          <w:iCs/>
          <w:sz w:val="44"/>
          <w:szCs w:val="44"/>
          <w:lang w:val="ru-RU"/>
        </w:rPr>
        <w:br/>
        <w:t>за использование радиочастот</w:t>
      </w:r>
      <w:r w:rsidR="00737ED3" w:rsidRPr="00903B2C">
        <w:rPr>
          <w:rFonts w:ascii="Trebuchet MS" w:hAnsi="Trebuchet MS" w:cs="Tahoma"/>
          <w:i/>
          <w:iCs/>
          <w:sz w:val="44"/>
          <w:szCs w:val="44"/>
          <w:lang w:val="ru-RU"/>
        </w:rPr>
        <w:t xml:space="preserve"> </w:t>
      </w:r>
    </w:p>
    <w:p w:rsidR="00EB6A81" w:rsidRPr="00903B2C" w:rsidRDefault="00EB6A81" w:rsidP="007A3E22">
      <w:pPr>
        <w:rPr>
          <w:lang w:val="ru-RU"/>
        </w:rPr>
      </w:pPr>
    </w:p>
    <w:p w:rsidR="00B27BCC" w:rsidRPr="00903B2C" w:rsidRDefault="00B27BCC" w:rsidP="007A3E22">
      <w:pPr>
        <w:pStyle w:val="Heading1"/>
        <w:jc w:val="center"/>
        <w:rPr>
          <w:lang w:val="ru-RU"/>
        </w:rPr>
        <w:sectPr w:rsidR="00B27BCC" w:rsidRPr="00903B2C" w:rsidSect="00F37F01">
          <w:headerReference w:type="even" r:id="rId8"/>
          <w:headerReference w:type="default" r:id="rId9"/>
          <w:footerReference w:type="default" r:id="rId10"/>
          <w:headerReference w:type="first" r:id="rId11"/>
          <w:footerReference w:type="first" r:id="rId12"/>
          <w:pgSz w:w="11907" w:h="16840" w:code="9"/>
          <w:pgMar w:top="1418" w:right="567" w:bottom="1418" w:left="1134" w:header="720" w:footer="720" w:gutter="0"/>
          <w:paperSrc w:first="15" w:other="15"/>
          <w:pgNumType w:fmt="lowerRoman" w:start="1"/>
          <w:cols w:space="720"/>
        </w:sectPr>
      </w:pPr>
    </w:p>
    <w:tbl>
      <w:tblPr>
        <w:tblStyle w:val="TableGrid"/>
        <w:tblW w:w="0" w:type="auto"/>
        <w:tblInd w:w="108" w:type="dxa"/>
        <w:tblLook w:val="04A0"/>
      </w:tblPr>
      <w:tblGrid>
        <w:gridCol w:w="9639"/>
      </w:tblGrid>
      <w:tr w:rsidR="00CE69CA" w:rsidRPr="00903B2C" w:rsidTr="00CE69CA">
        <w:tc>
          <w:tcPr>
            <w:tcW w:w="9639" w:type="dxa"/>
          </w:tcPr>
          <w:p w:rsidR="00981C40" w:rsidRPr="00D41ADA" w:rsidRDefault="00D61F71" w:rsidP="00981C40">
            <w:pPr>
              <w:pStyle w:val="Title1"/>
              <w:rPr>
                <w:b/>
                <w:bCs/>
                <w:sz w:val="22"/>
                <w:szCs w:val="22"/>
                <w:lang w:val="ru-RU"/>
              </w:rPr>
            </w:pPr>
            <w:r>
              <w:rPr>
                <w:b/>
                <w:bCs/>
                <w:sz w:val="22"/>
                <w:szCs w:val="22"/>
                <w:lang w:val="ru-RU"/>
              </w:rPr>
              <w:lastRenderedPageBreak/>
              <w:t>благодарности</w:t>
            </w:r>
          </w:p>
          <w:p w:rsidR="00981C40" w:rsidRPr="00D41234" w:rsidRDefault="00981C40" w:rsidP="00981C40">
            <w:pPr>
              <w:pStyle w:val="Normalaftertitle"/>
              <w:rPr>
                <w:lang w:val="ru-RU"/>
              </w:rPr>
            </w:pPr>
            <w:r w:rsidRPr="00D41234">
              <w:rPr>
                <w:lang w:val="ru-RU"/>
              </w:rPr>
              <w:t>Мы благодарим авторов за вклады, которые они представили в целях подготовки настоящего отчета:</w:t>
            </w:r>
          </w:p>
          <w:p w:rsidR="00981C40" w:rsidRPr="00D41234" w:rsidRDefault="00981C40" w:rsidP="00981C40">
            <w:pPr>
              <w:rPr>
                <w:lang w:val="ru-RU"/>
              </w:rPr>
            </w:pPr>
            <w:r w:rsidRPr="00D41234">
              <w:rPr>
                <w:lang w:val="ru-RU"/>
              </w:rPr>
              <w:t>В отношении всей работы:</w:t>
            </w:r>
          </w:p>
          <w:p w:rsidR="00981C40" w:rsidRPr="00D41234" w:rsidRDefault="00981C40" w:rsidP="00981C40">
            <w:pPr>
              <w:rPr>
                <w:lang w:val="ru-RU"/>
              </w:rPr>
            </w:pPr>
            <w:r w:rsidRPr="00D41234">
              <w:rPr>
                <w:lang w:val="ru-RU"/>
              </w:rPr>
              <w:t>г-н Жан-Пьер Юн (Франция)</w:t>
            </w:r>
          </w:p>
          <w:p w:rsidR="00981C40" w:rsidRPr="00D41234" w:rsidRDefault="00981C40" w:rsidP="00D41ADA">
            <w:pPr>
              <w:spacing w:before="0"/>
              <w:rPr>
                <w:lang w:val="ru-RU"/>
              </w:rPr>
            </w:pPr>
            <w:r w:rsidRPr="00D41234">
              <w:rPr>
                <w:lang w:val="ru-RU"/>
              </w:rPr>
              <w:t>г-н Андре Шаминад (Франция)</w:t>
            </w:r>
          </w:p>
          <w:p w:rsidR="00981C40" w:rsidRPr="00D41234" w:rsidRDefault="00981C40" w:rsidP="00D61F71">
            <w:pPr>
              <w:spacing w:before="0"/>
              <w:rPr>
                <w:lang w:val="ru-RU"/>
              </w:rPr>
            </w:pPr>
            <w:r w:rsidRPr="00D41234">
              <w:rPr>
                <w:lang w:val="ru-RU"/>
              </w:rPr>
              <w:t>г-н Дирк-Оливье Фон дер Эмден (</w:t>
            </w:r>
            <w:r w:rsidR="00D61F71">
              <w:rPr>
                <w:lang w:val="ru-RU"/>
              </w:rPr>
              <w:t>Швейцария</w:t>
            </w:r>
            <w:r w:rsidRPr="00D41234">
              <w:rPr>
                <w:lang w:val="ru-RU"/>
              </w:rPr>
              <w:t>)</w:t>
            </w:r>
          </w:p>
          <w:p w:rsidR="00981C40" w:rsidRPr="00D41234" w:rsidRDefault="00981C40" w:rsidP="00D41ADA">
            <w:pPr>
              <w:spacing w:before="0"/>
              <w:rPr>
                <w:lang w:val="ru-RU"/>
              </w:rPr>
            </w:pPr>
            <w:r w:rsidRPr="00D41234">
              <w:rPr>
                <w:lang w:val="ru-RU"/>
              </w:rPr>
              <w:t>г-да Насер Альрашеди и Хасан Шариф (Объединенные Арабские Эмираты)</w:t>
            </w:r>
          </w:p>
          <w:p w:rsidR="00981C40" w:rsidRPr="00D41234" w:rsidRDefault="00981C40" w:rsidP="00D41ADA">
            <w:pPr>
              <w:spacing w:before="0"/>
              <w:rPr>
                <w:lang w:val="ru-RU"/>
              </w:rPr>
            </w:pPr>
            <w:r w:rsidRPr="00D41234">
              <w:rPr>
                <w:lang w:val="ru-RU"/>
              </w:rPr>
              <w:t>г-н Иштван Божоки и г-жа Алессандра Пилери (</w:t>
            </w:r>
            <w:r>
              <w:rPr>
                <w:lang w:val="ru-RU"/>
              </w:rPr>
              <w:t>Б</w:t>
            </w:r>
            <w:r w:rsidRPr="00D41234">
              <w:rPr>
                <w:lang w:val="ru-RU"/>
              </w:rPr>
              <w:t>РЭ МСЭ)</w:t>
            </w:r>
          </w:p>
          <w:p w:rsidR="00981C40" w:rsidRPr="00D41234" w:rsidRDefault="00981C40" w:rsidP="00D41ADA">
            <w:pPr>
              <w:spacing w:before="0"/>
              <w:rPr>
                <w:lang w:val="ru-RU"/>
              </w:rPr>
            </w:pPr>
            <w:r w:rsidRPr="00D41234">
              <w:rPr>
                <w:lang w:val="ru-RU"/>
              </w:rPr>
              <w:t>г-н Филипп Обино (БР МСЭ)</w:t>
            </w:r>
          </w:p>
          <w:p w:rsidR="00981C40" w:rsidRPr="00D41234" w:rsidRDefault="00981C40" w:rsidP="00A04746">
            <w:pPr>
              <w:spacing w:before="0"/>
              <w:rPr>
                <w:lang w:val="ru-RU"/>
              </w:rPr>
            </w:pPr>
            <w:r w:rsidRPr="00D41234">
              <w:rPr>
                <w:lang w:val="ru-RU"/>
              </w:rPr>
              <w:t>Комиссия по вопросам использования спектра (Национальное агентство по частотам, Франция)</w:t>
            </w:r>
          </w:p>
          <w:p w:rsidR="00981C40" w:rsidRPr="00D41234" w:rsidRDefault="00981C40" w:rsidP="00981C40">
            <w:pPr>
              <w:rPr>
                <w:lang w:val="ru-RU"/>
              </w:rPr>
            </w:pPr>
            <w:r w:rsidRPr="00D41234">
              <w:rPr>
                <w:lang w:val="ru-RU"/>
              </w:rPr>
              <w:t>В отношении особых потребностей развивающихся стран в области формирования цен за использование спектра:</w:t>
            </w:r>
          </w:p>
          <w:p w:rsidR="00981C40" w:rsidRPr="00D41234" w:rsidRDefault="00981C40" w:rsidP="00981C40">
            <w:pPr>
              <w:rPr>
                <w:lang w:val="ru-RU"/>
              </w:rPr>
            </w:pPr>
            <w:r w:rsidRPr="00D41234">
              <w:rPr>
                <w:lang w:val="ru-RU"/>
              </w:rPr>
              <w:t xml:space="preserve">г-жа Рукету Багоро и г-н Сулейман </w:t>
            </w:r>
            <w:r>
              <w:rPr>
                <w:lang w:val="ru-RU"/>
              </w:rPr>
              <w:t>Забр</w:t>
            </w:r>
            <w:r w:rsidRPr="00D41234">
              <w:rPr>
                <w:lang w:val="ru-RU"/>
              </w:rPr>
              <w:t xml:space="preserve"> (Буркина-Фасо)</w:t>
            </w:r>
          </w:p>
          <w:p w:rsidR="00981C40" w:rsidRPr="00D41234" w:rsidRDefault="00981C40" w:rsidP="00D41ADA">
            <w:pPr>
              <w:spacing w:before="0"/>
              <w:rPr>
                <w:lang w:val="ru-RU"/>
              </w:rPr>
            </w:pPr>
            <w:r w:rsidRPr="00D41234">
              <w:rPr>
                <w:lang w:val="ru-RU"/>
              </w:rPr>
              <w:t>г-н Роже Манга Айисси (Камерун)</w:t>
            </w:r>
          </w:p>
          <w:p w:rsidR="00981C40" w:rsidRPr="00D41234" w:rsidRDefault="00981C40" w:rsidP="00D41ADA">
            <w:pPr>
              <w:spacing w:before="0"/>
              <w:rPr>
                <w:lang w:val="ru-RU"/>
              </w:rPr>
            </w:pPr>
            <w:r w:rsidRPr="00D41234">
              <w:rPr>
                <w:lang w:val="ru-RU"/>
              </w:rPr>
              <w:t>г-н Жан Жак Массима (Габон)</w:t>
            </w:r>
          </w:p>
          <w:p w:rsidR="00981C40" w:rsidRPr="00D41234" w:rsidRDefault="00981C40" w:rsidP="00D41ADA">
            <w:pPr>
              <w:spacing w:before="0"/>
              <w:rPr>
                <w:lang w:val="ru-RU"/>
              </w:rPr>
            </w:pPr>
            <w:r w:rsidRPr="00D41234">
              <w:rPr>
                <w:lang w:val="ru-RU"/>
              </w:rPr>
              <w:t>г-н Абдулайе Кебе (Гвинея)</w:t>
            </w:r>
          </w:p>
          <w:p w:rsidR="00981C40" w:rsidRPr="00D41234" w:rsidRDefault="00981C40" w:rsidP="00D41ADA">
            <w:pPr>
              <w:spacing w:before="0"/>
              <w:rPr>
                <w:lang w:val="ru-RU"/>
              </w:rPr>
            </w:pPr>
            <w:r w:rsidRPr="00D41234">
              <w:rPr>
                <w:lang w:val="ru-RU"/>
              </w:rPr>
              <w:t>г-н Абдулайе Дембеле (Мали)</w:t>
            </w:r>
          </w:p>
          <w:p w:rsidR="00981C40" w:rsidRPr="00D41234" w:rsidRDefault="00981C40" w:rsidP="00981C40">
            <w:pPr>
              <w:rPr>
                <w:lang w:val="ru-RU"/>
              </w:rPr>
            </w:pPr>
            <w:r w:rsidRPr="00D41234">
              <w:rPr>
                <w:lang w:val="ru-RU"/>
              </w:rPr>
              <w:t>В отношении всего отчета:</w:t>
            </w:r>
          </w:p>
          <w:p w:rsidR="00981C40" w:rsidRPr="00D41234" w:rsidRDefault="00981C40" w:rsidP="00981C40">
            <w:pPr>
              <w:rPr>
                <w:lang w:val="ru-RU"/>
              </w:rPr>
            </w:pPr>
            <w:r w:rsidRPr="00D41234">
              <w:rPr>
                <w:lang w:val="ru-RU"/>
              </w:rPr>
              <w:t>г-н Набил Кисрави (Сирия, Председатель 2-й исследовательской комиссии МСЭ-D)</w:t>
            </w:r>
          </w:p>
          <w:p w:rsidR="00CE69CA" w:rsidRPr="00903B2C" w:rsidRDefault="00981C40" w:rsidP="00D41ADA">
            <w:pPr>
              <w:spacing w:before="0" w:line="240" w:lineRule="exact"/>
              <w:jc w:val="left"/>
              <w:rPr>
                <w:lang w:val="ru-RU"/>
              </w:rPr>
            </w:pPr>
            <w:r w:rsidRPr="00D41234">
              <w:rPr>
                <w:lang w:val="ru-RU"/>
              </w:rPr>
              <w:t>г-н Жан-Пьер Юн (Франция, Сопредседатель Объединенной группы по Резолюции 9, представитель МСЭ-D)</w:t>
            </w:r>
          </w:p>
          <w:p w:rsidR="00CE69CA" w:rsidRPr="00903B2C" w:rsidRDefault="00CE69CA" w:rsidP="005706F9">
            <w:pPr>
              <w:spacing w:before="0" w:line="220" w:lineRule="exact"/>
              <w:jc w:val="left"/>
              <w:rPr>
                <w:lang w:val="ru-RU"/>
              </w:rPr>
            </w:pPr>
          </w:p>
        </w:tc>
      </w:tr>
    </w:tbl>
    <w:p w:rsidR="00CE69CA" w:rsidRPr="00903B2C" w:rsidRDefault="00CE69CA" w:rsidP="005706F9">
      <w:pPr>
        <w:spacing w:before="0" w:line="220" w:lineRule="exact"/>
        <w:jc w:val="left"/>
        <w:rPr>
          <w:lang w:val="ru-RU"/>
        </w:rPr>
      </w:pPr>
    </w:p>
    <w:p w:rsidR="00CE69CA" w:rsidRDefault="00CE69CA" w:rsidP="005706F9">
      <w:pPr>
        <w:spacing w:before="0" w:line="220" w:lineRule="exact"/>
        <w:jc w:val="left"/>
        <w:rPr>
          <w:lang w:val="ru-RU"/>
        </w:rPr>
      </w:pPr>
    </w:p>
    <w:p w:rsidR="00D41ADA" w:rsidRDefault="00D41ADA" w:rsidP="005706F9">
      <w:pPr>
        <w:spacing w:before="0" w:line="220" w:lineRule="exact"/>
        <w:jc w:val="left"/>
        <w:rPr>
          <w:lang w:val="ru-RU"/>
        </w:rPr>
      </w:pPr>
    </w:p>
    <w:p w:rsidR="00D41ADA" w:rsidRDefault="00D41ADA" w:rsidP="005706F9">
      <w:pPr>
        <w:spacing w:before="0" w:line="220" w:lineRule="exact"/>
        <w:jc w:val="left"/>
        <w:rPr>
          <w:lang w:val="ru-RU"/>
        </w:rPr>
      </w:pPr>
    </w:p>
    <w:p w:rsidR="00D41ADA" w:rsidRDefault="00D41ADA" w:rsidP="005706F9">
      <w:pPr>
        <w:spacing w:before="0" w:line="220" w:lineRule="exact"/>
        <w:jc w:val="left"/>
        <w:rPr>
          <w:lang w:val="ru-RU"/>
        </w:rPr>
      </w:pPr>
    </w:p>
    <w:p w:rsidR="00D41ADA" w:rsidRPr="00903B2C" w:rsidRDefault="00D41ADA" w:rsidP="005706F9">
      <w:pPr>
        <w:spacing w:before="0" w:line="220" w:lineRule="exact"/>
        <w:jc w:val="left"/>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9620"/>
      </w:tblGrid>
      <w:tr w:rsidR="00B27BCC" w:rsidRPr="00903B2C" w:rsidTr="00115571">
        <w:trPr>
          <w:trHeight w:val="1145"/>
          <w:jc w:val="center"/>
        </w:trPr>
        <w:tc>
          <w:tcPr>
            <w:tcW w:w="9620" w:type="dxa"/>
            <w:shd w:val="clear" w:color="auto" w:fill="FFFFFF"/>
          </w:tcPr>
          <w:p w:rsidR="00CD30E0" w:rsidRPr="00903B2C" w:rsidRDefault="00CD30E0" w:rsidP="007A3E22">
            <w:pPr>
              <w:rPr>
                <w:bCs/>
                <w:lang w:val="ru-RU"/>
              </w:rPr>
            </w:pPr>
            <w:r w:rsidRPr="00903B2C">
              <w:rPr>
                <w:b/>
                <w:lang w:val="ru-RU"/>
              </w:rPr>
              <w:t>ЗАЯВЛЕНИЕ ОБ ОГРАНИЧЕННОЙ ОТВЕТСТВЕННОСТИ</w:t>
            </w:r>
          </w:p>
          <w:p w:rsidR="00B27BCC" w:rsidRPr="00903B2C" w:rsidRDefault="00CD30E0" w:rsidP="00171170">
            <w:pPr>
              <w:pStyle w:val="Normalaftertitle"/>
              <w:spacing w:before="160" w:after="160"/>
              <w:rPr>
                <w:b/>
                <w:lang w:val="ru-RU"/>
              </w:rPr>
            </w:pPr>
            <w:r w:rsidRPr="00903B2C">
              <w:rPr>
                <w:b/>
                <w:lang w:val="ru-RU"/>
              </w:rPr>
              <w:t xml:space="preserve">Настоящий отчет подготовлен многочисленными добровольцами из различных администраций и организаций. Упоминание конкретных компаний или видов продукции не является одобрением или рекомендацией МСЭ. </w:t>
            </w:r>
          </w:p>
        </w:tc>
      </w:tr>
    </w:tbl>
    <w:p w:rsidR="00B27BCC" w:rsidRPr="00903B2C" w:rsidRDefault="00B27BCC" w:rsidP="007A3E22">
      <w:pPr>
        <w:rPr>
          <w:lang w:val="ru-RU"/>
        </w:rPr>
      </w:pPr>
    </w:p>
    <w:p w:rsidR="00747593" w:rsidRPr="00903B2C" w:rsidRDefault="00747593" w:rsidP="007A3E22">
      <w:pPr>
        <w:pStyle w:val="FigureNotitle"/>
        <w:rPr>
          <w:sz w:val="28"/>
          <w:lang w:val="ru-RU"/>
        </w:rPr>
        <w:sectPr w:rsidR="00747593" w:rsidRPr="00903B2C" w:rsidSect="00F37F01">
          <w:headerReference w:type="even" r:id="rId13"/>
          <w:pgSz w:w="11907" w:h="16840" w:code="9"/>
          <w:pgMar w:top="1418" w:right="1134" w:bottom="1418" w:left="1134" w:header="720" w:footer="720" w:gutter="0"/>
          <w:paperSrc w:first="15" w:other="15"/>
          <w:pgNumType w:fmt="lowerRoman"/>
          <w:cols w:space="720"/>
          <w:vAlign w:val="both"/>
        </w:sectPr>
      </w:pPr>
    </w:p>
    <w:p w:rsidR="00E83FA2" w:rsidRPr="00903B2C" w:rsidRDefault="00B647D7" w:rsidP="00300CCC">
      <w:pPr>
        <w:pStyle w:val="Figure"/>
        <w:keepNext w:val="0"/>
        <w:keepLines w:val="0"/>
        <w:spacing w:before="0" w:after="0"/>
        <w:rPr>
          <w:b/>
          <w:bCs/>
          <w:szCs w:val="22"/>
          <w:lang w:val="ru-RU"/>
        </w:rPr>
      </w:pPr>
      <w:r w:rsidRPr="00903B2C">
        <w:rPr>
          <w:b/>
          <w:bCs/>
          <w:szCs w:val="22"/>
          <w:lang w:val="ru-RU"/>
        </w:rPr>
        <w:lastRenderedPageBreak/>
        <w:t>СОДЕРЖАНИЕ</w:t>
      </w:r>
    </w:p>
    <w:p w:rsidR="00096FCD" w:rsidRPr="00903B2C" w:rsidRDefault="0008342F" w:rsidP="00F86DA5">
      <w:pPr>
        <w:pStyle w:val="Recdate"/>
        <w:keepLines w:val="0"/>
        <w:tabs>
          <w:tab w:val="right" w:pos="9639"/>
        </w:tabs>
        <w:spacing w:before="60"/>
        <w:jc w:val="left"/>
        <w:rPr>
          <w:bCs/>
          <w:i w:val="0"/>
          <w:iCs/>
          <w:lang w:val="ru-RU"/>
        </w:rPr>
      </w:pPr>
      <w:r w:rsidRPr="00903B2C">
        <w:rPr>
          <w:iCs/>
          <w:lang w:val="ru-RU"/>
        </w:rPr>
        <w:tab/>
      </w:r>
    </w:p>
    <w:p w:rsidR="00F86DA5" w:rsidRPr="00F86DA5" w:rsidRDefault="00F86DA5" w:rsidP="00F86DA5">
      <w:pPr>
        <w:tabs>
          <w:tab w:val="clear" w:pos="794"/>
          <w:tab w:val="clear" w:pos="1191"/>
          <w:tab w:val="clear" w:pos="1588"/>
          <w:tab w:val="clear" w:pos="1985"/>
          <w:tab w:val="left" w:pos="567"/>
          <w:tab w:val="left" w:pos="1134"/>
          <w:tab w:val="left" w:pos="1701"/>
          <w:tab w:val="left" w:pos="2268"/>
        </w:tabs>
        <w:overflowPunct/>
        <w:autoSpaceDE/>
        <w:autoSpaceDN/>
        <w:adjustRightInd/>
        <w:spacing w:before="80"/>
        <w:jc w:val="right"/>
        <w:textAlignment w:val="auto"/>
        <w:rPr>
          <w:rFonts w:asciiTheme="majorBidi" w:eastAsia="SimHei" w:hAnsiTheme="majorBidi" w:cstheme="majorBidi"/>
          <w:bCs/>
          <w:sz w:val="18"/>
          <w:szCs w:val="28"/>
          <w:lang w:val="ru-RU"/>
        </w:rPr>
      </w:pPr>
      <w:r w:rsidRPr="00D41ADA">
        <w:rPr>
          <w:rFonts w:asciiTheme="majorBidi" w:eastAsia="SimHei" w:hAnsiTheme="majorBidi" w:cstheme="majorBidi"/>
          <w:b/>
          <w:i/>
          <w:iCs/>
          <w:szCs w:val="22"/>
          <w:lang w:val="ru-RU"/>
        </w:rPr>
        <w:t>Стр</w:t>
      </w:r>
      <w:r w:rsidRPr="00F86DA5">
        <w:rPr>
          <w:rFonts w:asciiTheme="majorBidi" w:eastAsia="SimHei" w:hAnsiTheme="majorBidi" w:cstheme="majorBidi"/>
          <w:bCs/>
          <w:sz w:val="18"/>
          <w:szCs w:val="28"/>
          <w:lang w:val="ru-RU"/>
        </w:rPr>
        <w:t>.</w:t>
      </w:r>
    </w:p>
    <w:p w:rsidR="00F86DA5" w:rsidRPr="00F86DA5" w:rsidRDefault="005D1F2F" w:rsidP="00F86DA5">
      <w:pPr>
        <w:tabs>
          <w:tab w:val="clear" w:pos="794"/>
          <w:tab w:val="clear" w:pos="1191"/>
          <w:tab w:val="clear" w:pos="1588"/>
          <w:tab w:val="clear" w:pos="1985"/>
          <w:tab w:val="left" w:pos="567"/>
          <w:tab w:val="left" w:leader="dot" w:pos="9120"/>
          <w:tab w:val="right" w:pos="9600"/>
        </w:tabs>
        <w:overflowPunct/>
        <w:autoSpaceDE/>
        <w:autoSpaceDN/>
        <w:adjustRightInd/>
        <w:spacing w:before="80"/>
        <w:ind w:left="567" w:right="1123" w:hanging="567"/>
        <w:jc w:val="left"/>
        <w:textAlignment w:val="auto"/>
        <w:rPr>
          <w:rFonts w:asciiTheme="majorBidi" w:eastAsia="SimHei" w:hAnsiTheme="majorBidi" w:cstheme="majorBidi"/>
          <w:bCs/>
          <w:noProof/>
          <w:szCs w:val="22"/>
          <w:lang w:val="ru-RU" w:eastAsia="zh-CN"/>
        </w:rPr>
      </w:pPr>
      <w:r w:rsidRPr="005D1F2F">
        <w:rPr>
          <w:rFonts w:asciiTheme="majorBidi" w:eastAsia="SimHei" w:hAnsiTheme="majorBidi" w:cstheme="majorBidi"/>
          <w:bCs/>
          <w:noProof/>
          <w:szCs w:val="22"/>
          <w:lang w:val="ru-RU" w:eastAsia="zh-CN"/>
        </w:rPr>
        <w:fldChar w:fldCharType="begin"/>
      </w:r>
      <w:r w:rsidR="00F86DA5" w:rsidRPr="00F86DA5">
        <w:rPr>
          <w:rFonts w:asciiTheme="majorBidi" w:eastAsia="SimHei" w:hAnsiTheme="majorBidi" w:cstheme="majorBidi"/>
          <w:bCs/>
          <w:noProof/>
          <w:szCs w:val="22"/>
          <w:lang w:val="ru-RU" w:eastAsia="zh-CN"/>
        </w:rPr>
        <w:instrText xml:space="preserve"> TOC \h \z \t "Heading 1;1;Heading 2;2;Appendix_No &amp; title;2;Annex_No;1;Annex_title;1" </w:instrText>
      </w:r>
      <w:r w:rsidRPr="005D1F2F">
        <w:rPr>
          <w:rFonts w:asciiTheme="majorBidi" w:eastAsia="SimHei" w:hAnsiTheme="majorBidi" w:cstheme="majorBidi"/>
          <w:bCs/>
          <w:noProof/>
          <w:szCs w:val="22"/>
          <w:lang w:val="ru-RU" w:eastAsia="zh-CN"/>
        </w:rPr>
        <w:fldChar w:fldCharType="separate"/>
      </w:r>
      <w:hyperlink w:anchor="_Toc277857894" w:history="1">
        <w:r w:rsidR="00F86DA5" w:rsidRPr="00F86DA5">
          <w:rPr>
            <w:rFonts w:asciiTheme="majorBidi" w:eastAsia="SimHei" w:hAnsiTheme="majorBidi" w:cstheme="majorBidi"/>
            <w:bCs/>
            <w:noProof/>
            <w:szCs w:val="22"/>
            <w:lang w:val="ru-RU" w:eastAsia="zh-CN"/>
          </w:rPr>
          <w:t>1</w:t>
        </w:r>
        <w:r w:rsidR="00F86DA5" w:rsidRPr="00F86DA5">
          <w:rPr>
            <w:rFonts w:asciiTheme="majorBidi" w:eastAsia="SimHei" w:hAnsiTheme="majorBidi" w:cstheme="majorBidi"/>
            <w:bCs/>
            <w:noProof/>
            <w:szCs w:val="22"/>
            <w:lang w:val="ru-RU" w:eastAsia="zh-CN"/>
          </w:rPr>
          <w:tab/>
          <w:t>Введение</w:t>
        </w:r>
        <w:r w:rsidR="00F86DA5" w:rsidRPr="00F86DA5">
          <w:rPr>
            <w:rFonts w:asciiTheme="majorBidi" w:eastAsia="SimHei" w:hAnsiTheme="majorBidi" w:cstheme="majorBidi"/>
            <w:bCs/>
            <w:noProof/>
            <w:webHidden/>
            <w:szCs w:val="22"/>
            <w:lang w:val="ru-RU" w:eastAsia="zh-CN"/>
          </w:rPr>
          <w:tab/>
        </w:r>
        <w:r w:rsidR="00F86DA5" w:rsidRPr="00F86DA5">
          <w:rPr>
            <w:rFonts w:asciiTheme="majorBidi" w:eastAsia="SimHei" w:hAnsiTheme="majorBidi" w:cstheme="majorBidi"/>
            <w:bCs/>
            <w:noProof/>
            <w:webHidden/>
            <w:szCs w:val="22"/>
            <w:lang w:val="ru-RU" w:eastAsia="zh-CN"/>
          </w:rPr>
          <w:tab/>
        </w:r>
        <w:r w:rsidRPr="00F86DA5">
          <w:rPr>
            <w:rFonts w:asciiTheme="majorBidi" w:eastAsia="SimHei" w:hAnsiTheme="majorBidi" w:cstheme="majorBidi"/>
            <w:bCs/>
            <w:noProof/>
            <w:webHidden/>
            <w:szCs w:val="22"/>
            <w:lang w:val="ru-RU" w:eastAsia="zh-CN"/>
          </w:rPr>
          <w:fldChar w:fldCharType="begin"/>
        </w:r>
        <w:r w:rsidR="00F86DA5" w:rsidRPr="00F86DA5">
          <w:rPr>
            <w:rFonts w:asciiTheme="majorBidi" w:eastAsia="SimHei" w:hAnsiTheme="majorBidi" w:cstheme="majorBidi"/>
            <w:bCs/>
            <w:noProof/>
            <w:webHidden/>
            <w:szCs w:val="22"/>
            <w:lang w:val="ru-RU" w:eastAsia="zh-CN"/>
          </w:rPr>
          <w:instrText xml:space="preserve"> PAGEREF _Toc277857894 \h </w:instrText>
        </w:r>
        <w:r w:rsidRPr="00F86DA5">
          <w:rPr>
            <w:rFonts w:asciiTheme="majorBidi" w:eastAsia="SimHei" w:hAnsiTheme="majorBidi" w:cstheme="majorBidi"/>
            <w:bCs/>
            <w:noProof/>
            <w:webHidden/>
            <w:szCs w:val="22"/>
            <w:lang w:val="ru-RU" w:eastAsia="zh-CN"/>
          </w:rPr>
        </w:r>
        <w:r w:rsidRPr="00F86DA5">
          <w:rPr>
            <w:rFonts w:asciiTheme="majorBidi" w:eastAsia="SimHei" w:hAnsiTheme="majorBidi" w:cstheme="majorBidi"/>
            <w:bCs/>
            <w:noProof/>
            <w:webHidden/>
            <w:szCs w:val="22"/>
            <w:lang w:val="ru-RU" w:eastAsia="zh-CN"/>
          </w:rPr>
          <w:fldChar w:fldCharType="separate"/>
        </w:r>
        <w:r w:rsidR="00510183">
          <w:rPr>
            <w:rFonts w:asciiTheme="majorBidi" w:eastAsia="SimHei" w:hAnsiTheme="majorBidi" w:cstheme="majorBidi"/>
            <w:bCs/>
            <w:noProof/>
            <w:webHidden/>
            <w:szCs w:val="22"/>
            <w:lang w:val="ru-RU" w:eastAsia="zh-CN"/>
          </w:rPr>
          <w:t>1</w:t>
        </w:r>
        <w:r w:rsidRPr="00F86DA5">
          <w:rPr>
            <w:rFonts w:asciiTheme="majorBidi" w:eastAsia="SimHei" w:hAnsiTheme="majorBidi" w:cstheme="majorBidi"/>
            <w:bCs/>
            <w:noProof/>
            <w:webHidden/>
            <w:szCs w:val="22"/>
            <w:lang w:val="ru-RU" w:eastAsia="zh-CN"/>
          </w:rPr>
          <w:fldChar w:fldCharType="end"/>
        </w:r>
      </w:hyperlink>
    </w:p>
    <w:p w:rsidR="00F86DA5" w:rsidRPr="00F86DA5" w:rsidRDefault="005D1F2F" w:rsidP="00F86DA5">
      <w:pPr>
        <w:tabs>
          <w:tab w:val="clear" w:pos="794"/>
          <w:tab w:val="clear" w:pos="1191"/>
          <w:tab w:val="clear" w:pos="1588"/>
          <w:tab w:val="clear" w:pos="1985"/>
          <w:tab w:val="left" w:pos="567"/>
          <w:tab w:val="left" w:leader="dot" w:pos="9120"/>
          <w:tab w:val="right" w:pos="9600"/>
        </w:tabs>
        <w:overflowPunct/>
        <w:autoSpaceDE/>
        <w:autoSpaceDN/>
        <w:adjustRightInd/>
        <w:spacing w:before="80"/>
        <w:ind w:left="567" w:right="1123" w:hanging="567"/>
        <w:jc w:val="left"/>
        <w:textAlignment w:val="auto"/>
        <w:rPr>
          <w:rFonts w:asciiTheme="majorBidi" w:eastAsia="SimHei" w:hAnsiTheme="majorBidi" w:cstheme="majorBidi"/>
          <w:bCs/>
          <w:noProof/>
          <w:szCs w:val="22"/>
          <w:lang w:val="ru-RU" w:eastAsia="zh-CN"/>
        </w:rPr>
      </w:pPr>
      <w:hyperlink w:anchor="_Toc277857895" w:history="1">
        <w:r w:rsidR="00F86DA5" w:rsidRPr="00F86DA5">
          <w:rPr>
            <w:rFonts w:asciiTheme="majorBidi" w:eastAsia="SimHei" w:hAnsiTheme="majorBidi" w:cstheme="majorBidi"/>
            <w:bCs/>
            <w:noProof/>
            <w:szCs w:val="22"/>
            <w:lang w:val="ru-RU" w:eastAsia="zh-CN"/>
          </w:rPr>
          <w:t>2</w:t>
        </w:r>
        <w:r w:rsidR="00F86DA5" w:rsidRPr="00F86DA5">
          <w:rPr>
            <w:rFonts w:asciiTheme="majorBidi" w:eastAsia="SimHei" w:hAnsiTheme="majorBidi" w:cstheme="majorBidi"/>
            <w:bCs/>
            <w:noProof/>
            <w:szCs w:val="22"/>
            <w:lang w:val="ru-RU" w:eastAsia="zh-CN"/>
          </w:rPr>
          <w:tab/>
          <w:t>Определения, характерные для данного документа</w:t>
        </w:r>
        <w:r w:rsidR="00F86DA5" w:rsidRPr="00F86DA5">
          <w:rPr>
            <w:rFonts w:asciiTheme="majorBidi" w:eastAsia="SimHei" w:hAnsiTheme="majorBidi" w:cstheme="majorBidi"/>
            <w:bCs/>
            <w:noProof/>
            <w:webHidden/>
            <w:szCs w:val="22"/>
            <w:lang w:val="ru-RU" w:eastAsia="zh-CN"/>
          </w:rPr>
          <w:tab/>
        </w:r>
        <w:r w:rsidR="00F86DA5" w:rsidRPr="00F86DA5">
          <w:rPr>
            <w:rFonts w:asciiTheme="majorBidi" w:eastAsia="SimHei" w:hAnsiTheme="majorBidi" w:cstheme="majorBidi"/>
            <w:bCs/>
            <w:noProof/>
            <w:webHidden/>
            <w:szCs w:val="22"/>
            <w:lang w:val="ru-RU" w:eastAsia="zh-CN"/>
          </w:rPr>
          <w:tab/>
        </w:r>
        <w:r w:rsidRPr="00F86DA5">
          <w:rPr>
            <w:rFonts w:asciiTheme="majorBidi" w:eastAsia="SimHei" w:hAnsiTheme="majorBidi" w:cstheme="majorBidi"/>
            <w:bCs/>
            <w:noProof/>
            <w:webHidden/>
            <w:szCs w:val="22"/>
            <w:lang w:val="ru-RU" w:eastAsia="zh-CN"/>
          </w:rPr>
          <w:fldChar w:fldCharType="begin"/>
        </w:r>
        <w:r w:rsidR="00F86DA5" w:rsidRPr="00F86DA5">
          <w:rPr>
            <w:rFonts w:asciiTheme="majorBidi" w:eastAsia="SimHei" w:hAnsiTheme="majorBidi" w:cstheme="majorBidi"/>
            <w:bCs/>
            <w:noProof/>
            <w:webHidden/>
            <w:szCs w:val="22"/>
            <w:lang w:val="ru-RU" w:eastAsia="zh-CN"/>
          </w:rPr>
          <w:instrText xml:space="preserve"> PAGEREF _Toc277857895 \h </w:instrText>
        </w:r>
        <w:r w:rsidRPr="00F86DA5">
          <w:rPr>
            <w:rFonts w:asciiTheme="majorBidi" w:eastAsia="SimHei" w:hAnsiTheme="majorBidi" w:cstheme="majorBidi"/>
            <w:bCs/>
            <w:noProof/>
            <w:webHidden/>
            <w:szCs w:val="22"/>
            <w:lang w:val="ru-RU" w:eastAsia="zh-CN"/>
          </w:rPr>
        </w:r>
        <w:r w:rsidRPr="00F86DA5">
          <w:rPr>
            <w:rFonts w:asciiTheme="majorBidi" w:eastAsia="SimHei" w:hAnsiTheme="majorBidi" w:cstheme="majorBidi"/>
            <w:bCs/>
            <w:noProof/>
            <w:webHidden/>
            <w:szCs w:val="22"/>
            <w:lang w:val="ru-RU" w:eastAsia="zh-CN"/>
          </w:rPr>
          <w:fldChar w:fldCharType="separate"/>
        </w:r>
        <w:r w:rsidR="00510183">
          <w:rPr>
            <w:rFonts w:asciiTheme="majorBidi" w:eastAsia="SimHei" w:hAnsiTheme="majorBidi" w:cstheme="majorBidi"/>
            <w:bCs/>
            <w:noProof/>
            <w:webHidden/>
            <w:szCs w:val="22"/>
            <w:lang w:val="ru-RU" w:eastAsia="zh-CN"/>
          </w:rPr>
          <w:t>1</w:t>
        </w:r>
        <w:r w:rsidRPr="00F86DA5">
          <w:rPr>
            <w:rFonts w:asciiTheme="majorBidi" w:eastAsia="SimHei" w:hAnsiTheme="majorBidi" w:cstheme="majorBidi"/>
            <w:bCs/>
            <w:noProof/>
            <w:webHidden/>
            <w:szCs w:val="22"/>
            <w:lang w:val="ru-RU" w:eastAsia="zh-CN"/>
          </w:rPr>
          <w:fldChar w:fldCharType="end"/>
        </w:r>
      </w:hyperlink>
    </w:p>
    <w:p w:rsidR="00F86DA5" w:rsidRPr="00F86DA5" w:rsidRDefault="005D1F2F" w:rsidP="00F86DA5">
      <w:pPr>
        <w:tabs>
          <w:tab w:val="clear" w:pos="794"/>
          <w:tab w:val="clear" w:pos="1191"/>
          <w:tab w:val="clear" w:pos="1588"/>
          <w:tab w:val="clear" w:pos="1985"/>
          <w:tab w:val="left" w:pos="567"/>
          <w:tab w:val="left" w:leader="dot" w:pos="9120"/>
          <w:tab w:val="right" w:pos="9600"/>
        </w:tabs>
        <w:overflowPunct/>
        <w:autoSpaceDE/>
        <w:autoSpaceDN/>
        <w:adjustRightInd/>
        <w:spacing w:before="80"/>
        <w:ind w:left="567" w:right="1123" w:hanging="567"/>
        <w:jc w:val="left"/>
        <w:textAlignment w:val="auto"/>
        <w:rPr>
          <w:rFonts w:asciiTheme="majorBidi" w:eastAsia="SimHei" w:hAnsiTheme="majorBidi" w:cstheme="majorBidi"/>
          <w:bCs/>
          <w:noProof/>
          <w:szCs w:val="22"/>
          <w:lang w:val="ru-RU" w:eastAsia="zh-CN"/>
        </w:rPr>
      </w:pPr>
      <w:hyperlink w:anchor="_Toc277857896" w:history="1">
        <w:r w:rsidR="00F86DA5" w:rsidRPr="00F86DA5">
          <w:rPr>
            <w:rFonts w:asciiTheme="majorBidi" w:eastAsia="SimHei" w:hAnsiTheme="majorBidi" w:cstheme="majorBidi"/>
            <w:bCs/>
            <w:noProof/>
            <w:szCs w:val="22"/>
            <w:lang w:val="ru-RU" w:eastAsia="zh-CN"/>
          </w:rPr>
          <w:t>3</w:t>
        </w:r>
        <w:r w:rsidR="00F86DA5" w:rsidRPr="00F86DA5">
          <w:rPr>
            <w:rFonts w:asciiTheme="majorBidi" w:eastAsia="SimHei" w:hAnsiTheme="majorBidi" w:cstheme="majorBidi"/>
            <w:bCs/>
            <w:noProof/>
            <w:szCs w:val="22"/>
            <w:lang w:val="ru-RU" w:eastAsia="zh-CN"/>
          </w:rPr>
          <w:tab/>
          <w:t>Основные принципы</w:t>
        </w:r>
        <w:r w:rsidR="00F86DA5" w:rsidRPr="00F86DA5">
          <w:rPr>
            <w:rFonts w:asciiTheme="majorBidi" w:eastAsia="SimHei" w:hAnsiTheme="majorBidi" w:cstheme="majorBidi"/>
            <w:bCs/>
            <w:noProof/>
            <w:webHidden/>
            <w:szCs w:val="22"/>
            <w:lang w:val="ru-RU" w:eastAsia="zh-CN"/>
          </w:rPr>
          <w:tab/>
        </w:r>
        <w:r w:rsidR="00F86DA5" w:rsidRPr="00F86DA5">
          <w:rPr>
            <w:rFonts w:asciiTheme="majorBidi" w:eastAsia="SimHei" w:hAnsiTheme="majorBidi" w:cstheme="majorBidi"/>
            <w:bCs/>
            <w:noProof/>
            <w:webHidden/>
            <w:szCs w:val="22"/>
            <w:lang w:val="ru-RU" w:eastAsia="zh-CN"/>
          </w:rPr>
          <w:tab/>
        </w:r>
        <w:r w:rsidRPr="00F86DA5">
          <w:rPr>
            <w:rFonts w:asciiTheme="majorBidi" w:eastAsia="SimHei" w:hAnsiTheme="majorBidi" w:cstheme="majorBidi"/>
            <w:bCs/>
            <w:noProof/>
            <w:webHidden/>
            <w:szCs w:val="22"/>
            <w:lang w:val="ru-RU" w:eastAsia="zh-CN"/>
          </w:rPr>
          <w:fldChar w:fldCharType="begin"/>
        </w:r>
        <w:r w:rsidR="00F86DA5" w:rsidRPr="00F86DA5">
          <w:rPr>
            <w:rFonts w:asciiTheme="majorBidi" w:eastAsia="SimHei" w:hAnsiTheme="majorBidi" w:cstheme="majorBidi"/>
            <w:bCs/>
            <w:noProof/>
            <w:webHidden/>
            <w:szCs w:val="22"/>
            <w:lang w:val="ru-RU" w:eastAsia="zh-CN"/>
          </w:rPr>
          <w:instrText xml:space="preserve"> PAGEREF _Toc277857896 \h </w:instrText>
        </w:r>
        <w:r w:rsidRPr="00F86DA5">
          <w:rPr>
            <w:rFonts w:asciiTheme="majorBidi" w:eastAsia="SimHei" w:hAnsiTheme="majorBidi" w:cstheme="majorBidi"/>
            <w:bCs/>
            <w:noProof/>
            <w:webHidden/>
            <w:szCs w:val="22"/>
            <w:lang w:val="ru-RU" w:eastAsia="zh-CN"/>
          </w:rPr>
        </w:r>
        <w:r w:rsidRPr="00F86DA5">
          <w:rPr>
            <w:rFonts w:asciiTheme="majorBidi" w:eastAsia="SimHei" w:hAnsiTheme="majorBidi" w:cstheme="majorBidi"/>
            <w:bCs/>
            <w:noProof/>
            <w:webHidden/>
            <w:szCs w:val="22"/>
            <w:lang w:val="ru-RU" w:eastAsia="zh-CN"/>
          </w:rPr>
          <w:fldChar w:fldCharType="separate"/>
        </w:r>
        <w:r w:rsidR="00510183">
          <w:rPr>
            <w:rFonts w:asciiTheme="majorBidi" w:eastAsia="SimHei" w:hAnsiTheme="majorBidi" w:cstheme="majorBidi"/>
            <w:bCs/>
            <w:noProof/>
            <w:webHidden/>
            <w:szCs w:val="22"/>
            <w:lang w:val="ru-RU" w:eastAsia="zh-CN"/>
          </w:rPr>
          <w:t>1</w:t>
        </w:r>
        <w:r w:rsidRPr="00F86DA5">
          <w:rPr>
            <w:rFonts w:asciiTheme="majorBidi" w:eastAsia="SimHei" w:hAnsiTheme="majorBidi" w:cstheme="majorBidi"/>
            <w:bCs/>
            <w:noProof/>
            <w:webHidden/>
            <w:szCs w:val="22"/>
            <w:lang w:val="ru-RU" w:eastAsia="zh-CN"/>
          </w:rPr>
          <w:fldChar w:fldCharType="end"/>
        </w:r>
      </w:hyperlink>
    </w:p>
    <w:p w:rsidR="00F86DA5" w:rsidRPr="00F86DA5" w:rsidRDefault="005D1F2F" w:rsidP="00F86DA5">
      <w:pPr>
        <w:tabs>
          <w:tab w:val="clear" w:pos="794"/>
          <w:tab w:val="clear" w:pos="1191"/>
          <w:tab w:val="clear" w:pos="1588"/>
          <w:tab w:val="clear" w:pos="1985"/>
          <w:tab w:val="left" w:pos="567"/>
          <w:tab w:val="left" w:leader="dot" w:pos="9120"/>
          <w:tab w:val="right" w:pos="9600"/>
        </w:tabs>
        <w:overflowPunct/>
        <w:autoSpaceDE/>
        <w:autoSpaceDN/>
        <w:adjustRightInd/>
        <w:spacing w:before="80"/>
        <w:ind w:left="1134" w:right="1123" w:hanging="567"/>
        <w:jc w:val="left"/>
        <w:textAlignment w:val="auto"/>
        <w:rPr>
          <w:rFonts w:asciiTheme="majorBidi" w:eastAsia="SimHei" w:hAnsiTheme="majorBidi" w:cstheme="majorBidi"/>
          <w:bCs/>
          <w:noProof/>
          <w:szCs w:val="22"/>
          <w:lang w:val="ru-RU" w:eastAsia="zh-CN"/>
        </w:rPr>
      </w:pPr>
      <w:hyperlink w:anchor="_Toc277857897" w:history="1">
        <w:r w:rsidR="00F86DA5" w:rsidRPr="00F86DA5">
          <w:rPr>
            <w:rFonts w:asciiTheme="majorBidi" w:eastAsia="SimHei" w:hAnsiTheme="majorBidi" w:cstheme="majorBidi"/>
            <w:bCs/>
            <w:noProof/>
            <w:szCs w:val="22"/>
            <w:lang w:val="ru-RU" w:eastAsia="zh-CN"/>
          </w:rPr>
          <w:t>3.1</w:t>
        </w:r>
        <w:r w:rsidR="00F86DA5" w:rsidRPr="00F86DA5">
          <w:rPr>
            <w:rFonts w:asciiTheme="majorBidi" w:eastAsia="SimHei" w:hAnsiTheme="majorBidi" w:cstheme="majorBidi"/>
            <w:bCs/>
            <w:noProof/>
            <w:szCs w:val="22"/>
            <w:lang w:val="ru-RU" w:eastAsia="zh-CN"/>
          </w:rPr>
          <w:tab/>
          <w:t>Правовые принципы</w:t>
        </w:r>
        <w:r w:rsidR="00F86DA5" w:rsidRPr="00F86DA5">
          <w:rPr>
            <w:rFonts w:asciiTheme="majorBidi" w:eastAsia="SimHei" w:hAnsiTheme="majorBidi" w:cstheme="majorBidi"/>
            <w:bCs/>
            <w:noProof/>
            <w:webHidden/>
            <w:szCs w:val="22"/>
            <w:lang w:val="ru-RU" w:eastAsia="zh-CN"/>
          </w:rPr>
          <w:tab/>
        </w:r>
        <w:r w:rsidR="00F86DA5" w:rsidRPr="00F86DA5">
          <w:rPr>
            <w:rFonts w:asciiTheme="majorBidi" w:eastAsia="SimHei" w:hAnsiTheme="majorBidi" w:cstheme="majorBidi"/>
            <w:bCs/>
            <w:noProof/>
            <w:webHidden/>
            <w:szCs w:val="22"/>
            <w:lang w:val="ru-RU" w:eastAsia="zh-CN"/>
          </w:rPr>
          <w:tab/>
        </w:r>
        <w:r w:rsidRPr="00F86DA5">
          <w:rPr>
            <w:rFonts w:asciiTheme="majorBidi" w:eastAsia="SimHei" w:hAnsiTheme="majorBidi" w:cstheme="majorBidi"/>
            <w:bCs/>
            <w:noProof/>
            <w:webHidden/>
            <w:szCs w:val="22"/>
            <w:lang w:val="ru-RU" w:eastAsia="zh-CN"/>
          </w:rPr>
          <w:fldChar w:fldCharType="begin"/>
        </w:r>
        <w:r w:rsidR="00F86DA5" w:rsidRPr="00F86DA5">
          <w:rPr>
            <w:rFonts w:asciiTheme="majorBidi" w:eastAsia="SimHei" w:hAnsiTheme="majorBidi" w:cstheme="majorBidi"/>
            <w:bCs/>
            <w:noProof/>
            <w:webHidden/>
            <w:szCs w:val="22"/>
            <w:lang w:val="ru-RU" w:eastAsia="zh-CN"/>
          </w:rPr>
          <w:instrText xml:space="preserve"> PAGEREF _Toc277857897 \h </w:instrText>
        </w:r>
        <w:r w:rsidRPr="00F86DA5">
          <w:rPr>
            <w:rFonts w:asciiTheme="majorBidi" w:eastAsia="SimHei" w:hAnsiTheme="majorBidi" w:cstheme="majorBidi"/>
            <w:bCs/>
            <w:noProof/>
            <w:webHidden/>
            <w:szCs w:val="22"/>
            <w:lang w:val="ru-RU" w:eastAsia="zh-CN"/>
          </w:rPr>
        </w:r>
        <w:r w:rsidRPr="00F86DA5">
          <w:rPr>
            <w:rFonts w:asciiTheme="majorBidi" w:eastAsia="SimHei" w:hAnsiTheme="majorBidi" w:cstheme="majorBidi"/>
            <w:bCs/>
            <w:noProof/>
            <w:webHidden/>
            <w:szCs w:val="22"/>
            <w:lang w:val="ru-RU" w:eastAsia="zh-CN"/>
          </w:rPr>
          <w:fldChar w:fldCharType="separate"/>
        </w:r>
        <w:r w:rsidR="00510183">
          <w:rPr>
            <w:rFonts w:asciiTheme="majorBidi" w:eastAsia="SimHei" w:hAnsiTheme="majorBidi" w:cstheme="majorBidi"/>
            <w:bCs/>
            <w:noProof/>
            <w:webHidden/>
            <w:szCs w:val="22"/>
            <w:lang w:val="ru-RU" w:eastAsia="zh-CN"/>
          </w:rPr>
          <w:t>1</w:t>
        </w:r>
        <w:r w:rsidRPr="00F86DA5">
          <w:rPr>
            <w:rFonts w:asciiTheme="majorBidi" w:eastAsia="SimHei" w:hAnsiTheme="majorBidi" w:cstheme="majorBidi"/>
            <w:bCs/>
            <w:noProof/>
            <w:webHidden/>
            <w:szCs w:val="22"/>
            <w:lang w:val="ru-RU" w:eastAsia="zh-CN"/>
          </w:rPr>
          <w:fldChar w:fldCharType="end"/>
        </w:r>
      </w:hyperlink>
    </w:p>
    <w:p w:rsidR="00F86DA5" w:rsidRPr="00F86DA5" w:rsidRDefault="005D1F2F" w:rsidP="00F86DA5">
      <w:pPr>
        <w:tabs>
          <w:tab w:val="clear" w:pos="794"/>
          <w:tab w:val="clear" w:pos="1191"/>
          <w:tab w:val="clear" w:pos="1588"/>
          <w:tab w:val="clear" w:pos="1985"/>
          <w:tab w:val="left" w:pos="567"/>
          <w:tab w:val="left" w:leader="dot" w:pos="9120"/>
          <w:tab w:val="right" w:pos="9600"/>
        </w:tabs>
        <w:overflowPunct/>
        <w:autoSpaceDE/>
        <w:autoSpaceDN/>
        <w:adjustRightInd/>
        <w:spacing w:before="80"/>
        <w:ind w:left="1134" w:right="1123" w:hanging="567"/>
        <w:jc w:val="left"/>
        <w:textAlignment w:val="auto"/>
        <w:rPr>
          <w:rFonts w:asciiTheme="majorBidi" w:eastAsia="SimHei" w:hAnsiTheme="majorBidi" w:cstheme="majorBidi"/>
          <w:bCs/>
          <w:noProof/>
          <w:szCs w:val="22"/>
          <w:lang w:val="ru-RU" w:eastAsia="zh-CN"/>
        </w:rPr>
      </w:pPr>
      <w:hyperlink w:anchor="_Toc277857898" w:history="1">
        <w:r w:rsidR="00F86DA5" w:rsidRPr="00F86DA5">
          <w:rPr>
            <w:rFonts w:asciiTheme="majorBidi" w:eastAsia="SimHei" w:hAnsiTheme="majorBidi" w:cstheme="majorBidi"/>
            <w:bCs/>
            <w:noProof/>
            <w:szCs w:val="22"/>
            <w:lang w:val="ru-RU" w:eastAsia="zh-CN"/>
          </w:rPr>
          <w:t>3.2</w:t>
        </w:r>
        <w:r w:rsidR="00F86DA5" w:rsidRPr="00F86DA5">
          <w:rPr>
            <w:rFonts w:asciiTheme="majorBidi" w:eastAsia="SimHei" w:hAnsiTheme="majorBidi" w:cstheme="majorBidi"/>
            <w:bCs/>
            <w:noProof/>
            <w:szCs w:val="22"/>
            <w:lang w:val="ru-RU" w:eastAsia="zh-CN"/>
          </w:rPr>
          <w:tab/>
          <w:t>Экономические принципы</w:t>
        </w:r>
        <w:r w:rsidR="00F86DA5" w:rsidRPr="00F86DA5">
          <w:rPr>
            <w:rFonts w:asciiTheme="majorBidi" w:eastAsia="SimHei" w:hAnsiTheme="majorBidi" w:cstheme="majorBidi"/>
            <w:bCs/>
            <w:noProof/>
            <w:webHidden/>
            <w:szCs w:val="22"/>
            <w:lang w:val="ru-RU" w:eastAsia="zh-CN"/>
          </w:rPr>
          <w:tab/>
        </w:r>
        <w:r w:rsidR="00F86DA5" w:rsidRPr="00F86DA5">
          <w:rPr>
            <w:rFonts w:asciiTheme="majorBidi" w:eastAsia="SimHei" w:hAnsiTheme="majorBidi" w:cstheme="majorBidi"/>
            <w:bCs/>
            <w:noProof/>
            <w:webHidden/>
            <w:szCs w:val="22"/>
            <w:lang w:val="ru-RU" w:eastAsia="zh-CN"/>
          </w:rPr>
          <w:tab/>
        </w:r>
        <w:r w:rsidRPr="00F86DA5">
          <w:rPr>
            <w:rFonts w:asciiTheme="majorBidi" w:eastAsia="SimHei" w:hAnsiTheme="majorBidi" w:cstheme="majorBidi"/>
            <w:bCs/>
            <w:noProof/>
            <w:webHidden/>
            <w:szCs w:val="22"/>
            <w:lang w:val="ru-RU" w:eastAsia="zh-CN"/>
          </w:rPr>
          <w:fldChar w:fldCharType="begin"/>
        </w:r>
        <w:r w:rsidR="00F86DA5" w:rsidRPr="00F86DA5">
          <w:rPr>
            <w:rFonts w:asciiTheme="majorBidi" w:eastAsia="SimHei" w:hAnsiTheme="majorBidi" w:cstheme="majorBidi"/>
            <w:bCs/>
            <w:noProof/>
            <w:webHidden/>
            <w:szCs w:val="22"/>
            <w:lang w:val="ru-RU" w:eastAsia="zh-CN"/>
          </w:rPr>
          <w:instrText xml:space="preserve"> PAGEREF _Toc277857898 \h </w:instrText>
        </w:r>
        <w:r w:rsidRPr="00F86DA5">
          <w:rPr>
            <w:rFonts w:asciiTheme="majorBidi" w:eastAsia="SimHei" w:hAnsiTheme="majorBidi" w:cstheme="majorBidi"/>
            <w:bCs/>
            <w:noProof/>
            <w:webHidden/>
            <w:szCs w:val="22"/>
            <w:lang w:val="ru-RU" w:eastAsia="zh-CN"/>
          </w:rPr>
        </w:r>
        <w:r w:rsidRPr="00F86DA5">
          <w:rPr>
            <w:rFonts w:asciiTheme="majorBidi" w:eastAsia="SimHei" w:hAnsiTheme="majorBidi" w:cstheme="majorBidi"/>
            <w:bCs/>
            <w:noProof/>
            <w:webHidden/>
            <w:szCs w:val="22"/>
            <w:lang w:val="ru-RU" w:eastAsia="zh-CN"/>
          </w:rPr>
          <w:fldChar w:fldCharType="separate"/>
        </w:r>
        <w:r w:rsidR="00510183">
          <w:rPr>
            <w:rFonts w:asciiTheme="majorBidi" w:eastAsia="SimHei" w:hAnsiTheme="majorBidi" w:cstheme="majorBidi"/>
            <w:bCs/>
            <w:noProof/>
            <w:webHidden/>
            <w:szCs w:val="22"/>
            <w:lang w:val="ru-RU" w:eastAsia="zh-CN"/>
          </w:rPr>
          <w:t>2</w:t>
        </w:r>
        <w:r w:rsidRPr="00F86DA5">
          <w:rPr>
            <w:rFonts w:asciiTheme="majorBidi" w:eastAsia="SimHei" w:hAnsiTheme="majorBidi" w:cstheme="majorBidi"/>
            <w:bCs/>
            <w:noProof/>
            <w:webHidden/>
            <w:szCs w:val="22"/>
            <w:lang w:val="ru-RU" w:eastAsia="zh-CN"/>
          </w:rPr>
          <w:fldChar w:fldCharType="end"/>
        </w:r>
      </w:hyperlink>
    </w:p>
    <w:p w:rsidR="00F86DA5" w:rsidRPr="00F86DA5" w:rsidRDefault="005D1F2F" w:rsidP="00F86DA5">
      <w:pPr>
        <w:tabs>
          <w:tab w:val="clear" w:pos="794"/>
          <w:tab w:val="clear" w:pos="1191"/>
          <w:tab w:val="clear" w:pos="1588"/>
          <w:tab w:val="clear" w:pos="1985"/>
          <w:tab w:val="left" w:pos="567"/>
          <w:tab w:val="left" w:leader="dot" w:pos="9120"/>
          <w:tab w:val="right" w:pos="9600"/>
        </w:tabs>
        <w:overflowPunct/>
        <w:autoSpaceDE/>
        <w:autoSpaceDN/>
        <w:adjustRightInd/>
        <w:spacing w:before="80"/>
        <w:ind w:left="1134" w:right="1123" w:hanging="567"/>
        <w:jc w:val="left"/>
        <w:textAlignment w:val="auto"/>
        <w:rPr>
          <w:rFonts w:asciiTheme="majorBidi" w:eastAsia="SimHei" w:hAnsiTheme="majorBidi" w:cstheme="majorBidi"/>
          <w:bCs/>
          <w:noProof/>
          <w:szCs w:val="22"/>
          <w:lang w:val="ru-RU" w:eastAsia="zh-CN"/>
        </w:rPr>
      </w:pPr>
      <w:hyperlink w:anchor="_Toc277857899" w:history="1">
        <w:r w:rsidR="00F86DA5" w:rsidRPr="00F86DA5">
          <w:rPr>
            <w:rFonts w:asciiTheme="majorBidi" w:eastAsia="SimHei" w:hAnsiTheme="majorBidi" w:cstheme="majorBidi"/>
            <w:bCs/>
            <w:noProof/>
            <w:szCs w:val="22"/>
            <w:lang w:val="ru-RU" w:eastAsia="zh-CN"/>
          </w:rPr>
          <w:t>3.3</w:t>
        </w:r>
        <w:r w:rsidR="00F86DA5" w:rsidRPr="00F86DA5">
          <w:rPr>
            <w:rFonts w:asciiTheme="majorBidi" w:eastAsia="SimHei" w:hAnsiTheme="majorBidi" w:cstheme="majorBidi"/>
            <w:bCs/>
            <w:noProof/>
            <w:szCs w:val="22"/>
            <w:lang w:val="ru-RU" w:eastAsia="zh-CN"/>
          </w:rPr>
          <w:tab/>
          <w:t>Принципы реальности</w:t>
        </w:r>
        <w:r w:rsidR="00F86DA5" w:rsidRPr="00F86DA5">
          <w:rPr>
            <w:rFonts w:asciiTheme="majorBidi" w:eastAsia="SimHei" w:hAnsiTheme="majorBidi" w:cstheme="majorBidi"/>
            <w:bCs/>
            <w:noProof/>
            <w:webHidden/>
            <w:szCs w:val="22"/>
            <w:lang w:val="ru-RU" w:eastAsia="zh-CN"/>
          </w:rPr>
          <w:tab/>
        </w:r>
        <w:r w:rsidR="00F86DA5" w:rsidRPr="00F86DA5">
          <w:rPr>
            <w:rFonts w:asciiTheme="majorBidi" w:eastAsia="SimHei" w:hAnsiTheme="majorBidi" w:cstheme="majorBidi"/>
            <w:bCs/>
            <w:noProof/>
            <w:webHidden/>
            <w:szCs w:val="22"/>
            <w:lang w:val="ru-RU" w:eastAsia="zh-CN"/>
          </w:rPr>
          <w:tab/>
        </w:r>
        <w:r w:rsidRPr="00F86DA5">
          <w:rPr>
            <w:rFonts w:asciiTheme="majorBidi" w:eastAsia="SimHei" w:hAnsiTheme="majorBidi" w:cstheme="majorBidi"/>
            <w:bCs/>
            <w:noProof/>
            <w:webHidden/>
            <w:szCs w:val="22"/>
            <w:lang w:val="ru-RU" w:eastAsia="zh-CN"/>
          </w:rPr>
          <w:fldChar w:fldCharType="begin"/>
        </w:r>
        <w:r w:rsidR="00F86DA5" w:rsidRPr="00F86DA5">
          <w:rPr>
            <w:rFonts w:asciiTheme="majorBidi" w:eastAsia="SimHei" w:hAnsiTheme="majorBidi" w:cstheme="majorBidi"/>
            <w:bCs/>
            <w:noProof/>
            <w:webHidden/>
            <w:szCs w:val="22"/>
            <w:lang w:val="ru-RU" w:eastAsia="zh-CN"/>
          </w:rPr>
          <w:instrText xml:space="preserve"> PAGEREF _Toc277857899 \h </w:instrText>
        </w:r>
        <w:r w:rsidRPr="00F86DA5">
          <w:rPr>
            <w:rFonts w:asciiTheme="majorBidi" w:eastAsia="SimHei" w:hAnsiTheme="majorBidi" w:cstheme="majorBidi"/>
            <w:bCs/>
            <w:noProof/>
            <w:webHidden/>
            <w:szCs w:val="22"/>
            <w:lang w:val="ru-RU" w:eastAsia="zh-CN"/>
          </w:rPr>
        </w:r>
        <w:r w:rsidRPr="00F86DA5">
          <w:rPr>
            <w:rFonts w:asciiTheme="majorBidi" w:eastAsia="SimHei" w:hAnsiTheme="majorBidi" w:cstheme="majorBidi"/>
            <w:bCs/>
            <w:noProof/>
            <w:webHidden/>
            <w:szCs w:val="22"/>
            <w:lang w:val="ru-RU" w:eastAsia="zh-CN"/>
          </w:rPr>
          <w:fldChar w:fldCharType="separate"/>
        </w:r>
        <w:r w:rsidR="00510183">
          <w:rPr>
            <w:rFonts w:asciiTheme="majorBidi" w:eastAsia="SimHei" w:hAnsiTheme="majorBidi" w:cstheme="majorBidi"/>
            <w:bCs/>
            <w:noProof/>
            <w:webHidden/>
            <w:szCs w:val="22"/>
            <w:lang w:val="ru-RU" w:eastAsia="zh-CN"/>
          </w:rPr>
          <w:t>3</w:t>
        </w:r>
        <w:r w:rsidRPr="00F86DA5">
          <w:rPr>
            <w:rFonts w:asciiTheme="majorBidi" w:eastAsia="SimHei" w:hAnsiTheme="majorBidi" w:cstheme="majorBidi"/>
            <w:bCs/>
            <w:noProof/>
            <w:webHidden/>
            <w:szCs w:val="22"/>
            <w:lang w:val="ru-RU" w:eastAsia="zh-CN"/>
          </w:rPr>
          <w:fldChar w:fldCharType="end"/>
        </w:r>
      </w:hyperlink>
    </w:p>
    <w:p w:rsidR="00F86DA5" w:rsidRPr="00F86DA5" w:rsidRDefault="005D1F2F" w:rsidP="00F86DA5">
      <w:pPr>
        <w:tabs>
          <w:tab w:val="clear" w:pos="794"/>
          <w:tab w:val="clear" w:pos="1191"/>
          <w:tab w:val="clear" w:pos="1588"/>
          <w:tab w:val="clear" w:pos="1985"/>
          <w:tab w:val="left" w:pos="567"/>
          <w:tab w:val="left" w:leader="dot" w:pos="9120"/>
          <w:tab w:val="right" w:pos="9600"/>
        </w:tabs>
        <w:overflowPunct/>
        <w:autoSpaceDE/>
        <w:autoSpaceDN/>
        <w:adjustRightInd/>
        <w:spacing w:before="80"/>
        <w:ind w:left="567" w:right="1123" w:hanging="567"/>
        <w:jc w:val="left"/>
        <w:textAlignment w:val="auto"/>
        <w:rPr>
          <w:rFonts w:asciiTheme="majorBidi" w:eastAsia="SimHei" w:hAnsiTheme="majorBidi" w:cstheme="majorBidi"/>
          <w:bCs/>
          <w:noProof/>
          <w:szCs w:val="22"/>
          <w:lang w:val="ru-RU" w:eastAsia="zh-CN"/>
        </w:rPr>
      </w:pPr>
      <w:hyperlink w:anchor="_Toc277857900" w:history="1">
        <w:r w:rsidR="00F86DA5" w:rsidRPr="00F86DA5">
          <w:rPr>
            <w:rFonts w:asciiTheme="majorBidi" w:eastAsia="SimHei" w:hAnsiTheme="majorBidi" w:cstheme="majorBidi"/>
            <w:bCs/>
            <w:noProof/>
            <w:szCs w:val="22"/>
            <w:lang w:val="ru-RU" w:eastAsia="zh-CN"/>
          </w:rPr>
          <w:t>4</w:t>
        </w:r>
        <w:r w:rsidR="00F86DA5" w:rsidRPr="00F86DA5">
          <w:rPr>
            <w:rFonts w:asciiTheme="majorBidi" w:eastAsia="SimHei" w:hAnsiTheme="majorBidi" w:cstheme="majorBidi"/>
            <w:bCs/>
            <w:noProof/>
            <w:szCs w:val="22"/>
            <w:lang w:val="ru-RU" w:eastAsia="zh-CN"/>
          </w:rPr>
          <w:tab/>
          <w:t>Руководящие принципы по установлению административных сборов (или административных платежей)</w:t>
        </w:r>
        <w:r w:rsidR="00F86DA5" w:rsidRPr="00F86DA5">
          <w:rPr>
            <w:rFonts w:asciiTheme="majorBidi" w:eastAsia="SimHei" w:hAnsiTheme="majorBidi" w:cstheme="majorBidi"/>
            <w:bCs/>
            <w:noProof/>
            <w:webHidden/>
            <w:szCs w:val="22"/>
            <w:lang w:val="ru-RU" w:eastAsia="zh-CN"/>
          </w:rPr>
          <w:tab/>
        </w:r>
        <w:r w:rsidR="00F86DA5" w:rsidRPr="00F86DA5">
          <w:rPr>
            <w:rFonts w:asciiTheme="majorBidi" w:eastAsia="SimHei" w:hAnsiTheme="majorBidi" w:cstheme="majorBidi"/>
            <w:bCs/>
            <w:noProof/>
            <w:webHidden/>
            <w:szCs w:val="22"/>
            <w:lang w:val="ru-RU" w:eastAsia="zh-CN"/>
          </w:rPr>
          <w:tab/>
        </w:r>
        <w:r w:rsidRPr="00F86DA5">
          <w:rPr>
            <w:rFonts w:asciiTheme="majorBidi" w:eastAsia="SimHei" w:hAnsiTheme="majorBidi" w:cstheme="majorBidi"/>
            <w:bCs/>
            <w:noProof/>
            <w:webHidden/>
            <w:szCs w:val="22"/>
            <w:lang w:val="ru-RU" w:eastAsia="zh-CN"/>
          </w:rPr>
          <w:fldChar w:fldCharType="begin"/>
        </w:r>
        <w:r w:rsidR="00F86DA5" w:rsidRPr="00F86DA5">
          <w:rPr>
            <w:rFonts w:asciiTheme="majorBidi" w:eastAsia="SimHei" w:hAnsiTheme="majorBidi" w:cstheme="majorBidi"/>
            <w:bCs/>
            <w:noProof/>
            <w:webHidden/>
            <w:szCs w:val="22"/>
            <w:lang w:val="ru-RU" w:eastAsia="zh-CN"/>
          </w:rPr>
          <w:instrText xml:space="preserve"> PAGEREF _Toc277857900 \h </w:instrText>
        </w:r>
        <w:r w:rsidRPr="00F86DA5">
          <w:rPr>
            <w:rFonts w:asciiTheme="majorBidi" w:eastAsia="SimHei" w:hAnsiTheme="majorBidi" w:cstheme="majorBidi"/>
            <w:bCs/>
            <w:noProof/>
            <w:webHidden/>
            <w:szCs w:val="22"/>
            <w:lang w:val="ru-RU" w:eastAsia="zh-CN"/>
          </w:rPr>
        </w:r>
        <w:r w:rsidRPr="00F86DA5">
          <w:rPr>
            <w:rFonts w:asciiTheme="majorBidi" w:eastAsia="SimHei" w:hAnsiTheme="majorBidi" w:cstheme="majorBidi"/>
            <w:bCs/>
            <w:noProof/>
            <w:webHidden/>
            <w:szCs w:val="22"/>
            <w:lang w:val="ru-RU" w:eastAsia="zh-CN"/>
          </w:rPr>
          <w:fldChar w:fldCharType="separate"/>
        </w:r>
        <w:r w:rsidR="00510183">
          <w:rPr>
            <w:rFonts w:asciiTheme="majorBidi" w:eastAsia="SimHei" w:hAnsiTheme="majorBidi" w:cstheme="majorBidi"/>
            <w:bCs/>
            <w:noProof/>
            <w:webHidden/>
            <w:szCs w:val="22"/>
            <w:lang w:val="ru-RU" w:eastAsia="zh-CN"/>
          </w:rPr>
          <w:t>3</w:t>
        </w:r>
        <w:r w:rsidRPr="00F86DA5">
          <w:rPr>
            <w:rFonts w:asciiTheme="majorBidi" w:eastAsia="SimHei" w:hAnsiTheme="majorBidi" w:cstheme="majorBidi"/>
            <w:bCs/>
            <w:noProof/>
            <w:webHidden/>
            <w:szCs w:val="22"/>
            <w:lang w:val="ru-RU" w:eastAsia="zh-CN"/>
          </w:rPr>
          <w:fldChar w:fldCharType="end"/>
        </w:r>
      </w:hyperlink>
    </w:p>
    <w:p w:rsidR="00F86DA5" w:rsidRPr="00F86DA5" w:rsidRDefault="005D1F2F" w:rsidP="00F86DA5">
      <w:pPr>
        <w:tabs>
          <w:tab w:val="clear" w:pos="794"/>
          <w:tab w:val="clear" w:pos="1191"/>
          <w:tab w:val="clear" w:pos="1588"/>
          <w:tab w:val="clear" w:pos="1985"/>
          <w:tab w:val="left" w:pos="567"/>
          <w:tab w:val="left" w:leader="dot" w:pos="9120"/>
          <w:tab w:val="right" w:pos="9600"/>
        </w:tabs>
        <w:overflowPunct/>
        <w:autoSpaceDE/>
        <w:autoSpaceDN/>
        <w:adjustRightInd/>
        <w:spacing w:before="80"/>
        <w:ind w:left="1134" w:right="1123" w:hanging="567"/>
        <w:jc w:val="left"/>
        <w:textAlignment w:val="auto"/>
        <w:rPr>
          <w:rFonts w:asciiTheme="majorBidi" w:eastAsia="SimHei" w:hAnsiTheme="majorBidi" w:cstheme="majorBidi"/>
          <w:bCs/>
          <w:noProof/>
          <w:szCs w:val="22"/>
          <w:lang w:val="ru-RU" w:eastAsia="zh-CN"/>
        </w:rPr>
      </w:pPr>
      <w:hyperlink w:anchor="_Toc277857901" w:history="1">
        <w:r w:rsidR="00F86DA5" w:rsidRPr="00F86DA5">
          <w:rPr>
            <w:rFonts w:asciiTheme="majorBidi" w:eastAsia="SimHei" w:hAnsiTheme="majorBidi" w:cstheme="majorBidi"/>
            <w:bCs/>
            <w:noProof/>
            <w:szCs w:val="22"/>
            <w:lang w:val="ru-RU" w:eastAsia="zh-CN"/>
          </w:rPr>
          <w:t>4.1</w:t>
        </w:r>
        <w:r w:rsidR="00F86DA5" w:rsidRPr="00F86DA5">
          <w:rPr>
            <w:rFonts w:asciiTheme="majorBidi" w:eastAsia="SimHei" w:hAnsiTheme="majorBidi" w:cstheme="majorBidi"/>
            <w:bCs/>
            <w:noProof/>
            <w:szCs w:val="22"/>
            <w:lang w:val="ru-RU" w:eastAsia="zh-CN"/>
          </w:rPr>
          <w:tab/>
          <w:t>Замечания и общие положения</w:t>
        </w:r>
        <w:r w:rsidR="00F86DA5" w:rsidRPr="00F86DA5">
          <w:rPr>
            <w:rFonts w:asciiTheme="majorBidi" w:eastAsia="SimHei" w:hAnsiTheme="majorBidi" w:cstheme="majorBidi"/>
            <w:bCs/>
            <w:noProof/>
            <w:webHidden/>
            <w:szCs w:val="22"/>
            <w:lang w:val="ru-RU" w:eastAsia="zh-CN"/>
          </w:rPr>
          <w:tab/>
        </w:r>
        <w:r w:rsidR="00F86DA5" w:rsidRPr="00F86DA5">
          <w:rPr>
            <w:rFonts w:asciiTheme="majorBidi" w:eastAsia="SimHei" w:hAnsiTheme="majorBidi" w:cstheme="majorBidi"/>
            <w:bCs/>
            <w:noProof/>
            <w:webHidden/>
            <w:szCs w:val="22"/>
            <w:lang w:val="ru-RU" w:eastAsia="zh-CN"/>
          </w:rPr>
          <w:tab/>
        </w:r>
        <w:r w:rsidRPr="00F86DA5">
          <w:rPr>
            <w:rFonts w:asciiTheme="majorBidi" w:eastAsia="SimHei" w:hAnsiTheme="majorBidi" w:cstheme="majorBidi"/>
            <w:bCs/>
            <w:noProof/>
            <w:webHidden/>
            <w:szCs w:val="22"/>
            <w:lang w:val="ru-RU" w:eastAsia="zh-CN"/>
          </w:rPr>
          <w:fldChar w:fldCharType="begin"/>
        </w:r>
        <w:r w:rsidR="00F86DA5" w:rsidRPr="00F86DA5">
          <w:rPr>
            <w:rFonts w:asciiTheme="majorBidi" w:eastAsia="SimHei" w:hAnsiTheme="majorBidi" w:cstheme="majorBidi"/>
            <w:bCs/>
            <w:noProof/>
            <w:webHidden/>
            <w:szCs w:val="22"/>
            <w:lang w:val="ru-RU" w:eastAsia="zh-CN"/>
          </w:rPr>
          <w:instrText xml:space="preserve"> PAGEREF _Toc277857901 \h </w:instrText>
        </w:r>
        <w:r w:rsidRPr="00F86DA5">
          <w:rPr>
            <w:rFonts w:asciiTheme="majorBidi" w:eastAsia="SimHei" w:hAnsiTheme="majorBidi" w:cstheme="majorBidi"/>
            <w:bCs/>
            <w:noProof/>
            <w:webHidden/>
            <w:szCs w:val="22"/>
            <w:lang w:val="ru-RU" w:eastAsia="zh-CN"/>
          </w:rPr>
        </w:r>
        <w:r w:rsidRPr="00F86DA5">
          <w:rPr>
            <w:rFonts w:asciiTheme="majorBidi" w:eastAsia="SimHei" w:hAnsiTheme="majorBidi" w:cstheme="majorBidi"/>
            <w:bCs/>
            <w:noProof/>
            <w:webHidden/>
            <w:szCs w:val="22"/>
            <w:lang w:val="ru-RU" w:eastAsia="zh-CN"/>
          </w:rPr>
          <w:fldChar w:fldCharType="separate"/>
        </w:r>
        <w:r w:rsidR="00510183">
          <w:rPr>
            <w:rFonts w:asciiTheme="majorBidi" w:eastAsia="SimHei" w:hAnsiTheme="majorBidi" w:cstheme="majorBidi"/>
            <w:bCs/>
            <w:noProof/>
            <w:webHidden/>
            <w:szCs w:val="22"/>
            <w:lang w:val="ru-RU" w:eastAsia="zh-CN"/>
          </w:rPr>
          <w:t>3</w:t>
        </w:r>
        <w:r w:rsidRPr="00F86DA5">
          <w:rPr>
            <w:rFonts w:asciiTheme="majorBidi" w:eastAsia="SimHei" w:hAnsiTheme="majorBidi" w:cstheme="majorBidi"/>
            <w:bCs/>
            <w:noProof/>
            <w:webHidden/>
            <w:szCs w:val="22"/>
            <w:lang w:val="ru-RU" w:eastAsia="zh-CN"/>
          </w:rPr>
          <w:fldChar w:fldCharType="end"/>
        </w:r>
      </w:hyperlink>
    </w:p>
    <w:p w:rsidR="00F86DA5" w:rsidRPr="00F86DA5" w:rsidRDefault="005D1F2F" w:rsidP="00F86DA5">
      <w:pPr>
        <w:tabs>
          <w:tab w:val="clear" w:pos="794"/>
          <w:tab w:val="clear" w:pos="1191"/>
          <w:tab w:val="clear" w:pos="1588"/>
          <w:tab w:val="clear" w:pos="1985"/>
          <w:tab w:val="left" w:pos="567"/>
          <w:tab w:val="left" w:leader="dot" w:pos="9120"/>
          <w:tab w:val="right" w:pos="9600"/>
        </w:tabs>
        <w:overflowPunct/>
        <w:autoSpaceDE/>
        <w:autoSpaceDN/>
        <w:adjustRightInd/>
        <w:spacing w:before="80"/>
        <w:ind w:left="1134" w:right="1123" w:hanging="567"/>
        <w:jc w:val="left"/>
        <w:textAlignment w:val="auto"/>
        <w:rPr>
          <w:rFonts w:asciiTheme="majorBidi" w:eastAsia="SimHei" w:hAnsiTheme="majorBidi" w:cstheme="majorBidi"/>
          <w:bCs/>
          <w:noProof/>
          <w:szCs w:val="22"/>
          <w:lang w:val="ru-RU" w:eastAsia="zh-CN"/>
        </w:rPr>
      </w:pPr>
      <w:hyperlink w:anchor="_Toc277857902" w:history="1">
        <w:r w:rsidR="00F86DA5" w:rsidRPr="00F86DA5">
          <w:rPr>
            <w:rFonts w:asciiTheme="majorBidi" w:eastAsia="SimHei" w:hAnsiTheme="majorBidi" w:cstheme="majorBidi"/>
            <w:bCs/>
            <w:noProof/>
            <w:szCs w:val="22"/>
            <w:lang w:val="ru-RU" w:eastAsia="zh-CN"/>
          </w:rPr>
          <w:t>4.2</w:t>
        </w:r>
        <w:r w:rsidR="00F86DA5" w:rsidRPr="00F86DA5">
          <w:rPr>
            <w:rFonts w:asciiTheme="majorBidi" w:eastAsia="SimHei" w:hAnsiTheme="majorBidi" w:cstheme="majorBidi"/>
            <w:bCs/>
            <w:noProof/>
            <w:szCs w:val="22"/>
            <w:lang w:val="ru-RU" w:eastAsia="zh-CN"/>
          </w:rPr>
          <w:tab/>
          <w:t>Правило распределения административных затрат – пример 1</w:t>
        </w:r>
        <w:r w:rsidR="00F86DA5" w:rsidRPr="00F86DA5">
          <w:rPr>
            <w:rFonts w:asciiTheme="majorBidi" w:eastAsia="SimHei" w:hAnsiTheme="majorBidi" w:cstheme="majorBidi"/>
            <w:bCs/>
            <w:noProof/>
            <w:webHidden/>
            <w:szCs w:val="22"/>
            <w:lang w:val="ru-RU" w:eastAsia="zh-CN"/>
          </w:rPr>
          <w:tab/>
        </w:r>
        <w:r w:rsidR="00F86DA5" w:rsidRPr="00F86DA5">
          <w:rPr>
            <w:rFonts w:asciiTheme="majorBidi" w:eastAsia="SimHei" w:hAnsiTheme="majorBidi" w:cstheme="majorBidi"/>
            <w:bCs/>
            <w:noProof/>
            <w:webHidden/>
            <w:szCs w:val="22"/>
            <w:lang w:val="ru-RU" w:eastAsia="zh-CN"/>
          </w:rPr>
          <w:tab/>
        </w:r>
        <w:r w:rsidRPr="00F86DA5">
          <w:rPr>
            <w:rFonts w:asciiTheme="majorBidi" w:eastAsia="SimHei" w:hAnsiTheme="majorBidi" w:cstheme="majorBidi"/>
            <w:bCs/>
            <w:noProof/>
            <w:webHidden/>
            <w:szCs w:val="22"/>
            <w:lang w:val="ru-RU" w:eastAsia="zh-CN"/>
          </w:rPr>
          <w:fldChar w:fldCharType="begin"/>
        </w:r>
        <w:r w:rsidR="00F86DA5" w:rsidRPr="00F86DA5">
          <w:rPr>
            <w:rFonts w:asciiTheme="majorBidi" w:eastAsia="SimHei" w:hAnsiTheme="majorBidi" w:cstheme="majorBidi"/>
            <w:bCs/>
            <w:noProof/>
            <w:webHidden/>
            <w:szCs w:val="22"/>
            <w:lang w:val="ru-RU" w:eastAsia="zh-CN"/>
          </w:rPr>
          <w:instrText xml:space="preserve"> PAGEREF _Toc277857902 \h </w:instrText>
        </w:r>
        <w:r w:rsidRPr="00F86DA5">
          <w:rPr>
            <w:rFonts w:asciiTheme="majorBidi" w:eastAsia="SimHei" w:hAnsiTheme="majorBidi" w:cstheme="majorBidi"/>
            <w:bCs/>
            <w:noProof/>
            <w:webHidden/>
            <w:szCs w:val="22"/>
            <w:lang w:val="ru-RU" w:eastAsia="zh-CN"/>
          </w:rPr>
        </w:r>
        <w:r w:rsidRPr="00F86DA5">
          <w:rPr>
            <w:rFonts w:asciiTheme="majorBidi" w:eastAsia="SimHei" w:hAnsiTheme="majorBidi" w:cstheme="majorBidi"/>
            <w:bCs/>
            <w:noProof/>
            <w:webHidden/>
            <w:szCs w:val="22"/>
            <w:lang w:val="ru-RU" w:eastAsia="zh-CN"/>
          </w:rPr>
          <w:fldChar w:fldCharType="separate"/>
        </w:r>
        <w:r w:rsidR="00510183">
          <w:rPr>
            <w:rFonts w:asciiTheme="majorBidi" w:eastAsia="SimHei" w:hAnsiTheme="majorBidi" w:cstheme="majorBidi"/>
            <w:bCs/>
            <w:noProof/>
            <w:webHidden/>
            <w:szCs w:val="22"/>
            <w:lang w:val="ru-RU" w:eastAsia="zh-CN"/>
          </w:rPr>
          <w:t>4</w:t>
        </w:r>
        <w:r w:rsidRPr="00F86DA5">
          <w:rPr>
            <w:rFonts w:asciiTheme="majorBidi" w:eastAsia="SimHei" w:hAnsiTheme="majorBidi" w:cstheme="majorBidi"/>
            <w:bCs/>
            <w:noProof/>
            <w:webHidden/>
            <w:szCs w:val="22"/>
            <w:lang w:val="ru-RU" w:eastAsia="zh-CN"/>
          </w:rPr>
          <w:fldChar w:fldCharType="end"/>
        </w:r>
      </w:hyperlink>
    </w:p>
    <w:p w:rsidR="00F86DA5" w:rsidRPr="00F86DA5" w:rsidRDefault="005D1F2F" w:rsidP="00F86DA5">
      <w:pPr>
        <w:tabs>
          <w:tab w:val="clear" w:pos="794"/>
          <w:tab w:val="clear" w:pos="1191"/>
          <w:tab w:val="clear" w:pos="1588"/>
          <w:tab w:val="clear" w:pos="1985"/>
          <w:tab w:val="left" w:pos="567"/>
          <w:tab w:val="left" w:leader="dot" w:pos="9120"/>
          <w:tab w:val="right" w:pos="9600"/>
        </w:tabs>
        <w:overflowPunct/>
        <w:autoSpaceDE/>
        <w:autoSpaceDN/>
        <w:adjustRightInd/>
        <w:spacing w:before="80"/>
        <w:ind w:left="1134" w:right="1123" w:hanging="567"/>
        <w:jc w:val="left"/>
        <w:textAlignment w:val="auto"/>
        <w:rPr>
          <w:rFonts w:asciiTheme="majorBidi" w:eastAsia="SimHei" w:hAnsiTheme="majorBidi" w:cstheme="majorBidi"/>
          <w:bCs/>
          <w:noProof/>
          <w:szCs w:val="22"/>
          <w:lang w:val="ru-RU" w:eastAsia="zh-CN"/>
        </w:rPr>
      </w:pPr>
      <w:hyperlink w:anchor="_Toc277857903" w:history="1">
        <w:r w:rsidR="00F86DA5" w:rsidRPr="00F86DA5">
          <w:rPr>
            <w:rFonts w:asciiTheme="majorBidi" w:eastAsia="SimHei" w:hAnsiTheme="majorBidi" w:cstheme="majorBidi"/>
            <w:bCs/>
            <w:noProof/>
            <w:szCs w:val="22"/>
            <w:lang w:val="ru-RU" w:eastAsia="zh-CN"/>
          </w:rPr>
          <w:t>4.3</w:t>
        </w:r>
        <w:r w:rsidR="00F86DA5" w:rsidRPr="00F86DA5">
          <w:rPr>
            <w:rFonts w:asciiTheme="majorBidi" w:eastAsia="SimHei" w:hAnsiTheme="majorBidi" w:cstheme="majorBidi"/>
            <w:bCs/>
            <w:noProof/>
            <w:szCs w:val="22"/>
            <w:lang w:val="ru-RU" w:eastAsia="zh-CN"/>
          </w:rPr>
          <w:tab/>
          <w:t>Правило распределения административных затрат – пример 2</w:t>
        </w:r>
        <w:r w:rsidR="00F86DA5" w:rsidRPr="00F86DA5">
          <w:rPr>
            <w:rFonts w:asciiTheme="majorBidi" w:eastAsia="SimHei" w:hAnsiTheme="majorBidi" w:cstheme="majorBidi"/>
            <w:bCs/>
            <w:noProof/>
            <w:webHidden/>
            <w:szCs w:val="22"/>
            <w:lang w:val="ru-RU" w:eastAsia="zh-CN"/>
          </w:rPr>
          <w:tab/>
        </w:r>
        <w:r w:rsidR="00F86DA5" w:rsidRPr="00F86DA5">
          <w:rPr>
            <w:rFonts w:asciiTheme="majorBidi" w:eastAsia="SimHei" w:hAnsiTheme="majorBidi" w:cstheme="majorBidi"/>
            <w:bCs/>
            <w:noProof/>
            <w:webHidden/>
            <w:szCs w:val="22"/>
            <w:lang w:val="ru-RU" w:eastAsia="zh-CN"/>
          </w:rPr>
          <w:tab/>
        </w:r>
        <w:r w:rsidRPr="00F86DA5">
          <w:rPr>
            <w:rFonts w:asciiTheme="majorBidi" w:eastAsia="SimHei" w:hAnsiTheme="majorBidi" w:cstheme="majorBidi"/>
            <w:bCs/>
            <w:noProof/>
            <w:webHidden/>
            <w:szCs w:val="22"/>
            <w:lang w:val="ru-RU" w:eastAsia="zh-CN"/>
          </w:rPr>
          <w:fldChar w:fldCharType="begin"/>
        </w:r>
        <w:r w:rsidR="00F86DA5" w:rsidRPr="00F86DA5">
          <w:rPr>
            <w:rFonts w:asciiTheme="majorBidi" w:eastAsia="SimHei" w:hAnsiTheme="majorBidi" w:cstheme="majorBidi"/>
            <w:bCs/>
            <w:noProof/>
            <w:webHidden/>
            <w:szCs w:val="22"/>
            <w:lang w:val="ru-RU" w:eastAsia="zh-CN"/>
          </w:rPr>
          <w:instrText xml:space="preserve"> PAGEREF _Toc277857903 \h </w:instrText>
        </w:r>
        <w:r w:rsidRPr="00F86DA5">
          <w:rPr>
            <w:rFonts w:asciiTheme="majorBidi" w:eastAsia="SimHei" w:hAnsiTheme="majorBidi" w:cstheme="majorBidi"/>
            <w:bCs/>
            <w:noProof/>
            <w:webHidden/>
            <w:szCs w:val="22"/>
            <w:lang w:val="ru-RU" w:eastAsia="zh-CN"/>
          </w:rPr>
        </w:r>
        <w:r w:rsidRPr="00F86DA5">
          <w:rPr>
            <w:rFonts w:asciiTheme="majorBidi" w:eastAsia="SimHei" w:hAnsiTheme="majorBidi" w:cstheme="majorBidi"/>
            <w:bCs/>
            <w:noProof/>
            <w:webHidden/>
            <w:szCs w:val="22"/>
            <w:lang w:val="ru-RU" w:eastAsia="zh-CN"/>
          </w:rPr>
          <w:fldChar w:fldCharType="separate"/>
        </w:r>
        <w:r w:rsidR="00510183">
          <w:rPr>
            <w:rFonts w:asciiTheme="majorBidi" w:eastAsia="SimHei" w:hAnsiTheme="majorBidi" w:cstheme="majorBidi"/>
            <w:bCs/>
            <w:noProof/>
            <w:webHidden/>
            <w:szCs w:val="22"/>
            <w:lang w:val="ru-RU" w:eastAsia="zh-CN"/>
          </w:rPr>
          <w:t>4</w:t>
        </w:r>
        <w:r w:rsidRPr="00F86DA5">
          <w:rPr>
            <w:rFonts w:asciiTheme="majorBidi" w:eastAsia="SimHei" w:hAnsiTheme="majorBidi" w:cstheme="majorBidi"/>
            <w:bCs/>
            <w:noProof/>
            <w:webHidden/>
            <w:szCs w:val="22"/>
            <w:lang w:val="ru-RU" w:eastAsia="zh-CN"/>
          </w:rPr>
          <w:fldChar w:fldCharType="end"/>
        </w:r>
      </w:hyperlink>
    </w:p>
    <w:p w:rsidR="00F86DA5" w:rsidRPr="00F86DA5" w:rsidRDefault="005D1F2F" w:rsidP="00F86DA5">
      <w:pPr>
        <w:tabs>
          <w:tab w:val="clear" w:pos="794"/>
          <w:tab w:val="clear" w:pos="1191"/>
          <w:tab w:val="clear" w:pos="1588"/>
          <w:tab w:val="clear" w:pos="1985"/>
          <w:tab w:val="left" w:pos="567"/>
          <w:tab w:val="left" w:leader="dot" w:pos="9120"/>
          <w:tab w:val="right" w:pos="9600"/>
        </w:tabs>
        <w:overflowPunct/>
        <w:autoSpaceDE/>
        <w:autoSpaceDN/>
        <w:adjustRightInd/>
        <w:spacing w:before="80"/>
        <w:ind w:left="567" w:right="1123" w:hanging="567"/>
        <w:jc w:val="left"/>
        <w:textAlignment w:val="auto"/>
        <w:rPr>
          <w:rFonts w:asciiTheme="majorBidi" w:eastAsia="SimHei" w:hAnsiTheme="majorBidi" w:cstheme="majorBidi"/>
          <w:bCs/>
          <w:noProof/>
          <w:szCs w:val="22"/>
          <w:lang w:val="ru-RU" w:eastAsia="zh-CN"/>
        </w:rPr>
      </w:pPr>
      <w:hyperlink w:anchor="_Toc277857904" w:history="1">
        <w:r w:rsidR="00F86DA5" w:rsidRPr="00F86DA5">
          <w:rPr>
            <w:rFonts w:asciiTheme="majorBidi" w:eastAsia="SimHei" w:hAnsiTheme="majorBidi" w:cstheme="majorBidi"/>
            <w:bCs/>
            <w:noProof/>
            <w:szCs w:val="22"/>
            <w:lang w:val="ru-RU" w:eastAsia="zh-CN"/>
          </w:rPr>
          <w:t>5</w:t>
        </w:r>
        <w:r w:rsidR="00F86DA5" w:rsidRPr="00F86DA5">
          <w:rPr>
            <w:rFonts w:asciiTheme="majorBidi" w:eastAsia="SimHei" w:hAnsiTheme="majorBidi" w:cstheme="majorBidi"/>
            <w:bCs/>
            <w:noProof/>
            <w:szCs w:val="22"/>
            <w:lang w:val="ru-RU" w:eastAsia="zh-CN"/>
          </w:rPr>
          <w:tab/>
          <w:t>Руководящие принципы по установлению сборов за использование спектра</w:t>
        </w:r>
        <w:r w:rsidR="00F86DA5" w:rsidRPr="00F86DA5">
          <w:rPr>
            <w:rFonts w:asciiTheme="majorBidi" w:eastAsia="SimHei" w:hAnsiTheme="majorBidi" w:cstheme="majorBidi"/>
            <w:bCs/>
            <w:noProof/>
            <w:webHidden/>
            <w:szCs w:val="22"/>
            <w:lang w:val="ru-RU" w:eastAsia="zh-CN"/>
          </w:rPr>
          <w:tab/>
        </w:r>
        <w:r w:rsidR="00F86DA5" w:rsidRPr="00F86DA5">
          <w:rPr>
            <w:rFonts w:asciiTheme="majorBidi" w:eastAsia="SimHei" w:hAnsiTheme="majorBidi" w:cstheme="majorBidi"/>
            <w:bCs/>
            <w:noProof/>
            <w:webHidden/>
            <w:szCs w:val="22"/>
            <w:lang w:val="ru-RU" w:eastAsia="zh-CN"/>
          </w:rPr>
          <w:tab/>
        </w:r>
        <w:r w:rsidRPr="00F86DA5">
          <w:rPr>
            <w:rFonts w:asciiTheme="majorBidi" w:eastAsia="SimHei" w:hAnsiTheme="majorBidi" w:cstheme="majorBidi"/>
            <w:bCs/>
            <w:noProof/>
            <w:webHidden/>
            <w:szCs w:val="22"/>
            <w:lang w:val="ru-RU" w:eastAsia="zh-CN"/>
          </w:rPr>
          <w:fldChar w:fldCharType="begin"/>
        </w:r>
        <w:r w:rsidR="00F86DA5" w:rsidRPr="00F86DA5">
          <w:rPr>
            <w:rFonts w:asciiTheme="majorBidi" w:eastAsia="SimHei" w:hAnsiTheme="majorBidi" w:cstheme="majorBidi"/>
            <w:bCs/>
            <w:noProof/>
            <w:webHidden/>
            <w:szCs w:val="22"/>
            <w:lang w:val="ru-RU" w:eastAsia="zh-CN"/>
          </w:rPr>
          <w:instrText xml:space="preserve"> PAGEREF _Toc277857904 \h </w:instrText>
        </w:r>
        <w:r w:rsidRPr="00F86DA5">
          <w:rPr>
            <w:rFonts w:asciiTheme="majorBidi" w:eastAsia="SimHei" w:hAnsiTheme="majorBidi" w:cstheme="majorBidi"/>
            <w:bCs/>
            <w:noProof/>
            <w:webHidden/>
            <w:szCs w:val="22"/>
            <w:lang w:val="ru-RU" w:eastAsia="zh-CN"/>
          </w:rPr>
        </w:r>
        <w:r w:rsidRPr="00F86DA5">
          <w:rPr>
            <w:rFonts w:asciiTheme="majorBidi" w:eastAsia="SimHei" w:hAnsiTheme="majorBidi" w:cstheme="majorBidi"/>
            <w:bCs/>
            <w:noProof/>
            <w:webHidden/>
            <w:szCs w:val="22"/>
            <w:lang w:val="ru-RU" w:eastAsia="zh-CN"/>
          </w:rPr>
          <w:fldChar w:fldCharType="separate"/>
        </w:r>
        <w:r w:rsidR="00510183">
          <w:rPr>
            <w:rFonts w:asciiTheme="majorBidi" w:eastAsia="SimHei" w:hAnsiTheme="majorBidi" w:cstheme="majorBidi"/>
            <w:bCs/>
            <w:noProof/>
            <w:webHidden/>
            <w:szCs w:val="22"/>
            <w:lang w:val="ru-RU" w:eastAsia="zh-CN"/>
          </w:rPr>
          <w:t>5</w:t>
        </w:r>
        <w:r w:rsidRPr="00F86DA5">
          <w:rPr>
            <w:rFonts w:asciiTheme="majorBidi" w:eastAsia="SimHei" w:hAnsiTheme="majorBidi" w:cstheme="majorBidi"/>
            <w:bCs/>
            <w:noProof/>
            <w:webHidden/>
            <w:szCs w:val="22"/>
            <w:lang w:val="ru-RU" w:eastAsia="zh-CN"/>
          </w:rPr>
          <w:fldChar w:fldCharType="end"/>
        </w:r>
      </w:hyperlink>
    </w:p>
    <w:p w:rsidR="00F86DA5" w:rsidRPr="00F86DA5" w:rsidRDefault="005D1F2F" w:rsidP="00F86DA5">
      <w:pPr>
        <w:tabs>
          <w:tab w:val="clear" w:pos="794"/>
          <w:tab w:val="clear" w:pos="1191"/>
          <w:tab w:val="clear" w:pos="1588"/>
          <w:tab w:val="clear" w:pos="1985"/>
          <w:tab w:val="left" w:pos="567"/>
          <w:tab w:val="left" w:leader="dot" w:pos="9120"/>
          <w:tab w:val="right" w:pos="9600"/>
        </w:tabs>
        <w:overflowPunct/>
        <w:autoSpaceDE/>
        <w:autoSpaceDN/>
        <w:adjustRightInd/>
        <w:spacing w:before="80"/>
        <w:ind w:left="1134" w:right="1123" w:hanging="567"/>
        <w:jc w:val="left"/>
        <w:textAlignment w:val="auto"/>
        <w:rPr>
          <w:rFonts w:asciiTheme="majorBidi" w:eastAsia="SimHei" w:hAnsiTheme="majorBidi" w:cstheme="majorBidi"/>
          <w:bCs/>
          <w:noProof/>
          <w:szCs w:val="22"/>
          <w:lang w:val="ru-RU" w:eastAsia="zh-CN"/>
        </w:rPr>
      </w:pPr>
      <w:hyperlink w:anchor="_Toc277857905" w:history="1">
        <w:r w:rsidR="00F86DA5" w:rsidRPr="00F86DA5">
          <w:rPr>
            <w:rFonts w:asciiTheme="majorBidi" w:eastAsia="SimHei" w:hAnsiTheme="majorBidi" w:cstheme="majorBidi"/>
            <w:bCs/>
            <w:noProof/>
            <w:szCs w:val="22"/>
            <w:lang w:val="ru-RU" w:eastAsia="zh-CN"/>
          </w:rPr>
          <w:t>5.1</w:t>
        </w:r>
        <w:r w:rsidR="00F86DA5" w:rsidRPr="00F86DA5">
          <w:rPr>
            <w:rFonts w:asciiTheme="majorBidi" w:eastAsia="SimHei" w:hAnsiTheme="majorBidi" w:cstheme="majorBidi"/>
            <w:bCs/>
            <w:noProof/>
            <w:szCs w:val="22"/>
            <w:lang w:val="ru-RU" w:eastAsia="zh-CN"/>
          </w:rPr>
          <w:tab/>
          <w:t>Замечания и общие положения</w:t>
        </w:r>
        <w:r w:rsidR="00F86DA5" w:rsidRPr="00F86DA5">
          <w:rPr>
            <w:rFonts w:asciiTheme="majorBidi" w:eastAsia="SimHei" w:hAnsiTheme="majorBidi" w:cstheme="majorBidi"/>
            <w:bCs/>
            <w:noProof/>
            <w:webHidden/>
            <w:szCs w:val="22"/>
            <w:lang w:val="ru-RU" w:eastAsia="zh-CN"/>
          </w:rPr>
          <w:tab/>
        </w:r>
        <w:r w:rsidR="00F86DA5" w:rsidRPr="00F86DA5">
          <w:rPr>
            <w:rFonts w:asciiTheme="majorBidi" w:eastAsia="SimHei" w:hAnsiTheme="majorBidi" w:cstheme="majorBidi"/>
            <w:bCs/>
            <w:noProof/>
            <w:webHidden/>
            <w:szCs w:val="22"/>
            <w:lang w:val="ru-RU" w:eastAsia="zh-CN"/>
          </w:rPr>
          <w:tab/>
        </w:r>
        <w:r w:rsidRPr="00F86DA5">
          <w:rPr>
            <w:rFonts w:asciiTheme="majorBidi" w:eastAsia="SimHei" w:hAnsiTheme="majorBidi" w:cstheme="majorBidi"/>
            <w:bCs/>
            <w:noProof/>
            <w:webHidden/>
            <w:szCs w:val="22"/>
            <w:lang w:val="ru-RU" w:eastAsia="zh-CN"/>
          </w:rPr>
          <w:fldChar w:fldCharType="begin"/>
        </w:r>
        <w:r w:rsidR="00F86DA5" w:rsidRPr="00F86DA5">
          <w:rPr>
            <w:rFonts w:asciiTheme="majorBidi" w:eastAsia="SimHei" w:hAnsiTheme="majorBidi" w:cstheme="majorBidi"/>
            <w:bCs/>
            <w:noProof/>
            <w:webHidden/>
            <w:szCs w:val="22"/>
            <w:lang w:val="ru-RU" w:eastAsia="zh-CN"/>
          </w:rPr>
          <w:instrText xml:space="preserve"> PAGEREF _Toc277857905 \h </w:instrText>
        </w:r>
        <w:r w:rsidRPr="00F86DA5">
          <w:rPr>
            <w:rFonts w:asciiTheme="majorBidi" w:eastAsia="SimHei" w:hAnsiTheme="majorBidi" w:cstheme="majorBidi"/>
            <w:bCs/>
            <w:noProof/>
            <w:webHidden/>
            <w:szCs w:val="22"/>
            <w:lang w:val="ru-RU" w:eastAsia="zh-CN"/>
          </w:rPr>
        </w:r>
        <w:r w:rsidRPr="00F86DA5">
          <w:rPr>
            <w:rFonts w:asciiTheme="majorBidi" w:eastAsia="SimHei" w:hAnsiTheme="majorBidi" w:cstheme="majorBidi"/>
            <w:bCs/>
            <w:noProof/>
            <w:webHidden/>
            <w:szCs w:val="22"/>
            <w:lang w:val="ru-RU" w:eastAsia="zh-CN"/>
          </w:rPr>
          <w:fldChar w:fldCharType="separate"/>
        </w:r>
        <w:r w:rsidR="00510183">
          <w:rPr>
            <w:rFonts w:asciiTheme="majorBidi" w:eastAsia="SimHei" w:hAnsiTheme="majorBidi" w:cstheme="majorBidi"/>
            <w:bCs/>
            <w:noProof/>
            <w:webHidden/>
            <w:szCs w:val="22"/>
            <w:lang w:val="ru-RU" w:eastAsia="zh-CN"/>
          </w:rPr>
          <w:t>5</w:t>
        </w:r>
        <w:r w:rsidRPr="00F86DA5">
          <w:rPr>
            <w:rFonts w:asciiTheme="majorBidi" w:eastAsia="SimHei" w:hAnsiTheme="majorBidi" w:cstheme="majorBidi"/>
            <w:bCs/>
            <w:noProof/>
            <w:webHidden/>
            <w:szCs w:val="22"/>
            <w:lang w:val="ru-RU" w:eastAsia="zh-CN"/>
          </w:rPr>
          <w:fldChar w:fldCharType="end"/>
        </w:r>
      </w:hyperlink>
    </w:p>
    <w:p w:rsidR="00F86DA5" w:rsidRPr="00F86DA5" w:rsidRDefault="005D1F2F" w:rsidP="00F86DA5">
      <w:pPr>
        <w:tabs>
          <w:tab w:val="clear" w:pos="794"/>
          <w:tab w:val="clear" w:pos="1191"/>
          <w:tab w:val="clear" w:pos="1588"/>
          <w:tab w:val="clear" w:pos="1985"/>
          <w:tab w:val="left" w:pos="567"/>
          <w:tab w:val="left" w:leader="dot" w:pos="9120"/>
          <w:tab w:val="right" w:pos="9600"/>
        </w:tabs>
        <w:overflowPunct/>
        <w:autoSpaceDE/>
        <w:autoSpaceDN/>
        <w:adjustRightInd/>
        <w:spacing w:before="80"/>
        <w:ind w:left="1134" w:right="1123" w:hanging="567"/>
        <w:jc w:val="left"/>
        <w:textAlignment w:val="auto"/>
        <w:rPr>
          <w:rFonts w:asciiTheme="majorBidi" w:eastAsia="SimHei" w:hAnsiTheme="majorBidi" w:cstheme="majorBidi"/>
          <w:bCs/>
          <w:noProof/>
          <w:szCs w:val="22"/>
          <w:lang w:val="ru-RU" w:eastAsia="zh-CN"/>
        </w:rPr>
      </w:pPr>
      <w:hyperlink w:anchor="_Toc277857906" w:history="1">
        <w:r w:rsidR="00F86DA5" w:rsidRPr="00F86DA5">
          <w:rPr>
            <w:rFonts w:asciiTheme="majorBidi" w:eastAsia="SimHei" w:hAnsiTheme="majorBidi" w:cstheme="majorBidi"/>
            <w:bCs/>
            <w:noProof/>
            <w:szCs w:val="22"/>
            <w:lang w:val="ru-RU" w:eastAsia="zh-CN"/>
          </w:rPr>
          <w:t>5.2</w:t>
        </w:r>
        <w:r w:rsidR="00F86DA5" w:rsidRPr="00F86DA5">
          <w:rPr>
            <w:rFonts w:asciiTheme="majorBidi" w:eastAsia="SimHei" w:hAnsiTheme="majorBidi" w:cstheme="majorBidi"/>
            <w:bCs/>
            <w:noProof/>
            <w:szCs w:val="22"/>
            <w:lang w:val="ru-RU" w:eastAsia="zh-CN"/>
          </w:rPr>
          <w:tab/>
          <w:t>Сборы за использование спектра, касающиеся частот, предназначенных для удовлетворения собственных потребностей пользователей</w:t>
        </w:r>
        <w:r w:rsidR="00F86DA5" w:rsidRPr="00F86DA5">
          <w:rPr>
            <w:rFonts w:asciiTheme="majorBidi" w:eastAsia="SimHei" w:hAnsiTheme="majorBidi" w:cstheme="majorBidi"/>
            <w:bCs/>
            <w:noProof/>
            <w:webHidden/>
            <w:szCs w:val="22"/>
            <w:lang w:val="ru-RU" w:eastAsia="zh-CN"/>
          </w:rPr>
          <w:tab/>
        </w:r>
        <w:r w:rsidR="00F86DA5" w:rsidRPr="00F86DA5">
          <w:rPr>
            <w:rFonts w:asciiTheme="majorBidi" w:eastAsia="SimHei" w:hAnsiTheme="majorBidi" w:cstheme="majorBidi"/>
            <w:bCs/>
            <w:noProof/>
            <w:webHidden/>
            <w:szCs w:val="22"/>
            <w:lang w:val="ru-RU" w:eastAsia="zh-CN"/>
          </w:rPr>
          <w:tab/>
        </w:r>
        <w:r w:rsidRPr="00F86DA5">
          <w:rPr>
            <w:rFonts w:asciiTheme="majorBidi" w:eastAsia="SimHei" w:hAnsiTheme="majorBidi" w:cstheme="majorBidi"/>
            <w:bCs/>
            <w:noProof/>
            <w:webHidden/>
            <w:szCs w:val="22"/>
            <w:lang w:val="ru-RU" w:eastAsia="zh-CN"/>
          </w:rPr>
          <w:fldChar w:fldCharType="begin"/>
        </w:r>
        <w:r w:rsidR="00F86DA5" w:rsidRPr="00F86DA5">
          <w:rPr>
            <w:rFonts w:asciiTheme="majorBidi" w:eastAsia="SimHei" w:hAnsiTheme="majorBidi" w:cstheme="majorBidi"/>
            <w:bCs/>
            <w:noProof/>
            <w:webHidden/>
            <w:szCs w:val="22"/>
            <w:lang w:val="ru-RU" w:eastAsia="zh-CN"/>
          </w:rPr>
          <w:instrText xml:space="preserve"> PAGEREF _Toc277857906 \h </w:instrText>
        </w:r>
        <w:r w:rsidRPr="00F86DA5">
          <w:rPr>
            <w:rFonts w:asciiTheme="majorBidi" w:eastAsia="SimHei" w:hAnsiTheme="majorBidi" w:cstheme="majorBidi"/>
            <w:bCs/>
            <w:noProof/>
            <w:webHidden/>
            <w:szCs w:val="22"/>
            <w:lang w:val="ru-RU" w:eastAsia="zh-CN"/>
          </w:rPr>
        </w:r>
        <w:r w:rsidRPr="00F86DA5">
          <w:rPr>
            <w:rFonts w:asciiTheme="majorBidi" w:eastAsia="SimHei" w:hAnsiTheme="majorBidi" w:cstheme="majorBidi"/>
            <w:bCs/>
            <w:noProof/>
            <w:webHidden/>
            <w:szCs w:val="22"/>
            <w:lang w:val="ru-RU" w:eastAsia="zh-CN"/>
          </w:rPr>
          <w:fldChar w:fldCharType="separate"/>
        </w:r>
        <w:r w:rsidR="00510183">
          <w:rPr>
            <w:rFonts w:asciiTheme="majorBidi" w:eastAsia="SimHei" w:hAnsiTheme="majorBidi" w:cstheme="majorBidi"/>
            <w:bCs/>
            <w:noProof/>
            <w:webHidden/>
            <w:szCs w:val="22"/>
            <w:lang w:val="ru-RU" w:eastAsia="zh-CN"/>
          </w:rPr>
          <w:t>6</w:t>
        </w:r>
        <w:r w:rsidRPr="00F86DA5">
          <w:rPr>
            <w:rFonts w:asciiTheme="majorBidi" w:eastAsia="SimHei" w:hAnsiTheme="majorBidi" w:cstheme="majorBidi"/>
            <w:bCs/>
            <w:noProof/>
            <w:webHidden/>
            <w:szCs w:val="22"/>
            <w:lang w:val="ru-RU" w:eastAsia="zh-CN"/>
          </w:rPr>
          <w:fldChar w:fldCharType="end"/>
        </w:r>
      </w:hyperlink>
    </w:p>
    <w:p w:rsidR="00F86DA5" w:rsidRPr="00F86DA5" w:rsidRDefault="005D1F2F" w:rsidP="00F86DA5">
      <w:pPr>
        <w:tabs>
          <w:tab w:val="clear" w:pos="794"/>
          <w:tab w:val="clear" w:pos="1191"/>
          <w:tab w:val="clear" w:pos="1588"/>
          <w:tab w:val="clear" w:pos="1985"/>
          <w:tab w:val="left" w:pos="567"/>
          <w:tab w:val="left" w:leader="dot" w:pos="9120"/>
          <w:tab w:val="right" w:pos="9600"/>
        </w:tabs>
        <w:overflowPunct/>
        <w:autoSpaceDE/>
        <w:autoSpaceDN/>
        <w:adjustRightInd/>
        <w:spacing w:before="80"/>
        <w:ind w:left="1134" w:right="1123" w:hanging="567"/>
        <w:jc w:val="left"/>
        <w:textAlignment w:val="auto"/>
        <w:rPr>
          <w:rFonts w:asciiTheme="majorBidi" w:eastAsia="SimHei" w:hAnsiTheme="majorBidi" w:cstheme="majorBidi"/>
          <w:bCs/>
          <w:noProof/>
          <w:szCs w:val="22"/>
          <w:lang w:val="ru-RU" w:eastAsia="zh-CN"/>
        </w:rPr>
      </w:pPr>
      <w:hyperlink w:anchor="_Toc277857907" w:history="1">
        <w:r w:rsidR="00F86DA5" w:rsidRPr="00F86DA5">
          <w:rPr>
            <w:rFonts w:asciiTheme="majorBidi" w:eastAsia="SimHei" w:hAnsiTheme="majorBidi" w:cstheme="majorBidi"/>
            <w:bCs/>
            <w:noProof/>
            <w:szCs w:val="22"/>
            <w:lang w:val="ru-RU" w:eastAsia="zh-CN"/>
          </w:rPr>
          <w:t>5.3</w:t>
        </w:r>
        <w:r w:rsidR="00F86DA5" w:rsidRPr="00F86DA5">
          <w:rPr>
            <w:rFonts w:asciiTheme="majorBidi" w:eastAsia="SimHei" w:hAnsiTheme="majorBidi" w:cstheme="majorBidi"/>
            <w:bCs/>
            <w:noProof/>
            <w:szCs w:val="22"/>
            <w:lang w:val="ru-RU" w:eastAsia="zh-CN"/>
          </w:rPr>
          <w:tab/>
          <w:t>Сборы за использование спектра для частот, используемых для предоставления или продажи услуг, предназначенных для потребительского рынка</w:t>
        </w:r>
        <w:r w:rsidR="00F86DA5" w:rsidRPr="00F86DA5">
          <w:rPr>
            <w:rFonts w:asciiTheme="majorBidi" w:eastAsia="SimHei" w:hAnsiTheme="majorBidi" w:cstheme="majorBidi"/>
            <w:bCs/>
            <w:noProof/>
            <w:webHidden/>
            <w:szCs w:val="22"/>
            <w:lang w:val="ru-RU" w:eastAsia="zh-CN"/>
          </w:rPr>
          <w:tab/>
        </w:r>
        <w:r w:rsidR="00F86DA5" w:rsidRPr="00F86DA5">
          <w:rPr>
            <w:rFonts w:asciiTheme="majorBidi" w:eastAsia="SimHei" w:hAnsiTheme="majorBidi" w:cstheme="majorBidi"/>
            <w:bCs/>
            <w:noProof/>
            <w:webHidden/>
            <w:szCs w:val="22"/>
            <w:lang w:val="ru-RU" w:eastAsia="zh-CN"/>
          </w:rPr>
          <w:tab/>
        </w:r>
        <w:r w:rsidRPr="00F86DA5">
          <w:rPr>
            <w:rFonts w:asciiTheme="majorBidi" w:eastAsia="SimHei" w:hAnsiTheme="majorBidi" w:cstheme="majorBidi"/>
            <w:bCs/>
            <w:noProof/>
            <w:webHidden/>
            <w:szCs w:val="22"/>
            <w:lang w:val="ru-RU" w:eastAsia="zh-CN"/>
          </w:rPr>
          <w:fldChar w:fldCharType="begin"/>
        </w:r>
        <w:r w:rsidR="00F86DA5" w:rsidRPr="00F86DA5">
          <w:rPr>
            <w:rFonts w:asciiTheme="majorBidi" w:eastAsia="SimHei" w:hAnsiTheme="majorBidi" w:cstheme="majorBidi"/>
            <w:bCs/>
            <w:noProof/>
            <w:webHidden/>
            <w:szCs w:val="22"/>
            <w:lang w:val="ru-RU" w:eastAsia="zh-CN"/>
          </w:rPr>
          <w:instrText xml:space="preserve"> PAGEREF _Toc277857907 \h </w:instrText>
        </w:r>
        <w:r w:rsidRPr="00F86DA5">
          <w:rPr>
            <w:rFonts w:asciiTheme="majorBidi" w:eastAsia="SimHei" w:hAnsiTheme="majorBidi" w:cstheme="majorBidi"/>
            <w:bCs/>
            <w:noProof/>
            <w:webHidden/>
            <w:szCs w:val="22"/>
            <w:lang w:val="ru-RU" w:eastAsia="zh-CN"/>
          </w:rPr>
        </w:r>
        <w:r w:rsidRPr="00F86DA5">
          <w:rPr>
            <w:rFonts w:asciiTheme="majorBidi" w:eastAsia="SimHei" w:hAnsiTheme="majorBidi" w:cstheme="majorBidi"/>
            <w:bCs/>
            <w:noProof/>
            <w:webHidden/>
            <w:szCs w:val="22"/>
            <w:lang w:val="ru-RU" w:eastAsia="zh-CN"/>
          </w:rPr>
          <w:fldChar w:fldCharType="separate"/>
        </w:r>
        <w:r w:rsidR="00510183">
          <w:rPr>
            <w:rFonts w:asciiTheme="majorBidi" w:eastAsia="SimHei" w:hAnsiTheme="majorBidi" w:cstheme="majorBidi"/>
            <w:bCs/>
            <w:noProof/>
            <w:webHidden/>
            <w:szCs w:val="22"/>
            <w:lang w:val="ru-RU" w:eastAsia="zh-CN"/>
          </w:rPr>
          <w:t>8</w:t>
        </w:r>
        <w:r w:rsidRPr="00F86DA5">
          <w:rPr>
            <w:rFonts w:asciiTheme="majorBidi" w:eastAsia="SimHei" w:hAnsiTheme="majorBidi" w:cstheme="majorBidi"/>
            <w:bCs/>
            <w:noProof/>
            <w:webHidden/>
            <w:szCs w:val="22"/>
            <w:lang w:val="ru-RU" w:eastAsia="zh-CN"/>
          </w:rPr>
          <w:fldChar w:fldCharType="end"/>
        </w:r>
      </w:hyperlink>
    </w:p>
    <w:p w:rsidR="00F86DA5" w:rsidRPr="00F86DA5" w:rsidRDefault="005D1F2F" w:rsidP="00F86DA5">
      <w:pPr>
        <w:tabs>
          <w:tab w:val="clear" w:pos="794"/>
          <w:tab w:val="clear" w:pos="1191"/>
          <w:tab w:val="clear" w:pos="1588"/>
          <w:tab w:val="clear" w:pos="1985"/>
          <w:tab w:val="left" w:pos="567"/>
          <w:tab w:val="left" w:leader="dot" w:pos="9120"/>
          <w:tab w:val="right" w:pos="9600"/>
        </w:tabs>
        <w:overflowPunct/>
        <w:autoSpaceDE/>
        <w:autoSpaceDN/>
        <w:adjustRightInd/>
        <w:spacing w:before="80"/>
        <w:ind w:left="567" w:right="1123" w:hanging="567"/>
        <w:jc w:val="left"/>
        <w:textAlignment w:val="auto"/>
        <w:rPr>
          <w:rFonts w:asciiTheme="majorBidi" w:eastAsia="SimHei" w:hAnsiTheme="majorBidi" w:cstheme="majorBidi"/>
          <w:bCs/>
          <w:noProof/>
          <w:szCs w:val="22"/>
          <w:lang w:val="ru-RU" w:eastAsia="zh-CN"/>
        </w:rPr>
      </w:pPr>
      <w:hyperlink w:anchor="_Toc277857908" w:history="1">
        <w:r w:rsidR="00F86DA5" w:rsidRPr="00F86DA5">
          <w:rPr>
            <w:rFonts w:asciiTheme="majorBidi" w:eastAsia="SimHei" w:hAnsiTheme="majorBidi" w:cstheme="majorBidi"/>
            <w:bCs/>
            <w:noProof/>
            <w:szCs w:val="22"/>
            <w:lang w:val="ru-RU" w:eastAsia="zh-CN"/>
          </w:rPr>
          <w:t>6</w:t>
        </w:r>
        <w:r w:rsidR="00F86DA5" w:rsidRPr="00F86DA5">
          <w:rPr>
            <w:rFonts w:asciiTheme="majorBidi" w:eastAsia="SimHei" w:hAnsiTheme="majorBidi" w:cstheme="majorBidi"/>
            <w:bCs/>
            <w:noProof/>
            <w:szCs w:val="22"/>
            <w:lang w:val="ru-RU" w:eastAsia="zh-CN"/>
          </w:rPr>
          <w:tab/>
          <w:t>Рекомендации для международного сравнения применяемых уровней сборов</w:t>
        </w:r>
        <w:r w:rsidR="00F86DA5" w:rsidRPr="00F86DA5">
          <w:rPr>
            <w:rFonts w:asciiTheme="majorBidi" w:eastAsia="SimHei" w:hAnsiTheme="majorBidi" w:cstheme="majorBidi"/>
            <w:bCs/>
            <w:noProof/>
            <w:webHidden/>
            <w:szCs w:val="22"/>
            <w:lang w:val="ru-RU" w:eastAsia="zh-CN"/>
          </w:rPr>
          <w:tab/>
        </w:r>
        <w:r w:rsidR="00F86DA5" w:rsidRPr="00F86DA5">
          <w:rPr>
            <w:rFonts w:asciiTheme="majorBidi" w:eastAsia="SimHei" w:hAnsiTheme="majorBidi" w:cstheme="majorBidi"/>
            <w:bCs/>
            <w:noProof/>
            <w:webHidden/>
            <w:szCs w:val="22"/>
            <w:lang w:val="ru-RU" w:eastAsia="zh-CN"/>
          </w:rPr>
          <w:tab/>
        </w:r>
        <w:r w:rsidRPr="00F86DA5">
          <w:rPr>
            <w:rFonts w:asciiTheme="majorBidi" w:eastAsia="SimHei" w:hAnsiTheme="majorBidi" w:cstheme="majorBidi"/>
            <w:bCs/>
            <w:noProof/>
            <w:webHidden/>
            <w:szCs w:val="22"/>
            <w:lang w:val="ru-RU" w:eastAsia="zh-CN"/>
          </w:rPr>
          <w:fldChar w:fldCharType="begin"/>
        </w:r>
        <w:r w:rsidR="00F86DA5" w:rsidRPr="00F86DA5">
          <w:rPr>
            <w:rFonts w:asciiTheme="majorBidi" w:eastAsia="SimHei" w:hAnsiTheme="majorBidi" w:cstheme="majorBidi"/>
            <w:bCs/>
            <w:noProof/>
            <w:webHidden/>
            <w:szCs w:val="22"/>
            <w:lang w:val="ru-RU" w:eastAsia="zh-CN"/>
          </w:rPr>
          <w:instrText xml:space="preserve"> PAGEREF _Toc277857908 \h </w:instrText>
        </w:r>
        <w:r w:rsidRPr="00F86DA5">
          <w:rPr>
            <w:rFonts w:asciiTheme="majorBidi" w:eastAsia="SimHei" w:hAnsiTheme="majorBidi" w:cstheme="majorBidi"/>
            <w:bCs/>
            <w:noProof/>
            <w:webHidden/>
            <w:szCs w:val="22"/>
            <w:lang w:val="ru-RU" w:eastAsia="zh-CN"/>
          </w:rPr>
        </w:r>
        <w:r w:rsidRPr="00F86DA5">
          <w:rPr>
            <w:rFonts w:asciiTheme="majorBidi" w:eastAsia="SimHei" w:hAnsiTheme="majorBidi" w:cstheme="majorBidi"/>
            <w:bCs/>
            <w:noProof/>
            <w:webHidden/>
            <w:szCs w:val="22"/>
            <w:lang w:val="ru-RU" w:eastAsia="zh-CN"/>
          </w:rPr>
          <w:fldChar w:fldCharType="separate"/>
        </w:r>
        <w:r w:rsidR="00510183">
          <w:rPr>
            <w:rFonts w:asciiTheme="majorBidi" w:eastAsia="SimHei" w:hAnsiTheme="majorBidi" w:cstheme="majorBidi"/>
            <w:bCs/>
            <w:noProof/>
            <w:webHidden/>
            <w:szCs w:val="22"/>
            <w:lang w:val="ru-RU" w:eastAsia="zh-CN"/>
          </w:rPr>
          <w:t>9</w:t>
        </w:r>
        <w:r w:rsidRPr="00F86DA5">
          <w:rPr>
            <w:rFonts w:asciiTheme="majorBidi" w:eastAsia="SimHei" w:hAnsiTheme="majorBidi" w:cstheme="majorBidi"/>
            <w:bCs/>
            <w:noProof/>
            <w:webHidden/>
            <w:szCs w:val="22"/>
            <w:lang w:val="ru-RU" w:eastAsia="zh-CN"/>
          </w:rPr>
          <w:fldChar w:fldCharType="end"/>
        </w:r>
      </w:hyperlink>
    </w:p>
    <w:p w:rsidR="00F86DA5" w:rsidRPr="00F86DA5" w:rsidRDefault="005D1F2F" w:rsidP="00F86DA5">
      <w:pPr>
        <w:tabs>
          <w:tab w:val="clear" w:pos="794"/>
          <w:tab w:val="clear" w:pos="1191"/>
          <w:tab w:val="clear" w:pos="1588"/>
          <w:tab w:val="clear" w:pos="1985"/>
          <w:tab w:val="left" w:pos="567"/>
          <w:tab w:val="left" w:leader="dot" w:pos="9120"/>
          <w:tab w:val="right" w:pos="9600"/>
        </w:tabs>
        <w:overflowPunct/>
        <w:autoSpaceDE/>
        <w:autoSpaceDN/>
        <w:adjustRightInd/>
        <w:spacing w:before="80"/>
        <w:ind w:left="567" w:right="1123" w:hanging="567"/>
        <w:jc w:val="left"/>
        <w:textAlignment w:val="auto"/>
        <w:rPr>
          <w:rFonts w:asciiTheme="majorBidi" w:eastAsia="SimHei" w:hAnsiTheme="majorBidi" w:cstheme="majorBidi"/>
          <w:bCs/>
          <w:noProof/>
          <w:szCs w:val="22"/>
          <w:lang w:val="ru-RU" w:eastAsia="zh-CN"/>
        </w:rPr>
      </w:pPr>
      <w:hyperlink w:anchor="_Toc277857909" w:history="1">
        <w:r w:rsidR="00F86DA5" w:rsidRPr="00F86DA5">
          <w:rPr>
            <w:rFonts w:asciiTheme="majorBidi" w:eastAsia="SimHei" w:hAnsiTheme="majorBidi" w:cstheme="majorBidi"/>
            <w:bCs/>
            <w:noProof/>
            <w:szCs w:val="22"/>
            <w:lang w:val="ru-RU" w:eastAsia="zh-CN"/>
          </w:rPr>
          <w:t>7</w:t>
        </w:r>
        <w:r w:rsidR="00F86DA5" w:rsidRPr="00F86DA5">
          <w:rPr>
            <w:rFonts w:asciiTheme="majorBidi" w:eastAsia="SimHei" w:hAnsiTheme="majorBidi" w:cstheme="majorBidi"/>
            <w:bCs/>
            <w:noProof/>
            <w:szCs w:val="22"/>
            <w:lang w:val="ru-RU" w:eastAsia="zh-CN"/>
          </w:rPr>
          <w:tab/>
          <w:t>Схема рекомендуемой системы сборов</w:t>
        </w:r>
        <w:r w:rsidR="00F86DA5" w:rsidRPr="00F86DA5">
          <w:rPr>
            <w:rFonts w:asciiTheme="majorBidi" w:eastAsia="SimHei" w:hAnsiTheme="majorBidi" w:cstheme="majorBidi"/>
            <w:bCs/>
            <w:noProof/>
            <w:webHidden/>
            <w:szCs w:val="22"/>
            <w:lang w:val="ru-RU" w:eastAsia="zh-CN"/>
          </w:rPr>
          <w:tab/>
        </w:r>
        <w:r w:rsidR="00F86DA5" w:rsidRPr="00F86DA5">
          <w:rPr>
            <w:rFonts w:asciiTheme="majorBidi" w:eastAsia="SimHei" w:hAnsiTheme="majorBidi" w:cstheme="majorBidi"/>
            <w:bCs/>
            <w:noProof/>
            <w:webHidden/>
            <w:szCs w:val="22"/>
            <w:lang w:val="ru-RU" w:eastAsia="zh-CN"/>
          </w:rPr>
          <w:tab/>
        </w:r>
        <w:r w:rsidRPr="00F86DA5">
          <w:rPr>
            <w:rFonts w:asciiTheme="majorBidi" w:eastAsia="SimHei" w:hAnsiTheme="majorBidi" w:cstheme="majorBidi"/>
            <w:bCs/>
            <w:noProof/>
            <w:webHidden/>
            <w:szCs w:val="22"/>
            <w:lang w:val="ru-RU" w:eastAsia="zh-CN"/>
          </w:rPr>
          <w:fldChar w:fldCharType="begin"/>
        </w:r>
        <w:r w:rsidR="00F86DA5" w:rsidRPr="00F86DA5">
          <w:rPr>
            <w:rFonts w:asciiTheme="majorBidi" w:eastAsia="SimHei" w:hAnsiTheme="majorBidi" w:cstheme="majorBidi"/>
            <w:bCs/>
            <w:noProof/>
            <w:webHidden/>
            <w:szCs w:val="22"/>
            <w:lang w:val="ru-RU" w:eastAsia="zh-CN"/>
          </w:rPr>
          <w:instrText xml:space="preserve"> PAGEREF _Toc277857909 \h </w:instrText>
        </w:r>
        <w:r w:rsidRPr="00F86DA5">
          <w:rPr>
            <w:rFonts w:asciiTheme="majorBidi" w:eastAsia="SimHei" w:hAnsiTheme="majorBidi" w:cstheme="majorBidi"/>
            <w:bCs/>
            <w:noProof/>
            <w:webHidden/>
            <w:szCs w:val="22"/>
            <w:lang w:val="ru-RU" w:eastAsia="zh-CN"/>
          </w:rPr>
        </w:r>
        <w:r w:rsidRPr="00F86DA5">
          <w:rPr>
            <w:rFonts w:asciiTheme="majorBidi" w:eastAsia="SimHei" w:hAnsiTheme="majorBidi" w:cstheme="majorBidi"/>
            <w:bCs/>
            <w:noProof/>
            <w:webHidden/>
            <w:szCs w:val="22"/>
            <w:lang w:val="ru-RU" w:eastAsia="zh-CN"/>
          </w:rPr>
          <w:fldChar w:fldCharType="separate"/>
        </w:r>
        <w:r w:rsidR="00510183">
          <w:rPr>
            <w:rFonts w:asciiTheme="majorBidi" w:eastAsia="SimHei" w:hAnsiTheme="majorBidi" w:cstheme="majorBidi"/>
            <w:bCs/>
            <w:noProof/>
            <w:webHidden/>
            <w:szCs w:val="22"/>
            <w:lang w:val="ru-RU" w:eastAsia="zh-CN"/>
          </w:rPr>
          <w:t>10</w:t>
        </w:r>
        <w:r w:rsidRPr="00F86DA5">
          <w:rPr>
            <w:rFonts w:asciiTheme="majorBidi" w:eastAsia="SimHei" w:hAnsiTheme="majorBidi" w:cstheme="majorBidi"/>
            <w:bCs/>
            <w:noProof/>
            <w:webHidden/>
            <w:szCs w:val="22"/>
            <w:lang w:val="ru-RU" w:eastAsia="zh-CN"/>
          </w:rPr>
          <w:fldChar w:fldCharType="end"/>
        </w:r>
      </w:hyperlink>
    </w:p>
    <w:p w:rsidR="00F86DA5" w:rsidRPr="00F86DA5" w:rsidRDefault="005D1F2F" w:rsidP="00F86DA5">
      <w:pPr>
        <w:tabs>
          <w:tab w:val="clear" w:pos="794"/>
          <w:tab w:val="clear" w:pos="1191"/>
          <w:tab w:val="clear" w:pos="1588"/>
          <w:tab w:val="clear" w:pos="1985"/>
          <w:tab w:val="left" w:pos="567"/>
          <w:tab w:val="left" w:leader="dot" w:pos="9120"/>
          <w:tab w:val="right" w:pos="9600"/>
        </w:tabs>
        <w:overflowPunct/>
        <w:autoSpaceDE/>
        <w:autoSpaceDN/>
        <w:adjustRightInd/>
        <w:spacing w:before="80"/>
        <w:ind w:left="567" w:right="1123" w:hanging="567"/>
        <w:jc w:val="left"/>
        <w:textAlignment w:val="auto"/>
        <w:rPr>
          <w:rFonts w:asciiTheme="majorBidi" w:eastAsia="SimHei" w:hAnsiTheme="majorBidi" w:cstheme="majorBidi"/>
          <w:bCs/>
          <w:noProof/>
          <w:szCs w:val="22"/>
          <w:lang w:val="ru-RU" w:eastAsia="zh-CN"/>
        </w:rPr>
      </w:pPr>
      <w:hyperlink w:anchor="_Toc277857910" w:history="1">
        <w:r w:rsidR="00F86DA5" w:rsidRPr="00F86DA5">
          <w:rPr>
            <w:rFonts w:asciiTheme="majorBidi" w:eastAsia="SimHei" w:hAnsiTheme="majorBidi" w:cstheme="majorBidi"/>
            <w:bCs/>
            <w:noProof/>
            <w:szCs w:val="22"/>
            <w:lang w:val="ru-RU" w:eastAsia="zh-CN"/>
          </w:rPr>
          <w:t>8</w:t>
        </w:r>
        <w:r w:rsidR="00F86DA5" w:rsidRPr="00F86DA5">
          <w:rPr>
            <w:rFonts w:asciiTheme="majorBidi" w:eastAsia="SimHei" w:hAnsiTheme="majorBidi" w:cstheme="majorBidi"/>
            <w:bCs/>
            <w:noProof/>
            <w:szCs w:val="22"/>
            <w:lang w:val="ru-RU" w:eastAsia="zh-CN"/>
          </w:rPr>
          <w:tab/>
          <w:t>Примеры сборов, применяемых администрациями</w:t>
        </w:r>
        <w:r w:rsidR="00F86DA5" w:rsidRPr="00F86DA5">
          <w:rPr>
            <w:rFonts w:asciiTheme="majorBidi" w:eastAsia="SimHei" w:hAnsiTheme="majorBidi" w:cstheme="majorBidi"/>
            <w:bCs/>
            <w:noProof/>
            <w:webHidden/>
            <w:szCs w:val="22"/>
            <w:lang w:val="ru-RU" w:eastAsia="zh-CN"/>
          </w:rPr>
          <w:tab/>
        </w:r>
        <w:r w:rsidR="00F86DA5" w:rsidRPr="00F86DA5">
          <w:rPr>
            <w:rFonts w:asciiTheme="majorBidi" w:eastAsia="SimHei" w:hAnsiTheme="majorBidi" w:cstheme="majorBidi"/>
            <w:bCs/>
            <w:noProof/>
            <w:webHidden/>
            <w:szCs w:val="22"/>
            <w:lang w:val="ru-RU" w:eastAsia="zh-CN"/>
          </w:rPr>
          <w:tab/>
        </w:r>
        <w:r w:rsidRPr="00F86DA5">
          <w:rPr>
            <w:rFonts w:asciiTheme="majorBidi" w:eastAsia="SimHei" w:hAnsiTheme="majorBidi" w:cstheme="majorBidi"/>
            <w:bCs/>
            <w:noProof/>
            <w:webHidden/>
            <w:szCs w:val="22"/>
            <w:lang w:val="ru-RU" w:eastAsia="zh-CN"/>
          </w:rPr>
          <w:fldChar w:fldCharType="begin"/>
        </w:r>
        <w:r w:rsidR="00F86DA5" w:rsidRPr="00F86DA5">
          <w:rPr>
            <w:rFonts w:asciiTheme="majorBidi" w:eastAsia="SimHei" w:hAnsiTheme="majorBidi" w:cstheme="majorBidi"/>
            <w:bCs/>
            <w:noProof/>
            <w:webHidden/>
            <w:szCs w:val="22"/>
            <w:lang w:val="ru-RU" w:eastAsia="zh-CN"/>
          </w:rPr>
          <w:instrText xml:space="preserve"> PAGEREF _Toc277857910 \h </w:instrText>
        </w:r>
        <w:r w:rsidRPr="00F86DA5">
          <w:rPr>
            <w:rFonts w:asciiTheme="majorBidi" w:eastAsia="SimHei" w:hAnsiTheme="majorBidi" w:cstheme="majorBidi"/>
            <w:bCs/>
            <w:noProof/>
            <w:webHidden/>
            <w:szCs w:val="22"/>
            <w:lang w:val="ru-RU" w:eastAsia="zh-CN"/>
          </w:rPr>
        </w:r>
        <w:r w:rsidRPr="00F86DA5">
          <w:rPr>
            <w:rFonts w:asciiTheme="majorBidi" w:eastAsia="SimHei" w:hAnsiTheme="majorBidi" w:cstheme="majorBidi"/>
            <w:bCs/>
            <w:noProof/>
            <w:webHidden/>
            <w:szCs w:val="22"/>
            <w:lang w:val="ru-RU" w:eastAsia="zh-CN"/>
          </w:rPr>
          <w:fldChar w:fldCharType="separate"/>
        </w:r>
        <w:r w:rsidR="00510183">
          <w:rPr>
            <w:rFonts w:asciiTheme="majorBidi" w:eastAsia="SimHei" w:hAnsiTheme="majorBidi" w:cstheme="majorBidi"/>
            <w:bCs/>
            <w:noProof/>
            <w:webHidden/>
            <w:szCs w:val="22"/>
            <w:lang w:val="ru-RU" w:eastAsia="zh-CN"/>
          </w:rPr>
          <w:t>10</w:t>
        </w:r>
        <w:r w:rsidRPr="00F86DA5">
          <w:rPr>
            <w:rFonts w:asciiTheme="majorBidi" w:eastAsia="SimHei" w:hAnsiTheme="majorBidi" w:cstheme="majorBidi"/>
            <w:bCs/>
            <w:noProof/>
            <w:webHidden/>
            <w:szCs w:val="22"/>
            <w:lang w:val="ru-RU" w:eastAsia="zh-CN"/>
          </w:rPr>
          <w:fldChar w:fldCharType="end"/>
        </w:r>
      </w:hyperlink>
    </w:p>
    <w:p w:rsidR="00F86DA5" w:rsidRPr="00F86DA5" w:rsidRDefault="005D1F2F" w:rsidP="00F86DA5">
      <w:pPr>
        <w:tabs>
          <w:tab w:val="clear" w:pos="794"/>
          <w:tab w:val="clear" w:pos="1191"/>
          <w:tab w:val="clear" w:pos="1588"/>
          <w:tab w:val="clear" w:pos="1985"/>
          <w:tab w:val="left" w:pos="567"/>
          <w:tab w:val="left" w:leader="dot" w:pos="9120"/>
          <w:tab w:val="right" w:pos="9600"/>
        </w:tabs>
        <w:overflowPunct/>
        <w:autoSpaceDE/>
        <w:autoSpaceDN/>
        <w:adjustRightInd/>
        <w:spacing w:before="80"/>
        <w:ind w:left="1134" w:right="1123" w:hanging="567"/>
        <w:jc w:val="left"/>
        <w:textAlignment w:val="auto"/>
        <w:rPr>
          <w:rFonts w:asciiTheme="majorBidi" w:eastAsia="SimHei" w:hAnsiTheme="majorBidi" w:cstheme="majorBidi"/>
          <w:bCs/>
          <w:noProof/>
          <w:szCs w:val="22"/>
          <w:lang w:val="ru-RU" w:eastAsia="zh-CN"/>
        </w:rPr>
      </w:pPr>
      <w:hyperlink w:anchor="_Toc277857911" w:history="1">
        <w:r w:rsidR="00F86DA5" w:rsidRPr="00F86DA5">
          <w:rPr>
            <w:rFonts w:asciiTheme="majorBidi" w:eastAsia="SimHei" w:hAnsiTheme="majorBidi" w:cstheme="majorBidi"/>
            <w:bCs/>
            <w:noProof/>
            <w:szCs w:val="22"/>
            <w:lang w:val="ru-RU" w:eastAsia="zh-CN"/>
          </w:rPr>
          <w:t>8.1</w:t>
        </w:r>
        <w:r w:rsidR="00F86DA5" w:rsidRPr="00F86DA5">
          <w:rPr>
            <w:rFonts w:asciiTheme="majorBidi" w:eastAsia="SimHei" w:hAnsiTheme="majorBidi" w:cstheme="majorBidi"/>
            <w:bCs/>
            <w:noProof/>
            <w:szCs w:val="22"/>
            <w:lang w:val="ru-RU" w:eastAsia="zh-CN"/>
          </w:rPr>
          <w:tab/>
          <w:t>Случай Объединенных Арабских Эмиратов</w:t>
        </w:r>
        <w:r w:rsidR="00F86DA5" w:rsidRPr="00F86DA5">
          <w:rPr>
            <w:rFonts w:asciiTheme="majorBidi" w:eastAsia="SimHei" w:hAnsiTheme="majorBidi" w:cstheme="majorBidi"/>
            <w:bCs/>
            <w:noProof/>
            <w:webHidden/>
            <w:szCs w:val="22"/>
            <w:lang w:val="ru-RU" w:eastAsia="zh-CN"/>
          </w:rPr>
          <w:tab/>
        </w:r>
        <w:r w:rsidR="00F86DA5" w:rsidRPr="00F86DA5">
          <w:rPr>
            <w:rFonts w:asciiTheme="majorBidi" w:eastAsia="SimHei" w:hAnsiTheme="majorBidi" w:cstheme="majorBidi"/>
            <w:bCs/>
            <w:noProof/>
            <w:webHidden/>
            <w:szCs w:val="22"/>
            <w:lang w:val="ru-RU" w:eastAsia="zh-CN"/>
          </w:rPr>
          <w:tab/>
        </w:r>
        <w:r w:rsidRPr="00F86DA5">
          <w:rPr>
            <w:rFonts w:asciiTheme="majorBidi" w:eastAsia="SimHei" w:hAnsiTheme="majorBidi" w:cstheme="majorBidi"/>
            <w:bCs/>
            <w:noProof/>
            <w:webHidden/>
            <w:szCs w:val="22"/>
            <w:lang w:val="ru-RU" w:eastAsia="zh-CN"/>
          </w:rPr>
          <w:fldChar w:fldCharType="begin"/>
        </w:r>
        <w:r w:rsidR="00F86DA5" w:rsidRPr="00F86DA5">
          <w:rPr>
            <w:rFonts w:asciiTheme="majorBidi" w:eastAsia="SimHei" w:hAnsiTheme="majorBidi" w:cstheme="majorBidi"/>
            <w:bCs/>
            <w:noProof/>
            <w:webHidden/>
            <w:szCs w:val="22"/>
            <w:lang w:val="ru-RU" w:eastAsia="zh-CN"/>
          </w:rPr>
          <w:instrText xml:space="preserve"> PAGEREF _Toc277857911 \h </w:instrText>
        </w:r>
        <w:r w:rsidRPr="00F86DA5">
          <w:rPr>
            <w:rFonts w:asciiTheme="majorBidi" w:eastAsia="SimHei" w:hAnsiTheme="majorBidi" w:cstheme="majorBidi"/>
            <w:bCs/>
            <w:noProof/>
            <w:webHidden/>
            <w:szCs w:val="22"/>
            <w:lang w:val="ru-RU" w:eastAsia="zh-CN"/>
          </w:rPr>
        </w:r>
        <w:r w:rsidRPr="00F86DA5">
          <w:rPr>
            <w:rFonts w:asciiTheme="majorBidi" w:eastAsia="SimHei" w:hAnsiTheme="majorBidi" w:cstheme="majorBidi"/>
            <w:bCs/>
            <w:noProof/>
            <w:webHidden/>
            <w:szCs w:val="22"/>
            <w:lang w:val="ru-RU" w:eastAsia="zh-CN"/>
          </w:rPr>
          <w:fldChar w:fldCharType="separate"/>
        </w:r>
        <w:r w:rsidR="00510183">
          <w:rPr>
            <w:rFonts w:asciiTheme="majorBidi" w:eastAsia="SimHei" w:hAnsiTheme="majorBidi" w:cstheme="majorBidi"/>
            <w:bCs/>
            <w:noProof/>
            <w:webHidden/>
            <w:szCs w:val="22"/>
            <w:lang w:val="ru-RU" w:eastAsia="zh-CN"/>
          </w:rPr>
          <w:t>10</w:t>
        </w:r>
        <w:r w:rsidRPr="00F86DA5">
          <w:rPr>
            <w:rFonts w:asciiTheme="majorBidi" w:eastAsia="SimHei" w:hAnsiTheme="majorBidi" w:cstheme="majorBidi"/>
            <w:bCs/>
            <w:noProof/>
            <w:webHidden/>
            <w:szCs w:val="22"/>
            <w:lang w:val="ru-RU" w:eastAsia="zh-CN"/>
          </w:rPr>
          <w:fldChar w:fldCharType="end"/>
        </w:r>
      </w:hyperlink>
    </w:p>
    <w:p w:rsidR="00F86DA5" w:rsidRPr="00F86DA5" w:rsidRDefault="005D1F2F" w:rsidP="00F86DA5">
      <w:pPr>
        <w:tabs>
          <w:tab w:val="clear" w:pos="794"/>
          <w:tab w:val="clear" w:pos="1191"/>
          <w:tab w:val="clear" w:pos="1588"/>
          <w:tab w:val="clear" w:pos="1985"/>
          <w:tab w:val="left" w:pos="567"/>
          <w:tab w:val="left" w:leader="dot" w:pos="9120"/>
          <w:tab w:val="right" w:pos="9600"/>
        </w:tabs>
        <w:overflowPunct/>
        <w:autoSpaceDE/>
        <w:autoSpaceDN/>
        <w:adjustRightInd/>
        <w:spacing w:before="80"/>
        <w:ind w:left="1134" w:right="1123" w:hanging="567"/>
        <w:jc w:val="left"/>
        <w:textAlignment w:val="auto"/>
        <w:rPr>
          <w:rFonts w:asciiTheme="majorBidi" w:eastAsia="SimHei" w:hAnsiTheme="majorBidi" w:cstheme="majorBidi"/>
          <w:bCs/>
          <w:noProof/>
          <w:szCs w:val="22"/>
          <w:lang w:val="ru-RU" w:eastAsia="zh-CN"/>
        </w:rPr>
      </w:pPr>
      <w:hyperlink w:anchor="_Toc277857912" w:history="1">
        <w:r w:rsidR="00F86DA5" w:rsidRPr="00F86DA5">
          <w:rPr>
            <w:rFonts w:asciiTheme="majorBidi" w:eastAsia="SimHei" w:hAnsiTheme="majorBidi" w:cstheme="majorBidi"/>
            <w:bCs/>
            <w:noProof/>
            <w:szCs w:val="22"/>
            <w:lang w:val="ru-RU" w:eastAsia="zh-CN"/>
          </w:rPr>
          <w:t>8.2</w:t>
        </w:r>
        <w:r w:rsidR="00F86DA5" w:rsidRPr="00F86DA5">
          <w:rPr>
            <w:rFonts w:asciiTheme="majorBidi" w:eastAsia="SimHei" w:hAnsiTheme="majorBidi" w:cstheme="majorBidi"/>
            <w:bCs/>
            <w:noProof/>
            <w:szCs w:val="22"/>
            <w:lang w:val="ru-RU" w:eastAsia="zh-CN"/>
          </w:rPr>
          <w:tab/>
          <w:t>Случай Швейцарии</w:t>
        </w:r>
        <w:r w:rsidR="00F86DA5" w:rsidRPr="00F86DA5">
          <w:rPr>
            <w:rFonts w:asciiTheme="majorBidi" w:eastAsia="SimHei" w:hAnsiTheme="majorBidi" w:cstheme="majorBidi"/>
            <w:bCs/>
            <w:noProof/>
            <w:webHidden/>
            <w:szCs w:val="22"/>
            <w:lang w:val="ru-RU" w:eastAsia="zh-CN"/>
          </w:rPr>
          <w:tab/>
        </w:r>
        <w:r w:rsidR="00F86DA5" w:rsidRPr="00F86DA5">
          <w:rPr>
            <w:rFonts w:asciiTheme="majorBidi" w:eastAsia="SimHei" w:hAnsiTheme="majorBidi" w:cstheme="majorBidi"/>
            <w:bCs/>
            <w:noProof/>
            <w:webHidden/>
            <w:szCs w:val="22"/>
            <w:lang w:val="ru-RU" w:eastAsia="zh-CN"/>
          </w:rPr>
          <w:tab/>
        </w:r>
        <w:r w:rsidRPr="00F86DA5">
          <w:rPr>
            <w:rFonts w:asciiTheme="majorBidi" w:eastAsia="SimHei" w:hAnsiTheme="majorBidi" w:cstheme="majorBidi"/>
            <w:bCs/>
            <w:noProof/>
            <w:webHidden/>
            <w:szCs w:val="22"/>
            <w:lang w:val="ru-RU" w:eastAsia="zh-CN"/>
          </w:rPr>
          <w:fldChar w:fldCharType="begin"/>
        </w:r>
        <w:r w:rsidR="00F86DA5" w:rsidRPr="00F86DA5">
          <w:rPr>
            <w:rFonts w:asciiTheme="majorBidi" w:eastAsia="SimHei" w:hAnsiTheme="majorBidi" w:cstheme="majorBidi"/>
            <w:bCs/>
            <w:noProof/>
            <w:webHidden/>
            <w:szCs w:val="22"/>
            <w:lang w:val="ru-RU" w:eastAsia="zh-CN"/>
          </w:rPr>
          <w:instrText xml:space="preserve"> PAGEREF _Toc277857912 \h </w:instrText>
        </w:r>
        <w:r w:rsidRPr="00F86DA5">
          <w:rPr>
            <w:rFonts w:asciiTheme="majorBidi" w:eastAsia="SimHei" w:hAnsiTheme="majorBidi" w:cstheme="majorBidi"/>
            <w:bCs/>
            <w:noProof/>
            <w:webHidden/>
            <w:szCs w:val="22"/>
            <w:lang w:val="ru-RU" w:eastAsia="zh-CN"/>
          </w:rPr>
        </w:r>
        <w:r w:rsidRPr="00F86DA5">
          <w:rPr>
            <w:rFonts w:asciiTheme="majorBidi" w:eastAsia="SimHei" w:hAnsiTheme="majorBidi" w:cstheme="majorBidi"/>
            <w:bCs/>
            <w:noProof/>
            <w:webHidden/>
            <w:szCs w:val="22"/>
            <w:lang w:val="ru-RU" w:eastAsia="zh-CN"/>
          </w:rPr>
          <w:fldChar w:fldCharType="separate"/>
        </w:r>
        <w:r w:rsidR="00510183">
          <w:rPr>
            <w:rFonts w:asciiTheme="majorBidi" w:eastAsia="SimHei" w:hAnsiTheme="majorBidi" w:cstheme="majorBidi"/>
            <w:bCs/>
            <w:noProof/>
            <w:webHidden/>
            <w:szCs w:val="22"/>
            <w:lang w:val="ru-RU" w:eastAsia="zh-CN"/>
          </w:rPr>
          <w:t>10</w:t>
        </w:r>
        <w:r w:rsidRPr="00F86DA5">
          <w:rPr>
            <w:rFonts w:asciiTheme="majorBidi" w:eastAsia="SimHei" w:hAnsiTheme="majorBidi" w:cstheme="majorBidi"/>
            <w:bCs/>
            <w:noProof/>
            <w:webHidden/>
            <w:szCs w:val="22"/>
            <w:lang w:val="ru-RU" w:eastAsia="zh-CN"/>
          </w:rPr>
          <w:fldChar w:fldCharType="end"/>
        </w:r>
      </w:hyperlink>
    </w:p>
    <w:p w:rsidR="00F86DA5" w:rsidRPr="00F86DA5" w:rsidRDefault="005D1F2F" w:rsidP="00F86DA5">
      <w:pPr>
        <w:tabs>
          <w:tab w:val="clear" w:pos="794"/>
          <w:tab w:val="clear" w:pos="1191"/>
          <w:tab w:val="clear" w:pos="1588"/>
          <w:tab w:val="clear" w:pos="1985"/>
          <w:tab w:val="left" w:pos="567"/>
          <w:tab w:val="left" w:leader="dot" w:pos="9120"/>
          <w:tab w:val="right" w:pos="9600"/>
        </w:tabs>
        <w:overflowPunct/>
        <w:autoSpaceDE/>
        <w:autoSpaceDN/>
        <w:adjustRightInd/>
        <w:spacing w:before="80"/>
        <w:ind w:left="1134" w:right="1123" w:hanging="567"/>
        <w:jc w:val="left"/>
        <w:textAlignment w:val="auto"/>
        <w:rPr>
          <w:rFonts w:asciiTheme="majorBidi" w:eastAsia="SimHei" w:hAnsiTheme="majorBidi" w:cstheme="majorBidi"/>
          <w:bCs/>
          <w:noProof/>
          <w:szCs w:val="22"/>
          <w:lang w:val="ru-RU" w:eastAsia="zh-CN"/>
        </w:rPr>
      </w:pPr>
      <w:hyperlink w:anchor="_Toc277857913" w:history="1">
        <w:r w:rsidR="00F86DA5" w:rsidRPr="00F86DA5">
          <w:rPr>
            <w:rFonts w:asciiTheme="majorBidi" w:eastAsia="SimHei" w:hAnsiTheme="majorBidi" w:cstheme="majorBidi"/>
            <w:bCs/>
            <w:noProof/>
            <w:szCs w:val="22"/>
            <w:lang w:val="ru-RU" w:eastAsia="zh-CN"/>
          </w:rPr>
          <w:t>8.3</w:t>
        </w:r>
        <w:r w:rsidR="00F86DA5" w:rsidRPr="00F86DA5">
          <w:rPr>
            <w:rFonts w:asciiTheme="majorBidi" w:eastAsia="SimHei" w:hAnsiTheme="majorBidi" w:cstheme="majorBidi"/>
            <w:bCs/>
            <w:noProof/>
            <w:szCs w:val="22"/>
            <w:lang w:val="ru-RU" w:eastAsia="zh-CN"/>
          </w:rPr>
          <w:tab/>
          <w:t>Случай Франции</w:t>
        </w:r>
        <w:r w:rsidR="00F86DA5" w:rsidRPr="00F86DA5">
          <w:rPr>
            <w:rFonts w:asciiTheme="majorBidi" w:eastAsia="SimHei" w:hAnsiTheme="majorBidi" w:cstheme="majorBidi"/>
            <w:bCs/>
            <w:noProof/>
            <w:webHidden/>
            <w:szCs w:val="22"/>
            <w:lang w:val="ru-RU" w:eastAsia="zh-CN"/>
          </w:rPr>
          <w:tab/>
        </w:r>
        <w:r w:rsidR="00F86DA5" w:rsidRPr="00F86DA5">
          <w:rPr>
            <w:rFonts w:asciiTheme="majorBidi" w:eastAsia="SimHei" w:hAnsiTheme="majorBidi" w:cstheme="majorBidi"/>
            <w:bCs/>
            <w:noProof/>
            <w:webHidden/>
            <w:szCs w:val="22"/>
            <w:lang w:val="ru-RU" w:eastAsia="zh-CN"/>
          </w:rPr>
          <w:tab/>
        </w:r>
        <w:r w:rsidRPr="00F86DA5">
          <w:rPr>
            <w:rFonts w:asciiTheme="majorBidi" w:eastAsia="SimHei" w:hAnsiTheme="majorBidi" w:cstheme="majorBidi"/>
            <w:bCs/>
            <w:noProof/>
            <w:webHidden/>
            <w:szCs w:val="22"/>
            <w:lang w:val="ru-RU" w:eastAsia="zh-CN"/>
          </w:rPr>
          <w:fldChar w:fldCharType="begin"/>
        </w:r>
        <w:r w:rsidR="00F86DA5" w:rsidRPr="00F86DA5">
          <w:rPr>
            <w:rFonts w:asciiTheme="majorBidi" w:eastAsia="SimHei" w:hAnsiTheme="majorBidi" w:cstheme="majorBidi"/>
            <w:bCs/>
            <w:noProof/>
            <w:webHidden/>
            <w:szCs w:val="22"/>
            <w:lang w:val="ru-RU" w:eastAsia="zh-CN"/>
          </w:rPr>
          <w:instrText xml:space="preserve"> PAGEREF _Toc277857913 \h </w:instrText>
        </w:r>
        <w:r w:rsidRPr="00F86DA5">
          <w:rPr>
            <w:rFonts w:asciiTheme="majorBidi" w:eastAsia="SimHei" w:hAnsiTheme="majorBidi" w:cstheme="majorBidi"/>
            <w:bCs/>
            <w:noProof/>
            <w:webHidden/>
            <w:szCs w:val="22"/>
            <w:lang w:val="ru-RU" w:eastAsia="zh-CN"/>
          </w:rPr>
        </w:r>
        <w:r w:rsidRPr="00F86DA5">
          <w:rPr>
            <w:rFonts w:asciiTheme="majorBidi" w:eastAsia="SimHei" w:hAnsiTheme="majorBidi" w:cstheme="majorBidi"/>
            <w:bCs/>
            <w:noProof/>
            <w:webHidden/>
            <w:szCs w:val="22"/>
            <w:lang w:val="ru-RU" w:eastAsia="zh-CN"/>
          </w:rPr>
          <w:fldChar w:fldCharType="separate"/>
        </w:r>
        <w:r w:rsidR="00510183">
          <w:rPr>
            <w:rFonts w:asciiTheme="majorBidi" w:eastAsia="SimHei" w:hAnsiTheme="majorBidi" w:cstheme="majorBidi"/>
            <w:bCs/>
            <w:noProof/>
            <w:webHidden/>
            <w:szCs w:val="22"/>
            <w:lang w:val="ru-RU" w:eastAsia="zh-CN"/>
          </w:rPr>
          <w:t>11</w:t>
        </w:r>
        <w:r w:rsidRPr="00F86DA5">
          <w:rPr>
            <w:rFonts w:asciiTheme="majorBidi" w:eastAsia="SimHei" w:hAnsiTheme="majorBidi" w:cstheme="majorBidi"/>
            <w:bCs/>
            <w:noProof/>
            <w:webHidden/>
            <w:szCs w:val="22"/>
            <w:lang w:val="ru-RU" w:eastAsia="zh-CN"/>
          </w:rPr>
          <w:fldChar w:fldCharType="end"/>
        </w:r>
      </w:hyperlink>
    </w:p>
    <w:p w:rsidR="00F86DA5" w:rsidRPr="00F86DA5" w:rsidRDefault="005D1F2F" w:rsidP="00F86DA5">
      <w:pPr>
        <w:tabs>
          <w:tab w:val="clear" w:pos="794"/>
          <w:tab w:val="clear" w:pos="1191"/>
          <w:tab w:val="clear" w:pos="1588"/>
          <w:tab w:val="clear" w:pos="1985"/>
          <w:tab w:val="left" w:pos="567"/>
          <w:tab w:val="left" w:leader="dot" w:pos="9120"/>
          <w:tab w:val="right" w:pos="9600"/>
        </w:tabs>
        <w:overflowPunct/>
        <w:autoSpaceDE/>
        <w:autoSpaceDN/>
        <w:adjustRightInd/>
        <w:spacing w:before="80"/>
        <w:ind w:left="1134" w:right="1123" w:hanging="567"/>
        <w:jc w:val="left"/>
        <w:textAlignment w:val="auto"/>
        <w:rPr>
          <w:rFonts w:asciiTheme="majorBidi" w:eastAsia="SimHei" w:hAnsiTheme="majorBidi" w:cstheme="majorBidi"/>
          <w:bCs/>
          <w:noProof/>
          <w:szCs w:val="22"/>
          <w:lang w:val="ru-RU" w:eastAsia="zh-CN"/>
        </w:rPr>
      </w:pPr>
      <w:hyperlink w:anchor="_Toc277857914" w:history="1">
        <w:r w:rsidR="00F86DA5" w:rsidRPr="00F86DA5">
          <w:rPr>
            <w:rFonts w:asciiTheme="majorBidi" w:eastAsia="SimHei" w:hAnsiTheme="majorBidi" w:cstheme="majorBidi"/>
            <w:bCs/>
            <w:noProof/>
            <w:szCs w:val="22"/>
            <w:lang w:val="ru-RU" w:eastAsia="zh-CN"/>
          </w:rPr>
          <w:t>8.4</w:t>
        </w:r>
        <w:r w:rsidR="00F86DA5" w:rsidRPr="00F86DA5">
          <w:rPr>
            <w:rFonts w:asciiTheme="majorBidi" w:eastAsia="SimHei" w:hAnsiTheme="majorBidi" w:cstheme="majorBidi"/>
            <w:bCs/>
            <w:noProof/>
            <w:szCs w:val="22"/>
            <w:lang w:val="ru-RU" w:eastAsia="zh-CN"/>
          </w:rPr>
          <w:tab/>
          <w:t>Случай Кот-д’Ивуара</w:t>
        </w:r>
        <w:r w:rsidR="00F86DA5" w:rsidRPr="00F86DA5">
          <w:rPr>
            <w:rFonts w:asciiTheme="majorBidi" w:eastAsia="SimHei" w:hAnsiTheme="majorBidi" w:cstheme="majorBidi"/>
            <w:bCs/>
            <w:noProof/>
            <w:webHidden/>
            <w:szCs w:val="22"/>
            <w:lang w:val="ru-RU" w:eastAsia="zh-CN"/>
          </w:rPr>
          <w:tab/>
        </w:r>
        <w:r w:rsidR="00F86DA5" w:rsidRPr="00F86DA5">
          <w:rPr>
            <w:rFonts w:asciiTheme="majorBidi" w:eastAsia="SimHei" w:hAnsiTheme="majorBidi" w:cstheme="majorBidi"/>
            <w:bCs/>
            <w:noProof/>
            <w:webHidden/>
            <w:szCs w:val="22"/>
            <w:lang w:val="ru-RU" w:eastAsia="zh-CN"/>
          </w:rPr>
          <w:tab/>
        </w:r>
        <w:r w:rsidRPr="00F86DA5">
          <w:rPr>
            <w:rFonts w:asciiTheme="majorBidi" w:eastAsia="SimHei" w:hAnsiTheme="majorBidi" w:cstheme="majorBidi"/>
            <w:bCs/>
            <w:noProof/>
            <w:webHidden/>
            <w:szCs w:val="22"/>
            <w:lang w:val="ru-RU" w:eastAsia="zh-CN"/>
          </w:rPr>
          <w:fldChar w:fldCharType="begin"/>
        </w:r>
        <w:r w:rsidR="00F86DA5" w:rsidRPr="00F86DA5">
          <w:rPr>
            <w:rFonts w:asciiTheme="majorBidi" w:eastAsia="SimHei" w:hAnsiTheme="majorBidi" w:cstheme="majorBidi"/>
            <w:bCs/>
            <w:noProof/>
            <w:webHidden/>
            <w:szCs w:val="22"/>
            <w:lang w:val="ru-RU" w:eastAsia="zh-CN"/>
          </w:rPr>
          <w:instrText xml:space="preserve"> PAGEREF _Toc277857914 \h </w:instrText>
        </w:r>
        <w:r w:rsidRPr="00F86DA5">
          <w:rPr>
            <w:rFonts w:asciiTheme="majorBidi" w:eastAsia="SimHei" w:hAnsiTheme="majorBidi" w:cstheme="majorBidi"/>
            <w:bCs/>
            <w:noProof/>
            <w:webHidden/>
            <w:szCs w:val="22"/>
            <w:lang w:val="ru-RU" w:eastAsia="zh-CN"/>
          </w:rPr>
        </w:r>
        <w:r w:rsidRPr="00F86DA5">
          <w:rPr>
            <w:rFonts w:asciiTheme="majorBidi" w:eastAsia="SimHei" w:hAnsiTheme="majorBidi" w:cstheme="majorBidi"/>
            <w:bCs/>
            <w:noProof/>
            <w:webHidden/>
            <w:szCs w:val="22"/>
            <w:lang w:val="ru-RU" w:eastAsia="zh-CN"/>
          </w:rPr>
          <w:fldChar w:fldCharType="separate"/>
        </w:r>
        <w:r w:rsidR="00510183">
          <w:rPr>
            <w:rFonts w:asciiTheme="majorBidi" w:eastAsia="SimHei" w:hAnsiTheme="majorBidi" w:cstheme="majorBidi"/>
            <w:bCs/>
            <w:noProof/>
            <w:webHidden/>
            <w:szCs w:val="22"/>
            <w:lang w:val="ru-RU" w:eastAsia="zh-CN"/>
          </w:rPr>
          <w:t>11</w:t>
        </w:r>
        <w:r w:rsidRPr="00F86DA5">
          <w:rPr>
            <w:rFonts w:asciiTheme="majorBidi" w:eastAsia="SimHei" w:hAnsiTheme="majorBidi" w:cstheme="majorBidi"/>
            <w:bCs/>
            <w:noProof/>
            <w:webHidden/>
            <w:szCs w:val="22"/>
            <w:lang w:val="ru-RU" w:eastAsia="zh-CN"/>
          </w:rPr>
          <w:fldChar w:fldCharType="end"/>
        </w:r>
      </w:hyperlink>
    </w:p>
    <w:p w:rsidR="00F86DA5" w:rsidRPr="00F86DA5" w:rsidRDefault="005D1F2F" w:rsidP="00F86DA5">
      <w:pPr>
        <w:tabs>
          <w:tab w:val="clear" w:pos="794"/>
          <w:tab w:val="clear" w:pos="1191"/>
          <w:tab w:val="clear" w:pos="1588"/>
          <w:tab w:val="clear" w:pos="1985"/>
          <w:tab w:val="left" w:pos="567"/>
          <w:tab w:val="left" w:leader="dot" w:pos="9120"/>
          <w:tab w:val="right" w:pos="9600"/>
        </w:tabs>
        <w:overflowPunct/>
        <w:autoSpaceDE/>
        <w:autoSpaceDN/>
        <w:adjustRightInd/>
        <w:spacing w:before="80"/>
        <w:ind w:left="567" w:right="1123" w:hanging="567"/>
        <w:jc w:val="left"/>
        <w:textAlignment w:val="auto"/>
        <w:rPr>
          <w:rFonts w:asciiTheme="majorBidi" w:eastAsia="SimHei" w:hAnsiTheme="majorBidi" w:cstheme="majorBidi"/>
          <w:bCs/>
          <w:noProof/>
          <w:szCs w:val="22"/>
          <w:lang w:val="ru-RU" w:eastAsia="zh-CN"/>
        </w:rPr>
      </w:pPr>
      <w:hyperlink w:anchor="_Toc277857915" w:history="1">
        <w:r w:rsidR="00F86DA5" w:rsidRPr="00F86DA5">
          <w:rPr>
            <w:rFonts w:asciiTheme="majorBidi" w:eastAsia="SimHei" w:hAnsiTheme="majorBidi" w:cstheme="majorBidi"/>
            <w:bCs/>
            <w:noProof/>
            <w:szCs w:val="22"/>
            <w:lang w:val="ru-RU" w:eastAsia="zh-CN"/>
          </w:rPr>
          <w:t>П</w:t>
        </w:r>
        <w:r w:rsidR="00D41ADA" w:rsidRPr="00F86DA5">
          <w:rPr>
            <w:rFonts w:asciiTheme="majorBidi" w:eastAsia="SimHei" w:hAnsiTheme="majorBidi" w:cstheme="majorBidi"/>
            <w:bCs/>
            <w:noProof/>
            <w:szCs w:val="22"/>
            <w:lang w:val="ru-RU" w:eastAsia="zh-CN"/>
          </w:rPr>
          <w:t>риложение</w:t>
        </w:r>
        <w:r w:rsidR="00F86DA5" w:rsidRPr="00F86DA5">
          <w:rPr>
            <w:rFonts w:asciiTheme="majorBidi" w:eastAsia="SimHei" w:hAnsiTheme="majorBidi" w:cstheme="majorBidi"/>
            <w:bCs/>
            <w:noProof/>
            <w:szCs w:val="22"/>
            <w:lang w:val="ru-RU" w:eastAsia="zh-CN"/>
          </w:rPr>
          <w:t xml:space="preserve"> 1 –</w:t>
        </w:r>
      </w:hyperlink>
      <w:r w:rsidR="00F86DA5" w:rsidRPr="00F86DA5">
        <w:rPr>
          <w:rFonts w:asciiTheme="majorBidi" w:eastAsia="SimHei" w:hAnsiTheme="majorBidi" w:cstheme="majorBidi"/>
          <w:bCs/>
          <w:noProof/>
          <w:szCs w:val="22"/>
          <w:lang w:val="ru-RU" w:eastAsia="zh-CN"/>
        </w:rPr>
        <w:t xml:space="preserve"> </w:t>
      </w:r>
      <w:hyperlink w:anchor="_Toc277857916" w:history="1">
        <w:r w:rsidR="00F86DA5" w:rsidRPr="00F86DA5">
          <w:rPr>
            <w:rFonts w:asciiTheme="majorBidi" w:eastAsia="SimHei" w:hAnsiTheme="majorBidi" w:cstheme="majorBidi"/>
            <w:bCs/>
            <w:noProof/>
            <w:szCs w:val="22"/>
            <w:lang w:val="ru-RU" w:eastAsia="zh-CN"/>
          </w:rPr>
          <w:t>Упрощенный пример таблицы, содержащей значения коэффициента "bf" для соответствующих полос частот</w:t>
        </w:r>
        <w:r w:rsidR="00F86DA5" w:rsidRPr="00F86DA5">
          <w:rPr>
            <w:rFonts w:asciiTheme="majorBidi" w:eastAsia="SimHei" w:hAnsiTheme="majorBidi" w:cstheme="majorBidi"/>
            <w:bCs/>
            <w:noProof/>
            <w:webHidden/>
            <w:szCs w:val="22"/>
            <w:lang w:val="ru-RU" w:eastAsia="zh-CN"/>
          </w:rPr>
          <w:tab/>
        </w:r>
        <w:r w:rsidR="00F86DA5" w:rsidRPr="00F86DA5">
          <w:rPr>
            <w:rFonts w:asciiTheme="majorBidi" w:eastAsia="SimHei" w:hAnsiTheme="majorBidi" w:cstheme="majorBidi"/>
            <w:bCs/>
            <w:noProof/>
            <w:webHidden/>
            <w:szCs w:val="22"/>
            <w:lang w:val="ru-RU" w:eastAsia="zh-CN"/>
          </w:rPr>
          <w:tab/>
        </w:r>
        <w:r w:rsidRPr="00F86DA5">
          <w:rPr>
            <w:rFonts w:asciiTheme="majorBidi" w:eastAsia="SimHei" w:hAnsiTheme="majorBidi" w:cstheme="majorBidi"/>
            <w:bCs/>
            <w:noProof/>
            <w:webHidden/>
            <w:szCs w:val="22"/>
            <w:lang w:val="ru-RU" w:eastAsia="zh-CN"/>
          </w:rPr>
          <w:fldChar w:fldCharType="begin"/>
        </w:r>
        <w:r w:rsidR="00F86DA5" w:rsidRPr="00F86DA5">
          <w:rPr>
            <w:rFonts w:asciiTheme="majorBidi" w:eastAsia="SimHei" w:hAnsiTheme="majorBidi" w:cstheme="majorBidi"/>
            <w:bCs/>
            <w:noProof/>
            <w:webHidden/>
            <w:szCs w:val="22"/>
            <w:lang w:val="ru-RU" w:eastAsia="zh-CN"/>
          </w:rPr>
          <w:instrText xml:space="preserve"> PAGEREF _Toc277857916 \h </w:instrText>
        </w:r>
        <w:r w:rsidRPr="00F86DA5">
          <w:rPr>
            <w:rFonts w:asciiTheme="majorBidi" w:eastAsia="SimHei" w:hAnsiTheme="majorBidi" w:cstheme="majorBidi"/>
            <w:bCs/>
            <w:noProof/>
            <w:webHidden/>
            <w:szCs w:val="22"/>
            <w:lang w:val="ru-RU" w:eastAsia="zh-CN"/>
          </w:rPr>
        </w:r>
        <w:r w:rsidRPr="00F86DA5">
          <w:rPr>
            <w:rFonts w:asciiTheme="majorBidi" w:eastAsia="SimHei" w:hAnsiTheme="majorBidi" w:cstheme="majorBidi"/>
            <w:bCs/>
            <w:noProof/>
            <w:webHidden/>
            <w:szCs w:val="22"/>
            <w:lang w:val="ru-RU" w:eastAsia="zh-CN"/>
          </w:rPr>
          <w:fldChar w:fldCharType="separate"/>
        </w:r>
        <w:r w:rsidR="00510183">
          <w:rPr>
            <w:rFonts w:asciiTheme="majorBidi" w:eastAsia="SimHei" w:hAnsiTheme="majorBidi" w:cstheme="majorBidi"/>
            <w:bCs/>
            <w:noProof/>
            <w:webHidden/>
            <w:szCs w:val="22"/>
            <w:lang w:val="ru-RU" w:eastAsia="zh-CN"/>
          </w:rPr>
          <w:t>12</w:t>
        </w:r>
        <w:r w:rsidRPr="00F86DA5">
          <w:rPr>
            <w:rFonts w:asciiTheme="majorBidi" w:eastAsia="SimHei" w:hAnsiTheme="majorBidi" w:cstheme="majorBidi"/>
            <w:bCs/>
            <w:noProof/>
            <w:webHidden/>
            <w:szCs w:val="22"/>
            <w:lang w:val="ru-RU" w:eastAsia="zh-CN"/>
          </w:rPr>
          <w:fldChar w:fldCharType="end"/>
        </w:r>
      </w:hyperlink>
    </w:p>
    <w:p w:rsidR="00F86DA5" w:rsidRPr="00F86DA5" w:rsidRDefault="005D1F2F" w:rsidP="00F86DA5">
      <w:pPr>
        <w:tabs>
          <w:tab w:val="clear" w:pos="794"/>
          <w:tab w:val="clear" w:pos="1191"/>
          <w:tab w:val="clear" w:pos="1588"/>
          <w:tab w:val="clear" w:pos="1985"/>
          <w:tab w:val="left" w:pos="567"/>
          <w:tab w:val="left" w:leader="dot" w:pos="9120"/>
          <w:tab w:val="right" w:pos="9600"/>
        </w:tabs>
        <w:overflowPunct/>
        <w:autoSpaceDE/>
        <w:autoSpaceDN/>
        <w:adjustRightInd/>
        <w:spacing w:before="80"/>
        <w:ind w:left="567" w:right="1123" w:hanging="567"/>
        <w:jc w:val="left"/>
        <w:textAlignment w:val="auto"/>
        <w:rPr>
          <w:rFonts w:asciiTheme="majorBidi" w:eastAsia="SimHei" w:hAnsiTheme="majorBidi" w:cstheme="majorBidi"/>
          <w:bCs/>
          <w:noProof/>
          <w:szCs w:val="22"/>
          <w:lang w:val="ru-RU" w:eastAsia="zh-CN"/>
        </w:rPr>
      </w:pPr>
      <w:hyperlink w:anchor="_Toc277857917" w:history="1">
        <w:r w:rsidR="00F86DA5" w:rsidRPr="00F86DA5">
          <w:rPr>
            <w:rFonts w:asciiTheme="majorBidi" w:eastAsia="SimHei" w:hAnsiTheme="majorBidi" w:cstheme="majorBidi"/>
            <w:bCs/>
            <w:noProof/>
            <w:szCs w:val="22"/>
            <w:lang w:val="ru-RU" w:eastAsia="zh-CN"/>
          </w:rPr>
          <w:t>П</w:t>
        </w:r>
        <w:r w:rsidR="00D41ADA" w:rsidRPr="00F86DA5">
          <w:rPr>
            <w:rFonts w:asciiTheme="majorBidi" w:eastAsia="SimHei" w:hAnsiTheme="majorBidi" w:cstheme="majorBidi"/>
            <w:bCs/>
            <w:noProof/>
            <w:szCs w:val="22"/>
            <w:lang w:val="ru-RU" w:eastAsia="zh-CN"/>
          </w:rPr>
          <w:t xml:space="preserve">риложение </w:t>
        </w:r>
        <w:r w:rsidR="00F86DA5" w:rsidRPr="00F86DA5">
          <w:rPr>
            <w:rFonts w:asciiTheme="majorBidi" w:eastAsia="SimHei" w:hAnsiTheme="majorBidi" w:cstheme="majorBidi"/>
            <w:bCs/>
            <w:noProof/>
            <w:szCs w:val="22"/>
            <w:lang w:val="ru-RU" w:eastAsia="zh-CN"/>
          </w:rPr>
          <w:t>2 –</w:t>
        </w:r>
      </w:hyperlink>
      <w:r w:rsidR="00F86DA5" w:rsidRPr="00F86DA5">
        <w:rPr>
          <w:rFonts w:asciiTheme="majorBidi" w:eastAsia="SimHei" w:hAnsiTheme="majorBidi" w:cstheme="majorBidi"/>
          <w:bCs/>
          <w:noProof/>
          <w:szCs w:val="22"/>
          <w:lang w:val="ru-RU" w:eastAsia="zh-CN"/>
        </w:rPr>
        <w:t xml:space="preserve"> </w:t>
      </w:r>
      <w:hyperlink w:anchor="_Toc277857918" w:history="1">
        <w:r w:rsidR="00F86DA5" w:rsidRPr="00F86DA5">
          <w:rPr>
            <w:rFonts w:asciiTheme="majorBidi" w:eastAsia="SimHei" w:hAnsiTheme="majorBidi" w:cstheme="majorBidi"/>
            <w:bCs/>
            <w:noProof/>
            <w:szCs w:val="22"/>
            <w:lang w:val="ru-RU" w:eastAsia="zh-CN"/>
          </w:rPr>
          <w:t>Пример таблицы, содержащей значения коэффициента "a" для соответствующих служб</w:t>
        </w:r>
        <w:r w:rsidR="00F86DA5" w:rsidRPr="00F86DA5">
          <w:rPr>
            <w:rFonts w:asciiTheme="majorBidi" w:eastAsia="SimHei" w:hAnsiTheme="majorBidi" w:cstheme="majorBidi"/>
            <w:bCs/>
            <w:noProof/>
            <w:webHidden/>
            <w:szCs w:val="22"/>
            <w:lang w:val="ru-RU" w:eastAsia="zh-CN"/>
          </w:rPr>
          <w:tab/>
        </w:r>
        <w:r w:rsidR="00F86DA5" w:rsidRPr="00F86DA5">
          <w:rPr>
            <w:rFonts w:asciiTheme="majorBidi" w:eastAsia="SimHei" w:hAnsiTheme="majorBidi" w:cstheme="majorBidi"/>
            <w:bCs/>
            <w:noProof/>
            <w:webHidden/>
            <w:szCs w:val="22"/>
            <w:lang w:val="ru-RU" w:eastAsia="zh-CN"/>
          </w:rPr>
          <w:tab/>
        </w:r>
        <w:r w:rsidRPr="00F86DA5">
          <w:rPr>
            <w:rFonts w:asciiTheme="majorBidi" w:eastAsia="SimHei" w:hAnsiTheme="majorBidi" w:cstheme="majorBidi"/>
            <w:bCs/>
            <w:noProof/>
            <w:webHidden/>
            <w:szCs w:val="22"/>
            <w:lang w:val="ru-RU" w:eastAsia="zh-CN"/>
          </w:rPr>
          <w:fldChar w:fldCharType="begin"/>
        </w:r>
        <w:r w:rsidR="00F86DA5" w:rsidRPr="00F86DA5">
          <w:rPr>
            <w:rFonts w:asciiTheme="majorBidi" w:eastAsia="SimHei" w:hAnsiTheme="majorBidi" w:cstheme="majorBidi"/>
            <w:bCs/>
            <w:noProof/>
            <w:webHidden/>
            <w:szCs w:val="22"/>
            <w:lang w:val="ru-RU" w:eastAsia="zh-CN"/>
          </w:rPr>
          <w:instrText xml:space="preserve"> PAGEREF _Toc277857918 \h </w:instrText>
        </w:r>
        <w:r w:rsidRPr="00F86DA5">
          <w:rPr>
            <w:rFonts w:asciiTheme="majorBidi" w:eastAsia="SimHei" w:hAnsiTheme="majorBidi" w:cstheme="majorBidi"/>
            <w:bCs/>
            <w:noProof/>
            <w:webHidden/>
            <w:szCs w:val="22"/>
            <w:lang w:val="ru-RU" w:eastAsia="zh-CN"/>
          </w:rPr>
        </w:r>
        <w:r w:rsidRPr="00F86DA5">
          <w:rPr>
            <w:rFonts w:asciiTheme="majorBidi" w:eastAsia="SimHei" w:hAnsiTheme="majorBidi" w:cstheme="majorBidi"/>
            <w:bCs/>
            <w:noProof/>
            <w:webHidden/>
            <w:szCs w:val="22"/>
            <w:lang w:val="ru-RU" w:eastAsia="zh-CN"/>
          </w:rPr>
          <w:fldChar w:fldCharType="separate"/>
        </w:r>
        <w:r w:rsidR="00510183">
          <w:rPr>
            <w:rFonts w:asciiTheme="majorBidi" w:eastAsia="SimHei" w:hAnsiTheme="majorBidi" w:cstheme="majorBidi"/>
            <w:bCs/>
            <w:noProof/>
            <w:webHidden/>
            <w:szCs w:val="22"/>
            <w:lang w:val="ru-RU" w:eastAsia="zh-CN"/>
          </w:rPr>
          <w:t>13</w:t>
        </w:r>
        <w:r w:rsidRPr="00F86DA5">
          <w:rPr>
            <w:rFonts w:asciiTheme="majorBidi" w:eastAsia="SimHei" w:hAnsiTheme="majorBidi" w:cstheme="majorBidi"/>
            <w:bCs/>
            <w:noProof/>
            <w:webHidden/>
            <w:szCs w:val="22"/>
            <w:lang w:val="ru-RU" w:eastAsia="zh-CN"/>
          </w:rPr>
          <w:fldChar w:fldCharType="end"/>
        </w:r>
      </w:hyperlink>
    </w:p>
    <w:p w:rsidR="00F86DA5" w:rsidRPr="00F86DA5" w:rsidRDefault="005D1F2F" w:rsidP="00F86DA5">
      <w:pPr>
        <w:tabs>
          <w:tab w:val="clear" w:pos="794"/>
          <w:tab w:val="clear" w:pos="1191"/>
          <w:tab w:val="clear" w:pos="1588"/>
          <w:tab w:val="clear" w:pos="1985"/>
          <w:tab w:val="left" w:pos="567"/>
          <w:tab w:val="left" w:leader="dot" w:pos="9120"/>
          <w:tab w:val="right" w:pos="9600"/>
        </w:tabs>
        <w:overflowPunct/>
        <w:autoSpaceDE/>
        <w:autoSpaceDN/>
        <w:adjustRightInd/>
        <w:spacing w:before="80"/>
        <w:ind w:left="567" w:right="1123" w:hanging="567"/>
        <w:jc w:val="left"/>
        <w:textAlignment w:val="auto"/>
        <w:rPr>
          <w:rFonts w:asciiTheme="majorBidi" w:eastAsia="SimHei" w:hAnsiTheme="majorBidi" w:cstheme="majorBidi"/>
          <w:bCs/>
          <w:noProof/>
          <w:szCs w:val="22"/>
          <w:lang w:val="ru-RU" w:eastAsia="zh-CN"/>
        </w:rPr>
      </w:pPr>
      <w:hyperlink w:anchor="_Toc277857919" w:history="1">
        <w:r w:rsidR="00F86DA5" w:rsidRPr="00F86DA5">
          <w:rPr>
            <w:rFonts w:asciiTheme="majorBidi" w:eastAsia="SimHei" w:hAnsiTheme="majorBidi" w:cstheme="majorBidi"/>
            <w:bCs/>
            <w:noProof/>
            <w:szCs w:val="22"/>
            <w:lang w:val="ru-RU" w:eastAsia="zh-CN"/>
          </w:rPr>
          <w:t>П</w:t>
        </w:r>
        <w:r w:rsidR="00D41ADA" w:rsidRPr="00F86DA5">
          <w:rPr>
            <w:rFonts w:asciiTheme="majorBidi" w:eastAsia="SimHei" w:hAnsiTheme="majorBidi" w:cstheme="majorBidi"/>
            <w:bCs/>
            <w:noProof/>
            <w:szCs w:val="22"/>
            <w:lang w:val="ru-RU" w:eastAsia="zh-CN"/>
          </w:rPr>
          <w:t>риложение</w:t>
        </w:r>
        <w:r w:rsidR="00F86DA5" w:rsidRPr="00F86DA5">
          <w:rPr>
            <w:rFonts w:asciiTheme="majorBidi" w:eastAsia="SimHei" w:hAnsiTheme="majorBidi" w:cstheme="majorBidi"/>
            <w:bCs/>
            <w:noProof/>
            <w:szCs w:val="22"/>
            <w:lang w:val="ru-RU" w:eastAsia="zh-CN"/>
          </w:rPr>
          <w:t xml:space="preserve"> 3 –</w:t>
        </w:r>
      </w:hyperlink>
      <w:r w:rsidR="00F86DA5" w:rsidRPr="00F86DA5">
        <w:rPr>
          <w:rFonts w:asciiTheme="majorBidi" w:eastAsia="SimHei" w:hAnsiTheme="majorBidi" w:cstheme="majorBidi"/>
          <w:bCs/>
          <w:noProof/>
          <w:szCs w:val="22"/>
          <w:lang w:val="ru-RU" w:eastAsia="zh-CN"/>
        </w:rPr>
        <w:t xml:space="preserve"> </w:t>
      </w:r>
      <w:hyperlink w:anchor="_Toc277857920" w:history="1">
        <w:r w:rsidR="00F86DA5" w:rsidRPr="00F86DA5">
          <w:rPr>
            <w:rFonts w:asciiTheme="majorBidi" w:eastAsia="SimHei" w:hAnsiTheme="majorBidi" w:cstheme="majorBidi"/>
            <w:bCs/>
            <w:noProof/>
            <w:szCs w:val="22"/>
            <w:lang w:val="ru-RU" w:eastAsia="zh-CN"/>
          </w:rPr>
          <w:t>Пример таблицы, содержащей значения коэффициента "c"  для соответствующих площадей поверхности распределения</w:t>
        </w:r>
        <w:r w:rsidR="00F86DA5" w:rsidRPr="00F86DA5">
          <w:rPr>
            <w:rFonts w:asciiTheme="majorBidi" w:eastAsia="SimHei" w:hAnsiTheme="majorBidi" w:cstheme="majorBidi"/>
            <w:bCs/>
            <w:noProof/>
            <w:webHidden/>
            <w:szCs w:val="22"/>
            <w:lang w:val="ru-RU" w:eastAsia="zh-CN"/>
          </w:rPr>
          <w:tab/>
        </w:r>
        <w:r w:rsidR="00F86DA5" w:rsidRPr="00F86DA5">
          <w:rPr>
            <w:rFonts w:asciiTheme="majorBidi" w:eastAsia="SimHei" w:hAnsiTheme="majorBidi" w:cstheme="majorBidi"/>
            <w:bCs/>
            <w:noProof/>
            <w:webHidden/>
            <w:szCs w:val="22"/>
            <w:lang w:val="ru-RU" w:eastAsia="zh-CN"/>
          </w:rPr>
          <w:tab/>
        </w:r>
        <w:r w:rsidRPr="00F86DA5">
          <w:rPr>
            <w:rFonts w:asciiTheme="majorBidi" w:eastAsia="SimHei" w:hAnsiTheme="majorBidi" w:cstheme="majorBidi"/>
            <w:bCs/>
            <w:noProof/>
            <w:webHidden/>
            <w:szCs w:val="22"/>
            <w:lang w:val="ru-RU" w:eastAsia="zh-CN"/>
          </w:rPr>
          <w:fldChar w:fldCharType="begin"/>
        </w:r>
        <w:r w:rsidR="00F86DA5" w:rsidRPr="00F86DA5">
          <w:rPr>
            <w:rFonts w:asciiTheme="majorBidi" w:eastAsia="SimHei" w:hAnsiTheme="majorBidi" w:cstheme="majorBidi"/>
            <w:bCs/>
            <w:noProof/>
            <w:webHidden/>
            <w:szCs w:val="22"/>
            <w:lang w:val="ru-RU" w:eastAsia="zh-CN"/>
          </w:rPr>
          <w:instrText xml:space="preserve"> PAGEREF _Toc277857920 \h </w:instrText>
        </w:r>
        <w:r w:rsidRPr="00F86DA5">
          <w:rPr>
            <w:rFonts w:asciiTheme="majorBidi" w:eastAsia="SimHei" w:hAnsiTheme="majorBidi" w:cstheme="majorBidi"/>
            <w:bCs/>
            <w:noProof/>
            <w:webHidden/>
            <w:szCs w:val="22"/>
            <w:lang w:val="ru-RU" w:eastAsia="zh-CN"/>
          </w:rPr>
        </w:r>
        <w:r w:rsidRPr="00F86DA5">
          <w:rPr>
            <w:rFonts w:asciiTheme="majorBidi" w:eastAsia="SimHei" w:hAnsiTheme="majorBidi" w:cstheme="majorBidi"/>
            <w:bCs/>
            <w:noProof/>
            <w:webHidden/>
            <w:szCs w:val="22"/>
            <w:lang w:val="ru-RU" w:eastAsia="zh-CN"/>
          </w:rPr>
          <w:fldChar w:fldCharType="separate"/>
        </w:r>
        <w:r w:rsidR="00510183">
          <w:rPr>
            <w:rFonts w:asciiTheme="majorBidi" w:eastAsia="SimHei" w:hAnsiTheme="majorBidi" w:cstheme="majorBidi"/>
            <w:bCs/>
            <w:noProof/>
            <w:webHidden/>
            <w:szCs w:val="22"/>
            <w:lang w:val="ru-RU" w:eastAsia="zh-CN"/>
          </w:rPr>
          <w:t>14</w:t>
        </w:r>
        <w:r w:rsidRPr="00F86DA5">
          <w:rPr>
            <w:rFonts w:asciiTheme="majorBidi" w:eastAsia="SimHei" w:hAnsiTheme="majorBidi" w:cstheme="majorBidi"/>
            <w:bCs/>
            <w:noProof/>
            <w:webHidden/>
            <w:szCs w:val="22"/>
            <w:lang w:val="ru-RU" w:eastAsia="zh-CN"/>
          </w:rPr>
          <w:fldChar w:fldCharType="end"/>
        </w:r>
      </w:hyperlink>
    </w:p>
    <w:p w:rsidR="00F86DA5" w:rsidRPr="00F86DA5" w:rsidRDefault="005D1F2F" w:rsidP="00F86DA5">
      <w:pPr>
        <w:tabs>
          <w:tab w:val="clear" w:pos="794"/>
          <w:tab w:val="clear" w:pos="1191"/>
          <w:tab w:val="clear" w:pos="1588"/>
          <w:tab w:val="clear" w:pos="1985"/>
          <w:tab w:val="left" w:pos="567"/>
          <w:tab w:val="left" w:leader="dot" w:pos="9120"/>
          <w:tab w:val="right" w:pos="9600"/>
        </w:tabs>
        <w:overflowPunct/>
        <w:autoSpaceDE/>
        <w:autoSpaceDN/>
        <w:adjustRightInd/>
        <w:spacing w:before="80"/>
        <w:ind w:left="567" w:right="1123" w:hanging="567"/>
        <w:jc w:val="left"/>
        <w:textAlignment w:val="auto"/>
        <w:rPr>
          <w:rFonts w:asciiTheme="majorBidi" w:eastAsia="SimHei" w:hAnsiTheme="majorBidi" w:cstheme="majorBidi"/>
          <w:bCs/>
          <w:noProof/>
          <w:szCs w:val="22"/>
          <w:lang w:val="ru-RU" w:eastAsia="zh-CN"/>
        </w:rPr>
      </w:pPr>
      <w:hyperlink w:anchor="_Toc277857921" w:history="1">
        <w:r w:rsidR="00F86DA5" w:rsidRPr="00F86DA5">
          <w:rPr>
            <w:rFonts w:asciiTheme="majorBidi" w:eastAsia="SimHei" w:hAnsiTheme="majorBidi" w:cstheme="majorBidi"/>
            <w:bCs/>
            <w:noProof/>
            <w:szCs w:val="22"/>
            <w:lang w:val="ru-RU" w:eastAsia="zh-CN"/>
          </w:rPr>
          <w:t>П</w:t>
        </w:r>
        <w:r w:rsidR="00D41ADA" w:rsidRPr="00F86DA5">
          <w:rPr>
            <w:rFonts w:asciiTheme="majorBidi" w:eastAsia="SimHei" w:hAnsiTheme="majorBidi" w:cstheme="majorBidi"/>
            <w:bCs/>
            <w:noProof/>
            <w:szCs w:val="22"/>
            <w:lang w:val="ru-RU" w:eastAsia="zh-CN"/>
          </w:rPr>
          <w:t>риложение</w:t>
        </w:r>
        <w:r w:rsidR="00F86DA5" w:rsidRPr="00F86DA5">
          <w:rPr>
            <w:rFonts w:asciiTheme="majorBidi" w:eastAsia="SimHei" w:hAnsiTheme="majorBidi" w:cstheme="majorBidi"/>
            <w:bCs/>
            <w:noProof/>
            <w:szCs w:val="22"/>
            <w:lang w:val="ru-RU" w:eastAsia="zh-CN"/>
          </w:rPr>
          <w:t xml:space="preserve"> 4 </w:t>
        </w:r>
      </w:hyperlink>
      <w:r w:rsidR="00F86DA5" w:rsidRPr="00F86DA5">
        <w:rPr>
          <w:rFonts w:asciiTheme="majorBidi" w:eastAsia="SimHei" w:hAnsiTheme="majorBidi" w:cstheme="majorBidi"/>
          <w:bCs/>
          <w:noProof/>
          <w:szCs w:val="22"/>
          <w:lang w:val="ru-RU" w:eastAsia="zh-CN"/>
        </w:rPr>
        <w:t xml:space="preserve">– </w:t>
      </w:r>
      <w:hyperlink w:anchor="_Toc277857922" w:history="1">
        <w:r w:rsidR="00F86DA5" w:rsidRPr="00F86DA5">
          <w:rPr>
            <w:rFonts w:asciiTheme="majorBidi" w:eastAsia="SimHei" w:hAnsiTheme="majorBidi" w:cstheme="majorBidi"/>
            <w:bCs/>
            <w:noProof/>
            <w:szCs w:val="22"/>
            <w:lang w:val="ru-RU" w:eastAsia="zh-CN"/>
          </w:rPr>
          <w:t>Факторы, которые необходимо учитывать при международном сравнении уровней сборов</w:t>
        </w:r>
        <w:r w:rsidR="00F86DA5" w:rsidRPr="00F86DA5">
          <w:rPr>
            <w:rFonts w:asciiTheme="majorBidi" w:eastAsia="SimHei" w:hAnsiTheme="majorBidi" w:cstheme="majorBidi"/>
            <w:bCs/>
            <w:noProof/>
            <w:webHidden/>
            <w:szCs w:val="22"/>
            <w:lang w:val="ru-RU" w:eastAsia="zh-CN"/>
          </w:rPr>
          <w:tab/>
        </w:r>
        <w:r w:rsidR="00F86DA5" w:rsidRPr="00F86DA5">
          <w:rPr>
            <w:rFonts w:asciiTheme="majorBidi" w:eastAsia="SimHei" w:hAnsiTheme="majorBidi" w:cstheme="majorBidi"/>
            <w:bCs/>
            <w:noProof/>
            <w:webHidden/>
            <w:szCs w:val="22"/>
            <w:lang w:val="ru-RU" w:eastAsia="zh-CN"/>
          </w:rPr>
          <w:tab/>
        </w:r>
        <w:r w:rsidRPr="00F86DA5">
          <w:rPr>
            <w:rFonts w:asciiTheme="majorBidi" w:eastAsia="SimHei" w:hAnsiTheme="majorBidi" w:cstheme="majorBidi"/>
            <w:bCs/>
            <w:noProof/>
            <w:webHidden/>
            <w:szCs w:val="22"/>
            <w:lang w:val="ru-RU" w:eastAsia="zh-CN"/>
          </w:rPr>
          <w:fldChar w:fldCharType="begin"/>
        </w:r>
        <w:r w:rsidR="00F86DA5" w:rsidRPr="00F86DA5">
          <w:rPr>
            <w:rFonts w:asciiTheme="majorBidi" w:eastAsia="SimHei" w:hAnsiTheme="majorBidi" w:cstheme="majorBidi"/>
            <w:bCs/>
            <w:noProof/>
            <w:webHidden/>
            <w:szCs w:val="22"/>
            <w:lang w:val="ru-RU" w:eastAsia="zh-CN"/>
          </w:rPr>
          <w:instrText xml:space="preserve"> PAGEREF _Toc277857922 \h </w:instrText>
        </w:r>
        <w:r w:rsidRPr="00F86DA5">
          <w:rPr>
            <w:rFonts w:asciiTheme="majorBidi" w:eastAsia="SimHei" w:hAnsiTheme="majorBidi" w:cstheme="majorBidi"/>
            <w:bCs/>
            <w:noProof/>
            <w:webHidden/>
            <w:szCs w:val="22"/>
            <w:lang w:val="ru-RU" w:eastAsia="zh-CN"/>
          </w:rPr>
        </w:r>
        <w:r w:rsidRPr="00F86DA5">
          <w:rPr>
            <w:rFonts w:asciiTheme="majorBidi" w:eastAsia="SimHei" w:hAnsiTheme="majorBidi" w:cstheme="majorBidi"/>
            <w:bCs/>
            <w:noProof/>
            <w:webHidden/>
            <w:szCs w:val="22"/>
            <w:lang w:val="ru-RU" w:eastAsia="zh-CN"/>
          </w:rPr>
          <w:fldChar w:fldCharType="separate"/>
        </w:r>
        <w:r w:rsidR="00510183">
          <w:rPr>
            <w:rFonts w:asciiTheme="majorBidi" w:eastAsia="SimHei" w:hAnsiTheme="majorBidi" w:cstheme="majorBidi"/>
            <w:bCs/>
            <w:noProof/>
            <w:webHidden/>
            <w:szCs w:val="22"/>
            <w:lang w:val="ru-RU" w:eastAsia="zh-CN"/>
          </w:rPr>
          <w:t>15</w:t>
        </w:r>
        <w:r w:rsidRPr="00F86DA5">
          <w:rPr>
            <w:rFonts w:asciiTheme="majorBidi" w:eastAsia="SimHei" w:hAnsiTheme="majorBidi" w:cstheme="majorBidi"/>
            <w:bCs/>
            <w:noProof/>
            <w:webHidden/>
            <w:szCs w:val="22"/>
            <w:lang w:val="ru-RU" w:eastAsia="zh-CN"/>
          </w:rPr>
          <w:fldChar w:fldCharType="end"/>
        </w:r>
      </w:hyperlink>
    </w:p>
    <w:p w:rsidR="00D41ADA" w:rsidRPr="00F90C02" w:rsidRDefault="005D1F2F" w:rsidP="00F90C02">
      <w:pPr>
        <w:tabs>
          <w:tab w:val="clear" w:pos="794"/>
          <w:tab w:val="clear" w:pos="1191"/>
          <w:tab w:val="clear" w:pos="1588"/>
          <w:tab w:val="clear" w:pos="1985"/>
          <w:tab w:val="left" w:pos="567"/>
          <w:tab w:val="left" w:leader="dot" w:pos="9120"/>
          <w:tab w:val="right" w:pos="9600"/>
        </w:tabs>
        <w:overflowPunct/>
        <w:autoSpaceDE/>
        <w:autoSpaceDN/>
        <w:adjustRightInd/>
        <w:spacing w:before="80"/>
        <w:ind w:left="567" w:right="1123" w:hanging="567"/>
        <w:jc w:val="left"/>
        <w:textAlignment w:val="auto"/>
        <w:rPr>
          <w:rFonts w:asciiTheme="majorBidi" w:eastAsia="SimHei" w:hAnsiTheme="majorBidi" w:cstheme="majorBidi"/>
          <w:bCs/>
          <w:noProof/>
          <w:szCs w:val="22"/>
          <w:lang w:val="ru-RU" w:eastAsia="zh-CN"/>
        </w:rPr>
      </w:pPr>
      <w:hyperlink w:anchor="_Toc280272472" w:history="1">
        <w:r w:rsidR="00D41ADA" w:rsidRPr="00F90C02">
          <w:rPr>
            <w:rFonts w:asciiTheme="majorBidi" w:eastAsia="SimHei" w:hAnsiTheme="majorBidi" w:cstheme="majorBidi"/>
            <w:bCs/>
            <w:noProof/>
            <w:szCs w:val="22"/>
            <w:lang w:val="ru-RU" w:eastAsia="zh-CN"/>
          </w:rPr>
          <w:t>Appendix 1.1 (English) –</w:t>
        </w:r>
        <w:r w:rsidR="00D41ADA" w:rsidRPr="00F90C02">
          <w:rPr>
            <w:rFonts w:asciiTheme="majorBidi" w:eastAsia="SimHei" w:hAnsiTheme="majorBidi" w:cstheme="majorBidi"/>
            <w:noProof/>
            <w:szCs w:val="22"/>
            <w:lang w:val="ru-RU" w:eastAsia="zh-CN"/>
          </w:rPr>
          <w:t xml:space="preserve"> </w:t>
        </w:r>
        <w:r w:rsidR="00D41ADA" w:rsidRPr="00F90C02">
          <w:rPr>
            <w:rFonts w:asciiTheme="majorBidi" w:eastAsia="SimHei" w:hAnsiTheme="majorBidi" w:cstheme="majorBidi"/>
            <w:bCs/>
            <w:noProof/>
            <w:szCs w:val="22"/>
            <w:lang w:val="ru-RU" w:eastAsia="zh-CN"/>
          </w:rPr>
          <w:t>United Arab Emirates: Basic elements of spectrum fees policy</w:t>
        </w:r>
        <w:r w:rsidR="00D41ADA" w:rsidRPr="00F90C02">
          <w:rPr>
            <w:rFonts w:asciiTheme="majorBidi" w:eastAsia="SimHei" w:hAnsiTheme="majorBidi" w:cstheme="majorBidi"/>
            <w:bCs/>
            <w:noProof/>
            <w:webHidden/>
            <w:szCs w:val="22"/>
            <w:lang w:val="ru-RU" w:eastAsia="zh-CN"/>
          </w:rPr>
          <w:tab/>
        </w:r>
        <w:r w:rsidR="00D41ADA" w:rsidRPr="00F90C02">
          <w:rPr>
            <w:rFonts w:asciiTheme="majorBidi" w:eastAsia="SimHei" w:hAnsiTheme="majorBidi" w:cstheme="majorBidi"/>
            <w:bCs/>
            <w:noProof/>
            <w:webHidden/>
            <w:szCs w:val="22"/>
            <w:lang w:val="ru-RU" w:eastAsia="zh-CN"/>
          </w:rPr>
          <w:tab/>
        </w:r>
        <w:r w:rsidRPr="00F90C02">
          <w:rPr>
            <w:rFonts w:asciiTheme="majorBidi" w:eastAsia="SimHei" w:hAnsiTheme="majorBidi" w:cstheme="majorBidi"/>
            <w:bCs/>
            <w:noProof/>
            <w:webHidden/>
            <w:szCs w:val="22"/>
            <w:lang w:val="ru-RU" w:eastAsia="zh-CN"/>
          </w:rPr>
          <w:fldChar w:fldCharType="begin"/>
        </w:r>
        <w:r w:rsidR="00D41ADA" w:rsidRPr="00F90C02">
          <w:rPr>
            <w:rFonts w:asciiTheme="majorBidi" w:eastAsia="SimHei" w:hAnsiTheme="majorBidi" w:cstheme="majorBidi"/>
            <w:bCs/>
            <w:noProof/>
            <w:webHidden/>
            <w:szCs w:val="22"/>
            <w:lang w:val="ru-RU" w:eastAsia="zh-CN"/>
          </w:rPr>
          <w:instrText xml:space="preserve"> PAGEREF _Toc280272472 \h </w:instrText>
        </w:r>
        <w:r w:rsidRPr="00F90C02">
          <w:rPr>
            <w:rFonts w:asciiTheme="majorBidi" w:eastAsia="SimHei" w:hAnsiTheme="majorBidi" w:cstheme="majorBidi"/>
            <w:bCs/>
            <w:noProof/>
            <w:webHidden/>
            <w:szCs w:val="22"/>
            <w:lang w:val="ru-RU" w:eastAsia="zh-CN"/>
          </w:rPr>
        </w:r>
        <w:r w:rsidRPr="00F90C02">
          <w:rPr>
            <w:rFonts w:asciiTheme="majorBidi" w:eastAsia="SimHei" w:hAnsiTheme="majorBidi" w:cstheme="majorBidi"/>
            <w:bCs/>
            <w:noProof/>
            <w:webHidden/>
            <w:szCs w:val="22"/>
            <w:lang w:val="ru-RU" w:eastAsia="zh-CN"/>
          </w:rPr>
          <w:fldChar w:fldCharType="separate"/>
        </w:r>
        <w:r w:rsidR="00510183">
          <w:rPr>
            <w:rFonts w:asciiTheme="majorBidi" w:eastAsia="SimHei" w:hAnsiTheme="majorBidi" w:cstheme="majorBidi"/>
            <w:bCs/>
            <w:noProof/>
            <w:webHidden/>
            <w:szCs w:val="22"/>
            <w:lang w:val="ru-RU" w:eastAsia="zh-CN"/>
          </w:rPr>
          <w:t>19</w:t>
        </w:r>
        <w:r w:rsidRPr="00F90C02">
          <w:rPr>
            <w:rFonts w:asciiTheme="majorBidi" w:eastAsia="SimHei" w:hAnsiTheme="majorBidi" w:cstheme="majorBidi"/>
            <w:bCs/>
            <w:noProof/>
            <w:webHidden/>
            <w:szCs w:val="22"/>
            <w:lang w:val="ru-RU" w:eastAsia="zh-CN"/>
          </w:rPr>
          <w:fldChar w:fldCharType="end"/>
        </w:r>
      </w:hyperlink>
    </w:p>
    <w:p w:rsidR="00D41ADA" w:rsidRPr="00F90C02" w:rsidRDefault="005D1F2F" w:rsidP="00F90C02">
      <w:pPr>
        <w:tabs>
          <w:tab w:val="clear" w:pos="794"/>
          <w:tab w:val="clear" w:pos="1191"/>
          <w:tab w:val="clear" w:pos="1588"/>
          <w:tab w:val="clear" w:pos="1985"/>
          <w:tab w:val="left" w:pos="567"/>
          <w:tab w:val="left" w:leader="dot" w:pos="9120"/>
          <w:tab w:val="right" w:pos="9600"/>
        </w:tabs>
        <w:overflowPunct/>
        <w:autoSpaceDE/>
        <w:autoSpaceDN/>
        <w:adjustRightInd/>
        <w:spacing w:before="80"/>
        <w:ind w:left="567" w:right="1123" w:hanging="567"/>
        <w:jc w:val="left"/>
        <w:textAlignment w:val="auto"/>
        <w:rPr>
          <w:rFonts w:asciiTheme="majorBidi" w:eastAsia="SimHei" w:hAnsiTheme="majorBidi" w:cstheme="majorBidi"/>
          <w:bCs/>
          <w:noProof/>
          <w:szCs w:val="22"/>
          <w:lang w:val="ru-RU" w:eastAsia="zh-CN"/>
        </w:rPr>
      </w:pPr>
      <w:hyperlink w:anchor="_Toc280272489" w:history="1">
        <w:r w:rsidR="00D41ADA" w:rsidRPr="00F90C02">
          <w:rPr>
            <w:rFonts w:asciiTheme="majorBidi" w:eastAsia="SimHei" w:hAnsiTheme="majorBidi" w:cstheme="majorBidi"/>
            <w:bCs/>
            <w:noProof/>
            <w:szCs w:val="22"/>
            <w:lang w:val="ru-RU" w:eastAsia="zh-CN"/>
          </w:rPr>
          <w:t>Appendice 1.1 (Français) – Emirats Arabes Unis: Eléments fondamentaux de la politique en matière de redevances d'utilisation du spectre</w:t>
        </w:r>
        <w:r w:rsidR="00D41ADA" w:rsidRPr="00F90C02">
          <w:rPr>
            <w:rFonts w:asciiTheme="majorBidi" w:eastAsia="SimHei" w:hAnsiTheme="majorBidi" w:cstheme="majorBidi"/>
            <w:bCs/>
            <w:noProof/>
            <w:webHidden/>
            <w:szCs w:val="22"/>
            <w:lang w:val="ru-RU" w:eastAsia="zh-CN"/>
          </w:rPr>
          <w:tab/>
        </w:r>
        <w:r w:rsidR="00D41ADA" w:rsidRPr="00F90C02">
          <w:rPr>
            <w:rFonts w:asciiTheme="majorBidi" w:eastAsia="SimHei" w:hAnsiTheme="majorBidi" w:cstheme="majorBidi"/>
            <w:bCs/>
            <w:noProof/>
            <w:webHidden/>
            <w:szCs w:val="22"/>
            <w:lang w:val="ru-RU" w:eastAsia="zh-CN"/>
          </w:rPr>
          <w:tab/>
        </w:r>
        <w:r w:rsidRPr="00F90C02">
          <w:rPr>
            <w:rFonts w:asciiTheme="majorBidi" w:eastAsia="SimHei" w:hAnsiTheme="majorBidi" w:cstheme="majorBidi"/>
            <w:bCs/>
            <w:noProof/>
            <w:webHidden/>
            <w:szCs w:val="22"/>
            <w:lang w:val="ru-RU" w:eastAsia="zh-CN"/>
          </w:rPr>
          <w:fldChar w:fldCharType="begin"/>
        </w:r>
        <w:r w:rsidR="00D41ADA" w:rsidRPr="00F90C02">
          <w:rPr>
            <w:rFonts w:asciiTheme="majorBidi" w:eastAsia="SimHei" w:hAnsiTheme="majorBidi" w:cstheme="majorBidi"/>
            <w:bCs/>
            <w:noProof/>
            <w:webHidden/>
            <w:szCs w:val="22"/>
            <w:lang w:val="ru-RU" w:eastAsia="zh-CN"/>
          </w:rPr>
          <w:instrText xml:space="preserve"> PAGEREF _Toc280272489 \h </w:instrText>
        </w:r>
        <w:r w:rsidRPr="00F90C02">
          <w:rPr>
            <w:rFonts w:asciiTheme="majorBidi" w:eastAsia="SimHei" w:hAnsiTheme="majorBidi" w:cstheme="majorBidi"/>
            <w:bCs/>
            <w:noProof/>
            <w:webHidden/>
            <w:szCs w:val="22"/>
            <w:lang w:val="ru-RU" w:eastAsia="zh-CN"/>
          </w:rPr>
        </w:r>
        <w:r w:rsidRPr="00F90C02">
          <w:rPr>
            <w:rFonts w:asciiTheme="majorBidi" w:eastAsia="SimHei" w:hAnsiTheme="majorBidi" w:cstheme="majorBidi"/>
            <w:bCs/>
            <w:noProof/>
            <w:webHidden/>
            <w:szCs w:val="22"/>
            <w:lang w:val="ru-RU" w:eastAsia="zh-CN"/>
          </w:rPr>
          <w:fldChar w:fldCharType="separate"/>
        </w:r>
        <w:r w:rsidR="00510183">
          <w:rPr>
            <w:rFonts w:asciiTheme="majorBidi" w:eastAsia="SimHei" w:hAnsiTheme="majorBidi" w:cstheme="majorBidi"/>
            <w:bCs/>
            <w:noProof/>
            <w:webHidden/>
            <w:szCs w:val="22"/>
            <w:lang w:val="ru-RU" w:eastAsia="zh-CN"/>
          </w:rPr>
          <w:t>22</w:t>
        </w:r>
        <w:r w:rsidRPr="00F90C02">
          <w:rPr>
            <w:rFonts w:asciiTheme="majorBidi" w:eastAsia="SimHei" w:hAnsiTheme="majorBidi" w:cstheme="majorBidi"/>
            <w:bCs/>
            <w:noProof/>
            <w:webHidden/>
            <w:szCs w:val="22"/>
            <w:lang w:val="ru-RU" w:eastAsia="zh-CN"/>
          </w:rPr>
          <w:fldChar w:fldCharType="end"/>
        </w:r>
      </w:hyperlink>
    </w:p>
    <w:p w:rsidR="00D41ADA" w:rsidRPr="00F90C02" w:rsidRDefault="005D1F2F" w:rsidP="00F90C02">
      <w:pPr>
        <w:tabs>
          <w:tab w:val="clear" w:pos="794"/>
          <w:tab w:val="clear" w:pos="1191"/>
          <w:tab w:val="clear" w:pos="1588"/>
          <w:tab w:val="clear" w:pos="1985"/>
          <w:tab w:val="left" w:pos="567"/>
          <w:tab w:val="left" w:leader="dot" w:pos="9120"/>
          <w:tab w:val="right" w:pos="9600"/>
        </w:tabs>
        <w:overflowPunct/>
        <w:autoSpaceDE/>
        <w:autoSpaceDN/>
        <w:adjustRightInd/>
        <w:spacing w:before="80"/>
        <w:ind w:left="567" w:right="1123" w:hanging="567"/>
        <w:jc w:val="left"/>
        <w:textAlignment w:val="auto"/>
        <w:rPr>
          <w:rFonts w:asciiTheme="majorBidi" w:eastAsia="SimHei" w:hAnsiTheme="majorBidi" w:cstheme="majorBidi"/>
          <w:bCs/>
          <w:noProof/>
          <w:szCs w:val="22"/>
          <w:lang w:val="ru-RU" w:eastAsia="zh-CN"/>
        </w:rPr>
      </w:pPr>
      <w:hyperlink w:anchor="_Toc280272506" w:history="1">
        <w:r w:rsidR="00D41ADA" w:rsidRPr="00F90C02">
          <w:rPr>
            <w:rFonts w:asciiTheme="majorBidi" w:eastAsia="SimHei" w:hAnsiTheme="majorBidi" w:cstheme="majorBidi"/>
            <w:bCs/>
            <w:noProof/>
            <w:szCs w:val="22"/>
            <w:lang w:val="ru-RU" w:eastAsia="zh-CN"/>
          </w:rPr>
          <w:t>Appendix 1.2 (English)</w:t>
        </w:r>
        <w:r w:rsidR="00D41ADA" w:rsidRPr="00F90C02">
          <w:rPr>
            <w:rFonts w:asciiTheme="majorBidi" w:eastAsia="SimHei" w:hAnsiTheme="majorBidi" w:cstheme="majorBidi"/>
            <w:noProof/>
            <w:szCs w:val="22"/>
            <w:lang w:val="ru-RU" w:eastAsia="zh-CN"/>
          </w:rPr>
          <w:t xml:space="preserve"> – </w:t>
        </w:r>
        <w:r w:rsidR="00D41ADA" w:rsidRPr="00F90C02">
          <w:rPr>
            <w:rFonts w:asciiTheme="majorBidi" w:eastAsia="SimHei" w:hAnsiTheme="majorBidi" w:cstheme="majorBidi"/>
            <w:bCs/>
            <w:noProof/>
            <w:szCs w:val="22"/>
            <w:lang w:val="ru-RU" w:eastAsia="zh-CN"/>
          </w:rPr>
          <w:t>United Arab Emirates: Proposed example on spectrum fees policy</w:t>
        </w:r>
        <w:r w:rsidR="00D41ADA" w:rsidRPr="00F90C02">
          <w:rPr>
            <w:rFonts w:asciiTheme="majorBidi" w:eastAsia="SimHei" w:hAnsiTheme="majorBidi" w:cstheme="majorBidi"/>
            <w:bCs/>
            <w:noProof/>
            <w:webHidden/>
            <w:szCs w:val="22"/>
            <w:lang w:val="ru-RU" w:eastAsia="zh-CN"/>
          </w:rPr>
          <w:tab/>
        </w:r>
        <w:r w:rsidR="00D41ADA" w:rsidRPr="00F90C02">
          <w:rPr>
            <w:rFonts w:asciiTheme="majorBidi" w:eastAsia="SimHei" w:hAnsiTheme="majorBidi" w:cstheme="majorBidi"/>
            <w:bCs/>
            <w:noProof/>
            <w:webHidden/>
            <w:szCs w:val="22"/>
            <w:lang w:val="ru-RU" w:eastAsia="zh-CN"/>
          </w:rPr>
          <w:tab/>
        </w:r>
        <w:r w:rsidRPr="00F90C02">
          <w:rPr>
            <w:rFonts w:asciiTheme="majorBidi" w:eastAsia="SimHei" w:hAnsiTheme="majorBidi" w:cstheme="majorBidi"/>
            <w:bCs/>
            <w:noProof/>
            <w:webHidden/>
            <w:szCs w:val="22"/>
            <w:lang w:val="ru-RU" w:eastAsia="zh-CN"/>
          </w:rPr>
          <w:fldChar w:fldCharType="begin"/>
        </w:r>
        <w:r w:rsidR="00D41ADA" w:rsidRPr="00F90C02">
          <w:rPr>
            <w:rFonts w:asciiTheme="majorBidi" w:eastAsia="SimHei" w:hAnsiTheme="majorBidi" w:cstheme="majorBidi"/>
            <w:bCs/>
            <w:noProof/>
            <w:webHidden/>
            <w:szCs w:val="22"/>
            <w:lang w:val="ru-RU" w:eastAsia="zh-CN"/>
          </w:rPr>
          <w:instrText xml:space="preserve"> PAGEREF _Toc280272506 \h </w:instrText>
        </w:r>
        <w:r w:rsidRPr="00F90C02">
          <w:rPr>
            <w:rFonts w:asciiTheme="majorBidi" w:eastAsia="SimHei" w:hAnsiTheme="majorBidi" w:cstheme="majorBidi"/>
            <w:bCs/>
            <w:noProof/>
            <w:webHidden/>
            <w:szCs w:val="22"/>
            <w:lang w:val="ru-RU" w:eastAsia="zh-CN"/>
          </w:rPr>
        </w:r>
        <w:r w:rsidRPr="00F90C02">
          <w:rPr>
            <w:rFonts w:asciiTheme="majorBidi" w:eastAsia="SimHei" w:hAnsiTheme="majorBidi" w:cstheme="majorBidi"/>
            <w:bCs/>
            <w:noProof/>
            <w:webHidden/>
            <w:szCs w:val="22"/>
            <w:lang w:val="ru-RU" w:eastAsia="zh-CN"/>
          </w:rPr>
          <w:fldChar w:fldCharType="separate"/>
        </w:r>
        <w:r w:rsidR="00510183">
          <w:rPr>
            <w:rFonts w:asciiTheme="majorBidi" w:eastAsia="SimHei" w:hAnsiTheme="majorBidi" w:cstheme="majorBidi"/>
            <w:bCs/>
            <w:noProof/>
            <w:webHidden/>
            <w:szCs w:val="22"/>
            <w:lang w:val="ru-RU" w:eastAsia="zh-CN"/>
          </w:rPr>
          <w:t>25</w:t>
        </w:r>
        <w:r w:rsidRPr="00F90C02">
          <w:rPr>
            <w:rFonts w:asciiTheme="majorBidi" w:eastAsia="SimHei" w:hAnsiTheme="majorBidi" w:cstheme="majorBidi"/>
            <w:bCs/>
            <w:noProof/>
            <w:webHidden/>
            <w:szCs w:val="22"/>
            <w:lang w:val="ru-RU" w:eastAsia="zh-CN"/>
          </w:rPr>
          <w:fldChar w:fldCharType="end"/>
        </w:r>
      </w:hyperlink>
    </w:p>
    <w:p w:rsidR="00F90C02" w:rsidRPr="00F86DA5" w:rsidRDefault="00D41ADA" w:rsidP="00F90C02">
      <w:pPr>
        <w:pageBreakBefore/>
        <w:tabs>
          <w:tab w:val="clear" w:pos="794"/>
          <w:tab w:val="clear" w:pos="1191"/>
          <w:tab w:val="clear" w:pos="1588"/>
          <w:tab w:val="clear" w:pos="1985"/>
          <w:tab w:val="left" w:pos="567"/>
          <w:tab w:val="left" w:pos="1134"/>
          <w:tab w:val="left" w:pos="1701"/>
          <w:tab w:val="left" w:pos="2268"/>
        </w:tabs>
        <w:overflowPunct/>
        <w:autoSpaceDE/>
        <w:autoSpaceDN/>
        <w:adjustRightInd/>
        <w:spacing w:before="80"/>
        <w:jc w:val="right"/>
        <w:textAlignment w:val="auto"/>
        <w:rPr>
          <w:rFonts w:asciiTheme="majorBidi" w:eastAsia="SimHei" w:hAnsiTheme="majorBidi" w:cstheme="majorBidi"/>
          <w:bCs/>
          <w:noProof/>
          <w:sz w:val="18"/>
          <w:szCs w:val="28"/>
          <w:lang w:val="ru-RU"/>
        </w:rPr>
      </w:pPr>
      <w:r w:rsidRPr="00F90C02">
        <w:rPr>
          <w:rFonts w:asciiTheme="majorBidi" w:eastAsia="SimHei" w:hAnsiTheme="majorBidi" w:cstheme="majorBidi"/>
          <w:bCs/>
          <w:noProof/>
          <w:szCs w:val="22"/>
          <w:lang w:val="ru-RU" w:eastAsia="zh-CN"/>
        </w:rPr>
        <w:lastRenderedPageBreak/>
        <w:tab/>
      </w:r>
      <w:r w:rsidR="00F90C02" w:rsidRPr="00D41ADA">
        <w:rPr>
          <w:rFonts w:asciiTheme="majorBidi" w:eastAsia="SimHei" w:hAnsiTheme="majorBidi" w:cstheme="majorBidi"/>
          <w:b/>
          <w:i/>
          <w:iCs/>
          <w:noProof/>
          <w:szCs w:val="22"/>
          <w:lang w:val="ru-RU"/>
        </w:rPr>
        <w:t>Стр</w:t>
      </w:r>
      <w:r w:rsidR="00F90C02" w:rsidRPr="00F86DA5">
        <w:rPr>
          <w:rFonts w:asciiTheme="majorBidi" w:eastAsia="SimHei" w:hAnsiTheme="majorBidi" w:cstheme="majorBidi"/>
          <w:bCs/>
          <w:noProof/>
          <w:sz w:val="18"/>
          <w:szCs w:val="28"/>
          <w:lang w:val="ru-RU"/>
        </w:rPr>
        <w:t>.</w:t>
      </w:r>
    </w:p>
    <w:p w:rsidR="00D41ADA" w:rsidRPr="00F90C02" w:rsidRDefault="005D1F2F" w:rsidP="00F90C02">
      <w:pPr>
        <w:tabs>
          <w:tab w:val="clear" w:pos="794"/>
          <w:tab w:val="clear" w:pos="1191"/>
          <w:tab w:val="clear" w:pos="1588"/>
          <w:tab w:val="clear" w:pos="1985"/>
          <w:tab w:val="left" w:pos="567"/>
          <w:tab w:val="left" w:leader="dot" w:pos="9120"/>
          <w:tab w:val="right" w:pos="9600"/>
        </w:tabs>
        <w:overflowPunct/>
        <w:autoSpaceDE/>
        <w:autoSpaceDN/>
        <w:adjustRightInd/>
        <w:spacing w:before="80"/>
        <w:ind w:left="567" w:right="1123" w:hanging="567"/>
        <w:jc w:val="left"/>
        <w:textAlignment w:val="auto"/>
        <w:rPr>
          <w:rFonts w:asciiTheme="majorBidi" w:eastAsia="SimHei" w:hAnsiTheme="majorBidi" w:cstheme="majorBidi"/>
          <w:bCs/>
          <w:noProof/>
          <w:szCs w:val="22"/>
          <w:lang w:val="ru-RU" w:eastAsia="zh-CN"/>
        </w:rPr>
      </w:pPr>
      <w:hyperlink w:anchor="_Toc280272509" w:history="1">
        <w:r w:rsidR="00D41ADA" w:rsidRPr="00F90C02">
          <w:rPr>
            <w:rFonts w:asciiTheme="majorBidi" w:eastAsia="SimHei" w:hAnsiTheme="majorBidi" w:cstheme="majorBidi"/>
            <w:bCs/>
            <w:noProof/>
            <w:szCs w:val="22"/>
            <w:lang w:val="ru-RU" w:eastAsia="zh-CN"/>
          </w:rPr>
          <w:t>Appendice 1.2 (Français) – Emirats arabes unis: Exemple de directive en matière de droits d'utilisation du spectre</w:t>
        </w:r>
        <w:r w:rsidR="00D41ADA" w:rsidRPr="00F90C02">
          <w:rPr>
            <w:rFonts w:asciiTheme="majorBidi" w:eastAsia="SimHei" w:hAnsiTheme="majorBidi" w:cstheme="majorBidi"/>
            <w:bCs/>
            <w:noProof/>
            <w:webHidden/>
            <w:szCs w:val="22"/>
            <w:lang w:val="ru-RU" w:eastAsia="zh-CN"/>
          </w:rPr>
          <w:tab/>
        </w:r>
        <w:r w:rsidR="00D41ADA" w:rsidRPr="00F90C02">
          <w:rPr>
            <w:rFonts w:asciiTheme="majorBidi" w:eastAsia="SimHei" w:hAnsiTheme="majorBidi" w:cstheme="majorBidi"/>
            <w:bCs/>
            <w:noProof/>
            <w:webHidden/>
            <w:szCs w:val="22"/>
            <w:lang w:val="ru-RU" w:eastAsia="zh-CN"/>
          </w:rPr>
          <w:tab/>
        </w:r>
        <w:r w:rsidRPr="00F90C02">
          <w:rPr>
            <w:rFonts w:asciiTheme="majorBidi" w:eastAsia="SimHei" w:hAnsiTheme="majorBidi" w:cstheme="majorBidi"/>
            <w:bCs/>
            <w:noProof/>
            <w:webHidden/>
            <w:szCs w:val="22"/>
            <w:lang w:val="ru-RU" w:eastAsia="zh-CN"/>
          </w:rPr>
          <w:fldChar w:fldCharType="begin"/>
        </w:r>
        <w:r w:rsidR="00D41ADA" w:rsidRPr="00F90C02">
          <w:rPr>
            <w:rFonts w:asciiTheme="majorBidi" w:eastAsia="SimHei" w:hAnsiTheme="majorBidi" w:cstheme="majorBidi"/>
            <w:bCs/>
            <w:noProof/>
            <w:webHidden/>
            <w:szCs w:val="22"/>
            <w:lang w:val="ru-RU" w:eastAsia="zh-CN"/>
          </w:rPr>
          <w:instrText xml:space="preserve"> PAGEREF _Toc280272509 \h </w:instrText>
        </w:r>
        <w:r w:rsidRPr="00F90C02">
          <w:rPr>
            <w:rFonts w:asciiTheme="majorBidi" w:eastAsia="SimHei" w:hAnsiTheme="majorBidi" w:cstheme="majorBidi"/>
            <w:bCs/>
            <w:noProof/>
            <w:webHidden/>
            <w:szCs w:val="22"/>
            <w:lang w:val="ru-RU" w:eastAsia="zh-CN"/>
          </w:rPr>
        </w:r>
        <w:r w:rsidRPr="00F90C02">
          <w:rPr>
            <w:rFonts w:asciiTheme="majorBidi" w:eastAsia="SimHei" w:hAnsiTheme="majorBidi" w:cstheme="majorBidi"/>
            <w:bCs/>
            <w:noProof/>
            <w:webHidden/>
            <w:szCs w:val="22"/>
            <w:lang w:val="ru-RU" w:eastAsia="zh-CN"/>
          </w:rPr>
          <w:fldChar w:fldCharType="separate"/>
        </w:r>
        <w:r w:rsidR="00510183">
          <w:rPr>
            <w:rFonts w:asciiTheme="majorBidi" w:eastAsia="SimHei" w:hAnsiTheme="majorBidi" w:cstheme="majorBidi"/>
            <w:bCs/>
            <w:noProof/>
            <w:webHidden/>
            <w:szCs w:val="22"/>
            <w:lang w:val="ru-RU" w:eastAsia="zh-CN"/>
          </w:rPr>
          <w:t>43</w:t>
        </w:r>
        <w:r w:rsidRPr="00F90C02">
          <w:rPr>
            <w:rFonts w:asciiTheme="majorBidi" w:eastAsia="SimHei" w:hAnsiTheme="majorBidi" w:cstheme="majorBidi"/>
            <w:bCs/>
            <w:noProof/>
            <w:webHidden/>
            <w:szCs w:val="22"/>
            <w:lang w:val="ru-RU" w:eastAsia="zh-CN"/>
          </w:rPr>
          <w:fldChar w:fldCharType="end"/>
        </w:r>
      </w:hyperlink>
    </w:p>
    <w:p w:rsidR="00D41ADA" w:rsidRPr="00F90C02" w:rsidRDefault="005D1F2F" w:rsidP="00F90C02">
      <w:pPr>
        <w:tabs>
          <w:tab w:val="clear" w:pos="794"/>
          <w:tab w:val="clear" w:pos="1191"/>
          <w:tab w:val="clear" w:pos="1588"/>
          <w:tab w:val="clear" w:pos="1985"/>
          <w:tab w:val="left" w:pos="567"/>
          <w:tab w:val="left" w:leader="dot" w:pos="9120"/>
          <w:tab w:val="right" w:pos="9600"/>
        </w:tabs>
        <w:overflowPunct/>
        <w:autoSpaceDE/>
        <w:autoSpaceDN/>
        <w:adjustRightInd/>
        <w:spacing w:before="80"/>
        <w:ind w:left="567" w:right="1123" w:hanging="567"/>
        <w:jc w:val="left"/>
        <w:textAlignment w:val="auto"/>
        <w:rPr>
          <w:rFonts w:asciiTheme="majorBidi" w:eastAsia="SimHei" w:hAnsiTheme="majorBidi" w:cstheme="majorBidi"/>
          <w:bCs/>
          <w:noProof/>
          <w:szCs w:val="22"/>
          <w:lang w:val="ru-RU" w:eastAsia="zh-CN"/>
        </w:rPr>
      </w:pPr>
      <w:hyperlink w:anchor="_Toc280272512" w:history="1">
        <w:r w:rsidR="00D41ADA" w:rsidRPr="00F90C02">
          <w:rPr>
            <w:rFonts w:asciiTheme="majorBidi" w:eastAsia="SimHei" w:hAnsiTheme="majorBidi" w:cstheme="majorBidi"/>
            <w:bCs/>
            <w:noProof/>
            <w:szCs w:val="22"/>
            <w:lang w:val="ru-RU" w:eastAsia="zh-CN"/>
          </w:rPr>
          <w:t>Appendix 2.1 (English) – Switzerland</w:t>
        </w:r>
        <w:r w:rsidR="00D41ADA" w:rsidRPr="00F90C02">
          <w:rPr>
            <w:rFonts w:asciiTheme="majorBidi" w:eastAsia="SimHei" w:hAnsiTheme="majorBidi" w:cstheme="majorBidi"/>
            <w:noProof/>
            <w:szCs w:val="22"/>
            <w:lang w:val="ru-RU" w:eastAsia="zh-CN"/>
          </w:rPr>
          <w:t xml:space="preserve"> </w:t>
        </w:r>
        <w:r w:rsidR="00D41ADA" w:rsidRPr="00F90C02">
          <w:rPr>
            <w:rFonts w:asciiTheme="majorBidi" w:eastAsia="SimHei" w:hAnsiTheme="majorBidi" w:cstheme="majorBidi"/>
            <w:bCs/>
            <w:noProof/>
            <w:szCs w:val="22"/>
            <w:lang w:val="ru-RU" w:eastAsia="zh-CN"/>
          </w:rPr>
          <w:t>Financing of spectrum management activities in Switzerland: Abstract</w:t>
        </w:r>
        <w:r w:rsidR="00D41ADA" w:rsidRPr="00F90C02">
          <w:rPr>
            <w:rFonts w:asciiTheme="majorBidi" w:eastAsia="SimHei" w:hAnsiTheme="majorBidi" w:cstheme="majorBidi"/>
            <w:bCs/>
            <w:noProof/>
            <w:webHidden/>
            <w:szCs w:val="22"/>
            <w:lang w:val="ru-RU" w:eastAsia="zh-CN"/>
          </w:rPr>
          <w:tab/>
        </w:r>
        <w:r w:rsidR="00D41ADA" w:rsidRPr="00F90C02">
          <w:rPr>
            <w:rFonts w:asciiTheme="majorBidi" w:eastAsia="SimHei" w:hAnsiTheme="majorBidi" w:cstheme="majorBidi"/>
            <w:bCs/>
            <w:noProof/>
            <w:webHidden/>
            <w:szCs w:val="22"/>
            <w:lang w:val="ru-RU" w:eastAsia="zh-CN"/>
          </w:rPr>
          <w:tab/>
        </w:r>
        <w:r w:rsidRPr="00F90C02">
          <w:rPr>
            <w:rFonts w:asciiTheme="majorBidi" w:eastAsia="SimHei" w:hAnsiTheme="majorBidi" w:cstheme="majorBidi"/>
            <w:bCs/>
            <w:noProof/>
            <w:webHidden/>
            <w:szCs w:val="22"/>
            <w:lang w:val="ru-RU" w:eastAsia="zh-CN"/>
          </w:rPr>
          <w:fldChar w:fldCharType="begin"/>
        </w:r>
        <w:r w:rsidR="00D41ADA" w:rsidRPr="00F90C02">
          <w:rPr>
            <w:rFonts w:asciiTheme="majorBidi" w:eastAsia="SimHei" w:hAnsiTheme="majorBidi" w:cstheme="majorBidi"/>
            <w:bCs/>
            <w:noProof/>
            <w:webHidden/>
            <w:szCs w:val="22"/>
            <w:lang w:val="ru-RU" w:eastAsia="zh-CN"/>
          </w:rPr>
          <w:instrText xml:space="preserve"> PAGEREF _Toc280272512 \h </w:instrText>
        </w:r>
        <w:r w:rsidRPr="00F90C02">
          <w:rPr>
            <w:rFonts w:asciiTheme="majorBidi" w:eastAsia="SimHei" w:hAnsiTheme="majorBidi" w:cstheme="majorBidi"/>
            <w:bCs/>
            <w:noProof/>
            <w:webHidden/>
            <w:szCs w:val="22"/>
            <w:lang w:val="ru-RU" w:eastAsia="zh-CN"/>
          </w:rPr>
        </w:r>
        <w:r w:rsidRPr="00F90C02">
          <w:rPr>
            <w:rFonts w:asciiTheme="majorBidi" w:eastAsia="SimHei" w:hAnsiTheme="majorBidi" w:cstheme="majorBidi"/>
            <w:bCs/>
            <w:noProof/>
            <w:webHidden/>
            <w:szCs w:val="22"/>
            <w:lang w:val="ru-RU" w:eastAsia="zh-CN"/>
          </w:rPr>
          <w:fldChar w:fldCharType="separate"/>
        </w:r>
        <w:r w:rsidR="00510183">
          <w:rPr>
            <w:rFonts w:asciiTheme="majorBidi" w:eastAsia="SimHei" w:hAnsiTheme="majorBidi" w:cstheme="majorBidi"/>
            <w:bCs/>
            <w:noProof/>
            <w:webHidden/>
            <w:szCs w:val="22"/>
            <w:lang w:val="ru-RU" w:eastAsia="zh-CN"/>
          </w:rPr>
          <w:t>62</w:t>
        </w:r>
        <w:r w:rsidRPr="00F90C02">
          <w:rPr>
            <w:rFonts w:asciiTheme="majorBidi" w:eastAsia="SimHei" w:hAnsiTheme="majorBidi" w:cstheme="majorBidi"/>
            <w:bCs/>
            <w:noProof/>
            <w:webHidden/>
            <w:szCs w:val="22"/>
            <w:lang w:val="ru-RU" w:eastAsia="zh-CN"/>
          </w:rPr>
          <w:fldChar w:fldCharType="end"/>
        </w:r>
      </w:hyperlink>
    </w:p>
    <w:p w:rsidR="00D41ADA" w:rsidRPr="00F90C02" w:rsidRDefault="005D1F2F" w:rsidP="00F90C02">
      <w:pPr>
        <w:tabs>
          <w:tab w:val="clear" w:pos="794"/>
          <w:tab w:val="clear" w:pos="1191"/>
          <w:tab w:val="clear" w:pos="1588"/>
          <w:tab w:val="clear" w:pos="1985"/>
          <w:tab w:val="left" w:pos="567"/>
          <w:tab w:val="left" w:leader="dot" w:pos="9120"/>
          <w:tab w:val="right" w:pos="9600"/>
        </w:tabs>
        <w:overflowPunct/>
        <w:autoSpaceDE/>
        <w:autoSpaceDN/>
        <w:adjustRightInd/>
        <w:spacing w:before="80"/>
        <w:ind w:left="567" w:right="1123" w:hanging="567"/>
        <w:jc w:val="left"/>
        <w:textAlignment w:val="auto"/>
        <w:rPr>
          <w:rFonts w:asciiTheme="majorBidi" w:eastAsia="SimHei" w:hAnsiTheme="majorBidi" w:cstheme="majorBidi"/>
          <w:bCs/>
          <w:noProof/>
          <w:szCs w:val="22"/>
          <w:lang w:val="ru-RU" w:eastAsia="zh-CN"/>
        </w:rPr>
      </w:pPr>
      <w:hyperlink w:anchor="_Toc280272513" w:history="1">
        <w:r w:rsidR="00D41ADA" w:rsidRPr="00F90C02">
          <w:rPr>
            <w:rFonts w:asciiTheme="majorBidi" w:eastAsia="SimHei" w:hAnsiTheme="majorBidi" w:cstheme="majorBidi"/>
            <w:bCs/>
            <w:noProof/>
            <w:szCs w:val="22"/>
            <w:lang w:val="ru-RU" w:eastAsia="zh-CN"/>
          </w:rPr>
          <w:t>Appendice 2.1 (Français) – Suisse Financement des activités de gestion du spectre en Suisse: Résumé</w:t>
        </w:r>
        <w:r w:rsidR="00D41ADA" w:rsidRPr="00F90C02">
          <w:rPr>
            <w:rFonts w:asciiTheme="majorBidi" w:eastAsia="SimHei" w:hAnsiTheme="majorBidi" w:cstheme="majorBidi"/>
            <w:bCs/>
            <w:noProof/>
            <w:webHidden/>
            <w:szCs w:val="22"/>
            <w:lang w:val="ru-RU" w:eastAsia="zh-CN"/>
          </w:rPr>
          <w:tab/>
        </w:r>
        <w:r w:rsidR="00D41ADA" w:rsidRPr="00F90C02">
          <w:rPr>
            <w:rFonts w:asciiTheme="majorBidi" w:eastAsia="SimHei" w:hAnsiTheme="majorBidi" w:cstheme="majorBidi"/>
            <w:bCs/>
            <w:noProof/>
            <w:webHidden/>
            <w:szCs w:val="22"/>
            <w:lang w:val="ru-RU" w:eastAsia="zh-CN"/>
          </w:rPr>
          <w:tab/>
        </w:r>
        <w:r w:rsidRPr="00F90C02">
          <w:rPr>
            <w:rFonts w:asciiTheme="majorBidi" w:eastAsia="SimHei" w:hAnsiTheme="majorBidi" w:cstheme="majorBidi"/>
            <w:bCs/>
            <w:noProof/>
            <w:webHidden/>
            <w:szCs w:val="22"/>
            <w:lang w:val="ru-RU" w:eastAsia="zh-CN"/>
          </w:rPr>
          <w:fldChar w:fldCharType="begin"/>
        </w:r>
        <w:r w:rsidR="00D41ADA" w:rsidRPr="00F90C02">
          <w:rPr>
            <w:rFonts w:asciiTheme="majorBidi" w:eastAsia="SimHei" w:hAnsiTheme="majorBidi" w:cstheme="majorBidi"/>
            <w:bCs/>
            <w:noProof/>
            <w:webHidden/>
            <w:szCs w:val="22"/>
            <w:lang w:val="ru-RU" w:eastAsia="zh-CN"/>
          </w:rPr>
          <w:instrText xml:space="preserve"> PAGEREF _Toc280272513 \h </w:instrText>
        </w:r>
        <w:r w:rsidRPr="00F90C02">
          <w:rPr>
            <w:rFonts w:asciiTheme="majorBidi" w:eastAsia="SimHei" w:hAnsiTheme="majorBidi" w:cstheme="majorBidi"/>
            <w:bCs/>
            <w:noProof/>
            <w:webHidden/>
            <w:szCs w:val="22"/>
            <w:lang w:val="ru-RU" w:eastAsia="zh-CN"/>
          </w:rPr>
        </w:r>
        <w:r w:rsidRPr="00F90C02">
          <w:rPr>
            <w:rFonts w:asciiTheme="majorBidi" w:eastAsia="SimHei" w:hAnsiTheme="majorBidi" w:cstheme="majorBidi"/>
            <w:bCs/>
            <w:noProof/>
            <w:webHidden/>
            <w:szCs w:val="22"/>
            <w:lang w:val="ru-RU" w:eastAsia="zh-CN"/>
          </w:rPr>
          <w:fldChar w:fldCharType="separate"/>
        </w:r>
        <w:r w:rsidR="00510183">
          <w:rPr>
            <w:rFonts w:asciiTheme="majorBidi" w:eastAsia="SimHei" w:hAnsiTheme="majorBidi" w:cstheme="majorBidi"/>
            <w:bCs/>
            <w:noProof/>
            <w:webHidden/>
            <w:szCs w:val="22"/>
            <w:lang w:val="ru-RU" w:eastAsia="zh-CN"/>
          </w:rPr>
          <w:t>63</w:t>
        </w:r>
        <w:r w:rsidRPr="00F90C02">
          <w:rPr>
            <w:rFonts w:asciiTheme="majorBidi" w:eastAsia="SimHei" w:hAnsiTheme="majorBidi" w:cstheme="majorBidi"/>
            <w:bCs/>
            <w:noProof/>
            <w:webHidden/>
            <w:szCs w:val="22"/>
            <w:lang w:val="ru-RU" w:eastAsia="zh-CN"/>
          </w:rPr>
          <w:fldChar w:fldCharType="end"/>
        </w:r>
      </w:hyperlink>
    </w:p>
    <w:p w:rsidR="00D41ADA" w:rsidRPr="00F90C02" w:rsidRDefault="005D1F2F" w:rsidP="00F90C02">
      <w:pPr>
        <w:tabs>
          <w:tab w:val="clear" w:pos="794"/>
          <w:tab w:val="clear" w:pos="1191"/>
          <w:tab w:val="clear" w:pos="1588"/>
          <w:tab w:val="clear" w:pos="1985"/>
          <w:tab w:val="left" w:pos="567"/>
          <w:tab w:val="left" w:leader="dot" w:pos="9120"/>
          <w:tab w:val="right" w:pos="9600"/>
        </w:tabs>
        <w:overflowPunct/>
        <w:autoSpaceDE/>
        <w:autoSpaceDN/>
        <w:adjustRightInd/>
        <w:spacing w:before="80"/>
        <w:ind w:left="567" w:right="1123" w:hanging="567"/>
        <w:jc w:val="left"/>
        <w:textAlignment w:val="auto"/>
        <w:rPr>
          <w:rFonts w:asciiTheme="majorBidi" w:eastAsia="SimHei" w:hAnsiTheme="majorBidi" w:cstheme="majorBidi"/>
          <w:bCs/>
          <w:noProof/>
          <w:szCs w:val="22"/>
          <w:lang w:val="ru-RU" w:eastAsia="zh-CN"/>
        </w:rPr>
      </w:pPr>
      <w:hyperlink w:anchor="_Toc280272514" w:history="1">
        <w:r w:rsidR="00D41ADA" w:rsidRPr="00F90C02">
          <w:rPr>
            <w:rFonts w:asciiTheme="majorBidi" w:eastAsia="SimHei" w:hAnsiTheme="majorBidi" w:cstheme="majorBidi"/>
            <w:bCs/>
            <w:noProof/>
            <w:szCs w:val="22"/>
            <w:lang w:val="ru-RU" w:eastAsia="zh-CN"/>
          </w:rPr>
          <w:t>Appendice 2.2 (Français) – Financement des activités de gestion du spectre en Suisse</w:t>
        </w:r>
        <w:r w:rsidR="00D41ADA" w:rsidRPr="00F90C02">
          <w:rPr>
            <w:rFonts w:asciiTheme="majorBidi" w:eastAsia="SimHei" w:hAnsiTheme="majorBidi" w:cstheme="majorBidi"/>
            <w:bCs/>
            <w:noProof/>
            <w:webHidden/>
            <w:szCs w:val="22"/>
            <w:lang w:val="ru-RU" w:eastAsia="zh-CN"/>
          </w:rPr>
          <w:tab/>
        </w:r>
        <w:r w:rsidR="00D41ADA" w:rsidRPr="00F90C02">
          <w:rPr>
            <w:rFonts w:asciiTheme="majorBidi" w:eastAsia="SimHei" w:hAnsiTheme="majorBidi" w:cstheme="majorBidi"/>
            <w:bCs/>
            <w:noProof/>
            <w:webHidden/>
            <w:szCs w:val="22"/>
            <w:lang w:val="ru-RU" w:eastAsia="zh-CN"/>
          </w:rPr>
          <w:tab/>
        </w:r>
        <w:r w:rsidRPr="00F90C02">
          <w:rPr>
            <w:rFonts w:asciiTheme="majorBidi" w:eastAsia="SimHei" w:hAnsiTheme="majorBidi" w:cstheme="majorBidi"/>
            <w:bCs/>
            <w:noProof/>
            <w:webHidden/>
            <w:szCs w:val="22"/>
            <w:lang w:val="ru-RU" w:eastAsia="zh-CN"/>
          </w:rPr>
          <w:fldChar w:fldCharType="begin"/>
        </w:r>
        <w:r w:rsidR="00D41ADA" w:rsidRPr="00F90C02">
          <w:rPr>
            <w:rFonts w:asciiTheme="majorBidi" w:eastAsia="SimHei" w:hAnsiTheme="majorBidi" w:cstheme="majorBidi"/>
            <w:bCs/>
            <w:noProof/>
            <w:webHidden/>
            <w:szCs w:val="22"/>
            <w:lang w:val="ru-RU" w:eastAsia="zh-CN"/>
          </w:rPr>
          <w:instrText xml:space="preserve"> PAGEREF _Toc280272514 \h </w:instrText>
        </w:r>
        <w:r w:rsidRPr="00F90C02">
          <w:rPr>
            <w:rFonts w:asciiTheme="majorBidi" w:eastAsia="SimHei" w:hAnsiTheme="majorBidi" w:cstheme="majorBidi"/>
            <w:bCs/>
            <w:noProof/>
            <w:webHidden/>
            <w:szCs w:val="22"/>
            <w:lang w:val="ru-RU" w:eastAsia="zh-CN"/>
          </w:rPr>
        </w:r>
        <w:r w:rsidRPr="00F90C02">
          <w:rPr>
            <w:rFonts w:asciiTheme="majorBidi" w:eastAsia="SimHei" w:hAnsiTheme="majorBidi" w:cstheme="majorBidi"/>
            <w:bCs/>
            <w:noProof/>
            <w:webHidden/>
            <w:szCs w:val="22"/>
            <w:lang w:val="ru-RU" w:eastAsia="zh-CN"/>
          </w:rPr>
          <w:fldChar w:fldCharType="separate"/>
        </w:r>
        <w:r w:rsidR="00510183">
          <w:rPr>
            <w:rFonts w:asciiTheme="majorBidi" w:eastAsia="SimHei" w:hAnsiTheme="majorBidi" w:cstheme="majorBidi"/>
            <w:bCs/>
            <w:noProof/>
            <w:webHidden/>
            <w:szCs w:val="22"/>
            <w:lang w:val="ru-RU" w:eastAsia="zh-CN"/>
          </w:rPr>
          <w:t>64</w:t>
        </w:r>
        <w:r w:rsidRPr="00F90C02">
          <w:rPr>
            <w:rFonts w:asciiTheme="majorBidi" w:eastAsia="SimHei" w:hAnsiTheme="majorBidi" w:cstheme="majorBidi"/>
            <w:bCs/>
            <w:noProof/>
            <w:webHidden/>
            <w:szCs w:val="22"/>
            <w:lang w:val="ru-RU" w:eastAsia="zh-CN"/>
          </w:rPr>
          <w:fldChar w:fldCharType="end"/>
        </w:r>
      </w:hyperlink>
    </w:p>
    <w:p w:rsidR="00D41ADA" w:rsidRPr="00F90C02" w:rsidRDefault="005D1F2F" w:rsidP="00F90C02">
      <w:pPr>
        <w:tabs>
          <w:tab w:val="clear" w:pos="794"/>
          <w:tab w:val="clear" w:pos="1191"/>
          <w:tab w:val="clear" w:pos="1588"/>
          <w:tab w:val="clear" w:pos="1985"/>
          <w:tab w:val="left" w:pos="567"/>
          <w:tab w:val="left" w:leader="dot" w:pos="9120"/>
          <w:tab w:val="right" w:pos="9600"/>
        </w:tabs>
        <w:overflowPunct/>
        <w:autoSpaceDE/>
        <w:autoSpaceDN/>
        <w:adjustRightInd/>
        <w:spacing w:before="80"/>
        <w:ind w:left="567" w:right="1123" w:hanging="567"/>
        <w:jc w:val="left"/>
        <w:textAlignment w:val="auto"/>
        <w:rPr>
          <w:rFonts w:asciiTheme="majorBidi" w:eastAsia="SimHei" w:hAnsiTheme="majorBidi" w:cstheme="majorBidi"/>
          <w:bCs/>
          <w:noProof/>
          <w:szCs w:val="22"/>
          <w:lang w:val="ru-RU" w:eastAsia="zh-CN"/>
        </w:rPr>
      </w:pPr>
      <w:hyperlink w:anchor="_Toc280272524" w:history="1">
        <w:r w:rsidR="00D41ADA" w:rsidRPr="00F90C02">
          <w:rPr>
            <w:rFonts w:asciiTheme="majorBidi" w:eastAsia="SimHei" w:hAnsiTheme="majorBidi" w:cstheme="majorBidi"/>
            <w:bCs/>
            <w:noProof/>
            <w:szCs w:val="22"/>
            <w:lang w:val="ru-RU" w:eastAsia="zh-CN"/>
          </w:rPr>
          <w:t xml:space="preserve">Appendix 3.1 (English) – </w:t>
        </w:r>
        <w:r w:rsidR="00D41ADA" w:rsidRPr="00F90C02">
          <w:rPr>
            <w:rFonts w:asciiTheme="majorBidi" w:eastAsia="SimHei" w:hAnsiTheme="majorBidi" w:cstheme="majorBidi"/>
            <w:noProof/>
            <w:szCs w:val="22"/>
            <w:lang w:val="ru-RU" w:eastAsia="zh-CN"/>
          </w:rPr>
          <w:t>Example of fee system for frequency utilization in Côte d'Ivoire</w:t>
        </w:r>
        <w:r w:rsidR="00D41ADA" w:rsidRPr="00F90C02">
          <w:rPr>
            <w:rFonts w:asciiTheme="majorBidi" w:eastAsia="SimHei" w:hAnsiTheme="majorBidi" w:cstheme="majorBidi"/>
            <w:bCs/>
            <w:noProof/>
            <w:webHidden/>
            <w:szCs w:val="22"/>
            <w:lang w:val="ru-RU" w:eastAsia="zh-CN"/>
          </w:rPr>
          <w:tab/>
        </w:r>
        <w:r w:rsidR="00D41ADA" w:rsidRPr="00F90C02">
          <w:rPr>
            <w:rFonts w:asciiTheme="majorBidi" w:eastAsia="SimHei" w:hAnsiTheme="majorBidi" w:cstheme="majorBidi"/>
            <w:bCs/>
            <w:noProof/>
            <w:webHidden/>
            <w:szCs w:val="22"/>
            <w:lang w:val="ru-RU" w:eastAsia="zh-CN"/>
          </w:rPr>
          <w:tab/>
        </w:r>
        <w:r w:rsidRPr="00F90C02">
          <w:rPr>
            <w:rFonts w:asciiTheme="majorBidi" w:eastAsia="SimHei" w:hAnsiTheme="majorBidi" w:cstheme="majorBidi"/>
            <w:bCs/>
            <w:noProof/>
            <w:webHidden/>
            <w:szCs w:val="22"/>
            <w:lang w:val="ru-RU" w:eastAsia="zh-CN"/>
          </w:rPr>
          <w:fldChar w:fldCharType="begin"/>
        </w:r>
        <w:r w:rsidR="00D41ADA" w:rsidRPr="00F90C02">
          <w:rPr>
            <w:rFonts w:asciiTheme="majorBidi" w:eastAsia="SimHei" w:hAnsiTheme="majorBidi" w:cstheme="majorBidi"/>
            <w:bCs/>
            <w:noProof/>
            <w:webHidden/>
            <w:szCs w:val="22"/>
            <w:lang w:val="ru-RU" w:eastAsia="zh-CN"/>
          </w:rPr>
          <w:instrText xml:space="preserve"> PAGEREF _Toc280272524 \h </w:instrText>
        </w:r>
        <w:r w:rsidRPr="00F90C02">
          <w:rPr>
            <w:rFonts w:asciiTheme="majorBidi" w:eastAsia="SimHei" w:hAnsiTheme="majorBidi" w:cstheme="majorBidi"/>
            <w:bCs/>
            <w:noProof/>
            <w:webHidden/>
            <w:szCs w:val="22"/>
            <w:lang w:val="ru-RU" w:eastAsia="zh-CN"/>
          </w:rPr>
        </w:r>
        <w:r w:rsidRPr="00F90C02">
          <w:rPr>
            <w:rFonts w:asciiTheme="majorBidi" w:eastAsia="SimHei" w:hAnsiTheme="majorBidi" w:cstheme="majorBidi"/>
            <w:bCs/>
            <w:noProof/>
            <w:webHidden/>
            <w:szCs w:val="22"/>
            <w:lang w:val="ru-RU" w:eastAsia="zh-CN"/>
          </w:rPr>
          <w:fldChar w:fldCharType="separate"/>
        </w:r>
        <w:r w:rsidR="00510183">
          <w:rPr>
            <w:rFonts w:asciiTheme="majorBidi" w:eastAsia="SimHei" w:hAnsiTheme="majorBidi" w:cstheme="majorBidi"/>
            <w:bCs/>
            <w:noProof/>
            <w:webHidden/>
            <w:szCs w:val="22"/>
            <w:lang w:val="ru-RU" w:eastAsia="zh-CN"/>
          </w:rPr>
          <w:t>70</w:t>
        </w:r>
        <w:r w:rsidRPr="00F90C02">
          <w:rPr>
            <w:rFonts w:asciiTheme="majorBidi" w:eastAsia="SimHei" w:hAnsiTheme="majorBidi" w:cstheme="majorBidi"/>
            <w:bCs/>
            <w:noProof/>
            <w:webHidden/>
            <w:szCs w:val="22"/>
            <w:lang w:val="ru-RU" w:eastAsia="zh-CN"/>
          </w:rPr>
          <w:fldChar w:fldCharType="end"/>
        </w:r>
      </w:hyperlink>
    </w:p>
    <w:p w:rsidR="00D41ADA" w:rsidRPr="00F90C02" w:rsidRDefault="005D1F2F" w:rsidP="00F90C02">
      <w:pPr>
        <w:tabs>
          <w:tab w:val="clear" w:pos="794"/>
          <w:tab w:val="clear" w:pos="1191"/>
          <w:tab w:val="clear" w:pos="1588"/>
          <w:tab w:val="clear" w:pos="1985"/>
          <w:tab w:val="left" w:pos="567"/>
          <w:tab w:val="left" w:leader="dot" w:pos="9120"/>
          <w:tab w:val="right" w:pos="9600"/>
        </w:tabs>
        <w:overflowPunct/>
        <w:autoSpaceDE/>
        <w:autoSpaceDN/>
        <w:adjustRightInd/>
        <w:spacing w:before="80"/>
        <w:ind w:left="567" w:right="1123" w:hanging="567"/>
        <w:jc w:val="left"/>
        <w:textAlignment w:val="auto"/>
        <w:rPr>
          <w:rFonts w:asciiTheme="majorBidi" w:eastAsia="SimHei" w:hAnsiTheme="majorBidi" w:cstheme="majorBidi"/>
          <w:bCs/>
          <w:noProof/>
          <w:szCs w:val="22"/>
          <w:lang w:val="ru-RU" w:eastAsia="zh-CN"/>
        </w:rPr>
      </w:pPr>
      <w:hyperlink w:anchor="_Toc280272528" w:history="1">
        <w:r w:rsidR="00D41ADA" w:rsidRPr="00F90C02">
          <w:rPr>
            <w:rFonts w:asciiTheme="majorBidi" w:eastAsia="SimHei" w:hAnsiTheme="majorBidi" w:cstheme="majorBidi"/>
            <w:bCs/>
            <w:noProof/>
            <w:szCs w:val="22"/>
            <w:lang w:val="ru-RU" w:eastAsia="zh-CN"/>
          </w:rPr>
          <w:t>Appendice 3.1 (Français) – Exemple de système de redevances liées à l'utilisation des fréquences en Côte d'Ivoire</w:t>
        </w:r>
        <w:r w:rsidR="00D41ADA" w:rsidRPr="00F90C02">
          <w:rPr>
            <w:rFonts w:asciiTheme="majorBidi" w:eastAsia="SimHei" w:hAnsiTheme="majorBidi" w:cstheme="majorBidi"/>
            <w:bCs/>
            <w:noProof/>
            <w:webHidden/>
            <w:szCs w:val="22"/>
            <w:lang w:val="ru-RU" w:eastAsia="zh-CN"/>
          </w:rPr>
          <w:tab/>
        </w:r>
        <w:r w:rsidR="00D41ADA" w:rsidRPr="00F90C02">
          <w:rPr>
            <w:rFonts w:asciiTheme="majorBidi" w:eastAsia="SimHei" w:hAnsiTheme="majorBidi" w:cstheme="majorBidi"/>
            <w:bCs/>
            <w:noProof/>
            <w:webHidden/>
            <w:szCs w:val="22"/>
            <w:lang w:val="ru-RU" w:eastAsia="zh-CN"/>
          </w:rPr>
          <w:tab/>
        </w:r>
        <w:r w:rsidRPr="00F90C02">
          <w:rPr>
            <w:rFonts w:asciiTheme="majorBidi" w:eastAsia="SimHei" w:hAnsiTheme="majorBidi" w:cstheme="majorBidi"/>
            <w:bCs/>
            <w:noProof/>
            <w:webHidden/>
            <w:szCs w:val="22"/>
            <w:lang w:val="ru-RU" w:eastAsia="zh-CN"/>
          </w:rPr>
          <w:fldChar w:fldCharType="begin"/>
        </w:r>
        <w:r w:rsidR="00D41ADA" w:rsidRPr="00F90C02">
          <w:rPr>
            <w:rFonts w:asciiTheme="majorBidi" w:eastAsia="SimHei" w:hAnsiTheme="majorBidi" w:cstheme="majorBidi"/>
            <w:bCs/>
            <w:noProof/>
            <w:webHidden/>
            <w:szCs w:val="22"/>
            <w:lang w:val="ru-RU" w:eastAsia="zh-CN"/>
          </w:rPr>
          <w:instrText xml:space="preserve"> PAGEREF _Toc280272528 \h </w:instrText>
        </w:r>
        <w:r w:rsidRPr="00F90C02">
          <w:rPr>
            <w:rFonts w:asciiTheme="majorBidi" w:eastAsia="SimHei" w:hAnsiTheme="majorBidi" w:cstheme="majorBidi"/>
            <w:bCs/>
            <w:noProof/>
            <w:webHidden/>
            <w:szCs w:val="22"/>
            <w:lang w:val="ru-RU" w:eastAsia="zh-CN"/>
          </w:rPr>
        </w:r>
        <w:r w:rsidRPr="00F90C02">
          <w:rPr>
            <w:rFonts w:asciiTheme="majorBidi" w:eastAsia="SimHei" w:hAnsiTheme="majorBidi" w:cstheme="majorBidi"/>
            <w:bCs/>
            <w:noProof/>
            <w:webHidden/>
            <w:szCs w:val="22"/>
            <w:lang w:val="ru-RU" w:eastAsia="zh-CN"/>
          </w:rPr>
          <w:fldChar w:fldCharType="separate"/>
        </w:r>
        <w:r w:rsidR="00510183">
          <w:rPr>
            <w:rFonts w:asciiTheme="majorBidi" w:eastAsia="SimHei" w:hAnsiTheme="majorBidi" w:cstheme="majorBidi"/>
            <w:bCs/>
            <w:noProof/>
            <w:webHidden/>
            <w:szCs w:val="22"/>
            <w:lang w:val="ru-RU" w:eastAsia="zh-CN"/>
          </w:rPr>
          <w:t>72</w:t>
        </w:r>
        <w:r w:rsidRPr="00F90C02">
          <w:rPr>
            <w:rFonts w:asciiTheme="majorBidi" w:eastAsia="SimHei" w:hAnsiTheme="majorBidi" w:cstheme="majorBidi"/>
            <w:bCs/>
            <w:noProof/>
            <w:webHidden/>
            <w:szCs w:val="22"/>
            <w:lang w:val="ru-RU" w:eastAsia="zh-CN"/>
          </w:rPr>
          <w:fldChar w:fldCharType="end"/>
        </w:r>
      </w:hyperlink>
    </w:p>
    <w:p w:rsidR="00D41ADA" w:rsidRPr="00F90C02" w:rsidRDefault="005D1F2F" w:rsidP="00F90C02">
      <w:pPr>
        <w:tabs>
          <w:tab w:val="clear" w:pos="794"/>
          <w:tab w:val="clear" w:pos="1191"/>
          <w:tab w:val="clear" w:pos="1588"/>
          <w:tab w:val="clear" w:pos="1985"/>
          <w:tab w:val="left" w:pos="567"/>
          <w:tab w:val="left" w:leader="dot" w:pos="9120"/>
          <w:tab w:val="right" w:pos="9600"/>
        </w:tabs>
        <w:overflowPunct/>
        <w:autoSpaceDE/>
        <w:autoSpaceDN/>
        <w:adjustRightInd/>
        <w:spacing w:before="80"/>
        <w:ind w:left="567" w:right="1123" w:hanging="567"/>
        <w:jc w:val="left"/>
        <w:textAlignment w:val="auto"/>
        <w:rPr>
          <w:rFonts w:asciiTheme="majorBidi" w:eastAsia="SimHei" w:hAnsiTheme="majorBidi" w:cstheme="majorBidi"/>
          <w:bCs/>
          <w:noProof/>
          <w:szCs w:val="22"/>
          <w:lang w:val="ru-RU" w:eastAsia="zh-CN"/>
        </w:rPr>
      </w:pPr>
      <w:hyperlink w:anchor="_Toc280272532" w:history="1">
        <w:r w:rsidR="00D41ADA" w:rsidRPr="00F90C02">
          <w:rPr>
            <w:rFonts w:asciiTheme="majorBidi" w:eastAsia="SimHei" w:hAnsiTheme="majorBidi" w:cstheme="majorBidi"/>
            <w:bCs/>
            <w:noProof/>
            <w:szCs w:val="22"/>
            <w:lang w:val="ru-RU" w:eastAsia="zh-CN"/>
          </w:rPr>
          <w:t>Appendix 3.2</w:t>
        </w:r>
        <w:r w:rsidR="00D41ADA" w:rsidRPr="00F90C02">
          <w:rPr>
            <w:rFonts w:asciiTheme="majorBidi" w:eastAsia="SimHei" w:hAnsiTheme="majorBidi" w:cstheme="majorBidi"/>
            <w:bCs/>
            <w:noProof/>
            <w:webHidden/>
            <w:szCs w:val="22"/>
            <w:lang w:val="ru-RU" w:eastAsia="zh-CN"/>
          </w:rPr>
          <w:tab/>
        </w:r>
        <w:r w:rsidR="00D41ADA" w:rsidRPr="00F90C02">
          <w:rPr>
            <w:rFonts w:asciiTheme="majorBidi" w:eastAsia="SimHei" w:hAnsiTheme="majorBidi" w:cstheme="majorBidi"/>
            <w:bCs/>
            <w:noProof/>
            <w:webHidden/>
            <w:szCs w:val="22"/>
            <w:lang w:val="ru-RU" w:eastAsia="zh-CN"/>
          </w:rPr>
          <w:tab/>
        </w:r>
        <w:r w:rsidRPr="00F90C02">
          <w:rPr>
            <w:rFonts w:asciiTheme="majorBidi" w:eastAsia="SimHei" w:hAnsiTheme="majorBidi" w:cstheme="majorBidi"/>
            <w:bCs/>
            <w:noProof/>
            <w:webHidden/>
            <w:szCs w:val="22"/>
            <w:lang w:val="ru-RU" w:eastAsia="zh-CN"/>
          </w:rPr>
          <w:fldChar w:fldCharType="begin"/>
        </w:r>
        <w:r w:rsidR="00D41ADA" w:rsidRPr="00F90C02">
          <w:rPr>
            <w:rFonts w:asciiTheme="majorBidi" w:eastAsia="SimHei" w:hAnsiTheme="majorBidi" w:cstheme="majorBidi"/>
            <w:bCs/>
            <w:noProof/>
            <w:webHidden/>
            <w:szCs w:val="22"/>
            <w:lang w:val="ru-RU" w:eastAsia="zh-CN"/>
          </w:rPr>
          <w:instrText xml:space="preserve"> PAGEREF _Toc280272532 \h </w:instrText>
        </w:r>
        <w:r w:rsidRPr="00F90C02">
          <w:rPr>
            <w:rFonts w:asciiTheme="majorBidi" w:eastAsia="SimHei" w:hAnsiTheme="majorBidi" w:cstheme="majorBidi"/>
            <w:bCs/>
            <w:noProof/>
            <w:webHidden/>
            <w:szCs w:val="22"/>
            <w:lang w:val="ru-RU" w:eastAsia="zh-CN"/>
          </w:rPr>
        </w:r>
        <w:r w:rsidRPr="00F90C02">
          <w:rPr>
            <w:rFonts w:asciiTheme="majorBidi" w:eastAsia="SimHei" w:hAnsiTheme="majorBidi" w:cstheme="majorBidi"/>
            <w:bCs/>
            <w:noProof/>
            <w:webHidden/>
            <w:szCs w:val="22"/>
            <w:lang w:val="ru-RU" w:eastAsia="zh-CN"/>
          </w:rPr>
          <w:fldChar w:fldCharType="separate"/>
        </w:r>
        <w:r w:rsidR="00510183">
          <w:rPr>
            <w:rFonts w:asciiTheme="majorBidi" w:eastAsia="SimHei" w:hAnsiTheme="majorBidi" w:cstheme="majorBidi"/>
            <w:bCs/>
            <w:noProof/>
            <w:webHidden/>
            <w:szCs w:val="22"/>
            <w:lang w:val="ru-RU" w:eastAsia="zh-CN"/>
          </w:rPr>
          <w:t>75</w:t>
        </w:r>
        <w:r w:rsidRPr="00F90C02">
          <w:rPr>
            <w:rFonts w:asciiTheme="majorBidi" w:eastAsia="SimHei" w:hAnsiTheme="majorBidi" w:cstheme="majorBidi"/>
            <w:bCs/>
            <w:noProof/>
            <w:webHidden/>
            <w:szCs w:val="22"/>
            <w:lang w:val="ru-RU" w:eastAsia="zh-CN"/>
          </w:rPr>
          <w:fldChar w:fldCharType="end"/>
        </w:r>
      </w:hyperlink>
    </w:p>
    <w:p w:rsidR="00F86DA5" w:rsidRDefault="00F86DA5" w:rsidP="00F86DA5">
      <w:pPr>
        <w:tabs>
          <w:tab w:val="clear" w:pos="794"/>
          <w:tab w:val="clear" w:pos="1191"/>
          <w:tab w:val="clear" w:pos="1588"/>
          <w:tab w:val="clear" w:pos="1985"/>
          <w:tab w:val="left" w:pos="567"/>
          <w:tab w:val="left" w:leader="dot" w:pos="9120"/>
          <w:tab w:val="right" w:pos="9600"/>
        </w:tabs>
        <w:overflowPunct/>
        <w:autoSpaceDE/>
        <w:autoSpaceDN/>
        <w:adjustRightInd/>
        <w:spacing w:before="80"/>
        <w:ind w:left="567" w:right="1123" w:hanging="567"/>
        <w:jc w:val="left"/>
        <w:textAlignment w:val="auto"/>
        <w:rPr>
          <w:rFonts w:asciiTheme="majorBidi" w:eastAsia="SimHei" w:hAnsiTheme="majorBidi" w:cstheme="majorBidi"/>
          <w:bCs/>
          <w:noProof/>
          <w:szCs w:val="22"/>
          <w:lang w:val="ru-RU" w:eastAsia="zh-CN"/>
        </w:rPr>
      </w:pPr>
    </w:p>
    <w:p w:rsidR="008C59D1" w:rsidRDefault="008C59D1" w:rsidP="00F86DA5">
      <w:pPr>
        <w:tabs>
          <w:tab w:val="clear" w:pos="794"/>
          <w:tab w:val="clear" w:pos="1191"/>
          <w:tab w:val="clear" w:pos="1588"/>
          <w:tab w:val="clear" w:pos="1985"/>
          <w:tab w:val="left" w:pos="567"/>
          <w:tab w:val="left" w:leader="dot" w:pos="9120"/>
          <w:tab w:val="right" w:pos="9600"/>
        </w:tabs>
        <w:overflowPunct/>
        <w:autoSpaceDE/>
        <w:autoSpaceDN/>
        <w:adjustRightInd/>
        <w:spacing w:before="80"/>
        <w:ind w:left="567" w:right="1123" w:hanging="567"/>
        <w:jc w:val="left"/>
        <w:textAlignment w:val="auto"/>
        <w:rPr>
          <w:rFonts w:asciiTheme="majorBidi" w:eastAsia="SimHei" w:hAnsiTheme="majorBidi" w:cstheme="majorBidi"/>
          <w:bCs/>
          <w:noProof/>
          <w:szCs w:val="22"/>
          <w:lang w:val="ru-RU" w:eastAsia="zh-CN"/>
        </w:rPr>
      </w:pPr>
    </w:p>
    <w:p w:rsidR="008C59D1" w:rsidRDefault="008C59D1" w:rsidP="00F86DA5">
      <w:pPr>
        <w:tabs>
          <w:tab w:val="clear" w:pos="794"/>
          <w:tab w:val="clear" w:pos="1191"/>
          <w:tab w:val="clear" w:pos="1588"/>
          <w:tab w:val="clear" w:pos="1985"/>
          <w:tab w:val="left" w:pos="567"/>
          <w:tab w:val="left" w:leader="dot" w:pos="9120"/>
          <w:tab w:val="right" w:pos="9600"/>
        </w:tabs>
        <w:overflowPunct/>
        <w:autoSpaceDE/>
        <w:autoSpaceDN/>
        <w:adjustRightInd/>
        <w:spacing w:before="80"/>
        <w:ind w:left="567" w:right="1123" w:hanging="567"/>
        <w:jc w:val="left"/>
        <w:textAlignment w:val="auto"/>
        <w:rPr>
          <w:rFonts w:asciiTheme="majorBidi" w:eastAsia="SimHei" w:hAnsiTheme="majorBidi" w:cstheme="majorBidi"/>
          <w:bCs/>
          <w:noProof/>
          <w:szCs w:val="22"/>
          <w:lang w:val="ru-RU" w:eastAsia="zh-CN"/>
        </w:rPr>
      </w:pPr>
    </w:p>
    <w:p w:rsidR="008C59D1" w:rsidRDefault="008C59D1" w:rsidP="00F86DA5">
      <w:pPr>
        <w:tabs>
          <w:tab w:val="clear" w:pos="794"/>
          <w:tab w:val="clear" w:pos="1191"/>
          <w:tab w:val="clear" w:pos="1588"/>
          <w:tab w:val="clear" w:pos="1985"/>
          <w:tab w:val="left" w:pos="567"/>
          <w:tab w:val="left" w:leader="dot" w:pos="9120"/>
          <w:tab w:val="right" w:pos="9600"/>
        </w:tabs>
        <w:overflowPunct/>
        <w:autoSpaceDE/>
        <w:autoSpaceDN/>
        <w:adjustRightInd/>
        <w:spacing w:before="80"/>
        <w:ind w:left="567" w:right="1123" w:hanging="567"/>
        <w:jc w:val="left"/>
        <w:textAlignment w:val="auto"/>
        <w:rPr>
          <w:rFonts w:asciiTheme="majorBidi" w:eastAsia="SimHei" w:hAnsiTheme="majorBidi" w:cstheme="majorBidi"/>
          <w:bCs/>
          <w:noProof/>
          <w:szCs w:val="22"/>
          <w:lang w:val="ru-RU" w:eastAsia="zh-CN"/>
        </w:rPr>
      </w:pPr>
    </w:p>
    <w:p w:rsidR="008C59D1" w:rsidRDefault="008C59D1" w:rsidP="00F86DA5">
      <w:pPr>
        <w:tabs>
          <w:tab w:val="clear" w:pos="794"/>
          <w:tab w:val="clear" w:pos="1191"/>
          <w:tab w:val="clear" w:pos="1588"/>
          <w:tab w:val="clear" w:pos="1985"/>
          <w:tab w:val="left" w:pos="567"/>
          <w:tab w:val="left" w:leader="dot" w:pos="9120"/>
          <w:tab w:val="right" w:pos="9600"/>
        </w:tabs>
        <w:overflowPunct/>
        <w:autoSpaceDE/>
        <w:autoSpaceDN/>
        <w:adjustRightInd/>
        <w:spacing w:before="80"/>
        <w:ind w:left="567" w:right="1123" w:hanging="567"/>
        <w:jc w:val="left"/>
        <w:textAlignment w:val="auto"/>
        <w:rPr>
          <w:rFonts w:asciiTheme="majorBidi" w:eastAsia="SimHei" w:hAnsiTheme="majorBidi" w:cstheme="majorBidi"/>
          <w:bCs/>
          <w:noProof/>
          <w:szCs w:val="22"/>
          <w:lang w:val="ru-RU" w:eastAsia="zh-CN"/>
        </w:rPr>
      </w:pPr>
    </w:p>
    <w:p w:rsidR="008C59D1" w:rsidRDefault="008C59D1" w:rsidP="00F86DA5">
      <w:pPr>
        <w:tabs>
          <w:tab w:val="clear" w:pos="794"/>
          <w:tab w:val="clear" w:pos="1191"/>
          <w:tab w:val="clear" w:pos="1588"/>
          <w:tab w:val="clear" w:pos="1985"/>
          <w:tab w:val="left" w:pos="567"/>
          <w:tab w:val="left" w:leader="dot" w:pos="9120"/>
          <w:tab w:val="right" w:pos="9600"/>
        </w:tabs>
        <w:overflowPunct/>
        <w:autoSpaceDE/>
        <w:autoSpaceDN/>
        <w:adjustRightInd/>
        <w:spacing w:before="80"/>
        <w:ind w:left="567" w:right="1123" w:hanging="567"/>
        <w:jc w:val="left"/>
        <w:textAlignment w:val="auto"/>
        <w:rPr>
          <w:rFonts w:asciiTheme="majorBidi" w:eastAsia="SimHei" w:hAnsiTheme="majorBidi" w:cstheme="majorBidi"/>
          <w:bCs/>
          <w:noProof/>
          <w:szCs w:val="22"/>
          <w:lang w:val="ru-RU" w:eastAsia="zh-CN"/>
        </w:rPr>
      </w:pPr>
    </w:p>
    <w:p w:rsidR="008C59D1" w:rsidRDefault="008C59D1" w:rsidP="00F86DA5">
      <w:pPr>
        <w:tabs>
          <w:tab w:val="clear" w:pos="794"/>
          <w:tab w:val="clear" w:pos="1191"/>
          <w:tab w:val="clear" w:pos="1588"/>
          <w:tab w:val="clear" w:pos="1985"/>
          <w:tab w:val="left" w:pos="567"/>
          <w:tab w:val="left" w:leader="dot" w:pos="9120"/>
          <w:tab w:val="right" w:pos="9600"/>
        </w:tabs>
        <w:overflowPunct/>
        <w:autoSpaceDE/>
        <w:autoSpaceDN/>
        <w:adjustRightInd/>
        <w:spacing w:before="80"/>
        <w:ind w:left="567" w:right="1123" w:hanging="567"/>
        <w:jc w:val="left"/>
        <w:textAlignment w:val="auto"/>
        <w:rPr>
          <w:rFonts w:asciiTheme="majorBidi" w:eastAsia="SimHei" w:hAnsiTheme="majorBidi" w:cstheme="majorBidi"/>
          <w:bCs/>
          <w:noProof/>
          <w:szCs w:val="22"/>
          <w:lang w:val="ru-RU" w:eastAsia="zh-CN"/>
        </w:rPr>
      </w:pPr>
    </w:p>
    <w:p w:rsidR="008C59D1" w:rsidRDefault="008C59D1" w:rsidP="00F86DA5">
      <w:pPr>
        <w:tabs>
          <w:tab w:val="clear" w:pos="794"/>
          <w:tab w:val="clear" w:pos="1191"/>
          <w:tab w:val="clear" w:pos="1588"/>
          <w:tab w:val="clear" w:pos="1985"/>
          <w:tab w:val="left" w:pos="567"/>
          <w:tab w:val="left" w:leader="dot" w:pos="9120"/>
          <w:tab w:val="right" w:pos="9600"/>
        </w:tabs>
        <w:overflowPunct/>
        <w:autoSpaceDE/>
        <w:autoSpaceDN/>
        <w:adjustRightInd/>
        <w:spacing w:before="80"/>
        <w:ind w:left="567" w:right="1123" w:hanging="567"/>
        <w:jc w:val="left"/>
        <w:textAlignment w:val="auto"/>
        <w:rPr>
          <w:rFonts w:asciiTheme="majorBidi" w:eastAsia="SimHei" w:hAnsiTheme="majorBidi" w:cstheme="majorBidi"/>
          <w:bCs/>
          <w:noProof/>
          <w:szCs w:val="22"/>
          <w:lang w:val="ru-RU" w:eastAsia="zh-CN"/>
        </w:rPr>
      </w:pPr>
    </w:p>
    <w:p w:rsidR="008C59D1" w:rsidRDefault="008C59D1" w:rsidP="00F86DA5">
      <w:pPr>
        <w:tabs>
          <w:tab w:val="clear" w:pos="794"/>
          <w:tab w:val="clear" w:pos="1191"/>
          <w:tab w:val="clear" w:pos="1588"/>
          <w:tab w:val="clear" w:pos="1985"/>
          <w:tab w:val="left" w:pos="567"/>
          <w:tab w:val="left" w:leader="dot" w:pos="9120"/>
          <w:tab w:val="right" w:pos="9600"/>
        </w:tabs>
        <w:overflowPunct/>
        <w:autoSpaceDE/>
        <w:autoSpaceDN/>
        <w:adjustRightInd/>
        <w:spacing w:before="80"/>
        <w:ind w:left="567" w:right="1123" w:hanging="567"/>
        <w:jc w:val="left"/>
        <w:textAlignment w:val="auto"/>
        <w:rPr>
          <w:rFonts w:asciiTheme="majorBidi" w:eastAsia="SimHei" w:hAnsiTheme="majorBidi" w:cstheme="majorBidi"/>
          <w:bCs/>
          <w:noProof/>
          <w:szCs w:val="22"/>
          <w:lang w:val="ru-RU" w:eastAsia="zh-CN"/>
        </w:rPr>
      </w:pPr>
    </w:p>
    <w:p w:rsidR="00F86DA5" w:rsidRDefault="00F86DA5" w:rsidP="00F86DA5">
      <w:pPr>
        <w:tabs>
          <w:tab w:val="clear" w:pos="794"/>
          <w:tab w:val="clear" w:pos="1191"/>
          <w:tab w:val="clear" w:pos="1588"/>
          <w:tab w:val="clear" w:pos="1985"/>
          <w:tab w:val="left" w:pos="567"/>
          <w:tab w:val="left" w:leader="dot" w:pos="9120"/>
          <w:tab w:val="right" w:pos="9600"/>
        </w:tabs>
        <w:overflowPunct/>
        <w:autoSpaceDE/>
        <w:autoSpaceDN/>
        <w:adjustRightInd/>
        <w:spacing w:before="80"/>
        <w:ind w:left="567" w:right="1123" w:hanging="567"/>
        <w:jc w:val="left"/>
        <w:textAlignment w:val="auto"/>
        <w:rPr>
          <w:rFonts w:asciiTheme="majorBidi" w:eastAsia="SimHei" w:hAnsiTheme="majorBidi" w:cstheme="majorBidi"/>
          <w:bCs/>
          <w:noProof/>
          <w:szCs w:val="22"/>
          <w:lang w:val="ru-RU" w:eastAsia="zh-CN"/>
        </w:rPr>
      </w:pPr>
    </w:p>
    <w:p w:rsidR="00F86DA5" w:rsidRDefault="00F86DA5" w:rsidP="00F86DA5">
      <w:pPr>
        <w:tabs>
          <w:tab w:val="clear" w:pos="794"/>
          <w:tab w:val="clear" w:pos="1191"/>
          <w:tab w:val="clear" w:pos="1588"/>
          <w:tab w:val="clear" w:pos="1985"/>
          <w:tab w:val="left" w:pos="567"/>
          <w:tab w:val="left" w:leader="dot" w:pos="9120"/>
          <w:tab w:val="right" w:pos="9600"/>
        </w:tabs>
        <w:overflowPunct/>
        <w:autoSpaceDE/>
        <w:autoSpaceDN/>
        <w:adjustRightInd/>
        <w:spacing w:before="80"/>
        <w:ind w:left="567" w:right="1123" w:hanging="567"/>
        <w:jc w:val="left"/>
        <w:textAlignment w:val="auto"/>
        <w:rPr>
          <w:rFonts w:asciiTheme="majorBidi" w:eastAsia="SimHei" w:hAnsiTheme="majorBidi" w:cstheme="majorBidi"/>
          <w:bCs/>
          <w:noProof/>
          <w:szCs w:val="22"/>
          <w:lang w:val="ru-RU" w:eastAsia="zh-CN"/>
        </w:rPr>
      </w:pPr>
    </w:p>
    <w:p w:rsidR="00F86DA5" w:rsidRDefault="00F86DA5" w:rsidP="00F86DA5">
      <w:pPr>
        <w:tabs>
          <w:tab w:val="clear" w:pos="794"/>
          <w:tab w:val="clear" w:pos="1191"/>
          <w:tab w:val="clear" w:pos="1588"/>
          <w:tab w:val="clear" w:pos="1985"/>
          <w:tab w:val="left" w:pos="567"/>
          <w:tab w:val="left" w:leader="dot" w:pos="9120"/>
          <w:tab w:val="right" w:pos="9600"/>
        </w:tabs>
        <w:overflowPunct/>
        <w:autoSpaceDE/>
        <w:autoSpaceDN/>
        <w:adjustRightInd/>
        <w:spacing w:before="80"/>
        <w:ind w:left="567" w:right="1123" w:hanging="567"/>
        <w:jc w:val="left"/>
        <w:textAlignment w:val="auto"/>
        <w:rPr>
          <w:rFonts w:asciiTheme="majorBidi" w:eastAsia="SimHei" w:hAnsiTheme="majorBidi" w:cstheme="majorBidi"/>
          <w:bCs/>
          <w:noProof/>
          <w:szCs w:val="22"/>
          <w:lang w:val="ru-RU" w:eastAsia="zh-CN"/>
        </w:rPr>
      </w:pPr>
    </w:p>
    <w:p w:rsidR="00F86DA5" w:rsidRDefault="00F86DA5" w:rsidP="00F86DA5">
      <w:pPr>
        <w:tabs>
          <w:tab w:val="clear" w:pos="794"/>
          <w:tab w:val="clear" w:pos="1191"/>
          <w:tab w:val="clear" w:pos="1588"/>
          <w:tab w:val="clear" w:pos="1985"/>
          <w:tab w:val="left" w:pos="567"/>
          <w:tab w:val="left" w:leader="dot" w:pos="9120"/>
          <w:tab w:val="right" w:pos="9600"/>
        </w:tabs>
        <w:overflowPunct/>
        <w:autoSpaceDE/>
        <w:autoSpaceDN/>
        <w:adjustRightInd/>
        <w:spacing w:before="80"/>
        <w:ind w:left="567" w:right="1123" w:hanging="567"/>
        <w:jc w:val="left"/>
        <w:textAlignment w:val="auto"/>
        <w:rPr>
          <w:rFonts w:asciiTheme="majorBidi" w:eastAsia="SimHei" w:hAnsiTheme="majorBidi" w:cstheme="majorBidi"/>
          <w:bCs/>
          <w:noProof/>
          <w:szCs w:val="22"/>
          <w:lang w:val="ru-RU" w:eastAsia="zh-CN"/>
        </w:rPr>
      </w:pPr>
    </w:p>
    <w:p w:rsidR="00F86DA5" w:rsidRDefault="00F86DA5" w:rsidP="00F86DA5">
      <w:pPr>
        <w:tabs>
          <w:tab w:val="clear" w:pos="794"/>
          <w:tab w:val="clear" w:pos="1191"/>
          <w:tab w:val="clear" w:pos="1588"/>
          <w:tab w:val="clear" w:pos="1985"/>
          <w:tab w:val="left" w:pos="567"/>
          <w:tab w:val="left" w:leader="dot" w:pos="9120"/>
          <w:tab w:val="right" w:pos="9600"/>
        </w:tabs>
        <w:overflowPunct/>
        <w:autoSpaceDE/>
        <w:autoSpaceDN/>
        <w:adjustRightInd/>
        <w:spacing w:before="80"/>
        <w:ind w:left="567" w:right="1123" w:hanging="567"/>
        <w:jc w:val="left"/>
        <w:textAlignment w:val="auto"/>
        <w:rPr>
          <w:rFonts w:asciiTheme="majorBidi" w:eastAsia="SimHei" w:hAnsiTheme="majorBidi" w:cstheme="majorBidi"/>
          <w:bCs/>
          <w:noProof/>
          <w:szCs w:val="22"/>
          <w:lang w:val="ru-RU" w:eastAsia="zh-CN"/>
        </w:rPr>
      </w:pPr>
    </w:p>
    <w:p w:rsidR="00F86DA5" w:rsidRDefault="00F86DA5" w:rsidP="00F86DA5">
      <w:pPr>
        <w:tabs>
          <w:tab w:val="clear" w:pos="794"/>
          <w:tab w:val="clear" w:pos="1191"/>
          <w:tab w:val="clear" w:pos="1588"/>
          <w:tab w:val="clear" w:pos="1985"/>
          <w:tab w:val="left" w:pos="567"/>
          <w:tab w:val="left" w:leader="dot" w:pos="9120"/>
          <w:tab w:val="right" w:pos="9600"/>
        </w:tabs>
        <w:overflowPunct/>
        <w:autoSpaceDE/>
        <w:autoSpaceDN/>
        <w:adjustRightInd/>
        <w:spacing w:before="80"/>
        <w:ind w:left="567" w:right="1123" w:hanging="567"/>
        <w:jc w:val="left"/>
        <w:textAlignment w:val="auto"/>
        <w:rPr>
          <w:rFonts w:asciiTheme="majorBidi" w:eastAsia="SimHei" w:hAnsiTheme="majorBidi" w:cstheme="majorBidi"/>
          <w:bCs/>
          <w:noProof/>
          <w:szCs w:val="22"/>
          <w:lang w:val="ru-RU" w:eastAsia="zh-CN"/>
        </w:rPr>
      </w:pPr>
    </w:p>
    <w:p w:rsidR="00F86DA5" w:rsidRPr="00F86DA5" w:rsidRDefault="00F86DA5" w:rsidP="00F86DA5">
      <w:pPr>
        <w:tabs>
          <w:tab w:val="clear" w:pos="794"/>
          <w:tab w:val="clear" w:pos="1191"/>
          <w:tab w:val="clear" w:pos="1588"/>
          <w:tab w:val="clear" w:pos="1985"/>
          <w:tab w:val="left" w:pos="567"/>
          <w:tab w:val="left" w:leader="dot" w:pos="9120"/>
          <w:tab w:val="right" w:pos="9600"/>
        </w:tabs>
        <w:overflowPunct/>
        <w:autoSpaceDE/>
        <w:autoSpaceDN/>
        <w:adjustRightInd/>
        <w:spacing w:before="80"/>
        <w:ind w:left="567" w:right="1123" w:hanging="567"/>
        <w:jc w:val="left"/>
        <w:textAlignment w:val="auto"/>
        <w:rPr>
          <w:rFonts w:asciiTheme="majorBidi" w:eastAsia="SimHei" w:hAnsiTheme="majorBidi" w:cstheme="majorBidi"/>
          <w:bCs/>
          <w:noProof/>
          <w:szCs w:val="22"/>
          <w:lang w:val="ru-RU" w:eastAsia="zh-CN"/>
        </w:rPr>
      </w:pPr>
    </w:p>
    <w:p w:rsidR="005F2E88" w:rsidRPr="00903B2C" w:rsidRDefault="005D1F2F" w:rsidP="00F86DA5">
      <w:pPr>
        <w:pStyle w:val="TOC1"/>
        <w:tabs>
          <w:tab w:val="clear" w:pos="9214"/>
          <w:tab w:val="left" w:pos="2268"/>
          <w:tab w:val="left" w:leader="dot" w:pos="8931"/>
          <w:tab w:val="right" w:pos="9639"/>
        </w:tabs>
        <w:ind w:right="0"/>
        <w:rPr>
          <w:lang w:val="ru-RU"/>
        </w:rPr>
      </w:pPr>
      <w:r w:rsidRPr="00F86DA5">
        <w:rPr>
          <w:rFonts w:asciiTheme="majorBidi" w:eastAsia="SimHei" w:hAnsiTheme="majorBidi" w:cstheme="majorBidi"/>
          <w:bCs/>
          <w:szCs w:val="22"/>
          <w:lang w:eastAsia="zh-CN"/>
        </w:rPr>
        <w:fldChar w:fldCharType="end"/>
      </w:r>
    </w:p>
    <w:p w:rsidR="005F2E88" w:rsidRPr="00903B2C" w:rsidRDefault="005F2E88" w:rsidP="007A3E22">
      <w:pPr>
        <w:rPr>
          <w:lang w:val="ru-RU"/>
        </w:rPr>
        <w:sectPr w:rsidR="005F2E88" w:rsidRPr="00903B2C" w:rsidSect="00F86DA5">
          <w:headerReference w:type="even" r:id="rId14"/>
          <w:headerReference w:type="default" r:id="rId15"/>
          <w:footerReference w:type="default" r:id="rId16"/>
          <w:type w:val="nextColumn"/>
          <w:pgSz w:w="11907" w:h="16840" w:code="9"/>
          <w:pgMar w:top="1418" w:right="1134" w:bottom="1418" w:left="1134" w:header="720" w:footer="720" w:gutter="0"/>
          <w:paperSrc w:first="7" w:other="7"/>
          <w:pgNumType w:fmt="lowerRoman" w:start="1"/>
          <w:cols w:space="720"/>
          <w:vAlign w:val="both"/>
        </w:sectPr>
      </w:pPr>
    </w:p>
    <w:bookmarkEnd w:id="14"/>
    <w:p w:rsidR="00AA60B6" w:rsidRPr="00B15B8E" w:rsidRDefault="00AA60B6" w:rsidP="00BC495B">
      <w:pPr>
        <w:pStyle w:val="Parttitle"/>
        <w:rPr>
          <w:lang w:val="ru-RU"/>
        </w:rPr>
      </w:pPr>
      <w:r w:rsidRPr="00B15B8E">
        <w:rPr>
          <w:lang w:val="ru-RU"/>
        </w:rPr>
        <w:lastRenderedPageBreak/>
        <w:t xml:space="preserve">Руководящие принципы по созданию согласованной системы сборов </w:t>
      </w:r>
      <w:r w:rsidRPr="00B15B8E">
        <w:rPr>
          <w:lang w:val="ru-RU"/>
        </w:rPr>
        <w:br/>
        <w:t>за использование радиочастот</w:t>
      </w:r>
    </w:p>
    <w:p w:rsidR="00AA60B6" w:rsidRPr="00AA60B6" w:rsidRDefault="00AA60B6" w:rsidP="00AA60B6">
      <w:pPr>
        <w:pStyle w:val="Heading1"/>
        <w:rPr>
          <w:rFonts w:asciiTheme="majorBidi" w:hAnsiTheme="majorBidi" w:cstheme="majorBidi"/>
          <w:lang w:val="ru-RU"/>
        </w:rPr>
      </w:pPr>
      <w:bookmarkStart w:id="15" w:name="_Toc277683079"/>
      <w:bookmarkStart w:id="16" w:name="_Toc277857894"/>
      <w:r w:rsidRPr="00AA60B6">
        <w:rPr>
          <w:rFonts w:asciiTheme="majorBidi" w:hAnsiTheme="majorBidi" w:cstheme="majorBidi"/>
          <w:lang w:val="ru-RU"/>
        </w:rPr>
        <w:t>1</w:t>
      </w:r>
      <w:r w:rsidRPr="00AA60B6">
        <w:rPr>
          <w:rFonts w:asciiTheme="majorBidi" w:hAnsiTheme="majorBidi" w:cstheme="majorBidi"/>
          <w:lang w:val="ru-RU"/>
        </w:rPr>
        <w:tab/>
        <w:t>Введение</w:t>
      </w:r>
      <w:bookmarkEnd w:id="15"/>
      <w:bookmarkEnd w:id="16"/>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 xml:space="preserve">Настоящий документ подготовлен в соответствии с требованием, содержащимся в Резолюции 9 (Пересм. Доха, </w:t>
      </w:r>
      <w:smartTag w:uri="urn:schemas-microsoft-com:office:smarttags" w:element="metricconverter">
        <w:smartTagPr>
          <w:attr w:name="ProductID" w:val="2006 г"/>
        </w:smartTagPr>
        <w:r w:rsidRPr="00AA60B6">
          <w:rPr>
            <w:rFonts w:asciiTheme="majorBidi" w:hAnsiTheme="majorBidi" w:cstheme="majorBidi"/>
            <w:lang w:val="ru-RU"/>
          </w:rPr>
          <w:t>2006 г</w:t>
        </w:r>
      </w:smartTag>
      <w:r w:rsidRPr="00AA60B6">
        <w:rPr>
          <w:rFonts w:asciiTheme="majorBidi" w:hAnsiTheme="majorBidi" w:cstheme="majorBidi"/>
          <w:lang w:val="ru-RU"/>
        </w:rPr>
        <w:t xml:space="preserve">.), в пункте 2 раздела </w:t>
      </w:r>
      <w:r w:rsidRPr="00AA60B6">
        <w:rPr>
          <w:rFonts w:asciiTheme="majorBidi" w:hAnsiTheme="majorBidi" w:cstheme="majorBidi"/>
          <w:i/>
          <w:iCs/>
          <w:lang w:val="ru-RU"/>
        </w:rPr>
        <w:t>решает</w:t>
      </w:r>
      <w:r w:rsidRPr="00AA60B6">
        <w:rPr>
          <w:rFonts w:asciiTheme="majorBidi" w:hAnsiTheme="majorBidi" w:cstheme="majorBidi"/>
          <w:lang w:val="ru-RU"/>
        </w:rPr>
        <w:t xml:space="preserve"> которой предусматривается </w:t>
      </w:r>
      <w:r w:rsidRPr="00AA60B6">
        <w:rPr>
          <w:rFonts w:asciiTheme="majorBidi" w:hAnsiTheme="majorBidi" w:cstheme="majorBidi"/>
          <w:iCs/>
          <w:lang w:val="ru-RU"/>
        </w:rPr>
        <w:t>"</w:t>
      </w:r>
      <w:r w:rsidRPr="00AA60B6">
        <w:rPr>
          <w:rFonts w:asciiTheme="majorBidi" w:hAnsiTheme="majorBidi" w:cstheme="majorBidi"/>
          <w:i/>
          <w:iCs/>
          <w:lang w:val="ru-RU"/>
        </w:rPr>
        <w:t>продолжить разработку Базы данных SF и представить дополнительные руководящие принципы и исследования конкретных ситуаций, основанные на практическом опыте администраций</w:t>
      </w:r>
      <w:r w:rsidRPr="00AA60B6">
        <w:rPr>
          <w:rFonts w:asciiTheme="majorBidi" w:hAnsiTheme="majorBidi" w:cstheme="majorBidi"/>
          <w:lang w:val="ru-RU"/>
        </w:rPr>
        <w:t>".</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Следующие руководящие принципы, которые отражают практический опыт некоторых администраций, имеют целью создание последовательной системы взимания сборов, учитывающей:</w:t>
      </w:r>
    </w:p>
    <w:p w:rsidR="00AA60B6" w:rsidRPr="00AA60B6" w:rsidRDefault="00AA60B6" w:rsidP="00AA60B6">
      <w:pPr>
        <w:pStyle w:val="enumlev1"/>
        <w:rPr>
          <w:rFonts w:asciiTheme="majorBidi" w:hAnsiTheme="majorBidi" w:cstheme="majorBidi"/>
          <w:lang w:val="ru-RU"/>
        </w:rPr>
      </w:pPr>
      <w:r w:rsidRPr="00AA60B6">
        <w:rPr>
          <w:rFonts w:asciiTheme="majorBidi" w:hAnsiTheme="majorBidi" w:cstheme="majorBidi"/>
          <w:lang w:val="ru-RU"/>
        </w:rPr>
        <w:t>–</w:t>
      </w:r>
      <w:r w:rsidRPr="00AA60B6">
        <w:rPr>
          <w:rFonts w:asciiTheme="majorBidi" w:hAnsiTheme="majorBidi" w:cstheme="majorBidi"/>
          <w:lang w:val="ru-RU"/>
        </w:rPr>
        <w:tab/>
        <w:t>финансирование управления использованием спектра;</w:t>
      </w:r>
    </w:p>
    <w:p w:rsidR="00AA60B6" w:rsidRPr="00AA60B6" w:rsidRDefault="00AA60B6" w:rsidP="00AA60B6">
      <w:pPr>
        <w:pStyle w:val="enumlev1"/>
        <w:rPr>
          <w:rFonts w:asciiTheme="majorBidi" w:hAnsiTheme="majorBidi" w:cstheme="majorBidi"/>
          <w:lang w:val="ru-RU"/>
        </w:rPr>
      </w:pPr>
      <w:r w:rsidRPr="00AA60B6">
        <w:rPr>
          <w:rFonts w:asciiTheme="majorBidi" w:hAnsiTheme="majorBidi" w:cstheme="majorBidi"/>
          <w:lang w:val="ru-RU"/>
        </w:rPr>
        <w:t>–</w:t>
      </w:r>
      <w:r w:rsidRPr="00AA60B6">
        <w:rPr>
          <w:rFonts w:asciiTheme="majorBidi" w:hAnsiTheme="majorBidi" w:cstheme="majorBidi"/>
          <w:lang w:val="ru-RU"/>
        </w:rPr>
        <w:tab/>
        <w:t>бюджетные цели и цели развития государственных органов власти;</w:t>
      </w:r>
    </w:p>
    <w:p w:rsidR="00AA60B6" w:rsidRPr="00AA60B6" w:rsidRDefault="00AA60B6" w:rsidP="00AA60B6">
      <w:pPr>
        <w:pStyle w:val="enumlev1"/>
        <w:rPr>
          <w:rFonts w:asciiTheme="majorBidi" w:hAnsiTheme="majorBidi" w:cstheme="majorBidi"/>
          <w:lang w:val="ru-RU"/>
        </w:rPr>
      </w:pPr>
      <w:r w:rsidRPr="00AA60B6">
        <w:rPr>
          <w:rFonts w:asciiTheme="majorBidi" w:hAnsiTheme="majorBidi" w:cstheme="majorBidi"/>
          <w:lang w:val="ru-RU"/>
        </w:rPr>
        <w:t>–</w:t>
      </w:r>
      <w:r w:rsidRPr="00AA60B6">
        <w:rPr>
          <w:rFonts w:asciiTheme="majorBidi" w:hAnsiTheme="majorBidi" w:cstheme="majorBidi"/>
          <w:lang w:val="ru-RU"/>
        </w:rPr>
        <w:tab/>
        <w:t>цели эффективного управления использованием спектра и эффективного использования частот.</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Они являются результатом работы, проделанной до настоящего времени в течение исследовательского периода 2006–2010 годов, которая, в частности, учитывает следующие документы:</w:t>
      </w:r>
    </w:p>
    <w:p w:rsidR="00AA60B6" w:rsidRPr="00AA60B6" w:rsidRDefault="00AA60B6" w:rsidP="00AA60B6">
      <w:pPr>
        <w:pStyle w:val="enumlev1"/>
        <w:rPr>
          <w:rFonts w:asciiTheme="majorBidi" w:hAnsiTheme="majorBidi" w:cstheme="majorBidi"/>
          <w:lang w:val="ru-RU"/>
        </w:rPr>
      </w:pPr>
      <w:r w:rsidRPr="00AA60B6">
        <w:rPr>
          <w:rFonts w:asciiTheme="majorBidi" w:hAnsiTheme="majorBidi" w:cstheme="majorBidi"/>
          <w:lang w:val="ru-RU"/>
        </w:rPr>
        <w:t>–</w:t>
      </w:r>
      <w:r w:rsidRPr="00AA60B6">
        <w:rPr>
          <w:rFonts w:asciiTheme="majorBidi" w:hAnsiTheme="majorBidi" w:cstheme="majorBidi"/>
          <w:lang w:val="ru-RU"/>
        </w:rPr>
        <w:tab/>
        <w:t xml:space="preserve">Отчет МСЭ-R SM.2012-2 </w:t>
      </w:r>
      <w:r w:rsidRPr="00AA60B6">
        <w:rPr>
          <w:rFonts w:asciiTheme="majorBidi" w:hAnsiTheme="majorBidi" w:cstheme="majorBidi"/>
          <w:lang w:val="ru-RU"/>
        </w:rPr>
        <w:sym w:font="Symbol" w:char="F02D"/>
      </w:r>
      <w:r w:rsidRPr="00AA60B6">
        <w:rPr>
          <w:rFonts w:asciiTheme="majorBidi" w:hAnsiTheme="majorBidi" w:cstheme="majorBidi"/>
          <w:lang w:val="ru-RU"/>
        </w:rPr>
        <w:t xml:space="preserve"> Экономические аспекты управления использованием спектра.</w:t>
      </w:r>
    </w:p>
    <w:p w:rsidR="00AA60B6" w:rsidRPr="00AA60B6" w:rsidRDefault="00AA60B6" w:rsidP="00AA60B6">
      <w:pPr>
        <w:pStyle w:val="enumlev1"/>
        <w:rPr>
          <w:rFonts w:asciiTheme="majorBidi" w:hAnsiTheme="majorBidi" w:cstheme="majorBidi"/>
          <w:lang w:val="ru-RU"/>
        </w:rPr>
      </w:pPr>
      <w:r w:rsidRPr="00AA60B6">
        <w:rPr>
          <w:rFonts w:asciiTheme="majorBidi" w:hAnsiTheme="majorBidi" w:cstheme="majorBidi"/>
          <w:lang w:val="ru-RU"/>
        </w:rPr>
        <w:t>–</w:t>
      </w:r>
      <w:r w:rsidRPr="00AA60B6">
        <w:rPr>
          <w:rFonts w:asciiTheme="majorBidi" w:hAnsiTheme="majorBidi" w:cstheme="majorBidi"/>
          <w:lang w:val="ru-RU"/>
        </w:rPr>
        <w:tab/>
        <w:t>Projet de marché commun ouest-africain: Harmonisation des politiques régissant le marché des TIC dans l'espace UEMOA-CEDEAO (</w:t>
      </w:r>
      <w:r w:rsidRPr="00AA60B6">
        <w:rPr>
          <w:rFonts w:asciiTheme="majorBidi" w:hAnsiTheme="majorBidi" w:cstheme="majorBidi"/>
          <w:i/>
          <w:iCs/>
          <w:lang w:val="ru-RU"/>
        </w:rPr>
        <w:t>Западноафриканский экономический и валютный союз – Экономическое сообщество государств Западной Африки</w:t>
      </w:r>
      <w:r w:rsidRPr="00AA60B6">
        <w:rPr>
          <w:rFonts w:asciiTheme="majorBidi" w:hAnsiTheme="majorBidi" w:cstheme="majorBidi"/>
          <w:lang w:val="ru-RU"/>
        </w:rPr>
        <w:t>). Окончательные руководящие принципы, принятые третьей очередной Генеральной ассамблеей Ассоциации регуляторных органов электросвязи стран Западной Африки (WATRA), состоявшейся 9 сентября 2005 года.</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Также можно особо выделить следующие страны, которые утвердили эти принципы и уже приняли, полностью или частично, руководящие принципы, и которые перечислены ниже: Бразилия, Китай, Кот д'Ивуар, Объединенные Арабские Эмираты, Испания, Эстония, Финляндия, Франция, Венгрия, Лесото, Марокко, Швейцария, Танзания.</w:t>
      </w:r>
    </w:p>
    <w:p w:rsidR="00AA60B6" w:rsidRPr="00AA60B6" w:rsidRDefault="00AA60B6" w:rsidP="008347A9">
      <w:pPr>
        <w:pStyle w:val="Headingb1"/>
      </w:pPr>
      <w:bookmarkStart w:id="17" w:name="DDE_LINK2"/>
      <w:r w:rsidRPr="00AA60B6">
        <w:t>Руководящие принципы, содержащиеся в настоящем документе, относятся исключительно к неправительственному использованию спектра.</w:t>
      </w:r>
      <w:bookmarkEnd w:id="17"/>
    </w:p>
    <w:p w:rsidR="00AA60B6" w:rsidRPr="00AA60B6" w:rsidRDefault="00AA60B6" w:rsidP="00AA60B6">
      <w:pPr>
        <w:pStyle w:val="Heading1"/>
        <w:rPr>
          <w:rFonts w:asciiTheme="majorBidi" w:hAnsiTheme="majorBidi" w:cstheme="majorBidi"/>
          <w:lang w:val="ru-RU"/>
        </w:rPr>
      </w:pPr>
      <w:bookmarkStart w:id="18" w:name="_Toc277683080"/>
      <w:bookmarkStart w:id="19" w:name="_Toc277857895"/>
      <w:r w:rsidRPr="00AA60B6">
        <w:rPr>
          <w:rFonts w:asciiTheme="majorBidi" w:hAnsiTheme="majorBidi" w:cstheme="majorBidi"/>
          <w:lang w:val="ru-RU"/>
        </w:rPr>
        <w:t>2</w:t>
      </w:r>
      <w:r w:rsidRPr="00AA60B6">
        <w:rPr>
          <w:rFonts w:asciiTheme="majorBidi" w:hAnsiTheme="majorBidi" w:cstheme="majorBidi"/>
          <w:lang w:val="ru-RU"/>
        </w:rPr>
        <w:tab/>
        <w:t>Определения, характерные для данного документа</w:t>
      </w:r>
      <w:bookmarkEnd w:id="18"/>
      <w:bookmarkEnd w:id="19"/>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Для большего удобства и ясности в данном документе были использованы следующие определения. Определения терминов "выделение" и "присвоение" несколько отличаются от терминов, приведенных, соответственно, в пп. 1.17 и 1.18 Регламента радиосвязи.</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[1]</w:t>
      </w:r>
      <w:r w:rsidRPr="00AA60B6">
        <w:rPr>
          <w:rFonts w:asciiTheme="majorBidi" w:hAnsiTheme="majorBidi" w:cstheme="majorBidi"/>
          <w:lang w:val="ru-RU"/>
        </w:rPr>
        <w:tab/>
      </w:r>
      <w:r w:rsidRPr="00AA60B6">
        <w:rPr>
          <w:rFonts w:asciiTheme="majorBidi" w:hAnsiTheme="majorBidi" w:cstheme="majorBidi"/>
          <w:i/>
          <w:iCs/>
          <w:lang w:val="ru-RU"/>
        </w:rPr>
        <w:t>Присвоение</w:t>
      </w:r>
      <w:r w:rsidRPr="00AA60B6">
        <w:rPr>
          <w:rFonts w:asciiTheme="majorBidi" w:hAnsiTheme="majorBidi" w:cstheme="majorBidi"/>
          <w:lang w:val="ru-RU"/>
        </w:rPr>
        <w:t xml:space="preserve">: любое разрешение использовать ту или иную частоту в заданном местоположении и на определенных условиях. Такая частота называется </w:t>
      </w:r>
      <w:r w:rsidRPr="00AA60B6">
        <w:rPr>
          <w:rFonts w:asciiTheme="majorBidi" w:hAnsiTheme="majorBidi" w:cstheme="majorBidi"/>
          <w:i/>
          <w:iCs/>
          <w:lang w:val="ru-RU"/>
        </w:rPr>
        <w:t>присвоенной частотой</w:t>
      </w:r>
      <w:r w:rsidRPr="00AA60B6">
        <w:rPr>
          <w:rFonts w:asciiTheme="majorBidi" w:hAnsiTheme="majorBidi" w:cstheme="majorBidi"/>
          <w:lang w:val="ru-RU"/>
        </w:rPr>
        <w:t>.</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[2]</w:t>
      </w:r>
      <w:r w:rsidRPr="00AA60B6">
        <w:rPr>
          <w:rFonts w:asciiTheme="majorBidi" w:hAnsiTheme="majorBidi" w:cstheme="majorBidi"/>
          <w:lang w:val="ru-RU"/>
        </w:rPr>
        <w:tab/>
      </w:r>
      <w:r w:rsidRPr="00AA60B6">
        <w:rPr>
          <w:rFonts w:asciiTheme="majorBidi" w:hAnsiTheme="majorBidi" w:cstheme="majorBidi"/>
          <w:i/>
          <w:iCs/>
          <w:lang w:val="ru-RU"/>
        </w:rPr>
        <w:t>Поверхность распределения</w:t>
      </w:r>
      <w:r w:rsidRPr="00AA60B6">
        <w:rPr>
          <w:rFonts w:asciiTheme="majorBidi" w:hAnsiTheme="majorBidi" w:cstheme="majorBidi"/>
          <w:lang w:val="ru-RU"/>
        </w:rPr>
        <w:t xml:space="preserve"> присвоения: часть территории, в пределах которой может использоваться присвоенная частота.</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[3]</w:t>
      </w:r>
      <w:r w:rsidRPr="00AA60B6">
        <w:rPr>
          <w:rFonts w:asciiTheme="majorBidi" w:hAnsiTheme="majorBidi" w:cstheme="majorBidi"/>
          <w:lang w:val="ru-RU"/>
        </w:rPr>
        <w:tab/>
      </w:r>
      <w:r w:rsidRPr="00AA60B6">
        <w:rPr>
          <w:rFonts w:asciiTheme="majorBidi" w:hAnsiTheme="majorBidi" w:cstheme="majorBidi"/>
          <w:i/>
          <w:iCs/>
          <w:lang w:val="ru-RU"/>
        </w:rPr>
        <w:t>Выделение</w:t>
      </w:r>
      <w:r w:rsidRPr="00AA60B6">
        <w:rPr>
          <w:rFonts w:asciiTheme="majorBidi" w:hAnsiTheme="majorBidi" w:cstheme="majorBidi"/>
          <w:lang w:val="ru-RU"/>
        </w:rPr>
        <w:t xml:space="preserve">: любое разрешение использовать блок частот в пределах данного географического района. Такие частоты носят название </w:t>
      </w:r>
      <w:r w:rsidRPr="00AA60B6">
        <w:rPr>
          <w:rFonts w:asciiTheme="majorBidi" w:hAnsiTheme="majorBidi" w:cstheme="majorBidi"/>
          <w:i/>
          <w:iCs/>
          <w:lang w:val="ru-RU"/>
        </w:rPr>
        <w:t>выделенных частот</w:t>
      </w:r>
      <w:r w:rsidRPr="00AA60B6">
        <w:rPr>
          <w:rFonts w:asciiTheme="majorBidi" w:hAnsiTheme="majorBidi" w:cstheme="majorBidi"/>
          <w:lang w:val="ru-RU"/>
        </w:rPr>
        <w:t>.</w:t>
      </w:r>
    </w:p>
    <w:p w:rsidR="00AA60B6" w:rsidRPr="00AA60B6" w:rsidRDefault="00AA60B6" w:rsidP="00B15B8E">
      <w:pPr>
        <w:pStyle w:val="Heading1"/>
        <w:keepNext w:val="0"/>
        <w:keepLines w:val="0"/>
        <w:rPr>
          <w:rFonts w:asciiTheme="majorBidi" w:hAnsiTheme="majorBidi" w:cstheme="majorBidi"/>
          <w:lang w:val="ru-RU"/>
        </w:rPr>
      </w:pPr>
      <w:bookmarkStart w:id="20" w:name="_Toc222653532"/>
      <w:bookmarkStart w:id="21" w:name="_Toc277683081"/>
      <w:bookmarkStart w:id="22" w:name="_Toc277857896"/>
      <w:r w:rsidRPr="00AA60B6">
        <w:rPr>
          <w:rFonts w:asciiTheme="majorBidi" w:hAnsiTheme="majorBidi" w:cstheme="majorBidi"/>
          <w:lang w:val="ru-RU"/>
        </w:rPr>
        <w:t>3</w:t>
      </w:r>
      <w:r w:rsidRPr="00AA60B6">
        <w:rPr>
          <w:rFonts w:asciiTheme="majorBidi" w:hAnsiTheme="majorBidi" w:cstheme="majorBidi"/>
          <w:lang w:val="ru-RU"/>
        </w:rPr>
        <w:tab/>
        <w:t>Основные принципы</w:t>
      </w:r>
      <w:bookmarkEnd w:id="20"/>
      <w:bookmarkEnd w:id="21"/>
      <w:bookmarkEnd w:id="22"/>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При организации любой системы сборов следует придерживаться следующих принципов. Эти принципы лежат в основе создания руководящих принципов, изложенных в настоящем документе.</w:t>
      </w:r>
    </w:p>
    <w:p w:rsidR="00AA60B6" w:rsidRPr="00AA60B6" w:rsidRDefault="00AA60B6" w:rsidP="00AA60B6">
      <w:pPr>
        <w:pStyle w:val="Heading2"/>
        <w:rPr>
          <w:rFonts w:asciiTheme="majorBidi" w:hAnsiTheme="majorBidi" w:cstheme="majorBidi"/>
          <w:lang w:val="ru-RU"/>
        </w:rPr>
      </w:pPr>
      <w:bookmarkStart w:id="23" w:name="_Toc222653533"/>
      <w:bookmarkStart w:id="24" w:name="_Toc277683082"/>
      <w:bookmarkStart w:id="25" w:name="_Toc277857897"/>
      <w:r w:rsidRPr="00AA60B6">
        <w:rPr>
          <w:rFonts w:asciiTheme="majorBidi" w:hAnsiTheme="majorBidi" w:cstheme="majorBidi"/>
          <w:lang w:val="ru-RU"/>
        </w:rPr>
        <w:t>3.1</w:t>
      </w:r>
      <w:r w:rsidRPr="00AA60B6">
        <w:rPr>
          <w:rFonts w:asciiTheme="majorBidi" w:hAnsiTheme="majorBidi" w:cstheme="majorBidi"/>
          <w:lang w:val="ru-RU"/>
        </w:rPr>
        <w:tab/>
        <w:t>Правовые принципы</w:t>
      </w:r>
      <w:bookmarkEnd w:id="23"/>
      <w:bookmarkEnd w:id="24"/>
      <w:bookmarkEnd w:id="25"/>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[4]</w:t>
      </w:r>
      <w:r w:rsidRPr="00AA60B6">
        <w:rPr>
          <w:rFonts w:asciiTheme="majorBidi" w:hAnsiTheme="majorBidi" w:cstheme="majorBidi"/>
          <w:lang w:val="ru-RU"/>
        </w:rPr>
        <w:tab/>
        <w:t>Радиочастотный спектр является собственностью государства. Поэтому любое использование спектра, относящееся к негосударственной деятельности, рассматривается как частное использование.</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lastRenderedPageBreak/>
        <w:t>[5]</w:t>
      </w:r>
      <w:r w:rsidRPr="00AA60B6">
        <w:rPr>
          <w:rFonts w:asciiTheme="majorBidi" w:hAnsiTheme="majorBidi" w:cstheme="majorBidi"/>
          <w:lang w:val="ru-RU"/>
        </w:rPr>
        <w:tab/>
        <w:t>Принадлежность спектра к государственной собственности требует, чтобы управление его использованием осуществлялось в интересах всего населения страны.</w:t>
      </w:r>
    </w:p>
    <w:p w:rsidR="00AA60B6" w:rsidRPr="00AA60B6" w:rsidRDefault="00AA60B6" w:rsidP="00AA60B6">
      <w:pPr>
        <w:spacing w:after="90"/>
        <w:rPr>
          <w:rFonts w:asciiTheme="majorBidi" w:hAnsiTheme="majorBidi" w:cstheme="majorBidi"/>
          <w:szCs w:val="18"/>
          <w:lang w:val="ru-RU"/>
        </w:rPr>
      </w:pPr>
      <w:r w:rsidRPr="00AA60B6">
        <w:rPr>
          <w:rFonts w:asciiTheme="majorBidi" w:hAnsiTheme="majorBidi" w:cstheme="majorBidi"/>
          <w:szCs w:val="18"/>
          <w:lang w:val="ru-RU"/>
        </w:rPr>
        <w:t>[6]</w:t>
      </w:r>
      <w:r w:rsidRPr="00AA60B6">
        <w:rPr>
          <w:rFonts w:asciiTheme="majorBidi" w:hAnsiTheme="majorBidi" w:cstheme="majorBidi"/>
          <w:szCs w:val="18"/>
          <w:lang w:val="ru-RU"/>
        </w:rPr>
        <w:tab/>
        <w:t xml:space="preserve">Государство, как собственник спектра, имеет право требовать от частных пользователей уплаты </w:t>
      </w:r>
      <w:r w:rsidRPr="00AA60B6">
        <w:rPr>
          <w:rFonts w:asciiTheme="majorBidi" w:hAnsiTheme="majorBidi" w:cstheme="majorBidi"/>
          <w:i/>
          <w:szCs w:val="18"/>
          <w:u w:val="single"/>
          <w:lang w:val="ru-RU"/>
        </w:rPr>
        <w:t>сборов за использование спектра</w:t>
      </w:r>
      <w:r w:rsidRPr="00AA60B6">
        <w:rPr>
          <w:rFonts w:asciiTheme="majorBidi" w:hAnsiTheme="majorBidi" w:cstheme="majorBidi"/>
          <w:szCs w:val="18"/>
          <w:lang w:val="ru-RU"/>
        </w:rPr>
        <w:t xml:space="preserve"> (известных также как </w:t>
      </w:r>
      <w:r w:rsidRPr="00AA60B6">
        <w:rPr>
          <w:rFonts w:asciiTheme="majorBidi" w:hAnsiTheme="majorBidi" w:cstheme="majorBidi"/>
          <w:i/>
          <w:szCs w:val="18"/>
          <w:lang w:val="ru-RU"/>
        </w:rPr>
        <w:t>сборы за занятость спектра</w:t>
      </w:r>
      <w:r w:rsidRPr="00AA60B6">
        <w:rPr>
          <w:rFonts w:asciiTheme="majorBidi" w:hAnsiTheme="majorBidi" w:cstheme="majorBidi"/>
          <w:szCs w:val="18"/>
          <w:lang w:val="ru-RU"/>
        </w:rPr>
        <w:t xml:space="preserve">, </w:t>
      </w:r>
      <w:r w:rsidRPr="00AA60B6">
        <w:rPr>
          <w:rFonts w:asciiTheme="majorBidi" w:hAnsiTheme="majorBidi" w:cstheme="majorBidi"/>
          <w:i/>
          <w:szCs w:val="18"/>
          <w:lang w:val="ru-RU"/>
        </w:rPr>
        <w:t>сборы за наличие частот</w:t>
      </w:r>
      <w:r w:rsidRPr="00AA60B6">
        <w:rPr>
          <w:rFonts w:asciiTheme="majorBidi" w:hAnsiTheme="majorBidi" w:cstheme="majorBidi"/>
          <w:szCs w:val="18"/>
          <w:lang w:val="ru-RU"/>
        </w:rPr>
        <w:t xml:space="preserve"> или</w:t>
      </w:r>
      <w:r w:rsidRPr="00AA60B6">
        <w:rPr>
          <w:rFonts w:asciiTheme="majorBidi" w:hAnsiTheme="majorBidi" w:cstheme="majorBidi"/>
          <w:i/>
          <w:szCs w:val="18"/>
          <w:lang w:val="ru-RU"/>
        </w:rPr>
        <w:t xml:space="preserve"> сборы за использование спектра,</w:t>
      </w:r>
      <w:r w:rsidRPr="00AA60B6">
        <w:rPr>
          <w:rFonts w:asciiTheme="majorBidi" w:hAnsiTheme="majorBidi" w:cstheme="majorBidi"/>
          <w:szCs w:val="18"/>
          <w:lang w:val="ru-RU"/>
        </w:rPr>
        <w:t xml:space="preserve"> или просто</w:t>
      </w:r>
      <w:r w:rsidRPr="00AA60B6">
        <w:rPr>
          <w:rFonts w:asciiTheme="majorBidi" w:hAnsiTheme="majorBidi" w:cstheme="majorBidi"/>
          <w:i/>
          <w:szCs w:val="18"/>
          <w:lang w:val="ru-RU"/>
        </w:rPr>
        <w:t xml:space="preserve"> сборы</w:t>
      </w:r>
      <w:r w:rsidRPr="00AA60B6">
        <w:rPr>
          <w:rFonts w:asciiTheme="majorBidi" w:hAnsiTheme="majorBidi" w:cstheme="majorBidi"/>
          <w:iCs/>
          <w:szCs w:val="18"/>
          <w:lang w:val="ru-RU"/>
        </w:rPr>
        <w:t>,</w:t>
      </w:r>
      <w:r w:rsidRPr="00AA60B6">
        <w:rPr>
          <w:rFonts w:asciiTheme="majorBidi" w:hAnsiTheme="majorBidi" w:cstheme="majorBidi"/>
          <w:i/>
          <w:szCs w:val="18"/>
          <w:lang w:val="ru-RU"/>
        </w:rPr>
        <w:t xml:space="preserve"> </w:t>
      </w:r>
      <w:r w:rsidRPr="00AA60B6">
        <w:rPr>
          <w:rFonts w:asciiTheme="majorBidi" w:hAnsiTheme="majorBidi" w:cstheme="majorBidi"/>
          <w:iCs/>
          <w:szCs w:val="18"/>
          <w:lang w:val="ru-RU"/>
        </w:rPr>
        <w:t>при этом отсутствует неоднозначность толкования).</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[7]</w:t>
      </w:r>
      <w:r w:rsidRPr="00AA60B6">
        <w:rPr>
          <w:rFonts w:asciiTheme="majorBidi" w:hAnsiTheme="majorBidi" w:cstheme="majorBidi"/>
          <w:lang w:val="ru-RU"/>
        </w:rPr>
        <w:tab/>
        <w:t>Планирование, управление использованием и контроль использования спектра осуществляются государством или структурами, которым государство делегировало свои функции. Эта деятельность наряду с соответствующим оборудованием и инвестициями имеют большое значение для обеспечения удовлетворительного использования спектра.</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[8]</w:t>
      </w:r>
      <w:r w:rsidRPr="00AA60B6">
        <w:rPr>
          <w:rFonts w:asciiTheme="majorBidi" w:hAnsiTheme="majorBidi" w:cstheme="majorBidi"/>
          <w:lang w:val="ru-RU"/>
        </w:rPr>
        <w:tab/>
        <w:t xml:space="preserve">Поэтому органы власти вправе к тому же требовать от частных пользователей спектра уплаты </w:t>
      </w:r>
      <w:r w:rsidRPr="00AA60B6">
        <w:rPr>
          <w:rFonts w:asciiTheme="majorBidi" w:hAnsiTheme="majorBidi" w:cstheme="majorBidi"/>
          <w:i/>
          <w:u w:val="single"/>
          <w:lang w:val="ru-RU"/>
        </w:rPr>
        <w:t>административных сборов</w:t>
      </w:r>
      <w:r w:rsidRPr="00AA60B6">
        <w:rPr>
          <w:rFonts w:asciiTheme="majorBidi" w:hAnsiTheme="majorBidi" w:cstheme="majorBidi"/>
          <w:lang w:val="ru-RU"/>
        </w:rPr>
        <w:t xml:space="preserve"> (известных также как </w:t>
      </w:r>
      <w:r w:rsidRPr="00AA60B6">
        <w:rPr>
          <w:rFonts w:asciiTheme="majorBidi" w:hAnsiTheme="majorBidi" w:cstheme="majorBidi"/>
          <w:i/>
          <w:lang w:val="ru-RU"/>
        </w:rPr>
        <w:t xml:space="preserve">сборы за управление использованием частот </w:t>
      </w:r>
      <w:r w:rsidRPr="00AA60B6">
        <w:rPr>
          <w:rFonts w:asciiTheme="majorBidi" w:hAnsiTheme="majorBidi" w:cstheme="majorBidi"/>
          <w:lang w:val="ru-RU"/>
        </w:rPr>
        <w:t xml:space="preserve">или </w:t>
      </w:r>
      <w:r w:rsidRPr="00AA60B6">
        <w:rPr>
          <w:rFonts w:asciiTheme="majorBidi" w:hAnsiTheme="majorBidi" w:cstheme="majorBidi"/>
          <w:i/>
          <w:lang w:val="ru-RU"/>
        </w:rPr>
        <w:t>сборы за обслуживание</w:t>
      </w:r>
      <w:r w:rsidRPr="00AA60B6">
        <w:rPr>
          <w:rFonts w:asciiTheme="majorBidi" w:hAnsiTheme="majorBidi" w:cstheme="majorBidi"/>
          <w:lang w:val="ru-RU"/>
        </w:rPr>
        <w:t>) для покрытия всех затрат, связанных с планированием, управлением использованием и контролем за использованием спектра.</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[9]</w:t>
      </w:r>
      <w:r w:rsidRPr="00AA60B6">
        <w:rPr>
          <w:rFonts w:asciiTheme="majorBidi" w:hAnsiTheme="majorBidi" w:cstheme="majorBidi"/>
          <w:lang w:val="ru-RU"/>
        </w:rPr>
        <w:tab/>
        <w:t>Установление сборов за использование спектра и административных сборов должно осуществляться при должном обеспечении прозрачности, объективности, пропорциональности и недискриминации. Что касается прозрачности, то особенно важно, чтобы правила, регулирующие определение сборов, были простыми и хорошо понятными для соответствующих сторон.</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[10]</w:t>
      </w:r>
      <w:r w:rsidRPr="00AA60B6">
        <w:rPr>
          <w:rFonts w:asciiTheme="majorBidi" w:hAnsiTheme="majorBidi" w:cstheme="majorBidi"/>
          <w:lang w:val="ru-RU"/>
        </w:rPr>
        <w:tab/>
        <w:t>Правила, регулирующие установление сборов, должны быть относительно стабильными во времени, с тем чтобы обеспечить пользователям спектра необходимую наглядность и правовую защиту.</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[11]</w:t>
      </w:r>
      <w:r w:rsidRPr="00AA60B6">
        <w:rPr>
          <w:rFonts w:asciiTheme="majorBidi" w:hAnsiTheme="majorBidi" w:cstheme="majorBidi"/>
          <w:lang w:val="ru-RU"/>
        </w:rPr>
        <w:tab/>
        <w:t>Что касается уплачиваемых со сборов, то пользователи присвоенных или выделенных частот пользуются защитой, предусмотренной соответствующими действующими положениями. Напротив, пользователи свободно доступных частот (например, для устройств с небольшими радиусом действия и мощностью, WiFi, Bluetooth, любительского радио и моделей с радиоконтролем) не защищены и поэтому не должны уплачивать сборы. Принцип реальности так же, как и правовой принцип требует, чтобы сборы за свободный доступ к частотам не взимались (см. п. [17], ниже).</w:t>
      </w:r>
    </w:p>
    <w:p w:rsidR="00AA60B6" w:rsidRPr="00AA60B6" w:rsidRDefault="00AA60B6" w:rsidP="00AA60B6">
      <w:pPr>
        <w:pStyle w:val="Heading2"/>
        <w:rPr>
          <w:rFonts w:asciiTheme="majorBidi" w:hAnsiTheme="majorBidi" w:cstheme="majorBidi"/>
          <w:lang w:val="ru-RU"/>
        </w:rPr>
      </w:pPr>
      <w:bookmarkStart w:id="26" w:name="_Toc222653534"/>
      <w:bookmarkStart w:id="27" w:name="_Toc277683083"/>
      <w:bookmarkStart w:id="28" w:name="_Toc277857898"/>
      <w:r w:rsidRPr="00AA60B6">
        <w:rPr>
          <w:rFonts w:asciiTheme="majorBidi" w:hAnsiTheme="majorBidi" w:cstheme="majorBidi"/>
          <w:lang w:val="ru-RU"/>
        </w:rPr>
        <w:t>3.2</w:t>
      </w:r>
      <w:r w:rsidRPr="00AA60B6">
        <w:rPr>
          <w:rFonts w:asciiTheme="majorBidi" w:hAnsiTheme="majorBidi" w:cstheme="majorBidi"/>
          <w:lang w:val="ru-RU"/>
        </w:rPr>
        <w:tab/>
        <w:t>Экономические принципы</w:t>
      </w:r>
      <w:bookmarkEnd w:id="26"/>
      <w:bookmarkEnd w:id="27"/>
      <w:bookmarkEnd w:id="28"/>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[12]</w:t>
      </w:r>
      <w:r w:rsidRPr="00AA60B6">
        <w:rPr>
          <w:rFonts w:asciiTheme="majorBidi" w:hAnsiTheme="majorBidi" w:cstheme="majorBidi"/>
          <w:lang w:val="ru-RU"/>
        </w:rPr>
        <w:tab/>
        <w:t>Частотный спектр является ограниченным, а в некоторых случаях дефицитным ресурсом. Основная задача управляющего заключается в обеспечении, как оптимальной занятости спектра, так и эффективного использования частот.</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[13]</w:t>
      </w:r>
      <w:r w:rsidRPr="00AA60B6">
        <w:rPr>
          <w:rFonts w:asciiTheme="majorBidi" w:hAnsiTheme="majorBidi" w:cstheme="majorBidi"/>
          <w:lang w:val="ru-RU"/>
        </w:rPr>
        <w:tab/>
        <w:t xml:space="preserve">Основания для установления сборов за использование спектра и административных тарифов и цели, которые они преследуют, являются различными. Поэтому это различие должно быть отражено в </w:t>
      </w:r>
      <w:r w:rsidRPr="00AA60B6">
        <w:rPr>
          <w:rFonts w:asciiTheme="majorBidi" w:hAnsiTheme="majorBidi" w:cstheme="majorBidi"/>
          <w:u w:val="single"/>
          <w:lang w:val="ru-RU"/>
        </w:rPr>
        <w:t xml:space="preserve">двух принципиально отличных подходах к установлению сборов: с одной стороны, административных сборов, и с другой </w:t>
      </w:r>
      <w:r w:rsidRPr="00AA60B6">
        <w:rPr>
          <w:rFonts w:asciiTheme="majorBidi" w:hAnsiTheme="majorBidi" w:cstheme="majorBidi"/>
          <w:u w:val="single"/>
          <w:lang w:val="ru-RU"/>
        </w:rPr>
        <w:sym w:font="Symbol" w:char="F02D"/>
      </w:r>
      <w:r w:rsidRPr="00AA60B6">
        <w:rPr>
          <w:rFonts w:asciiTheme="majorBidi" w:hAnsiTheme="majorBidi" w:cstheme="majorBidi"/>
          <w:u w:val="single"/>
          <w:lang w:val="ru-RU"/>
        </w:rPr>
        <w:t xml:space="preserve"> сборов за использованием спектра</w:t>
      </w:r>
      <w:r w:rsidRPr="00AA60B6">
        <w:rPr>
          <w:rFonts w:asciiTheme="majorBidi" w:hAnsiTheme="majorBidi" w:cstheme="majorBidi"/>
          <w:lang w:val="ru-RU"/>
        </w:rPr>
        <w:t>.</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[14]</w:t>
      </w:r>
      <w:r w:rsidRPr="00AA60B6">
        <w:rPr>
          <w:rFonts w:asciiTheme="majorBidi" w:hAnsiTheme="majorBidi" w:cstheme="majorBidi"/>
          <w:lang w:val="ru-RU"/>
        </w:rPr>
        <w:tab/>
        <w:t>Единственной целью административных сборов должна быть оплата услуги, оказанной органами власти.</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[15]</w:t>
      </w:r>
      <w:r w:rsidRPr="00AA60B6">
        <w:rPr>
          <w:rFonts w:asciiTheme="majorBidi" w:hAnsiTheme="majorBidi" w:cstheme="majorBidi"/>
          <w:lang w:val="ru-RU"/>
        </w:rPr>
        <w:tab/>
        <w:t>Цели сборов за использование спектра, напротив, являются многочисленными (см. пп. [4] и [5]), поскольку они должны:</w:t>
      </w:r>
    </w:p>
    <w:p w:rsidR="00AA60B6" w:rsidRPr="00AA60B6" w:rsidRDefault="00AA60B6" w:rsidP="00B15B8E">
      <w:pPr>
        <w:pStyle w:val="enumlev2"/>
        <w:tabs>
          <w:tab w:val="clear" w:pos="794"/>
          <w:tab w:val="clear" w:pos="1191"/>
          <w:tab w:val="clear" w:pos="1588"/>
          <w:tab w:val="left" w:pos="1560"/>
        </w:tabs>
        <w:ind w:left="1560" w:hanging="766"/>
        <w:rPr>
          <w:lang w:val="ru-RU"/>
        </w:rPr>
      </w:pPr>
      <w:r w:rsidRPr="00AA60B6">
        <w:rPr>
          <w:lang w:val="ru-RU"/>
        </w:rPr>
        <w:t>[15.1]</w:t>
      </w:r>
      <w:r w:rsidRPr="00AA60B6">
        <w:rPr>
          <w:lang w:val="ru-RU"/>
        </w:rPr>
        <w:tab/>
        <w:t>обеспечить достижение бюджетной цели, установленной органами власти;</w:t>
      </w:r>
    </w:p>
    <w:p w:rsidR="00AA60B6" w:rsidRPr="00AA60B6" w:rsidRDefault="00AA60B6" w:rsidP="00B15B8E">
      <w:pPr>
        <w:pStyle w:val="enumlev2"/>
        <w:tabs>
          <w:tab w:val="clear" w:pos="794"/>
          <w:tab w:val="clear" w:pos="1191"/>
          <w:tab w:val="clear" w:pos="1588"/>
          <w:tab w:val="left" w:pos="1560"/>
        </w:tabs>
        <w:ind w:left="1560" w:hanging="766"/>
        <w:rPr>
          <w:lang w:val="ru-RU"/>
        </w:rPr>
      </w:pPr>
      <w:r w:rsidRPr="00AA60B6">
        <w:rPr>
          <w:lang w:val="ru-RU"/>
        </w:rPr>
        <w:t>[15.2]</w:t>
      </w:r>
      <w:r w:rsidRPr="00AA60B6">
        <w:rPr>
          <w:lang w:val="ru-RU"/>
        </w:rPr>
        <w:tab/>
        <w:t>не вступать в противоречие с экономическими целями органов власти в отношении национального развития и развертывания новых услуг;</w:t>
      </w:r>
    </w:p>
    <w:p w:rsidR="00AA60B6" w:rsidRPr="00AA60B6" w:rsidRDefault="00AA60B6" w:rsidP="00B15B8E">
      <w:pPr>
        <w:pStyle w:val="enumlev2"/>
        <w:tabs>
          <w:tab w:val="clear" w:pos="794"/>
          <w:tab w:val="clear" w:pos="1191"/>
          <w:tab w:val="clear" w:pos="1588"/>
          <w:tab w:val="left" w:pos="1560"/>
        </w:tabs>
        <w:ind w:left="1560" w:hanging="766"/>
        <w:rPr>
          <w:lang w:val="ru-RU"/>
        </w:rPr>
      </w:pPr>
      <w:r w:rsidRPr="00AA60B6">
        <w:rPr>
          <w:lang w:val="ru-RU"/>
        </w:rPr>
        <w:t>[15.3]</w:t>
      </w:r>
      <w:r w:rsidRPr="00AA60B6">
        <w:rPr>
          <w:lang w:val="ru-RU"/>
        </w:rPr>
        <w:tab/>
        <w:t>учитывать все выгоды, которые пользователи извлекают из спектра;</w:t>
      </w:r>
    </w:p>
    <w:p w:rsidR="00AA60B6" w:rsidRPr="00AA60B6" w:rsidRDefault="00AA60B6" w:rsidP="00B15B8E">
      <w:pPr>
        <w:pStyle w:val="enumlev2"/>
        <w:tabs>
          <w:tab w:val="clear" w:pos="794"/>
          <w:tab w:val="clear" w:pos="1191"/>
          <w:tab w:val="clear" w:pos="1588"/>
          <w:tab w:val="left" w:pos="1560"/>
        </w:tabs>
        <w:ind w:left="1560" w:hanging="766"/>
        <w:rPr>
          <w:lang w:val="ru-RU"/>
        </w:rPr>
      </w:pPr>
      <w:r w:rsidRPr="00AA60B6">
        <w:rPr>
          <w:lang w:val="ru-RU"/>
        </w:rPr>
        <w:t>[15.4]</w:t>
      </w:r>
      <w:r w:rsidRPr="00AA60B6">
        <w:rPr>
          <w:lang w:val="ru-RU"/>
        </w:rPr>
        <w:tab/>
        <w:t>создавать инструмент для управления использованием спектра.</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[16]</w:t>
      </w:r>
      <w:r w:rsidRPr="00AA60B6">
        <w:rPr>
          <w:rFonts w:asciiTheme="majorBidi" w:hAnsiTheme="majorBidi" w:cstheme="majorBidi"/>
          <w:lang w:val="ru-RU"/>
        </w:rPr>
        <w:tab/>
        <w:t>Сборы образуют финансовые ресурсы для государства и управляющего использованием спектра. Уровень, на котором они установлены, должен постоянно учитывать инфляцию и изменение состояния бюджета управляющего использованием спектра.</w:t>
      </w:r>
    </w:p>
    <w:p w:rsidR="00AA60B6" w:rsidRPr="00AA60B6" w:rsidRDefault="00AA60B6" w:rsidP="00AA60B6">
      <w:pPr>
        <w:pStyle w:val="Heading2"/>
        <w:rPr>
          <w:rFonts w:asciiTheme="majorBidi" w:hAnsiTheme="majorBidi" w:cstheme="majorBidi"/>
          <w:lang w:val="ru-RU"/>
        </w:rPr>
      </w:pPr>
      <w:bookmarkStart w:id="29" w:name="_Toc222653535"/>
      <w:bookmarkStart w:id="30" w:name="_Toc277683084"/>
      <w:bookmarkStart w:id="31" w:name="_Toc277857899"/>
      <w:r w:rsidRPr="00AA60B6">
        <w:rPr>
          <w:rFonts w:asciiTheme="majorBidi" w:hAnsiTheme="majorBidi" w:cstheme="majorBidi"/>
          <w:lang w:val="ru-RU"/>
        </w:rPr>
        <w:lastRenderedPageBreak/>
        <w:t>3.3</w:t>
      </w:r>
      <w:r w:rsidRPr="00AA60B6">
        <w:rPr>
          <w:rFonts w:asciiTheme="majorBidi" w:hAnsiTheme="majorBidi" w:cstheme="majorBidi"/>
          <w:lang w:val="ru-RU"/>
        </w:rPr>
        <w:tab/>
        <w:t>Принципы реальности</w:t>
      </w:r>
      <w:bookmarkEnd w:id="29"/>
      <w:bookmarkEnd w:id="30"/>
      <w:bookmarkEnd w:id="31"/>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[17]</w:t>
      </w:r>
      <w:r w:rsidRPr="00AA60B6">
        <w:rPr>
          <w:rFonts w:asciiTheme="majorBidi" w:hAnsiTheme="majorBidi" w:cstheme="majorBidi"/>
          <w:lang w:val="ru-RU"/>
        </w:rPr>
        <w:tab/>
        <w:t>Не следует вводить сборы в случаях, когда трудно определить тех, кто их должен уплачивать в отдельности (например, пользователи частот свободного доступа), поскольку их взимание было бы сомнительным и вероятнее всего ограниченным по своей полноте (см. п. [11]).</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[18]</w:t>
      </w:r>
      <w:r w:rsidRPr="00AA60B6">
        <w:rPr>
          <w:rFonts w:asciiTheme="majorBidi" w:hAnsiTheme="majorBidi" w:cstheme="majorBidi"/>
          <w:lang w:val="ru-RU"/>
        </w:rPr>
        <w:tab/>
        <w:t>При выборе параметров для использования в качестве основы для расчета величины сборов, следует избегать тех из них, в отношении которых трудно или практически невозможно проверить значения, заявленные соответствующими пользователями (например, высота антенны станции или количество мобильных станций в частной сети). Это позволит избежать неточных заявлений, имеющих целью занизить размер суммы, подлежащей уплате.</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[19]</w:t>
      </w:r>
      <w:r w:rsidRPr="00AA60B6">
        <w:rPr>
          <w:rFonts w:asciiTheme="majorBidi" w:hAnsiTheme="majorBidi" w:cstheme="majorBidi"/>
          <w:lang w:val="ru-RU"/>
        </w:rPr>
        <w:tab/>
        <w:t>Создание системы сборов должно основываться на консенсусе между всеми участниками, так как это способствовало бы обеспечению разумного коэффициента реализации оплаты.</w:t>
      </w:r>
    </w:p>
    <w:p w:rsidR="00AA60B6" w:rsidRPr="00AA60B6" w:rsidRDefault="00AA60B6" w:rsidP="00AA60B6">
      <w:pPr>
        <w:pStyle w:val="Heading1"/>
        <w:rPr>
          <w:rFonts w:asciiTheme="majorBidi" w:hAnsiTheme="majorBidi" w:cstheme="majorBidi"/>
          <w:lang w:val="ru-RU"/>
        </w:rPr>
      </w:pPr>
      <w:bookmarkStart w:id="32" w:name="_Toc277683085"/>
      <w:bookmarkStart w:id="33" w:name="_Toc277857900"/>
      <w:r w:rsidRPr="00AA60B6">
        <w:rPr>
          <w:rFonts w:asciiTheme="majorBidi" w:hAnsiTheme="majorBidi" w:cstheme="majorBidi"/>
          <w:lang w:val="ru-RU"/>
        </w:rPr>
        <w:t>4</w:t>
      </w:r>
      <w:r w:rsidRPr="00AA60B6">
        <w:rPr>
          <w:rFonts w:asciiTheme="majorBidi" w:hAnsiTheme="majorBidi" w:cstheme="majorBidi"/>
          <w:lang w:val="ru-RU"/>
        </w:rPr>
        <w:tab/>
        <w:t>Руководящие принципы по установлению административных сборов (или административных платежей)</w:t>
      </w:r>
      <w:bookmarkEnd w:id="32"/>
      <w:bookmarkEnd w:id="33"/>
    </w:p>
    <w:p w:rsidR="00AA60B6" w:rsidRPr="00AA60B6" w:rsidRDefault="00AA60B6" w:rsidP="00AA60B6">
      <w:pPr>
        <w:pStyle w:val="Heading2"/>
        <w:rPr>
          <w:rFonts w:asciiTheme="majorBidi" w:hAnsiTheme="majorBidi" w:cstheme="majorBidi"/>
          <w:lang w:val="ru-RU"/>
        </w:rPr>
      </w:pPr>
      <w:bookmarkStart w:id="34" w:name="_Toc277683086"/>
      <w:bookmarkStart w:id="35" w:name="_Toc277857901"/>
      <w:r w:rsidRPr="00AA60B6">
        <w:rPr>
          <w:rFonts w:asciiTheme="majorBidi" w:hAnsiTheme="majorBidi" w:cstheme="majorBidi"/>
          <w:lang w:val="ru-RU"/>
        </w:rPr>
        <w:t>4.1</w:t>
      </w:r>
      <w:r w:rsidRPr="00AA60B6">
        <w:rPr>
          <w:rFonts w:asciiTheme="majorBidi" w:hAnsiTheme="majorBidi" w:cstheme="majorBidi"/>
          <w:lang w:val="ru-RU"/>
        </w:rPr>
        <w:tab/>
        <w:t>Замечания и общие положения</w:t>
      </w:r>
      <w:bookmarkEnd w:id="34"/>
      <w:bookmarkEnd w:id="35"/>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[20]</w:t>
      </w:r>
      <w:r w:rsidRPr="00AA60B6">
        <w:rPr>
          <w:rFonts w:asciiTheme="majorBidi" w:hAnsiTheme="majorBidi" w:cstheme="majorBidi"/>
          <w:lang w:val="ru-RU"/>
        </w:rPr>
        <w:tab/>
        <w:t>Административные сборы предназначены для покрытия всех затрат:</w:t>
      </w:r>
    </w:p>
    <w:p w:rsidR="00AA60B6" w:rsidRPr="00AA60B6" w:rsidRDefault="00AA60B6" w:rsidP="00AA60B6">
      <w:pPr>
        <w:pStyle w:val="enumlev1"/>
        <w:rPr>
          <w:rFonts w:asciiTheme="majorBidi" w:hAnsiTheme="majorBidi" w:cstheme="majorBidi"/>
          <w:lang w:val="ru-RU"/>
        </w:rPr>
      </w:pPr>
      <w:r w:rsidRPr="00AA60B6">
        <w:rPr>
          <w:rFonts w:asciiTheme="majorBidi" w:hAnsiTheme="majorBidi" w:cstheme="majorBidi"/>
          <w:lang w:val="ru-RU"/>
        </w:rPr>
        <w:t>–</w:t>
      </w:r>
      <w:r w:rsidRPr="00AA60B6">
        <w:rPr>
          <w:rFonts w:asciiTheme="majorBidi" w:hAnsiTheme="majorBidi" w:cstheme="majorBidi"/>
          <w:lang w:val="ru-RU"/>
        </w:rPr>
        <w:tab/>
        <w:t>на деятельность, связанную с планированием, управлением использованием и контролем использования спектра;</w:t>
      </w:r>
    </w:p>
    <w:p w:rsidR="00AA60B6" w:rsidRPr="00AA60B6" w:rsidRDefault="00AA60B6" w:rsidP="00AA60B6">
      <w:pPr>
        <w:pStyle w:val="enumlev1"/>
        <w:rPr>
          <w:rFonts w:asciiTheme="majorBidi" w:hAnsiTheme="majorBidi" w:cstheme="majorBidi"/>
          <w:lang w:val="ru-RU"/>
        </w:rPr>
      </w:pPr>
      <w:r w:rsidRPr="00AA60B6">
        <w:rPr>
          <w:rFonts w:asciiTheme="majorBidi" w:hAnsiTheme="majorBidi" w:cstheme="majorBidi"/>
          <w:lang w:val="ru-RU"/>
        </w:rPr>
        <w:t>–</w:t>
      </w:r>
      <w:r w:rsidRPr="00AA60B6">
        <w:rPr>
          <w:rFonts w:asciiTheme="majorBidi" w:hAnsiTheme="majorBidi" w:cstheme="majorBidi"/>
          <w:lang w:val="ru-RU"/>
        </w:rPr>
        <w:tab/>
        <w:t>на деятельность в отношении спектра, осуществленную органами власти и делегированную другим структурам;</w:t>
      </w:r>
    </w:p>
    <w:p w:rsidR="00AA60B6" w:rsidRPr="00AA60B6" w:rsidRDefault="00AA60B6" w:rsidP="00AA60B6">
      <w:pPr>
        <w:pStyle w:val="enumlev1"/>
        <w:rPr>
          <w:rFonts w:asciiTheme="majorBidi" w:hAnsiTheme="majorBidi" w:cstheme="majorBidi"/>
          <w:lang w:val="ru-RU"/>
        </w:rPr>
      </w:pPr>
      <w:r w:rsidRPr="00AA60B6">
        <w:rPr>
          <w:rFonts w:asciiTheme="majorBidi" w:hAnsiTheme="majorBidi" w:cstheme="majorBidi"/>
          <w:lang w:val="ru-RU"/>
        </w:rPr>
        <w:t>–</w:t>
      </w:r>
      <w:r w:rsidRPr="00AA60B6">
        <w:rPr>
          <w:rFonts w:asciiTheme="majorBidi" w:hAnsiTheme="majorBidi" w:cstheme="majorBidi"/>
          <w:lang w:val="ru-RU"/>
        </w:rPr>
        <w:tab/>
        <w:t>вытекающих из занятости спектра исключительно для частного пользования.</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Такие затраты далее будут упоминаться как "административные затраты".</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Функция управления включает деятельность, связанную с выдачей лицензий и разрешений за использование спектра и с установлением и взиманием соответствующих сборов.</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Административные затраты складываются из расходов по персоналу, эксплуатационных затрат и затрат (амортизации) зданий и оборудования, относящихся к вышеупомянутой деятельности.</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В порядке примера, следующие организации могут посвятить более или менее значительную часть своей работы вопросам, связанным со спектром, и поэтому они должны учитываться при определении административных затрат: управляющий(е) использованием спектра; регулятор рынка электросвязи; орган, ответственный за радио и телевидение; министерство(а), отвечающее(ие) за радио, телевидение и электросвязь; министерство иностранных дел.</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 xml:space="preserve">Уровни сборов обычно устанавливаются на период в один год. В тех случаях, когда период использования частот составляет менее одного года, соответствующие суммы определяются </w:t>
      </w:r>
      <w:r w:rsidRPr="00AA60B6">
        <w:rPr>
          <w:rFonts w:asciiTheme="majorBidi" w:hAnsiTheme="majorBidi" w:cstheme="majorBidi"/>
          <w:i/>
          <w:lang w:val="ru-RU"/>
        </w:rPr>
        <w:t>пропорционально времени</w:t>
      </w:r>
      <w:r w:rsidRPr="00AA60B6">
        <w:rPr>
          <w:rFonts w:asciiTheme="majorBidi" w:hAnsiTheme="majorBidi" w:cstheme="majorBidi"/>
          <w:lang w:val="ru-RU"/>
        </w:rPr>
        <w:t xml:space="preserve"> использования этих частот. Если эти суммы оказываются меньше минимального коэффициента реализации оплаты, то применяется последняя (минимальный коэффициент реализации оплаты – это такая пороговая величина, ниже которой затраты, связанные с получением сборов, оказываются выше, чем суммы самих сборов).</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Общая величина ежегодных взимаемых сборов должна по возможности максимально соответствовать общей величине ежегодных административных затрат (см. пп. [14] и [20]). Поэтому ежегодные административные затраты должны оцениваться с целью их распределения между всеми пользователями присвоенных или выделенных частот.</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Административные затраты могут быть определены с относительной точностью путем использования подходящего механизма расчета издержек.</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В конце каждого календарного или финансового года, а также в случае незначительного расхождения между суммой сборов, подлежащих уплате, и суммой фактически учтенных административных затрат, рекомендуется произвести корректировку, для того чтобы устранить это расхождение (см. пп. [14] и [20]).</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 xml:space="preserve">Для того чтобы распределить сумму административных затрат между теми, кому надлежит уплачивать административный сбор, рекомендуется использовать простое правило, которое, по </w:t>
      </w:r>
      <w:r w:rsidRPr="00AA60B6">
        <w:rPr>
          <w:rFonts w:asciiTheme="majorBidi" w:hAnsiTheme="majorBidi" w:cstheme="majorBidi"/>
          <w:lang w:val="ru-RU"/>
        </w:rPr>
        <w:lastRenderedPageBreak/>
        <w:t>возможности, отражало бы административную работу, выполненную в отношении каждой категории плательщиков (см. п. [9]).</w:t>
      </w:r>
    </w:p>
    <w:p w:rsidR="00AA60B6" w:rsidRPr="00AA60B6" w:rsidRDefault="00AA60B6" w:rsidP="00AA60B6">
      <w:pPr>
        <w:pStyle w:val="Heading2"/>
        <w:rPr>
          <w:rFonts w:asciiTheme="majorBidi" w:hAnsiTheme="majorBidi" w:cstheme="majorBidi"/>
          <w:lang w:val="ru-RU"/>
        </w:rPr>
      </w:pPr>
      <w:bookmarkStart w:id="36" w:name="_Toc277683087"/>
      <w:bookmarkStart w:id="37" w:name="_Toc277857902"/>
      <w:r w:rsidRPr="00AA60B6">
        <w:rPr>
          <w:rFonts w:asciiTheme="majorBidi" w:hAnsiTheme="majorBidi" w:cstheme="majorBidi"/>
          <w:lang w:val="ru-RU"/>
        </w:rPr>
        <w:t>4.2</w:t>
      </w:r>
      <w:r w:rsidRPr="00AA60B6">
        <w:rPr>
          <w:rFonts w:asciiTheme="majorBidi" w:hAnsiTheme="majorBidi" w:cstheme="majorBidi"/>
          <w:lang w:val="ru-RU"/>
        </w:rPr>
        <w:tab/>
        <w:t>Правило распределения административных затрат – пример 1</w:t>
      </w:r>
      <w:bookmarkEnd w:id="36"/>
      <w:bookmarkEnd w:id="37"/>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Ежегодные административные затраты распределяются между всеми, кому надлежит уплачивать сбор за управление пропорционально их обороту.</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 xml:space="preserve">Так, например, для плательщика, чей оборот равен </w:t>
      </w:r>
      <w:r w:rsidRPr="00AA60B6">
        <w:rPr>
          <w:rFonts w:asciiTheme="majorBidi" w:hAnsiTheme="majorBidi" w:cstheme="majorBidi"/>
          <w:i/>
          <w:lang w:val="ru-RU"/>
        </w:rPr>
        <w:t>CA</w:t>
      </w:r>
      <w:r w:rsidRPr="00AA60B6">
        <w:rPr>
          <w:rFonts w:asciiTheme="majorBidi" w:hAnsiTheme="majorBidi" w:cstheme="majorBidi"/>
          <w:lang w:val="ru-RU"/>
        </w:rPr>
        <w:t xml:space="preserve">, ежегодная величина административного сбора </w:t>
      </w:r>
      <w:r w:rsidRPr="00AA60B6">
        <w:rPr>
          <w:rFonts w:asciiTheme="majorBidi" w:hAnsiTheme="majorBidi" w:cstheme="majorBidi"/>
          <w:i/>
          <w:lang w:val="ru-RU"/>
        </w:rPr>
        <w:t xml:space="preserve">Ra </w:t>
      </w:r>
      <w:r w:rsidRPr="00AA60B6">
        <w:rPr>
          <w:rFonts w:asciiTheme="majorBidi" w:hAnsiTheme="majorBidi" w:cstheme="majorBidi"/>
          <w:lang w:val="ru-RU"/>
        </w:rPr>
        <w:t>за соответствующий год составляет:</w:t>
      </w:r>
    </w:p>
    <w:p w:rsidR="00AA60B6" w:rsidRPr="00AA60B6" w:rsidRDefault="00AA60B6" w:rsidP="00AA60B6">
      <w:pPr>
        <w:rPr>
          <w:rFonts w:asciiTheme="majorBidi" w:hAnsiTheme="majorBidi" w:cstheme="majorBidi"/>
          <w:lang w:val="ru-RU"/>
        </w:rPr>
      </w:pPr>
    </w:p>
    <w:tbl>
      <w:tblPr>
        <w:tblW w:w="0" w:type="auto"/>
        <w:tblInd w:w="108" w:type="dxa"/>
        <w:tblLook w:val="01E0"/>
      </w:tblPr>
      <w:tblGrid>
        <w:gridCol w:w="1701"/>
        <w:gridCol w:w="6237"/>
        <w:gridCol w:w="1701"/>
      </w:tblGrid>
      <w:tr w:rsidR="00AA60B6" w:rsidRPr="00AA60B6" w:rsidTr="00A04746">
        <w:trPr>
          <w:trHeight w:val="248"/>
        </w:trPr>
        <w:tc>
          <w:tcPr>
            <w:tcW w:w="1701" w:type="dxa"/>
            <w:vMerge w:val="restart"/>
            <w:vAlign w:val="center"/>
          </w:tcPr>
          <w:p w:rsidR="00AA60B6" w:rsidRPr="00AA60B6" w:rsidRDefault="00AA60B6" w:rsidP="00AA60B6">
            <w:pPr>
              <w:tabs>
                <w:tab w:val="clear" w:pos="1191"/>
                <w:tab w:val="left" w:pos="885"/>
                <w:tab w:val="left" w:pos="1168"/>
              </w:tabs>
              <w:snapToGrid w:val="0"/>
              <w:spacing w:before="0"/>
              <w:ind w:right="34"/>
              <w:jc w:val="right"/>
              <w:rPr>
                <w:rFonts w:asciiTheme="majorBidi" w:hAnsiTheme="majorBidi" w:cstheme="majorBidi"/>
                <w:szCs w:val="18"/>
                <w:lang w:val="ru-RU"/>
              </w:rPr>
            </w:pPr>
            <w:r w:rsidRPr="00AA60B6">
              <w:rPr>
                <w:rFonts w:asciiTheme="majorBidi" w:hAnsiTheme="majorBidi" w:cstheme="majorBidi"/>
                <w:szCs w:val="18"/>
                <w:lang w:val="ru-RU"/>
              </w:rPr>
              <w:t>Ra  =</w:t>
            </w:r>
          </w:p>
        </w:tc>
        <w:tc>
          <w:tcPr>
            <w:tcW w:w="6237" w:type="dxa"/>
            <w:tcBorders>
              <w:bottom w:val="single" w:sz="4" w:space="0" w:color="auto"/>
            </w:tcBorders>
          </w:tcPr>
          <w:p w:rsidR="00AA60B6" w:rsidRPr="00AA60B6" w:rsidRDefault="00AA60B6" w:rsidP="00AA60B6">
            <w:pPr>
              <w:tabs>
                <w:tab w:val="left" w:pos="851"/>
              </w:tabs>
              <w:snapToGrid w:val="0"/>
              <w:spacing w:before="240"/>
              <w:jc w:val="center"/>
              <w:rPr>
                <w:rFonts w:asciiTheme="majorBidi" w:hAnsiTheme="majorBidi" w:cstheme="majorBidi"/>
                <w:szCs w:val="18"/>
                <w:lang w:val="ru-RU"/>
              </w:rPr>
            </w:pPr>
            <w:r w:rsidRPr="00AA60B6">
              <w:rPr>
                <w:rFonts w:asciiTheme="majorBidi" w:hAnsiTheme="majorBidi" w:cstheme="majorBidi"/>
                <w:i/>
                <w:szCs w:val="18"/>
                <w:lang w:val="ru-RU"/>
              </w:rPr>
              <w:t>административные затраты за соответствующий год</w:t>
            </w:r>
          </w:p>
        </w:tc>
        <w:tc>
          <w:tcPr>
            <w:tcW w:w="1701" w:type="dxa"/>
            <w:vMerge w:val="restart"/>
            <w:vAlign w:val="center"/>
          </w:tcPr>
          <w:p w:rsidR="00AA60B6" w:rsidRPr="00A04746" w:rsidRDefault="00AA60B6" w:rsidP="00AA60B6">
            <w:pPr>
              <w:tabs>
                <w:tab w:val="left" w:pos="851"/>
              </w:tabs>
              <w:snapToGrid w:val="0"/>
              <w:rPr>
                <w:rFonts w:asciiTheme="majorBidi" w:hAnsiTheme="majorBidi" w:cstheme="majorBidi"/>
                <w:position w:val="10"/>
                <w:szCs w:val="18"/>
                <w:lang w:val="ru-RU"/>
              </w:rPr>
            </w:pPr>
            <w:r w:rsidRPr="00A04746">
              <w:rPr>
                <w:rFonts w:asciiTheme="majorBidi" w:hAnsiTheme="majorBidi" w:cstheme="majorBidi"/>
                <w:position w:val="10"/>
                <w:szCs w:val="18"/>
                <w:lang w:val="ru-RU"/>
              </w:rPr>
              <w:t xml:space="preserve">* </w:t>
            </w:r>
            <w:r w:rsidRPr="00A04746">
              <w:rPr>
                <w:rFonts w:asciiTheme="majorBidi" w:hAnsiTheme="majorBidi" w:cstheme="majorBidi"/>
                <w:i/>
                <w:iCs/>
                <w:position w:val="10"/>
                <w:szCs w:val="18"/>
                <w:lang w:val="ru-RU"/>
              </w:rPr>
              <w:t>CA</w:t>
            </w:r>
          </w:p>
        </w:tc>
      </w:tr>
      <w:tr w:rsidR="00AA60B6" w:rsidRPr="00AA60B6" w:rsidTr="00A04746">
        <w:trPr>
          <w:trHeight w:val="247"/>
        </w:trPr>
        <w:tc>
          <w:tcPr>
            <w:tcW w:w="1701" w:type="dxa"/>
            <w:vMerge/>
          </w:tcPr>
          <w:p w:rsidR="00AA60B6" w:rsidRPr="00AA60B6" w:rsidRDefault="00AA60B6" w:rsidP="00AA60B6">
            <w:pPr>
              <w:tabs>
                <w:tab w:val="left" w:pos="851"/>
              </w:tabs>
              <w:snapToGrid w:val="0"/>
              <w:spacing w:before="240"/>
              <w:jc w:val="center"/>
              <w:rPr>
                <w:rFonts w:asciiTheme="majorBidi" w:hAnsiTheme="majorBidi" w:cstheme="majorBidi"/>
                <w:szCs w:val="18"/>
                <w:lang w:val="ru-RU"/>
              </w:rPr>
            </w:pPr>
          </w:p>
        </w:tc>
        <w:tc>
          <w:tcPr>
            <w:tcW w:w="6237" w:type="dxa"/>
            <w:tcBorders>
              <w:top w:val="single" w:sz="4" w:space="0" w:color="auto"/>
            </w:tcBorders>
          </w:tcPr>
          <w:p w:rsidR="00AA60B6" w:rsidRPr="00AA60B6" w:rsidRDefault="00AA60B6" w:rsidP="00AA60B6">
            <w:pPr>
              <w:tabs>
                <w:tab w:val="left" w:pos="851"/>
              </w:tabs>
              <w:snapToGrid w:val="0"/>
              <w:spacing w:before="0" w:after="240"/>
              <w:jc w:val="center"/>
              <w:rPr>
                <w:rFonts w:asciiTheme="majorBidi" w:hAnsiTheme="majorBidi" w:cstheme="majorBidi"/>
                <w:szCs w:val="18"/>
                <w:lang w:val="ru-RU"/>
              </w:rPr>
            </w:pPr>
            <w:r w:rsidRPr="00AA60B6">
              <w:rPr>
                <w:rFonts w:asciiTheme="majorBidi" w:hAnsiTheme="majorBidi" w:cstheme="majorBidi"/>
                <w:i/>
                <w:szCs w:val="18"/>
                <w:lang w:val="ru-RU"/>
              </w:rPr>
              <w:t>сумма оборота всех плательщиков за соответствующий год</w:t>
            </w:r>
          </w:p>
        </w:tc>
        <w:tc>
          <w:tcPr>
            <w:tcW w:w="1701" w:type="dxa"/>
            <w:vMerge/>
          </w:tcPr>
          <w:p w:rsidR="00AA60B6" w:rsidRPr="00AA60B6" w:rsidRDefault="00AA60B6" w:rsidP="00AA60B6">
            <w:pPr>
              <w:tabs>
                <w:tab w:val="left" w:pos="851"/>
              </w:tabs>
              <w:snapToGrid w:val="0"/>
              <w:spacing w:before="240"/>
              <w:jc w:val="center"/>
              <w:rPr>
                <w:rFonts w:asciiTheme="majorBidi" w:hAnsiTheme="majorBidi" w:cstheme="majorBidi"/>
                <w:szCs w:val="18"/>
                <w:lang w:val="ru-RU"/>
              </w:rPr>
            </w:pPr>
          </w:p>
        </w:tc>
      </w:tr>
    </w:tbl>
    <w:p w:rsidR="00AA60B6" w:rsidRPr="00AA60B6" w:rsidRDefault="00AA60B6" w:rsidP="00AA60B6">
      <w:pPr>
        <w:tabs>
          <w:tab w:val="left" w:pos="-1190"/>
          <w:tab w:val="left" w:pos="0"/>
        </w:tabs>
        <w:spacing w:before="0"/>
        <w:rPr>
          <w:rFonts w:asciiTheme="majorBidi" w:hAnsiTheme="majorBidi" w:cstheme="majorBidi"/>
          <w:szCs w:val="18"/>
          <w:lang w:val="ru-RU"/>
        </w:rPr>
      </w:pP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Преимуществом данного правила является его простота, однако оно может поставить в невыгодное положение плательщиков, владеющих только частной радиосетью, и чья промышленная и коммерческая деятельность существенна, но не связана с областью частот, поскольку в этом случае им пришлось бы уплачивать сборы, намного превышающие стоимость предоставленной услуги.</w:t>
      </w:r>
    </w:p>
    <w:p w:rsidR="00AA60B6" w:rsidRPr="00AA60B6" w:rsidRDefault="00AA60B6" w:rsidP="00AA60B6">
      <w:pPr>
        <w:tabs>
          <w:tab w:val="left" w:pos="-1190"/>
          <w:tab w:val="left" w:pos="0"/>
        </w:tabs>
        <w:spacing w:before="0"/>
        <w:rPr>
          <w:rFonts w:asciiTheme="majorBidi" w:hAnsiTheme="majorBidi" w:cstheme="majorBidi"/>
          <w:szCs w:val="18"/>
          <w:lang w:val="ru-RU"/>
        </w:rPr>
      </w:pPr>
    </w:p>
    <w:p w:rsidR="00AA60B6" w:rsidRPr="00AA60B6" w:rsidRDefault="00AA60B6" w:rsidP="00AA60B6">
      <w:pPr>
        <w:tabs>
          <w:tab w:val="left" w:pos="-1190"/>
          <w:tab w:val="left" w:pos="0"/>
        </w:tabs>
        <w:spacing w:before="0"/>
        <w:rPr>
          <w:rFonts w:asciiTheme="majorBidi" w:hAnsiTheme="majorBidi" w:cstheme="majorBidi"/>
          <w:szCs w:val="18"/>
          <w:lang w:val="ru-RU"/>
        </w:rPr>
      </w:pPr>
      <w:r w:rsidRPr="00AA60B6">
        <w:rPr>
          <w:rFonts w:asciiTheme="majorBidi" w:hAnsiTheme="majorBidi" w:cstheme="majorBidi"/>
          <w:szCs w:val="18"/>
          <w:lang w:val="ru-RU"/>
        </w:rPr>
        <w:t>Это правило может использоваться в тех случаях, когда невозможно применить правило, описанное в п. 4.3.</w:t>
      </w:r>
    </w:p>
    <w:p w:rsidR="00AA60B6" w:rsidRPr="00AA60B6" w:rsidRDefault="00AA60B6" w:rsidP="00AA60B6">
      <w:pPr>
        <w:pStyle w:val="Heading2"/>
        <w:rPr>
          <w:rFonts w:asciiTheme="majorBidi" w:hAnsiTheme="majorBidi" w:cstheme="majorBidi"/>
          <w:lang w:val="ru-RU"/>
        </w:rPr>
      </w:pPr>
      <w:bookmarkStart w:id="38" w:name="_Toc277683088"/>
      <w:bookmarkStart w:id="39" w:name="_Toc277857903"/>
      <w:r w:rsidRPr="00AA60B6">
        <w:rPr>
          <w:rFonts w:asciiTheme="majorBidi" w:hAnsiTheme="majorBidi" w:cstheme="majorBidi"/>
          <w:lang w:val="ru-RU"/>
        </w:rPr>
        <w:t>4.3</w:t>
      </w:r>
      <w:r w:rsidRPr="00AA60B6">
        <w:rPr>
          <w:rFonts w:asciiTheme="majorBidi" w:hAnsiTheme="majorBidi" w:cstheme="majorBidi"/>
          <w:lang w:val="ru-RU"/>
        </w:rPr>
        <w:tab/>
        <w:t>Правило распределения административных затрат – пример 2</w:t>
      </w:r>
      <w:bookmarkEnd w:id="38"/>
      <w:bookmarkEnd w:id="39"/>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Административные затраты распределяются пропорционально количеству присвоений и выделений, распределенных соответственно каждому, кто должен уплачивать сбор за управление (см. пп. [1] и [2]).</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На практике это правило предусматривает определение двух эталонных денежных величин, соответствующих, соответственно, сумме административного сбора за присвоенную частоту (G) и сумме административного тарифа за выделенную 1 MГц полосу частот (G’).</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Определение G и G’ таково, что оно должно позволить обеспечить, насколько это возможно, следующее равенство для соответствующего года (см. пп. [14] и [20]):</w:t>
      </w:r>
    </w:p>
    <w:p w:rsidR="00AA60B6" w:rsidRPr="00AA60B6" w:rsidRDefault="00AA60B6" w:rsidP="00AA60B6">
      <w:pPr>
        <w:rPr>
          <w:rFonts w:asciiTheme="majorBidi" w:hAnsiTheme="majorBidi" w:cstheme="majorBidi"/>
          <w:lang w:val="ru-RU"/>
        </w:rPr>
      </w:pPr>
    </w:p>
    <w:tbl>
      <w:tblPr>
        <w:tblW w:w="0" w:type="auto"/>
        <w:tblInd w:w="108" w:type="dxa"/>
        <w:tblLook w:val="01E0"/>
      </w:tblPr>
      <w:tblGrid>
        <w:gridCol w:w="9639"/>
      </w:tblGrid>
      <w:tr w:rsidR="00AA60B6" w:rsidRPr="00AA60B6" w:rsidTr="00A04746">
        <w:tc>
          <w:tcPr>
            <w:tcW w:w="9639" w:type="dxa"/>
          </w:tcPr>
          <w:p w:rsidR="00AA60B6" w:rsidRPr="00AA60B6" w:rsidRDefault="00AA60B6" w:rsidP="00AA60B6">
            <w:pPr>
              <w:tabs>
                <w:tab w:val="left" w:pos="3153"/>
              </w:tabs>
              <w:snapToGrid w:val="0"/>
              <w:spacing w:before="0"/>
              <w:rPr>
                <w:rFonts w:asciiTheme="majorBidi" w:hAnsiTheme="majorBidi" w:cstheme="majorBidi"/>
                <w:szCs w:val="18"/>
                <w:lang w:val="ru-RU"/>
              </w:rPr>
            </w:pPr>
          </w:p>
          <w:p w:rsidR="00AA60B6" w:rsidRPr="00AA60B6" w:rsidRDefault="00A04746" w:rsidP="00A04746">
            <w:pPr>
              <w:tabs>
                <w:tab w:val="clear" w:pos="794"/>
                <w:tab w:val="clear" w:pos="1985"/>
                <w:tab w:val="left" w:pos="318"/>
                <w:tab w:val="left" w:pos="2302"/>
                <w:tab w:val="left" w:pos="2727"/>
                <w:tab w:val="left" w:pos="3011"/>
                <w:tab w:val="left" w:pos="3261"/>
                <w:tab w:val="left" w:pos="3861"/>
              </w:tabs>
              <w:snapToGrid w:val="0"/>
              <w:spacing w:before="0"/>
              <w:jc w:val="center"/>
              <w:rPr>
                <w:rFonts w:asciiTheme="majorBidi" w:hAnsiTheme="majorBidi" w:cstheme="majorBidi"/>
                <w:szCs w:val="18"/>
                <w:lang w:val="ru-RU"/>
              </w:rPr>
            </w:pPr>
            <w:r>
              <w:rPr>
                <w:rFonts w:asciiTheme="majorBidi" w:hAnsiTheme="majorBidi" w:cstheme="majorBidi"/>
                <w:szCs w:val="18"/>
                <w:lang w:val="ru-RU"/>
              </w:rPr>
              <w:tab/>
              <w:t>Административные затраты</w:t>
            </w:r>
            <w:r>
              <w:rPr>
                <w:rFonts w:asciiTheme="majorBidi" w:hAnsiTheme="majorBidi" w:cstheme="majorBidi"/>
                <w:szCs w:val="18"/>
                <w:lang w:val="ru-RU"/>
              </w:rPr>
              <w:tab/>
              <w:t xml:space="preserve"> </w:t>
            </w:r>
            <w:r w:rsidR="00AA60B6" w:rsidRPr="00AA60B6">
              <w:rPr>
                <w:rFonts w:asciiTheme="majorBidi" w:hAnsiTheme="majorBidi" w:cstheme="majorBidi"/>
                <w:szCs w:val="18"/>
                <w:lang w:val="ru-RU"/>
              </w:rPr>
              <w:t>=</w:t>
            </w:r>
            <w:r w:rsidR="00AA60B6" w:rsidRPr="00AA60B6">
              <w:rPr>
                <w:rFonts w:asciiTheme="majorBidi" w:hAnsiTheme="majorBidi" w:cstheme="majorBidi"/>
                <w:szCs w:val="18"/>
                <w:lang w:val="ru-RU"/>
              </w:rPr>
              <w:tab/>
              <w:t xml:space="preserve"> общее количество частот, присвоенных на всей территории </w:t>
            </w:r>
            <w:r w:rsidR="00AA60B6" w:rsidRPr="005E55BB">
              <w:rPr>
                <w:rFonts w:asciiTheme="majorBidi" w:hAnsiTheme="majorBidi" w:cstheme="majorBidi"/>
                <w:position w:val="-4"/>
                <w:szCs w:val="18"/>
                <w:lang w:val="ru-RU"/>
              </w:rPr>
              <w:t>*</w:t>
            </w:r>
            <w:r w:rsidR="00AA60B6" w:rsidRPr="00AA60B6">
              <w:rPr>
                <w:rFonts w:asciiTheme="majorBidi" w:hAnsiTheme="majorBidi" w:cstheme="majorBidi"/>
                <w:szCs w:val="18"/>
                <w:lang w:val="ru-RU"/>
              </w:rPr>
              <w:t xml:space="preserve"> G</w:t>
            </w:r>
            <w:r>
              <w:rPr>
                <w:rFonts w:asciiTheme="majorBidi" w:hAnsiTheme="majorBidi" w:cstheme="majorBidi"/>
                <w:szCs w:val="18"/>
                <w:lang w:val="ru-RU"/>
              </w:rPr>
              <w:t xml:space="preserve"> </w:t>
            </w:r>
            <w:r w:rsidR="00AA60B6" w:rsidRPr="00AA60B6">
              <w:rPr>
                <w:rFonts w:asciiTheme="majorBidi" w:hAnsiTheme="majorBidi" w:cstheme="majorBidi"/>
                <w:szCs w:val="18"/>
                <w:lang w:val="ru-RU"/>
              </w:rPr>
              <w:tab/>
              <w:t xml:space="preserve">+ общее количество МГц, выделенных на всей территории </w:t>
            </w:r>
            <w:r w:rsidR="00AA60B6" w:rsidRPr="005E55BB">
              <w:rPr>
                <w:rFonts w:asciiTheme="majorBidi" w:hAnsiTheme="majorBidi" w:cstheme="majorBidi"/>
                <w:position w:val="-4"/>
                <w:szCs w:val="18"/>
                <w:lang w:val="ru-RU"/>
              </w:rPr>
              <w:t>*</w:t>
            </w:r>
            <w:r w:rsidR="00AA60B6" w:rsidRPr="00AA60B6">
              <w:rPr>
                <w:rFonts w:asciiTheme="majorBidi" w:hAnsiTheme="majorBidi" w:cstheme="majorBidi"/>
                <w:szCs w:val="18"/>
                <w:lang w:val="ru-RU"/>
              </w:rPr>
              <w:t xml:space="preserve"> G’</w:t>
            </w:r>
          </w:p>
          <w:p w:rsidR="00AA60B6" w:rsidRPr="00AA60B6" w:rsidRDefault="00AA60B6" w:rsidP="00AA60B6">
            <w:pPr>
              <w:tabs>
                <w:tab w:val="left" w:pos="3153"/>
              </w:tabs>
              <w:snapToGrid w:val="0"/>
              <w:spacing w:before="0"/>
              <w:rPr>
                <w:rFonts w:asciiTheme="majorBidi" w:hAnsiTheme="majorBidi" w:cstheme="majorBidi"/>
                <w:szCs w:val="18"/>
                <w:lang w:val="ru-RU"/>
              </w:rPr>
            </w:pPr>
          </w:p>
        </w:tc>
      </w:tr>
    </w:tbl>
    <w:p w:rsidR="00AA60B6" w:rsidRPr="00AA60B6" w:rsidRDefault="00AA60B6" w:rsidP="00AA60B6">
      <w:pPr>
        <w:spacing w:before="0"/>
        <w:rPr>
          <w:rFonts w:asciiTheme="majorBidi" w:hAnsiTheme="majorBidi" w:cstheme="majorBidi"/>
          <w:lang w:val="ru-RU"/>
        </w:rPr>
      </w:pP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 xml:space="preserve">Например, плательщик, использующий 50 присвоенных частот и выделение в 20 МГц, будет уплачивать ежегодный административный сбор </w:t>
      </w:r>
      <w:r w:rsidRPr="00AA60B6">
        <w:rPr>
          <w:rFonts w:asciiTheme="majorBidi" w:hAnsiTheme="majorBidi" w:cstheme="majorBidi"/>
          <w:i/>
          <w:lang w:val="ru-RU"/>
        </w:rPr>
        <w:t xml:space="preserve">Ra </w:t>
      </w:r>
      <w:r w:rsidRPr="00AA60B6">
        <w:rPr>
          <w:rFonts w:asciiTheme="majorBidi" w:hAnsiTheme="majorBidi" w:cstheme="majorBidi"/>
          <w:lang w:val="ru-RU"/>
        </w:rPr>
        <w:t>в размере:</w:t>
      </w:r>
    </w:p>
    <w:p w:rsidR="00AA60B6" w:rsidRPr="00AA60B6" w:rsidRDefault="00AA60B6" w:rsidP="00AA60B6">
      <w:pPr>
        <w:jc w:val="center"/>
        <w:rPr>
          <w:rFonts w:asciiTheme="majorBidi" w:hAnsiTheme="majorBidi" w:cstheme="majorBidi"/>
          <w:szCs w:val="18"/>
          <w:lang w:val="ru-RU"/>
        </w:rPr>
      </w:pPr>
      <w:r w:rsidRPr="00A04746">
        <w:rPr>
          <w:rFonts w:asciiTheme="majorBidi" w:hAnsiTheme="majorBidi" w:cstheme="majorBidi"/>
          <w:i/>
          <w:szCs w:val="18"/>
          <w:lang w:val="ru-RU"/>
        </w:rPr>
        <w:t>Ra</w:t>
      </w:r>
      <w:r w:rsidRPr="00AA60B6">
        <w:rPr>
          <w:rFonts w:asciiTheme="majorBidi" w:hAnsiTheme="majorBidi" w:cstheme="majorBidi"/>
          <w:i/>
          <w:szCs w:val="18"/>
          <w:lang w:val="ru-RU"/>
        </w:rPr>
        <w:t xml:space="preserve"> </w:t>
      </w:r>
      <w:r w:rsidRPr="00AA60B6">
        <w:rPr>
          <w:rFonts w:asciiTheme="majorBidi" w:hAnsiTheme="majorBidi" w:cstheme="majorBidi"/>
          <w:szCs w:val="18"/>
          <w:lang w:val="ru-RU"/>
        </w:rPr>
        <w:t xml:space="preserve">= 50 </w:t>
      </w:r>
      <w:r w:rsidRPr="005E55BB">
        <w:rPr>
          <w:rFonts w:asciiTheme="majorBidi" w:hAnsiTheme="majorBidi" w:cstheme="majorBidi"/>
          <w:position w:val="-4"/>
          <w:szCs w:val="18"/>
          <w:lang w:val="ru-RU"/>
        </w:rPr>
        <w:t>*</w:t>
      </w:r>
      <w:r w:rsidRPr="00AA60B6">
        <w:rPr>
          <w:rFonts w:asciiTheme="majorBidi" w:hAnsiTheme="majorBidi" w:cstheme="majorBidi"/>
          <w:szCs w:val="18"/>
          <w:lang w:val="ru-RU"/>
        </w:rPr>
        <w:t xml:space="preserve"> G + 20 * G’.</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Во многих случаях объем административной работы в отношении того или иного выделения превышает объем административной работы в отношении присвоения. Поэтому данный аспект следует учитывать, путем придания большего веса выделениям при распределении административных затрат, т. е. при определении G и G’.</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Значения G и G’ легко определить путем использования подходящего механизма учета затрат.</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Это правило распределения административных затрат имеет преимущество, заключающееся в том, что оно достаточно хорошо отражает предоставленную услугу, поскольку объем необходимой административной работы растет по мере увеличения количества присвоенных частот и количества выделенных МГц, которые распределены данному плательщику.</w:t>
      </w:r>
    </w:p>
    <w:p w:rsidR="00AA60B6" w:rsidRPr="00AA60B6" w:rsidRDefault="00AA60B6" w:rsidP="00AA60B6">
      <w:pPr>
        <w:pStyle w:val="Heading1"/>
        <w:rPr>
          <w:rFonts w:asciiTheme="majorBidi" w:hAnsiTheme="majorBidi" w:cstheme="majorBidi"/>
          <w:lang w:val="ru-RU"/>
        </w:rPr>
      </w:pPr>
      <w:bookmarkStart w:id="40" w:name="_Toc277683089"/>
      <w:bookmarkStart w:id="41" w:name="_Toc277857904"/>
      <w:r w:rsidRPr="00AA60B6">
        <w:rPr>
          <w:rFonts w:asciiTheme="majorBidi" w:hAnsiTheme="majorBidi" w:cstheme="majorBidi"/>
          <w:lang w:val="ru-RU"/>
        </w:rPr>
        <w:lastRenderedPageBreak/>
        <w:t>5</w:t>
      </w:r>
      <w:r w:rsidRPr="00AA60B6">
        <w:rPr>
          <w:rFonts w:asciiTheme="majorBidi" w:hAnsiTheme="majorBidi" w:cstheme="majorBidi"/>
          <w:lang w:val="ru-RU"/>
        </w:rPr>
        <w:tab/>
        <w:t>Руководящие принципы по установлению сборов за использование спектра</w:t>
      </w:r>
      <w:bookmarkEnd w:id="40"/>
      <w:bookmarkEnd w:id="41"/>
    </w:p>
    <w:p w:rsidR="00AA60B6" w:rsidRPr="00AA60B6" w:rsidRDefault="00AA60B6" w:rsidP="00AA60B6">
      <w:pPr>
        <w:pStyle w:val="Heading2"/>
        <w:rPr>
          <w:rFonts w:asciiTheme="majorBidi" w:hAnsiTheme="majorBidi" w:cstheme="majorBidi"/>
          <w:lang w:val="ru-RU"/>
        </w:rPr>
      </w:pPr>
      <w:bookmarkStart w:id="42" w:name="_Toc277683090"/>
      <w:bookmarkStart w:id="43" w:name="_Toc277857905"/>
      <w:r w:rsidRPr="00AA60B6">
        <w:rPr>
          <w:rFonts w:asciiTheme="majorBidi" w:hAnsiTheme="majorBidi" w:cstheme="majorBidi"/>
          <w:lang w:val="ru-RU"/>
        </w:rPr>
        <w:t>5.1</w:t>
      </w:r>
      <w:r w:rsidRPr="00AA60B6">
        <w:rPr>
          <w:rFonts w:asciiTheme="majorBidi" w:hAnsiTheme="majorBidi" w:cstheme="majorBidi"/>
          <w:lang w:val="ru-RU"/>
        </w:rPr>
        <w:tab/>
        <w:t>Замечания и общие положения</w:t>
      </w:r>
      <w:bookmarkEnd w:id="42"/>
      <w:bookmarkEnd w:id="43"/>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Система сборов за использование спектра должна соблюдать, в частности, экономические принципы, описанные в пп. [12], [15] и [16].</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Кроме того, она должна также учитывать принципы реальности, изложенные в пп. [18] и [19], при определении набора параметров, которые будут использоваться в качестве основы для расчета величины сбора.</w:t>
      </w:r>
    </w:p>
    <w:p w:rsidR="00AA60B6" w:rsidRPr="00AA60B6" w:rsidRDefault="00AA60B6" w:rsidP="00AA60B6">
      <w:pPr>
        <w:pStyle w:val="Heading3"/>
        <w:rPr>
          <w:rFonts w:asciiTheme="majorBidi" w:hAnsiTheme="majorBidi" w:cstheme="majorBidi"/>
          <w:lang w:val="ru-RU"/>
        </w:rPr>
      </w:pPr>
      <w:r w:rsidRPr="00AA60B6">
        <w:rPr>
          <w:rFonts w:asciiTheme="majorBidi" w:hAnsiTheme="majorBidi" w:cstheme="majorBidi"/>
          <w:lang w:val="ru-RU"/>
        </w:rPr>
        <w:t>5.1.1</w:t>
      </w:r>
      <w:r w:rsidRPr="00AA60B6">
        <w:rPr>
          <w:rFonts w:asciiTheme="majorBidi" w:hAnsiTheme="majorBidi" w:cstheme="majorBidi"/>
          <w:lang w:val="ru-RU"/>
        </w:rPr>
        <w:tab/>
        <w:t>Бюджетная цель органов власти</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 xml:space="preserve">Вообще говоря, бюджетная цель выражается в величине суммы </w:t>
      </w:r>
      <w:r w:rsidRPr="00AA60B6">
        <w:rPr>
          <w:rFonts w:asciiTheme="majorBidi" w:hAnsiTheme="majorBidi" w:cstheme="majorBidi"/>
          <w:u w:val="single"/>
          <w:lang w:val="ru-RU"/>
        </w:rPr>
        <w:t>общего</w:t>
      </w:r>
      <w:r w:rsidRPr="00AA60B6">
        <w:rPr>
          <w:rFonts w:asciiTheme="majorBidi" w:hAnsiTheme="majorBidi" w:cstheme="majorBidi"/>
          <w:lang w:val="ru-RU"/>
        </w:rPr>
        <w:t xml:space="preserve"> дохода, который сборы должны обеспечивать для государства.</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[21]</w:t>
      </w:r>
      <w:r w:rsidRPr="00AA60B6">
        <w:rPr>
          <w:rFonts w:asciiTheme="majorBidi" w:hAnsiTheme="majorBidi" w:cstheme="majorBidi"/>
          <w:lang w:val="ru-RU"/>
        </w:rPr>
        <w:tab/>
        <w:t>Придерживаясь общей суммы доходов, установленной органами власти, рекомендуется регулировать уровни сборов согласно рассматриваемым приложениям, с тем чтобы как можно полнее учесть три другие цели сборов за использование спектра (см. пп. [15.2], [15.3] и [15.4]).</w:t>
      </w:r>
    </w:p>
    <w:p w:rsidR="00AA60B6" w:rsidRPr="00AA60B6" w:rsidRDefault="00AA60B6" w:rsidP="00AA60B6">
      <w:pPr>
        <w:pStyle w:val="Heading3"/>
        <w:rPr>
          <w:rFonts w:asciiTheme="majorBidi" w:hAnsiTheme="majorBidi" w:cstheme="majorBidi"/>
          <w:lang w:val="ru-RU"/>
        </w:rPr>
      </w:pPr>
      <w:r w:rsidRPr="00AA60B6">
        <w:rPr>
          <w:rFonts w:asciiTheme="majorBidi" w:hAnsiTheme="majorBidi" w:cstheme="majorBidi"/>
          <w:lang w:val="ru-RU"/>
        </w:rPr>
        <w:t>5.1.2</w:t>
      </w:r>
      <w:r w:rsidRPr="00AA60B6">
        <w:rPr>
          <w:rFonts w:asciiTheme="majorBidi" w:hAnsiTheme="majorBidi" w:cstheme="majorBidi"/>
          <w:lang w:val="ru-RU"/>
        </w:rPr>
        <w:tab/>
        <w:t>Экономические цели органов власти</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[22]</w:t>
      </w:r>
      <w:r w:rsidRPr="00AA60B6">
        <w:rPr>
          <w:rFonts w:asciiTheme="majorBidi" w:hAnsiTheme="majorBidi" w:cstheme="majorBidi"/>
          <w:lang w:val="ru-RU"/>
        </w:rPr>
        <w:tab/>
        <w:t>В большинстве случаев использование частот помогает повысить эффективность и производительность субъектов экономической деятельности, участвуя тем самым в экономическом развитии. Иллюстрацией к этому является использование компаниями, занимающимися общественными работами, средств подвижной связи на строительных площадках в целях повышения своей производительности. Применение слишком высоких тарифов в отношении этого вида использования частот могло бы ограничить такое использование и тем самым препятствовать целям развития страны.</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[23]</w:t>
      </w:r>
      <w:r w:rsidRPr="00AA60B6">
        <w:rPr>
          <w:rFonts w:asciiTheme="majorBidi" w:hAnsiTheme="majorBidi" w:cstheme="majorBidi"/>
          <w:lang w:val="ru-RU"/>
        </w:rPr>
        <w:tab/>
        <w:t>В некоторых случаях внедрение новой услуги радиосвязи требует значительных капиталовложений. Поэтому, когда это происходит, и на протяжении всей фазы внедрения и запуска этой услуги, применение "вступительной платы" или слишком высоких ежегодных сборов может ослабить инвестиционные возможности соответствующих операторов и тем самым задержать внедрение услуги.</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Государственные органы власти могут также преследовать цели, связанные с городом или страной. При необходимости, уровни сборов могут быть скорректированы, с тем</w:t>
      </w:r>
      <w:r w:rsidR="005E55BB">
        <w:rPr>
          <w:rFonts w:asciiTheme="majorBidi" w:hAnsiTheme="majorBidi" w:cstheme="majorBidi"/>
          <w:lang w:val="ru-RU"/>
        </w:rPr>
        <w:t>, чтобы учесть эти цели (см. п. </w:t>
      </w:r>
      <w:r w:rsidRPr="00AA60B6">
        <w:rPr>
          <w:rFonts w:asciiTheme="majorBidi" w:hAnsiTheme="majorBidi" w:cstheme="majorBidi"/>
          <w:lang w:val="ru-RU"/>
        </w:rPr>
        <w:t>[5]).</w:t>
      </w:r>
    </w:p>
    <w:p w:rsidR="00AA60B6" w:rsidRPr="00AA60B6" w:rsidRDefault="00AA60B6" w:rsidP="00AA60B6">
      <w:pPr>
        <w:pStyle w:val="Heading3"/>
        <w:rPr>
          <w:rFonts w:asciiTheme="majorBidi" w:hAnsiTheme="majorBidi" w:cstheme="majorBidi"/>
          <w:lang w:val="ru-RU"/>
        </w:rPr>
      </w:pPr>
      <w:r w:rsidRPr="00AA60B6">
        <w:rPr>
          <w:rFonts w:asciiTheme="majorBidi" w:hAnsiTheme="majorBidi" w:cstheme="majorBidi"/>
          <w:lang w:val="ru-RU"/>
        </w:rPr>
        <w:t>5.1.3</w:t>
      </w:r>
      <w:r w:rsidRPr="00AA60B6">
        <w:rPr>
          <w:rFonts w:asciiTheme="majorBidi" w:hAnsiTheme="majorBidi" w:cstheme="majorBidi"/>
          <w:lang w:val="ru-RU"/>
        </w:rPr>
        <w:tab/>
        <w:t>Учет преимуществ занятости спектра</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Преимущества, вытекающие из занятости спектра, будут зависеть от того, как пользователи используют частоты, которые им распределены.</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[24]</w:t>
      </w:r>
      <w:r w:rsidRPr="00AA60B6">
        <w:rPr>
          <w:rFonts w:asciiTheme="majorBidi" w:hAnsiTheme="majorBidi" w:cstheme="majorBidi"/>
          <w:lang w:val="ru-RU"/>
        </w:rPr>
        <w:tab/>
        <w:t>Когда субъект экономической деятельности использует частоты для удовлетворения своих собственных потребностей, преимущества, которые он извлекает из такого использования, сводятся к выигрышу в производительности, что находит свое отражение в повышении эффективности или снижении эксплуатационных затрат. Примером тому является компания такси, использующая частную сеть подвижной связи для повышения своей экономической эффективности. Оператор электросвязи использует радиорелейную линию для своей базовой сети, если она обходится ему дешевле в эксплуатации, чем проводная система.</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[25]</w:t>
      </w:r>
      <w:r w:rsidRPr="00AA60B6">
        <w:rPr>
          <w:rFonts w:asciiTheme="majorBidi" w:hAnsiTheme="majorBidi" w:cstheme="majorBidi"/>
          <w:lang w:val="ru-RU"/>
        </w:rPr>
        <w:tab/>
        <w:t>Когда субъект экономической деятельности использует полосы частот для предоставления или продажи услуг, предназначенных для потребительского рынка, он получает ситуационную ренту, которой не пользуются те, кто не имеет доступа к этой полосе частот или к эквивалентной в экономическом отношении полосе частот. Конкретным примером тому являются редакторы телепрограмм или операторы услуг подвижной связи GSM.</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Ценность ситуационной ренты очень часто существенно выше стоимости вышеупомянутых выигрышей в производительности, в частности в случаях, когда испытывается дефицит спектральных ресурсов.</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lastRenderedPageBreak/>
        <w:t>Поэтому порядок установления сборов за использование спектра должен отражать различие, существующее между стоимостью ренты за выгодное местоположение и стоимостью выигрышей в производительности (см. п. [15.3]).</w:t>
      </w:r>
    </w:p>
    <w:p w:rsidR="00AA60B6" w:rsidRPr="00AA60B6" w:rsidRDefault="00AA60B6" w:rsidP="00AA60B6">
      <w:pPr>
        <w:pStyle w:val="Heading3"/>
        <w:rPr>
          <w:rFonts w:asciiTheme="majorBidi" w:hAnsiTheme="majorBidi" w:cstheme="majorBidi"/>
          <w:lang w:val="ru-RU"/>
        </w:rPr>
      </w:pPr>
      <w:r w:rsidRPr="00AA60B6">
        <w:rPr>
          <w:rFonts w:asciiTheme="majorBidi" w:hAnsiTheme="majorBidi" w:cstheme="majorBidi"/>
          <w:lang w:val="ru-RU"/>
        </w:rPr>
        <w:t>5.1.4</w:t>
      </w:r>
      <w:r w:rsidRPr="00AA60B6">
        <w:rPr>
          <w:rFonts w:asciiTheme="majorBidi" w:hAnsiTheme="majorBidi" w:cstheme="majorBidi"/>
          <w:lang w:val="ru-RU"/>
        </w:rPr>
        <w:tab/>
        <w:t>Инструмент управления использованием спектра</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Для того чтобы сформировать базу для расчета сборов за использование спектра, можно принять во внимание различные элементы. Те из них, которые перечислены ниже, обеспечивают эффективное управление использованием спектра и эффективное использование частот.</w:t>
      </w:r>
    </w:p>
    <w:p w:rsidR="00AA60B6" w:rsidRPr="00AA60B6" w:rsidRDefault="00AA60B6" w:rsidP="00AA60B6">
      <w:pPr>
        <w:spacing w:before="100" w:line="230" w:lineRule="auto"/>
        <w:rPr>
          <w:rFonts w:asciiTheme="majorBidi" w:hAnsiTheme="majorBidi" w:cstheme="majorBidi"/>
          <w:i/>
          <w:iCs/>
          <w:szCs w:val="18"/>
          <w:lang w:val="ru-RU"/>
        </w:rPr>
      </w:pPr>
      <w:r w:rsidRPr="00AA60B6">
        <w:rPr>
          <w:rFonts w:asciiTheme="majorBidi" w:hAnsiTheme="majorBidi" w:cstheme="majorBidi"/>
          <w:i/>
          <w:iCs/>
          <w:szCs w:val="18"/>
          <w:lang w:val="ru-RU"/>
        </w:rPr>
        <w:t>Распределенная ширина полосы</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Сбор за использование спектра, величина которого пропорциональна распределенной ширине полосы, будет стимулировать пользователей к более точному определению своих потребностей в ресурсе спектра. Этот элемент может касаться всех видов использования.</w:t>
      </w:r>
    </w:p>
    <w:p w:rsidR="00AA60B6" w:rsidRPr="00AA60B6" w:rsidRDefault="00AA60B6" w:rsidP="00AA60B6">
      <w:pPr>
        <w:spacing w:before="100" w:line="230" w:lineRule="auto"/>
        <w:rPr>
          <w:rFonts w:asciiTheme="majorBidi" w:hAnsiTheme="majorBidi" w:cstheme="majorBidi"/>
          <w:i/>
          <w:iCs/>
          <w:szCs w:val="18"/>
          <w:lang w:val="ru-RU"/>
        </w:rPr>
      </w:pPr>
      <w:r w:rsidRPr="00AA60B6">
        <w:rPr>
          <w:rFonts w:asciiTheme="majorBidi" w:hAnsiTheme="majorBidi" w:cstheme="majorBidi"/>
          <w:i/>
          <w:iCs/>
          <w:szCs w:val="18"/>
          <w:lang w:val="ru-RU"/>
        </w:rPr>
        <w:t>Площадь поверхности распределения</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Сбор за использование спектра, величина которого увеличивается по мере возрастания площади поверхности распределения, будет стимулировать пользователей в соответствующих случаях добиваться того, чтобы соответствующая часть территории строго соответствовала их потребностям, позволяя тем самым тому, кто управляет использованием спектра, перераспределить те же частоты на остальной части территории. Это приведет к более интенсивному использованию частот. Этот элемент не относится к присвоениям фиксированной службы передачи из пункта в пункт (где число линий или число передающих станций может стать хорошей заменой) или спутниковой службы.</w:t>
      </w:r>
    </w:p>
    <w:p w:rsidR="00AA60B6" w:rsidRPr="00AA60B6" w:rsidRDefault="00AA60B6" w:rsidP="00AA60B6">
      <w:pPr>
        <w:tabs>
          <w:tab w:val="left" w:pos="-1190"/>
          <w:tab w:val="left" w:pos="0"/>
        </w:tabs>
        <w:spacing w:before="100" w:line="230" w:lineRule="auto"/>
        <w:rPr>
          <w:rFonts w:asciiTheme="majorBidi" w:hAnsiTheme="majorBidi" w:cstheme="majorBidi"/>
          <w:i/>
          <w:szCs w:val="18"/>
          <w:lang w:val="ru-RU"/>
        </w:rPr>
      </w:pPr>
      <w:r w:rsidRPr="00AA60B6">
        <w:rPr>
          <w:rFonts w:asciiTheme="majorBidi" w:hAnsiTheme="majorBidi" w:cstheme="majorBidi"/>
          <w:i/>
          <w:iCs/>
          <w:szCs w:val="18"/>
          <w:lang w:val="ru-RU"/>
        </w:rPr>
        <w:t>Расположение в спектре распределенной полосы частот</w:t>
      </w:r>
    </w:p>
    <w:p w:rsidR="00AA60B6" w:rsidRPr="00AA60B6" w:rsidRDefault="00AA60B6" w:rsidP="00AA60B6">
      <w:pPr>
        <w:rPr>
          <w:rFonts w:asciiTheme="majorBidi" w:hAnsiTheme="majorBidi" w:cstheme="majorBidi"/>
          <w:lang w:val="ru-RU"/>
        </w:rPr>
      </w:pPr>
      <w:r w:rsidRPr="00AA60B6">
        <w:rPr>
          <w:rFonts w:asciiTheme="majorBidi" w:hAnsiTheme="majorBidi" w:cstheme="majorBidi"/>
          <w:iCs/>
          <w:lang w:val="ru-RU"/>
        </w:rPr>
        <w:t>Сбор за использование спектра, величина которого корректируется в зависимости от расположения в</w:t>
      </w:r>
      <w:r w:rsidRPr="00AA60B6">
        <w:rPr>
          <w:rFonts w:asciiTheme="majorBidi" w:hAnsiTheme="majorBidi" w:cstheme="majorBidi"/>
          <w:lang w:val="ru-RU"/>
        </w:rPr>
        <w:t xml:space="preserve"> спектре распределенной полосы частот, позволит управляющему обеспечить более эффективное распределение занятости спектра. Этот элемент не относится к приложениям, полосы частот которых гармонизированы на международном уровне (GSM, IMT-2000 и др.).</w:t>
      </w:r>
    </w:p>
    <w:p w:rsidR="00AA60B6" w:rsidRPr="00AA60B6" w:rsidRDefault="00AA60B6" w:rsidP="00AA60B6">
      <w:pPr>
        <w:pStyle w:val="Heading2"/>
        <w:rPr>
          <w:rFonts w:asciiTheme="majorBidi" w:hAnsiTheme="majorBidi" w:cstheme="majorBidi"/>
          <w:lang w:val="ru-RU"/>
        </w:rPr>
      </w:pPr>
      <w:bookmarkStart w:id="44" w:name="_Toc277683091"/>
      <w:bookmarkStart w:id="45" w:name="_Toc277857906"/>
      <w:r w:rsidRPr="00AA60B6">
        <w:rPr>
          <w:rFonts w:asciiTheme="majorBidi" w:hAnsiTheme="majorBidi" w:cstheme="majorBidi"/>
          <w:lang w:val="ru-RU"/>
        </w:rPr>
        <w:t>5.2</w:t>
      </w:r>
      <w:r w:rsidRPr="00AA60B6">
        <w:rPr>
          <w:rFonts w:asciiTheme="majorBidi" w:hAnsiTheme="majorBidi" w:cstheme="majorBidi"/>
          <w:lang w:val="ru-RU"/>
        </w:rPr>
        <w:tab/>
        <w:t>Сборы за использование спектра, касающиеся частот, предназначенных для удовлетворения собственных потребностей пользователей</w:t>
      </w:r>
      <w:bookmarkEnd w:id="44"/>
      <w:bookmarkEnd w:id="45"/>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См. п. [24].</w:t>
      </w:r>
    </w:p>
    <w:p w:rsidR="00AA60B6" w:rsidRPr="00AA60B6" w:rsidRDefault="00AA60B6" w:rsidP="00AA60B6">
      <w:pPr>
        <w:pStyle w:val="Heading3"/>
        <w:rPr>
          <w:rFonts w:asciiTheme="majorBidi" w:hAnsiTheme="majorBidi" w:cstheme="majorBidi"/>
          <w:lang w:val="ru-RU"/>
        </w:rPr>
      </w:pPr>
      <w:r w:rsidRPr="00AA60B6">
        <w:rPr>
          <w:rFonts w:asciiTheme="majorBidi" w:hAnsiTheme="majorBidi" w:cstheme="majorBidi"/>
          <w:lang w:val="ru-RU"/>
        </w:rPr>
        <w:t>5.2.1</w:t>
      </w:r>
      <w:r w:rsidRPr="00AA60B6">
        <w:rPr>
          <w:rFonts w:asciiTheme="majorBidi" w:hAnsiTheme="majorBidi" w:cstheme="majorBidi"/>
          <w:lang w:val="ru-RU"/>
        </w:rPr>
        <w:tab/>
        <w:t>Замечания и общие положения</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При определении методов установления сборов необходимо учитывать, прежде всего, элементы, предусмотренные в пп. 5.1.4 и [22].</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Для того чтобы сформировать базу для расчета сборов, рекомендуется учитывать только минимальное количество элементов, необходимых для достижения целей эффективного управления использованием спектра и эффективного использования частот.</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Рекомендуется использовать простую расчетную формулу (см. п. [9]). Очень подходящей формулой определения уровней тарифов на основе элементов, выбранных при формировании базы для расчета, представляется умножение.</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Для целей корректировки уровней согласно приложениям (см. п. [21]) рекомендуется определить, соответственно, для каждого из рассматриваемых приложений эталонную денежную величину "k", выраженную в наиболее широко распространенной валюте. Эта величина "k" будет являться одним из коэффициентов в вышеупомянутом умножении.</w:t>
      </w:r>
    </w:p>
    <w:p w:rsidR="00AA60B6" w:rsidRPr="00AA60B6" w:rsidRDefault="00AA60B6" w:rsidP="00AA60B6">
      <w:pPr>
        <w:pStyle w:val="Heading3"/>
        <w:rPr>
          <w:rFonts w:asciiTheme="majorBidi" w:hAnsiTheme="majorBidi" w:cstheme="majorBidi"/>
          <w:lang w:val="ru-RU"/>
        </w:rPr>
      </w:pPr>
      <w:r w:rsidRPr="00AA60B6">
        <w:rPr>
          <w:rFonts w:asciiTheme="majorBidi" w:hAnsiTheme="majorBidi" w:cstheme="majorBidi"/>
          <w:lang w:val="ru-RU"/>
        </w:rPr>
        <w:t>5.2.2</w:t>
      </w:r>
      <w:r w:rsidRPr="00AA60B6">
        <w:rPr>
          <w:rFonts w:asciiTheme="majorBidi" w:hAnsiTheme="majorBidi" w:cstheme="majorBidi"/>
          <w:lang w:val="ru-RU"/>
        </w:rPr>
        <w:tab/>
        <w:t>Примеры формул для расчета величины сбора</w:t>
      </w:r>
    </w:p>
    <w:p w:rsidR="00AA60B6" w:rsidRPr="00AA60B6" w:rsidRDefault="00AA60B6" w:rsidP="00AA60B6">
      <w:pPr>
        <w:pStyle w:val="Heading4"/>
        <w:rPr>
          <w:rFonts w:asciiTheme="majorBidi" w:hAnsiTheme="majorBidi" w:cstheme="majorBidi"/>
          <w:lang w:val="ru-RU"/>
        </w:rPr>
      </w:pPr>
      <w:r w:rsidRPr="00AA60B6">
        <w:rPr>
          <w:rFonts w:asciiTheme="majorBidi" w:hAnsiTheme="majorBidi" w:cstheme="majorBidi"/>
          <w:lang w:val="ru-RU"/>
        </w:rPr>
        <w:t>5.2.2.1</w:t>
      </w:r>
      <w:r w:rsidRPr="00AA60B6">
        <w:rPr>
          <w:rFonts w:asciiTheme="majorBidi" w:hAnsiTheme="majorBidi" w:cstheme="majorBidi"/>
          <w:lang w:val="ru-RU"/>
        </w:rPr>
        <w:tab/>
        <w:t>Системы обозначений и определения коэффициентов</w:t>
      </w:r>
    </w:p>
    <w:p w:rsidR="00AA60B6" w:rsidRPr="00AA60B6" w:rsidRDefault="00AA60B6" w:rsidP="00AA60B6">
      <w:pPr>
        <w:rPr>
          <w:rFonts w:asciiTheme="majorBidi" w:hAnsiTheme="majorBidi" w:cstheme="majorBidi"/>
          <w:szCs w:val="18"/>
          <w:lang w:val="ru-RU"/>
        </w:rPr>
      </w:pPr>
      <w:r w:rsidRPr="00AA60B6">
        <w:rPr>
          <w:rFonts w:asciiTheme="majorBidi" w:hAnsiTheme="majorBidi" w:cstheme="majorBidi"/>
          <w:szCs w:val="18"/>
          <w:lang w:val="ru-RU"/>
        </w:rPr>
        <w:t>Определенные ниже коэффициенты используются в примерах формул расчета величины сбора:</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Коэффициент "L" представляет распределенную ширину полосы.</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Коэффициент "bf" отражает положение в спектре частоты или распределенной полосы частот.</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lastRenderedPageBreak/>
        <w:t>На практике составляется таблица, в которой для каждого рассматриваемого блока частот приводится значение соответствующего коэффициента "bf". Пример такой таблицы представлен в Приложении 1.</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Коэффициент "a" характеризует разрешения за использование частот по выделениям (см. п. [3]).</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В Приложении 2 приводится пример таблицы со значениями коэффициента "a" для соответствующих служб.</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Коэффициент "c" отражает площадь поверхности, охваченную разрешением за использование частот (см. п. [2]). Вообще говоря, поверхность, на которую распространяется присвоение, представляет собой диск, в центре которого находится соответствующая станция, а радиус которого равен максимальному расстоянию использования присвоенной частоты в условиях действия ненаправленной антенны, или сегмент этого диска, соответствующий угловой ширине антенны в случае, если она направленная.</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На практике составляется таблица, в которой приводится значение коэффициента "c", соответствующее величине рассматриваемой поверхности. Преимущество такой таблицы заключается в том, что она корректирует очень большой разброс величин тарифов, который мог бы возникнуть в случае прямого рассмотрения площади поверхности распределения. Пример такой таблицы представлен в Приложении 3.</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Коэффициенты "k1", "k2", "k3" и "k4" являются эталонными денежными величинами, характерными для рассматриваемых приложений. При определении этих величин приоритетное внимание следует уделять п. [15.2] и в меньшей степени пункту [15.1].</w:t>
      </w:r>
    </w:p>
    <w:p w:rsidR="00AA60B6" w:rsidRPr="00AA60B6" w:rsidRDefault="00AA60B6" w:rsidP="00AA60B6">
      <w:pPr>
        <w:pStyle w:val="Heading4"/>
        <w:rPr>
          <w:rFonts w:asciiTheme="majorBidi" w:hAnsiTheme="majorBidi" w:cstheme="majorBidi"/>
          <w:lang w:val="ru-RU"/>
        </w:rPr>
      </w:pPr>
      <w:r w:rsidRPr="00AA60B6">
        <w:rPr>
          <w:rFonts w:asciiTheme="majorBidi" w:hAnsiTheme="majorBidi" w:cstheme="majorBidi"/>
          <w:lang w:val="ru-RU"/>
        </w:rPr>
        <w:t>5.2.2.2</w:t>
      </w:r>
      <w:r w:rsidRPr="00AA60B6">
        <w:rPr>
          <w:rFonts w:asciiTheme="majorBidi" w:hAnsiTheme="majorBidi" w:cstheme="majorBidi"/>
          <w:lang w:val="ru-RU"/>
        </w:rPr>
        <w:tab/>
        <w:t>Сбор, применяемый к присвоению фиксированной службы передачи из пункта в пункт</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 xml:space="preserve">Для определения ежегодной суммы </w:t>
      </w:r>
      <w:r w:rsidRPr="00AA60B6">
        <w:rPr>
          <w:rFonts w:asciiTheme="majorBidi" w:hAnsiTheme="majorBidi" w:cstheme="majorBidi"/>
          <w:i/>
          <w:lang w:val="ru-RU"/>
        </w:rPr>
        <w:t>Rs</w:t>
      </w:r>
      <w:r w:rsidRPr="00AA60B6">
        <w:rPr>
          <w:rFonts w:asciiTheme="majorBidi" w:hAnsiTheme="majorBidi" w:cstheme="majorBidi"/>
          <w:lang w:val="ru-RU"/>
        </w:rPr>
        <w:t xml:space="preserve"> сбора за использование спектра можно использовать следующее уравнение:</w:t>
      </w:r>
    </w:p>
    <w:p w:rsidR="00AA60B6" w:rsidRPr="00AA60B6" w:rsidRDefault="00AA60B6" w:rsidP="005E55BB">
      <w:pPr>
        <w:tabs>
          <w:tab w:val="left" w:pos="-1190"/>
          <w:tab w:val="left" w:pos="0"/>
        </w:tabs>
        <w:spacing w:before="90" w:after="90"/>
        <w:jc w:val="center"/>
        <w:rPr>
          <w:rFonts w:asciiTheme="majorBidi" w:hAnsiTheme="majorBidi" w:cstheme="majorBidi"/>
          <w:szCs w:val="18"/>
          <w:lang w:val="ru-RU"/>
        </w:rPr>
      </w:pPr>
      <w:r w:rsidRPr="00AA60B6">
        <w:rPr>
          <w:rFonts w:asciiTheme="majorBidi" w:hAnsiTheme="majorBidi" w:cstheme="majorBidi"/>
          <w:szCs w:val="18"/>
          <w:lang w:val="ru-RU"/>
        </w:rPr>
        <w:t xml:space="preserve">Rs = L </w:t>
      </w:r>
      <w:r w:rsidRPr="005E55BB">
        <w:rPr>
          <w:rFonts w:asciiTheme="majorBidi" w:hAnsiTheme="majorBidi" w:cstheme="majorBidi"/>
          <w:position w:val="-4"/>
          <w:szCs w:val="18"/>
          <w:lang w:val="ru-RU"/>
        </w:rPr>
        <w:t>*</w:t>
      </w:r>
      <w:r w:rsidRPr="00AA60B6">
        <w:rPr>
          <w:rFonts w:asciiTheme="majorBidi" w:hAnsiTheme="majorBidi" w:cstheme="majorBidi"/>
          <w:szCs w:val="18"/>
          <w:lang w:val="ru-RU"/>
        </w:rPr>
        <w:t xml:space="preserve"> bf </w:t>
      </w:r>
      <w:r w:rsidRPr="005E55BB">
        <w:rPr>
          <w:rFonts w:asciiTheme="majorBidi" w:hAnsiTheme="majorBidi" w:cstheme="majorBidi"/>
          <w:position w:val="-4"/>
          <w:szCs w:val="18"/>
          <w:lang w:val="ru-RU"/>
        </w:rPr>
        <w:t>*</w:t>
      </w:r>
      <w:r w:rsidRPr="00AA60B6">
        <w:rPr>
          <w:rFonts w:asciiTheme="majorBidi" w:hAnsiTheme="majorBidi" w:cstheme="majorBidi"/>
          <w:szCs w:val="18"/>
          <w:lang w:val="ru-RU"/>
        </w:rPr>
        <w:t xml:space="preserve"> k1</w:t>
      </w:r>
    </w:p>
    <w:p w:rsidR="00AA60B6" w:rsidRPr="00AA60B6" w:rsidRDefault="00AA60B6" w:rsidP="00AA60B6">
      <w:pPr>
        <w:pStyle w:val="Heading4"/>
        <w:rPr>
          <w:rFonts w:asciiTheme="majorBidi" w:hAnsiTheme="majorBidi" w:cstheme="majorBidi"/>
          <w:lang w:val="ru-RU"/>
        </w:rPr>
      </w:pPr>
      <w:r w:rsidRPr="00AA60B6">
        <w:rPr>
          <w:rFonts w:asciiTheme="majorBidi" w:hAnsiTheme="majorBidi" w:cstheme="majorBidi"/>
          <w:lang w:val="ru-RU"/>
        </w:rPr>
        <w:t>5.2.2.3</w:t>
      </w:r>
      <w:r w:rsidRPr="00AA60B6">
        <w:rPr>
          <w:rFonts w:asciiTheme="majorBidi" w:hAnsiTheme="majorBidi" w:cstheme="majorBidi"/>
          <w:lang w:val="ru-RU"/>
        </w:rPr>
        <w:tab/>
        <w:t>Сбор, применяемый к выделению фиксированной службы передачи из пункта в пункт</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 xml:space="preserve">Для определения ежегодной суммы </w:t>
      </w:r>
      <w:r w:rsidRPr="00AA60B6">
        <w:rPr>
          <w:rFonts w:asciiTheme="majorBidi" w:hAnsiTheme="majorBidi" w:cstheme="majorBidi"/>
          <w:i/>
          <w:lang w:val="ru-RU"/>
        </w:rPr>
        <w:t>Rs</w:t>
      </w:r>
      <w:r w:rsidRPr="00AA60B6">
        <w:rPr>
          <w:rFonts w:asciiTheme="majorBidi" w:hAnsiTheme="majorBidi" w:cstheme="majorBidi"/>
          <w:lang w:val="ru-RU"/>
        </w:rPr>
        <w:t xml:space="preserve"> сбора за использование спектра можно использовать следующее уравнение:</w:t>
      </w:r>
    </w:p>
    <w:p w:rsidR="00AA60B6" w:rsidRPr="00AA60B6" w:rsidRDefault="00AA60B6" w:rsidP="005E55BB">
      <w:pPr>
        <w:jc w:val="center"/>
        <w:rPr>
          <w:rFonts w:asciiTheme="majorBidi" w:hAnsiTheme="majorBidi" w:cstheme="majorBidi"/>
          <w:lang w:val="ru-RU"/>
        </w:rPr>
      </w:pPr>
      <w:r w:rsidRPr="00AA60B6">
        <w:rPr>
          <w:rFonts w:asciiTheme="majorBidi" w:hAnsiTheme="majorBidi" w:cstheme="majorBidi"/>
          <w:lang w:val="ru-RU"/>
        </w:rPr>
        <w:t xml:space="preserve">Rs = L </w:t>
      </w:r>
      <w:r w:rsidRPr="005E55BB">
        <w:rPr>
          <w:rFonts w:asciiTheme="majorBidi" w:hAnsiTheme="majorBidi" w:cstheme="majorBidi"/>
          <w:position w:val="-4"/>
          <w:lang w:val="ru-RU"/>
        </w:rPr>
        <w:t>*</w:t>
      </w:r>
      <w:r w:rsidRPr="00AA60B6">
        <w:rPr>
          <w:rFonts w:asciiTheme="majorBidi" w:hAnsiTheme="majorBidi" w:cstheme="majorBidi"/>
          <w:lang w:val="ru-RU"/>
        </w:rPr>
        <w:t xml:space="preserve"> bf </w:t>
      </w:r>
      <w:r w:rsidRPr="005E55BB">
        <w:rPr>
          <w:rFonts w:asciiTheme="majorBidi" w:hAnsiTheme="majorBidi" w:cstheme="majorBidi"/>
          <w:position w:val="-4"/>
          <w:lang w:val="ru-RU"/>
        </w:rPr>
        <w:t>*</w:t>
      </w:r>
      <w:r w:rsidRPr="00AA60B6">
        <w:rPr>
          <w:rFonts w:asciiTheme="majorBidi" w:hAnsiTheme="majorBidi" w:cstheme="majorBidi"/>
          <w:lang w:val="ru-RU"/>
        </w:rPr>
        <w:t xml:space="preserve"> a </w:t>
      </w:r>
      <w:r w:rsidRPr="005E55BB">
        <w:rPr>
          <w:rFonts w:asciiTheme="majorBidi" w:hAnsiTheme="majorBidi" w:cstheme="majorBidi"/>
          <w:position w:val="-4"/>
          <w:lang w:val="ru-RU"/>
        </w:rPr>
        <w:t>*</w:t>
      </w:r>
      <w:r w:rsidRPr="00AA60B6">
        <w:rPr>
          <w:rFonts w:asciiTheme="majorBidi" w:hAnsiTheme="majorBidi" w:cstheme="majorBidi"/>
          <w:lang w:val="ru-RU"/>
        </w:rPr>
        <w:t xml:space="preserve"> c </w:t>
      </w:r>
      <w:r w:rsidRPr="005E55BB">
        <w:rPr>
          <w:rFonts w:asciiTheme="majorBidi" w:hAnsiTheme="majorBidi" w:cstheme="majorBidi"/>
          <w:position w:val="-4"/>
          <w:lang w:val="ru-RU"/>
        </w:rPr>
        <w:t>*</w:t>
      </w:r>
      <w:r w:rsidRPr="00AA60B6">
        <w:rPr>
          <w:rFonts w:asciiTheme="majorBidi" w:hAnsiTheme="majorBidi" w:cstheme="majorBidi"/>
          <w:lang w:val="ru-RU"/>
        </w:rPr>
        <w:t xml:space="preserve"> k1,</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где "c" – соотношение между площадью поверхности, охваченной данным выделением, и общей площадью поверхности национальной территории.</w:t>
      </w:r>
    </w:p>
    <w:p w:rsidR="00AA60B6" w:rsidRPr="00AA60B6" w:rsidRDefault="00AA60B6" w:rsidP="00AA60B6">
      <w:pPr>
        <w:pStyle w:val="Heading4"/>
        <w:rPr>
          <w:rFonts w:asciiTheme="majorBidi" w:hAnsiTheme="majorBidi" w:cstheme="majorBidi"/>
          <w:lang w:val="ru-RU"/>
        </w:rPr>
      </w:pPr>
      <w:r w:rsidRPr="00AA60B6">
        <w:rPr>
          <w:rFonts w:asciiTheme="majorBidi" w:hAnsiTheme="majorBidi" w:cstheme="majorBidi"/>
          <w:lang w:val="ru-RU"/>
        </w:rPr>
        <w:t>5.2.2.4</w:t>
      </w:r>
      <w:r w:rsidRPr="00AA60B6">
        <w:rPr>
          <w:rFonts w:asciiTheme="majorBidi" w:hAnsiTheme="majorBidi" w:cstheme="majorBidi"/>
          <w:lang w:val="ru-RU"/>
        </w:rPr>
        <w:tab/>
        <w:t>Сбор, применяемый к выделению для беспроводной абонентской связи в фиксированной службе (см. также п. 5.3.4)</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 xml:space="preserve">Для определения ежегодной суммы </w:t>
      </w:r>
      <w:r w:rsidRPr="00AA60B6">
        <w:rPr>
          <w:rFonts w:asciiTheme="majorBidi" w:hAnsiTheme="majorBidi" w:cstheme="majorBidi"/>
          <w:i/>
          <w:lang w:val="ru-RU"/>
        </w:rPr>
        <w:t>Rs</w:t>
      </w:r>
      <w:r w:rsidRPr="00AA60B6">
        <w:rPr>
          <w:rFonts w:asciiTheme="majorBidi" w:hAnsiTheme="majorBidi" w:cstheme="majorBidi"/>
          <w:lang w:val="ru-RU"/>
        </w:rPr>
        <w:t xml:space="preserve"> сбора за использование спектра можно использовать следующее уравнение:</w:t>
      </w:r>
    </w:p>
    <w:p w:rsidR="00AA60B6" w:rsidRPr="00AA60B6" w:rsidRDefault="00AA60B6" w:rsidP="005E55BB">
      <w:pPr>
        <w:tabs>
          <w:tab w:val="left" w:pos="-1190"/>
          <w:tab w:val="left" w:pos="0"/>
        </w:tabs>
        <w:spacing w:before="60" w:after="80" w:line="226" w:lineRule="auto"/>
        <w:jc w:val="center"/>
        <w:rPr>
          <w:rFonts w:asciiTheme="majorBidi" w:hAnsiTheme="majorBidi" w:cstheme="majorBidi"/>
          <w:szCs w:val="18"/>
          <w:lang w:val="ru-RU"/>
        </w:rPr>
      </w:pPr>
      <w:r w:rsidRPr="00AA60B6">
        <w:rPr>
          <w:rFonts w:asciiTheme="majorBidi" w:hAnsiTheme="majorBidi" w:cstheme="majorBidi"/>
          <w:szCs w:val="18"/>
          <w:lang w:val="ru-RU"/>
        </w:rPr>
        <w:t xml:space="preserve">Rs = L </w:t>
      </w:r>
      <w:r w:rsidRPr="005E55BB">
        <w:rPr>
          <w:rFonts w:asciiTheme="majorBidi" w:hAnsiTheme="majorBidi" w:cstheme="majorBidi"/>
          <w:position w:val="-4"/>
          <w:szCs w:val="18"/>
          <w:lang w:val="ru-RU"/>
        </w:rPr>
        <w:t>*</w:t>
      </w:r>
      <w:r w:rsidRPr="00AA60B6">
        <w:rPr>
          <w:rFonts w:asciiTheme="majorBidi" w:hAnsiTheme="majorBidi" w:cstheme="majorBidi"/>
          <w:szCs w:val="18"/>
          <w:lang w:val="ru-RU"/>
        </w:rPr>
        <w:t xml:space="preserve"> bf </w:t>
      </w:r>
      <w:r w:rsidRPr="005E55BB">
        <w:rPr>
          <w:rFonts w:asciiTheme="majorBidi" w:hAnsiTheme="majorBidi" w:cstheme="majorBidi"/>
          <w:position w:val="-4"/>
          <w:szCs w:val="18"/>
          <w:lang w:val="ru-RU"/>
        </w:rPr>
        <w:t>*</w:t>
      </w:r>
      <w:r w:rsidRPr="00AA60B6">
        <w:rPr>
          <w:rFonts w:asciiTheme="majorBidi" w:hAnsiTheme="majorBidi" w:cstheme="majorBidi"/>
          <w:szCs w:val="18"/>
          <w:lang w:val="ru-RU"/>
        </w:rPr>
        <w:t xml:space="preserve"> a </w:t>
      </w:r>
      <w:r w:rsidRPr="005E55BB">
        <w:rPr>
          <w:rFonts w:asciiTheme="majorBidi" w:hAnsiTheme="majorBidi" w:cstheme="majorBidi"/>
          <w:position w:val="-4"/>
          <w:szCs w:val="18"/>
          <w:lang w:val="ru-RU"/>
        </w:rPr>
        <w:t>*</w:t>
      </w:r>
      <w:r w:rsidRPr="00AA60B6">
        <w:rPr>
          <w:rFonts w:asciiTheme="majorBidi" w:hAnsiTheme="majorBidi" w:cstheme="majorBidi"/>
          <w:szCs w:val="18"/>
          <w:lang w:val="ru-RU"/>
        </w:rPr>
        <w:t xml:space="preserve"> c </w:t>
      </w:r>
      <w:r w:rsidRPr="005E55BB">
        <w:rPr>
          <w:rFonts w:asciiTheme="majorBidi" w:hAnsiTheme="majorBidi" w:cstheme="majorBidi"/>
          <w:position w:val="-4"/>
          <w:szCs w:val="18"/>
          <w:lang w:val="ru-RU"/>
        </w:rPr>
        <w:t>*</w:t>
      </w:r>
      <w:r w:rsidRPr="00AA60B6">
        <w:rPr>
          <w:rFonts w:asciiTheme="majorBidi" w:hAnsiTheme="majorBidi" w:cstheme="majorBidi"/>
          <w:szCs w:val="18"/>
          <w:lang w:val="ru-RU"/>
        </w:rPr>
        <w:t xml:space="preserve"> k2,</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где "c" – соотношение между площадью поверхности, охваченной данным выделением, и общей площадью поверхности национальной территории.</w:t>
      </w:r>
    </w:p>
    <w:p w:rsidR="00AA60B6" w:rsidRPr="00AA60B6" w:rsidRDefault="00AA60B6" w:rsidP="00AA60B6">
      <w:pPr>
        <w:pStyle w:val="Heading4"/>
        <w:rPr>
          <w:rFonts w:asciiTheme="majorBidi" w:hAnsiTheme="majorBidi" w:cstheme="majorBidi"/>
          <w:lang w:val="ru-RU"/>
        </w:rPr>
      </w:pPr>
      <w:r w:rsidRPr="00AA60B6">
        <w:rPr>
          <w:rFonts w:asciiTheme="majorBidi" w:hAnsiTheme="majorBidi" w:cstheme="majorBidi"/>
          <w:lang w:val="ru-RU"/>
        </w:rPr>
        <w:t>5.2.2.5</w:t>
      </w:r>
      <w:r w:rsidRPr="00AA60B6">
        <w:rPr>
          <w:rFonts w:asciiTheme="majorBidi" w:hAnsiTheme="majorBidi" w:cstheme="majorBidi"/>
          <w:lang w:val="ru-RU"/>
        </w:rPr>
        <w:tab/>
        <w:t>Сбор, применяемый к присвоению земной станции фиксированной или подвижной спутниковой службы</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 xml:space="preserve">Для определения ежегодной суммы </w:t>
      </w:r>
      <w:r w:rsidRPr="00AA60B6">
        <w:rPr>
          <w:rFonts w:asciiTheme="majorBidi" w:hAnsiTheme="majorBidi" w:cstheme="majorBidi"/>
          <w:i/>
          <w:lang w:val="ru-RU"/>
        </w:rPr>
        <w:t>Rs</w:t>
      </w:r>
      <w:r w:rsidRPr="00AA60B6">
        <w:rPr>
          <w:rFonts w:asciiTheme="majorBidi" w:hAnsiTheme="majorBidi" w:cstheme="majorBidi"/>
          <w:lang w:val="ru-RU"/>
        </w:rPr>
        <w:t xml:space="preserve"> сбора за использование спектра можно использовать следующее уравнение:</w:t>
      </w:r>
    </w:p>
    <w:p w:rsidR="00AA60B6" w:rsidRPr="00AA60B6" w:rsidRDefault="00AA60B6" w:rsidP="005E55BB">
      <w:pPr>
        <w:tabs>
          <w:tab w:val="left" w:pos="-1190"/>
          <w:tab w:val="left" w:pos="0"/>
        </w:tabs>
        <w:spacing w:before="60" w:after="80" w:line="226" w:lineRule="auto"/>
        <w:jc w:val="center"/>
        <w:rPr>
          <w:rFonts w:asciiTheme="majorBidi" w:hAnsiTheme="majorBidi" w:cstheme="majorBidi"/>
          <w:szCs w:val="18"/>
          <w:lang w:val="ru-RU"/>
        </w:rPr>
      </w:pPr>
      <w:r w:rsidRPr="00AA60B6">
        <w:rPr>
          <w:rFonts w:asciiTheme="majorBidi" w:hAnsiTheme="majorBidi" w:cstheme="majorBidi"/>
          <w:szCs w:val="18"/>
          <w:lang w:val="ru-RU"/>
        </w:rPr>
        <w:t xml:space="preserve">Rs = L </w:t>
      </w:r>
      <w:r w:rsidRPr="005E55BB">
        <w:rPr>
          <w:rFonts w:asciiTheme="majorBidi" w:hAnsiTheme="majorBidi" w:cstheme="majorBidi"/>
          <w:position w:val="-4"/>
          <w:szCs w:val="18"/>
          <w:lang w:val="ru-RU"/>
        </w:rPr>
        <w:t>*</w:t>
      </w:r>
      <w:r w:rsidRPr="00AA60B6">
        <w:rPr>
          <w:rFonts w:asciiTheme="majorBidi" w:hAnsiTheme="majorBidi" w:cstheme="majorBidi"/>
          <w:szCs w:val="18"/>
          <w:lang w:val="ru-RU"/>
        </w:rPr>
        <w:t xml:space="preserve"> bf </w:t>
      </w:r>
      <w:r w:rsidRPr="005E55BB">
        <w:rPr>
          <w:rFonts w:asciiTheme="majorBidi" w:hAnsiTheme="majorBidi" w:cstheme="majorBidi"/>
          <w:position w:val="-4"/>
          <w:szCs w:val="18"/>
          <w:lang w:val="ru-RU"/>
        </w:rPr>
        <w:t>*</w:t>
      </w:r>
      <w:r w:rsidRPr="00AA60B6">
        <w:rPr>
          <w:rFonts w:asciiTheme="majorBidi" w:hAnsiTheme="majorBidi" w:cstheme="majorBidi"/>
          <w:szCs w:val="18"/>
          <w:lang w:val="ru-RU"/>
        </w:rPr>
        <w:t xml:space="preserve"> k3</w:t>
      </w:r>
    </w:p>
    <w:p w:rsidR="00AA60B6" w:rsidRPr="00AA60B6" w:rsidRDefault="00AA60B6" w:rsidP="00AA60B6">
      <w:pPr>
        <w:pStyle w:val="Heading4"/>
        <w:rPr>
          <w:rFonts w:asciiTheme="majorBidi" w:hAnsiTheme="majorBidi" w:cstheme="majorBidi"/>
          <w:lang w:val="ru-RU"/>
        </w:rPr>
      </w:pPr>
      <w:r w:rsidRPr="00AA60B6">
        <w:rPr>
          <w:rFonts w:asciiTheme="majorBidi" w:hAnsiTheme="majorBidi" w:cstheme="majorBidi"/>
          <w:lang w:val="ru-RU"/>
        </w:rPr>
        <w:lastRenderedPageBreak/>
        <w:t>5.2.2.6</w:t>
      </w:r>
      <w:r w:rsidRPr="00AA60B6">
        <w:rPr>
          <w:rFonts w:asciiTheme="majorBidi" w:hAnsiTheme="majorBidi" w:cstheme="majorBidi"/>
          <w:lang w:val="ru-RU"/>
        </w:rPr>
        <w:tab/>
        <w:t>Сбор, применяемый к выделению фиксированной или подвижной спутниковой службы</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 xml:space="preserve">Для определения ежегодной суммы </w:t>
      </w:r>
      <w:r w:rsidRPr="00AA60B6">
        <w:rPr>
          <w:rFonts w:asciiTheme="majorBidi" w:hAnsiTheme="majorBidi" w:cstheme="majorBidi"/>
          <w:i/>
          <w:lang w:val="ru-RU"/>
        </w:rPr>
        <w:t>Rs</w:t>
      </w:r>
      <w:r w:rsidRPr="00AA60B6">
        <w:rPr>
          <w:rFonts w:asciiTheme="majorBidi" w:hAnsiTheme="majorBidi" w:cstheme="majorBidi"/>
          <w:lang w:val="ru-RU"/>
        </w:rPr>
        <w:t xml:space="preserve"> сбора за использование спектра можно использовать следующее уравнение:</w:t>
      </w:r>
    </w:p>
    <w:p w:rsidR="00AA60B6" w:rsidRPr="00AA60B6" w:rsidRDefault="00AA60B6" w:rsidP="005E55BB">
      <w:pPr>
        <w:tabs>
          <w:tab w:val="left" w:pos="-1190"/>
          <w:tab w:val="left" w:pos="0"/>
        </w:tabs>
        <w:spacing w:before="60" w:after="80" w:line="226" w:lineRule="auto"/>
        <w:jc w:val="center"/>
        <w:rPr>
          <w:rFonts w:asciiTheme="majorBidi" w:hAnsiTheme="majorBidi" w:cstheme="majorBidi"/>
          <w:szCs w:val="18"/>
          <w:lang w:val="ru-RU"/>
        </w:rPr>
      </w:pPr>
      <w:r w:rsidRPr="00AA60B6">
        <w:rPr>
          <w:rFonts w:asciiTheme="majorBidi" w:hAnsiTheme="majorBidi" w:cstheme="majorBidi"/>
          <w:szCs w:val="18"/>
          <w:lang w:val="ru-RU"/>
        </w:rPr>
        <w:t xml:space="preserve">Rs = L </w:t>
      </w:r>
      <w:r w:rsidRPr="005E55BB">
        <w:rPr>
          <w:rFonts w:asciiTheme="majorBidi" w:hAnsiTheme="majorBidi" w:cstheme="majorBidi"/>
          <w:position w:val="-4"/>
          <w:szCs w:val="18"/>
          <w:lang w:val="ru-RU"/>
        </w:rPr>
        <w:t>*</w:t>
      </w:r>
      <w:r w:rsidRPr="00AA60B6">
        <w:rPr>
          <w:rFonts w:asciiTheme="majorBidi" w:hAnsiTheme="majorBidi" w:cstheme="majorBidi"/>
          <w:szCs w:val="18"/>
          <w:lang w:val="ru-RU"/>
        </w:rPr>
        <w:t xml:space="preserve"> bf </w:t>
      </w:r>
      <w:r w:rsidRPr="005E55BB">
        <w:rPr>
          <w:rFonts w:asciiTheme="majorBidi" w:hAnsiTheme="majorBidi" w:cstheme="majorBidi"/>
          <w:position w:val="-4"/>
          <w:szCs w:val="18"/>
          <w:lang w:val="ru-RU"/>
        </w:rPr>
        <w:t>*</w:t>
      </w:r>
      <w:r w:rsidRPr="00AA60B6">
        <w:rPr>
          <w:rFonts w:asciiTheme="majorBidi" w:hAnsiTheme="majorBidi" w:cstheme="majorBidi"/>
          <w:szCs w:val="18"/>
          <w:lang w:val="ru-RU"/>
        </w:rPr>
        <w:t xml:space="preserve"> k3 </w:t>
      </w:r>
      <w:r w:rsidRPr="005E55BB">
        <w:rPr>
          <w:rFonts w:asciiTheme="majorBidi" w:hAnsiTheme="majorBidi" w:cstheme="majorBidi"/>
          <w:position w:val="-4"/>
          <w:szCs w:val="18"/>
          <w:lang w:val="ru-RU"/>
        </w:rPr>
        <w:t>*</w:t>
      </w:r>
      <w:r w:rsidRPr="00AA60B6">
        <w:rPr>
          <w:rFonts w:asciiTheme="majorBidi" w:hAnsiTheme="majorBidi" w:cstheme="majorBidi"/>
          <w:szCs w:val="18"/>
          <w:lang w:val="ru-RU"/>
        </w:rPr>
        <w:t xml:space="preserve"> a</w:t>
      </w:r>
    </w:p>
    <w:p w:rsidR="00AA60B6" w:rsidRPr="00AA60B6" w:rsidRDefault="00AA60B6" w:rsidP="00AA60B6">
      <w:pPr>
        <w:pStyle w:val="Heading4"/>
        <w:rPr>
          <w:rFonts w:asciiTheme="majorBidi" w:hAnsiTheme="majorBidi" w:cstheme="majorBidi"/>
          <w:lang w:val="ru-RU"/>
        </w:rPr>
      </w:pPr>
      <w:r w:rsidRPr="00AA60B6">
        <w:rPr>
          <w:rFonts w:asciiTheme="majorBidi" w:hAnsiTheme="majorBidi" w:cstheme="majorBidi"/>
          <w:lang w:val="ru-RU"/>
        </w:rPr>
        <w:t>5.2.2.7</w:t>
      </w:r>
      <w:r w:rsidRPr="00AA60B6">
        <w:rPr>
          <w:rFonts w:asciiTheme="majorBidi" w:hAnsiTheme="majorBidi" w:cstheme="majorBidi"/>
          <w:lang w:val="ru-RU"/>
        </w:rPr>
        <w:tab/>
        <w:t>Сбор, применяемый к присвоению частным сетям подвижной службы</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 xml:space="preserve">Для определения ежегодной суммы </w:t>
      </w:r>
      <w:r w:rsidRPr="00AA60B6">
        <w:rPr>
          <w:rFonts w:asciiTheme="majorBidi" w:hAnsiTheme="majorBidi" w:cstheme="majorBidi"/>
          <w:i/>
          <w:lang w:val="ru-RU"/>
        </w:rPr>
        <w:t>Rs</w:t>
      </w:r>
      <w:r w:rsidRPr="00AA60B6">
        <w:rPr>
          <w:rFonts w:asciiTheme="majorBidi" w:hAnsiTheme="majorBidi" w:cstheme="majorBidi"/>
          <w:lang w:val="ru-RU"/>
        </w:rPr>
        <w:t xml:space="preserve"> сбора за использование спектра можно использовать следующее уравнение:</w:t>
      </w:r>
    </w:p>
    <w:p w:rsidR="00AA60B6" w:rsidRPr="00AA60B6" w:rsidRDefault="00AA60B6" w:rsidP="005E55BB">
      <w:pPr>
        <w:tabs>
          <w:tab w:val="left" w:pos="-1190"/>
          <w:tab w:val="left" w:pos="0"/>
        </w:tabs>
        <w:spacing w:before="60" w:after="80" w:line="226" w:lineRule="auto"/>
        <w:jc w:val="center"/>
        <w:rPr>
          <w:rFonts w:asciiTheme="majorBidi" w:hAnsiTheme="majorBidi" w:cstheme="majorBidi"/>
          <w:szCs w:val="18"/>
          <w:lang w:val="ru-RU"/>
        </w:rPr>
      </w:pPr>
      <w:r w:rsidRPr="00AA60B6">
        <w:rPr>
          <w:rFonts w:asciiTheme="majorBidi" w:hAnsiTheme="majorBidi" w:cstheme="majorBidi"/>
          <w:szCs w:val="18"/>
          <w:lang w:val="ru-RU"/>
        </w:rPr>
        <w:t xml:space="preserve">Rs = L </w:t>
      </w:r>
      <w:r w:rsidRPr="005E55BB">
        <w:rPr>
          <w:rFonts w:asciiTheme="majorBidi" w:hAnsiTheme="majorBidi" w:cstheme="majorBidi"/>
          <w:position w:val="-4"/>
          <w:szCs w:val="18"/>
          <w:lang w:val="ru-RU"/>
        </w:rPr>
        <w:t>*</w:t>
      </w:r>
      <w:r w:rsidRPr="00AA60B6">
        <w:rPr>
          <w:rFonts w:asciiTheme="majorBidi" w:hAnsiTheme="majorBidi" w:cstheme="majorBidi"/>
          <w:szCs w:val="18"/>
          <w:lang w:val="ru-RU"/>
        </w:rPr>
        <w:t xml:space="preserve"> bf </w:t>
      </w:r>
      <w:r w:rsidRPr="005E55BB">
        <w:rPr>
          <w:rFonts w:asciiTheme="majorBidi" w:hAnsiTheme="majorBidi" w:cstheme="majorBidi"/>
          <w:position w:val="-4"/>
          <w:szCs w:val="18"/>
          <w:lang w:val="ru-RU"/>
        </w:rPr>
        <w:t>*</w:t>
      </w:r>
      <w:r w:rsidRPr="00AA60B6">
        <w:rPr>
          <w:rFonts w:asciiTheme="majorBidi" w:hAnsiTheme="majorBidi" w:cstheme="majorBidi"/>
          <w:szCs w:val="18"/>
          <w:lang w:val="ru-RU"/>
        </w:rPr>
        <w:t xml:space="preserve"> c </w:t>
      </w:r>
      <w:r w:rsidRPr="005E55BB">
        <w:rPr>
          <w:rFonts w:asciiTheme="majorBidi" w:hAnsiTheme="majorBidi" w:cstheme="majorBidi"/>
          <w:position w:val="-4"/>
          <w:szCs w:val="18"/>
          <w:lang w:val="ru-RU"/>
        </w:rPr>
        <w:t>*</w:t>
      </w:r>
      <w:r w:rsidRPr="00AA60B6">
        <w:rPr>
          <w:rFonts w:asciiTheme="majorBidi" w:hAnsiTheme="majorBidi" w:cstheme="majorBidi"/>
          <w:szCs w:val="18"/>
          <w:lang w:val="ru-RU"/>
        </w:rPr>
        <w:t xml:space="preserve"> k4</w:t>
      </w:r>
    </w:p>
    <w:p w:rsidR="00AA60B6" w:rsidRPr="00AA60B6" w:rsidRDefault="00AA60B6" w:rsidP="00AA60B6">
      <w:pPr>
        <w:pStyle w:val="Heading2"/>
        <w:rPr>
          <w:rFonts w:asciiTheme="majorBidi" w:hAnsiTheme="majorBidi" w:cstheme="majorBidi"/>
          <w:lang w:val="ru-RU"/>
        </w:rPr>
      </w:pPr>
      <w:bookmarkStart w:id="46" w:name="_Toc277683092"/>
      <w:bookmarkStart w:id="47" w:name="_Toc277857907"/>
      <w:r w:rsidRPr="00AA60B6">
        <w:rPr>
          <w:rFonts w:asciiTheme="majorBidi" w:hAnsiTheme="majorBidi" w:cstheme="majorBidi"/>
          <w:lang w:val="ru-RU"/>
        </w:rPr>
        <w:t>5.3</w:t>
      </w:r>
      <w:r w:rsidRPr="00AA60B6">
        <w:rPr>
          <w:rFonts w:asciiTheme="majorBidi" w:hAnsiTheme="majorBidi" w:cstheme="majorBidi"/>
          <w:lang w:val="ru-RU"/>
        </w:rPr>
        <w:tab/>
        <w:t>Сборы за использование спектра для частот, используемых для предоставления или продажи услуг, предназначенных для потребительского рынка</w:t>
      </w:r>
      <w:bookmarkEnd w:id="46"/>
      <w:bookmarkEnd w:id="47"/>
    </w:p>
    <w:p w:rsidR="00AA60B6" w:rsidRPr="00AA60B6" w:rsidRDefault="00AA60B6" w:rsidP="00AA60B6">
      <w:pPr>
        <w:pStyle w:val="Heading3"/>
        <w:rPr>
          <w:rFonts w:asciiTheme="majorBidi" w:hAnsiTheme="majorBidi" w:cstheme="majorBidi"/>
          <w:lang w:val="ru-RU"/>
        </w:rPr>
      </w:pPr>
      <w:r w:rsidRPr="00AA60B6">
        <w:rPr>
          <w:rFonts w:asciiTheme="majorBidi" w:hAnsiTheme="majorBidi" w:cstheme="majorBidi"/>
          <w:lang w:val="ru-RU"/>
        </w:rPr>
        <w:t>5.3.1</w:t>
      </w:r>
      <w:r w:rsidRPr="00AA60B6">
        <w:rPr>
          <w:rFonts w:asciiTheme="majorBidi" w:hAnsiTheme="majorBidi" w:cstheme="majorBidi"/>
          <w:lang w:val="ru-RU"/>
        </w:rPr>
        <w:tab/>
        <w:t>Замечания и общие положения</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При определении методов установления сборов необходимо учитывать, прежде всего, элементы, предусмотренные в пп. 5.1.1 и 5.1.3, не пренебрегая при этом аспектом, касающимся эффективного управления использованием спектра и эффективного использования частот.</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Вообще говоря, сборы, применяемые в отношении вышеупомянутых частот, составляют значительную часть бюджетных поступлений, которые государство получает от сборов за использование спектра.</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Для того чтобы определить доход, извлекаемый из ситуационной ренты, можно принять во внимание различные элементы, такие как население, охваченное лицензией, часть территории, охваченная лицензией, или оборот, полученный в результате предложения или продажи услуг.</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Очень часто в качестве наиболее показательного элемента в отношении реальной ренты за выгодное местоположение оператора выступает оборот.</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Если в качестве базы для расчета величины сбора выбирается оборот, то рекомендуется четко определить его внешнюю границу и содержание.</w:t>
      </w:r>
    </w:p>
    <w:p w:rsidR="00AA60B6" w:rsidRPr="00AA60B6" w:rsidRDefault="00AA60B6" w:rsidP="00AA60B6">
      <w:pPr>
        <w:pStyle w:val="Heading3"/>
        <w:rPr>
          <w:rFonts w:asciiTheme="majorBidi" w:hAnsiTheme="majorBidi" w:cstheme="majorBidi"/>
          <w:lang w:val="ru-RU"/>
        </w:rPr>
      </w:pPr>
      <w:r w:rsidRPr="00AA60B6">
        <w:rPr>
          <w:rFonts w:asciiTheme="majorBidi" w:hAnsiTheme="majorBidi" w:cstheme="majorBidi"/>
          <w:lang w:val="ru-RU"/>
        </w:rPr>
        <w:t>5.3.2</w:t>
      </w:r>
      <w:r w:rsidRPr="00AA60B6">
        <w:rPr>
          <w:rFonts w:asciiTheme="majorBidi" w:hAnsiTheme="majorBidi" w:cstheme="majorBidi"/>
          <w:lang w:val="ru-RU"/>
        </w:rPr>
        <w:tab/>
        <w:t>Пример сборов, применяемых к подвижной службе 2G</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 xml:space="preserve">Для определения ежегодной суммы </w:t>
      </w:r>
      <w:r w:rsidRPr="00AA60B6">
        <w:rPr>
          <w:rFonts w:asciiTheme="majorBidi" w:hAnsiTheme="majorBidi" w:cstheme="majorBidi"/>
          <w:i/>
          <w:lang w:val="ru-RU"/>
        </w:rPr>
        <w:t>Rs</w:t>
      </w:r>
      <w:r w:rsidRPr="00AA60B6">
        <w:rPr>
          <w:rFonts w:asciiTheme="majorBidi" w:hAnsiTheme="majorBidi" w:cstheme="majorBidi"/>
          <w:lang w:val="ru-RU"/>
        </w:rPr>
        <w:t xml:space="preserve"> сбора за использование спектра можно использовать следующее уравнение:</w:t>
      </w:r>
    </w:p>
    <w:p w:rsidR="00AA60B6" w:rsidRPr="00AA60B6" w:rsidRDefault="00AA60B6" w:rsidP="005E55BB">
      <w:pPr>
        <w:jc w:val="center"/>
        <w:rPr>
          <w:rFonts w:asciiTheme="majorBidi" w:hAnsiTheme="majorBidi" w:cstheme="majorBidi"/>
          <w:lang w:val="ru-RU"/>
        </w:rPr>
      </w:pPr>
      <w:r w:rsidRPr="00AA60B6">
        <w:rPr>
          <w:rFonts w:asciiTheme="majorBidi" w:hAnsiTheme="majorBidi" w:cstheme="majorBidi"/>
          <w:lang w:val="ru-RU"/>
        </w:rPr>
        <w:t xml:space="preserve">Rs = F + t% </w:t>
      </w:r>
      <w:r w:rsidRPr="005E55BB">
        <w:rPr>
          <w:rFonts w:asciiTheme="majorBidi" w:hAnsiTheme="majorBidi" w:cstheme="majorBidi"/>
          <w:position w:val="-4"/>
          <w:lang w:val="ru-RU"/>
        </w:rPr>
        <w:t>*</w:t>
      </w:r>
      <w:r w:rsidRPr="00AA60B6">
        <w:rPr>
          <w:rFonts w:asciiTheme="majorBidi" w:hAnsiTheme="majorBidi" w:cstheme="majorBidi"/>
          <w:lang w:val="ru-RU"/>
        </w:rPr>
        <w:t xml:space="preserve"> CA,</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где:</w:t>
      </w:r>
    </w:p>
    <w:p w:rsidR="00AA60B6" w:rsidRPr="00AA60B6" w:rsidRDefault="00AA60B6" w:rsidP="00AA60B6">
      <w:pPr>
        <w:pStyle w:val="enumlev1"/>
        <w:rPr>
          <w:rFonts w:asciiTheme="majorBidi" w:hAnsiTheme="majorBidi" w:cstheme="majorBidi"/>
          <w:lang w:val="ru-RU"/>
        </w:rPr>
      </w:pPr>
      <w:r w:rsidRPr="00AA60B6">
        <w:rPr>
          <w:rFonts w:asciiTheme="majorBidi" w:hAnsiTheme="majorBidi" w:cstheme="majorBidi"/>
          <w:lang w:val="ru-RU"/>
        </w:rPr>
        <w:sym w:font="Symbol" w:char="F02D"/>
      </w:r>
      <w:r w:rsidRPr="00AA60B6">
        <w:rPr>
          <w:rFonts w:asciiTheme="majorBidi" w:hAnsiTheme="majorBidi" w:cstheme="majorBidi"/>
          <w:lang w:val="ru-RU"/>
        </w:rPr>
        <w:tab/>
        <w:t xml:space="preserve">F – фиксированная сумма, подлежащая ежегодной выплате. Для включения задачи эффективного управления использованием спектра и эффективного использования частот сумма F должна быть пропорциональна общей ширине полосы, распределенной соответственно каждому оператору для службы 2G; </w:t>
      </w:r>
    </w:p>
    <w:p w:rsidR="00AA60B6" w:rsidRPr="00AA60B6" w:rsidRDefault="00AA60B6" w:rsidP="00AA60B6">
      <w:pPr>
        <w:pStyle w:val="enumlev1"/>
        <w:rPr>
          <w:rFonts w:asciiTheme="majorBidi" w:hAnsiTheme="majorBidi" w:cstheme="majorBidi"/>
          <w:lang w:val="ru-RU"/>
        </w:rPr>
      </w:pPr>
      <w:r w:rsidRPr="00AA60B6">
        <w:rPr>
          <w:rFonts w:asciiTheme="majorBidi" w:hAnsiTheme="majorBidi" w:cstheme="majorBidi"/>
          <w:lang w:val="ru-RU"/>
        </w:rPr>
        <w:sym w:font="Symbol" w:char="F02D"/>
      </w:r>
      <w:r w:rsidRPr="00AA60B6">
        <w:rPr>
          <w:rFonts w:asciiTheme="majorBidi" w:hAnsiTheme="majorBidi" w:cstheme="majorBidi"/>
          <w:lang w:val="ru-RU"/>
        </w:rPr>
        <w:tab/>
        <w:t>CA – оборот рассматриваемого оператора за соответствующий год, касающийся частот подвижной службы 2G;</w:t>
      </w:r>
    </w:p>
    <w:p w:rsidR="00AA60B6" w:rsidRPr="00AA60B6" w:rsidRDefault="00AA60B6" w:rsidP="00AA60B6">
      <w:pPr>
        <w:pStyle w:val="enumlev1"/>
        <w:rPr>
          <w:rFonts w:asciiTheme="majorBidi" w:hAnsiTheme="majorBidi" w:cstheme="majorBidi"/>
          <w:lang w:val="ru-RU"/>
        </w:rPr>
      </w:pPr>
      <w:r w:rsidRPr="00AA60B6">
        <w:rPr>
          <w:rFonts w:asciiTheme="majorBidi" w:hAnsiTheme="majorBidi" w:cstheme="majorBidi"/>
          <w:lang w:val="ru-RU"/>
        </w:rPr>
        <w:sym w:font="Symbol" w:char="F02D"/>
      </w:r>
      <w:r w:rsidRPr="00AA60B6">
        <w:rPr>
          <w:rFonts w:asciiTheme="majorBidi" w:hAnsiTheme="majorBidi" w:cstheme="majorBidi"/>
          <w:lang w:val="ru-RU"/>
        </w:rPr>
        <w:tab/>
        <w:t>t% – процент, который может быть взят с оборота данного оператора. Вообще говоря, величина t%, применяемая администрациями, составляет 1% или около того.</w:t>
      </w:r>
    </w:p>
    <w:p w:rsidR="00AA60B6" w:rsidRPr="00AA60B6" w:rsidRDefault="00AA60B6" w:rsidP="00AA60B6">
      <w:pPr>
        <w:pStyle w:val="Heading3"/>
        <w:rPr>
          <w:rFonts w:asciiTheme="majorBidi" w:hAnsiTheme="majorBidi" w:cstheme="majorBidi"/>
          <w:lang w:val="ru-RU"/>
        </w:rPr>
      </w:pPr>
      <w:r w:rsidRPr="00AA60B6">
        <w:rPr>
          <w:rFonts w:asciiTheme="majorBidi" w:hAnsiTheme="majorBidi" w:cstheme="majorBidi"/>
          <w:lang w:val="ru-RU"/>
        </w:rPr>
        <w:t>5.3.3</w:t>
      </w:r>
      <w:r w:rsidRPr="00AA60B6">
        <w:rPr>
          <w:rFonts w:asciiTheme="majorBidi" w:hAnsiTheme="majorBidi" w:cstheme="majorBidi"/>
          <w:lang w:val="ru-RU"/>
        </w:rPr>
        <w:tab/>
        <w:t>Пример сборов, применяемых к подвижной службе 3G</w:t>
      </w:r>
    </w:p>
    <w:p w:rsidR="00AA60B6" w:rsidRPr="00AA60B6" w:rsidRDefault="00AA60B6" w:rsidP="00AA60B6">
      <w:pPr>
        <w:keepNext/>
        <w:keepLines/>
        <w:rPr>
          <w:rFonts w:asciiTheme="majorBidi" w:hAnsiTheme="majorBidi" w:cstheme="majorBidi"/>
          <w:lang w:val="ru-RU"/>
        </w:rPr>
      </w:pPr>
      <w:r w:rsidRPr="00AA60B6">
        <w:rPr>
          <w:rFonts w:asciiTheme="majorBidi" w:hAnsiTheme="majorBidi" w:cstheme="majorBidi"/>
          <w:lang w:val="ru-RU"/>
        </w:rPr>
        <w:t xml:space="preserve">Для определения ежегодной суммы </w:t>
      </w:r>
      <w:r w:rsidRPr="00AA60B6">
        <w:rPr>
          <w:rFonts w:asciiTheme="majorBidi" w:hAnsiTheme="majorBidi" w:cstheme="majorBidi"/>
          <w:i/>
          <w:lang w:val="ru-RU"/>
        </w:rPr>
        <w:t>Rs</w:t>
      </w:r>
      <w:r w:rsidRPr="00AA60B6">
        <w:rPr>
          <w:rFonts w:asciiTheme="majorBidi" w:hAnsiTheme="majorBidi" w:cstheme="majorBidi"/>
          <w:lang w:val="ru-RU"/>
        </w:rPr>
        <w:t xml:space="preserve"> сборов за использование спектра можно использовать следующее уравнение:</w:t>
      </w:r>
    </w:p>
    <w:p w:rsidR="00AA60B6" w:rsidRPr="00AA60B6" w:rsidRDefault="00AA60B6" w:rsidP="005E55BB">
      <w:pPr>
        <w:keepNext/>
        <w:keepLines/>
        <w:tabs>
          <w:tab w:val="left" w:pos="-1190"/>
          <w:tab w:val="left" w:pos="0"/>
        </w:tabs>
        <w:spacing w:before="60" w:after="80" w:line="230" w:lineRule="auto"/>
        <w:jc w:val="center"/>
        <w:rPr>
          <w:rFonts w:asciiTheme="majorBidi" w:hAnsiTheme="majorBidi" w:cstheme="majorBidi"/>
          <w:szCs w:val="18"/>
          <w:lang w:val="ru-RU"/>
        </w:rPr>
      </w:pPr>
      <w:r w:rsidRPr="00AA60B6">
        <w:rPr>
          <w:rFonts w:asciiTheme="majorBidi" w:hAnsiTheme="majorBidi" w:cstheme="majorBidi"/>
          <w:szCs w:val="18"/>
          <w:lang w:val="ru-RU"/>
        </w:rPr>
        <w:t xml:space="preserve">Rs = t% </w:t>
      </w:r>
      <w:r w:rsidRPr="005E55BB">
        <w:rPr>
          <w:rFonts w:asciiTheme="majorBidi" w:hAnsiTheme="majorBidi" w:cstheme="majorBidi"/>
          <w:position w:val="-4"/>
          <w:szCs w:val="18"/>
          <w:lang w:val="ru-RU"/>
        </w:rPr>
        <w:t>*</w:t>
      </w:r>
      <w:r w:rsidRPr="00AA60B6">
        <w:rPr>
          <w:rFonts w:asciiTheme="majorBidi" w:hAnsiTheme="majorBidi" w:cstheme="majorBidi"/>
          <w:szCs w:val="18"/>
          <w:lang w:val="ru-RU"/>
        </w:rPr>
        <w:t xml:space="preserve"> CA,</w:t>
      </w:r>
    </w:p>
    <w:p w:rsidR="00AA60B6" w:rsidRPr="00AA60B6" w:rsidRDefault="00AA60B6" w:rsidP="00AA60B6">
      <w:pPr>
        <w:keepNext/>
        <w:keepLines/>
        <w:rPr>
          <w:rFonts w:asciiTheme="majorBidi" w:hAnsiTheme="majorBidi" w:cstheme="majorBidi"/>
          <w:lang w:val="ru-RU"/>
        </w:rPr>
      </w:pPr>
      <w:r w:rsidRPr="00AA60B6">
        <w:rPr>
          <w:rFonts w:asciiTheme="majorBidi" w:hAnsiTheme="majorBidi" w:cstheme="majorBidi"/>
          <w:lang w:val="ru-RU"/>
        </w:rPr>
        <w:t>где:</w:t>
      </w:r>
    </w:p>
    <w:p w:rsidR="00AA60B6" w:rsidRPr="00AA60B6" w:rsidRDefault="00AA60B6" w:rsidP="00AA60B6">
      <w:pPr>
        <w:pStyle w:val="enumlev1"/>
        <w:rPr>
          <w:rFonts w:asciiTheme="majorBidi" w:hAnsiTheme="majorBidi" w:cstheme="majorBidi"/>
          <w:lang w:val="ru-RU"/>
        </w:rPr>
      </w:pPr>
      <w:r w:rsidRPr="00AA60B6">
        <w:rPr>
          <w:rFonts w:asciiTheme="majorBidi" w:hAnsiTheme="majorBidi" w:cstheme="majorBidi"/>
          <w:lang w:val="ru-RU"/>
        </w:rPr>
        <w:sym w:font="Symbol" w:char="F02D"/>
      </w:r>
      <w:r w:rsidRPr="00AA60B6">
        <w:rPr>
          <w:rFonts w:asciiTheme="majorBidi" w:hAnsiTheme="majorBidi" w:cstheme="majorBidi"/>
          <w:lang w:val="ru-RU"/>
        </w:rPr>
        <w:tab/>
        <w:t>CA – оборот данного оператора за соответствующий год, касающийся частот подвижной службы 3G;</w:t>
      </w:r>
    </w:p>
    <w:p w:rsidR="00AA60B6" w:rsidRPr="00AA60B6" w:rsidRDefault="00AA60B6" w:rsidP="00AA60B6">
      <w:pPr>
        <w:pStyle w:val="enumlev1"/>
        <w:rPr>
          <w:rFonts w:asciiTheme="majorBidi" w:hAnsiTheme="majorBidi" w:cstheme="majorBidi"/>
          <w:lang w:val="ru-RU"/>
        </w:rPr>
      </w:pPr>
      <w:r w:rsidRPr="00AA60B6">
        <w:rPr>
          <w:rFonts w:asciiTheme="majorBidi" w:hAnsiTheme="majorBidi" w:cstheme="majorBidi"/>
          <w:lang w:val="ru-RU"/>
        </w:rPr>
        <w:lastRenderedPageBreak/>
        <w:sym w:font="Symbol" w:char="F02D"/>
      </w:r>
      <w:r w:rsidRPr="00AA60B6">
        <w:rPr>
          <w:rFonts w:asciiTheme="majorBidi" w:hAnsiTheme="majorBidi" w:cstheme="majorBidi"/>
          <w:lang w:val="ru-RU"/>
        </w:rPr>
        <w:tab/>
        <w:t>t% – процент, который может быть взят с оборота данного оператора.</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К этому ежегодному сбору добавляется "вступительный взнос", уплачиваемый один раз в момент выдачи лицензии. При желании включить задачу эффективного управления использованием спектра и эффективного использования частот, величина вступительного взноса, которая может быть пропорциональна распределенной ширине полосы, должна устанавливаться с учетом, в частности, п.</w:t>
      </w:r>
      <w:r w:rsidR="0090766A">
        <w:rPr>
          <w:rFonts w:asciiTheme="majorBidi" w:hAnsiTheme="majorBidi" w:cstheme="majorBidi"/>
          <w:lang w:val="ru-RU"/>
        </w:rPr>
        <w:t> </w:t>
      </w:r>
      <w:r w:rsidRPr="00AA60B6">
        <w:rPr>
          <w:rFonts w:asciiTheme="majorBidi" w:hAnsiTheme="majorBidi" w:cstheme="majorBidi"/>
          <w:lang w:val="ru-RU"/>
        </w:rPr>
        <w:t>[23], с тем чтобы, в соответствующем случае, не сдерживать развертывание сетей компаний, впервые вступающих в отрасль.</w:t>
      </w:r>
    </w:p>
    <w:p w:rsidR="00AA60B6" w:rsidRPr="00AA60B6" w:rsidRDefault="00AA60B6" w:rsidP="00AA60B6">
      <w:pPr>
        <w:pStyle w:val="Heading3"/>
        <w:rPr>
          <w:rFonts w:asciiTheme="majorBidi" w:hAnsiTheme="majorBidi" w:cstheme="majorBidi"/>
          <w:lang w:val="ru-RU"/>
        </w:rPr>
      </w:pPr>
      <w:r w:rsidRPr="00AA60B6">
        <w:rPr>
          <w:rFonts w:asciiTheme="majorBidi" w:hAnsiTheme="majorBidi" w:cstheme="majorBidi"/>
          <w:lang w:val="ru-RU"/>
        </w:rPr>
        <w:t>5.3.4</w:t>
      </w:r>
      <w:r w:rsidRPr="00AA60B6">
        <w:rPr>
          <w:rFonts w:asciiTheme="majorBidi" w:hAnsiTheme="majorBidi" w:cstheme="majorBidi"/>
          <w:lang w:val="ru-RU"/>
        </w:rPr>
        <w:tab/>
        <w:t>Пример сборов, применяемых к фиксированной службе беспроводной абонентской связи</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 xml:space="preserve">Для определения ежегодной суммы </w:t>
      </w:r>
      <w:r w:rsidRPr="00AA60B6">
        <w:rPr>
          <w:rFonts w:asciiTheme="majorBidi" w:hAnsiTheme="majorBidi" w:cstheme="majorBidi"/>
          <w:i/>
          <w:lang w:val="ru-RU"/>
        </w:rPr>
        <w:t>Rs</w:t>
      </w:r>
      <w:r w:rsidRPr="00AA60B6">
        <w:rPr>
          <w:rFonts w:asciiTheme="majorBidi" w:hAnsiTheme="majorBidi" w:cstheme="majorBidi"/>
          <w:lang w:val="ru-RU"/>
        </w:rPr>
        <w:t xml:space="preserve"> сбора за использование спектра можно использовать следующее уравнение:</w:t>
      </w:r>
    </w:p>
    <w:p w:rsidR="00AA60B6" w:rsidRPr="00AA60B6" w:rsidRDefault="00AA60B6" w:rsidP="005E55BB">
      <w:pPr>
        <w:tabs>
          <w:tab w:val="left" w:pos="-1190"/>
          <w:tab w:val="left" w:pos="0"/>
        </w:tabs>
        <w:spacing w:before="60" w:after="80" w:line="230" w:lineRule="auto"/>
        <w:jc w:val="center"/>
        <w:rPr>
          <w:rFonts w:asciiTheme="majorBidi" w:hAnsiTheme="majorBidi" w:cstheme="majorBidi"/>
          <w:szCs w:val="18"/>
          <w:lang w:val="ru-RU"/>
        </w:rPr>
      </w:pPr>
      <w:r w:rsidRPr="00AA60B6">
        <w:rPr>
          <w:rFonts w:asciiTheme="majorBidi" w:hAnsiTheme="majorBidi" w:cstheme="majorBidi"/>
          <w:szCs w:val="18"/>
          <w:lang w:val="ru-RU"/>
        </w:rPr>
        <w:t xml:space="preserve">Rs = t% </w:t>
      </w:r>
      <w:r w:rsidRPr="005E55BB">
        <w:rPr>
          <w:rFonts w:asciiTheme="majorBidi" w:hAnsiTheme="majorBidi" w:cstheme="majorBidi"/>
          <w:position w:val="-4"/>
          <w:szCs w:val="18"/>
          <w:lang w:val="ru-RU"/>
        </w:rPr>
        <w:t>*</w:t>
      </w:r>
      <w:r w:rsidRPr="00AA60B6">
        <w:rPr>
          <w:rFonts w:asciiTheme="majorBidi" w:hAnsiTheme="majorBidi" w:cstheme="majorBidi"/>
          <w:szCs w:val="18"/>
          <w:lang w:val="ru-RU"/>
        </w:rPr>
        <w:t xml:space="preserve"> CA,</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где:</w:t>
      </w:r>
    </w:p>
    <w:p w:rsidR="00AA60B6" w:rsidRPr="00AA60B6" w:rsidRDefault="00AA60B6" w:rsidP="00AA60B6">
      <w:pPr>
        <w:pStyle w:val="enumlev1"/>
        <w:rPr>
          <w:rFonts w:asciiTheme="majorBidi" w:hAnsiTheme="majorBidi" w:cstheme="majorBidi"/>
          <w:lang w:val="ru-RU"/>
        </w:rPr>
      </w:pPr>
      <w:r w:rsidRPr="00AA60B6">
        <w:rPr>
          <w:rFonts w:asciiTheme="majorBidi" w:hAnsiTheme="majorBidi" w:cstheme="majorBidi"/>
          <w:lang w:val="ru-RU"/>
        </w:rPr>
        <w:t>–</w:t>
      </w:r>
      <w:r w:rsidRPr="00AA60B6">
        <w:rPr>
          <w:rFonts w:asciiTheme="majorBidi" w:hAnsiTheme="majorBidi" w:cstheme="majorBidi"/>
          <w:lang w:val="ru-RU"/>
        </w:rPr>
        <w:tab/>
        <w:t>CA – оборот данного оператора за соответствующий год, касающийся частот для фиксированной службы беспроводной абонентской связи;</w:t>
      </w:r>
    </w:p>
    <w:p w:rsidR="00AA60B6" w:rsidRPr="00AA60B6" w:rsidRDefault="00AA60B6" w:rsidP="00AA60B6">
      <w:pPr>
        <w:pStyle w:val="enumlev1"/>
        <w:rPr>
          <w:rFonts w:asciiTheme="majorBidi" w:hAnsiTheme="majorBidi" w:cstheme="majorBidi"/>
          <w:lang w:val="ru-RU"/>
        </w:rPr>
      </w:pPr>
      <w:r w:rsidRPr="00AA60B6">
        <w:rPr>
          <w:rFonts w:asciiTheme="majorBidi" w:hAnsiTheme="majorBidi" w:cstheme="majorBidi"/>
          <w:lang w:val="ru-RU"/>
        </w:rPr>
        <w:t>–</w:t>
      </w:r>
      <w:r w:rsidRPr="00AA60B6">
        <w:rPr>
          <w:rFonts w:asciiTheme="majorBidi" w:hAnsiTheme="majorBidi" w:cstheme="majorBidi"/>
          <w:lang w:val="ru-RU"/>
        </w:rPr>
        <w:tab/>
        <w:t>t% – процент, который может быть взят с оборота данного оператора.</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К этому ежегодному сбору добавляется "вступительный взнос", уплачиваемая один раз в момент выдачи лицензии. При желании включить задачу эффективного управления использованием спектра и эффективного использования частот, величина вступительного взноса, которая может быть пропорциональна распределенной ширине полосы, должна устанавливаться с учетом, в частности, п. [23], с тем чтобы, в соответствующем случае, не сдерживать развертывание сетей компаний, впервые вступающих в отрасль.</w:t>
      </w:r>
    </w:p>
    <w:p w:rsidR="00AA60B6" w:rsidRPr="00AA60B6" w:rsidRDefault="00AA60B6" w:rsidP="00AA60B6">
      <w:pPr>
        <w:pStyle w:val="Heading3"/>
        <w:rPr>
          <w:rFonts w:asciiTheme="majorBidi" w:hAnsiTheme="majorBidi" w:cstheme="majorBidi"/>
          <w:lang w:val="ru-RU"/>
        </w:rPr>
      </w:pPr>
      <w:r w:rsidRPr="00AA60B6">
        <w:rPr>
          <w:rFonts w:asciiTheme="majorBidi" w:hAnsiTheme="majorBidi" w:cstheme="majorBidi"/>
          <w:lang w:val="ru-RU"/>
        </w:rPr>
        <w:t>5.3.5</w:t>
      </w:r>
      <w:r w:rsidRPr="00AA60B6">
        <w:rPr>
          <w:rFonts w:asciiTheme="majorBidi" w:hAnsiTheme="majorBidi" w:cstheme="majorBidi"/>
          <w:lang w:val="ru-RU"/>
        </w:rPr>
        <w:tab/>
        <w:t>Пример сборов, применяемых к продюсерам телепрограмм</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 xml:space="preserve">Для определения ежегодной суммы </w:t>
      </w:r>
      <w:r w:rsidRPr="00AA60B6">
        <w:rPr>
          <w:rFonts w:asciiTheme="majorBidi" w:hAnsiTheme="majorBidi" w:cstheme="majorBidi"/>
          <w:i/>
          <w:lang w:val="ru-RU"/>
        </w:rPr>
        <w:t>Rs</w:t>
      </w:r>
      <w:r w:rsidRPr="00AA60B6">
        <w:rPr>
          <w:rFonts w:asciiTheme="majorBidi" w:hAnsiTheme="majorBidi" w:cstheme="majorBidi"/>
          <w:lang w:val="ru-RU"/>
        </w:rPr>
        <w:t xml:space="preserve"> сборов за использование спектра можно использовать следующее уравнение:</w:t>
      </w:r>
    </w:p>
    <w:p w:rsidR="00AA60B6" w:rsidRPr="00AA60B6" w:rsidRDefault="00AA60B6" w:rsidP="005E55BB">
      <w:pPr>
        <w:spacing w:before="60" w:after="80" w:line="230" w:lineRule="auto"/>
        <w:jc w:val="center"/>
        <w:rPr>
          <w:rFonts w:asciiTheme="majorBidi" w:hAnsiTheme="majorBidi" w:cstheme="majorBidi"/>
          <w:szCs w:val="18"/>
          <w:lang w:val="ru-RU"/>
        </w:rPr>
      </w:pPr>
      <w:r w:rsidRPr="00AA60B6">
        <w:rPr>
          <w:rFonts w:asciiTheme="majorBidi" w:hAnsiTheme="majorBidi" w:cstheme="majorBidi"/>
          <w:szCs w:val="18"/>
          <w:lang w:val="ru-RU"/>
        </w:rPr>
        <w:t xml:space="preserve">Rs = F + t% </w:t>
      </w:r>
      <w:r w:rsidRPr="005E55BB">
        <w:rPr>
          <w:rFonts w:asciiTheme="majorBidi" w:hAnsiTheme="majorBidi" w:cstheme="majorBidi"/>
          <w:position w:val="-4"/>
          <w:szCs w:val="18"/>
          <w:lang w:val="ru-RU"/>
        </w:rPr>
        <w:t>*</w:t>
      </w:r>
      <w:r w:rsidRPr="00AA60B6">
        <w:rPr>
          <w:rFonts w:asciiTheme="majorBidi" w:hAnsiTheme="majorBidi" w:cstheme="majorBidi"/>
          <w:szCs w:val="18"/>
          <w:lang w:val="ru-RU"/>
        </w:rPr>
        <w:t xml:space="preserve"> CA,</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где:</w:t>
      </w:r>
    </w:p>
    <w:p w:rsidR="00AA60B6" w:rsidRPr="00AA60B6" w:rsidRDefault="00AA60B6" w:rsidP="00AA60B6">
      <w:pPr>
        <w:pStyle w:val="enumlev1"/>
        <w:rPr>
          <w:rFonts w:asciiTheme="majorBidi" w:hAnsiTheme="majorBidi" w:cstheme="majorBidi"/>
          <w:lang w:val="ru-RU"/>
        </w:rPr>
      </w:pPr>
      <w:r w:rsidRPr="00AA60B6">
        <w:rPr>
          <w:rFonts w:asciiTheme="majorBidi" w:hAnsiTheme="majorBidi" w:cstheme="majorBidi"/>
          <w:lang w:val="ru-RU"/>
        </w:rPr>
        <w:t>–</w:t>
      </w:r>
      <w:r w:rsidRPr="00AA60B6">
        <w:rPr>
          <w:rFonts w:asciiTheme="majorBidi" w:hAnsiTheme="majorBidi" w:cstheme="majorBidi"/>
          <w:lang w:val="ru-RU"/>
        </w:rPr>
        <w:tab/>
        <w:t>F – фиксированная сумма, подлежащая ежегодной выплате. Для включения задачи эффективного управления использованием спектра и эффективного использования частот сумма F должна быть пропорциональна общей ширине полосы, распределенной соответственно каждому оператору для целей телевещания;</w:t>
      </w:r>
    </w:p>
    <w:p w:rsidR="00AA60B6" w:rsidRPr="00AA60B6" w:rsidRDefault="00AA60B6" w:rsidP="00AA60B6">
      <w:pPr>
        <w:pStyle w:val="enumlev1"/>
        <w:rPr>
          <w:rFonts w:asciiTheme="majorBidi" w:hAnsiTheme="majorBidi" w:cstheme="majorBidi"/>
          <w:lang w:val="ru-RU"/>
        </w:rPr>
      </w:pPr>
      <w:r w:rsidRPr="00AA60B6">
        <w:rPr>
          <w:rFonts w:asciiTheme="majorBidi" w:hAnsiTheme="majorBidi" w:cstheme="majorBidi"/>
          <w:lang w:val="ru-RU"/>
        </w:rPr>
        <w:t>–</w:t>
      </w:r>
      <w:r w:rsidRPr="00AA60B6">
        <w:rPr>
          <w:rFonts w:asciiTheme="majorBidi" w:hAnsiTheme="majorBidi" w:cstheme="majorBidi"/>
          <w:lang w:val="ru-RU"/>
        </w:rPr>
        <w:tab/>
        <w:t>CA – оборот данного оператора за соответствующий год, созданный в результате доходов от рекламы, а также, в соответствующем случае, доходов от абонентской платы и платы за просмотр;</w:t>
      </w:r>
    </w:p>
    <w:p w:rsidR="00AA60B6" w:rsidRPr="00AA60B6" w:rsidRDefault="00AA60B6" w:rsidP="00AA60B6">
      <w:pPr>
        <w:pStyle w:val="enumlev1"/>
        <w:rPr>
          <w:rFonts w:asciiTheme="majorBidi" w:hAnsiTheme="majorBidi" w:cstheme="majorBidi"/>
          <w:lang w:val="ru-RU"/>
        </w:rPr>
      </w:pPr>
      <w:r w:rsidRPr="00AA60B6">
        <w:rPr>
          <w:rFonts w:asciiTheme="majorBidi" w:hAnsiTheme="majorBidi" w:cstheme="majorBidi"/>
          <w:lang w:val="ru-RU"/>
        </w:rPr>
        <w:t>–</w:t>
      </w:r>
      <w:r w:rsidRPr="00AA60B6">
        <w:rPr>
          <w:rFonts w:asciiTheme="majorBidi" w:hAnsiTheme="majorBidi" w:cstheme="majorBidi"/>
          <w:lang w:val="ru-RU"/>
        </w:rPr>
        <w:tab/>
        <w:t>t% – процент, который может быть взят с оборота данного оператора.</w:t>
      </w:r>
    </w:p>
    <w:p w:rsidR="00AA60B6" w:rsidRPr="00AA60B6" w:rsidRDefault="00AA60B6" w:rsidP="00AA60B6">
      <w:pPr>
        <w:pStyle w:val="Heading1"/>
        <w:rPr>
          <w:rFonts w:asciiTheme="majorBidi" w:hAnsiTheme="majorBidi" w:cstheme="majorBidi"/>
          <w:lang w:val="ru-RU"/>
        </w:rPr>
      </w:pPr>
      <w:bookmarkStart w:id="48" w:name="_Toc277683093"/>
      <w:bookmarkStart w:id="49" w:name="_Toc277857908"/>
      <w:r w:rsidRPr="00AA60B6">
        <w:rPr>
          <w:rFonts w:asciiTheme="majorBidi" w:hAnsiTheme="majorBidi" w:cstheme="majorBidi"/>
          <w:lang w:val="ru-RU"/>
        </w:rPr>
        <w:t>6</w:t>
      </w:r>
      <w:r w:rsidRPr="00AA60B6">
        <w:rPr>
          <w:rFonts w:asciiTheme="majorBidi" w:hAnsiTheme="majorBidi" w:cstheme="majorBidi"/>
          <w:lang w:val="ru-RU"/>
        </w:rPr>
        <w:tab/>
        <w:t>Рекомендации для международного сравнения применяемых уровней сборов</w:t>
      </w:r>
      <w:bookmarkEnd w:id="48"/>
      <w:bookmarkEnd w:id="49"/>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База данных тарифов</w:t>
      </w:r>
      <w:r w:rsidRPr="00AA60B6">
        <w:rPr>
          <w:rFonts w:asciiTheme="majorBidi" w:hAnsiTheme="majorBidi" w:cstheme="majorBidi"/>
          <w:iCs/>
          <w:lang w:val="ru-RU"/>
        </w:rPr>
        <w:t xml:space="preserve"> за использование спектра</w:t>
      </w:r>
      <w:r w:rsidRPr="00AA60B6">
        <w:rPr>
          <w:rFonts w:asciiTheme="majorBidi" w:hAnsiTheme="majorBidi" w:cstheme="majorBidi"/>
          <w:lang w:val="ru-RU"/>
        </w:rPr>
        <w:t>, созданная на веб-сайте МСЭ в соответствии с Резолюцией 9, содержит данные, касающиеся систем сборов, применяемых различными администрациями.</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При проведении международного сравнения уровней сборов, применяемых каждой из рассматриваемых стран, необходимо учитывать многочисленные факторы (см. Приложение 4).</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Из числа этих факторов, определение которых может в некоторых случаях потребовать значительных затрат времени и ресурсов, рекомендуется использовать ВВП или ВВП на одного жителя в качестве поправочного коэффициента, применяемого к необработанным данным, для того чтобы в первый раз легко и быстро получить относительно удовлетворительное сравнение уровней тарифов.</w:t>
      </w:r>
    </w:p>
    <w:p w:rsidR="00AA60B6" w:rsidRDefault="00AA60B6" w:rsidP="008347A9">
      <w:pPr>
        <w:pStyle w:val="Heading1"/>
        <w:keepNext w:val="0"/>
        <w:keepLines w:val="0"/>
        <w:pageBreakBefore/>
        <w:rPr>
          <w:rFonts w:asciiTheme="majorBidi" w:hAnsiTheme="majorBidi" w:cstheme="majorBidi"/>
          <w:lang w:val="ru-RU"/>
        </w:rPr>
      </w:pPr>
      <w:bookmarkStart w:id="50" w:name="_Toc277683094"/>
      <w:bookmarkStart w:id="51" w:name="_Toc277857909"/>
      <w:r w:rsidRPr="00AA60B6">
        <w:rPr>
          <w:rFonts w:asciiTheme="majorBidi" w:hAnsiTheme="majorBidi" w:cstheme="majorBidi"/>
          <w:lang w:val="ru-RU"/>
        </w:rPr>
        <w:lastRenderedPageBreak/>
        <w:t>7</w:t>
      </w:r>
      <w:r w:rsidRPr="00AA60B6">
        <w:rPr>
          <w:rFonts w:asciiTheme="majorBidi" w:hAnsiTheme="majorBidi" w:cstheme="majorBidi"/>
          <w:lang w:val="ru-RU"/>
        </w:rPr>
        <w:tab/>
        <w:t>Схема рекомендуемой системы сборов</w:t>
      </w:r>
      <w:bookmarkEnd w:id="50"/>
      <w:bookmarkEnd w:id="51"/>
    </w:p>
    <w:p w:rsidR="008C51B8" w:rsidRPr="008C51B8" w:rsidRDefault="008C51B8" w:rsidP="008C51B8">
      <w:pPr>
        <w:spacing w:before="0"/>
        <w:rPr>
          <w:lang w:val="ru-RU"/>
        </w:rPr>
      </w:pPr>
    </w:p>
    <w:p w:rsidR="008C51B8" w:rsidRPr="00CF3737" w:rsidRDefault="008C51B8" w:rsidP="008C51B8">
      <w:pPr>
        <w:pStyle w:val="FigureTitle"/>
        <w:rPr>
          <w:highlight w:val="yellow"/>
        </w:rPr>
      </w:pPr>
    </w:p>
    <w:p w:rsidR="008C51B8" w:rsidRDefault="005D1F2F" w:rsidP="008C51B8">
      <w:pPr>
        <w:pStyle w:val="FigureSource"/>
      </w:pPr>
      <w:r w:rsidRPr="005D1F2F">
        <w:rPr>
          <w:rFonts w:asciiTheme="majorBidi" w:hAnsiTheme="majorBidi" w:cstheme="majorBidi"/>
          <w:lang w:val="ru-RU"/>
        </w:rPr>
      </w:r>
      <w:r w:rsidRPr="005D1F2F">
        <w:rPr>
          <w:rFonts w:asciiTheme="majorBidi" w:hAnsiTheme="majorBidi" w:cstheme="majorBidi"/>
          <w:lang w:val="ru-RU"/>
        </w:rPr>
        <w:pict>
          <v:group id="_x0000_s1065" editas="canvas" style="width:340.15pt;height:239.8pt;mso-position-horizontal-relative:char;mso-position-vertical-relative:line" coordorigin="1136,2380" coordsize="6803,4796">
            <o:lock v:ext="edit" aspectratio="t"/>
            <v:shape id="_x0000_s1066" type="#_x0000_t75" style="position:absolute;left:1136;top:2380;width:6803;height:4796" o:preferrelative="f">
              <v:fill o:detectmouseclick="t"/>
              <v:path o:extrusionok="t" o:connecttype="none"/>
              <o:lock v:ext="edit" text="t"/>
            </v:shape>
            <v:rect id="_x0000_s1067" style="position:absolute;left:1286;top:2380;width:5419;height:358" filled="f" strokecolor="#e46c0a" strokeweight="19e-5mm">
              <v:stroke endcap="round"/>
            </v:rect>
            <v:rect id="_x0000_s1068" style="position:absolute;left:1310;top:2415;width:5341;height:323;v-text-anchor:top" filled="f" stroked="f">
              <v:textbox style="mso-next-textbox:#_x0000_s1068" inset="0,0,0,0">
                <w:txbxContent>
                  <w:p w:rsidR="005E55BB" w:rsidRPr="00FD76A4" w:rsidRDefault="005E55BB" w:rsidP="00AA60B6">
                    <w:pPr>
                      <w:spacing w:before="0"/>
                      <w:jc w:val="center"/>
                      <w:rPr>
                        <w:sz w:val="20"/>
                        <w:lang w:val="ru-RU"/>
                      </w:rPr>
                    </w:pPr>
                    <w:r w:rsidRPr="00FD76A4">
                      <w:rPr>
                        <w:rFonts w:cs="Calibri"/>
                        <w:color w:val="7030A0"/>
                        <w:sz w:val="20"/>
                        <w:lang w:val="ru-RU"/>
                      </w:rPr>
                      <w:t>Целесообразно различать два вида сборов</w:t>
                    </w:r>
                  </w:p>
                </w:txbxContent>
              </v:textbox>
            </v:rect>
            <v:shape id="_x0000_s1069" style="position:absolute;left:1136;top:2929;width:2092;height:648" coordsize="7875,2437" path="m406,hdc182,,,182,,406hal,2031hdc,2256,182,2437,406,2437hal7469,2437hdc7693,2437,7875,2256,7875,2031hal7875,406hdc7875,182,7693,,7469,hal406,hdxe" filled="f" strokecolor="#385d8a" strokeweight="56e-5mm">
              <v:stroke endcap="round"/>
              <v:path arrowok="t"/>
            </v:shape>
            <v:rect id="_x0000_s1070" style="position:absolute;left:1136;top:2994;width:2093;height:552;v-text-anchor:top" filled="f" stroked="f">
              <v:textbox style="mso-next-textbox:#_x0000_s1070;mso-fit-shape-to-text:t" inset="0,0,0,0">
                <w:txbxContent>
                  <w:p w:rsidR="005E55BB" w:rsidRPr="00AA36C8" w:rsidRDefault="005E55BB" w:rsidP="00AA60B6">
                    <w:pPr>
                      <w:spacing w:before="0"/>
                      <w:jc w:val="center"/>
                      <w:rPr>
                        <w:rFonts w:cs="Calibri"/>
                        <w:color w:val="FF0000"/>
                        <w:sz w:val="16"/>
                        <w:szCs w:val="16"/>
                        <w:lang w:val="ru-RU"/>
                      </w:rPr>
                    </w:pPr>
                    <w:r w:rsidRPr="00AA36C8">
                      <w:rPr>
                        <w:rFonts w:cs="Calibri"/>
                        <w:color w:val="FF0000"/>
                        <w:sz w:val="16"/>
                        <w:szCs w:val="16"/>
                        <w:lang w:val="ru-RU"/>
                      </w:rPr>
                      <w:t>Планирование, управление</w:t>
                    </w:r>
                    <w:r w:rsidRPr="00AA36C8">
                      <w:rPr>
                        <w:rFonts w:cs="Calibri"/>
                        <w:color w:val="FF0000"/>
                        <w:sz w:val="16"/>
                        <w:szCs w:val="16"/>
                        <w:lang w:val="ru-RU"/>
                      </w:rPr>
                      <w:br/>
                      <w:t>использованием и контроль</w:t>
                    </w:r>
                    <w:r w:rsidRPr="00AA36C8">
                      <w:rPr>
                        <w:rFonts w:cs="Calibri"/>
                        <w:color w:val="FF0000"/>
                        <w:sz w:val="16"/>
                        <w:szCs w:val="16"/>
                        <w:lang w:val="ru-RU"/>
                      </w:rPr>
                      <w:br/>
                      <w:t>использования спектра</w:t>
                    </w:r>
                  </w:p>
                </w:txbxContent>
              </v:textbox>
            </v:rect>
            <v:oval id="_x0000_s1071" style="position:absolute;left:1286;top:4176;width:1743;height:499" filled="f" strokecolor="#385d8a" strokeweight="56e-5mm">
              <v:stroke endcap="round"/>
            </v:oval>
            <v:rect id="_x0000_s1072" style="position:absolute;left:1392;top:4248;width:1590;height:394;v-text-anchor:top" filled="f" stroked="f">
              <v:textbox style="mso-next-textbox:#_x0000_s1072" inset="0,0,0,0">
                <w:txbxContent>
                  <w:p w:rsidR="005E55BB" w:rsidRPr="00AA36C8" w:rsidRDefault="005E55BB" w:rsidP="00AA60B6">
                    <w:pPr>
                      <w:spacing w:before="0"/>
                      <w:jc w:val="center"/>
                      <w:rPr>
                        <w:rFonts w:cs="Calibri"/>
                        <w:color w:val="FF0000"/>
                        <w:sz w:val="16"/>
                        <w:szCs w:val="16"/>
                        <w:lang w:val="ru-RU"/>
                      </w:rPr>
                    </w:pPr>
                    <w:r w:rsidRPr="00AA36C8">
                      <w:rPr>
                        <w:rFonts w:cs="Calibri"/>
                        <w:color w:val="FF0000"/>
                        <w:sz w:val="16"/>
                        <w:szCs w:val="16"/>
                        <w:lang w:val="ru-RU"/>
                      </w:rPr>
                      <w:t>Административные</w:t>
                    </w:r>
                  </w:p>
                  <w:p w:rsidR="005E55BB" w:rsidRPr="00AA36C8" w:rsidRDefault="005E55BB" w:rsidP="00AA60B6">
                    <w:pPr>
                      <w:spacing w:before="0"/>
                      <w:jc w:val="center"/>
                      <w:rPr>
                        <w:sz w:val="16"/>
                        <w:szCs w:val="16"/>
                        <w:lang w:val="ru-RU"/>
                      </w:rPr>
                    </w:pPr>
                    <w:r w:rsidRPr="00AA36C8">
                      <w:rPr>
                        <w:rFonts w:cs="Calibri"/>
                        <w:color w:val="FF0000"/>
                        <w:sz w:val="16"/>
                        <w:szCs w:val="16"/>
                        <w:lang w:val="ru-RU"/>
                      </w:rPr>
                      <w:t>затраты</w:t>
                    </w:r>
                  </w:p>
                </w:txbxContent>
              </v:textbox>
            </v:rect>
            <v:rect id="_x0000_s1073" style="position:absolute;left:1236;top:5273;width:2042;height:949" filled="f" strokecolor="#385d8a" strokeweight="56e-5mm">
              <v:stroke endcap="round"/>
            </v:rect>
            <v:rect id="_x0000_s1074" style="position:absolute;left:1310;top:5492;width:1956;height:529;mso-wrap-style:none;v-text-anchor:top" filled="f" stroked="f">
              <v:textbox style="mso-next-textbox:#_x0000_s1074" inset="0,0,0,0">
                <w:txbxContent>
                  <w:p w:rsidR="005E55BB" w:rsidRPr="00AA36C8" w:rsidRDefault="005E55BB" w:rsidP="00AA60B6">
                    <w:pPr>
                      <w:spacing w:before="0"/>
                      <w:jc w:val="center"/>
                      <w:rPr>
                        <w:rFonts w:cs="Calibri"/>
                        <w:color w:val="FF0000"/>
                        <w:sz w:val="16"/>
                        <w:szCs w:val="16"/>
                        <w:lang w:val="ru-RU"/>
                      </w:rPr>
                    </w:pPr>
                    <w:r w:rsidRPr="00AA36C8">
                      <w:rPr>
                        <w:rFonts w:cs="Calibri"/>
                        <w:color w:val="FF0000"/>
                        <w:sz w:val="16"/>
                        <w:szCs w:val="16"/>
                        <w:lang w:val="ru-RU"/>
                      </w:rPr>
                      <w:t>Административные платежи</w:t>
                    </w:r>
                  </w:p>
                  <w:p w:rsidR="005E55BB" w:rsidRPr="00AA36C8" w:rsidRDefault="005E55BB" w:rsidP="00AA60B6">
                    <w:pPr>
                      <w:spacing w:before="0"/>
                      <w:jc w:val="center"/>
                      <w:rPr>
                        <w:rFonts w:cs="Calibri"/>
                        <w:color w:val="FF0000"/>
                        <w:sz w:val="16"/>
                        <w:szCs w:val="16"/>
                        <w:lang w:val="ru-RU"/>
                      </w:rPr>
                    </w:pPr>
                    <w:r w:rsidRPr="00AA36C8">
                      <w:rPr>
                        <w:rFonts w:cs="Calibri"/>
                        <w:color w:val="FF0000"/>
                        <w:sz w:val="16"/>
                        <w:szCs w:val="16"/>
                        <w:lang w:val="ru-RU"/>
                      </w:rPr>
                      <w:t>для покрытия</w:t>
                    </w:r>
                  </w:p>
                  <w:p w:rsidR="005E55BB" w:rsidRPr="00AA36C8" w:rsidRDefault="005E55BB" w:rsidP="00AA60B6">
                    <w:pPr>
                      <w:spacing w:before="0"/>
                      <w:jc w:val="center"/>
                      <w:rPr>
                        <w:sz w:val="16"/>
                        <w:szCs w:val="16"/>
                        <w:lang w:val="ru-RU"/>
                      </w:rPr>
                    </w:pPr>
                    <w:r w:rsidRPr="00AA36C8">
                      <w:rPr>
                        <w:rFonts w:cs="Calibri"/>
                        <w:color w:val="FF0000"/>
                        <w:sz w:val="16"/>
                        <w:szCs w:val="16"/>
                        <w:lang w:val="ru-RU"/>
                      </w:rPr>
                      <w:t>административных затрат</w:t>
                    </w:r>
                  </w:p>
                </w:txbxContent>
              </v:textbox>
            </v:rect>
            <v:group id="_x0000_s1075" style="position:absolute;left:2132;top:4725;width:150;height:499" coordorigin="1401,2754" coordsize="168,562">
              <v:shape id="_x0000_s1076" style="position:absolute;left:1401;top:2754;width:168;height:562" coordsize="168,562" path="m,84r42,l42,562r84,l126,84r42,l84,,,84xe" fillcolor="#4f81bd" stroked="f">
                <v:path arrowok="t"/>
              </v:shape>
              <v:shape id="_x0000_s1077" style="position:absolute;left:1401;top:2754;width:168;height:562" coordsize="168,562" path="m,84r42,l42,562r84,l126,84r42,l84,,,84xe" filled="f" strokecolor="#385d8a" strokeweight="56e-5mm">
                <v:stroke joinstyle="miter" endcap="round"/>
                <v:path arrowok="t"/>
              </v:shape>
            </v:group>
            <v:group id="_x0000_s1078" style="position:absolute;left:4273;top:2831;width:1994;height:849" coordorigin="3813,619" coordsize="2248,957">
              <v:shape id="_x0000_s1079" style="position:absolute;left:3813;top:619;width:2248;height:957" coordsize="7510,3189" path="m684,1050r-1,hdc676,1020,673,989,673,959v,-375,525,-678,1172,-678c2054,281,2258,313,2438,374hal2438,374hdc2598,199,2913,89,3256,89v242,,476,55,649,154hal3905,243hdc4033,94,4296,,4583,v236,,459,64,603,173hal5186,173hdc5346,64,5581,1,5829,1v408,,758,169,830,400hal6659,401hdc7062,465,7342,677,7342,919v,73,-26,145,-75,212hal7267,1131hdc7424,1249,7510,1395,7510,1545v,339,-430,626,-1010,673hal6500,2218hdc6496,2537,6047,2794,5496,2794v-188,,-373,-30,-532,-88hal4964,2706hdc4814,2993,4359,3189,3842,3189v-391,,-757,-113,-974,-302hal2868,2887hdc2659,2960,2420,2998,2177,2998v-480,,-924,-149,-1163,-391hal1014,2607hdc985,2609,955,2610,926,2610v-418,,-757,-195,-757,-437c169,2063,242,1956,373,1875hal373,1875hdc142,1796,,1652,,1497,,1272,292,1083,677,1060hal684,1050xe" filled="f" strokecolor="#385d8a" strokeweight="56e-5mm">
                <v:path arrowok="t"/>
              </v:shape>
              <v:shape id="_x0000_s1080" style="position:absolute;left:3927;top:668;width:2060;height:814" coordsize="6882,2711" path="m440,1758r,hdc421,1759,401,1760,382,1760,248,1760,116,1739,,1700t828,702hal828,2402hdc766,2416,702,2426,636,2430t1850,281hal2486,2711hdc2440,2671,2401,2628,2370,2583m4630,2391hal4630,2391hdc4623,2439,4608,2486,4584,2532m5551,1521hal5550,1521hdc5896,1618,6115,1820,6115,2043v,1,,3,,4m6882,960hal6882,960hdc6826,1036,6740,1104,6631,1157m6279,227hal6279,227hdc6288,256,6292,285,6292,314v,2,,4,,7m4674,119hal4674,119hdc4706,76,4750,35,4803,m3469,175hal3469,175hdc3483,140,3504,105,3532,73m2056,210hal2056,210hdc2138,238,2214,271,2282,310m342,992hal342,992hdc324,958,311,923,303,887hae" filled="f" strokecolor="#385d8a" strokeweight="56e-5mm">
                <v:path arrowok="t"/>
                <o:lock v:ext="edit" verticies="t"/>
              </v:shape>
            </v:group>
            <v:rect id="_x0000_s1081" style="position:absolute;left:4592;top:2994;width:1241;height:515;mso-wrap-style:none;v-text-anchor:top" filled="f" stroked="f">
              <v:textbox style="mso-next-textbox:#_x0000_s1081" inset="0,0,0,0">
                <w:txbxContent>
                  <w:p w:rsidR="005E55BB" w:rsidRPr="00AA36C8" w:rsidRDefault="005E55BB" w:rsidP="00AA60B6">
                    <w:pPr>
                      <w:spacing w:before="0"/>
                      <w:jc w:val="center"/>
                      <w:rPr>
                        <w:rFonts w:cs="Calibri"/>
                        <w:color w:val="BF11B3"/>
                        <w:sz w:val="16"/>
                        <w:szCs w:val="16"/>
                        <w:lang w:val="ru-RU"/>
                      </w:rPr>
                    </w:pPr>
                    <w:r w:rsidRPr="00AA36C8">
                      <w:rPr>
                        <w:rFonts w:cs="Calibri"/>
                        <w:color w:val="BF11B3"/>
                        <w:sz w:val="16"/>
                        <w:szCs w:val="16"/>
                        <w:lang w:val="ru-RU"/>
                      </w:rPr>
                      <w:t xml:space="preserve">Занятость спектра </w:t>
                    </w:r>
                  </w:p>
                  <w:p w:rsidR="005E55BB" w:rsidRPr="00AA36C8" w:rsidRDefault="005E55BB" w:rsidP="00AA60B6">
                    <w:pPr>
                      <w:spacing w:before="0"/>
                      <w:jc w:val="center"/>
                      <w:rPr>
                        <w:rFonts w:cs="Calibri"/>
                        <w:color w:val="BF11B3"/>
                        <w:sz w:val="16"/>
                        <w:szCs w:val="16"/>
                        <w:lang w:val="ru-RU"/>
                      </w:rPr>
                    </w:pPr>
                    <w:r w:rsidRPr="00AA36C8">
                      <w:rPr>
                        <w:rFonts w:cs="Calibri"/>
                        <w:color w:val="BF11B3"/>
                        <w:sz w:val="16"/>
                        <w:szCs w:val="16"/>
                        <w:lang w:val="ru-RU"/>
                      </w:rPr>
                      <w:t>для частного</w:t>
                    </w:r>
                  </w:p>
                  <w:p w:rsidR="005E55BB" w:rsidRPr="00AA36C8" w:rsidRDefault="005E55BB" w:rsidP="00AA60B6">
                    <w:pPr>
                      <w:spacing w:before="0"/>
                      <w:jc w:val="center"/>
                      <w:rPr>
                        <w:sz w:val="16"/>
                        <w:szCs w:val="16"/>
                      </w:rPr>
                    </w:pPr>
                    <w:r w:rsidRPr="00AA36C8">
                      <w:rPr>
                        <w:rFonts w:cs="Calibri"/>
                        <w:color w:val="BF11B3"/>
                        <w:sz w:val="16"/>
                        <w:szCs w:val="16"/>
                        <w:lang w:val="ru-RU"/>
                      </w:rPr>
                      <w:t>пользования</w:t>
                    </w:r>
                  </w:p>
                </w:txbxContent>
              </v:textbox>
            </v:rect>
            <v:rect id="_x0000_s1082" style="position:absolute;left:4324;top:4126;width:2141;height:799" filled="f" strokecolor="#385d8a" strokeweight="56e-5mm">
              <v:stroke endcap="round"/>
            </v:rect>
            <v:rect id="_x0000_s1083" style="position:absolute;left:4439;top:4258;width:1797;height:553;v-text-anchor:top" filled="f" stroked="f">
              <v:textbox style="mso-next-textbox:#_x0000_s1083" inset="0,0,0,0">
                <w:txbxContent>
                  <w:p w:rsidR="005E55BB" w:rsidRPr="00AA36C8" w:rsidRDefault="005E55BB" w:rsidP="00AA60B6">
                    <w:pPr>
                      <w:spacing w:before="0"/>
                      <w:jc w:val="center"/>
                      <w:rPr>
                        <w:rFonts w:cs="Calibri"/>
                        <w:color w:val="BF11B3"/>
                        <w:sz w:val="16"/>
                        <w:szCs w:val="16"/>
                        <w:lang w:val="ru-RU"/>
                      </w:rPr>
                    </w:pPr>
                    <w:r w:rsidRPr="00AA36C8">
                      <w:rPr>
                        <w:rFonts w:cs="Calibri"/>
                        <w:color w:val="BF11B3"/>
                        <w:sz w:val="16"/>
                        <w:szCs w:val="16"/>
                        <w:lang w:val="ru-RU"/>
                      </w:rPr>
                      <w:t>Сборы за использование</w:t>
                    </w:r>
                  </w:p>
                  <w:p w:rsidR="005E55BB" w:rsidRPr="00AA36C8" w:rsidRDefault="005E55BB" w:rsidP="00AA60B6">
                    <w:pPr>
                      <w:spacing w:before="0"/>
                      <w:jc w:val="center"/>
                      <w:rPr>
                        <w:rFonts w:cs="Calibri"/>
                        <w:color w:val="BF11B3"/>
                        <w:sz w:val="16"/>
                        <w:szCs w:val="16"/>
                        <w:lang w:val="ru-RU"/>
                      </w:rPr>
                    </w:pPr>
                    <w:r w:rsidRPr="00AA36C8">
                      <w:rPr>
                        <w:rFonts w:cs="Calibri"/>
                        <w:color w:val="BF11B3"/>
                        <w:sz w:val="16"/>
                        <w:szCs w:val="16"/>
                        <w:lang w:val="ru-RU"/>
                      </w:rPr>
                      <w:t>спектра, учитывающие</w:t>
                    </w:r>
                  </w:p>
                  <w:p w:rsidR="005E55BB" w:rsidRPr="00AA36C8" w:rsidRDefault="005E55BB" w:rsidP="00AA60B6">
                    <w:pPr>
                      <w:spacing w:before="0"/>
                      <w:jc w:val="center"/>
                      <w:rPr>
                        <w:sz w:val="16"/>
                        <w:szCs w:val="16"/>
                        <w:lang w:val="ru-RU"/>
                      </w:rPr>
                    </w:pPr>
                    <w:r w:rsidRPr="00AA36C8">
                      <w:rPr>
                        <w:rFonts w:cs="Calibri"/>
                        <w:color w:val="BF11B3"/>
                        <w:sz w:val="16"/>
                        <w:szCs w:val="16"/>
                        <w:lang w:val="ru-RU"/>
                      </w:rPr>
                      <w:t>получаемые выгоды</w:t>
                    </w:r>
                  </w:p>
                </w:txbxContent>
              </v:textbox>
            </v:rect>
            <v:group id="_x0000_s1084" style="position:absolute;left:2132;top:3627;width:150;height:499" coordorigin="1401,1516" coordsize="168,563">
              <v:shape id="_x0000_s1085" style="position:absolute;left:1401;top:1516;width:168;height:563" coordsize="168,563" path="m,479r42,l42,r84,l126,479r42,l84,563,,479xe" fillcolor="#4f81bd" stroked="f">
                <v:path arrowok="t"/>
              </v:shape>
              <v:shape id="_x0000_s1086" style="position:absolute;left:1401;top:1516;width:168;height:563" coordsize="168,563" path="m,479r42,l42,r84,l126,479r42,l84,563,,479xe" filled="f" strokecolor="#385d8a" strokeweight="56e-5mm">
                <v:stroke joinstyle="miter" endcap="round"/>
                <v:path arrowok="t"/>
              </v:shape>
            </v:group>
            <v:oval id="_x0000_s1087" style="position:absolute;left:3776;top:5273;width:1096;height:650" filled="f" strokecolor="#385d8a" strokeweight="56e-5mm">
              <v:stroke endcap="round"/>
            </v:oval>
            <v:rect id="_x0000_s1088" style="position:absolute;left:3877;top:5315;width:916;height:560;v-text-anchor:top" filled="f" stroked="f">
              <v:textbox style="mso-next-textbox:#_x0000_s1088" inset="0,0,0,0">
                <w:txbxContent>
                  <w:p w:rsidR="005E55BB" w:rsidRPr="00AA36C8" w:rsidRDefault="005E55BB" w:rsidP="00AA60B6">
                    <w:pPr>
                      <w:spacing w:before="0"/>
                      <w:jc w:val="center"/>
                      <w:rPr>
                        <w:rFonts w:cs="Calibri"/>
                        <w:color w:val="BF11B3"/>
                        <w:sz w:val="10"/>
                        <w:szCs w:val="10"/>
                        <w:lang w:val="ru-RU"/>
                      </w:rPr>
                    </w:pPr>
                    <w:r w:rsidRPr="00AA36C8">
                      <w:rPr>
                        <w:rFonts w:cs="Calibri"/>
                        <w:color w:val="BF11B3"/>
                        <w:sz w:val="10"/>
                        <w:szCs w:val="10"/>
                        <w:lang w:val="ru-RU"/>
                      </w:rPr>
                      <w:t>Частоты,</w:t>
                    </w:r>
                  </w:p>
                  <w:p w:rsidR="005E55BB" w:rsidRPr="00AA36C8" w:rsidRDefault="005E55BB" w:rsidP="00AA60B6">
                    <w:pPr>
                      <w:spacing w:before="0"/>
                      <w:jc w:val="center"/>
                      <w:rPr>
                        <w:rFonts w:cs="Calibri"/>
                        <w:color w:val="BF11B3"/>
                        <w:sz w:val="10"/>
                        <w:szCs w:val="10"/>
                        <w:lang w:val="ru-RU"/>
                      </w:rPr>
                    </w:pPr>
                    <w:r w:rsidRPr="00AA36C8">
                      <w:rPr>
                        <w:rFonts w:cs="Calibri"/>
                        <w:color w:val="BF11B3"/>
                        <w:sz w:val="10"/>
                        <w:szCs w:val="10"/>
                        <w:lang w:val="ru-RU"/>
                      </w:rPr>
                      <w:t>используемые для</w:t>
                    </w:r>
                  </w:p>
                  <w:p w:rsidR="005E55BB" w:rsidRPr="00AA36C8" w:rsidRDefault="005E55BB" w:rsidP="00AA60B6">
                    <w:pPr>
                      <w:spacing w:before="0"/>
                      <w:jc w:val="center"/>
                      <w:rPr>
                        <w:rFonts w:cs="Calibri"/>
                        <w:color w:val="BF11B3"/>
                        <w:sz w:val="10"/>
                        <w:szCs w:val="10"/>
                        <w:lang w:val="ru-RU"/>
                      </w:rPr>
                    </w:pPr>
                    <w:r w:rsidRPr="00AA36C8">
                      <w:rPr>
                        <w:rFonts w:cs="Calibri"/>
                        <w:color w:val="BF11B3"/>
                        <w:sz w:val="10"/>
                        <w:szCs w:val="10"/>
                        <w:lang w:val="ru-RU"/>
                      </w:rPr>
                      <w:t>удовлетворения</w:t>
                    </w:r>
                  </w:p>
                  <w:p w:rsidR="005E55BB" w:rsidRPr="00AA36C8" w:rsidRDefault="005E55BB" w:rsidP="00AA60B6">
                    <w:pPr>
                      <w:spacing w:before="0"/>
                      <w:jc w:val="center"/>
                      <w:rPr>
                        <w:rFonts w:cs="Calibri"/>
                        <w:color w:val="BF11B3"/>
                        <w:sz w:val="10"/>
                        <w:szCs w:val="10"/>
                        <w:lang w:val="ru-RU"/>
                      </w:rPr>
                    </w:pPr>
                    <w:r w:rsidRPr="00AA36C8">
                      <w:rPr>
                        <w:rFonts w:cs="Calibri"/>
                        <w:color w:val="BF11B3"/>
                        <w:sz w:val="10"/>
                        <w:szCs w:val="10"/>
                        <w:lang w:val="ru-RU"/>
                      </w:rPr>
                      <w:t>собственных</w:t>
                    </w:r>
                  </w:p>
                  <w:p w:rsidR="005E55BB" w:rsidRPr="00AA36C8" w:rsidRDefault="005E55BB" w:rsidP="00AA60B6">
                    <w:pPr>
                      <w:spacing w:before="0"/>
                      <w:jc w:val="center"/>
                      <w:rPr>
                        <w:rFonts w:ascii="Calibri" w:hAnsi="Calibri" w:cs="Calibri"/>
                        <w:color w:val="BF11B3"/>
                        <w:sz w:val="10"/>
                        <w:szCs w:val="10"/>
                        <w:lang w:val="ru-RU"/>
                      </w:rPr>
                    </w:pPr>
                    <w:r w:rsidRPr="00AA36C8">
                      <w:rPr>
                        <w:rFonts w:cs="Calibri"/>
                        <w:color w:val="BF11B3"/>
                        <w:sz w:val="10"/>
                        <w:szCs w:val="10"/>
                        <w:lang w:val="ru-RU"/>
                      </w:rPr>
                      <w:t>потребностей</w:t>
                    </w:r>
                  </w:p>
                </w:txbxContent>
              </v:textbox>
            </v:rect>
            <v:rect id="_x0000_s1089" style="position:absolute;left:5671;top:5358;width:1198;height:586;v-text-anchor:top" filled="f" stroked="f">
              <v:textbox style="mso-next-textbox:#_x0000_s1089" inset="0,0,0,0">
                <w:txbxContent>
                  <w:p w:rsidR="005E55BB" w:rsidRPr="00AA36C8" w:rsidRDefault="005E55BB" w:rsidP="00AA60B6">
                    <w:pPr>
                      <w:spacing w:before="0"/>
                      <w:jc w:val="center"/>
                      <w:rPr>
                        <w:rFonts w:cs="Calibri"/>
                        <w:color w:val="BF11B3"/>
                        <w:sz w:val="10"/>
                        <w:szCs w:val="10"/>
                        <w:lang w:val="ru-RU"/>
                      </w:rPr>
                    </w:pPr>
                    <w:r w:rsidRPr="00AA36C8">
                      <w:rPr>
                        <w:rFonts w:cs="Calibri"/>
                        <w:color w:val="BF11B3"/>
                        <w:sz w:val="10"/>
                        <w:szCs w:val="10"/>
                        <w:lang w:val="ru-RU"/>
                      </w:rPr>
                      <w:t>Частоты,</w:t>
                    </w:r>
                  </w:p>
                  <w:p w:rsidR="005E55BB" w:rsidRPr="00AA36C8" w:rsidRDefault="005E55BB" w:rsidP="00AA60B6">
                    <w:pPr>
                      <w:spacing w:before="0"/>
                      <w:jc w:val="center"/>
                      <w:rPr>
                        <w:rFonts w:cs="Calibri"/>
                        <w:color w:val="BF11B3"/>
                        <w:sz w:val="10"/>
                        <w:szCs w:val="10"/>
                        <w:lang w:val="ru-RU"/>
                      </w:rPr>
                    </w:pPr>
                    <w:r w:rsidRPr="00AA36C8">
                      <w:rPr>
                        <w:rFonts w:cs="Calibri"/>
                        <w:color w:val="BF11B3"/>
                        <w:sz w:val="10"/>
                        <w:szCs w:val="10"/>
                        <w:lang w:val="ru-RU"/>
                      </w:rPr>
                      <w:t>используемые</w:t>
                    </w:r>
                  </w:p>
                  <w:p w:rsidR="005E55BB" w:rsidRPr="00AA36C8" w:rsidRDefault="005E55BB" w:rsidP="00AA60B6">
                    <w:pPr>
                      <w:spacing w:before="0"/>
                      <w:jc w:val="center"/>
                      <w:rPr>
                        <w:rFonts w:cs="Calibri"/>
                        <w:color w:val="BF11B3"/>
                        <w:sz w:val="10"/>
                        <w:szCs w:val="10"/>
                        <w:lang w:val="ru-RU"/>
                      </w:rPr>
                    </w:pPr>
                    <w:r w:rsidRPr="00AA36C8">
                      <w:rPr>
                        <w:rFonts w:cs="Calibri"/>
                        <w:color w:val="BF11B3"/>
                        <w:sz w:val="10"/>
                        <w:szCs w:val="10"/>
                        <w:lang w:val="ru-RU"/>
                      </w:rPr>
                      <w:t>для достижения</w:t>
                    </w:r>
                  </w:p>
                  <w:p w:rsidR="005E55BB" w:rsidRPr="00AA36C8" w:rsidRDefault="005E55BB" w:rsidP="00AA60B6">
                    <w:pPr>
                      <w:spacing w:before="0"/>
                      <w:jc w:val="center"/>
                      <w:rPr>
                        <w:rFonts w:cs="Calibri"/>
                        <w:color w:val="BF11B3"/>
                        <w:sz w:val="10"/>
                        <w:szCs w:val="10"/>
                        <w:lang w:val="ru-RU"/>
                      </w:rPr>
                    </w:pPr>
                    <w:r w:rsidRPr="00AA36C8">
                      <w:rPr>
                        <w:rFonts w:cs="Calibri"/>
                        <w:color w:val="BF11B3"/>
                        <w:sz w:val="10"/>
                        <w:szCs w:val="10"/>
                        <w:lang w:val="ru-RU"/>
                      </w:rPr>
                      <w:t>потребительского</w:t>
                    </w:r>
                  </w:p>
                  <w:p w:rsidR="005E55BB" w:rsidRPr="00AA36C8" w:rsidRDefault="005E55BB" w:rsidP="00AA60B6">
                    <w:pPr>
                      <w:spacing w:before="0"/>
                      <w:jc w:val="center"/>
                      <w:rPr>
                        <w:sz w:val="10"/>
                        <w:szCs w:val="10"/>
                        <w:lang w:val="ru-RU"/>
                      </w:rPr>
                    </w:pPr>
                    <w:r w:rsidRPr="00AA36C8">
                      <w:rPr>
                        <w:rFonts w:cs="Calibri"/>
                        <w:color w:val="BF11B3"/>
                        <w:sz w:val="10"/>
                        <w:szCs w:val="10"/>
                        <w:lang w:val="ru-RU"/>
                      </w:rPr>
                      <w:t>рынка</w:t>
                    </w:r>
                  </w:p>
                </w:txbxContent>
              </v:textbox>
            </v:rect>
            <v:shape id="_x0000_s1090" style="position:absolute;left:5668;top:5324;width:1246;height:648" coordsize="1404,731" path="m183,l,366,183,731r1038,l1404,366,1221,,183,xe" filled="f" strokecolor="#385d8a" strokeweight="56e-5mm">
              <v:stroke joinstyle="miter" endcap="round"/>
              <v:path arrowok="t"/>
            </v:shape>
            <v:rect id="_x0000_s1091" style="position:absolute;left:3876;top:6222;width:1146;height:515" fillcolor="yellow" stroked="f"/>
            <v:rect id="_x0000_s1092" style="position:absolute;left:3827;top:6251;width:1240;height:486;v-text-anchor:top" filled="f" stroked="f">
              <v:textbox style="mso-next-textbox:#_x0000_s1092" inset="0,0,0,0">
                <w:txbxContent>
                  <w:p w:rsidR="005E55BB" w:rsidRPr="00AA36C8" w:rsidRDefault="005E55BB" w:rsidP="00AA60B6">
                    <w:pPr>
                      <w:spacing w:before="0" w:line="100" w:lineRule="exact"/>
                      <w:jc w:val="center"/>
                      <w:rPr>
                        <w:rFonts w:cs="Calibri"/>
                        <w:color w:val="000000"/>
                        <w:sz w:val="10"/>
                        <w:szCs w:val="10"/>
                        <w:lang w:val="ru-RU"/>
                      </w:rPr>
                    </w:pPr>
                    <w:r w:rsidRPr="00AA36C8">
                      <w:rPr>
                        <w:rFonts w:cs="Calibri"/>
                        <w:color w:val="000000"/>
                        <w:sz w:val="10"/>
                        <w:szCs w:val="10"/>
                        <w:lang w:val="ru-RU"/>
                      </w:rPr>
                      <w:t>Сборы, ориентированные</w:t>
                    </w:r>
                  </w:p>
                  <w:p w:rsidR="005E55BB" w:rsidRPr="00AA36C8" w:rsidRDefault="005E55BB" w:rsidP="00AA60B6">
                    <w:pPr>
                      <w:spacing w:before="0" w:line="100" w:lineRule="exact"/>
                      <w:jc w:val="center"/>
                      <w:rPr>
                        <w:rFonts w:cs="Calibri"/>
                        <w:color w:val="000000"/>
                        <w:sz w:val="10"/>
                        <w:szCs w:val="10"/>
                        <w:lang w:val="ru-RU"/>
                      </w:rPr>
                    </w:pPr>
                    <w:r w:rsidRPr="00AA36C8">
                      <w:rPr>
                        <w:rFonts w:cs="Calibri"/>
                        <w:color w:val="000000"/>
                        <w:sz w:val="10"/>
                        <w:szCs w:val="10"/>
                        <w:lang w:val="ru-RU"/>
                      </w:rPr>
                      <w:t>на достижение целей</w:t>
                    </w:r>
                  </w:p>
                  <w:p w:rsidR="005E55BB" w:rsidRPr="00AA36C8" w:rsidRDefault="005E55BB" w:rsidP="00AA60B6">
                    <w:pPr>
                      <w:spacing w:before="0" w:line="100" w:lineRule="exact"/>
                      <w:jc w:val="center"/>
                      <w:rPr>
                        <w:rFonts w:cs="Calibri"/>
                        <w:color w:val="000000"/>
                        <w:sz w:val="10"/>
                        <w:szCs w:val="10"/>
                        <w:lang w:val="ru-RU"/>
                      </w:rPr>
                    </w:pPr>
                    <w:r w:rsidRPr="00AA36C8">
                      <w:rPr>
                        <w:rFonts w:cs="Calibri"/>
                        <w:color w:val="000000"/>
                        <w:sz w:val="10"/>
                        <w:szCs w:val="10"/>
                        <w:lang w:val="ru-RU"/>
                      </w:rPr>
                      <w:t>управления</w:t>
                    </w:r>
                  </w:p>
                  <w:p w:rsidR="005E55BB" w:rsidRPr="00AA36C8" w:rsidRDefault="005E55BB" w:rsidP="00AA60B6">
                    <w:pPr>
                      <w:spacing w:before="0" w:line="100" w:lineRule="exact"/>
                      <w:jc w:val="center"/>
                      <w:rPr>
                        <w:rFonts w:cs="Calibri"/>
                        <w:color w:val="000000"/>
                        <w:sz w:val="10"/>
                        <w:szCs w:val="10"/>
                        <w:lang w:val="ru-RU"/>
                      </w:rPr>
                    </w:pPr>
                    <w:r w:rsidRPr="00AA36C8">
                      <w:rPr>
                        <w:rFonts w:cs="Calibri"/>
                        <w:color w:val="000000"/>
                        <w:sz w:val="10"/>
                        <w:szCs w:val="10"/>
                        <w:lang w:val="ru-RU"/>
                      </w:rPr>
                      <w:t>использованием</w:t>
                    </w:r>
                  </w:p>
                  <w:p w:rsidR="005E55BB" w:rsidRPr="00AA36C8" w:rsidRDefault="005E55BB" w:rsidP="00AA60B6">
                    <w:pPr>
                      <w:spacing w:before="0" w:line="100" w:lineRule="exact"/>
                      <w:jc w:val="center"/>
                      <w:rPr>
                        <w:sz w:val="10"/>
                        <w:szCs w:val="10"/>
                        <w:lang w:val="ru-RU"/>
                      </w:rPr>
                    </w:pPr>
                    <w:r w:rsidRPr="00AA36C8">
                      <w:rPr>
                        <w:rFonts w:cs="Calibri"/>
                        <w:color w:val="000000"/>
                        <w:sz w:val="10"/>
                        <w:szCs w:val="10"/>
                        <w:lang w:val="ru-RU"/>
                      </w:rPr>
                      <w:t>спектра</w:t>
                    </w:r>
                  </w:p>
                </w:txbxContent>
              </v:textbox>
            </v:rect>
            <v:rect id="_x0000_s1093" style="position:absolute;left:5470;top:6222;width:1245;height:515" fillcolor="#92d050" stroked="f"/>
            <v:rect id="_x0000_s1094" style="position:absolute;left:5472;top:6316;width:1250;height:353;v-text-anchor:top" filled="f" stroked="f">
              <v:textbox style="mso-next-textbox:#_x0000_s1094" inset="0,0,0,0">
                <w:txbxContent>
                  <w:p w:rsidR="005E55BB" w:rsidRPr="00AA36C8" w:rsidRDefault="005E55BB" w:rsidP="00AA36C8">
                    <w:pPr>
                      <w:spacing w:before="0" w:line="120" w:lineRule="exact"/>
                      <w:jc w:val="center"/>
                      <w:rPr>
                        <w:rFonts w:cs="Calibri"/>
                        <w:color w:val="000000"/>
                        <w:sz w:val="10"/>
                        <w:szCs w:val="10"/>
                        <w:lang w:val="ru-RU"/>
                      </w:rPr>
                    </w:pPr>
                    <w:r w:rsidRPr="00AA36C8">
                      <w:rPr>
                        <w:rFonts w:cs="Calibri"/>
                        <w:color w:val="000000"/>
                        <w:sz w:val="10"/>
                        <w:szCs w:val="10"/>
                        <w:lang w:val="ru-RU"/>
                      </w:rPr>
                      <w:t>Сборы, ориентированные</w:t>
                    </w:r>
                  </w:p>
                  <w:p w:rsidR="005E55BB" w:rsidRPr="00AA36C8" w:rsidRDefault="005E55BB" w:rsidP="00AA36C8">
                    <w:pPr>
                      <w:spacing w:before="0" w:line="120" w:lineRule="exact"/>
                      <w:jc w:val="center"/>
                      <w:rPr>
                        <w:rFonts w:cs="Calibri"/>
                        <w:color w:val="000000"/>
                        <w:sz w:val="10"/>
                        <w:szCs w:val="10"/>
                        <w:lang w:val="ru-RU"/>
                      </w:rPr>
                    </w:pPr>
                    <w:r w:rsidRPr="00AA36C8">
                      <w:rPr>
                        <w:rFonts w:cs="Calibri"/>
                        <w:color w:val="000000"/>
                        <w:sz w:val="10"/>
                        <w:szCs w:val="10"/>
                        <w:lang w:val="ru-RU"/>
                      </w:rPr>
                      <w:t>на извлечение ренты из</w:t>
                    </w:r>
                  </w:p>
                  <w:p w:rsidR="005E55BB" w:rsidRPr="00AA36C8" w:rsidRDefault="005E55BB" w:rsidP="00AA36C8">
                    <w:pPr>
                      <w:spacing w:before="0" w:line="120" w:lineRule="exact"/>
                      <w:jc w:val="center"/>
                      <w:rPr>
                        <w:rFonts w:cs="Calibri"/>
                        <w:color w:val="000000"/>
                        <w:sz w:val="12"/>
                        <w:szCs w:val="12"/>
                        <w:lang w:val="ru-RU"/>
                      </w:rPr>
                    </w:pPr>
                    <w:r w:rsidRPr="00AA36C8">
                      <w:rPr>
                        <w:rFonts w:cs="Calibri"/>
                        <w:color w:val="000000"/>
                        <w:sz w:val="12"/>
                        <w:szCs w:val="12"/>
                        <w:lang w:val="ru-RU"/>
                      </w:rPr>
                      <w:t>выгодного положения</w:t>
                    </w:r>
                  </w:p>
                </w:txbxContent>
              </v:textbox>
            </v:rect>
            <v:shape id="_x0000_s1095" style="position:absolute;left:5067;top:3672;width:336;height:396" coordsize="1267,1484" path="m34,17r3,70l47,155,82,288r-1,-2l137,413r-1,-2l208,525r-2,-3l291,618r45,39l383,690r49,26l482,735r50,12l529,747r53,4l635,755hdc636,755,637,755,638,755hal690,768r53,21l794,817r51,35l892,893r87,97hdc980,991,980,992,981,993hal1053,1107hdc1053,1107,1053,1108,1054,1109hal1110,1236hdc1110,1237,1110,1237,1111,1238hal1146,1373r10,72l1156,1450hdc1157,1459,1150,1467,1140,1468v-9,,-17,-7,-17,-16hal1123,1450r-10,-68l1078,1247r1,2l1023,1122r1,2l952,1010r2,3l871,918,826,879,779,846,730,820,681,801,629,788r3,l579,784r-53,-4hdc525,780,524,780,523,780hal469,766,417,745,364,717,315,682,266,641,181,545hdc180,544,180,543,179,542hal107,428hdc107,428,107,427,106,426hal50,299hdc50,298,50,298,49,297hal14,160,4,88,1,18hdc,9,8,1,17,1,26,,34,8,34,17haxm1262,1254r-121,230l1000,1265hdc995,1257,998,1247,1005,1242v8,-5,19,-3,24,5hal1154,1442r-29,1l1233,1238hdc1237,1230,1247,1227,1255,1231v9,5,12,15,7,23haxe" fillcolor="#4a7ebb" strokecolor="#4a7ebb" strokeweight="1e-4mm">
              <v:stroke joinstyle="bevel"/>
              <v:path arrowok="t"/>
              <o:lock v:ext="edit" verticies="t"/>
            </v:shape>
            <v:shape id="_x0000_s1096" style="position:absolute;left:4731;top:4920;width:669;height:438" coordsize="2517,1643" path="m2516,18r-4,70l2501,160r-17,71l2458,303r-31,70l2389,442r-45,69l2295,578,2180,709,2044,834,1889,953r-172,109l1530,1164r-199,92l1121,1336r-220,68l674,1460r-233,40l205,1525r-171,7hdc25,1532,17,1525,16,1516v,-10,7,-17,16,-18hal202,1492r234,-25l667,1427r225,-54l1110,1305r208,-80l1515,1135r184,-101l1868,926,2021,809,2155,686,2268,559r49,-67l2360,427r36,-67l2427,292r24,-68l2468,155r11,-68l2483,17hdc2483,7,2491,,2500,1v10,,17,8,16,17haxm230,1639l,1516,220,1377hdc227,1372,238,1374,243,1382v5,8,2,18,-6,23hal42,1529r-1,-29l245,1609hdc253,1614,256,1624,252,1632v-4,8,-14,11,-22,7haxe" fillcolor="#4a7ebb" strokecolor="#4a7ebb" strokeweight="1e-4mm">
              <v:stroke joinstyle="bevel"/>
              <v:path arrowok="t"/>
              <o:lock v:ext="edit" verticies="t"/>
            </v:shape>
            <v:shape id="_x0000_s1097" style="position:absolute;left:5391;top:4920;width:471;height:395" coordsize="1772,1484" path="m34,16r5,70l52,154r-1,-2l74,220r29,66l140,349r42,61l286,522r-2,-2l408,616r66,39l543,688r72,27l688,734r74,13l837,751r77,4l992,768r76,20l1143,816r72,34l1284,891r126,97hdc1410,989,1411,989,1412,990hal1517,1104r44,64l1600,1234r30,69l1653,1372hdc1654,1373,1654,1374,1654,1374hal1667,1444r,6hdc1668,1459,1661,1467,1652,1468v-9,,-17,-7,-18,-16hal1634,1451r-13,-70l1622,1383r-23,-67l1571,1251r-37,-64l1492,1127,1387,1013r2,2l1267,920r-67,-40l1132,847r-73,-26l987,801,913,788r-77,-4l757,780,679,767,604,746,528,718,457,684,387,643,263,547hdc263,546,262,545,261,545hal155,429,111,366,72,299,43,231,20,163hdc19,162,19,161,19,161hal6,89,1,19hdc,9,7,2,16,1,25,,33,7,34,16haxm1768,1251r-115,233l1506,1269hdc1501,1262,1503,1251,1511,1246v7,-5,18,-3,23,4hal1664,1442r-28,2l1738,1236hdc1742,1228,1752,1224,1760,1228v8,4,12,14,8,23haxe" fillcolor="#4a7ebb" strokecolor="#4a7ebb" strokeweight="1e-4mm">
              <v:stroke joinstyle="bevel"/>
              <v:path arrowok="t"/>
              <o:lock v:ext="edit" verticies="t"/>
            </v:shape>
            <v:group id="_x0000_s1098" style="position:absolute;left:3377;top:5773;width:449;height:739" coordorigin="2804,3935" coordsize="506,833">
              <v:shape id="_x0000_s1099" style="position:absolute;left:2804;top:3935;width:506;height:833" coordsize="1688,2778" path="m1688,hdc756,,,488,,1090hal,1512hdc,2009,521,2443,1266,2567hal1266,2778r422,-387l1266,1935r,211hdc638,2041,158,1712,32,1301hal32,1301hdc188,790,882,422,1688,422hal1688,hdxe" fillcolor="#4f81bd" strokeweight="0">
                <v:path arrowok="t"/>
              </v:shape>
              <v:shape id="_x0000_s1100" style="position:absolute;left:2804;top:3935;width:506;height:390" coordsize="1688,1301" path="m1688,hdc756,,,488,,1090v,71,11,142,32,211hal32,1301hdc188,790,882,422,1688,422hal1688,hdxe" fillcolor="#3f6898" strokeweight="0">
                <v:path arrowok="t"/>
              </v:shape>
              <v:shape id="_x0000_s1101" style="position:absolute;left:2804;top:3935;width:506;height:833" coordsize="1688,2778" path="m1688,hdc756,,,488,,1090hal,1512hdc,2009,521,2443,1266,2567hal1266,2778r422,-387l1266,1935r,211hdc638,2041,158,1712,32,1301hal32,1301hdc188,790,882,422,1688,422hal1688,hdxe" filled="f" strokecolor="#385d8a" strokeweight="56e-5mm">
                <v:stroke joinstyle="miter"/>
                <v:path arrowok="t"/>
              </v:shape>
              <v:shape id="_x0000_s1102" style="position:absolute;left:2804;top:4262;width:10;height:63" coordsize="10,63" path="m,hdc,21,4,43,10,63e" filled="f" strokecolor="#385d8a" strokeweight="56e-5mm">
                <v:stroke joinstyle="miter"/>
                <v:path arrowok="t"/>
              </v:shape>
            </v:group>
            <v:group id="_x0000_s1103" style="position:absolute;left:6815;top:5872;width:298;height:739" coordorigin="6678,4047" coordsize="336,833">
              <v:shape id="_x0000_s1104" style="position:absolute;left:6678;top:4047;width:336;height:833" coordsize="1125,2775" path="m,hdc621,,1125,536,1125,1196hal1125,1477hdc1125,2022,778,2498,281,2634hal281,2775,,2532,281,2212r,141hdc731,2230,1063,1826,1117,1336hal1117,1336hdc1050,735,570,282,,282hal,hdxe" fillcolor="#4f81bd" strokeweight="0">
                <v:path arrowok="t"/>
              </v:shape>
              <v:shape id="_x0000_s1105" style="position:absolute;left:6678;top:4047;width:336;height:443" coordsize="1125,1477" path="m,hdc621,,1125,536,1125,1196hal1125,1477hdc1125,817,621,282,,282hal,hdxe" fillcolor="#3f6898" strokeweight="0">
                <v:path arrowok="t"/>
              </v:shape>
              <v:shape id="_x0000_s1106" style="position:absolute;left:6678;top:4047;width:336;height:833" coordsize="1125,2775" path="m,hdc621,,1125,536,1125,1196hal1125,1477hdc1125,2022,778,2498,281,2634hal281,2775,,2532,281,2212r,141hdc731,2230,1063,1826,1117,1336hal1117,1336hdc1050,735,570,282,,282hal,hdxe" filled="f" strokecolor="#385d8a" strokeweight="56e-5mm">
                <v:stroke joinstyle="miter"/>
                <v:path arrowok="t"/>
              </v:shape>
              <v:shape id="_x0000_s1107" style="position:absolute;left:7012;top:4448;width:2;height:42" coordsize="2,42" path="m2,42hdc2,28,1,14,,e" filled="f" strokecolor="#385d8a" strokeweight="56e-5mm">
                <v:stroke joinstyle="miter"/>
                <v:path arrowok="t"/>
              </v:shape>
            </v:group>
            <w10:wrap type="none"/>
            <w10:anchorlock/>
          </v:group>
        </w:pict>
      </w:r>
    </w:p>
    <w:p w:rsidR="00AA60B6" w:rsidRPr="00AA60B6" w:rsidRDefault="00AA60B6" w:rsidP="00AA60B6">
      <w:pPr>
        <w:tabs>
          <w:tab w:val="left" w:pos="6663"/>
        </w:tabs>
        <w:rPr>
          <w:rFonts w:asciiTheme="majorBidi" w:hAnsiTheme="majorBidi" w:cstheme="majorBidi"/>
          <w:lang w:val="ru-RU"/>
        </w:rPr>
      </w:pPr>
    </w:p>
    <w:p w:rsidR="00AA60B6" w:rsidRPr="00AA60B6" w:rsidRDefault="00AA60B6" w:rsidP="00AA60B6">
      <w:pPr>
        <w:pStyle w:val="Heading1"/>
        <w:rPr>
          <w:rFonts w:asciiTheme="majorBidi" w:hAnsiTheme="majorBidi" w:cstheme="majorBidi"/>
          <w:lang w:val="ru-RU"/>
        </w:rPr>
      </w:pPr>
      <w:bookmarkStart w:id="52" w:name="_Toc277683095"/>
      <w:bookmarkStart w:id="53" w:name="_Toc277857910"/>
      <w:r w:rsidRPr="00AA60B6">
        <w:rPr>
          <w:rFonts w:asciiTheme="majorBidi" w:hAnsiTheme="majorBidi" w:cstheme="majorBidi"/>
          <w:lang w:val="ru-RU"/>
        </w:rPr>
        <w:t>8</w:t>
      </w:r>
      <w:r w:rsidRPr="00AA60B6">
        <w:rPr>
          <w:rFonts w:asciiTheme="majorBidi" w:hAnsiTheme="majorBidi" w:cstheme="majorBidi"/>
          <w:lang w:val="ru-RU"/>
        </w:rPr>
        <w:tab/>
        <w:t>Примеры сборов, применяемых администрациями</w:t>
      </w:r>
      <w:bookmarkEnd w:id="52"/>
      <w:bookmarkEnd w:id="53"/>
      <w:r w:rsidRPr="00AA60B6">
        <w:rPr>
          <w:rFonts w:asciiTheme="majorBidi" w:hAnsiTheme="majorBidi" w:cstheme="majorBidi"/>
          <w:lang w:val="ru-RU"/>
        </w:rPr>
        <w:t xml:space="preserve"> </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Для большей наглядности ниже приводится несколько примеров практического применения администрациями принципов и руководящих указаний, изложенных выше.</w:t>
      </w:r>
    </w:p>
    <w:p w:rsidR="00AA60B6" w:rsidRPr="00AA60B6" w:rsidRDefault="00AA60B6" w:rsidP="00AA60B6">
      <w:pPr>
        <w:pStyle w:val="Heading2"/>
        <w:rPr>
          <w:rFonts w:asciiTheme="majorBidi" w:hAnsiTheme="majorBidi" w:cstheme="majorBidi"/>
          <w:lang w:val="ru-RU"/>
        </w:rPr>
      </w:pPr>
      <w:bookmarkStart w:id="54" w:name="_Toc277683096"/>
      <w:bookmarkStart w:id="55" w:name="_Toc277857911"/>
      <w:r w:rsidRPr="00AA60B6">
        <w:rPr>
          <w:rFonts w:asciiTheme="majorBidi" w:hAnsiTheme="majorBidi" w:cstheme="majorBidi"/>
          <w:lang w:val="ru-RU"/>
        </w:rPr>
        <w:t>8.1</w:t>
      </w:r>
      <w:r w:rsidRPr="00AA60B6">
        <w:rPr>
          <w:rFonts w:asciiTheme="majorBidi" w:hAnsiTheme="majorBidi" w:cstheme="majorBidi"/>
          <w:lang w:val="ru-RU"/>
        </w:rPr>
        <w:tab/>
        <w:t>Случай Объединенных Арабских Эмиратов</w:t>
      </w:r>
      <w:bookmarkEnd w:id="54"/>
      <w:bookmarkEnd w:id="55"/>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Система сборов, принятая администрацией, показывает, в частности, правовые принципы {5} и {6}, экономические принципы {12} и {15.4}, принцип реальности {18} и является хорошим инструментом управления использованием спектра.</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В действительности для радиореллейных систем, локальной радиосети и линий связи между станциями при расчете величины сборов учитывается распределенная ширина полосы частот, расположение в спектре используемой центральной частоты.</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Учитывая распределенную ширину полосы частот, администрация стремится стимулировать пользователей к тому, чтобы запрашивать ресурс спектра, только минимально необходимый для удовлетворения их потребностей.</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Учитывая расположение в спектре используемой центральной частоты, администрация стремится оптимизировать занятость спектра.</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См. вклад Объединенных Арабских Эмиратов в Дополнениях 1.1 и 1.2.</w:t>
      </w:r>
    </w:p>
    <w:p w:rsidR="00AA60B6" w:rsidRPr="00AA60B6" w:rsidRDefault="00AA60B6" w:rsidP="00AA60B6">
      <w:pPr>
        <w:pStyle w:val="Heading2"/>
        <w:rPr>
          <w:rFonts w:asciiTheme="majorBidi" w:hAnsiTheme="majorBidi" w:cstheme="majorBidi"/>
          <w:lang w:val="ru-RU"/>
        </w:rPr>
      </w:pPr>
      <w:bookmarkStart w:id="56" w:name="_Toc277683097"/>
      <w:bookmarkStart w:id="57" w:name="_Toc277857912"/>
      <w:r w:rsidRPr="00AA60B6">
        <w:rPr>
          <w:rFonts w:asciiTheme="majorBidi" w:hAnsiTheme="majorBidi" w:cstheme="majorBidi"/>
          <w:lang w:val="ru-RU"/>
        </w:rPr>
        <w:t>8.2</w:t>
      </w:r>
      <w:r w:rsidRPr="00AA60B6">
        <w:rPr>
          <w:rFonts w:asciiTheme="majorBidi" w:hAnsiTheme="majorBidi" w:cstheme="majorBidi"/>
          <w:lang w:val="ru-RU"/>
        </w:rPr>
        <w:tab/>
        <w:t>Случай Швейцарии</w:t>
      </w:r>
      <w:bookmarkEnd w:id="56"/>
      <w:bookmarkEnd w:id="57"/>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Система сборов, принятая администрацией, показывает, в частности, правовые принципы {6} и {8}, экономические принципы {13}, {14} и {15.3} и распоряжение спектром {20}.</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В самом деле, при расчете величины административных сборов должен учитываться принцип покрытия  административных затрат. Таким образом, каждый год административные сборы могут пересматриваться как в сторону повышения, так и в сторону понижения, в зависимости от реального исполнения бюджета администрации, осуществляющей управление использованием спектра.</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lastRenderedPageBreak/>
        <w:t>Кроме того, в 2008 году было принято новое законоположение, для того чтобы при расчете сборов за использование спектра учитывалась также экономическая ценность частот.</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См. вклад Швейцарии в Дополнениях 2.1 и 2.2.</w:t>
      </w:r>
    </w:p>
    <w:p w:rsidR="00AA60B6" w:rsidRPr="00AA60B6" w:rsidRDefault="00AA60B6" w:rsidP="00AA60B6">
      <w:pPr>
        <w:pStyle w:val="Heading2"/>
        <w:rPr>
          <w:rFonts w:asciiTheme="majorBidi" w:hAnsiTheme="majorBidi" w:cstheme="majorBidi"/>
          <w:lang w:val="ru-RU"/>
        </w:rPr>
      </w:pPr>
      <w:bookmarkStart w:id="58" w:name="_Toc277683098"/>
      <w:bookmarkStart w:id="59" w:name="_Toc277857913"/>
      <w:r w:rsidRPr="00AA60B6">
        <w:rPr>
          <w:rFonts w:asciiTheme="majorBidi" w:hAnsiTheme="majorBidi" w:cstheme="majorBidi"/>
          <w:lang w:val="ru-RU"/>
        </w:rPr>
        <w:t>8.3</w:t>
      </w:r>
      <w:r w:rsidRPr="00AA60B6">
        <w:rPr>
          <w:rFonts w:asciiTheme="majorBidi" w:hAnsiTheme="majorBidi" w:cstheme="majorBidi"/>
          <w:lang w:val="ru-RU"/>
        </w:rPr>
        <w:tab/>
        <w:t>Случай Франции</w:t>
      </w:r>
      <w:bookmarkEnd w:id="58"/>
      <w:bookmarkEnd w:id="59"/>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Система сборов, принятая администрацией, показывает, в частности, правовые принципы {6} и {8}, экономические принципы {13}, {14}, {15.2}, {15.3} и {15.4} и распоряжение спектром {20}, {24} и {25}.</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В действительности, администрация применяет две категории сборов.</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Административные сборы пропорциональны количеству распределенных присвоений и количеству выделений. Их общая годовая величина соответствует совокупным годовым затратам на управление использованием спектра, лицензиями и разрешениями.</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При расчете сборов за использование спектра в отношении частот, предназначенных для удовлетворения собственных потребностей пользователей, учитывается только распределенная ширина полосы частот и площадь поверхности распределения.</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При расчете сборов за использование спектра в отношении частот, используемых для предложения или продажи услуг, предназначенных для потребительского рынка (случай частот GSM и UMTS), учитывается величина торгового оборота операторов.</w:t>
      </w:r>
    </w:p>
    <w:p w:rsidR="00AA60B6" w:rsidRPr="00AA60B6" w:rsidRDefault="00AA60B6" w:rsidP="00AA60B6">
      <w:pPr>
        <w:pStyle w:val="Heading2"/>
        <w:rPr>
          <w:rFonts w:asciiTheme="majorBidi" w:hAnsiTheme="majorBidi" w:cstheme="majorBidi"/>
          <w:lang w:val="ru-RU"/>
        </w:rPr>
      </w:pPr>
      <w:bookmarkStart w:id="60" w:name="_Toc277683099"/>
      <w:bookmarkStart w:id="61" w:name="_Toc277857914"/>
      <w:r w:rsidRPr="00AA60B6">
        <w:rPr>
          <w:rFonts w:asciiTheme="majorBidi" w:hAnsiTheme="majorBidi" w:cstheme="majorBidi"/>
          <w:lang w:val="ru-RU"/>
        </w:rPr>
        <w:t>8.4</w:t>
      </w:r>
      <w:r w:rsidRPr="00AA60B6">
        <w:rPr>
          <w:rFonts w:asciiTheme="majorBidi" w:hAnsiTheme="majorBidi" w:cstheme="majorBidi"/>
          <w:lang w:val="ru-RU"/>
        </w:rPr>
        <w:tab/>
        <w:t>Случай Кот-д’Ивуара</w:t>
      </w:r>
      <w:bookmarkEnd w:id="60"/>
      <w:bookmarkEnd w:id="61"/>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Администрация Кот-д’Ивуара полностью придерживается  правовых принципов {6}, {7} и {8}, экономических принципов {15.1}, {15.2}, {15.3} и {15.4}.</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В частности, она применяет положения п. 5.1.4.</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См. вклад Кот-д’Ивуара в Дополнении 3.</w:t>
      </w:r>
    </w:p>
    <w:p w:rsidR="00AA60B6" w:rsidRPr="00AA60B6" w:rsidRDefault="00AA60B6" w:rsidP="00AA60B6">
      <w:pPr>
        <w:pStyle w:val="AnnexNo"/>
        <w:rPr>
          <w:rFonts w:asciiTheme="majorBidi" w:hAnsiTheme="majorBidi" w:cstheme="majorBidi"/>
          <w:lang w:val="ru-RU"/>
        </w:rPr>
      </w:pPr>
      <w:r w:rsidRPr="00AA60B6">
        <w:rPr>
          <w:rFonts w:asciiTheme="majorBidi" w:hAnsiTheme="majorBidi" w:cstheme="majorBidi"/>
          <w:lang w:val="ru-RU"/>
        </w:rPr>
        <w:br w:type="page"/>
      </w:r>
      <w:bookmarkStart w:id="62" w:name="_Toc277857915"/>
      <w:r w:rsidR="008C51B8" w:rsidRPr="008C51B8">
        <w:rPr>
          <w:rFonts w:asciiTheme="majorBidi" w:hAnsiTheme="majorBidi" w:cstheme="majorBidi"/>
          <w:b/>
          <w:bCs/>
          <w:caps w:val="0"/>
          <w:lang w:val="ru-RU"/>
        </w:rPr>
        <w:lastRenderedPageBreak/>
        <w:t>Приложение</w:t>
      </w:r>
      <w:r w:rsidR="008C51B8" w:rsidRPr="00AA60B6">
        <w:rPr>
          <w:rFonts w:asciiTheme="majorBidi" w:hAnsiTheme="majorBidi" w:cstheme="majorBidi"/>
          <w:caps w:val="0"/>
          <w:lang w:val="ru-RU"/>
        </w:rPr>
        <w:t xml:space="preserve"> </w:t>
      </w:r>
      <w:r w:rsidRPr="00AA60B6">
        <w:rPr>
          <w:rFonts w:asciiTheme="majorBidi" w:hAnsiTheme="majorBidi" w:cstheme="majorBidi"/>
          <w:lang w:val="ru-RU"/>
        </w:rPr>
        <w:t>1</w:t>
      </w:r>
      <w:bookmarkEnd w:id="62"/>
    </w:p>
    <w:p w:rsidR="00AA60B6" w:rsidRPr="00AA60B6" w:rsidRDefault="00AA60B6" w:rsidP="00AA60B6">
      <w:pPr>
        <w:pStyle w:val="Annextitle"/>
        <w:rPr>
          <w:rFonts w:asciiTheme="majorBidi" w:hAnsiTheme="majorBidi" w:cstheme="majorBidi"/>
          <w:lang w:val="ru-RU"/>
        </w:rPr>
      </w:pPr>
      <w:bookmarkStart w:id="63" w:name="_Toc277857916"/>
      <w:r w:rsidRPr="00AA60B6">
        <w:rPr>
          <w:rFonts w:asciiTheme="majorBidi" w:hAnsiTheme="majorBidi" w:cstheme="majorBidi"/>
          <w:lang w:val="ru-RU"/>
        </w:rPr>
        <w:t>Упрощенный пример таблицы, содержащей значения коэффициента "</w:t>
      </w:r>
      <w:r w:rsidRPr="00AA60B6">
        <w:rPr>
          <w:rFonts w:asciiTheme="majorBidi" w:hAnsiTheme="majorBidi" w:cstheme="majorBidi"/>
          <w:lang w:val="en-US"/>
        </w:rPr>
        <w:t>bf</w:t>
      </w:r>
      <w:r w:rsidRPr="00AA60B6">
        <w:rPr>
          <w:rFonts w:asciiTheme="majorBidi" w:hAnsiTheme="majorBidi" w:cstheme="majorBidi"/>
          <w:lang w:val="ru-RU"/>
        </w:rPr>
        <w:t xml:space="preserve">" </w:t>
      </w:r>
      <w:r w:rsidRPr="00AA60B6">
        <w:rPr>
          <w:rFonts w:asciiTheme="majorBidi" w:hAnsiTheme="majorBidi" w:cstheme="majorBidi"/>
          <w:lang w:val="ru-RU"/>
        </w:rPr>
        <w:br/>
        <w:t>для соответствующих полос частот</w:t>
      </w:r>
      <w:bookmarkEnd w:id="63"/>
    </w:p>
    <w:p w:rsidR="00AA60B6" w:rsidRPr="00AA60B6" w:rsidRDefault="00AA60B6" w:rsidP="00AA60B6">
      <w:pPr>
        <w:spacing w:before="0"/>
        <w:rPr>
          <w:rFonts w:asciiTheme="majorBidi" w:hAnsiTheme="majorBidi" w:cstheme="majorBidi"/>
          <w:b/>
          <w:bCs/>
          <w:szCs w:val="18"/>
          <w:lang w:val="ru-RU"/>
        </w:rPr>
      </w:pPr>
    </w:p>
    <w:p w:rsidR="00AA60B6" w:rsidRDefault="00AA60B6" w:rsidP="00AA60B6">
      <w:pPr>
        <w:rPr>
          <w:rFonts w:asciiTheme="majorBidi" w:hAnsiTheme="majorBidi" w:cstheme="majorBidi"/>
          <w:lang w:val="ru-RU"/>
        </w:rPr>
      </w:pPr>
      <w:r w:rsidRPr="00AA60B6">
        <w:rPr>
          <w:rFonts w:asciiTheme="majorBidi" w:hAnsiTheme="majorBidi" w:cstheme="majorBidi"/>
          <w:lang w:val="ru-RU"/>
        </w:rPr>
        <w:t>Наименьшие значения коэффициентов побуждают пользователей занимать соответствующие полосы частот, а наибольшие коэффициенты побуждают их оставлять соответствующие полосы.</w:t>
      </w:r>
    </w:p>
    <w:p w:rsidR="008C51B8" w:rsidRPr="00E0647F" w:rsidRDefault="008C51B8" w:rsidP="008C51B8">
      <w:pPr>
        <w:rPr>
          <w:b/>
          <w:bCs/>
        </w:rPr>
      </w:pPr>
    </w:p>
    <w:p w:rsidR="008C51B8" w:rsidRPr="00F439C2" w:rsidRDefault="008C51B8" w:rsidP="008C51B8">
      <w:pPr>
        <w:pStyle w:val="FigureTitle"/>
      </w:pPr>
    </w:p>
    <w:tbl>
      <w:tblPr>
        <w:tblW w:w="0" w:type="auto"/>
        <w:jc w:val="center"/>
        <w:tblInd w:w="55" w:type="dxa"/>
        <w:tblLayout w:type="fixed"/>
        <w:tblCellMar>
          <w:top w:w="55" w:type="dxa"/>
          <w:left w:w="55" w:type="dxa"/>
          <w:bottom w:w="55" w:type="dxa"/>
          <w:right w:w="55" w:type="dxa"/>
        </w:tblCellMar>
        <w:tblLook w:val="0000"/>
      </w:tblPr>
      <w:tblGrid>
        <w:gridCol w:w="6915"/>
        <w:gridCol w:w="2722"/>
      </w:tblGrid>
      <w:tr w:rsidR="00AA60B6" w:rsidRPr="00AA60B6" w:rsidTr="00AA60B6">
        <w:trPr>
          <w:jc w:val="center"/>
        </w:trPr>
        <w:tc>
          <w:tcPr>
            <w:tcW w:w="6915" w:type="dxa"/>
            <w:tcBorders>
              <w:top w:val="single" w:sz="1" w:space="0" w:color="000000"/>
              <w:left w:val="single" w:sz="1" w:space="0" w:color="000000"/>
              <w:bottom w:val="single" w:sz="1" w:space="0" w:color="000000"/>
            </w:tcBorders>
          </w:tcPr>
          <w:p w:rsidR="00AA60B6" w:rsidRPr="00AA60B6" w:rsidRDefault="00AA60B6" w:rsidP="00AA60B6">
            <w:pPr>
              <w:spacing w:before="0"/>
              <w:jc w:val="center"/>
              <w:rPr>
                <w:rFonts w:asciiTheme="majorBidi" w:hAnsiTheme="majorBidi" w:cstheme="majorBidi"/>
                <w:b/>
                <w:bCs/>
                <w:szCs w:val="18"/>
                <w:lang w:val="ru-RU"/>
              </w:rPr>
            </w:pPr>
            <w:r w:rsidRPr="00AA60B6">
              <w:rPr>
                <w:rFonts w:asciiTheme="majorBidi" w:hAnsiTheme="majorBidi" w:cstheme="majorBidi"/>
                <w:b/>
                <w:szCs w:val="18"/>
                <w:lang w:val="ru-RU"/>
              </w:rPr>
              <w:t>Расположение распределенных полос частот</w:t>
            </w:r>
          </w:p>
        </w:tc>
        <w:tc>
          <w:tcPr>
            <w:tcW w:w="2722" w:type="dxa"/>
            <w:tcBorders>
              <w:top w:val="single" w:sz="1" w:space="0" w:color="000000"/>
              <w:left w:val="single" w:sz="1" w:space="0" w:color="000000"/>
              <w:bottom w:val="single" w:sz="1" w:space="0" w:color="000000"/>
              <w:right w:val="single" w:sz="1" w:space="0" w:color="000000"/>
            </w:tcBorders>
          </w:tcPr>
          <w:p w:rsidR="00AA60B6" w:rsidRPr="00AA60B6" w:rsidRDefault="00AA60B6" w:rsidP="00AA60B6">
            <w:pPr>
              <w:spacing w:before="0"/>
              <w:jc w:val="center"/>
              <w:rPr>
                <w:rFonts w:asciiTheme="majorBidi" w:hAnsiTheme="majorBidi" w:cstheme="majorBidi"/>
                <w:b/>
                <w:bCs/>
                <w:szCs w:val="18"/>
                <w:lang w:val="ru-RU"/>
              </w:rPr>
            </w:pPr>
            <w:r w:rsidRPr="00AA60B6">
              <w:rPr>
                <w:rFonts w:asciiTheme="majorBidi" w:hAnsiTheme="majorBidi" w:cstheme="majorBidi"/>
                <w:b/>
                <w:szCs w:val="18"/>
                <w:lang w:val="ru-RU"/>
              </w:rPr>
              <w:t>Значение коэффициента "bf"</w:t>
            </w:r>
          </w:p>
        </w:tc>
      </w:tr>
      <w:tr w:rsidR="00AA60B6" w:rsidRPr="00AA60B6" w:rsidTr="00AA60B6">
        <w:trPr>
          <w:jc w:val="center"/>
        </w:trPr>
        <w:tc>
          <w:tcPr>
            <w:tcW w:w="6915" w:type="dxa"/>
            <w:tcBorders>
              <w:left w:val="single" w:sz="1" w:space="0" w:color="000000"/>
              <w:bottom w:val="single" w:sz="1" w:space="0" w:color="000000"/>
            </w:tcBorders>
          </w:tcPr>
          <w:p w:rsidR="00AA60B6" w:rsidRPr="00AA60B6" w:rsidRDefault="00AA60B6" w:rsidP="00AA60B6">
            <w:pPr>
              <w:tabs>
                <w:tab w:val="right" w:pos="2211"/>
                <w:tab w:val="left" w:pos="2637"/>
                <w:tab w:val="left" w:pos="4338"/>
              </w:tabs>
              <w:spacing w:before="0"/>
              <w:rPr>
                <w:rFonts w:asciiTheme="majorBidi" w:hAnsiTheme="majorBidi" w:cstheme="majorBidi"/>
                <w:bCs/>
                <w:szCs w:val="18"/>
                <w:lang w:val="ru-RU"/>
              </w:rPr>
            </w:pPr>
            <w:r w:rsidRPr="00AA60B6">
              <w:rPr>
                <w:rFonts w:asciiTheme="majorBidi" w:hAnsiTheme="majorBidi" w:cstheme="majorBidi"/>
                <w:szCs w:val="18"/>
                <w:lang w:val="ru-RU"/>
              </w:rPr>
              <w:tab/>
              <w:t xml:space="preserve">29,7 МГц </w:t>
            </w:r>
            <w:r w:rsidRPr="00AA60B6">
              <w:rPr>
                <w:rFonts w:asciiTheme="majorBidi" w:hAnsiTheme="majorBidi" w:cstheme="majorBidi"/>
                <w:szCs w:val="18"/>
                <w:u w:val="single"/>
                <w:lang w:val="ru-RU"/>
              </w:rPr>
              <w:t>&lt;</w:t>
            </w:r>
            <w:r w:rsidRPr="00AA60B6">
              <w:rPr>
                <w:rFonts w:asciiTheme="majorBidi" w:hAnsiTheme="majorBidi" w:cstheme="majorBidi"/>
                <w:szCs w:val="18"/>
                <w:lang w:val="ru-RU"/>
              </w:rPr>
              <w:tab/>
              <w:t>полоса частот</w:t>
            </w:r>
            <w:r w:rsidRPr="00AA60B6">
              <w:rPr>
                <w:rFonts w:asciiTheme="majorBidi" w:hAnsiTheme="majorBidi" w:cstheme="majorBidi"/>
                <w:szCs w:val="18"/>
                <w:lang w:val="ru-RU"/>
              </w:rPr>
              <w:tab/>
              <w:t>&lt; 1 375 МГц</w:t>
            </w:r>
          </w:p>
        </w:tc>
        <w:tc>
          <w:tcPr>
            <w:tcW w:w="2722" w:type="dxa"/>
            <w:tcBorders>
              <w:left w:val="single" w:sz="1" w:space="0" w:color="000000"/>
              <w:bottom w:val="single" w:sz="1" w:space="0" w:color="000000"/>
              <w:right w:val="single" w:sz="1" w:space="0" w:color="000000"/>
            </w:tcBorders>
          </w:tcPr>
          <w:p w:rsidR="00AA60B6" w:rsidRPr="00AA60B6" w:rsidRDefault="00AA60B6" w:rsidP="00AA60B6">
            <w:pPr>
              <w:spacing w:before="0"/>
              <w:jc w:val="center"/>
              <w:rPr>
                <w:rFonts w:asciiTheme="majorBidi" w:hAnsiTheme="majorBidi" w:cstheme="majorBidi"/>
                <w:bCs/>
                <w:szCs w:val="18"/>
                <w:lang w:val="ru-RU"/>
              </w:rPr>
            </w:pPr>
            <w:r w:rsidRPr="00AA60B6">
              <w:rPr>
                <w:rFonts w:asciiTheme="majorBidi" w:hAnsiTheme="majorBidi" w:cstheme="majorBidi"/>
                <w:szCs w:val="18"/>
                <w:lang w:val="ru-RU"/>
              </w:rPr>
              <w:t>1</w:t>
            </w:r>
          </w:p>
        </w:tc>
      </w:tr>
      <w:tr w:rsidR="00AA60B6" w:rsidRPr="00AA60B6" w:rsidTr="00AA60B6">
        <w:trPr>
          <w:jc w:val="center"/>
        </w:trPr>
        <w:tc>
          <w:tcPr>
            <w:tcW w:w="6915" w:type="dxa"/>
            <w:tcBorders>
              <w:left w:val="single" w:sz="1" w:space="0" w:color="000000"/>
              <w:bottom w:val="single" w:sz="1" w:space="0" w:color="000000"/>
            </w:tcBorders>
          </w:tcPr>
          <w:p w:rsidR="00AA60B6" w:rsidRPr="00AA60B6" w:rsidRDefault="00AA60B6" w:rsidP="00AA60B6">
            <w:pPr>
              <w:tabs>
                <w:tab w:val="right" w:pos="2211"/>
                <w:tab w:val="left" w:pos="2637"/>
                <w:tab w:val="left" w:pos="2778"/>
                <w:tab w:val="left" w:pos="4338"/>
              </w:tabs>
              <w:spacing w:before="0"/>
              <w:rPr>
                <w:rFonts w:asciiTheme="majorBidi" w:hAnsiTheme="majorBidi" w:cstheme="majorBidi"/>
                <w:bCs/>
                <w:szCs w:val="18"/>
                <w:lang w:val="ru-RU"/>
              </w:rPr>
            </w:pPr>
            <w:r w:rsidRPr="00AA60B6">
              <w:rPr>
                <w:rFonts w:asciiTheme="majorBidi" w:hAnsiTheme="majorBidi" w:cstheme="majorBidi"/>
                <w:szCs w:val="18"/>
                <w:lang w:val="ru-RU"/>
              </w:rPr>
              <w:tab/>
              <w:t xml:space="preserve">1 375 МГц </w:t>
            </w:r>
            <w:r w:rsidRPr="00AA60B6">
              <w:rPr>
                <w:rFonts w:asciiTheme="majorBidi" w:hAnsiTheme="majorBidi" w:cstheme="majorBidi"/>
                <w:szCs w:val="18"/>
                <w:u w:val="single"/>
                <w:lang w:val="ru-RU"/>
              </w:rPr>
              <w:t>&lt;</w:t>
            </w:r>
            <w:r w:rsidRPr="00AA60B6">
              <w:rPr>
                <w:rFonts w:asciiTheme="majorBidi" w:hAnsiTheme="majorBidi" w:cstheme="majorBidi"/>
                <w:szCs w:val="18"/>
                <w:lang w:val="ru-RU"/>
              </w:rPr>
              <w:tab/>
              <w:t xml:space="preserve">полоса частот </w:t>
            </w:r>
            <w:r w:rsidRPr="00AA60B6">
              <w:rPr>
                <w:rFonts w:asciiTheme="majorBidi" w:hAnsiTheme="majorBidi" w:cstheme="majorBidi"/>
                <w:szCs w:val="18"/>
                <w:lang w:val="ru-RU"/>
              </w:rPr>
              <w:tab/>
              <w:t>&lt; 3 400 МГц</w:t>
            </w:r>
          </w:p>
        </w:tc>
        <w:tc>
          <w:tcPr>
            <w:tcW w:w="2722" w:type="dxa"/>
            <w:tcBorders>
              <w:left w:val="single" w:sz="1" w:space="0" w:color="000000"/>
              <w:bottom w:val="single" w:sz="1" w:space="0" w:color="000000"/>
              <w:right w:val="single" w:sz="1" w:space="0" w:color="000000"/>
            </w:tcBorders>
          </w:tcPr>
          <w:p w:rsidR="00AA60B6" w:rsidRPr="00AA60B6" w:rsidRDefault="00AA60B6" w:rsidP="00AA60B6">
            <w:pPr>
              <w:spacing w:before="0"/>
              <w:jc w:val="center"/>
              <w:rPr>
                <w:rFonts w:asciiTheme="majorBidi" w:hAnsiTheme="majorBidi" w:cstheme="majorBidi"/>
                <w:bCs/>
                <w:szCs w:val="18"/>
                <w:lang w:val="ru-RU"/>
              </w:rPr>
            </w:pPr>
            <w:r w:rsidRPr="00AA60B6">
              <w:rPr>
                <w:rFonts w:asciiTheme="majorBidi" w:hAnsiTheme="majorBidi" w:cstheme="majorBidi"/>
                <w:szCs w:val="18"/>
                <w:lang w:val="ru-RU"/>
              </w:rPr>
              <w:t>8</w:t>
            </w:r>
          </w:p>
        </w:tc>
      </w:tr>
      <w:tr w:rsidR="00AA60B6" w:rsidRPr="00AA60B6" w:rsidTr="00AA60B6">
        <w:trPr>
          <w:jc w:val="center"/>
        </w:trPr>
        <w:tc>
          <w:tcPr>
            <w:tcW w:w="6915" w:type="dxa"/>
            <w:tcBorders>
              <w:left w:val="single" w:sz="1" w:space="0" w:color="000000"/>
              <w:bottom w:val="single" w:sz="1" w:space="0" w:color="000000"/>
            </w:tcBorders>
          </w:tcPr>
          <w:p w:rsidR="00AA60B6" w:rsidRPr="00AA60B6" w:rsidRDefault="00AA60B6" w:rsidP="00AA60B6">
            <w:pPr>
              <w:tabs>
                <w:tab w:val="right" w:pos="2211"/>
                <w:tab w:val="left" w:pos="2637"/>
                <w:tab w:val="left" w:pos="4338"/>
              </w:tabs>
              <w:spacing w:before="0"/>
              <w:rPr>
                <w:rFonts w:asciiTheme="majorBidi" w:hAnsiTheme="majorBidi" w:cstheme="majorBidi"/>
                <w:bCs/>
                <w:szCs w:val="18"/>
                <w:lang w:val="ru-RU"/>
              </w:rPr>
            </w:pPr>
            <w:r w:rsidRPr="00AA60B6">
              <w:rPr>
                <w:rFonts w:asciiTheme="majorBidi" w:hAnsiTheme="majorBidi" w:cstheme="majorBidi"/>
                <w:szCs w:val="18"/>
                <w:lang w:val="ru-RU"/>
              </w:rPr>
              <w:tab/>
              <w:t xml:space="preserve">3 400 МГц </w:t>
            </w:r>
            <w:r w:rsidRPr="00AA60B6">
              <w:rPr>
                <w:rFonts w:asciiTheme="majorBidi" w:hAnsiTheme="majorBidi" w:cstheme="majorBidi"/>
                <w:szCs w:val="18"/>
                <w:u w:val="single"/>
                <w:lang w:val="ru-RU"/>
              </w:rPr>
              <w:t>&lt;</w:t>
            </w:r>
            <w:r w:rsidRPr="00AA60B6">
              <w:rPr>
                <w:rFonts w:asciiTheme="majorBidi" w:hAnsiTheme="majorBidi" w:cstheme="majorBidi"/>
                <w:szCs w:val="18"/>
                <w:lang w:val="ru-RU"/>
              </w:rPr>
              <w:tab/>
              <w:t xml:space="preserve">полоса частот </w:t>
            </w:r>
            <w:r w:rsidRPr="00AA60B6">
              <w:rPr>
                <w:rFonts w:asciiTheme="majorBidi" w:hAnsiTheme="majorBidi" w:cstheme="majorBidi"/>
                <w:szCs w:val="18"/>
                <w:lang w:val="ru-RU"/>
              </w:rPr>
              <w:tab/>
              <w:t>&lt; 7 110 МГц</w:t>
            </w:r>
          </w:p>
        </w:tc>
        <w:tc>
          <w:tcPr>
            <w:tcW w:w="2722" w:type="dxa"/>
            <w:tcBorders>
              <w:left w:val="single" w:sz="1" w:space="0" w:color="000000"/>
              <w:bottom w:val="single" w:sz="1" w:space="0" w:color="000000"/>
              <w:right w:val="single" w:sz="1" w:space="0" w:color="000000"/>
            </w:tcBorders>
          </w:tcPr>
          <w:p w:rsidR="00AA60B6" w:rsidRPr="00AA60B6" w:rsidRDefault="00AA60B6" w:rsidP="00AA60B6">
            <w:pPr>
              <w:spacing w:before="0"/>
              <w:jc w:val="center"/>
              <w:rPr>
                <w:rFonts w:asciiTheme="majorBidi" w:hAnsiTheme="majorBidi" w:cstheme="majorBidi"/>
                <w:bCs/>
                <w:szCs w:val="18"/>
                <w:lang w:val="ru-RU"/>
              </w:rPr>
            </w:pPr>
            <w:r w:rsidRPr="00AA60B6">
              <w:rPr>
                <w:rFonts w:asciiTheme="majorBidi" w:hAnsiTheme="majorBidi" w:cstheme="majorBidi"/>
                <w:szCs w:val="18"/>
                <w:lang w:val="ru-RU"/>
              </w:rPr>
              <w:t>2</w:t>
            </w:r>
          </w:p>
        </w:tc>
      </w:tr>
      <w:tr w:rsidR="00AA60B6" w:rsidRPr="00AA60B6" w:rsidTr="00AA60B6">
        <w:trPr>
          <w:jc w:val="center"/>
        </w:trPr>
        <w:tc>
          <w:tcPr>
            <w:tcW w:w="6915" w:type="dxa"/>
            <w:tcBorders>
              <w:left w:val="single" w:sz="1" w:space="0" w:color="000000"/>
              <w:bottom w:val="single" w:sz="1" w:space="0" w:color="000000"/>
            </w:tcBorders>
          </w:tcPr>
          <w:p w:rsidR="00AA60B6" w:rsidRPr="00AA60B6" w:rsidRDefault="00AA60B6" w:rsidP="00AA60B6">
            <w:pPr>
              <w:tabs>
                <w:tab w:val="right" w:pos="2211"/>
                <w:tab w:val="left" w:pos="2637"/>
                <w:tab w:val="left" w:pos="2778"/>
                <w:tab w:val="left" w:pos="4338"/>
              </w:tabs>
              <w:spacing w:before="0"/>
              <w:rPr>
                <w:rFonts w:asciiTheme="majorBidi" w:hAnsiTheme="majorBidi" w:cstheme="majorBidi"/>
                <w:bCs/>
                <w:szCs w:val="18"/>
                <w:lang w:val="ru-RU"/>
              </w:rPr>
            </w:pPr>
            <w:r w:rsidRPr="00AA60B6">
              <w:rPr>
                <w:rFonts w:asciiTheme="majorBidi" w:hAnsiTheme="majorBidi" w:cstheme="majorBidi"/>
                <w:szCs w:val="18"/>
                <w:lang w:val="ru-RU"/>
              </w:rPr>
              <w:tab/>
              <w:t xml:space="preserve">7 110 МГц </w:t>
            </w:r>
            <w:r w:rsidRPr="00AA60B6">
              <w:rPr>
                <w:rFonts w:asciiTheme="majorBidi" w:hAnsiTheme="majorBidi" w:cstheme="majorBidi"/>
                <w:szCs w:val="18"/>
                <w:u w:val="single"/>
                <w:lang w:val="ru-RU"/>
              </w:rPr>
              <w:t>&lt;</w:t>
            </w:r>
            <w:r w:rsidRPr="00AA60B6">
              <w:rPr>
                <w:rFonts w:asciiTheme="majorBidi" w:hAnsiTheme="majorBidi" w:cstheme="majorBidi"/>
                <w:szCs w:val="18"/>
                <w:lang w:val="ru-RU"/>
              </w:rPr>
              <w:tab/>
              <w:t>полоса частот</w:t>
            </w:r>
            <w:r w:rsidRPr="00AA60B6">
              <w:rPr>
                <w:rFonts w:asciiTheme="majorBidi" w:hAnsiTheme="majorBidi" w:cstheme="majorBidi"/>
                <w:szCs w:val="18"/>
                <w:lang w:val="ru-RU"/>
              </w:rPr>
              <w:tab/>
              <w:t>&lt; 12,75 ГГц</w:t>
            </w:r>
          </w:p>
        </w:tc>
        <w:tc>
          <w:tcPr>
            <w:tcW w:w="2722" w:type="dxa"/>
            <w:tcBorders>
              <w:left w:val="single" w:sz="1" w:space="0" w:color="000000"/>
              <w:bottom w:val="single" w:sz="1" w:space="0" w:color="000000"/>
              <w:right w:val="single" w:sz="1" w:space="0" w:color="000000"/>
            </w:tcBorders>
          </w:tcPr>
          <w:p w:rsidR="00AA60B6" w:rsidRPr="00AA60B6" w:rsidRDefault="00AA60B6" w:rsidP="00AA60B6">
            <w:pPr>
              <w:spacing w:before="0"/>
              <w:jc w:val="center"/>
              <w:rPr>
                <w:rFonts w:asciiTheme="majorBidi" w:hAnsiTheme="majorBidi" w:cstheme="majorBidi"/>
                <w:bCs/>
                <w:szCs w:val="18"/>
                <w:lang w:val="ru-RU"/>
              </w:rPr>
            </w:pPr>
            <w:r w:rsidRPr="00AA60B6">
              <w:rPr>
                <w:rFonts w:asciiTheme="majorBidi" w:hAnsiTheme="majorBidi" w:cstheme="majorBidi"/>
                <w:szCs w:val="18"/>
                <w:lang w:val="ru-RU"/>
              </w:rPr>
              <w:t>1,5</w:t>
            </w:r>
          </w:p>
        </w:tc>
      </w:tr>
      <w:tr w:rsidR="00AA60B6" w:rsidRPr="00AA60B6" w:rsidTr="00AA60B6">
        <w:trPr>
          <w:jc w:val="center"/>
        </w:trPr>
        <w:tc>
          <w:tcPr>
            <w:tcW w:w="6915" w:type="dxa"/>
            <w:tcBorders>
              <w:left w:val="single" w:sz="1" w:space="0" w:color="000000"/>
              <w:bottom w:val="single" w:sz="1" w:space="0" w:color="000000"/>
            </w:tcBorders>
          </w:tcPr>
          <w:p w:rsidR="00AA60B6" w:rsidRPr="00AA60B6" w:rsidRDefault="00AA60B6" w:rsidP="00AA60B6">
            <w:pPr>
              <w:tabs>
                <w:tab w:val="right" w:pos="2211"/>
                <w:tab w:val="left" w:pos="2637"/>
                <w:tab w:val="left" w:pos="2778"/>
                <w:tab w:val="left" w:pos="4338"/>
              </w:tabs>
              <w:spacing w:before="0"/>
              <w:rPr>
                <w:rFonts w:asciiTheme="majorBidi" w:hAnsiTheme="majorBidi" w:cstheme="majorBidi"/>
                <w:bCs/>
                <w:szCs w:val="18"/>
                <w:lang w:val="ru-RU"/>
              </w:rPr>
            </w:pPr>
            <w:r w:rsidRPr="00AA60B6">
              <w:rPr>
                <w:rFonts w:asciiTheme="majorBidi" w:hAnsiTheme="majorBidi" w:cstheme="majorBidi"/>
                <w:szCs w:val="18"/>
                <w:lang w:val="ru-RU"/>
              </w:rPr>
              <w:tab/>
              <w:t xml:space="preserve">12,75 ГГц </w:t>
            </w:r>
            <w:r w:rsidRPr="00AA60B6">
              <w:rPr>
                <w:rFonts w:asciiTheme="majorBidi" w:hAnsiTheme="majorBidi" w:cstheme="majorBidi"/>
                <w:szCs w:val="18"/>
                <w:u w:val="single"/>
                <w:lang w:val="ru-RU"/>
              </w:rPr>
              <w:t>&lt;</w:t>
            </w:r>
            <w:r w:rsidRPr="00AA60B6">
              <w:rPr>
                <w:rFonts w:asciiTheme="majorBidi" w:hAnsiTheme="majorBidi" w:cstheme="majorBidi"/>
                <w:szCs w:val="18"/>
                <w:lang w:val="ru-RU"/>
              </w:rPr>
              <w:tab/>
              <w:t>полоса частот</w:t>
            </w:r>
            <w:r w:rsidRPr="00AA60B6">
              <w:rPr>
                <w:rFonts w:asciiTheme="majorBidi" w:hAnsiTheme="majorBidi" w:cstheme="majorBidi"/>
                <w:szCs w:val="18"/>
                <w:lang w:val="ru-RU"/>
              </w:rPr>
              <w:tab/>
              <w:t>&lt; 14,5 ГГц</w:t>
            </w:r>
          </w:p>
        </w:tc>
        <w:tc>
          <w:tcPr>
            <w:tcW w:w="2722" w:type="dxa"/>
            <w:tcBorders>
              <w:left w:val="single" w:sz="1" w:space="0" w:color="000000"/>
              <w:bottom w:val="single" w:sz="1" w:space="0" w:color="000000"/>
              <w:right w:val="single" w:sz="1" w:space="0" w:color="000000"/>
            </w:tcBorders>
          </w:tcPr>
          <w:p w:rsidR="00AA60B6" w:rsidRPr="00AA60B6" w:rsidRDefault="00AA60B6" w:rsidP="00AA60B6">
            <w:pPr>
              <w:spacing w:before="0"/>
              <w:jc w:val="center"/>
              <w:rPr>
                <w:rFonts w:asciiTheme="majorBidi" w:hAnsiTheme="majorBidi" w:cstheme="majorBidi"/>
                <w:bCs/>
                <w:szCs w:val="18"/>
                <w:lang w:val="ru-RU"/>
              </w:rPr>
            </w:pPr>
            <w:r w:rsidRPr="00AA60B6">
              <w:rPr>
                <w:rFonts w:asciiTheme="majorBidi" w:hAnsiTheme="majorBidi" w:cstheme="majorBidi"/>
                <w:szCs w:val="18"/>
                <w:lang w:val="ru-RU"/>
              </w:rPr>
              <w:t>1</w:t>
            </w:r>
          </w:p>
        </w:tc>
      </w:tr>
      <w:tr w:rsidR="00AA60B6" w:rsidRPr="00AA60B6" w:rsidTr="00AA60B6">
        <w:trPr>
          <w:jc w:val="center"/>
        </w:trPr>
        <w:tc>
          <w:tcPr>
            <w:tcW w:w="6915" w:type="dxa"/>
            <w:tcBorders>
              <w:left w:val="single" w:sz="1" w:space="0" w:color="000000"/>
              <w:bottom w:val="single" w:sz="1" w:space="0" w:color="000000"/>
            </w:tcBorders>
          </w:tcPr>
          <w:p w:rsidR="00AA60B6" w:rsidRPr="00AA60B6" w:rsidRDefault="00AA60B6" w:rsidP="00AA60B6">
            <w:pPr>
              <w:tabs>
                <w:tab w:val="right" w:pos="2211"/>
                <w:tab w:val="left" w:pos="2637"/>
                <w:tab w:val="left" w:pos="2778"/>
                <w:tab w:val="left" w:pos="4338"/>
              </w:tabs>
              <w:spacing w:before="0"/>
              <w:rPr>
                <w:rFonts w:asciiTheme="majorBidi" w:hAnsiTheme="majorBidi" w:cstheme="majorBidi"/>
                <w:bCs/>
                <w:szCs w:val="18"/>
                <w:lang w:val="ru-RU"/>
              </w:rPr>
            </w:pPr>
            <w:r w:rsidRPr="00AA60B6">
              <w:rPr>
                <w:rFonts w:asciiTheme="majorBidi" w:hAnsiTheme="majorBidi" w:cstheme="majorBidi"/>
                <w:szCs w:val="18"/>
                <w:lang w:val="ru-RU"/>
              </w:rPr>
              <w:tab/>
              <w:t xml:space="preserve">14,5 ГГц </w:t>
            </w:r>
            <w:r w:rsidRPr="00AA60B6">
              <w:rPr>
                <w:rFonts w:asciiTheme="majorBidi" w:hAnsiTheme="majorBidi" w:cstheme="majorBidi"/>
                <w:szCs w:val="18"/>
                <w:u w:val="single"/>
                <w:lang w:val="ru-RU"/>
              </w:rPr>
              <w:t>&lt;</w:t>
            </w:r>
            <w:r w:rsidRPr="00AA60B6">
              <w:rPr>
                <w:rFonts w:asciiTheme="majorBidi" w:hAnsiTheme="majorBidi" w:cstheme="majorBidi"/>
                <w:szCs w:val="18"/>
                <w:lang w:val="ru-RU"/>
              </w:rPr>
              <w:tab/>
              <w:t>полоса частот</w:t>
            </w:r>
            <w:r w:rsidRPr="00AA60B6">
              <w:rPr>
                <w:rFonts w:asciiTheme="majorBidi" w:hAnsiTheme="majorBidi" w:cstheme="majorBidi"/>
                <w:szCs w:val="18"/>
                <w:lang w:val="ru-RU"/>
              </w:rPr>
              <w:tab/>
              <w:t>&lt; 20,2 ГГц</w:t>
            </w:r>
          </w:p>
        </w:tc>
        <w:tc>
          <w:tcPr>
            <w:tcW w:w="2722" w:type="dxa"/>
            <w:tcBorders>
              <w:left w:val="single" w:sz="1" w:space="0" w:color="000000"/>
              <w:bottom w:val="single" w:sz="1" w:space="0" w:color="000000"/>
              <w:right w:val="single" w:sz="1" w:space="0" w:color="000000"/>
            </w:tcBorders>
          </w:tcPr>
          <w:p w:rsidR="00AA60B6" w:rsidRPr="00AA60B6" w:rsidRDefault="00AA60B6" w:rsidP="00AA60B6">
            <w:pPr>
              <w:spacing w:before="0"/>
              <w:jc w:val="center"/>
              <w:rPr>
                <w:rFonts w:asciiTheme="majorBidi" w:hAnsiTheme="majorBidi" w:cstheme="majorBidi"/>
                <w:bCs/>
                <w:szCs w:val="18"/>
                <w:lang w:val="ru-RU"/>
              </w:rPr>
            </w:pPr>
            <w:r w:rsidRPr="00AA60B6">
              <w:rPr>
                <w:rFonts w:asciiTheme="majorBidi" w:hAnsiTheme="majorBidi" w:cstheme="majorBidi"/>
                <w:szCs w:val="18"/>
                <w:lang w:val="ru-RU"/>
              </w:rPr>
              <w:t>0,7</w:t>
            </w:r>
          </w:p>
        </w:tc>
      </w:tr>
      <w:tr w:rsidR="00AA60B6" w:rsidRPr="00AA60B6" w:rsidTr="00AA60B6">
        <w:trPr>
          <w:jc w:val="center"/>
        </w:trPr>
        <w:tc>
          <w:tcPr>
            <w:tcW w:w="6915" w:type="dxa"/>
            <w:tcBorders>
              <w:left w:val="single" w:sz="1" w:space="0" w:color="000000"/>
              <w:bottom w:val="single" w:sz="1" w:space="0" w:color="000000"/>
            </w:tcBorders>
          </w:tcPr>
          <w:p w:rsidR="00AA60B6" w:rsidRPr="00AA60B6" w:rsidRDefault="00AA60B6" w:rsidP="00AA60B6">
            <w:pPr>
              <w:tabs>
                <w:tab w:val="right" w:pos="2211"/>
                <w:tab w:val="left" w:pos="2637"/>
                <w:tab w:val="left" w:pos="2778"/>
                <w:tab w:val="left" w:pos="4338"/>
              </w:tabs>
              <w:spacing w:before="0"/>
              <w:rPr>
                <w:rFonts w:asciiTheme="majorBidi" w:hAnsiTheme="majorBidi" w:cstheme="majorBidi"/>
                <w:bCs/>
                <w:szCs w:val="18"/>
                <w:lang w:val="ru-RU"/>
              </w:rPr>
            </w:pPr>
            <w:r w:rsidRPr="00AA60B6">
              <w:rPr>
                <w:rFonts w:asciiTheme="majorBidi" w:hAnsiTheme="majorBidi" w:cstheme="majorBidi"/>
                <w:szCs w:val="18"/>
                <w:lang w:val="ru-RU"/>
              </w:rPr>
              <w:tab/>
              <w:t>20,2 ГГц &lt;</w:t>
            </w:r>
            <w:r w:rsidRPr="00AA60B6">
              <w:rPr>
                <w:rFonts w:asciiTheme="majorBidi" w:hAnsiTheme="majorBidi" w:cstheme="majorBidi"/>
                <w:szCs w:val="18"/>
                <w:lang w:val="ru-RU"/>
              </w:rPr>
              <w:tab/>
              <w:t>полоса частот</w:t>
            </w:r>
            <w:r w:rsidRPr="00AA60B6">
              <w:rPr>
                <w:rFonts w:asciiTheme="majorBidi" w:hAnsiTheme="majorBidi" w:cstheme="majorBidi"/>
                <w:szCs w:val="18"/>
                <w:lang w:val="ru-RU"/>
              </w:rPr>
              <w:tab/>
              <w:t>&lt; 37,5 ГГц</w:t>
            </w:r>
          </w:p>
        </w:tc>
        <w:tc>
          <w:tcPr>
            <w:tcW w:w="2722" w:type="dxa"/>
            <w:tcBorders>
              <w:left w:val="single" w:sz="1" w:space="0" w:color="000000"/>
              <w:bottom w:val="single" w:sz="1" w:space="0" w:color="000000"/>
              <w:right w:val="single" w:sz="1" w:space="0" w:color="000000"/>
            </w:tcBorders>
          </w:tcPr>
          <w:p w:rsidR="00AA60B6" w:rsidRPr="00AA60B6" w:rsidRDefault="00AA60B6" w:rsidP="00AA60B6">
            <w:pPr>
              <w:spacing w:before="0"/>
              <w:jc w:val="center"/>
              <w:rPr>
                <w:rFonts w:asciiTheme="majorBidi" w:hAnsiTheme="majorBidi" w:cstheme="majorBidi"/>
                <w:bCs/>
                <w:szCs w:val="18"/>
                <w:lang w:val="ru-RU"/>
              </w:rPr>
            </w:pPr>
            <w:r w:rsidRPr="00AA60B6">
              <w:rPr>
                <w:rFonts w:asciiTheme="majorBidi" w:hAnsiTheme="majorBidi" w:cstheme="majorBidi"/>
                <w:szCs w:val="18"/>
                <w:lang w:val="ru-RU"/>
              </w:rPr>
              <w:t>0,5</w:t>
            </w:r>
          </w:p>
        </w:tc>
      </w:tr>
      <w:tr w:rsidR="00AA60B6" w:rsidRPr="00AA60B6" w:rsidTr="00AA60B6">
        <w:trPr>
          <w:jc w:val="center"/>
        </w:trPr>
        <w:tc>
          <w:tcPr>
            <w:tcW w:w="6915" w:type="dxa"/>
            <w:tcBorders>
              <w:left w:val="single" w:sz="1" w:space="0" w:color="000000"/>
              <w:bottom w:val="single" w:sz="1" w:space="0" w:color="000000"/>
            </w:tcBorders>
          </w:tcPr>
          <w:p w:rsidR="00AA60B6" w:rsidRPr="00AA60B6" w:rsidRDefault="00AA60B6" w:rsidP="00AA60B6">
            <w:pPr>
              <w:tabs>
                <w:tab w:val="left" w:pos="1503"/>
                <w:tab w:val="left" w:pos="3573"/>
              </w:tabs>
              <w:spacing w:before="0"/>
              <w:jc w:val="center"/>
              <w:rPr>
                <w:rFonts w:asciiTheme="majorBidi" w:hAnsiTheme="majorBidi" w:cstheme="majorBidi"/>
                <w:bCs/>
                <w:szCs w:val="18"/>
                <w:lang w:val="ru-RU"/>
              </w:rPr>
            </w:pPr>
            <w:r w:rsidRPr="00AA60B6">
              <w:rPr>
                <w:rFonts w:asciiTheme="majorBidi" w:hAnsiTheme="majorBidi" w:cstheme="majorBidi"/>
                <w:szCs w:val="18"/>
                <w:lang w:val="ru-RU"/>
              </w:rPr>
              <w:t xml:space="preserve">37,5 ГГц </w:t>
            </w:r>
            <w:r w:rsidRPr="00AA60B6">
              <w:rPr>
                <w:rFonts w:asciiTheme="majorBidi" w:hAnsiTheme="majorBidi" w:cstheme="majorBidi"/>
                <w:szCs w:val="18"/>
                <w:u w:val="single"/>
                <w:lang w:val="ru-RU"/>
              </w:rPr>
              <w:t>&lt;</w:t>
            </w:r>
            <w:r w:rsidRPr="00AA60B6">
              <w:rPr>
                <w:rFonts w:asciiTheme="majorBidi" w:hAnsiTheme="majorBidi" w:cstheme="majorBidi"/>
                <w:szCs w:val="18"/>
                <w:lang w:val="ru-RU"/>
              </w:rPr>
              <w:t xml:space="preserve">  полоса частот</w:t>
            </w:r>
          </w:p>
        </w:tc>
        <w:tc>
          <w:tcPr>
            <w:tcW w:w="2722" w:type="dxa"/>
            <w:tcBorders>
              <w:left w:val="single" w:sz="1" w:space="0" w:color="000000"/>
              <w:bottom w:val="single" w:sz="1" w:space="0" w:color="000000"/>
              <w:right w:val="single" w:sz="1" w:space="0" w:color="000000"/>
            </w:tcBorders>
          </w:tcPr>
          <w:p w:rsidR="00AA60B6" w:rsidRPr="00AA60B6" w:rsidRDefault="00AA60B6" w:rsidP="00AA60B6">
            <w:pPr>
              <w:spacing w:before="0"/>
              <w:jc w:val="center"/>
              <w:rPr>
                <w:rFonts w:asciiTheme="majorBidi" w:hAnsiTheme="majorBidi" w:cstheme="majorBidi"/>
                <w:bCs/>
                <w:szCs w:val="18"/>
                <w:lang w:val="ru-RU"/>
              </w:rPr>
            </w:pPr>
            <w:r w:rsidRPr="00AA60B6">
              <w:rPr>
                <w:rFonts w:asciiTheme="majorBidi" w:hAnsiTheme="majorBidi" w:cstheme="majorBidi"/>
                <w:szCs w:val="18"/>
                <w:lang w:val="ru-RU"/>
              </w:rPr>
              <w:t>0,3</w:t>
            </w:r>
          </w:p>
        </w:tc>
      </w:tr>
    </w:tbl>
    <w:p w:rsidR="008C51B8" w:rsidRPr="00BC495B" w:rsidRDefault="008C51B8" w:rsidP="00BC495B">
      <w:pPr>
        <w:pStyle w:val="FigureSource"/>
        <w:keepNext w:val="0"/>
        <w:ind w:left="567" w:hanging="567"/>
        <w:rPr>
          <w:rFonts w:ascii="Times New Roman" w:hAnsi="Times New Roman"/>
        </w:rPr>
      </w:pPr>
    </w:p>
    <w:p w:rsidR="008C51B8" w:rsidRDefault="008C51B8" w:rsidP="008C51B8"/>
    <w:p w:rsidR="00AA60B6" w:rsidRPr="001A72E3" w:rsidRDefault="00AA60B6" w:rsidP="00AA60B6">
      <w:pPr>
        <w:pStyle w:val="AnnexNo"/>
        <w:rPr>
          <w:rFonts w:asciiTheme="majorBidi" w:hAnsiTheme="majorBidi" w:cstheme="majorBidi"/>
          <w:b/>
          <w:bCs/>
          <w:caps w:val="0"/>
          <w:lang w:val="ru-RU"/>
        </w:rPr>
      </w:pPr>
      <w:r w:rsidRPr="00AA60B6">
        <w:rPr>
          <w:rFonts w:asciiTheme="majorBidi" w:hAnsiTheme="majorBidi" w:cstheme="majorBidi"/>
        </w:rPr>
        <w:br w:type="page"/>
      </w:r>
      <w:bookmarkStart w:id="64" w:name="_Toc277857917"/>
      <w:r w:rsidR="001A72E3" w:rsidRPr="001A72E3">
        <w:rPr>
          <w:rFonts w:asciiTheme="majorBidi" w:hAnsiTheme="majorBidi" w:cstheme="majorBidi"/>
          <w:b/>
          <w:bCs/>
          <w:caps w:val="0"/>
          <w:lang w:val="ru-RU"/>
        </w:rPr>
        <w:lastRenderedPageBreak/>
        <w:t>Приложение 2</w:t>
      </w:r>
      <w:bookmarkEnd w:id="64"/>
    </w:p>
    <w:p w:rsidR="00AA60B6" w:rsidRPr="00AA60B6" w:rsidRDefault="00AA60B6" w:rsidP="00AA60B6">
      <w:pPr>
        <w:pStyle w:val="Annextitle"/>
        <w:rPr>
          <w:rFonts w:asciiTheme="majorBidi" w:hAnsiTheme="majorBidi" w:cstheme="majorBidi"/>
          <w:lang w:val="ru-RU"/>
        </w:rPr>
      </w:pPr>
      <w:bookmarkStart w:id="65" w:name="_Toc277857918"/>
      <w:r w:rsidRPr="00AA60B6">
        <w:rPr>
          <w:rFonts w:asciiTheme="majorBidi" w:hAnsiTheme="majorBidi" w:cstheme="majorBidi"/>
          <w:lang w:val="ru-RU"/>
        </w:rPr>
        <w:t>Пример таблицы, содержащей значения коэффициента "</w:t>
      </w:r>
      <w:r w:rsidRPr="00AA60B6">
        <w:rPr>
          <w:rFonts w:asciiTheme="majorBidi" w:hAnsiTheme="majorBidi" w:cstheme="majorBidi"/>
        </w:rPr>
        <w:t>a</w:t>
      </w:r>
      <w:r w:rsidRPr="00AA60B6">
        <w:rPr>
          <w:rFonts w:asciiTheme="majorBidi" w:hAnsiTheme="majorBidi" w:cstheme="majorBidi"/>
          <w:lang w:val="ru-RU"/>
        </w:rPr>
        <w:t>" для соответствующих служб</w:t>
      </w:r>
      <w:bookmarkEnd w:id="65"/>
    </w:p>
    <w:p w:rsidR="008C51B8" w:rsidRPr="00E0647F" w:rsidRDefault="008C51B8" w:rsidP="008C51B8">
      <w:pPr>
        <w:rPr>
          <w:b/>
          <w:bCs/>
        </w:rPr>
      </w:pPr>
    </w:p>
    <w:p w:rsidR="008C51B8" w:rsidRPr="00F439C2" w:rsidRDefault="008C51B8" w:rsidP="008C51B8">
      <w:pPr>
        <w:pStyle w:val="FigureTitle"/>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0"/>
        <w:gridCol w:w="3159"/>
      </w:tblGrid>
      <w:tr w:rsidR="00AA60B6" w:rsidRPr="00AA60B6" w:rsidTr="008C51B8">
        <w:trPr>
          <w:trHeight w:val="510"/>
        </w:trPr>
        <w:tc>
          <w:tcPr>
            <w:tcW w:w="6480" w:type="dxa"/>
            <w:vAlign w:val="center"/>
          </w:tcPr>
          <w:p w:rsidR="00AA60B6" w:rsidRPr="00817191" w:rsidRDefault="00AA60B6" w:rsidP="00AA60B6">
            <w:pPr>
              <w:pStyle w:val="Tablehead"/>
              <w:rPr>
                <w:rFonts w:asciiTheme="majorBidi" w:hAnsiTheme="majorBidi" w:cstheme="majorBidi"/>
                <w:szCs w:val="22"/>
                <w:lang w:val="ru-RU"/>
              </w:rPr>
            </w:pPr>
            <w:r w:rsidRPr="00817191">
              <w:rPr>
                <w:rFonts w:asciiTheme="majorBidi" w:hAnsiTheme="majorBidi" w:cstheme="majorBidi"/>
                <w:szCs w:val="22"/>
                <w:lang w:val="ru-RU"/>
              </w:rPr>
              <w:t>Полосы частот</w:t>
            </w:r>
          </w:p>
        </w:tc>
        <w:tc>
          <w:tcPr>
            <w:tcW w:w="3159" w:type="dxa"/>
            <w:vAlign w:val="center"/>
          </w:tcPr>
          <w:p w:rsidR="00AA60B6" w:rsidRPr="00817191" w:rsidRDefault="00AA60B6" w:rsidP="00AA60B6">
            <w:pPr>
              <w:pStyle w:val="Tablehead"/>
              <w:rPr>
                <w:rFonts w:asciiTheme="majorBidi" w:hAnsiTheme="majorBidi" w:cstheme="majorBidi"/>
                <w:szCs w:val="22"/>
                <w:lang w:val="ru-RU"/>
              </w:rPr>
            </w:pPr>
            <w:r w:rsidRPr="00817191">
              <w:rPr>
                <w:rFonts w:asciiTheme="majorBidi" w:hAnsiTheme="majorBidi" w:cstheme="majorBidi"/>
                <w:szCs w:val="22"/>
                <w:lang w:val="ru-RU"/>
              </w:rPr>
              <w:t>Значение коэффициента "a"</w:t>
            </w:r>
          </w:p>
        </w:tc>
      </w:tr>
      <w:tr w:rsidR="00AA60B6" w:rsidRPr="00AA60B6" w:rsidTr="008C51B8">
        <w:trPr>
          <w:trHeight w:val="525"/>
        </w:trPr>
        <w:tc>
          <w:tcPr>
            <w:tcW w:w="6480" w:type="dxa"/>
            <w:vAlign w:val="center"/>
          </w:tcPr>
          <w:p w:rsidR="00AA60B6" w:rsidRPr="00AA60B6" w:rsidRDefault="00AA60B6" w:rsidP="00AA60B6">
            <w:pPr>
              <w:pStyle w:val="Tabletext"/>
              <w:rPr>
                <w:rFonts w:asciiTheme="majorBidi" w:hAnsiTheme="majorBidi" w:cstheme="majorBidi"/>
                <w:szCs w:val="18"/>
                <w:lang w:val="ru-RU"/>
              </w:rPr>
            </w:pPr>
            <w:r w:rsidRPr="00AA60B6">
              <w:rPr>
                <w:rFonts w:asciiTheme="majorBidi" w:hAnsiTheme="majorBidi" w:cstheme="majorBidi"/>
                <w:szCs w:val="18"/>
                <w:lang w:val="ru-RU"/>
              </w:rPr>
              <w:t>Частоты фиксированной службы ниже 20 ГГц</w:t>
            </w:r>
          </w:p>
        </w:tc>
        <w:tc>
          <w:tcPr>
            <w:tcW w:w="3159" w:type="dxa"/>
            <w:vAlign w:val="center"/>
          </w:tcPr>
          <w:p w:rsidR="00AA60B6" w:rsidRPr="00AA60B6" w:rsidRDefault="00AA60B6" w:rsidP="00AA60B6">
            <w:pPr>
              <w:pStyle w:val="Tabletext"/>
              <w:jc w:val="center"/>
              <w:rPr>
                <w:rFonts w:asciiTheme="majorBidi" w:hAnsiTheme="majorBidi" w:cstheme="majorBidi"/>
                <w:szCs w:val="18"/>
                <w:lang w:val="ru-RU"/>
              </w:rPr>
            </w:pPr>
            <w:r w:rsidRPr="00AA60B6">
              <w:rPr>
                <w:rFonts w:asciiTheme="majorBidi" w:hAnsiTheme="majorBidi" w:cstheme="majorBidi"/>
                <w:szCs w:val="18"/>
                <w:lang w:val="ru-RU"/>
              </w:rPr>
              <w:t>400</w:t>
            </w:r>
          </w:p>
        </w:tc>
      </w:tr>
      <w:tr w:rsidR="00AA60B6" w:rsidRPr="00AA60B6" w:rsidTr="008C51B8">
        <w:trPr>
          <w:trHeight w:val="510"/>
        </w:trPr>
        <w:tc>
          <w:tcPr>
            <w:tcW w:w="6480" w:type="dxa"/>
            <w:vAlign w:val="center"/>
          </w:tcPr>
          <w:p w:rsidR="00AA60B6" w:rsidRPr="00AA60B6" w:rsidRDefault="00AA60B6" w:rsidP="00AA60B6">
            <w:pPr>
              <w:pStyle w:val="Tabletext"/>
              <w:rPr>
                <w:rFonts w:asciiTheme="majorBidi" w:hAnsiTheme="majorBidi" w:cstheme="majorBidi"/>
                <w:szCs w:val="18"/>
                <w:lang w:val="ru-RU"/>
              </w:rPr>
            </w:pPr>
            <w:r w:rsidRPr="00AA60B6">
              <w:rPr>
                <w:rFonts w:asciiTheme="majorBidi" w:hAnsiTheme="majorBidi" w:cstheme="majorBidi"/>
                <w:szCs w:val="18"/>
                <w:lang w:val="ru-RU"/>
              </w:rPr>
              <w:t>Частоты фиксированной службы выше или равные 20 ГГц</w:t>
            </w:r>
          </w:p>
        </w:tc>
        <w:tc>
          <w:tcPr>
            <w:tcW w:w="3159" w:type="dxa"/>
            <w:vAlign w:val="center"/>
          </w:tcPr>
          <w:p w:rsidR="00AA60B6" w:rsidRPr="00AA60B6" w:rsidRDefault="00AA60B6" w:rsidP="00AA60B6">
            <w:pPr>
              <w:pStyle w:val="Tabletext"/>
              <w:jc w:val="center"/>
              <w:rPr>
                <w:rFonts w:asciiTheme="majorBidi" w:hAnsiTheme="majorBidi" w:cstheme="majorBidi"/>
                <w:szCs w:val="18"/>
                <w:lang w:val="ru-RU"/>
              </w:rPr>
            </w:pPr>
            <w:r w:rsidRPr="00AA60B6">
              <w:rPr>
                <w:rFonts w:asciiTheme="majorBidi" w:hAnsiTheme="majorBidi" w:cstheme="majorBidi"/>
                <w:szCs w:val="18"/>
                <w:lang w:val="ru-RU"/>
              </w:rPr>
              <w:t>1 000</w:t>
            </w:r>
          </w:p>
        </w:tc>
      </w:tr>
      <w:tr w:rsidR="00AA60B6" w:rsidRPr="00AA60B6" w:rsidTr="008C51B8">
        <w:trPr>
          <w:trHeight w:val="525"/>
        </w:trPr>
        <w:tc>
          <w:tcPr>
            <w:tcW w:w="6480" w:type="dxa"/>
            <w:vAlign w:val="center"/>
          </w:tcPr>
          <w:p w:rsidR="00AA60B6" w:rsidRPr="00AA60B6" w:rsidRDefault="00AA60B6" w:rsidP="00AA60B6">
            <w:pPr>
              <w:pStyle w:val="Tabletext"/>
              <w:rPr>
                <w:rFonts w:asciiTheme="majorBidi" w:hAnsiTheme="majorBidi" w:cstheme="majorBidi"/>
                <w:szCs w:val="18"/>
                <w:lang w:val="ru-RU"/>
              </w:rPr>
            </w:pPr>
            <w:r w:rsidRPr="00AA60B6">
              <w:rPr>
                <w:rFonts w:asciiTheme="majorBidi" w:hAnsiTheme="majorBidi" w:cstheme="majorBidi"/>
                <w:szCs w:val="18"/>
                <w:lang w:val="ru-RU"/>
              </w:rPr>
              <w:t>Частоты подвижной спутниковой службы</w:t>
            </w:r>
          </w:p>
        </w:tc>
        <w:tc>
          <w:tcPr>
            <w:tcW w:w="3159" w:type="dxa"/>
            <w:vAlign w:val="center"/>
          </w:tcPr>
          <w:p w:rsidR="00AA60B6" w:rsidRPr="00AA60B6" w:rsidRDefault="00AA60B6" w:rsidP="00AA60B6">
            <w:pPr>
              <w:pStyle w:val="Tabletext"/>
              <w:jc w:val="center"/>
              <w:rPr>
                <w:rFonts w:asciiTheme="majorBidi" w:hAnsiTheme="majorBidi" w:cstheme="majorBidi"/>
                <w:szCs w:val="18"/>
                <w:lang w:val="ru-RU"/>
              </w:rPr>
            </w:pPr>
            <w:r w:rsidRPr="00AA60B6">
              <w:rPr>
                <w:rFonts w:asciiTheme="majorBidi" w:hAnsiTheme="majorBidi" w:cstheme="majorBidi"/>
                <w:szCs w:val="18"/>
                <w:lang w:val="ru-RU"/>
              </w:rPr>
              <w:t>30</w:t>
            </w:r>
          </w:p>
        </w:tc>
      </w:tr>
      <w:tr w:rsidR="00AA60B6" w:rsidRPr="00AA60B6" w:rsidTr="008C51B8">
        <w:trPr>
          <w:trHeight w:val="510"/>
        </w:trPr>
        <w:tc>
          <w:tcPr>
            <w:tcW w:w="6480" w:type="dxa"/>
            <w:vAlign w:val="center"/>
          </w:tcPr>
          <w:p w:rsidR="00AA60B6" w:rsidRPr="00AA60B6" w:rsidRDefault="00AA60B6" w:rsidP="00AA60B6">
            <w:pPr>
              <w:pStyle w:val="Tabletext"/>
              <w:rPr>
                <w:rFonts w:asciiTheme="majorBidi" w:hAnsiTheme="majorBidi" w:cstheme="majorBidi"/>
                <w:szCs w:val="18"/>
                <w:lang w:val="ru-RU"/>
              </w:rPr>
            </w:pPr>
            <w:r w:rsidRPr="00AA60B6">
              <w:rPr>
                <w:rFonts w:asciiTheme="majorBidi" w:hAnsiTheme="majorBidi" w:cstheme="majorBidi"/>
                <w:szCs w:val="18"/>
                <w:lang w:val="ru-RU"/>
              </w:rPr>
              <w:t>Частоты фиксированной спутниковой службы</w:t>
            </w:r>
          </w:p>
        </w:tc>
        <w:tc>
          <w:tcPr>
            <w:tcW w:w="3159" w:type="dxa"/>
            <w:vAlign w:val="center"/>
          </w:tcPr>
          <w:p w:rsidR="00AA60B6" w:rsidRPr="00AA60B6" w:rsidRDefault="00AA60B6" w:rsidP="00AA60B6">
            <w:pPr>
              <w:pStyle w:val="Tabletext"/>
              <w:jc w:val="center"/>
              <w:rPr>
                <w:rFonts w:asciiTheme="majorBidi" w:hAnsiTheme="majorBidi" w:cstheme="majorBidi"/>
                <w:szCs w:val="18"/>
                <w:lang w:val="ru-RU"/>
              </w:rPr>
            </w:pPr>
            <w:r w:rsidRPr="00AA60B6">
              <w:rPr>
                <w:rFonts w:asciiTheme="majorBidi" w:hAnsiTheme="majorBidi" w:cstheme="majorBidi"/>
                <w:szCs w:val="18"/>
                <w:lang w:val="ru-RU"/>
              </w:rPr>
              <w:t>2,5</w:t>
            </w:r>
          </w:p>
        </w:tc>
      </w:tr>
    </w:tbl>
    <w:p w:rsidR="008C51B8" w:rsidRPr="00F439C2" w:rsidRDefault="008C51B8" w:rsidP="008C51B8">
      <w:pPr>
        <w:pStyle w:val="FigureSource"/>
      </w:pPr>
    </w:p>
    <w:p w:rsidR="00AA60B6" w:rsidRPr="00AA60B6" w:rsidRDefault="00AA60B6" w:rsidP="00AA60B6">
      <w:pPr>
        <w:spacing w:before="0"/>
        <w:rPr>
          <w:rFonts w:asciiTheme="majorBidi" w:hAnsiTheme="majorBidi" w:cstheme="majorBidi"/>
          <w:szCs w:val="18"/>
          <w:lang w:val="ru-RU"/>
        </w:rPr>
      </w:pPr>
    </w:p>
    <w:p w:rsidR="00AA60B6" w:rsidRPr="001A72E3" w:rsidRDefault="00AA60B6" w:rsidP="00AA60B6">
      <w:pPr>
        <w:pStyle w:val="AnnexNo"/>
        <w:rPr>
          <w:rFonts w:asciiTheme="majorBidi" w:hAnsiTheme="majorBidi" w:cstheme="majorBidi"/>
          <w:b/>
          <w:bCs/>
          <w:caps w:val="0"/>
          <w:lang w:val="ru-RU"/>
        </w:rPr>
      </w:pPr>
      <w:r w:rsidRPr="00AA60B6">
        <w:rPr>
          <w:rFonts w:asciiTheme="majorBidi" w:hAnsiTheme="majorBidi" w:cstheme="majorBidi"/>
        </w:rPr>
        <w:br w:type="page"/>
      </w:r>
      <w:bookmarkStart w:id="66" w:name="_Toc277857919"/>
      <w:r w:rsidR="001A72E3" w:rsidRPr="001A72E3">
        <w:rPr>
          <w:rFonts w:asciiTheme="majorBidi" w:hAnsiTheme="majorBidi" w:cstheme="majorBidi"/>
          <w:b/>
          <w:bCs/>
          <w:caps w:val="0"/>
          <w:lang w:val="ru-RU"/>
        </w:rPr>
        <w:lastRenderedPageBreak/>
        <w:t>Приложение 3</w:t>
      </w:r>
      <w:bookmarkEnd w:id="66"/>
    </w:p>
    <w:p w:rsidR="00AA60B6" w:rsidRPr="00AA60B6" w:rsidRDefault="00AA60B6" w:rsidP="00AA60B6">
      <w:pPr>
        <w:pStyle w:val="Annextitle"/>
        <w:rPr>
          <w:rFonts w:asciiTheme="majorBidi" w:hAnsiTheme="majorBidi" w:cstheme="majorBidi"/>
          <w:lang w:val="ru-RU"/>
        </w:rPr>
      </w:pPr>
      <w:bookmarkStart w:id="67" w:name="_Toc277857920"/>
      <w:r w:rsidRPr="00AA60B6">
        <w:rPr>
          <w:rFonts w:asciiTheme="majorBidi" w:hAnsiTheme="majorBidi" w:cstheme="majorBidi"/>
          <w:lang w:val="ru-RU"/>
        </w:rPr>
        <w:t>Пример таблицы, содержащей значения коэффициента "</w:t>
      </w:r>
      <w:r w:rsidRPr="00AA60B6">
        <w:rPr>
          <w:rFonts w:asciiTheme="majorBidi" w:hAnsiTheme="majorBidi" w:cstheme="majorBidi"/>
        </w:rPr>
        <w:t>c</w:t>
      </w:r>
      <w:r w:rsidRPr="00AA60B6">
        <w:rPr>
          <w:rFonts w:asciiTheme="majorBidi" w:hAnsiTheme="majorBidi" w:cstheme="majorBidi"/>
          <w:lang w:val="ru-RU"/>
        </w:rPr>
        <w:t xml:space="preserve">" </w:t>
      </w:r>
      <w:r w:rsidRPr="00AA60B6">
        <w:rPr>
          <w:rFonts w:asciiTheme="majorBidi" w:hAnsiTheme="majorBidi" w:cstheme="majorBidi"/>
          <w:lang w:val="ru-RU"/>
        </w:rPr>
        <w:br/>
        <w:t>для соответствующих площадей поверхности распределения</w:t>
      </w:r>
      <w:bookmarkEnd w:id="67"/>
    </w:p>
    <w:p w:rsidR="008C51B8" w:rsidRPr="00E0647F" w:rsidRDefault="008C51B8" w:rsidP="008C51B8">
      <w:pPr>
        <w:rPr>
          <w:b/>
          <w:bCs/>
        </w:rPr>
      </w:pPr>
    </w:p>
    <w:p w:rsidR="008C51B8" w:rsidRPr="00F439C2" w:rsidRDefault="008C51B8" w:rsidP="008C51B8">
      <w:pPr>
        <w:pStyle w:val="FigureTitle"/>
      </w:pPr>
    </w:p>
    <w:tbl>
      <w:tblPr>
        <w:tblW w:w="0" w:type="auto"/>
        <w:tblInd w:w="108" w:type="dxa"/>
        <w:tblLayout w:type="fixed"/>
        <w:tblLook w:val="0000"/>
      </w:tblPr>
      <w:tblGrid>
        <w:gridCol w:w="6379"/>
        <w:gridCol w:w="3260"/>
      </w:tblGrid>
      <w:tr w:rsidR="00AA60B6" w:rsidRPr="001A72E3" w:rsidTr="00AA60B6">
        <w:tc>
          <w:tcPr>
            <w:tcW w:w="6379" w:type="dxa"/>
            <w:tcBorders>
              <w:top w:val="single" w:sz="4" w:space="0" w:color="000000"/>
              <w:left w:val="single" w:sz="4" w:space="0" w:color="000000"/>
              <w:bottom w:val="single" w:sz="4" w:space="0" w:color="000000"/>
            </w:tcBorders>
            <w:vAlign w:val="center"/>
          </w:tcPr>
          <w:p w:rsidR="00AA60B6" w:rsidRPr="001A72E3" w:rsidRDefault="00AA60B6" w:rsidP="00AA60B6">
            <w:pPr>
              <w:pStyle w:val="Contenudetableau"/>
              <w:tabs>
                <w:tab w:val="clear" w:pos="794"/>
                <w:tab w:val="clear" w:pos="1191"/>
                <w:tab w:val="clear" w:pos="1588"/>
                <w:tab w:val="clear" w:pos="1985"/>
              </w:tabs>
              <w:snapToGrid w:val="0"/>
              <w:spacing w:before="80" w:after="80"/>
              <w:jc w:val="center"/>
              <w:rPr>
                <w:rFonts w:asciiTheme="majorBidi" w:hAnsiTheme="majorBidi" w:cstheme="majorBidi"/>
                <w:b/>
                <w:bCs/>
                <w:sz w:val="22"/>
                <w:szCs w:val="22"/>
                <w:lang w:val="ru-RU"/>
              </w:rPr>
            </w:pPr>
            <w:r w:rsidRPr="001A72E3">
              <w:rPr>
                <w:rFonts w:asciiTheme="majorBidi" w:hAnsiTheme="majorBidi" w:cstheme="majorBidi"/>
                <w:b/>
                <w:bCs/>
                <w:sz w:val="22"/>
                <w:szCs w:val="22"/>
                <w:lang w:val="ru-RU"/>
              </w:rPr>
              <w:t>Площадь поверхности распределения</w:t>
            </w:r>
            <w:r w:rsidRPr="001A72E3">
              <w:rPr>
                <w:rFonts w:asciiTheme="majorBidi" w:hAnsiTheme="majorBidi" w:cstheme="majorBidi"/>
                <w:b/>
                <w:bCs/>
                <w:sz w:val="22"/>
                <w:szCs w:val="22"/>
                <w:lang w:val="ru-RU"/>
              </w:rPr>
              <w:br/>
              <w:t>или сумма поверхностей распределения</w:t>
            </w:r>
          </w:p>
        </w:tc>
        <w:tc>
          <w:tcPr>
            <w:tcW w:w="3260" w:type="dxa"/>
            <w:tcBorders>
              <w:top w:val="single" w:sz="4" w:space="0" w:color="000000"/>
              <w:left w:val="single" w:sz="4" w:space="0" w:color="000000"/>
              <w:bottom w:val="single" w:sz="4" w:space="0" w:color="000000"/>
              <w:right w:val="single" w:sz="4" w:space="0" w:color="000000"/>
            </w:tcBorders>
            <w:vAlign w:val="center"/>
          </w:tcPr>
          <w:p w:rsidR="00AA60B6" w:rsidRPr="001A72E3" w:rsidRDefault="00AA60B6" w:rsidP="00AA60B6">
            <w:pPr>
              <w:pStyle w:val="Contenudetableau"/>
              <w:tabs>
                <w:tab w:val="clear" w:pos="794"/>
                <w:tab w:val="clear" w:pos="1191"/>
                <w:tab w:val="clear" w:pos="1588"/>
                <w:tab w:val="clear" w:pos="1985"/>
              </w:tabs>
              <w:snapToGrid w:val="0"/>
              <w:spacing w:before="80" w:after="80"/>
              <w:jc w:val="center"/>
              <w:rPr>
                <w:rFonts w:asciiTheme="majorBidi" w:hAnsiTheme="majorBidi" w:cstheme="majorBidi"/>
                <w:b/>
                <w:bCs/>
                <w:sz w:val="22"/>
                <w:szCs w:val="22"/>
                <w:lang w:val="ru-RU"/>
              </w:rPr>
            </w:pPr>
            <w:r w:rsidRPr="001A72E3">
              <w:rPr>
                <w:rFonts w:asciiTheme="majorBidi" w:hAnsiTheme="majorBidi" w:cstheme="majorBidi"/>
                <w:b/>
                <w:bCs/>
                <w:sz w:val="22"/>
                <w:szCs w:val="22"/>
                <w:lang w:val="ru-RU"/>
              </w:rPr>
              <w:t>Значение коэффициента "c"</w:t>
            </w:r>
          </w:p>
        </w:tc>
      </w:tr>
      <w:tr w:rsidR="00AA60B6" w:rsidRPr="001A72E3" w:rsidTr="00AA60B6">
        <w:tc>
          <w:tcPr>
            <w:tcW w:w="6379" w:type="dxa"/>
            <w:tcBorders>
              <w:top w:val="single" w:sz="4" w:space="0" w:color="000000"/>
              <w:left w:val="single" w:sz="4" w:space="0" w:color="000000"/>
              <w:bottom w:val="single" w:sz="4" w:space="0" w:color="000000"/>
            </w:tcBorders>
          </w:tcPr>
          <w:p w:rsidR="00AA60B6" w:rsidRPr="001A72E3" w:rsidRDefault="00AA60B6" w:rsidP="00AA60B6">
            <w:pPr>
              <w:pStyle w:val="Contenudetableau"/>
              <w:tabs>
                <w:tab w:val="clear" w:pos="794"/>
                <w:tab w:val="clear" w:pos="1191"/>
                <w:tab w:val="clear" w:pos="1588"/>
                <w:tab w:val="clear" w:pos="1985"/>
              </w:tabs>
              <w:snapToGrid w:val="0"/>
              <w:spacing w:before="40" w:after="40"/>
              <w:rPr>
                <w:rFonts w:asciiTheme="majorBidi" w:hAnsiTheme="majorBidi" w:cstheme="majorBidi"/>
                <w:sz w:val="22"/>
                <w:szCs w:val="22"/>
                <w:lang w:val="ru-RU"/>
              </w:rPr>
            </w:pPr>
            <w:r w:rsidRPr="001A72E3">
              <w:rPr>
                <w:rFonts w:asciiTheme="majorBidi" w:hAnsiTheme="majorBidi" w:cstheme="majorBidi"/>
                <w:sz w:val="22"/>
                <w:szCs w:val="22"/>
                <w:lang w:val="ru-RU"/>
              </w:rPr>
              <w:t>Свыше 300 000 км</w:t>
            </w:r>
            <w:r w:rsidRPr="001A72E3">
              <w:rPr>
                <w:rFonts w:asciiTheme="majorBidi" w:hAnsiTheme="majorBidi" w:cstheme="majorBidi"/>
                <w:position w:val="6"/>
                <w:sz w:val="16"/>
                <w:szCs w:val="16"/>
                <w:lang w:val="ru-RU"/>
              </w:rPr>
              <w:t>2</w:t>
            </w:r>
          </w:p>
        </w:tc>
        <w:tc>
          <w:tcPr>
            <w:tcW w:w="3260" w:type="dxa"/>
            <w:tcBorders>
              <w:top w:val="single" w:sz="4" w:space="0" w:color="000000"/>
              <w:left w:val="single" w:sz="4" w:space="0" w:color="000000"/>
              <w:bottom w:val="single" w:sz="4" w:space="0" w:color="000000"/>
              <w:right w:val="single" w:sz="4" w:space="0" w:color="000000"/>
            </w:tcBorders>
          </w:tcPr>
          <w:p w:rsidR="00AA60B6" w:rsidRPr="001A72E3" w:rsidRDefault="00AA60B6" w:rsidP="00AA60B6">
            <w:pPr>
              <w:pStyle w:val="Contenudetableau"/>
              <w:tabs>
                <w:tab w:val="clear" w:pos="794"/>
                <w:tab w:val="clear" w:pos="1191"/>
                <w:tab w:val="clear" w:pos="1588"/>
                <w:tab w:val="clear" w:pos="1985"/>
              </w:tabs>
              <w:snapToGrid w:val="0"/>
              <w:spacing w:before="40" w:after="40"/>
              <w:jc w:val="center"/>
              <w:rPr>
                <w:rFonts w:asciiTheme="majorBidi" w:hAnsiTheme="majorBidi" w:cstheme="majorBidi"/>
                <w:sz w:val="22"/>
                <w:szCs w:val="22"/>
                <w:lang w:val="ru-RU"/>
              </w:rPr>
            </w:pPr>
            <w:r w:rsidRPr="001A72E3">
              <w:rPr>
                <w:rFonts w:asciiTheme="majorBidi" w:hAnsiTheme="majorBidi" w:cstheme="majorBidi"/>
                <w:sz w:val="22"/>
                <w:szCs w:val="22"/>
                <w:lang w:val="ru-RU"/>
              </w:rPr>
              <w:t>1</w:t>
            </w:r>
          </w:p>
        </w:tc>
      </w:tr>
      <w:tr w:rsidR="00AA60B6" w:rsidRPr="001A72E3" w:rsidTr="00AA60B6">
        <w:tc>
          <w:tcPr>
            <w:tcW w:w="6379" w:type="dxa"/>
            <w:tcBorders>
              <w:top w:val="single" w:sz="4" w:space="0" w:color="000000"/>
              <w:left w:val="single" w:sz="4" w:space="0" w:color="000000"/>
              <w:bottom w:val="single" w:sz="4" w:space="0" w:color="000000"/>
            </w:tcBorders>
          </w:tcPr>
          <w:p w:rsidR="00AA60B6" w:rsidRPr="001A72E3" w:rsidRDefault="00AA60B6" w:rsidP="001A72E3">
            <w:pPr>
              <w:pStyle w:val="Contenudetableau"/>
              <w:tabs>
                <w:tab w:val="clear" w:pos="794"/>
                <w:tab w:val="clear" w:pos="1191"/>
                <w:tab w:val="clear" w:pos="1588"/>
                <w:tab w:val="clear" w:pos="1985"/>
              </w:tabs>
              <w:snapToGrid w:val="0"/>
              <w:spacing w:before="40" w:after="40"/>
              <w:rPr>
                <w:rFonts w:asciiTheme="majorBidi" w:hAnsiTheme="majorBidi" w:cstheme="majorBidi"/>
                <w:sz w:val="22"/>
                <w:szCs w:val="22"/>
                <w:lang w:val="ru-RU"/>
              </w:rPr>
            </w:pPr>
            <w:r w:rsidRPr="001A72E3">
              <w:rPr>
                <w:rFonts w:asciiTheme="majorBidi" w:hAnsiTheme="majorBidi" w:cstheme="majorBidi"/>
                <w:sz w:val="22"/>
                <w:szCs w:val="22"/>
                <w:lang w:val="ru-RU"/>
              </w:rPr>
              <w:t>Свыше 125 000 км</w:t>
            </w:r>
            <w:r w:rsidRPr="001A72E3">
              <w:rPr>
                <w:rFonts w:asciiTheme="majorBidi" w:hAnsiTheme="majorBidi" w:cstheme="majorBidi"/>
                <w:position w:val="6"/>
                <w:sz w:val="16"/>
                <w:szCs w:val="16"/>
                <w:lang w:val="ru-RU"/>
              </w:rPr>
              <w:t>2</w:t>
            </w:r>
            <w:r w:rsidRPr="001A72E3">
              <w:rPr>
                <w:rFonts w:asciiTheme="majorBidi" w:hAnsiTheme="majorBidi" w:cstheme="majorBidi"/>
                <w:sz w:val="22"/>
                <w:szCs w:val="22"/>
                <w:lang w:val="ru-RU"/>
              </w:rPr>
              <w:t xml:space="preserve"> и менее или равная 300 000 км</w:t>
            </w:r>
            <w:r w:rsidRPr="001A72E3">
              <w:rPr>
                <w:rFonts w:asciiTheme="majorBidi" w:hAnsiTheme="majorBidi" w:cstheme="majorBidi"/>
                <w:position w:val="6"/>
                <w:sz w:val="16"/>
                <w:szCs w:val="16"/>
                <w:lang w:val="ru-RU"/>
              </w:rPr>
              <w:t>2</w:t>
            </w:r>
          </w:p>
        </w:tc>
        <w:tc>
          <w:tcPr>
            <w:tcW w:w="3260" w:type="dxa"/>
            <w:tcBorders>
              <w:top w:val="single" w:sz="4" w:space="0" w:color="000000"/>
              <w:left w:val="single" w:sz="4" w:space="0" w:color="000000"/>
              <w:bottom w:val="single" w:sz="4" w:space="0" w:color="000000"/>
              <w:right w:val="single" w:sz="4" w:space="0" w:color="000000"/>
            </w:tcBorders>
          </w:tcPr>
          <w:p w:rsidR="00AA60B6" w:rsidRPr="001A72E3" w:rsidRDefault="00AA60B6" w:rsidP="00AA60B6">
            <w:pPr>
              <w:pStyle w:val="Contenudetableau"/>
              <w:tabs>
                <w:tab w:val="clear" w:pos="794"/>
                <w:tab w:val="clear" w:pos="1191"/>
                <w:tab w:val="clear" w:pos="1588"/>
                <w:tab w:val="clear" w:pos="1985"/>
              </w:tabs>
              <w:snapToGrid w:val="0"/>
              <w:spacing w:before="40" w:after="40"/>
              <w:jc w:val="center"/>
              <w:rPr>
                <w:rFonts w:asciiTheme="majorBidi" w:hAnsiTheme="majorBidi" w:cstheme="majorBidi"/>
                <w:sz w:val="22"/>
                <w:szCs w:val="22"/>
                <w:lang w:val="ru-RU"/>
              </w:rPr>
            </w:pPr>
            <w:r w:rsidRPr="001A72E3">
              <w:rPr>
                <w:rFonts w:asciiTheme="majorBidi" w:hAnsiTheme="majorBidi" w:cstheme="majorBidi"/>
                <w:sz w:val="22"/>
                <w:szCs w:val="22"/>
                <w:lang w:val="ru-RU"/>
              </w:rPr>
              <w:t>0,75</w:t>
            </w:r>
          </w:p>
        </w:tc>
      </w:tr>
      <w:tr w:rsidR="00AA60B6" w:rsidRPr="001A72E3" w:rsidTr="00AA60B6">
        <w:tc>
          <w:tcPr>
            <w:tcW w:w="6379" w:type="dxa"/>
            <w:tcBorders>
              <w:top w:val="single" w:sz="4" w:space="0" w:color="000000"/>
              <w:left w:val="single" w:sz="4" w:space="0" w:color="000000"/>
              <w:bottom w:val="single" w:sz="4" w:space="0" w:color="000000"/>
            </w:tcBorders>
          </w:tcPr>
          <w:p w:rsidR="00AA60B6" w:rsidRPr="001A72E3" w:rsidRDefault="00AA60B6" w:rsidP="001A72E3">
            <w:pPr>
              <w:pStyle w:val="Contenudetableau"/>
              <w:tabs>
                <w:tab w:val="clear" w:pos="794"/>
                <w:tab w:val="clear" w:pos="1191"/>
                <w:tab w:val="clear" w:pos="1588"/>
                <w:tab w:val="clear" w:pos="1985"/>
              </w:tabs>
              <w:snapToGrid w:val="0"/>
              <w:spacing w:before="40" w:after="40"/>
              <w:rPr>
                <w:rFonts w:asciiTheme="majorBidi" w:hAnsiTheme="majorBidi" w:cstheme="majorBidi"/>
                <w:sz w:val="22"/>
                <w:szCs w:val="22"/>
                <w:lang w:val="ru-RU"/>
              </w:rPr>
            </w:pPr>
            <w:r w:rsidRPr="001A72E3">
              <w:rPr>
                <w:rFonts w:asciiTheme="majorBidi" w:hAnsiTheme="majorBidi" w:cstheme="majorBidi"/>
                <w:sz w:val="22"/>
                <w:szCs w:val="22"/>
                <w:lang w:val="ru-RU"/>
              </w:rPr>
              <w:t>Свыше 30 000 км</w:t>
            </w:r>
            <w:r w:rsidRPr="001A72E3">
              <w:rPr>
                <w:rFonts w:asciiTheme="majorBidi" w:hAnsiTheme="majorBidi" w:cstheme="majorBidi"/>
                <w:position w:val="6"/>
                <w:sz w:val="16"/>
                <w:szCs w:val="16"/>
                <w:lang w:val="ru-RU"/>
              </w:rPr>
              <w:t>2</w:t>
            </w:r>
            <w:r w:rsidRPr="001A72E3">
              <w:rPr>
                <w:rFonts w:asciiTheme="majorBidi" w:hAnsiTheme="majorBidi" w:cstheme="majorBidi"/>
                <w:sz w:val="22"/>
                <w:szCs w:val="22"/>
                <w:lang w:val="ru-RU"/>
              </w:rPr>
              <w:t xml:space="preserve"> и менее или равная 125 000 км</w:t>
            </w:r>
            <w:r w:rsidRPr="001A72E3">
              <w:rPr>
                <w:rFonts w:asciiTheme="majorBidi" w:hAnsiTheme="majorBidi" w:cstheme="majorBidi"/>
                <w:position w:val="6"/>
                <w:sz w:val="16"/>
                <w:szCs w:val="16"/>
                <w:lang w:val="ru-RU"/>
              </w:rPr>
              <w:t>2</w:t>
            </w:r>
          </w:p>
        </w:tc>
        <w:tc>
          <w:tcPr>
            <w:tcW w:w="3260" w:type="dxa"/>
            <w:tcBorders>
              <w:top w:val="single" w:sz="4" w:space="0" w:color="000000"/>
              <w:left w:val="single" w:sz="4" w:space="0" w:color="000000"/>
              <w:bottom w:val="single" w:sz="4" w:space="0" w:color="000000"/>
              <w:right w:val="single" w:sz="4" w:space="0" w:color="000000"/>
            </w:tcBorders>
          </w:tcPr>
          <w:p w:rsidR="00AA60B6" w:rsidRPr="001A72E3" w:rsidRDefault="00AA60B6" w:rsidP="00AA60B6">
            <w:pPr>
              <w:pStyle w:val="Contenudetableau"/>
              <w:tabs>
                <w:tab w:val="clear" w:pos="794"/>
                <w:tab w:val="clear" w:pos="1191"/>
                <w:tab w:val="clear" w:pos="1588"/>
                <w:tab w:val="clear" w:pos="1985"/>
              </w:tabs>
              <w:snapToGrid w:val="0"/>
              <w:spacing w:before="40" w:after="40"/>
              <w:jc w:val="center"/>
              <w:rPr>
                <w:rFonts w:asciiTheme="majorBidi" w:hAnsiTheme="majorBidi" w:cstheme="majorBidi"/>
                <w:sz w:val="22"/>
                <w:szCs w:val="22"/>
                <w:lang w:val="ru-RU"/>
              </w:rPr>
            </w:pPr>
            <w:r w:rsidRPr="001A72E3">
              <w:rPr>
                <w:rFonts w:asciiTheme="majorBidi" w:hAnsiTheme="majorBidi" w:cstheme="majorBidi"/>
                <w:sz w:val="22"/>
                <w:szCs w:val="22"/>
                <w:lang w:val="ru-RU"/>
              </w:rPr>
              <w:t>0,5</w:t>
            </w:r>
          </w:p>
        </w:tc>
      </w:tr>
      <w:tr w:rsidR="00AA60B6" w:rsidRPr="001A72E3" w:rsidTr="00AA60B6">
        <w:tc>
          <w:tcPr>
            <w:tcW w:w="6379" w:type="dxa"/>
            <w:tcBorders>
              <w:top w:val="single" w:sz="4" w:space="0" w:color="000000"/>
              <w:left w:val="single" w:sz="4" w:space="0" w:color="000000"/>
              <w:bottom w:val="single" w:sz="4" w:space="0" w:color="000000"/>
            </w:tcBorders>
          </w:tcPr>
          <w:p w:rsidR="00AA60B6" w:rsidRPr="001A72E3" w:rsidRDefault="00AA60B6" w:rsidP="001A72E3">
            <w:pPr>
              <w:pStyle w:val="Contenudetableau"/>
              <w:tabs>
                <w:tab w:val="clear" w:pos="794"/>
                <w:tab w:val="clear" w:pos="1191"/>
                <w:tab w:val="clear" w:pos="1588"/>
                <w:tab w:val="clear" w:pos="1985"/>
              </w:tabs>
              <w:snapToGrid w:val="0"/>
              <w:spacing w:before="40" w:after="40"/>
              <w:rPr>
                <w:rFonts w:asciiTheme="majorBidi" w:hAnsiTheme="majorBidi" w:cstheme="majorBidi"/>
                <w:sz w:val="22"/>
                <w:szCs w:val="22"/>
                <w:lang w:val="ru-RU"/>
              </w:rPr>
            </w:pPr>
            <w:r w:rsidRPr="001A72E3">
              <w:rPr>
                <w:rFonts w:asciiTheme="majorBidi" w:hAnsiTheme="majorBidi" w:cstheme="majorBidi"/>
                <w:sz w:val="22"/>
                <w:szCs w:val="22"/>
                <w:lang w:val="ru-RU"/>
              </w:rPr>
              <w:t>Свыше 8 000 км</w:t>
            </w:r>
            <w:r w:rsidRPr="001A72E3">
              <w:rPr>
                <w:rFonts w:asciiTheme="majorBidi" w:hAnsiTheme="majorBidi" w:cstheme="majorBidi"/>
                <w:position w:val="6"/>
                <w:sz w:val="16"/>
                <w:szCs w:val="16"/>
                <w:lang w:val="ru-RU"/>
              </w:rPr>
              <w:t>2</w:t>
            </w:r>
            <w:r w:rsidRPr="001A72E3">
              <w:rPr>
                <w:rFonts w:asciiTheme="majorBidi" w:hAnsiTheme="majorBidi" w:cstheme="majorBidi"/>
                <w:sz w:val="22"/>
                <w:szCs w:val="22"/>
                <w:lang w:val="ru-RU"/>
              </w:rPr>
              <w:t xml:space="preserve"> и менее или равная 30 000 км</w:t>
            </w:r>
            <w:r w:rsidRPr="001A72E3">
              <w:rPr>
                <w:rFonts w:asciiTheme="majorBidi" w:hAnsiTheme="majorBidi" w:cstheme="majorBidi"/>
                <w:position w:val="6"/>
                <w:sz w:val="16"/>
                <w:szCs w:val="16"/>
                <w:lang w:val="ru-RU"/>
              </w:rPr>
              <w:t>2</w:t>
            </w:r>
          </w:p>
        </w:tc>
        <w:tc>
          <w:tcPr>
            <w:tcW w:w="3260" w:type="dxa"/>
            <w:tcBorders>
              <w:top w:val="single" w:sz="4" w:space="0" w:color="000000"/>
              <w:left w:val="single" w:sz="4" w:space="0" w:color="000000"/>
              <w:bottom w:val="single" w:sz="4" w:space="0" w:color="000000"/>
              <w:right w:val="single" w:sz="4" w:space="0" w:color="000000"/>
            </w:tcBorders>
          </w:tcPr>
          <w:p w:rsidR="00AA60B6" w:rsidRPr="001A72E3" w:rsidRDefault="00AA60B6" w:rsidP="00AA60B6">
            <w:pPr>
              <w:pStyle w:val="Contenudetableau"/>
              <w:tabs>
                <w:tab w:val="clear" w:pos="794"/>
                <w:tab w:val="clear" w:pos="1191"/>
                <w:tab w:val="clear" w:pos="1588"/>
                <w:tab w:val="clear" w:pos="1985"/>
              </w:tabs>
              <w:snapToGrid w:val="0"/>
              <w:spacing w:before="40" w:after="40"/>
              <w:jc w:val="center"/>
              <w:rPr>
                <w:rFonts w:asciiTheme="majorBidi" w:hAnsiTheme="majorBidi" w:cstheme="majorBidi"/>
                <w:sz w:val="22"/>
                <w:szCs w:val="22"/>
                <w:lang w:val="ru-RU"/>
              </w:rPr>
            </w:pPr>
            <w:r w:rsidRPr="001A72E3">
              <w:rPr>
                <w:rFonts w:asciiTheme="majorBidi" w:hAnsiTheme="majorBidi" w:cstheme="majorBidi"/>
                <w:sz w:val="22"/>
                <w:szCs w:val="22"/>
                <w:lang w:val="ru-RU"/>
              </w:rPr>
              <w:t>0,25</w:t>
            </w:r>
          </w:p>
        </w:tc>
      </w:tr>
      <w:tr w:rsidR="00AA60B6" w:rsidRPr="001A72E3" w:rsidTr="00AA60B6">
        <w:tc>
          <w:tcPr>
            <w:tcW w:w="6379" w:type="dxa"/>
            <w:tcBorders>
              <w:top w:val="single" w:sz="4" w:space="0" w:color="000000"/>
              <w:left w:val="single" w:sz="4" w:space="0" w:color="000000"/>
              <w:bottom w:val="single" w:sz="4" w:space="0" w:color="000000"/>
            </w:tcBorders>
          </w:tcPr>
          <w:p w:rsidR="00AA60B6" w:rsidRPr="001A72E3" w:rsidRDefault="00AA60B6" w:rsidP="001A72E3">
            <w:pPr>
              <w:pStyle w:val="Contenudetableau"/>
              <w:tabs>
                <w:tab w:val="clear" w:pos="794"/>
                <w:tab w:val="clear" w:pos="1191"/>
                <w:tab w:val="clear" w:pos="1588"/>
                <w:tab w:val="clear" w:pos="1985"/>
              </w:tabs>
              <w:snapToGrid w:val="0"/>
              <w:spacing w:before="40" w:after="40"/>
              <w:rPr>
                <w:rFonts w:asciiTheme="majorBidi" w:hAnsiTheme="majorBidi" w:cstheme="majorBidi"/>
                <w:sz w:val="22"/>
                <w:szCs w:val="22"/>
                <w:lang w:val="ru-RU"/>
              </w:rPr>
            </w:pPr>
            <w:r w:rsidRPr="001A72E3">
              <w:rPr>
                <w:rFonts w:asciiTheme="majorBidi" w:hAnsiTheme="majorBidi" w:cstheme="majorBidi"/>
                <w:sz w:val="22"/>
                <w:szCs w:val="22"/>
                <w:lang w:val="ru-RU"/>
              </w:rPr>
              <w:t>Свыше 800 км</w:t>
            </w:r>
            <w:r w:rsidRPr="001A72E3">
              <w:rPr>
                <w:rFonts w:asciiTheme="majorBidi" w:hAnsiTheme="majorBidi" w:cstheme="majorBidi"/>
                <w:position w:val="6"/>
                <w:sz w:val="16"/>
                <w:szCs w:val="16"/>
                <w:lang w:val="ru-RU"/>
              </w:rPr>
              <w:t>2</w:t>
            </w:r>
            <w:r w:rsidRPr="001A72E3">
              <w:rPr>
                <w:rFonts w:asciiTheme="majorBidi" w:hAnsiTheme="majorBidi" w:cstheme="majorBidi"/>
                <w:sz w:val="16"/>
                <w:szCs w:val="16"/>
                <w:lang w:val="ru-RU"/>
              </w:rPr>
              <w:t xml:space="preserve"> </w:t>
            </w:r>
            <w:r w:rsidRPr="001A72E3">
              <w:rPr>
                <w:rFonts w:asciiTheme="majorBidi" w:hAnsiTheme="majorBidi" w:cstheme="majorBidi"/>
                <w:sz w:val="22"/>
                <w:szCs w:val="22"/>
                <w:lang w:val="ru-RU"/>
              </w:rPr>
              <w:t>и менее или равная 8 000 км</w:t>
            </w:r>
            <w:r w:rsidRPr="001A72E3">
              <w:rPr>
                <w:rFonts w:asciiTheme="majorBidi" w:hAnsiTheme="majorBidi" w:cstheme="majorBidi"/>
                <w:position w:val="6"/>
                <w:sz w:val="16"/>
                <w:szCs w:val="16"/>
                <w:lang w:val="ru-RU"/>
              </w:rPr>
              <w:t>2</w:t>
            </w:r>
          </w:p>
        </w:tc>
        <w:tc>
          <w:tcPr>
            <w:tcW w:w="3260" w:type="dxa"/>
            <w:tcBorders>
              <w:top w:val="single" w:sz="4" w:space="0" w:color="000000"/>
              <w:left w:val="single" w:sz="4" w:space="0" w:color="000000"/>
              <w:bottom w:val="single" w:sz="4" w:space="0" w:color="000000"/>
              <w:right w:val="single" w:sz="4" w:space="0" w:color="000000"/>
            </w:tcBorders>
          </w:tcPr>
          <w:p w:rsidR="00AA60B6" w:rsidRPr="001A72E3" w:rsidRDefault="00AA60B6" w:rsidP="00AA60B6">
            <w:pPr>
              <w:pStyle w:val="Contenudetableau"/>
              <w:tabs>
                <w:tab w:val="clear" w:pos="794"/>
                <w:tab w:val="clear" w:pos="1191"/>
                <w:tab w:val="clear" w:pos="1588"/>
                <w:tab w:val="clear" w:pos="1985"/>
              </w:tabs>
              <w:snapToGrid w:val="0"/>
              <w:spacing w:before="40" w:after="40"/>
              <w:jc w:val="center"/>
              <w:rPr>
                <w:rFonts w:asciiTheme="majorBidi" w:hAnsiTheme="majorBidi" w:cstheme="majorBidi"/>
                <w:sz w:val="22"/>
                <w:szCs w:val="22"/>
                <w:lang w:val="ru-RU"/>
              </w:rPr>
            </w:pPr>
            <w:r w:rsidRPr="001A72E3">
              <w:rPr>
                <w:rFonts w:asciiTheme="majorBidi" w:hAnsiTheme="majorBidi" w:cstheme="majorBidi"/>
                <w:sz w:val="22"/>
                <w:szCs w:val="22"/>
                <w:lang w:val="ru-RU"/>
              </w:rPr>
              <w:t>0,1</w:t>
            </w:r>
          </w:p>
        </w:tc>
      </w:tr>
      <w:tr w:rsidR="00AA60B6" w:rsidRPr="001A72E3" w:rsidTr="00AA60B6">
        <w:tc>
          <w:tcPr>
            <w:tcW w:w="6379" w:type="dxa"/>
            <w:tcBorders>
              <w:top w:val="single" w:sz="4" w:space="0" w:color="000000"/>
              <w:left w:val="single" w:sz="4" w:space="0" w:color="000000"/>
              <w:bottom w:val="single" w:sz="4" w:space="0" w:color="000000"/>
            </w:tcBorders>
          </w:tcPr>
          <w:p w:rsidR="00AA60B6" w:rsidRPr="001A72E3" w:rsidRDefault="00AA60B6" w:rsidP="001A72E3">
            <w:pPr>
              <w:pStyle w:val="Contenudetableau"/>
              <w:tabs>
                <w:tab w:val="clear" w:pos="794"/>
                <w:tab w:val="clear" w:pos="1191"/>
                <w:tab w:val="clear" w:pos="1588"/>
                <w:tab w:val="clear" w:pos="1985"/>
              </w:tabs>
              <w:snapToGrid w:val="0"/>
              <w:spacing w:before="40" w:after="40"/>
              <w:rPr>
                <w:rFonts w:asciiTheme="majorBidi" w:hAnsiTheme="majorBidi" w:cstheme="majorBidi"/>
                <w:sz w:val="22"/>
                <w:szCs w:val="22"/>
                <w:lang w:val="ru-RU"/>
              </w:rPr>
            </w:pPr>
            <w:r w:rsidRPr="001A72E3">
              <w:rPr>
                <w:rFonts w:asciiTheme="majorBidi" w:hAnsiTheme="majorBidi" w:cstheme="majorBidi"/>
                <w:sz w:val="22"/>
                <w:szCs w:val="22"/>
                <w:lang w:val="ru-RU"/>
              </w:rPr>
              <w:t>Свыше 80 км</w:t>
            </w:r>
            <w:r w:rsidRPr="001A72E3">
              <w:rPr>
                <w:rFonts w:asciiTheme="majorBidi" w:hAnsiTheme="majorBidi" w:cstheme="majorBidi"/>
                <w:position w:val="6"/>
                <w:sz w:val="16"/>
                <w:szCs w:val="16"/>
                <w:lang w:val="ru-RU"/>
              </w:rPr>
              <w:t>2</w:t>
            </w:r>
            <w:r w:rsidRPr="001A72E3">
              <w:rPr>
                <w:rFonts w:asciiTheme="majorBidi" w:hAnsiTheme="majorBidi" w:cstheme="majorBidi"/>
                <w:sz w:val="22"/>
                <w:szCs w:val="22"/>
                <w:lang w:val="ru-RU"/>
              </w:rPr>
              <w:t xml:space="preserve"> и менее или равная 800 км</w:t>
            </w:r>
            <w:r w:rsidRPr="001A72E3">
              <w:rPr>
                <w:rFonts w:asciiTheme="majorBidi" w:hAnsiTheme="majorBidi" w:cstheme="majorBidi"/>
                <w:position w:val="6"/>
                <w:sz w:val="16"/>
                <w:szCs w:val="16"/>
                <w:lang w:val="ru-RU"/>
              </w:rPr>
              <w:t>2</w:t>
            </w:r>
          </w:p>
        </w:tc>
        <w:tc>
          <w:tcPr>
            <w:tcW w:w="3260" w:type="dxa"/>
            <w:tcBorders>
              <w:top w:val="single" w:sz="4" w:space="0" w:color="000000"/>
              <w:left w:val="single" w:sz="4" w:space="0" w:color="000000"/>
              <w:bottom w:val="single" w:sz="4" w:space="0" w:color="000000"/>
              <w:right w:val="single" w:sz="4" w:space="0" w:color="000000"/>
            </w:tcBorders>
          </w:tcPr>
          <w:p w:rsidR="00AA60B6" w:rsidRPr="001A72E3" w:rsidRDefault="00AA60B6" w:rsidP="00AA60B6">
            <w:pPr>
              <w:pStyle w:val="Contenudetableau"/>
              <w:tabs>
                <w:tab w:val="clear" w:pos="794"/>
                <w:tab w:val="clear" w:pos="1191"/>
                <w:tab w:val="clear" w:pos="1588"/>
                <w:tab w:val="clear" w:pos="1985"/>
              </w:tabs>
              <w:snapToGrid w:val="0"/>
              <w:spacing w:before="40" w:after="40"/>
              <w:jc w:val="center"/>
              <w:rPr>
                <w:rFonts w:asciiTheme="majorBidi" w:hAnsiTheme="majorBidi" w:cstheme="majorBidi"/>
                <w:sz w:val="22"/>
                <w:szCs w:val="22"/>
                <w:lang w:val="ru-RU"/>
              </w:rPr>
            </w:pPr>
            <w:r w:rsidRPr="001A72E3">
              <w:rPr>
                <w:rFonts w:asciiTheme="majorBidi" w:hAnsiTheme="majorBidi" w:cstheme="majorBidi"/>
                <w:sz w:val="22"/>
                <w:szCs w:val="22"/>
                <w:lang w:val="ru-RU"/>
              </w:rPr>
              <w:t>0,03</w:t>
            </w:r>
          </w:p>
        </w:tc>
      </w:tr>
      <w:tr w:rsidR="00AA60B6" w:rsidRPr="001A72E3" w:rsidTr="00AA60B6">
        <w:tc>
          <w:tcPr>
            <w:tcW w:w="6379" w:type="dxa"/>
            <w:tcBorders>
              <w:top w:val="single" w:sz="4" w:space="0" w:color="000000"/>
              <w:left w:val="single" w:sz="4" w:space="0" w:color="000000"/>
              <w:bottom w:val="single" w:sz="4" w:space="0" w:color="000000"/>
            </w:tcBorders>
          </w:tcPr>
          <w:p w:rsidR="00AA60B6" w:rsidRPr="001A72E3" w:rsidRDefault="00AA60B6" w:rsidP="001A72E3">
            <w:pPr>
              <w:pStyle w:val="Contenudetableau"/>
              <w:tabs>
                <w:tab w:val="clear" w:pos="794"/>
                <w:tab w:val="clear" w:pos="1191"/>
                <w:tab w:val="clear" w:pos="1588"/>
                <w:tab w:val="clear" w:pos="1985"/>
              </w:tabs>
              <w:snapToGrid w:val="0"/>
              <w:spacing w:before="40" w:after="40"/>
              <w:rPr>
                <w:rFonts w:asciiTheme="majorBidi" w:hAnsiTheme="majorBidi" w:cstheme="majorBidi"/>
                <w:sz w:val="22"/>
                <w:szCs w:val="22"/>
                <w:lang w:val="ru-RU"/>
              </w:rPr>
            </w:pPr>
            <w:r w:rsidRPr="001A72E3">
              <w:rPr>
                <w:rFonts w:asciiTheme="majorBidi" w:hAnsiTheme="majorBidi" w:cstheme="majorBidi"/>
                <w:sz w:val="22"/>
                <w:szCs w:val="22"/>
                <w:lang w:val="ru-RU"/>
              </w:rPr>
              <w:t>Свыше 20 км</w:t>
            </w:r>
            <w:r w:rsidRPr="001A72E3">
              <w:rPr>
                <w:rFonts w:asciiTheme="majorBidi" w:hAnsiTheme="majorBidi" w:cstheme="majorBidi"/>
                <w:position w:val="6"/>
                <w:sz w:val="16"/>
                <w:szCs w:val="16"/>
                <w:lang w:val="ru-RU"/>
              </w:rPr>
              <w:t>2</w:t>
            </w:r>
            <w:r w:rsidRPr="001A72E3">
              <w:rPr>
                <w:rFonts w:asciiTheme="majorBidi" w:hAnsiTheme="majorBidi" w:cstheme="majorBidi"/>
                <w:sz w:val="22"/>
                <w:szCs w:val="22"/>
                <w:lang w:val="ru-RU"/>
              </w:rPr>
              <w:t xml:space="preserve"> и менее или равная 80 км</w:t>
            </w:r>
            <w:r w:rsidRPr="001A72E3">
              <w:rPr>
                <w:rFonts w:asciiTheme="majorBidi" w:hAnsiTheme="majorBidi" w:cstheme="majorBidi"/>
                <w:position w:val="6"/>
                <w:sz w:val="16"/>
                <w:szCs w:val="16"/>
                <w:lang w:val="ru-RU"/>
              </w:rPr>
              <w:t>2</w:t>
            </w:r>
          </w:p>
        </w:tc>
        <w:tc>
          <w:tcPr>
            <w:tcW w:w="3260" w:type="dxa"/>
            <w:tcBorders>
              <w:top w:val="single" w:sz="4" w:space="0" w:color="000000"/>
              <w:left w:val="single" w:sz="4" w:space="0" w:color="000000"/>
              <w:bottom w:val="single" w:sz="4" w:space="0" w:color="000000"/>
              <w:right w:val="single" w:sz="4" w:space="0" w:color="000000"/>
            </w:tcBorders>
          </w:tcPr>
          <w:p w:rsidR="00AA60B6" w:rsidRPr="001A72E3" w:rsidRDefault="00AA60B6" w:rsidP="00AA60B6">
            <w:pPr>
              <w:pStyle w:val="Contenudetableau"/>
              <w:tabs>
                <w:tab w:val="clear" w:pos="794"/>
                <w:tab w:val="clear" w:pos="1191"/>
                <w:tab w:val="clear" w:pos="1588"/>
                <w:tab w:val="clear" w:pos="1985"/>
              </w:tabs>
              <w:snapToGrid w:val="0"/>
              <w:spacing w:before="40" w:after="40"/>
              <w:jc w:val="center"/>
              <w:rPr>
                <w:rFonts w:asciiTheme="majorBidi" w:hAnsiTheme="majorBidi" w:cstheme="majorBidi"/>
                <w:sz w:val="22"/>
                <w:szCs w:val="22"/>
                <w:lang w:val="ru-RU"/>
              </w:rPr>
            </w:pPr>
            <w:r w:rsidRPr="001A72E3">
              <w:rPr>
                <w:rFonts w:asciiTheme="majorBidi" w:hAnsiTheme="majorBidi" w:cstheme="majorBidi"/>
                <w:sz w:val="22"/>
                <w:szCs w:val="22"/>
                <w:lang w:val="ru-RU"/>
              </w:rPr>
              <w:t>0,01</w:t>
            </w:r>
          </w:p>
        </w:tc>
      </w:tr>
      <w:tr w:rsidR="00AA60B6" w:rsidRPr="001A72E3" w:rsidTr="00AA60B6">
        <w:tc>
          <w:tcPr>
            <w:tcW w:w="6379" w:type="dxa"/>
            <w:tcBorders>
              <w:top w:val="single" w:sz="4" w:space="0" w:color="000000"/>
              <w:left w:val="single" w:sz="4" w:space="0" w:color="000000"/>
              <w:bottom w:val="single" w:sz="4" w:space="0" w:color="000000"/>
            </w:tcBorders>
          </w:tcPr>
          <w:p w:rsidR="00AA60B6" w:rsidRPr="001A72E3" w:rsidRDefault="00AA60B6" w:rsidP="001A72E3">
            <w:pPr>
              <w:pStyle w:val="Contenudetableau"/>
              <w:tabs>
                <w:tab w:val="clear" w:pos="794"/>
                <w:tab w:val="clear" w:pos="1191"/>
                <w:tab w:val="clear" w:pos="1588"/>
                <w:tab w:val="clear" w:pos="1985"/>
              </w:tabs>
              <w:snapToGrid w:val="0"/>
              <w:spacing w:before="40" w:after="40"/>
              <w:rPr>
                <w:rFonts w:asciiTheme="majorBidi" w:hAnsiTheme="majorBidi" w:cstheme="majorBidi"/>
                <w:sz w:val="22"/>
                <w:szCs w:val="22"/>
                <w:lang w:val="ru-RU"/>
              </w:rPr>
            </w:pPr>
            <w:r w:rsidRPr="001A72E3">
              <w:rPr>
                <w:rFonts w:asciiTheme="majorBidi" w:hAnsiTheme="majorBidi" w:cstheme="majorBidi"/>
                <w:sz w:val="22"/>
                <w:szCs w:val="22"/>
                <w:lang w:val="ru-RU"/>
              </w:rPr>
              <w:t>Менее или равная 20 км</w:t>
            </w:r>
            <w:r w:rsidRPr="001A72E3">
              <w:rPr>
                <w:rFonts w:asciiTheme="majorBidi" w:hAnsiTheme="majorBidi" w:cstheme="majorBidi"/>
                <w:position w:val="6"/>
                <w:sz w:val="16"/>
                <w:szCs w:val="16"/>
                <w:lang w:val="ru-RU"/>
              </w:rPr>
              <w:t>2</w:t>
            </w:r>
          </w:p>
        </w:tc>
        <w:tc>
          <w:tcPr>
            <w:tcW w:w="3260" w:type="dxa"/>
            <w:tcBorders>
              <w:top w:val="single" w:sz="4" w:space="0" w:color="000000"/>
              <w:left w:val="single" w:sz="4" w:space="0" w:color="000000"/>
              <w:bottom w:val="single" w:sz="4" w:space="0" w:color="000000"/>
              <w:right w:val="single" w:sz="4" w:space="0" w:color="000000"/>
            </w:tcBorders>
          </w:tcPr>
          <w:p w:rsidR="00AA60B6" w:rsidRPr="001A72E3" w:rsidRDefault="00AA60B6" w:rsidP="00AA60B6">
            <w:pPr>
              <w:pStyle w:val="Contenudetableau"/>
              <w:tabs>
                <w:tab w:val="clear" w:pos="794"/>
                <w:tab w:val="clear" w:pos="1191"/>
                <w:tab w:val="clear" w:pos="1588"/>
                <w:tab w:val="clear" w:pos="1985"/>
              </w:tabs>
              <w:snapToGrid w:val="0"/>
              <w:spacing w:before="40" w:after="40"/>
              <w:jc w:val="center"/>
              <w:rPr>
                <w:rFonts w:asciiTheme="majorBidi" w:hAnsiTheme="majorBidi" w:cstheme="majorBidi"/>
                <w:sz w:val="22"/>
                <w:szCs w:val="22"/>
                <w:lang w:val="ru-RU"/>
              </w:rPr>
            </w:pPr>
            <w:r w:rsidRPr="001A72E3">
              <w:rPr>
                <w:rFonts w:asciiTheme="majorBidi" w:hAnsiTheme="majorBidi" w:cstheme="majorBidi"/>
                <w:sz w:val="22"/>
                <w:szCs w:val="22"/>
                <w:lang w:val="ru-RU"/>
              </w:rPr>
              <w:t>0,005</w:t>
            </w:r>
          </w:p>
        </w:tc>
      </w:tr>
    </w:tbl>
    <w:p w:rsidR="008C51B8" w:rsidRPr="00F439C2" w:rsidRDefault="008C51B8" w:rsidP="008C51B8">
      <w:pPr>
        <w:pStyle w:val="FigureSource"/>
      </w:pPr>
    </w:p>
    <w:p w:rsidR="00AA60B6" w:rsidRPr="00610AD5" w:rsidRDefault="00AA60B6" w:rsidP="00610AD5">
      <w:pPr>
        <w:pStyle w:val="AnnexNo"/>
        <w:spacing w:before="120"/>
        <w:rPr>
          <w:rFonts w:asciiTheme="majorBidi" w:hAnsiTheme="majorBidi" w:cstheme="majorBidi"/>
          <w:b/>
          <w:bCs/>
        </w:rPr>
      </w:pPr>
      <w:r w:rsidRPr="00AA60B6">
        <w:rPr>
          <w:rFonts w:asciiTheme="majorBidi" w:hAnsiTheme="majorBidi" w:cstheme="majorBidi"/>
        </w:rPr>
        <w:br w:type="page"/>
      </w:r>
      <w:bookmarkStart w:id="68" w:name="_Toc277857921"/>
      <w:r w:rsidR="00610AD5" w:rsidRPr="00610AD5">
        <w:rPr>
          <w:rFonts w:asciiTheme="majorBidi" w:hAnsiTheme="majorBidi" w:cstheme="majorBidi"/>
          <w:b/>
          <w:bCs/>
          <w:caps w:val="0"/>
        </w:rPr>
        <w:lastRenderedPageBreak/>
        <w:t>Приложение 4</w:t>
      </w:r>
      <w:bookmarkEnd w:id="68"/>
    </w:p>
    <w:p w:rsidR="00AA60B6" w:rsidRPr="00AA60B6" w:rsidRDefault="00AA60B6" w:rsidP="00AA60B6">
      <w:pPr>
        <w:pStyle w:val="Annextitle"/>
        <w:rPr>
          <w:rFonts w:asciiTheme="majorBidi" w:hAnsiTheme="majorBidi" w:cstheme="majorBidi"/>
          <w:lang w:val="ru-RU"/>
        </w:rPr>
      </w:pPr>
      <w:bookmarkStart w:id="69" w:name="_Toc277857922"/>
      <w:r w:rsidRPr="00AA60B6">
        <w:rPr>
          <w:rFonts w:asciiTheme="majorBidi" w:hAnsiTheme="majorBidi" w:cstheme="majorBidi"/>
          <w:lang w:val="ru-RU"/>
        </w:rPr>
        <w:t>Факторы, которые необходимо учитывать при международном сравнении уровней сборов</w:t>
      </w:r>
      <w:bookmarkEnd w:id="69"/>
    </w:p>
    <w:p w:rsidR="00AA60B6" w:rsidRPr="00AA60B6" w:rsidRDefault="00AA60B6" w:rsidP="00610AD5">
      <w:pPr>
        <w:pStyle w:val="Heading1"/>
        <w:rPr>
          <w:rFonts w:asciiTheme="majorBidi" w:hAnsiTheme="majorBidi" w:cstheme="majorBidi"/>
          <w:lang w:val="ru-RU"/>
        </w:rPr>
      </w:pPr>
      <w:bookmarkStart w:id="70" w:name="_Toc277683100"/>
      <w:bookmarkStart w:id="71" w:name="_Toc277857923"/>
      <w:r w:rsidRPr="00AA60B6">
        <w:rPr>
          <w:rFonts w:asciiTheme="majorBidi" w:hAnsiTheme="majorBidi" w:cstheme="majorBidi"/>
          <w:lang w:val="ru-RU"/>
        </w:rPr>
        <w:t>1</w:t>
      </w:r>
      <w:r w:rsidRPr="00AA60B6">
        <w:rPr>
          <w:rFonts w:asciiTheme="majorBidi" w:hAnsiTheme="majorBidi" w:cstheme="majorBidi"/>
          <w:lang w:val="ru-RU"/>
        </w:rPr>
        <w:tab/>
        <w:t>Введение</w:t>
      </w:r>
      <w:bookmarkEnd w:id="70"/>
      <w:bookmarkEnd w:id="71"/>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В базе данных сборов за использование спектра содержится подробная информация о сборах, применяемых в ряде стран. В связи с этим возникает вопрос о том, какие уровни могут быть выбраны и могут ли они быть использованы непосредственно без внесения в них изменений или необходимо осуществить, "при прочих равных условиях", транспонирование этих сумм, до того как они будут применены.</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Чтобы ответить на этот вопрос, предлагается доказать необходимость проведения анализа экономических условий использования лицензий, и уже на основе этого анализа определить перечень (не исчерпывающий) факторов, которые необходимо учитывать при переносе величин сборов, применяемых в одной из стран, упомянутых в базе данных, на другую страну.</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Рассмотрим лишь случай сборов, устанавливаемых в административном порядке и применимых к операторам электросвязи, получившим разрешение за использование частот (т. е. лицензированным операторам).</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Некоторые из вышеперечисленных факторов могут быть взяты в качестве критериев для проведения сравнения экономических условий использования лицензий в рассматриваемых странах. Такое сравнение должно позволить соответствующим администрациям определить порядок переноса на экономической основе.</w:t>
      </w:r>
    </w:p>
    <w:p w:rsidR="00AA60B6" w:rsidRPr="00AA60B6" w:rsidRDefault="00AA60B6" w:rsidP="00AA60B6">
      <w:pPr>
        <w:pStyle w:val="Heading1"/>
        <w:rPr>
          <w:rFonts w:asciiTheme="majorBidi" w:hAnsiTheme="majorBidi" w:cstheme="majorBidi"/>
          <w:lang w:val="ru-RU"/>
        </w:rPr>
      </w:pPr>
      <w:bookmarkStart w:id="72" w:name="_Toc222653554"/>
      <w:bookmarkStart w:id="73" w:name="_Toc277683101"/>
      <w:bookmarkStart w:id="74" w:name="_Toc277857924"/>
      <w:r w:rsidRPr="00AA60B6">
        <w:rPr>
          <w:rFonts w:asciiTheme="majorBidi" w:hAnsiTheme="majorBidi" w:cstheme="majorBidi"/>
          <w:lang w:val="ru-RU"/>
        </w:rPr>
        <w:t>2</w:t>
      </w:r>
      <w:r w:rsidRPr="00AA60B6">
        <w:rPr>
          <w:rFonts w:asciiTheme="majorBidi" w:hAnsiTheme="majorBidi" w:cstheme="majorBidi"/>
          <w:lang w:val="ru-RU"/>
        </w:rPr>
        <w:tab/>
        <w:t>Основания для сборов и их экономическое влияние</w:t>
      </w:r>
      <w:bookmarkEnd w:id="72"/>
      <w:bookmarkEnd w:id="73"/>
      <w:bookmarkEnd w:id="74"/>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В большинстве стран радиочастотный спектр относится к сфере деятельности государства, а его использование в коммерческих целях представляет собой частное использование этой области.</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Поэтому такая занятость обычно разрешена на платной основе:</w:t>
      </w:r>
    </w:p>
    <w:p w:rsidR="00AA60B6" w:rsidRPr="00AA60B6" w:rsidRDefault="00AA60B6" w:rsidP="00AA60B6">
      <w:pPr>
        <w:pStyle w:val="enumlev1"/>
        <w:rPr>
          <w:rFonts w:asciiTheme="majorBidi" w:hAnsiTheme="majorBidi" w:cstheme="majorBidi"/>
          <w:lang w:val="ru-RU"/>
        </w:rPr>
      </w:pPr>
      <w:r w:rsidRPr="00AA60B6">
        <w:rPr>
          <w:rFonts w:asciiTheme="majorBidi" w:hAnsiTheme="majorBidi" w:cstheme="majorBidi"/>
          <w:lang w:val="ru-RU"/>
        </w:rPr>
        <w:t>–</w:t>
      </w:r>
      <w:r w:rsidRPr="00AA60B6">
        <w:rPr>
          <w:rFonts w:asciiTheme="majorBidi" w:hAnsiTheme="majorBidi" w:cstheme="majorBidi"/>
          <w:lang w:val="ru-RU"/>
        </w:rPr>
        <w:tab/>
        <w:t>с одной стороны, в виде сбора за управление, который должен покрыть административные расходы, связанные с управлением использованием спектра в широком смысле этого слова, т. e. с планированием, внутренним управлением и контролем;</w:t>
      </w:r>
    </w:p>
    <w:p w:rsidR="00AA60B6" w:rsidRPr="00AA60B6" w:rsidRDefault="00AA60B6" w:rsidP="00AA60B6">
      <w:pPr>
        <w:pStyle w:val="enumlev1"/>
        <w:rPr>
          <w:rFonts w:asciiTheme="majorBidi" w:hAnsiTheme="majorBidi" w:cstheme="majorBidi"/>
          <w:lang w:val="ru-RU"/>
        </w:rPr>
      </w:pPr>
      <w:r w:rsidRPr="00AA60B6">
        <w:rPr>
          <w:rFonts w:asciiTheme="majorBidi" w:hAnsiTheme="majorBidi" w:cstheme="majorBidi"/>
          <w:lang w:val="ru-RU"/>
        </w:rPr>
        <w:t>–</w:t>
      </w:r>
      <w:r w:rsidRPr="00AA60B6">
        <w:rPr>
          <w:rFonts w:asciiTheme="majorBidi" w:hAnsiTheme="majorBidi" w:cstheme="majorBidi"/>
          <w:lang w:val="ru-RU"/>
        </w:rPr>
        <w:tab/>
        <w:t>с другой стороны, в виде сбора за предоставление частот, который должен быть пропорциональным всем выгодам, извлекаемым теми, кто пользуется этими частотами.</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Выгоды, извлекаемые оператором электросвязи из занимаемого им спектра, могут быть оценены, в частности, исходя из чистого операционного результата. С этой точки зрения, сборы, связанные с использованием частот и примененные к какому-либо оператору, должны поэтому соотноситься с чистым операционным результатом.</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С экономической и бухгалтерской точек зрения, сборы за использование частот представляют для операторов вложение средств и/или эксплуатационные расходы и поэтому уменьшают их чистый доход.</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Вот почему, несмотря на то, что применение сборов за использование частот и является оправданным, они не должны быть слишком высокими, чтобы не препятствовать инициативам и не сдерживать развитие новых услуг. Во всяком случае, величина сборов не может превышать уровни, в пределах которых операторы готовы их уплачивать.</w:t>
      </w:r>
    </w:p>
    <w:p w:rsidR="00AA60B6" w:rsidRPr="00AA60B6" w:rsidRDefault="00AA60B6" w:rsidP="00AA60B6">
      <w:pPr>
        <w:pStyle w:val="Heading1"/>
        <w:rPr>
          <w:rFonts w:asciiTheme="majorBidi" w:hAnsiTheme="majorBidi" w:cstheme="majorBidi"/>
          <w:lang w:val="ru-RU"/>
        </w:rPr>
      </w:pPr>
      <w:bookmarkStart w:id="75" w:name="_Toc222653555"/>
      <w:bookmarkStart w:id="76" w:name="_Toc277683102"/>
      <w:bookmarkStart w:id="77" w:name="_Toc277857925"/>
      <w:r w:rsidRPr="00AA60B6">
        <w:rPr>
          <w:rFonts w:asciiTheme="majorBidi" w:hAnsiTheme="majorBidi" w:cstheme="majorBidi"/>
          <w:lang w:val="ru-RU"/>
        </w:rPr>
        <w:t>3</w:t>
      </w:r>
      <w:r w:rsidRPr="00AA60B6">
        <w:rPr>
          <w:rFonts w:asciiTheme="majorBidi" w:hAnsiTheme="majorBidi" w:cstheme="majorBidi"/>
          <w:lang w:val="ru-RU"/>
        </w:rPr>
        <w:tab/>
        <w:t>Экономические условия использования лицензий</w:t>
      </w:r>
      <w:bookmarkEnd w:id="75"/>
      <w:bookmarkEnd w:id="76"/>
      <w:bookmarkEnd w:id="77"/>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Чистый доход оператора определяется разницей между совокупной продажной ценой реализованных товаров и услуг (оборот) и общей стоимостью приобретения этих товаров и услуг (эксплуатационные расходы).</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lastRenderedPageBreak/>
        <w:t>Совершенно очевидно, что экономические условия использования лицензий оказывают влияние, как на оборот, так и на эксплуатационные расходы операторов связи, а поэтому и на чистый операционный результат.</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Таким образом, чем благоприятнее для операторов условия использования их лицензий, тем выше их готовность уплачивать сборы и наоборот.</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Поэтому необходимо проводить анализ и сравнение экономических условий использования лицензий в рассматриваемых странах.</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Эти условия определяются, в частности, следующими факторами.</w:t>
      </w:r>
    </w:p>
    <w:p w:rsidR="00AA60B6" w:rsidRPr="00AA60B6" w:rsidRDefault="00AA60B6" w:rsidP="00AA60B6">
      <w:pPr>
        <w:pStyle w:val="Heading2"/>
        <w:rPr>
          <w:rFonts w:asciiTheme="majorBidi" w:hAnsiTheme="majorBidi" w:cstheme="majorBidi"/>
          <w:lang w:val="ru-RU"/>
        </w:rPr>
      </w:pPr>
      <w:bookmarkStart w:id="78" w:name="_Toc222653556"/>
      <w:bookmarkStart w:id="79" w:name="_Toc277683103"/>
      <w:bookmarkStart w:id="80" w:name="_Toc277857926"/>
      <w:r w:rsidRPr="00AA60B6">
        <w:rPr>
          <w:rFonts w:asciiTheme="majorBidi" w:hAnsiTheme="majorBidi" w:cstheme="majorBidi"/>
          <w:lang w:val="ru-RU"/>
        </w:rPr>
        <w:t>3.1</w:t>
      </w:r>
      <w:r w:rsidRPr="00AA60B6">
        <w:rPr>
          <w:rFonts w:asciiTheme="majorBidi" w:hAnsiTheme="majorBidi" w:cstheme="majorBidi"/>
          <w:lang w:val="ru-RU"/>
        </w:rPr>
        <w:tab/>
        <w:t>Социально-экономические факторы в рассматриваемых странах</w:t>
      </w:r>
      <w:bookmarkEnd w:id="78"/>
      <w:bookmarkEnd w:id="79"/>
      <w:bookmarkEnd w:id="80"/>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Факторы, которые следует учитывать при проведении анализа, могут включать:</w:t>
      </w:r>
    </w:p>
    <w:p w:rsidR="00AA60B6" w:rsidRPr="00AA60B6" w:rsidRDefault="00AA60B6" w:rsidP="00AA60B6">
      <w:pPr>
        <w:pStyle w:val="enumlev1"/>
        <w:rPr>
          <w:rFonts w:asciiTheme="majorBidi" w:hAnsiTheme="majorBidi" w:cstheme="majorBidi"/>
          <w:lang w:val="ru-RU"/>
        </w:rPr>
      </w:pPr>
      <w:r w:rsidRPr="00AA60B6">
        <w:rPr>
          <w:rFonts w:asciiTheme="majorBidi" w:hAnsiTheme="majorBidi" w:cstheme="majorBidi"/>
          <w:lang w:val="ru-RU"/>
        </w:rPr>
        <w:t>–</w:t>
      </w:r>
      <w:r w:rsidRPr="00AA60B6">
        <w:rPr>
          <w:rFonts w:asciiTheme="majorBidi" w:hAnsiTheme="majorBidi" w:cstheme="majorBidi"/>
          <w:lang w:val="ru-RU"/>
        </w:rPr>
        <w:tab/>
        <w:t>ВВП или ВВП на одного жителя;</w:t>
      </w:r>
    </w:p>
    <w:p w:rsidR="00AA60B6" w:rsidRPr="00AA60B6" w:rsidRDefault="00AA60B6" w:rsidP="00AA60B6">
      <w:pPr>
        <w:pStyle w:val="enumlev1"/>
        <w:rPr>
          <w:rFonts w:asciiTheme="majorBidi" w:hAnsiTheme="majorBidi" w:cstheme="majorBidi"/>
          <w:lang w:val="ru-RU"/>
        </w:rPr>
      </w:pPr>
      <w:r w:rsidRPr="00AA60B6">
        <w:rPr>
          <w:rFonts w:asciiTheme="majorBidi" w:hAnsiTheme="majorBidi" w:cstheme="majorBidi"/>
          <w:lang w:val="ru-RU"/>
        </w:rPr>
        <w:t>–</w:t>
      </w:r>
      <w:r w:rsidRPr="00AA60B6">
        <w:rPr>
          <w:rFonts w:asciiTheme="majorBidi" w:hAnsiTheme="majorBidi" w:cstheme="majorBidi"/>
          <w:lang w:val="ru-RU"/>
        </w:rPr>
        <w:tab/>
        <w:t>общую численность или плотность населения;</w:t>
      </w:r>
    </w:p>
    <w:p w:rsidR="00AA60B6" w:rsidRPr="00AA60B6" w:rsidRDefault="00AA60B6" w:rsidP="00AA60B6">
      <w:pPr>
        <w:pStyle w:val="enumlev1"/>
        <w:rPr>
          <w:rFonts w:asciiTheme="majorBidi" w:hAnsiTheme="majorBidi" w:cstheme="majorBidi"/>
          <w:lang w:val="ru-RU"/>
        </w:rPr>
      </w:pPr>
      <w:r w:rsidRPr="00AA60B6">
        <w:rPr>
          <w:rFonts w:asciiTheme="majorBidi" w:hAnsiTheme="majorBidi" w:cstheme="majorBidi"/>
          <w:lang w:val="ru-RU"/>
        </w:rPr>
        <w:t>–</w:t>
      </w:r>
      <w:r w:rsidRPr="00AA60B6">
        <w:rPr>
          <w:rFonts w:asciiTheme="majorBidi" w:hAnsiTheme="majorBidi" w:cstheme="majorBidi"/>
          <w:lang w:val="ru-RU"/>
        </w:rPr>
        <w:tab/>
        <w:t>географическое распределение населения (сосредоточено в нескольких зонах, разбросано …);</w:t>
      </w:r>
    </w:p>
    <w:p w:rsidR="00AA60B6" w:rsidRPr="00AA60B6" w:rsidRDefault="00AA60B6" w:rsidP="00AA60B6">
      <w:pPr>
        <w:pStyle w:val="enumlev1"/>
        <w:rPr>
          <w:rFonts w:asciiTheme="majorBidi" w:hAnsiTheme="majorBidi" w:cstheme="majorBidi"/>
          <w:lang w:val="ru-RU"/>
        </w:rPr>
      </w:pPr>
      <w:r w:rsidRPr="00AA60B6">
        <w:rPr>
          <w:rFonts w:asciiTheme="majorBidi" w:hAnsiTheme="majorBidi" w:cstheme="majorBidi"/>
          <w:lang w:val="ru-RU"/>
        </w:rPr>
        <w:t>–</w:t>
      </w:r>
      <w:r w:rsidRPr="00AA60B6">
        <w:rPr>
          <w:rFonts w:asciiTheme="majorBidi" w:hAnsiTheme="majorBidi" w:cstheme="majorBidi"/>
          <w:lang w:val="ru-RU"/>
        </w:rPr>
        <w:tab/>
        <w:t>размеры, рельеф (равнины, горы …) и характер обособленности страны.</w:t>
      </w:r>
      <w:bookmarkStart w:id="81" w:name="_Toc222653557"/>
    </w:p>
    <w:p w:rsidR="00AA60B6" w:rsidRPr="00AA60B6" w:rsidRDefault="00AA60B6" w:rsidP="00AA60B6">
      <w:pPr>
        <w:pStyle w:val="Heading2"/>
        <w:rPr>
          <w:rFonts w:asciiTheme="majorBidi" w:hAnsiTheme="majorBidi" w:cstheme="majorBidi"/>
          <w:lang w:val="ru-RU"/>
        </w:rPr>
      </w:pPr>
      <w:bookmarkStart w:id="82" w:name="_Toc277683104"/>
      <w:bookmarkStart w:id="83" w:name="_Toc277857927"/>
      <w:r w:rsidRPr="00AA60B6">
        <w:rPr>
          <w:rFonts w:asciiTheme="majorBidi" w:hAnsiTheme="majorBidi" w:cstheme="majorBidi"/>
          <w:lang w:val="ru-RU"/>
        </w:rPr>
        <w:t>3.2</w:t>
      </w:r>
      <w:r w:rsidRPr="00AA60B6">
        <w:rPr>
          <w:rFonts w:asciiTheme="majorBidi" w:hAnsiTheme="majorBidi" w:cstheme="majorBidi"/>
          <w:lang w:val="ru-RU"/>
        </w:rPr>
        <w:tab/>
        <w:t>Характеристики выданных разрешений или лицензий</w:t>
      </w:r>
      <w:bookmarkEnd w:id="81"/>
      <w:bookmarkEnd w:id="82"/>
      <w:bookmarkEnd w:id="83"/>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Особое внимание может следует уделять:</w:t>
      </w:r>
    </w:p>
    <w:p w:rsidR="00AA60B6" w:rsidRPr="00AA60B6" w:rsidRDefault="00AA60B6" w:rsidP="00AA60B6">
      <w:pPr>
        <w:pStyle w:val="enumlev1"/>
        <w:rPr>
          <w:rFonts w:asciiTheme="majorBidi" w:hAnsiTheme="majorBidi" w:cstheme="majorBidi"/>
          <w:lang w:val="ru-RU"/>
        </w:rPr>
      </w:pPr>
      <w:r w:rsidRPr="00AA60B6">
        <w:rPr>
          <w:rFonts w:asciiTheme="majorBidi" w:hAnsiTheme="majorBidi" w:cstheme="majorBidi"/>
          <w:lang w:val="ru-RU"/>
        </w:rPr>
        <w:t>–</w:t>
      </w:r>
      <w:r w:rsidRPr="00AA60B6">
        <w:rPr>
          <w:rFonts w:asciiTheme="majorBidi" w:hAnsiTheme="majorBidi" w:cstheme="majorBidi"/>
          <w:lang w:val="ru-RU"/>
        </w:rPr>
        <w:tab/>
        <w:t>сроку действия лицензий;</w:t>
      </w:r>
    </w:p>
    <w:p w:rsidR="00AA60B6" w:rsidRPr="00AA60B6" w:rsidRDefault="00AA60B6" w:rsidP="00AA60B6">
      <w:pPr>
        <w:pStyle w:val="enumlev1"/>
        <w:rPr>
          <w:rFonts w:asciiTheme="majorBidi" w:hAnsiTheme="majorBidi" w:cstheme="majorBidi"/>
          <w:lang w:val="ru-RU"/>
        </w:rPr>
      </w:pPr>
      <w:r w:rsidRPr="00AA60B6">
        <w:rPr>
          <w:rFonts w:asciiTheme="majorBidi" w:hAnsiTheme="majorBidi" w:cstheme="majorBidi"/>
          <w:lang w:val="ru-RU"/>
        </w:rPr>
        <w:t>–</w:t>
      </w:r>
      <w:r w:rsidRPr="00AA60B6">
        <w:rPr>
          <w:rFonts w:asciiTheme="majorBidi" w:hAnsiTheme="majorBidi" w:cstheme="majorBidi"/>
          <w:lang w:val="ru-RU"/>
        </w:rPr>
        <w:tab/>
        <w:t>стабильности условий использования;</w:t>
      </w:r>
    </w:p>
    <w:p w:rsidR="00AA60B6" w:rsidRPr="00AA60B6" w:rsidRDefault="00AA60B6" w:rsidP="00AA60B6">
      <w:pPr>
        <w:pStyle w:val="enumlev1"/>
        <w:rPr>
          <w:rFonts w:asciiTheme="majorBidi" w:hAnsiTheme="majorBidi" w:cstheme="majorBidi"/>
          <w:lang w:val="ru-RU"/>
        </w:rPr>
      </w:pPr>
      <w:r w:rsidRPr="00AA60B6">
        <w:rPr>
          <w:rFonts w:asciiTheme="majorBidi" w:hAnsiTheme="majorBidi" w:cstheme="majorBidi"/>
          <w:lang w:val="ru-RU"/>
        </w:rPr>
        <w:t>–</w:t>
      </w:r>
      <w:r w:rsidRPr="00AA60B6">
        <w:rPr>
          <w:rFonts w:asciiTheme="majorBidi" w:hAnsiTheme="majorBidi" w:cstheme="majorBidi"/>
          <w:lang w:val="ru-RU"/>
        </w:rPr>
        <w:tab/>
        <w:t>возобновляемости лицензий.</w:t>
      </w:r>
    </w:p>
    <w:p w:rsidR="00AA60B6" w:rsidRPr="00AA60B6" w:rsidRDefault="00AA60B6" w:rsidP="00AA60B6">
      <w:pPr>
        <w:pStyle w:val="Heading2"/>
        <w:rPr>
          <w:rFonts w:asciiTheme="majorBidi" w:hAnsiTheme="majorBidi" w:cstheme="majorBidi"/>
          <w:lang w:val="ru-RU"/>
        </w:rPr>
      </w:pPr>
      <w:bookmarkStart w:id="84" w:name="_Toc222653558"/>
      <w:bookmarkStart w:id="85" w:name="_Toc277683105"/>
      <w:bookmarkStart w:id="86" w:name="_Toc277857928"/>
      <w:r w:rsidRPr="00AA60B6">
        <w:rPr>
          <w:rFonts w:asciiTheme="majorBidi" w:hAnsiTheme="majorBidi" w:cstheme="majorBidi"/>
          <w:lang w:val="ru-RU"/>
        </w:rPr>
        <w:t>3.3</w:t>
      </w:r>
      <w:r w:rsidRPr="00AA60B6">
        <w:rPr>
          <w:rFonts w:asciiTheme="majorBidi" w:hAnsiTheme="majorBidi" w:cstheme="majorBidi"/>
          <w:lang w:val="ru-RU"/>
        </w:rPr>
        <w:tab/>
        <w:t>Круг обязанностей уполномоченных операторов</w:t>
      </w:r>
      <w:bookmarkEnd w:id="84"/>
      <w:bookmarkEnd w:id="85"/>
      <w:bookmarkEnd w:id="86"/>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Обязанности, возложенные на операторов в соответствии с их областью деятельности, и таким образом увеличивающие их эксплуатационные расходы, могут касаться:</w:t>
      </w:r>
    </w:p>
    <w:p w:rsidR="00AA60B6" w:rsidRPr="00AA60B6" w:rsidRDefault="00AA60B6" w:rsidP="00AA60B6">
      <w:pPr>
        <w:pStyle w:val="enumlev1"/>
        <w:rPr>
          <w:rFonts w:asciiTheme="majorBidi" w:hAnsiTheme="majorBidi" w:cstheme="majorBidi"/>
          <w:lang w:val="ru-RU"/>
        </w:rPr>
      </w:pPr>
      <w:r w:rsidRPr="00AA60B6">
        <w:rPr>
          <w:rFonts w:asciiTheme="majorBidi" w:hAnsiTheme="majorBidi" w:cstheme="majorBidi"/>
          <w:lang w:val="ru-RU"/>
        </w:rPr>
        <w:t>–</w:t>
      </w:r>
      <w:r w:rsidRPr="00AA60B6">
        <w:rPr>
          <w:rFonts w:asciiTheme="majorBidi" w:hAnsiTheme="majorBidi" w:cstheme="majorBidi"/>
          <w:lang w:val="ru-RU"/>
        </w:rPr>
        <w:tab/>
        <w:t>охвата территории;</w:t>
      </w:r>
    </w:p>
    <w:p w:rsidR="00AA60B6" w:rsidRPr="00AA60B6" w:rsidRDefault="00AA60B6" w:rsidP="00AA60B6">
      <w:pPr>
        <w:pStyle w:val="enumlev1"/>
        <w:rPr>
          <w:rFonts w:asciiTheme="majorBidi" w:hAnsiTheme="majorBidi" w:cstheme="majorBidi"/>
          <w:lang w:val="ru-RU"/>
        </w:rPr>
      </w:pPr>
      <w:r w:rsidRPr="00AA60B6">
        <w:rPr>
          <w:rFonts w:asciiTheme="majorBidi" w:hAnsiTheme="majorBidi" w:cstheme="majorBidi"/>
          <w:lang w:val="ru-RU"/>
        </w:rPr>
        <w:t>–</w:t>
      </w:r>
      <w:r w:rsidRPr="00AA60B6">
        <w:rPr>
          <w:rFonts w:asciiTheme="majorBidi" w:hAnsiTheme="majorBidi" w:cstheme="majorBidi"/>
          <w:lang w:val="ru-RU"/>
        </w:rPr>
        <w:tab/>
        <w:t>качества обслуживания;</w:t>
      </w:r>
    </w:p>
    <w:p w:rsidR="00AA60B6" w:rsidRPr="00AA60B6" w:rsidRDefault="00AA60B6" w:rsidP="00AA60B6">
      <w:pPr>
        <w:pStyle w:val="enumlev1"/>
        <w:rPr>
          <w:rFonts w:asciiTheme="majorBidi" w:hAnsiTheme="majorBidi" w:cstheme="majorBidi"/>
          <w:lang w:val="ru-RU"/>
        </w:rPr>
      </w:pPr>
      <w:r w:rsidRPr="00AA60B6">
        <w:rPr>
          <w:rFonts w:asciiTheme="majorBidi" w:hAnsiTheme="majorBidi" w:cstheme="majorBidi"/>
          <w:lang w:val="ru-RU"/>
        </w:rPr>
        <w:t>–</w:t>
      </w:r>
      <w:r w:rsidRPr="00AA60B6">
        <w:rPr>
          <w:rFonts w:asciiTheme="majorBidi" w:hAnsiTheme="majorBidi" w:cstheme="majorBidi"/>
          <w:lang w:val="ru-RU"/>
        </w:rPr>
        <w:tab/>
        <w:t>участия в универсальном обслуживании;</w:t>
      </w:r>
    </w:p>
    <w:p w:rsidR="00AA60B6" w:rsidRPr="00AA60B6" w:rsidRDefault="00AA60B6" w:rsidP="00AA60B6">
      <w:pPr>
        <w:pStyle w:val="enumlev1"/>
        <w:rPr>
          <w:rFonts w:asciiTheme="majorBidi" w:hAnsiTheme="majorBidi" w:cstheme="majorBidi"/>
          <w:lang w:val="ru-RU"/>
        </w:rPr>
      </w:pPr>
      <w:r w:rsidRPr="00AA60B6">
        <w:rPr>
          <w:rFonts w:asciiTheme="majorBidi" w:hAnsiTheme="majorBidi" w:cstheme="majorBidi"/>
          <w:lang w:val="ru-RU"/>
        </w:rPr>
        <w:t>–</w:t>
      </w:r>
      <w:r w:rsidRPr="00AA60B6">
        <w:rPr>
          <w:rFonts w:asciiTheme="majorBidi" w:hAnsiTheme="majorBidi" w:cstheme="majorBidi"/>
          <w:lang w:val="ru-RU"/>
        </w:rPr>
        <w:tab/>
        <w:t>участия в научных исследованиях и разработках в области электросвязи;</w:t>
      </w:r>
    </w:p>
    <w:p w:rsidR="00AA60B6" w:rsidRPr="00AA60B6" w:rsidRDefault="00817191" w:rsidP="00AA60B6">
      <w:pPr>
        <w:pStyle w:val="enumlev1"/>
        <w:rPr>
          <w:rFonts w:asciiTheme="majorBidi" w:hAnsiTheme="majorBidi" w:cstheme="majorBidi"/>
          <w:lang w:val="ru-RU"/>
        </w:rPr>
      </w:pPr>
      <w:r>
        <w:rPr>
          <w:rFonts w:asciiTheme="majorBidi" w:hAnsiTheme="majorBidi" w:cstheme="majorBidi"/>
          <w:lang w:val="ru-RU"/>
        </w:rPr>
        <w:t>–</w:t>
      </w:r>
      <w:r>
        <w:rPr>
          <w:rFonts w:asciiTheme="majorBidi" w:hAnsiTheme="majorBidi" w:cstheme="majorBidi"/>
          <w:lang w:val="ru-RU"/>
        </w:rPr>
        <w:tab/>
        <w:t>дополнительных ограничений</w:t>
      </w:r>
      <w:r w:rsidR="00AA60B6" w:rsidRPr="00AA60B6">
        <w:rPr>
          <w:rFonts w:asciiTheme="majorBidi" w:hAnsiTheme="majorBidi" w:cstheme="majorBidi"/>
          <w:lang w:val="ru-RU"/>
        </w:rPr>
        <w:t xml:space="preserve">, таких как бесплатные вызовы на </w:t>
      </w:r>
      <w:r w:rsidR="00AA60B6" w:rsidRPr="00AA60B6">
        <w:rPr>
          <w:rFonts w:asciiTheme="majorBidi" w:hAnsiTheme="majorBidi" w:cstheme="majorBidi"/>
          <w:szCs w:val="18"/>
          <w:lang w:val="ru-RU"/>
        </w:rPr>
        <w:t>некоторые</w:t>
      </w:r>
      <w:r w:rsidR="00AA60B6" w:rsidRPr="00AA60B6">
        <w:rPr>
          <w:rFonts w:asciiTheme="majorBidi" w:hAnsiTheme="majorBidi" w:cstheme="majorBidi"/>
          <w:lang w:val="ru-RU"/>
        </w:rPr>
        <w:t xml:space="preserve"> номера, переносимость номера ….</w:t>
      </w:r>
    </w:p>
    <w:p w:rsidR="00AA60B6" w:rsidRPr="00AA60B6" w:rsidRDefault="00AA60B6" w:rsidP="00AA60B6">
      <w:pPr>
        <w:pStyle w:val="Heading1"/>
        <w:rPr>
          <w:rFonts w:asciiTheme="majorBidi" w:hAnsiTheme="majorBidi" w:cstheme="majorBidi"/>
          <w:lang w:val="ru-RU"/>
        </w:rPr>
      </w:pPr>
      <w:bookmarkStart w:id="87" w:name="_Toc222653559"/>
      <w:bookmarkStart w:id="88" w:name="_Toc277683106"/>
      <w:bookmarkStart w:id="89" w:name="_Toc277857929"/>
      <w:r w:rsidRPr="00AA60B6">
        <w:rPr>
          <w:rFonts w:asciiTheme="majorBidi" w:hAnsiTheme="majorBidi" w:cstheme="majorBidi"/>
          <w:lang w:val="ru-RU"/>
        </w:rPr>
        <w:t>4</w:t>
      </w:r>
      <w:r w:rsidRPr="00AA60B6">
        <w:rPr>
          <w:rFonts w:asciiTheme="majorBidi" w:hAnsiTheme="majorBidi" w:cstheme="majorBidi"/>
          <w:lang w:val="ru-RU"/>
        </w:rPr>
        <w:tab/>
        <w:t xml:space="preserve">Сравнение/перенос уровней </w:t>
      </w:r>
      <w:bookmarkEnd w:id="87"/>
      <w:r w:rsidRPr="00AA60B6">
        <w:rPr>
          <w:rFonts w:asciiTheme="majorBidi" w:hAnsiTheme="majorBidi" w:cstheme="majorBidi"/>
          <w:lang w:val="ru-RU"/>
        </w:rPr>
        <w:t>сборов</w:t>
      </w:r>
      <w:bookmarkEnd w:id="88"/>
      <w:bookmarkEnd w:id="89"/>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В прилагаемой таблице содержится описание влияния экономических условий использования лицензий на готовность операторов уплачивать сборы.</w:t>
      </w:r>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Совершенно очевидно, что факторы, влияющие на формировании оборота, способствуют росту этой готовности. И напротив, факторы, способствующие увеличению эксплуатационных расходов, ведут к уменьшению такой готовности.</w:t>
      </w:r>
    </w:p>
    <w:p w:rsidR="00AA60B6" w:rsidRPr="00AA60B6" w:rsidRDefault="00AA60B6" w:rsidP="00AA60B6">
      <w:pPr>
        <w:pStyle w:val="Heading1"/>
        <w:rPr>
          <w:rFonts w:asciiTheme="majorBidi" w:hAnsiTheme="majorBidi" w:cstheme="majorBidi"/>
          <w:lang w:val="ru-RU"/>
        </w:rPr>
      </w:pPr>
      <w:bookmarkStart w:id="90" w:name="_Toc222653560"/>
      <w:bookmarkStart w:id="91" w:name="_Toc277683107"/>
      <w:bookmarkStart w:id="92" w:name="_Toc277857930"/>
      <w:r w:rsidRPr="00AA60B6">
        <w:rPr>
          <w:rFonts w:asciiTheme="majorBidi" w:hAnsiTheme="majorBidi" w:cstheme="majorBidi"/>
          <w:lang w:val="ru-RU"/>
        </w:rPr>
        <w:t>5</w:t>
      </w:r>
      <w:r w:rsidRPr="00AA60B6">
        <w:rPr>
          <w:rFonts w:asciiTheme="majorBidi" w:hAnsiTheme="majorBidi" w:cstheme="majorBidi"/>
          <w:lang w:val="ru-RU"/>
        </w:rPr>
        <w:tab/>
        <w:t>Вывод</w:t>
      </w:r>
      <w:bookmarkEnd w:id="90"/>
      <w:bookmarkEnd w:id="91"/>
      <w:bookmarkEnd w:id="92"/>
    </w:p>
    <w:p w:rsidR="00AA60B6" w:rsidRPr="00AA60B6" w:rsidRDefault="00AA60B6" w:rsidP="00AA60B6">
      <w:pPr>
        <w:rPr>
          <w:rFonts w:asciiTheme="majorBidi" w:hAnsiTheme="majorBidi" w:cstheme="majorBidi"/>
          <w:lang w:val="ru-RU"/>
        </w:rPr>
      </w:pPr>
      <w:r w:rsidRPr="00AA60B6">
        <w:rPr>
          <w:rFonts w:asciiTheme="majorBidi" w:hAnsiTheme="majorBidi" w:cstheme="majorBidi"/>
          <w:lang w:val="ru-RU"/>
        </w:rPr>
        <w:t>Хотя и несложно определить направление влияния, которое экономические условия использования лицензий оказывают на готовность операторов уплачивать сборы, определить это влияние количественно да еще с достаточной степенью точности в условиях отсутствия соответствующей информации не всегда просто.</w:t>
      </w:r>
    </w:p>
    <w:p w:rsidR="00AA60B6" w:rsidRPr="00AA60B6" w:rsidRDefault="00AA60B6" w:rsidP="00610AD5">
      <w:pPr>
        <w:rPr>
          <w:rFonts w:asciiTheme="majorBidi" w:hAnsiTheme="majorBidi" w:cstheme="majorBidi"/>
          <w:szCs w:val="18"/>
          <w:lang w:val="ru-RU"/>
        </w:rPr>
      </w:pPr>
      <w:r w:rsidRPr="00AA60B6">
        <w:rPr>
          <w:rFonts w:asciiTheme="majorBidi" w:hAnsiTheme="majorBidi" w:cstheme="majorBidi"/>
          <w:lang w:val="ru-RU"/>
        </w:rPr>
        <w:t>Чтобы провести какое-либо сравнение или сопоставление уровней тарифов, можно использовать один или несколько факторов, описанных в п. 4, в зависимости от имеющихся данных, и применить простое правило расчета, например, правило пропорциональности.</w:t>
      </w:r>
      <w:r w:rsidR="00610AD5" w:rsidRPr="00AA60B6">
        <w:rPr>
          <w:rFonts w:asciiTheme="majorBidi" w:hAnsiTheme="majorBidi" w:cstheme="majorBidi"/>
          <w:szCs w:val="18"/>
          <w:lang w:val="ru-RU"/>
        </w:rPr>
        <w:t xml:space="preserve"> </w:t>
      </w:r>
    </w:p>
    <w:p w:rsidR="00AA60B6" w:rsidRPr="00AA60B6" w:rsidRDefault="00AA60B6" w:rsidP="00AA60B6">
      <w:pPr>
        <w:rPr>
          <w:rFonts w:asciiTheme="majorBidi" w:hAnsiTheme="majorBidi" w:cstheme="majorBidi"/>
          <w:szCs w:val="18"/>
          <w:lang w:val="ru-RU"/>
        </w:rPr>
        <w:sectPr w:rsidR="00AA60B6" w:rsidRPr="00AA60B6" w:rsidSect="00F86DA5">
          <w:headerReference w:type="even" r:id="rId17"/>
          <w:headerReference w:type="default" r:id="rId18"/>
          <w:footerReference w:type="default" r:id="rId19"/>
          <w:headerReference w:type="first" r:id="rId20"/>
          <w:footerReference w:type="first" r:id="rId21"/>
          <w:pgSz w:w="11909" w:h="16834" w:code="9"/>
          <w:pgMar w:top="1134" w:right="1134" w:bottom="1134" w:left="1134" w:header="567" w:footer="567" w:gutter="0"/>
          <w:pgNumType w:start="1"/>
          <w:cols w:space="720"/>
          <w:titlePg/>
        </w:sectPr>
      </w:pPr>
    </w:p>
    <w:p w:rsidR="00AA60B6" w:rsidRPr="005B2B96" w:rsidRDefault="00AA60B6" w:rsidP="005B2B96">
      <w:pPr>
        <w:pStyle w:val="Title4"/>
        <w:rPr>
          <w:sz w:val="22"/>
          <w:szCs w:val="22"/>
          <w:lang w:val="ru-RU"/>
        </w:rPr>
      </w:pPr>
      <w:bookmarkStart w:id="93" w:name="_Toc277683108"/>
      <w:r w:rsidRPr="005B2B96">
        <w:rPr>
          <w:sz w:val="22"/>
          <w:szCs w:val="22"/>
          <w:lang w:val="ru-RU"/>
        </w:rPr>
        <w:lastRenderedPageBreak/>
        <w:t>Факторы, которые должны учитываться при сравнении или сопоставлении уровней сборов</w:t>
      </w:r>
      <w:bookmarkEnd w:id="93"/>
    </w:p>
    <w:p w:rsidR="00610AD5" w:rsidRPr="00F439C2" w:rsidRDefault="00610AD5" w:rsidP="00610AD5"/>
    <w:p w:rsidR="00610AD5" w:rsidRPr="00F439C2" w:rsidRDefault="00610AD5" w:rsidP="00610AD5">
      <w:pPr>
        <w:pStyle w:val="FigureTitle"/>
      </w:pPr>
    </w:p>
    <w:tbl>
      <w:tblPr>
        <w:tblW w:w="4920" w:type="pct"/>
        <w:jc w:val="center"/>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3447"/>
        <w:gridCol w:w="6246"/>
      </w:tblGrid>
      <w:tr w:rsidR="00AA60B6" w:rsidRPr="00AA60B6" w:rsidTr="00C608EC">
        <w:trPr>
          <w:jc w:val="center"/>
        </w:trPr>
        <w:tc>
          <w:tcPr>
            <w:tcW w:w="1778" w:type="pct"/>
            <w:vAlign w:val="center"/>
          </w:tcPr>
          <w:p w:rsidR="00AA60B6" w:rsidRPr="00AA60B6" w:rsidRDefault="00AA60B6" w:rsidP="00C608EC">
            <w:pPr>
              <w:spacing w:before="0"/>
              <w:jc w:val="center"/>
              <w:rPr>
                <w:rFonts w:asciiTheme="majorBidi" w:hAnsiTheme="majorBidi" w:cstheme="majorBidi"/>
                <w:b/>
                <w:szCs w:val="18"/>
                <w:lang w:val="ru-RU"/>
              </w:rPr>
            </w:pPr>
            <w:r w:rsidRPr="00AA60B6">
              <w:rPr>
                <w:rFonts w:asciiTheme="majorBidi" w:hAnsiTheme="majorBidi" w:cstheme="majorBidi"/>
                <w:b/>
                <w:szCs w:val="18"/>
                <w:lang w:val="ru-RU"/>
              </w:rPr>
              <w:t>Социально-экономические факторы в рассматриваемых странах</w:t>
            </w:r>
          </w:p>
        </w:tc>
        <w:tc>
          <w:tcPr>
            <w:tcW w:w="3222" w:type="pct"/>
            <w:vAlign w:val="center"/>
          </w:tcPr>
          <w:p w:rsidR="00AA60B6" w:rsidRPr="00AA60B6" w:rsidRDefault="00AA60B6" w:rsidP="00C608EC">
            <w:pPr>
              <w:spacing w:before="0"/>
              <w:jc w:val="center"/>
              <w:rPr>
                <w:rFonts w:asciiTheme="majorBidi" w:hAnsiTheme="majorBidi" w:cstheme="majorBidi"/>
                <w:b/>
                <w:szCs w:val="18"/>
                <w:lang w:val="ru-RU"/>
              </w:rPr>
            </w:pPr>
            <w:r w:rsidRPr="00AA60B6">
              <w:rPr>
                <w:rFonts w:asciiTheme="majorBidi" w:hAnsiTheme="majorBidi" w:cstheme="majorBidi"/>
                <w:b/>
                <w:szCs w:val="18"/>
                <w:lang w:val="ru-RU"/>
              </w:rPr>
              <w:t>Комментарии</w:t>
            </w:r>
          </w:p>
        </w:tc>
      </w:tr>
      <w:tr w:rsidR="00AA60B6" w:rsidRPr="00AA60B6" w:rsidTr="00C608EC">
        <w:trPr>
          <w:jc w:val="center"/>
        </w:trPr>
        <w:tc>
          <w:tcPr>
            <w:tcW w:w="1778" w:type="pct"/>
          </w:tcPr>
          <w:p w:rsidR="00AA60B6" w:rsidRPr="00AA60B6" w:rsidRDefault="00AA60B6" w:rsidP="00817191">
            <w:pPr>
              <w:spacing w:before="40" w:after="40"/>
              <w:jc w:val="left"/>
              <w:rPr>
                <w:rFonts w:asciiTheme="majorBidi" w:hAnsiTheme="majorBidi" w:cstheme="majorBidi"/>
                <w:lang w:val="ru-RU"/>
              </w:rPr>
            </w:pPr>
            <w:r w:rsidRPr="00AA60B6">
              <w:rPr>
                <w:rFonts w:asciiTheme="majorBidi" w:hAnsiTheme="majorBidi" w:cstheme="majorBidi"/>
                <w:lang w:val="ru-RU"/>
              </w:rPr>
              <w:t>ВВП или ВВП на одного жителя</w:t>
            </w:r>
          </w:p>
        </w:tc>
        <w:tc>
          <w:tcPr>
            <w:tcW w:w="3222" w:type="pct"/>
          </w:tcPr>
          <w:p w:rsidR="00AA60B6" w:rsidRPr="00AA60B6" w:rsidRDefault="00AA60B6" w:rsidP="00817191">
            <w:pPr>
              <w:spacing w:before="40" w:after="40"/>
              <w:jc w:val="left"/>
              <w:rPr>
                <w:rFonts w:asciiTheme="majorBidi" w:hAnsiTheme="majorBidi" w:cstheme="majorBidi"/>
                <w:lang w:val="ru-RU"/>
              </w:rPr>
            </w:pPr>
            <w:r w:rsidRPr="00AA60B6">
              <w:rPr>
                <w:rFonts w:asciiTheme="majorBidi" w:hAnsiTheme="majorBidi" w:cstheme="majorBidi"/>
                <w:lang w:val="ru-RU"/>
              </w:rPr>
              <w:t>Готовность операторов уплачивать сборы возрастает по мере роста ВВП, поскольку с ростом ВВП растет и потенциальный оборот.</w:t>
            </w:r>
          </w:p>
          <w:p w:rsidR="00AA60B6" w:rsidRPr="00AA60B6" w:rsidRDefault="00AA60B6" w:rsidP="00817191">
            <w:pPr>
              <w:spacing w:before="40" w:after="40"/>
              <w:jc w:val="left"/>
              <w:rPr>
                <w:rFonts w:asciiTheme="majorBidi" w:hAnsiTheme="majorBidi" w:cstheme="majorBidi"/>
                <w:lang w:val="ru-RU"/>
              </w:rPr>
            </w:pPr>
            <w:r w:rsidRPr="00AA60B6">
              <w:rPr>
                <w:rFonts w:asciiTheme="majorBidi" w:hAnsiTheme="majorBidi" w:cstheme="majorBidi"/>
                <w:lang w:val="ru-RU"/>
              </w:rPr>
              <w:t>Примечание. – Существование системы товарообмена может привести к тому, что рассчитываемый ВВП окажется ниже фактического ВВП.</w:t>
            </w:r>
          </w:p>
        </w:tc>
      </w:tr>
      <w:tr w:rsidR="00AA60B6" w:rsidRPr="00AA60B6" w:rsidTr="00C608EC">
        <w:trPr>
          <w:jc w:val="center"/>
        </w:trPr>
        <w:tc>
          <w:tcPr>
            <w:tcW w:w="1778" w:type="pct"/>
          </w:tcPr>
          <w:p w:rsidR="00AA60B6" w:rsidRPr="00AA60B6" w:rsidRDefault="00AA60B6" w:rsidP="00817191">
            <w:pPr>
              <w:spacing w:before="40" w:after="40"/>
              <w:jc w:val="left"/>
              <w:rPr>
                <w:rFonts w:asciiTheme="majorBidi" w:hAnsiTheme="majorBidi" w:cstheme="majorBidi"/>
                <w:lang w:val="ru-RU"/>
              </w:rPr>
            </w:pPr>
            <w:r w:rsidRPr="00AA60B6">
              <w:rPr>
                <w:rFonts w:asciiTheme="majorBidi" w:hAnsiTheme="majorBidi" w:cstheme="majorBidi"/>
                <w:lang w:val="ru-RU"/>
              </w:rPr>
              <w:t>Общая численность населения; плотность населения</w:t>
            </w:r>
          </w:p>
        </w:tc>
        <w:tc>
          <w:tcPr>
            <w:tcW w:w="3222" w:type="pct"/>
          </w:tcPr>
          <w:p w:rsidR="00AA60B6" w:rsidRPr="00AA60B6" w:rsidRDefault="00AA60B6" w:rsidP="00817191">
            <w:pPr>
              <w:spacing w:before="40" w:after="40"/>
              <w:jc w:val="left"/>
              <w:rPr>
                <w:rFonts w:asciiTheme="majorBidi" w:hAnsiTheme="majorBidi" w:cstheme="majorBidi"/>
                <w:lang w:val="ru-RU"/>
              </w:rPr>
            </w:pPr>
            <w:r w:rsidRPr="00AA60B6">
              <w:rPr>
                <w:rFonts w:asciiTheme="majorBidi" w:hAnsiTheme="majorBidi" w:cstheme="majorBidi"/>
                <w:lang w:val="ru-RU"/>
              </w:rPr>
              <w:t>Готовность операторов уплачивать сборы возрастает по мере роста численности населения, поскольку, вообще говоря, потенциальный оборот растет вместе с ростом численности населения.</w:t>
            </w:r>
          </w:p>
        </w:tc>
      </w:tr>
      <w:tr w:rsidR="00AA60B6" w:rsidRPr="00AA60B6" w:rsidTr="00C608EC">
        <w:trPr>
          <w:jc w:val="center"/>
        </w:trPr>
        <w:tc>
          <w:tcPr>
            <w:tcW w:w="1778" w:type="pct"/>
          </w:tcPr>
          <w:p w:rsidR="00AA60B6" w:rsidRPr="00AA60B6" w:rsidRDefault="00AA60B6" w:rsidP="00817191">
            <w:pPr>
              <w:spacing w:before="40" w:after="40"/>
              <w:jc w:val="left"/>
              <w:rPr>
                <w:rFonts w:asciiTheme="majorBidi" w:hAnsiTheme="majorBidi" w:cstheme="majorBidi"/>
                <w:lang w:val="ru-RU"/>
              </w:rPr>
            </w:pPr>
            <w:r w:rsidRPr="00AA60B6">
              <w:rPr>
                <w:rFonts w:asciiTheme="majorBidi" w:hAnsiTheme="majorBidi" w:cstheme="majorBidi"/>
                <w:lang w:val="ru-RU"/>
              </w:rPr>
              <w:t>Географическое распределение населения (сосредоточено в нескольких зонах, разбросано …)</w:t>
            </w:r>
          </w:p>
        </w:tc>
        <w:tc>
          <w:tcPr>
            <w:tcW w:w="3222" w:type="pct"/>
          </w:tcPr>
          <w:p w:rsidR="00AA60B6" w:rsidRPr="00AA60B6" w:rsidRDefault="00AA60B6" w:rsidP="00817191">
            <w:pPr>
              <w:spacing w:before="40" w:after="40"/>
              <w:jc w:val="left"/>
              <w:rPr>
                <w:rFonts w:asciiTheme="majorBidi" w:hAnsiTheme="majorBidi" w:cstheme="majorBidi"/>
                <w:lang w:val="ru-RU"/>
              </w:rPr>
            </w:pPr>
            <w:r w:rsidRPr="00AA60B6">
              <w:rPr>
                <w:rFonts w:asciiTheme="majorBidi" w:hAnsiTheme="majorBidi" w:cstheme="majorBidi"/>
                <w:lang w:val="ru-RU"/>
              </w:rPr>
              <w:t>Готовность операторов уплачивать сборы возрастает с ростом концентрации населения, поскольку, вообще говоря, затраты на развертывание сетей уменьшаются по мере роста концентрации населения.</w:t>
            </w:r>
          </w:p>
        </w:tc>
      </w:tr>
      <w:tr w:rsidR="00AA60B6" w:rsidRPr="00AA60B6" w:rsidTr="00C608EC">
        <w:trPr>
          <w:jc w:val="center"/>
        </w:trPr>
        <w:tc>
          <w:tcPr>
            <w:tcW w:w="1778" w:type="pct"/>
          </w:tcPr>
          <w:p w:rsidR="00AA60B6" w:rsidRPr="00AA60B6" w:rsidRDefault="00AA60B6" w:rsidP="00817191">
            <w:pPr>
              <w:spacing w:before="40" w:after="40"/>
              <w:jc w:val="left"/>
              <w:rPr>
                <w:rFonts w:asciiTheme="majorBidi" w:hAnsiTheme="majorBidi" w:cstheme="majorBidi"/>
                <w:lang w:val="ru-RU"/>
              </w:rPr>
            </w:pPr>
            <w:r w:rsidRPr="00AA60B6">
              <w:rPr>
                <w:rFonts w:asciiTheme="majorBidi" w:hAnsiTheme="majorBidi" w:cstheme="majorBidi"/>
                <w:lang w:val="ru-RU"/>
              </w:rPr>
              <w:t>Размеры, рельеф и характер обособленности страны</w:t>
            </w:r>
          </w:p>
        </w:tc>
        <w:tc>
          <w:tcPr>
            <w:tcW w:w="3222" w:type="pct"/>
          </w:tcPr>
          <w:p w:rsidR="00AA60B6" w:rsidRPr="00AA60B6" w:rsidRDefault="00AA60B6" w:rsidP="00817191">
            <w:pPr>
              <w:spacing w:before="40" w:after="40"/>
              <w:jc w:val="left"/>
              <w:rPr>
                <w:rFonts w:asciiTheme="majorBidi" w:hAnsiTheme="majorBidi" w:cstheme="majorBidi"/>
                <w:lang w:val="ru-RU"/>
              </w:rPr>
            </w:pPr>
            <w:r w:rsidRPr="00AA60B6">
              <w:rPr>
                <w:rFonts w:asciiTheme="majorBidi" w:hAnsiTheme="majorBidi" w:cstheme="majorBidi"/>
                <w:lang w:val="ru-RU"/>
              </w:rPr>
              <w:t>Готовность операторов уплачивать сборы уменьшается по мере увеличения размеров и рельефа страны, поскольку, вообще говоря, с увеличением этих параметров затраты на развертывание сетей увеличиваются.</w:t>
            </w:r>
          </w:p>
        </w:tc>
      </w:tr>
      <w:tr w:rsidR="00AA60B6" w:rsidRPr="00AA60B6" w:rsidTr="00C608EC">
        <w:trPr>
          <w:jc w:val="center"/>
        </w:trPr>
        <w:tc>
          <w:tcPr>
            <w:tcW w:w="1778" w:type="pct"/>
          </w:tcPr>
          <w:p w:rsidR="00AA60B6" w:rsidRPr="00AA60B6" w:rsidRDefault="00AA60B6" w:rsidP="00817191">
            <w:pPr>
              <w:pStyle w:val="TableNoBR"/>
              <w:tabs>
                <w:tab w:val="clear" w:pos="794"/>
                <w:tab w:val="clear" w:pos="1191"/>
                <w:tab w:val="clear" w:pos="1588"/>
                <w:tab w:val="clear" w:pos="1985"/>
              </w:tabs>
              <w:snapToGrid w:val="0"/>
              <w:spacing w:before="40" w:after="40"/>
              <w:rPr>
                <w:rFonts w:asciiTheme="majorBidi" w:hAnsiTheme="majorBidi" w:cstheme="majorBidi"/>
                <w:b/>
                <w:bCs/>
                <w:caps w:val="0"/>
                <w:szCs w:val="18"/>
                <w:lang w:val="ru-RU"/>
              </w:rPr>
            </w:pPr>
            <w:r w:rsidRPr="00AA60B6">
              <w:rPr>
                <w:rFonts w:asciiTheme="majorBidi" w:hAnsiTheme="majorBidi" w:cstheme="majorBidi"/>
                <w:b/>
                <w:bCs/>
                <w:caps w:val="0"/>
                <w:szCs w:val="18"/>
                <w:lang w:val="ru-RU"/>
              </w:rPr>
              <w:t>Характеристики разрешений или лицензий</w:t>
            </w:r>
          </w:p>
        </w:tc>
        <w:tc>
          <w:tcPr>
            <w:tcW w:w="3222" w:type="pct"/>
          </w:tcPr>
          <w:p w:rsidR="00AA60B6" w:rsidRPr="00AA60B6" w:rsidRDefault="00AA60B6" w:rsidP="00817191">
            <w:pPr>
              <w:spacing w:before="40" w:after="40"/>
              <w:jc w:val="left"/>
              <w:rPr>
                <w:rFonts w:asciiTheme="majorBidi" w:hAnsiTheme="majorBidi" w:cstheme="majorBidi"/>
                <w:lang w:val="ru-RU"/>
              </w:rPr>
            </w:pPr>
          </w:p>
        </w:tc>
      </w:tr>
      <w:tr w:rsidR="00AA60B6" w:rsidRPr="00AA60B6" w:rsidTr="00C608EC">
        <w:trPr>
          <w:jc w:val="center"/>
        </w:trPr>
        <w:tc>
          <w:tcPr>
            <w:tcW w:w="1778" w:type="pct"/>
          </w:tcPr>
          <w:p w:rsidR="00AA60B6" w:rsidRPr="00AA60B6" w:rsidRDefault="00AA60B6" w:rsidP="00817191">
            <w:pPr>
              <w:spacing w:before="40" w:after="40"/>
              <w:jc w:val="left"/>
              <w:rPr>
                <w:rFonts w:asciiTheme="majorBidi" w:hAnsiTheme="majorBidi" w:cstheme="majorBidi"/>
                <w:lang w:val="ru-RU"/>
              </w:rPr>
            </w:pPr>
            <w:r w:rsidRPr="00AA60B6">
              <w:rPr>
                <w:rFonts w:asciiTheme="majorBidi" w:hAnsiTheme="majorBidi" w:cstheme="majorBidi"/>
                <w:lang w:val="ru-RU"/>
              </w:rPr>
              <w:t>Срок действия разрешений</w:t>
            </w:r>
          </w:p>
        </w:tc>
        <w:tc>
          <w:tcPr>
            <w:tcW w:w="3222" w:type="pct"/>
          </w:tcPr>
          <w:p w:rsidR="00AA60B6" w:rsidRPr="00AA60B6" w:rsidRDefault="00AA60B6" w:rsidP="00817191">
            <w:pPr>
              <w:spacing w:before="40" w:after="40"/>
              <w:jc w:val="left"/>
              <w:rPr>
                <w:rFonts w:asciiTheme="majorBidi" w:hAnsiTheme="majorBidi" w:cstheme="majorBidi"/>
                <w:lang w:val="ru-RU"/>
              </w:rPr>
            </w:pPr>
            <w:r w:rsidRPr="00AA60B6">
              <w:rPr>
                <w:rFonts w:asciiTheme="majorBidi" w:hAnsiTheme="majorBidi" w:cstheme="majorBidi"/>
                <w:lang w:val="ru-RU"/>
              </w:rPr>
              <w:t xml:space="preserve">Готовность операторов уплачивать сборы возрастает по мере увеличения срока действия разрешений, поскольку амортизация оборудования происходит быстрее, и последние годы их эксплуатации являются более рентабельными по сравнению с первыми годами. </w:t>
            </w:r>
          </w:p>
        </w:tc>
      </w:tr>
      <w:tr w:rsidR="00AA60B6" w:rsidRPr="00AA60B6" w:rsidTr="00C608EC">
        <w:trPr>
          <w:jc w:val="center"/>
        </w:trPr>
        <w:tc>
          <w:tcPr>
            <w:tcW w:w="1778" w:type="pct"/>
          </w:tcPr>
          <w:p w:rsidR="00AA60B6" w:rsidRPr="00AA60B6" w:rsidRDefault="00AA60B6" w:rsidP="00817191">
            <w:pPr>
              <w:spacing w:before="40" w:after="40"/>
              <w:jc w:val="left"/>
              <w:rPr>
                <w:rFonts w:asciiTheme="majorBidi" w:hAnsiTheme="majorBidi" w:cstheme="majorBidi"/>
                <w:lang w:val="ru-RU"/>
              </w:rPr>
            </w:pPr>
            <w:r w:rsidRPr="00AA60B6">
              <w:rPr>
                <w:rFonts w:asciiTheme="majorBidi" w:hAnsiTheme="majorBidi" w:cstheme="majorBidi"/>
                <w:lang w:val="ru-RU"/>
              </w:rPr>
              <w:t>Стабильность условий использования</w:t>
            </w:r>
          </w:p>
        </w:tc>
        <w:tc>
          <w:tcPr>
            <w:tcW w:w="3222" w:type="pct"/>
          </w:tcPr>
          <w:p w:rsidR="00AA60B6" w:rsidRPr="00AA60B6" w:rsidRDefault="00AA60B6" w:rsidP="00817191">
            <w:pPr>
              <w:spacing w:before="40" w:after="40"/>
              <w:jc w:val="left"/>
              <w:rPr>
                <w:rFonts w:asciiTheme="majorBidi" w:hAnsiTheme="majorBidi" w:cstheme="majorBidi"/>
                <w:lang w:val="ru-RU"/>
              </w:rPr>
            </w:pPr>
            <w:r w:rsidRPr="00AA60B6">
              <w:rPr>
                <w:rFonts w:asciiTheme="majorBidi" w:hAnsiTheme="majorBidi" w:cstheme="majorBidi"/>
                <w:lang w:val="ru-RU"/>
              </w:rPr>
              <w:t>Готовность операторов уплачивать сборы возрастает по мере роста стабильности, поскольку нестабильные условия вынуждают операторов самим страховать себя от возможных рисков.</w:t>
            </w:r>
          </w:p>
        </w:tc>
      </w:tr>
      <w:tr w:rsidR="00AA60B6" w:rsidRPr="00AA60B6" w:rsidTr="00C608EC">
        <w:trPr>
          <w:jc w:val="center"/>
        </w:trPr>
        <w:tc>
          <w:tcPr>
            <w:tcW w:w="1778" w:type="pct"/>
          </w:tcPr>
          <w:p w:rsidR="00AA60B6" w:rsidRPr="00AA60B6" w:rsidRDefault="00AA60B6" w:rsidP="00817191">
            <w:pPr>
              <w:spacing w:before="40" w:after="40"/>
              <w:jc w:val="left"/>
              <w:rPr>
                <w:rFonts w:asciiTheme="majorBidi" w:hAnsiTheme="majorBidi" w:cstheme="majorBidi"/>
                <w:lang w:val="ru-RU"/>
              </w:rPr>
            </w:pPr>
            <w:r w:rsidRPr="00AA60B6">
              <w:rPr>
                <w:rFonts w:asciiTheme="majorBidi" w:hAnsiTheme="majorBidi" w:cstheme="majorBidi"/>
                <w:lang w:val="ru-RU"/>
              </w:rPr>
              <w:t>Возобновляемость разрешений</w:t>
            </w:r>
          </w:p>
        </w:tc>
        <w:tc>
          <w:tcPr>
            <w:tcW w:w="3222" w:type="pct"/>
          </w:tcPr>
          <w:p w:rsidR="00AA60B6" w:rsidRPr="00AA60B6" w:rsidRDefault="00AA60B6" w:rsidP="00817191">
            <w:pPr>
              <w:spacing w:before="40" w:after="40"/>
              <w:jc w:val="left"/>
              <w:rPr>
                <w:rFonts w:asciiTheme="majorBidi" w:hAnsiTheme="majorBidi" w:cstheme="majorBidi"/>
                <w:lang w:val="ru-RU"/>
              </w:rPr>
            </w:pPr>
            <w:r w:rsidRPr="00AA60B6">
              <w:rPr>
                <w:rFonts w:asciiTheme="majorBidi" w:hAnsiTheme="majorBidi" w:cstheme="majorBidi"/>
                <w:lang w:val="ru-RU"/>
              </w:rPr>
              <w:t>Влияние этого фактора аналогично влиянию фактора срока действия разрешений.</w:t>
            </w:r>
          </w:p>
        </w:tc>
      </w:tr>
    </w:tbl>
    <w:p w:rsidR="00AA60B6" w:rsidRPr="00AA60B6" w:rsidRDefault="00AA60B6" w:rsidP="00AA60B6">
      <w:pPr>
        <w:spacing w:before="40" w:after="40"/>
        <w:rPr>
          <w:rFonts w:asciiTheme="majorBidi" w:hAnsiTheme="majorBidi" w:cstheme="majorBidi"/>
          <w:lang w:val="ru-RU"/>
        </w:rPr>
      </w:pPr>
    </w:p>
    <w:p w:rsidR="00AA60B6" w:rsidRPr="00AA60B6" w:rsidRDefault="00AA60B6" w:rsidP="00AA60B6">
      <w:pPr>
        <w:rPr>
          <w:rFonts w:asciiTheme="majorBidi" w:hAnsiTheme="majorBidi" w:cstheme="majorBidi"/>
          <w:szCs w:val="18"/>
          <w:lang w:val="ru-RU"/>
        </w:rPr>
      </w:pPr>
      <w:r w:rsidRPr="00AA60B6">
        <w:rPr>
          <w:rFonts w:asciiTheme="majorBidi" w:hAnsiTheme="majorBidi" w:cstheme="majorBidi"/>
          <w:szCs w:val="18"/>
          <w:lang w:val="ru-RU"/>
        </w:rPr>
        <w:br w:type="page"/>
      </w:r>
    </w:p>
    <w:tbl>
      <w:tblPr>
        <w:tblW w:w="4871" w:type="pct"/>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3351"/>
        <w:gridCol w:w="6246"/>
      </w:tblGrid>
      <w:tr w:rsidR="00AA60B6" w:rsidRPr="00610AD5" w:rsidTr="00C608EC">
        <w:trPr>
          <w:jc w:val="center"/>
        </w:trPr>
        <w:tc>
          <w:tcPr>
            <w:tcW w:w="1746" w:type="pct"/>
            <w:vAlign w:val="center"/>
          </w:tcPr>
          <w:p w:rsidR="00AA60B6" w:rsidRPr="00610AD5" w:rsidRDefault="00AA60B6" w:rsidP="00C608EC">
            <w:pPr>
              <w:pStyle w:val="Contenudetableau"/>
              <w:tabs>
                <w:tab w:val="clear" w:pos="794"/>
                <w:tab w:val="clear" w:pos="1191"/>
                <w:tab w:val="clear" w:pos="1588"/>
                <w:tab w:val="clear" w:pos="1985"/>
              </w:tabs>
              <w:snapToGrid w:val="0"/>
              <w:spacing w:before="40" w:after="40"/>
              <w:jc w:val="center"/>
              <w:rPr>
                <w:rFonts w:asciiTheme="majorBidi" w:hAnsiTheme="majorBidi" w:cstheme="majorBidi"/>
                <w:b/>
                <w:bCs/>
                <w:sz w:val="22"/>
                <w:szCs w:val="22"/>
                <w:lang w:val="ru-RU"/>
              </w:rPr>
            </w:pPr>
            <w:r w:rsidRPr="00610AD5">
              <w:rPr>
                <w:rFonts w:asciiTheme="majorBidi" w:hAnsiTheme="majorBidi" w:cstheme="majorBidi"/>
                <w:b/>
                <w:bCs/>
                <w:sz w:val="22"/>
                <w:szCs w:val="22"/>
                <w:lang w:val="ru-RU"/>
              </w:rPr>
              <w:lastRenderedPageBreak/>
              <w:t>Содержание обязанностей уполномоченного оператора</w:t>
            </w:r>
          </w:p>
        </w:tc>
        <w:tc>
          <w:tcPr>
            <w:tcW w:w="3254" w:type="pct"/>
          </w:tcPr>
          <w:p w:rsidR="00AA60B6" w:rsidRPr="00610AD5" w:rsidRDefault="00AA60B6" w:rsidP="00AA60B6">
            <w:pPr>
              <w:spacing w:before="0"/>
              <w:rPr>
                <w:rFonts w:asciiTheme="majorBidi" w:hAnsiTheme="majorBidi" w:cstheme="majorBidi"/>
                <w:szCs w:val="22"/>
                <w:lang w:val="ru-RU"/>
              </w:rPr>
            </w:pPr>
          </w:p>
        </w:tc>
      </w:tr>
      <w:tr w:rsidR="00AA60B6" w:rsidRPr="00610AD5" w:rsidTr="00C608EC">
        <w:trPr>
          <w:cantSplit/>
          <w:trHeight w:hRule="exact" w:val="469"/>
          <w:jc w:val="center"/>
        </w:trPr>
        <w:tc>
          <w:tcPr>
            <w:tcW w:w="1746" w:type="pct"/>
          </w:tcPr>
          <w:p w:rsidR="00AA60B6" w:rsidRPr="00610AD5" w:rsidRDefault="00AA60B6" w:rsidP="002237E4">
            <w:pPr>
              <w:spacing w:before="40" w:after="40"/>
              <w:jc w:val="left"/>
              <w:rPr>
                <w:rFonts w:asciiTheme="majorBidi" w:hAnsiTheme="majorBidi" w:cstheme="majorBidi"/>
                <w:szCs w:val="22"/>
                <w:lang w:val="ru-RU"/>
              </w:rPr>
            </w:pPr>
            <w:r w:rsidRPr="00610AD5">
              <w:rPr>
                <w:rFonts w:asciiTheme="majorBidi" w:hAnsiTheme="majorBidi" w:cstheme="majorBidi"/>
                <w:szCs w:val="22"/>
                <w:lang w:val="ru-RU"/>
              </w:rPr>
              <w:t>Охват территории</w:t>
            </w:r>
          </w:p>
        </w:tc>
        <w:tc>
          <w:tcPr>
            <w:tcW w:w="3254" w:type="pct"/>
            <w:vMerge w:val="restart"/>
          </w:tcPr>
          <w:p w:rsidR="00AA60B6" w:rsidRPr="00610AD5" w:rsidRDefault="00AA60B6" w:rsidP="00817191">
            <w:pPr>
              <w:jc w:val="left"/>
              <w:rPr>
                <w:rFonts w:asciiTheme="majorBidi" w:hAnsiTheme="majorBidi" w:cstheme="majorBidi"/>
                <w:szCs w:val="22"/>
                <w:lang w:val="ru-RU"/>
              </w:rPr>
            </w:pPr>
            <w:r w:rsidRPr="00610AD5">
              <w:rPr>
                <w:rFonts w:asciiTheme="majorBidi" w:hAnsiTheme="majorBidi" w:cstheme="majorBidi"/>
                <w:szCs w:val="22"/>
                <w:lang w:val="ru-RU"/>
              </w:rPr>
              <w:t>Включение этих обязанностей в круг ведения операторов ведет к увеличению эксплуатационных расходов по мере роста их обязательности и поэтому отрицательно влияет на готовность операторов уплачивать сборы.</w:t>
            </w:r>
          </w:p>
          <w:p w:rsidR="00AA60B6" w:rsidRPr="00610AD5" w:rsidRDefault="00AA60B6" w:rsidP="00817191">
            <w:pPr>
              <w:jc w:val="left"/>
              <w:rPr>
                <w:rFonts w:asciiTheme="majorBidi" w:hAnsiTheme="majorBidi" w:cstheme="majorBidi"/>
                <w:szCs w:val="22"/>
                <w:lang w:val="ru-RU"/>
              </w:rPr>
            </w:pPr>
            <w:r w:rsidRPr="00610AD5">
              <w:rPr>
                <w:rFonts w:asciiTheme="majorBidi" w:hAnsiTheme="majorBidi" w:cstheme="majorBidi"/>
                <w:szCs w:val="22"/>
                <w:lang w:val="ru-RU"/>
              </w:rPr>
              <w:t>Для проведения детального сравнения необходимо проанализировать степень обязательности этих обязанностей с должным учетом следующего:</w:t>
            </w:r>
          </w:p>
          <w:p w:rsidR="00AA60B6" w:rsidRPr="00610AD5" w:rsidRDefault="00AA60B6" w:rsidP="00817191">
            <w:pPr>
              <w:pStyle w:val="enumlev1"/>
              <w:jc w:val="left"/>
              <w:rPr>
                <w:rFonts w:asciiTheme="majorBidi" w:hAnsiTheme="majorBidi" w:cstheme="majorBidi"/>
                <w:szCs w:val="22"/>
                <w:lang w:val="ru-RU"/>
              </w:rPr>
            </w:pPr>
            <w:r w:rsidRPr="00610AD5">
              <w:rPr>
                <w:rFonts w:asciiTheme="majorBidi" w:hAnsiTheme="majorBidi" w:cstheme="majorBidi"/>
                <w:szCs w:val="22"/>
                <w:lang w:val="ru-RU"/>
              </w:rPr>
              <w:sym w:font="Symbol" w:char="F02D"/>
            </w:r>
            <w:r w:rsidRPr="00610AD5">
              <w:rPr>
                <w:rFonts w:asciiTheme="majorBidi" w:hAnsiTheme="majorBidi" w:cstheme="majorBidi"/>
                <w:szCs w:val="22"/>
                <w:lang w:val="ru-RU"/>
              </w:rPr>
              <w:tab/>
              <w:t>условий, регулирующих международный доступ, которые могут повлиять на качество обслуживания;</w:t>
            </w:r>
          </w:p>
          <w:p w:rsidR="00AA60B6" w:rsidRPr="00610AD5" w:rsidRDefault="00AA60B6" w:rsidP="00817191">
            <w:pPr>
              <w:pStyle w:val="enumlev1"/>
              <w:jc w:val="left"/>
              <w:rPr>
                <w:rFonts w:asciiTheme="majorBidi" w:hAnsiTheme="majorBidi" w:cstheme="majorBidi"/>
                <w:szCs w:val="22"/>
                <w:lang w:val="ru-RU"/>
              </w:rPr>
            </w:pPr>
            <w:r w:rsidRPr="00610AD5">
              <w:rPr>
                <w:rFonts w:asciiTheme="majorBidi" w:hAnsiTheme="majorBidi" w:cstheme="majorBidi"/>
                <w:szCs w:val="22"/>
                <w:lang w:val="ru-RU"/>
              </w:rPr>
              <w:sym w:font="Symbol" w:char="F02D"/>
            </w:r>
            <w:r w:rsidRPr="00610AD5">
              <w:rPr>
                <w:rFonts w:asciiTheme="majorBidi" w:hAnsiTheme="majorBidi" w:cstheme="majorBidi"/>
                <w:szCs w:val="22"/>
                <w:lang w:val="ru-RU"/>
              </w:rPr>
              <w:tab/>
              <w:t>наличия местной практики/обычаев, например бесплатного обслуживания некоторых категорий пользователей, которые уменьшают операционный результат.</w:t>
            </w:r>
          </w:p>
        </w:tc>
      </w:tr>
      <w:tr w:rsidR="00AA60B6" w:rsidRPr="00610AD5" w:rsidTr="00C608EC">
        <w:trPr>
          <w:cantSplit/>
          <w:trHeight w:hRule="exact" w:val="469"/>
          <w:jc w:val="center"/>
        </w:trPr>
        <w:tc>
          <w:tcPr>
            <w:tcW w:w="1746" w:type="pct"/>
          </w:tcPr>
          <w:p w:rsidR="00AA60B6" w:rsidRPr="00610AD5" w:rsidRDefault="00AA60B6" w:rsidP="002237E4">
            <w:pPr>
              <w:spacing w:before="40" w:after="40"/>
              <w:jc w:val="left"/>
              <w:rPr>
                <w:rFonts w:asciiTheme="majorBidi" w:hAnsiTheme="majorBidi" w:cstheme="majorBidi"/>
                <w:szCs w:val="22"/>
                <w:lang w:val="ru-RU"/>
              </w:rPr>
            </w:pPr>
            <w:r w:rsidRPr="00610AD5">
              <w:rPr>
                <w:rFonts w:asciiTheme="majorBidi" w:hAnsiTheme="majorBidi" w:cstheme="majorBidi"/>
                <w:szCs w:val="22"/>
                <w:lang w:val="ru-RU"/>
              </w:rPr>
              <w:t>Качество обслуживания</w:t>
            </w:r>
          </w:p>
        </w:tc>
        <w:tc>
          <w:tcPr>
            <w:tcW w:w="3254" w:type="pct"/>
            <w:vMerge/>
          </w:tcPr>
          <w:p w:rsidR="00AA60B6" w:rsidRPr="00610AD5" w:rsidRDefault="00AA60B6" w:rsidP="00AA60B6">
            <w:pPr>
              <w:spacing w:before="0"/>
              <w:rPr>
                <w:rFonts w:asciiTheme="majorBidi" w:hAnsiTheme="majorBidi" w:cstheme="majorBidi"/>
                <w:szCs w:val="22"/>
                <w:lang w:val="ru-RU"/>
              </w:rPr>
            </w:pPr>
          </w:p>
        </w:tc>
      </w:tr>
      <w:tr w:rsidR="00AA60B6" w:rsidRPr="00610AD5" w:rsidTr="00817191">
        <w:trPr>
          <w:cantSplit/>
          <w:trHeight w:hRule="exact" w:val="850"/>
          <w:jc w:val="center"/>
        </w:trPr>
        <w:tc>
          <w:tcPr>
            <w:tcW w:w="1746" w:type="pct"/>
          </w:tcPr>
          <w:p w:rsidR="00AA60B6" w:rsidRPr="00610AD5" w:rsidRDefault="00AA60B6" w:rsidP="002237E4">
            <w:pPr>
              <w:spacing w:before="40" w:after="40"/>
              <w:jc w:val="left"/>
              <w:rPr>
                <w:rFonts w:asciiTheme="majorBidi" w:hAnsiTheme="majorBidi" w:cstheme="majorBidi"/>
                <w:szCs w:val="22"/>
                <w:lang w:val="ru-RU"/>
              </w:rPr>
            </w:pPr>
            <w:r w:rsidRPr="00610AD5">
              <w:rPr>
                <w:rFonts w:asciiTheme="majorBidi" w:hAnsiTheme="majorBidi" w:cstheme="majorBidi"/>
                <w:szCs w:val="22"/>
                <w:lang w:val="ru-RU"/>
              </w:rPr>
              <w:t>Участие в универсальном обслуживании</w:t>
            </w:r>
          </w:p>
        </w:tc>
        <w:tc>
          <w:tcPr>
            <w:tcW w:w="3254" w:type="pct"/>
            <w:vMerge/>
          </w:tcPr>
          <w:p w:rsidR="00AA60B6" w:rsidRPr="00610AD5" w:rsidRDefault="00AA60B6" w:rsidP="00AA60B6">
            <w:pPr>
              <w:spacing w:before="0"/>
              <w:rPr>
                <w:rFonts w:asciiTheme="majorBidi" w:hAnsiTheme="majorBidi" w:cstheme="majorBidi"/>
                <w:szCs w:val="22"/>
                <w:lang w:val="ru-RU"/>
              </w:rPr>
            </w:pPr>
          </w:p>
        </w:tc>
      </w:tr>
      <w:tr w:rsidR="00AA60B6" w:rsidRPr="00610AD5" w:rsidTr="00817191">
        <w:trPr>
          <w:cantSplit/>
          <w:trHeight w:hRule="exact" w:val="1034"/>
          <w:jc w:val="center"/>
        </w:trPr>
        <w:tc>
          <w:tcPr>
            <w:tcW w:w="1746" w:type="pct"/>
          </w:tcPr>
          <w:p w:rsidR="00AA60B6" w:rsidRPr="00610AD5" w:rsidRDefault="00AA60B6" w:rsidP="002237E4">
            <w:pPr>
              <w:spacing w:before="40" w:after="40"/>
              <w:jc w:val="left"/>
              <w:rPr>
                <w:rFonts w:asciiTheme="majorBidi" w:hAnsiTheme="majorBidi" w:cstheme="majorBidi"/>
                <w:szCs w:val="22"/>
                <w:lang w:val="ru-RU"/>
              </w:rPr>
            </w:pPr>
            <w:r w:rsidRPr="00610AD5">
              <w:rPr>
                <w:rFonts w:asciiTheme="majorBidi" w:hAnsiTheme="majorBidi" w:cstheme="majorBidi"/>
                <w:szCs w:val="22"/>
                <w:lang w:val="ru-RU"/>
              </w:rPr>
              <w:t>Участие в научных исследованиях и разработках в области электросвязи</w:t>
            </w:r>
          </w:p>
        </w:tc>
        <w:tc>
          <w:tcPr>
            <w:tcW w:w="3254" w:type="pct"/>
            <w:vMerge/>
          </w:tcPr>
          <w:p w:rsidR="00AA60B6" w:rsidRPr="00610AD5" w:rsidRDefault="00AA60B6" w:rsidP="00AA60B6">
            <w:pPr>
              <w:spacing w:before="0"/>
              <w:rPr>
                <w:rFonts w:asciiTheme="majorBidi" w:hAnsiTheme="majorBidi" w:cstheme="majorBidi"/>
                <w:szCs w:val="22"/>
                <w:lang w:val="ru-RU"/>
              </w:rPr>
            </w:pPr>
          </w:p>
        </w:tc>
      </w:tr>
      <w:tr w:rsidR="00AA60B6" w:rsidRPr="00610AD5" w:rsidTr="00C608EC">
        <w:trPr>
          <w:cantSplit/>
          <w:trHeight w:hRule="exact" w:val="1435"/>
          <w:jc w:val="center"/>
        </w:trPr>
        <w:tc>
          <w:tcPr>
            <w:tcW w:w="1746" w:type="pct"/>
          </w:tcPr>
          <w:p w:rsidR="00AA60B6" w:rsidRPr="00610AD5" w:rsidRDefault="00AA60B6" w:rsidP="002237E4">
            <w:pPr>
              <w:spacing w:before="40" w:after="40"/>
              <w:jc w:val="left"/>
              <w:rPr>
                <w:rFonts w:asciiTheme="majorBidi" w:hAnsiTheme="majorBidi" w:cstheme="majorBidi"/>
                <w:szCs w:val="22"/>
                <w:lang w:val="ru-RU"/>
              </w:rPr>
            </w:pPr>
            <w:r w:rsidRPr="00610AD5">
              <w:rPr>
                <w:rFonts w:asciiTheme="majorBidi" w:hAnsiTheme="majorBidi" w:cstheme="majorBidi"/>
                <w:szCs w:val="22"/>
                <w:lang w:val="ru-RU"/>
              </w:rPr>
              <w:t>Другие обязанности (бесплатные вызовы на некоторые номера, переносимость номера, контроль за использованием спектра ...)</w:t>
            </w:r>
          </w:p>
        </w:tc>
        <w:tc>
          <w:tcPr>
            <w:tcW w:w="3254" w:type="pct"/>
            <w:vMerge/>
          </w:tcPr>
          <w:p w:rsidR="00AA60B6" w:rsidRPr="00610AD5" w:rsidRDefault="00AA60B6" w:rsidP="00AA60B6">
            <w:pPr>
              <w:spacing w:before="0"/>
              <w:rPr>
                <w:rFonts w:asciiTheme="majorBidi" w:hAnsiTheme="majorBidi" w:cstheme="majorBidi"/>
                <w:szCs w:val="22"/>
                <w:lang w:val="ru-RU"/>
              </w:rPr>
            </w:pPr>
          </w:p>
        </w:tc>
      </w:tr>
    </w:tbl>
    <w:p w:rsidR="00610AD5" w:rsidRPr="00F439C2" w:rsidRDefault="00610AD5" w:rsidP="00610AD5">
      <w:pPr>
        <w:pStyle w:val="FigureSource"/>
      </w:pPr>
    </w:p>
    <w:p w:rsidR="00AA60B6" w:rsidRDefault="00AA60B6" w:rsidP="00AA60B6">
      <w:pPr>
        <w:tabs>
          <w:tab w:val="left" w:pos="-1190"/>
          <w:tab w:val="left" w:pos="0"/>
        </w:tabs>
        <w:spacing w:before="0"/>
        <w:rPr>
          <w:rFonts w:asciiTheme="majorBidi" w:hAnsiTheme="majorBidi" w:cstheme="majorBidi"/>
          <w:szCs w:val="18"/>
          <w:lang w:val="ru-RU"/>
        </w:rPr>
      </w:pPr>
    </w:p>
    <w:p w:rsidR="00610AD5" w:rsidRPr="00AA60B6" w:rsidRDefault="00610AD5" w:rsidP="00AA60B6">
      <w:pPr>
        <w:tabs>
          <w:tab w:val="left" w:pos="-1190"/>
          <w:tab w:val="left" w:pos="0"/>
        </w:tabs>
        <w:spacing w:before="0"/>
        <w:rPr>
          <w:rFonts w:asciiTheme="majorBidi" w:hAnsiTheme="majorBidi" w:cstheme="majorBidi"/>
          <w:szCs w:val="18"/>
          <w:lang w:val="ru-RU"/>
        </w:rPr>
      </w:pPr>
    </w:p>
    <w:p w:rsidR="00AA60B6" w:rsidRPr="00AA60B6" w:rsidRDefault="00AA60B6" w:rsidP="00AA60B6">
      <w:pPr>
        <w:tabs>
          <w:tab w:val="left" w:pos="-1190"/>
          <w:tab w:val="left" w:pos="0"/>
        </w:tabs>
        <w:spacing w:before="0"/>
        <w:rPr>
          <w:rFonts w:asciiTheme="majorBidi" w:hAnsiTheme="majorBidi" w:cstheme="majorBidi"/>
          <w:szCs w:val="18"/>
          <w:lang w:val="ru-RU"/>
        </w:rPr>
        <w:sectPr w:rsidR="00AA60B6" w:rsidRPr="00AA60B6" w:rsidSect="00610AD5">
          <w:headerReference w:type="default" r:id="rId22"/>
          <w:footerReference w:type="default" r:id="rId23"/>
          <w:headerReference w:type="first" r:id="rId24"/>
          <w:footerReference w:type="first" r:id="rId25"/>
          <w:pgSz w:w="11909" w:h="16834" w:code="9"/>
          <w:pgMar w:top="1134" w:right="1134" w:bottom="1134" w:left="1134" w:header="567" w:footer="567" w:gutter="0"/>
          <w:cols w:space="720"/>
          <w:titlePg/>
        </w:sectPr>
      </w:pPr>
    </w:p>
    <w:p w:rsidR="00610AD5" w:rsidRPr="00610AD5" w:rsidDel="004D11AA" w:rsidRDefault="00610AD5" w:rsidP="006A2D8D">
      <w:pPr>
        <w:pStyle w:val="AppendixNotitle"/>
        <w:rPr>
          <w:bCs/>
        </w:rPr>
      </w:pPr>
      <w:bookmarkStart w:id="94" w:name="_Toc280260011"/>
      <w:bookmarkStart w:id="95" w:name="_Toc280260873"/>
      <w:bookmarkStart w:id="96" w:name="_Toc280272472"/>
      <w:r w:rsidRPr="00610AD5">
        <w:lastRenderedPageBreak/>
        <w:t>Appendix 1.1 (English)</w:t>
      </w:r>
      <w:r w:rsidRPr="00610AD5">
        <w:br/>
      </w:r>
      <w:r w:rsidRPr="00610AD5">
        <w:rPr>
          <w:bCs/>
          <w:sz w:val="24"/>
          <w:szCs w:val="24"/>
        </w:rPr>
        <w:br/>
      </w:r>
      <w:r w:rsidRPr="00610AD5">
        <w:t>United Arab Emirates: Basic elements of spectrum fees policy</w:t>
      </w:r>
      <w:bookmarkEnd w:id="94"/>
      <w:bookmarkEnd w:id="95"/>
      <w:bookmarkEnd w:id="96"/>
    </w:p>
    <w:p w:rsidR="00610AD5" w:rsidRPr="00610AD5" w:rsidRDefault="00610AD5" w:rsidP="00610AD5">
      <w:pPr>
        <w:rPr>
          <w:lang w:val="en-US"/>
        </w:rPr>
      </w:pPr>
    </w:p>
    <w:p w:rsidR="00610AD5" w:rsidRPr="00610AD5" w:rsidRDefault="00610AD5" w:rsidP="006A2D8D">
      <w:pPr>
        <w:pStyle w:val="Heading1"/>
        <w:rPr>
          <w:lang w:val="en-US"/>
        </w:rPr>
      </w:pPr>
      <w:bookmarkStart w:id="97" w:name="_Toc280260012"/>
      <w:bookmarkStart w:id="98" w:name="_Toc280260874"/>
      <w:bookmarkStart w:id="99" w:name="_Toc280272473"/>
      <w:r w:rsidRPr="00610AD5">
        <w:rPr>
          <w:lang w:val="en-US"/>
        </w:rPr>
        <w:t>Introduction:</w:t>
      </w:r>
      <w:bookmarkEnd w:id="97"/>
      <w:bookmarkEnd w:id="98"/>
      <w:bookmarkEnd w:id="99"/>
    </w:p>
    <w:p w:rsidR="00610AD5" w:rsidRPr="00610AD5" w:rsidRDefault="00610AD5" w:rsidP="00610AD5">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n-US"/>
        </w:rPr>
      </w:pPr>
      <w:r w:rsidRPr="00610AD5">
        <w:rPr>
          <w:rFonts w:asciiTheme="majorBidi" w:eastAsia="SimSun" w:hAnsiTheme="majorBidi" w:cstheme="majorBidi"/>
          <w:szCs w:val="22"/>
          <w:lang w:val="en-US"/>
        </w:rPr>
        <w:t>This document and its to serve the work of preparing the Guidelines for the System of Fees for the Use of the Radio Frequency Spectrum, with the aim to give an actual &amp; comprehensive guidelines as well as example of Spectrum Fees Policy that could be helpful to consider or to use by some of the countries, in particular developing and least developed countries, while drafting new SF policies or revising them.</w:t>
      </w:r>
    </w:p>
    <w:p w:rsidR="00610AD5" w:rsidRPr="00610AD5" w:rsidRDefault="00610AD5" w:rsidP="006A2D8D">
      <w:pPr>
        <w:pStyle w:val="Heading1"/>
      </w:pPr>
      <w:bookmarkStart w:id="100" w:name="_Toc280260013"/>
      <w:bookmarkStart w:id="101" w:name="_Toc280260875"/>
      <w:bookmarkStart w:id="102" w:name="_Toc280272474"/>
      <w:r w:rsidRPr="00610AD5">
        <w:t>Basic Elements of SF Policy:</w:t>
      </w:r>
      <w:bookmarkEnd w:id="100"/>
      <w:bookmarkEnd w:id="101"/>
      <w:bookmarkEnd w:id="102"/>
    </w:p>
    <w:p w:rsidR="00610AD5" w:rsidRPr="00610AD5" w:rsidRDefault="00610AD5" w:rsidP="00610AD5">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n-US"/>
        </w:rPr>
      </w:pPr>
      <w:r w:rsidRPr="00610AD5">
        <w:rPr>
          <w:rFonts w:asciiTheme="majorBidi" w:eastAsia="SimSun" w:hAnsiTheme="majorBidi" w:cstheme="majorBidi"/>
          <w:szCs w:val="22"/>
          <w:lang w:val="en-US"/>
        </w:rPr>
        <w:t xml:space="preserve">It is very important to mention in the beginning of this document that there is ’no one solution fits all’ in spectrum economics. </w:t>
      </w:r>
      <w:r w:rsidRPr="00610AD5">
        <w:rPr>
          <w:rFonts w:asciiTheme="majorBidi" w:eastAsia="SimSun" w:hAnsiTheme="majorBidi" w:cstheme="majorBidi"/>
          <w:szCs w:val="22"/>
          <w:u w:val="single"/>
          <w:lang w:val="en-US"/>
        </w:rPr>
        <w:t>Each country has its own legal, regulatory and economic objectives, and prevalent conditions based on which a customized solution has to be prepared with provisions to improve upon and at the same time maintaining assurance of stability in the fees regime</w:t>
      </w:r>
      <w:r w:rsidRPr="00610AD5">
        <w:rPr>
          <w:rFonts w:asciiTheme="majorBidi" w:eastAsia="SimSun" w:hAnsiTheme="majorBidi" w:cstheme="majorBidi"/>
          <w:szCs w:val="22"/>
          <w:lang w:val="en-US"/>
        </w:rPr>
        <w:t xml:space="preserve">. </w:t>
      </w:r>
    </w:p>
    <w:p w:rsidR="00610AD5" w:rsidRPr="00610AD5" w:rsidRDefault="00610AD5" w:rsidP="00610AD5">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n-US"/>
        </w:rPr>
      </w:pPr>
      <w:r w:rsidRPr="00610AD5">
        <w:rPr>
          <w:rFonts w:asciiTheme="majorBidi" w:eastAsia="SimSun" w:hAnsiTheme="majorBidi" w:cstheme="majorBidi"/>
          <w:szCs w:val="22"/>
          <w:lang w:val="en-US"/>
        </w:rPr>
        <w:t>These guidelines propose some of the essential elements that are considered to be essential for any SF Policy:</w:t>
      </w:r>
    </w:p>
    <w:p w:rsidR="00610AD5" w:rsidRPr="00610AD5" w:rsidRDefault="00610AD5" w:rsidP="006A2D8D">
      <w:pPr>
        <w:pStyle w:val="Heading1"/>
        <w:rPr>
          <w:lang w:val="en-US"/>
        </w:rPr>
      </w:pPr>
      <w:bookmarkStart w:id="103" w:name="_Toc280260014"/>
      <w:bookmarkStart w:id="104" w:name="_Toc280260876"/>
      <w:bookmarkStart w:id="105" w:name="_Toc280272475"/>
      <w:r w:rsidRPr="00610AD5">
        <w:rPr>
          <w:lang w:val="en-US"/>
        </w:rPr>
        <w:t>1</w:t>
      </w:r>
      <w:r w:rsidRPr="00610AD5">
        <w:rPr>
          <w:lang w:val="en-US"/>
        </w:rPr>
        <w:tab/>
        <w:t>Reference to the Law</w:t>
      </w:r>
      <w:bookmarkEnd w:id="103"/>
      <w:bookmarkEnd w:id="104"/>
      <w:bookmarkEnd w:id="105"/>
    </w:p>
    <w:p w:rsidR="00610AD5" w:rsidRPr="00610AD5" w:rsidRDefault="00610AD5" w:rsidP="00610AD5">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n-US"/>
        </w:rPr>
      </w:pPr>
      <w:r w:rsidRPr="00610AD5">
        <w:rPr>
          <w:rFonts w:asciiTheme="majorBidi" w:eastAsia="SimSun" w:hAnsiTheme="majorBidi" w:cstheme="majorBidi"/>
          <w:szCs w:val="22"/>
          <w:lang w:val="en-US"/>
        </w:rPr>
        <w:t>It is important to highlight in the beginning of SF Policy the LAW or the legal authority from where the power to charge for the spectrum management activities are derived.</w:t>
      </w:r>
    </w:p>
    <w:p w:rsidR="00610AD5" w:rsidRPr="00610AD5" w:rsidRDefault="00610AD5" w:rsidP="006A2D8D">
      <w:pPr>
        <w:pStyle w:val="Heading1"/>
        <w:rPr>
          <w:lang w:val="en-US"/>
        </w:rPr>
      </w:pPr>
      <w:bookmarkStart w:id="106" w:name="_Toc280260015"/>
      <w:bookmarkStart w:id="107" w:name="_Toc280260877"/>
      <w:bookmarkStart w:id="108" w:name="_Toc280272476"/>
      <w:r w:rsidRPr="00610AD5">
        <w:rPr>
          <w:lang w:val="en-US"/>
        </w:rPr>
        <w:t>2</w:t>
      </w:r>
      <w:r w:rsidRPr="00610AD5">
        <w:rPr>
          <w:lang w:val="en-US"/>
        </w:rPr>
        <w:tab/>
        <w:t>Important Definitions</w:t>
      </w:r>
      <w:bookmarkEnd w:id="106"/>
      <w:bookmarkEnd w:id="107"/>
      <w:bookmarkEnd w:id="108"/>
    </w:p>
    <w:p w:rsidR="00610AD5" w:rsidRPr="00610AD5" w:rsidRDefault="00610AD5" w:rsidP="00610AD5">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n-US"/>
        </w:rPr>
      </w:pPr>
      <w:r w:rsidRPr="00610AD5">
        <w:rPr>
          <w:rFonts w:asciiTheme="majorBidi" w:eastAsia="SimSun" w:hAnsiTheme="majorBidi" w:cstheme="majorBidi"/>
          <w:szCs w:val="22"/>
          <w:lang w:val="en-US"/>
        </w:rPr>
        <w:t>It is important to have such part, not only to shorten the size of the Policy document but more importantly to remove any ambiguity on the meaning of any of the terms used.</w:t>
      </w:r>
    </w:p>
    <w:p w:rsidR="00610AD5" w:rsidRPr="00610AD5" w:rsidRDefault="00610AD5" w:rsidP="006A2D8D">
      <w:pPr>
        <w:pStyle w:val="Heading1"/>
        <w:rPr>
          <w:lang w:val="en-US"/>
        </w:rPr>
      </w:pPr>
      <w:bookmarkStart w:id="109" w:name="_Toc280260016"/>
      <w:bookmarkStart w:id="110" w:name="_Toc280260878"/>
      <w:bookmarkStart w:id="111" w:name="_Toc280272477"/>
      <w:r w:rsidRPr="00610AD5">
        <w:rPr>
          <w:lang w:val="en-US"/>
        </w:rPr>
        <w:t>3</w:t>
      </w:r>
      <w:r w:rsidRPr="00610AD5">
        <w:rPr>
          <w:lang w:val="en-US"/>
        </w:rPr>
        <w:tab/>
        <w:t>Type of Fees</w:t>
      </w:r>
      <w:bookmarkEnd w:id="109"/>
      <w:bookmarkEnd w:id="110"/>
      <w:bookmarkEnd w:id="111"/>
    </w:p>
    <w:p w:rsidR="00610AD5" w:rsidRPr="00610AD5" w:rsidRDefault="00610AD5" w:rsidP="00610AD5">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n-US"/>
        </w:rPr>
      </w:pPr>
      <w:r w:rsidRPr="00610AD5">
        <w:rPr>
          <w:rFonts w:asciiTheme="majorBidi" w:eastAsia="SimSun" w:hAnsiTheme="majorBidi" w:cstheme="majorBidi"/>
          <w:szCs w:val="22"/>
          <w:lang w:val="en-US"/>
        </w:rPr>
        <w:t>It is useful to divide the fees categories of administrative fees for SM activities into components and details of the factors used for charging the spectrum usage fees; such as:</w:t>
      </w:r>
    </w:p>
    <w:p w:rsidR="00610AD5" w:rsidRPr="00610AD5" w:rsidRDefault="00610AD5" w:rsidP="006A2D8D">
      <w:pPr>
        <w:pStyle w:val="Heading1"/>
      </w:pPr>
      <w:bookmarkStart w:id="112" w:name="_Toc280260017"/>
      <w:bookmarkStart w:id="113" w:name="_Toc280272478"/>
      <w:r w:rsidRPr="00610AD5">
        <w:t>A</w:t>
      </w:r>
      <w:r w:rsidRPr="00610AD5">
        <w:tab/>
        <w:t>Basic Fees</w:t>
      </w:r>
      <w:bookmarkEnd w:id="112"/>
      <w:bookmarkEnd w:id="113"/>
    </w:p>
    <w:p w:rsidR="00610AD5" w:rsidRPr="00610AD5" w:rsidRDefault="00610AD5" w:rsidP="00610AD5">
      <w:pPr>
        <w:spacing w:before="80"/>
        <w:ind w:left="794" w:hanging="794"/>
      </w:pPr>
      <w:r w:rsidRPr="00610AD5">
        <w:t>–</w:t>
      </w:r>
      <w:r w:rsidRPr="00610AD5">
        <w:tab/>
        <w:t>Application Processing Fees: flat non-refundable fee for processing the application irrespective of the final status.</w:t>
      </w:r>
    </w:p>
    <w:p w:rsidR="00610AD5" w:rsidRPr="00610AD5" w:rsidRDefault="00610AD5" w:rsidP="00610AD5">
      <w:pPr>
        <w:spacing w:before="80"/>
        <w:ind w:left="794" w:hanging="794"/>
      </w:pPr>
      <w:r w:rsidRPr="00610AD5">
        <w:t>–</w:t>
      </w:r>
      <w:r w:rsidRPr="00610AD5">
        <w:tab/>
        <w:t>Spectrum Fees: fees relative to the utilization of the spectrum.</w:t>
      </w:r>
    </w:p>
    <w:p w:rsidR="00610AD5" w:rsidRPr="00610AD5" w:rsidRDefault="00610AD5" w:rsidP="006A2D8D">
      <w:pPr>
        <w:pStyle w:val="Heading1"/>
      </w:pPr>
      <w:bookmarkStart w:id="114" w:name="_Toc280260018"/>
      <w:bookmarkStart w:id="115" w:name="_Toc280272479"/>
      <w:r w:rsidRPr="00610AD5">
        <w:t>B</w:t>
      </w:r>
      <w:r w:rsidRPr="00610AD5">
        <w:tab/>
        <w:t>Additional Fees</w:t>
      </w:r>
      <w:bookmarkEnd w:id="114"/>
      <w:bookmarkEnd w:id="115"/>
    </w:p>
    <w:p w:rsidR="00610AD5" w:rsidRPr="00610AD5" w:rsidRDefault="00610AD5" w:rsidP="00610AD5">
      <w:pPr>
        <w:spacing w:before="80"/>
        <w:ind w:left="794" w:hanging="794"/>
      </w:pPr>
      <w:r w:rsidRPr="00610AD5">
        <w:t>–</w:t>
      </w:r>
      <w:r w:rsidRPr="00610AD5">
        <w:tab/>
        <w:t>Reproduction, Modifications, Cancellation fees: the definition and applied fees for each should be specified.</w:t>
      </w:r>
    </w:p>
    <w:p w:rsidR="00610AD5" w:rsidRPr="00610AD5" w:rsidRDefault="00610AD5" w:rsidP="00610AD5">
      <w:pPr>
        <w:spacing w:before="80"/>
        <w:ind w:left="794" w:hanging="794"/>
      </w:pPr>
      <w:r w:rsidRPr="00610AD5">
        <w:t>–</w:t>
      </w:r>
      <w:r w:rsidRPr="00610AD5">
        <w:tab/>
        <w:t xml:space="preserve">Other Fees due to special services requested from the Authority, such Interference Complaints processing and monitoring, Site Surveys, etc. </w:t>
      </w:r>
    </w:p>
    <w:p w:rsidR="00610AD5" w:rsidRPr="00610AD5" w:rsidRDefault="00610AD5" w:rsidP="006A2D8D">
      <w:pPr>
        <w:pStyle w:val="Heading1"/>
        <w:rPr>
          <w:lang w:val="en-US"/>
        </w:rPr>
      </w:pPr>
      <w:bookmarkStart w:id="116" w:name="_Toc280260019"/>
      <w:bookmarkStart w:id="117" w:name="_Toc280260879"/>
      <w:bookmarkStart w:id="118" w:name="_Toc280272480"/>
      <w:r w:rsidRPr="00610AD5">
        <w:rPr>
          <w:lang w:val="en-US"/>
        </w:rPr>
        <w:t>4</w:t>
      </w:r>
      <w:r w:rsidRPr="00610AD5">
        <w:rPr>
          <w:lang w:val="en-US"/>
        </w:rPr>
        <w:tab/>
        <w:t>Method of payment</w:t>
      </w:r>
      <w:bookmarkEnd w:id="116"/>
      <w:bookmarkEnd w:id="117"/>
      <w:bookmarkEnd w:id="118"/>
    </w:p>
    <w:p w:rsidR="00610AD5" w:rsidRPr="00610AD5" w:rsidRDefault="00610AD5" w:rsidP="00610AD5">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n-US"/>
        </w:rPr>
      </w:pPr>
      <w:r w:rsidRPr="00610AD5">
        <w:rPr>
          <w:rFonts w:asciiTheme="majorBidi" w:eastAsia="SimSun" w:hAnsiTheme="majorBidi" w:cstheme="majorBidi"/>
          <w:szCs w:val="22"/>
          <w:lang w:val="en-US"/>
        </w:rPr>
        <w:t>It should be clear how the Authority would like to receive any of the above fees, for example:</w:t>
      </w:r>
    </w:p>
    <w:p w:rsidR="00610AD5" w:rsidRPr="00610AD5" w:rsidRDefault="00610AD5" w:rsidP="00610AD5">
      <w:pPr>
        <w:spacing w:before="80"/>
        <w:ind w:left="794" w:hanging="794"/>
      </w:pPr>
      <w:r w:rsidRPr="00610AD5">
        <w:t>–</w:t>
      </w:r>
      <w:r w:rsidRPr="00610AD5">
        <w:tab/>
        <w:t>In advance or post payment, etc.</w:t>
      </w:r>
    </w:p>
    <w:p w:rsidR="00610AD5" w:rsidRPr="00610AD5" w:rsidRDefault="00610AD5" w:rsidP="00610AD5">
      <w:pPr>
        <w:spacing w:before="80"/>
        <w:ind w:left="794" w:hanging="794"/>
        <w:rPr>
          <w:lang w:val="fr-FR"/>
        </w:rPr>
      </w:pPr>
      <w:r w:rsidRPr="00610AD5">
        <w:rPr>
          <w:lang w:val="fr-FR"/>
        </w:rPr>
        <w:t>–</w:t>
      </w:r>
      <w:r w:rsidRPr="00610AD5">
        <w:rPr>
          <w:lang w:val="fr-FR"/>
        </w:rPr>
        <w:tab/>
        <w:t>Cheque, direct bank deposits, etc.</w:t>
      </w:r>
    </w:p>
    <w:p w:rsidR="00610AD5" w:rsidRPr="00610AD5" w:rsidRDefault="00610AD5" w:rsidP="00610AD5">
      <w:pPr>
        <w:spacing w:before="80"/>
        <w:ind w:left="794" w:hanging="794"/>
      </w:pPr>
      <w:r w:rsidRPr="00610AD5">
        <w:lastRenderedPageBreak/>
        <w:t>–</w:t>
      </w:r>
      <w:r w:rsidRPr="00610AD5">
        <w:tab/>
        <w:t>Deadline before which the payment should be received the further actions to be taken if the deadline was not met.</w:t>
      </w:r>
    </w:p>
    <w:p w:rsidR="00610AD5" w:rsidRPr="00610AD5" w:rsidRDefault="00610AD5" w:rsidP="00E4064E">
      <w:pPr>
        <w:pStyle w:val="Heading1"/>
        <w:rPr>
          <w:lang w:val="en-US"/>
        </w:rPr>
      </w:pPr>
      <w:bookmarkStart w:id="119" w:name="_Toc280260020"/>
      <w:bookmarkStart w:id="120" w:name="_Toc280260880"/>
      <w:bookmarkStart w:id="121" w:name="_Toc280272481"/>
      <w:r w:rsidRPr="00610AD5">
        <w:rPr>
          <w:lang w:val="en-US"/>
        </w:rPr>
        <w:t>5</w:t>
      </w:r>
      <w:r w:rsidRPr="00610AD5">
        <w:rPr>
          <w:lang w:val="en-US"/>
        </w:rPr>
        <w:tab/>
        <w:t>Fees Exemptions</w:t>
      </w:r>
      <w:bookmarkEnd w:id="119"/>
      <w:bookmarkEnd w:id="120"/>
      <w:bookmarkEnd w:id="121"/>
    </w:p>
    <w:p w:rsidR="00610AD5" w:rsidRPr="00610AD5" w:rsidRDefault="00610AD5" w:rsidP="00610AD5">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n-US"/>
        </w:rPr>
      </w:pPr>
      <w:r w:rsidRPr="00610AD5">
        <w:rPr>
          <w:rFonts w:asciiTheme="majorBidi" w:eastAsia="SimSun" w:hAnsiTheme="majorBidi" w:cstheme="majorBidi"/>
          <w:szCs w:val="22"/>
          <w:lang w:val="en-US"/>
        </w:rPr>
        <w:t>Exemption of any of the Fees for particular services and/or particular individuals should be indicated clearly in the policy along with any conditions associated with it.</w:t>
      </w:r>
    </w:p>
    <w:p w:rsidR="00610AD5" w:rsidRPr="00610AD5" w:rsidRDefault="00610AD5" w:rsidP="00E4064E">
      <w:pPr>
        <w:pStyle w:val="Heading1"/>
        <w:rPr>
          <w:lang w:val="en-US"/>
        </w:rPr>
      </w:pPr>
      <w:bookmarkStart w:id="122" w:name="_Toc280260021"/>
      <w:bookmarkStart w:id="123" w:name="_Toc280260881"/>
      <w:bookmarkStart w:id="124" w:name="_Toc280272482"/>
      <w:r w:rsidRPr="00610AD5">
        <w:rPr>
          <w:lang w:val="en-US"/>
        </w:rPr>
        <w:t>6</w:t>
      </w:r>
      <w:r w:rsidRPr="00610AD5">
        <w:rPr>
          <w:lang w:val="en-US"/>
        </w:rPr>
        <w:tab/>
        <w:t>Spectrum fees calculation</w:t>
      </w:r>
      <w:bookmarkEnd w:id="122"/>
      <w:bookmarkEnd w:id="123"/>
      <w:bookmarkEnd w:id="124"/>
    </w:p>
    <w:p w:rsidR="00610AD5" w:rsidRPr="00610AD5" w:rsidRDefault="00610AD5" w:rsidP="00610AD5">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n-US"/>
        </w:rPr>
      </w:pPr>
      <w:r w:rsidRPr="00610AD5">
        <w:rPr>
          <w:rFonts w:asciiTheme="majorBidi" w:eastAsia="SimSun" w:hAnsiTheme="majorBidi" w:cstheme="majorBidi"/>
          <w:szCs w:val="22"/>
          <w:lang w:val="en-US"/>
        </w:rPr>
        <w:t>The calculation of such fees should reflect both Administrative Cost for Spectrum Management activities, as well as the Spectrum Market value.</w:t>
      </w:r>
    </w:p>
    <w:p w:rsidR="00610AD5" w:rsidRPr="00610AD5" w:rsidRDefault="00610AD5" w:rsidP="00610AD5">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n-US"/>
        </w:rPr>
      </w:pPr>
      <w:r w:rsidRPr="00610AD5">
        <w:rPr>
          <w:rFonts w:asciiTheme="majorBidi" w:eastAsia="SimSun" w:hAnsiTheme="majorBidi" w:cstheme="majorBidi"/>
          <w:szCs w:val="22"/>
          <w:lang w:val="en-US"/>
        </w:rPr>
        <w:t>Method of calculating the Spectrum Fees should be given clearly for each service and its relevant frequency band(s), and should be based on a rational.</w:t>
      </w:r>
    </w:p>
    <w:p w:rsidR="00610AD5" w:rsidRPr="00610AD5" w:rsidRDefault="00610AD5" w:rsidP="00610AD5">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n-US"/>
        </w:rPr>
      </w:pPr>
      <w:r w:rsidRPr="00610AD5">
        <w:rPr>
          <w:rFonts w:asciiTheme="majorBidi" w:eastAsia="SimSun" w:hAnsiTheme="majorBidi" w:cstheme="majorBidi"/>
          <w:szCs w:val="22"/>
          <w:lang w:val="en-US"/>
        </w:rPr>
        <w:t>There are various calculation methods for Spectrum Fees, varying from having a flat rate to applying very complex formulas.</w:t>
      </w:r>
    </w:p>
    <w:p w:rsidR="00610AD5" w:rsidRPr="00610AD5" w:rsidRDefault="00610AD5" w:rsidP="00610AD5">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n-US"/>
        </w:rPr>
      </w:pPr>
      <w:r w:rsidRPr="00610AD5">
        <w:rPr>
          <w:rFonts w:asciiTheme="majorBidi" w:eastAsia="SimSun" w:hAnsiTheme="majorBidi" w:cstheme="majorBidi"/>
          <w:szCs w:val="22"/>
          <w:lang w:val="en-US"/>
        </w:rPr>
        <w:t>Some of the factors that could be considered in developing such calculations are:</w:t>
      </w:r>
    </w:p>
    <w:p w:rsidR="00610AD5" w:rsidRPr="00610AD5" w:rsidRDefault="00610AD5" w:rsidP="00610AD5">
      <w:pPr>
        <w:spacing w:before="80"/>
        <w:ind w:left="794" w:hanging="794"/>
      </w:pPr>
      <w:r w:rsidRPr="00610AD5">
        <w:t>–</w:t>
      </w:r>
      <w:r w:rsidRPr="00610AD5">
        <w:tab/>
        <w:t>Frequency band (Spectrum demand and congestion)</w:t>
      </w:r>
    </w:p>
    <w:p w:rsidR="00610AD5" w:rsidRPr="00610AD5" w:rsidRDefault="00610AD5" w:rsidP="00610AD5">
      <w:pPr>
        <w:spacing w:before="80"/>
        <w:ind w:left="794" w:hanging="794"/>
      </w:pPr>
      <w:r w:rsidRPr="00610AD5">
        <w:t>–</w:t>
      </w:r>
      <w:r w:rsidRPr="00610AD5">
        <w:tab/>
        <w:t>Bandwidth</w:t>
      </w:r>
    </w:p>
    <w:p w:rsidR="00610AD5" w:rsidRPr="00610AD5" w:rsidRDefault="00610AD5" w:rsidP="00610AD5">
      <w:pPr>
        <w:spacing w:before="80"/>
        <w:ind w:left="794" w:hanging="794"/>
      </w:pPr>
      <w:r w:rsidRPr="00610AD5">
        <w:t>–</w:t>
      </w:r>
      <w:r w:rsidRPr="00610AD5">
        <w:tab/>
        <w:t>Power, Height, and resulted coverage area</w:t>
      </w:r>
    </w:p>
    <w:p w:rsidR="00610AD5" w:rsidRPr="00610AD5" w:rsidRDefault="00610AD5" w:rsidP="00610AD5">
      <w:pPr>
        <w:spacing w:before="80"/>
        <w:ind w:left="794" w:hanging="794"/>
      </w:pPr>
      <w:r w:rsidRPr="00610AD5">
        <w:t>–</w:t>
      </w:r>
      <w:r w:rsidRPr="00610AD5">
        <w:tab/>
        <w:t>Location (Spectrum demand and congestion)</w:t>
      </w:r>
    </w:p>
    <w:p w:rsidR="00610AD5" w:rsidRPr="00610AD5" w:rsidRDefault="00610AD5" w:rsidP="00610AD5">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n-US"/>
        </w:rPr>
      </w:pPr>
      <w:r w:rsidRPr="00610AD5">
        <w:rPr>
          <w:rFonts w:asciiTheme="majorBidi" w:eastAsia="SimSun" w:hAnsiTheme="majorBidi" w:cstheme="majorBidi"/>
          <w:szCs w:val="22"/>
          <w:lang w:val="en-US"/>
        </w:rPr>
        <w:t>Bonus factors as well as special temporary discounts could be proposed to encourage the use of some bands or the introduction of particular services.</w:t>
      </w:r>
    </w:p>
    <w:p w:rsidR="00610AD5" w:rsidRPr="00610AD5" w:rsidRDefault="00610AD5" w:rsidP="00E4064E">
      <w:pPr>
        <w:pStyle w:val="Heading1"/>
        <w:rPr>
          <w:lang w:val="en-US"/>
        </w:rPr>
      </w:pPr>
      <w:bookmarkStart w:id="125" w:name="_Toc280260022"/>
      <w:bookmarkStart w:id="126" w:name="_Toc280260882"/>
      <w:bookmarkStart w:id="127" w:name="_Toc280272483"/>
      <w:r w:rsidRPr="00610AD5">
        <w:rPr>
          <w:lang w:val="en-US"/>
        </w:rPr>
        <w:t>7</w:t>
      </w:r>
      <w:r w:rsidRPr="00610AD5">
        <w:rPr>
          <w:lang w:val="en-US"/>
        </w:rPr>
        <w:tab/>
        <w:t>Low Power &amp; Short Range Devices</w:t>
      </w:r>
      <w:bookmarkEnd w:id="125"/>
      <w:bookmarkEnd w:id="126"/>
      <w:bookmarkEnd w:id="127"/>
    </w:p>
    <w:p w:rsidR="00610AD5" w:rsidRPr="00610AD5" w:rsidRDefault="00610AD5" w:rsidP="00610AD5">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n-US"/>
        </w:rPr>
      </w:pPr>
      <w:r w:rsidRPr="00610AD5">
        <w:rPr>
          <w:rFonts w:asciiTheme="majorBidi" w:eastAsia="SimSun" w:hAnsiTheme="majorBidi" w:cstheme="majorBidi"/>
          <w:szCs w:val="22"/>
          <w:lang w:val="en-US"/>
        </w:rPr>
        <w:t>Treatment of short range devices as well as services which are exempted from the above fees should also be clearly mentioned and any associated conditions could be specified.</w:t>
      </w:r>
    </w:p>
    <w:p w:rsidR="00610AD5" w:rsidRPr="00610AD5" w:rsidRDefault="00610AD5" w:rsidP="00E4064E">
      <w:pPr>
        <w:pStyle w:val="Heading1"/>
        <w:rPr>
          <w:lang w:val="en-US"/>
        </w:rPr>
      </w:pPr>
      <w:bookmarkStart w:id="128" w:name="_Toc280260023"/>
      <w:bookmarkStart w:id="129" w:name="_Toc280260883"/>
      <w:bookmarkStart w:id="130" w:name="_Toc280272484"/>
      <w:r w:rsidRPr="00610AD5">
        <w:rPr>
          <w:lang w:val="en-US"/>
        </w:rPr>
        <w:t>8</w:t>
      </w:r>
      <w:r w:rsidRPr="00610AD5">
        <w:rPr>
          <w:lang w:val="en-US"/>
        </w:rPr>
        <w:tab/>
        <w:t>Fees due to Cancellation, Reproduction, and Modification of an Authorization</w:t>
      </w:r>
      <w:bookmarkEnd w:id="128"/>
      <w:bookmarkEnd w:id="129"/>
      <w:bookmarkEnd w:id="130"/>
    </w:p>
    <w:p w:rsidR="00610AD5" w:rsidRPr="00610AD5" w:rsidRDefault="00610AD5" w:rsidP="00610AD5">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n-US"/>
        </w:rPr>
      </w:pPr>
      <w:r w:rsidRPr="00610AD5">
        <w:rPr>
          <w:rFonts w:asciiTheme="majorBidi" w:eastAsia="SimSun" w:hAnsiTheme="majorBidi" w:cstheme="majorBidi"/>
          <w:szCs w:val="22"/>
          <w:lang w:val="en-US"/>
        </w:rPr>
        <w:t>The definition and the associated fees, if any, of each should be clearly indicated.</w:t>
      </w:r>
    </w:p>
    <w:p w:rsidR="00610AD5" w:rsidRPr="00610AD5" w:rsidRDefault="00610AD5" w:rsidP="00610AD5">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n-US"/>
        </w:rPr>
      </w:pPr>
      <w:r w:rsidRPr="00610AD5">
        <w:rPr>
          <w:rFonts w:asciiTheme="majorBidi" w:eastAsia="SimSun" w:hAnsiTheme="majorBidi" w:cstheme="majorBidi"/>
          <w:szCs w:val="22"/>
          <w:lang w:val="en-US"/>
        </w:rPr>
        <w:t xml:space="preserve">Furthermore, it should be clear if a Modification results more Spectrum fees, how the difference to be paid by the user,is calculated. And in case the modification results in less Spectrum fees wither the Telecom Authority has to reimburse the difference back to the user, and if that is the case how it should reimburse the amount. . </w:t>
      </w:r>
    </w:p>
    <w:p w:rsidR="00610AD5" w:rsidRPr="00610AD5" w:rsidRDefault="00610AD5" w:rsidP="00E4064E">
      <w:pPr>
        <w:pStyle w:val="Heading1"/>
        <w:rPr>
          <w:lang w:val="en-US"/>
        </w:rPr>
      </w:pPr>
      <w:bookmarkStart w:id="131" w:name="_Toc280260024"/>
      <w:bookmarkStart w:id="132" w:name="_Toc280260884"/>
      <w:bookmarkStart w:id="133" w:name="_Toc280272485"/>
      <w:r w:rsidRPr="00610AD5">
        <w:rPr>
          <w:lang w:val="en-US"/>
        </w:rPr>
        <w:t>9</w:t>
      </w:r>
      <w:r w:rsidRPr="00610AD5">
        <w:rPr>
          <w:lang w:val="en-US"/>
        </w:rPr>
        <w:tab/>
        <w:t>Treatment of Emergency and Disaster frequencies</w:t>
      </w:r>
      <w:bookmarkEnd w:id="131"/>
      <w:bookmarkEnd w:id="132"/>
      <w:bookmarkEnd w:id="133"/>
    </w:p>
    <w:p w:rsidR="00610AD5" w:rsidRPr="00610AD5" w:rsidRDefault="00610AD5" w:rsidP="00610AD5">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n-US"/>
        </w:rPr>
      </w:pPr>
      <w:r w:rsidRPr="00610AD5">
        <w:rPr>
          <w:rFonts w:asciiTheme="majorBidi" w:eastAsia="SimSun" w:hAnsiTheme="majorBidi" w:cstheme="majorBidi"/>
          <w:szCs w:val="22"/>
          <w:lang w:val="en-US"/>
        </w:rPr>
        <w:t>It is maybe helpful to mention that all such authorized frequencies and equipments are exempted of any fees, or otherwise as the Authority wishes to treat such frequency usage.</w:t>
      </w:r>
    </w:p>
    <w:p w:rsidR="00610AD5" w:rsidRPr="00610AD5" w:rsidRDefault="00610AD5" w:rsidP="00E4064E">
      <w:pPr>
        <w:pStyle w:val="Heading1"/>
        <w:rPr>
          <w:lang w:val="en-US"/>
        </w:rPr>
      </w:pPr>
      <w:bookmarkStart w:id="134" w:name="_Toc280260025"/>
      <w:bookmarkStart w:id="135" w:name="_Toc280260885"/>
      <w:bookmarkStart w:id="136" w:name="_Toc280272486"/>
      <w:r w:rsidRPr="00610AD5">
        <w:rPr>
          <w:lang w:val="en-US"/>
        </w:rPr>
        <w:t>10</w:t>
      </w:r>
      <w:r w:rsidRPr="00610AD5">
        <w:rPr>
          <w:lang w:val="en-US"/>
        </w:rPr>
        <w:tab/>
        <w:t>Temporary Authorizations</w:t>
      </w:r>
      <w:bookmarkEnd w:id="134"/>
      <w:bookmarkEnd w:id="135"/>
      <w:bookmarkEnd w:id="136"/>
    </w:p>
    <w:p w:rsidR="00610AD5" w:rsidRPr="00E4064E" w:rsidRDefault="00610AD5" w:rsidP="00E4064E">
      <w:pPr>
        <w:rPr>
          <w:rFonts w:eastAsia="SimSun"/>
        </w:rPr>
      </w:pPr>
      <w:r w:rsidRPr="00E4064E">
        <w:rPr>
          <w:rFonts w:eastAsia="SimSun"/>
        </w:rPr>
        <w:t xml:space="preserve">Calculation of fees to be applied for such cases should be clearly specified. </w:t>
      </w:r>
    </w:p>
    <w:p w:rsidR="00610AD5" w:rsidRPr="00610AD5" w:rsidRDefault="00610AD5" w:rsidP="00610AD5">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n-US"/>
        </w:rPr>
      </w:pPr>
      <w:r w:rsidRPr="00610AD5">
        <w:rPr>
          <w:rFonts w:asciiTheme="majorBidi" w:eastAsia="SimSun" w:hAnsiTheme="majorBidi" w:cstheme="majorBidi"/>
          <w:szCs w:val="22"/>
          <w:lang w:val="en-US"/>
        </w:rPr>
        <w:t>Minimum Fees, Minimum Time Unit used to calculate such Authorizations and other major associated conditions, maybe useful to indicate.</w:t>
      </w:r>
    </w:p>
    <w:p w:rsidR="00610AD5" w:rsidRPr="00610AD5" w:rsidRDefault="00610AD5" w:rsidP="00E4064E">
      <w:pPr>
        <w:pageBreakBefore/>
        <w:spacing w:before="360"/>
        <w:ind w:left="794" w:hanging="794"/>
        <w:outlineLvl w:val="0"/>
        <w:rPr>
          <w:b/>
          <w:lang w:val="en-US"/>
        </w:rPr>
      </w:pPr>
      <w:bookmarkStart w:id="137" w:name="_Toc280260026"/>
      <w:bookmarkStart w:id="138" w:name="_Toc280260886"/>
      <w:bookmarkStart w:id="139" w:name="_Toc280272487"/>
      <w:r w:rsidRPr="00610AD5">
        <w:rPr>
          <w:b/>
          <w:lang w:val="en-US"/>
        </w:rPr>
        <w:lastRenderedPageBreak/>
        <w:t>11</w:t>
      </w:r>
      <w:r w:rsidRPr="00610AD5">
        <w:rPr>
          <w:b/>
          <w:lang w:val="en-US"/>
        </w:rPr>
        <w:tab/>
        <w:t>Catering for any other Radio Services that are not mentioned</w:t>
      </w:r>
      <w:bookmarkEnd w:id="137"/>
      <w:bookmarkEnd w:id="138"/>
      <w:bookmarkEnd w:id="139"/>
    </w:p>
    <w:p w:rsidR="00610AD5" w:rsidRPr="00610AD5" w:rsidRDefault="00610AD5" w:rsidP="00610AD5">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n-US"/>
        </w:rPr>
      </w:pPr>
      <w:r w:rsidRPr="00610AD5">
        <w:rPr>
          <w:rFonts w:asciiTheme="majorBidi" w:eastAsia="SimSun" w:hAnsiTheme="majorBidi" w:cstheme="majorBidi"/>
          <w:szCs w:val="22"/>
          <w:lang w:val="en-US"/>
        </w:rPr>
        <w:t>The Policy could include an Article that gives the Authority the total right to decide and apply the appropriate fees for any other Radio/wireless Services that are not mentioned in the policy.</w:t>
      </w:r>
    </w:p>
    <w:p w:rsidR="00610AD5" w:rsidRPr="00610AD5" w:rsidRDefault="00610AD5" w:rsidP="00610AD5">
      <w:pPr>
        <w:keepNext/>
        <w:keepLines/>
        <w:spacing w:before="360"/>
        <w:ind w:left="794" w:hanging="794"/>
        <w:outlineLvl w:val="0"/>
        <w:rPr>
          <w:b/>
          <w:lang w:val="en-US"/>
        </w:rPr>
      </w:pPr>
      <w:bookmarkStart w:id="140" w:name="_Toc280260027"/>
      <w:bookmarkStart w:id="141" w:name="_Toc280260887"/>
      <w:bookmarkStart w:id="142" w:name="_Toc280272488"/>
      <w:r w:rsidRPr="00610AD5">
        <w:rPr>
          <w:b/>
          <w:lang w:val="en-US"/>
        </w:rPr>
        <w:t>12</w:t>
      </w:r>
      <w:r w:rsidRPr="00610AD5">
        <w:rPr>
          <w:b/>
          <w:lang w:val="en-US"/>
        </w:rPr>
        <w:tab/>
        <w:t>Other Fees</w:t>
      </w:r>
      <w:bookmarkEnd w:id="140"/>
      <w:bookmarkEnd w:id="141"/>
      <w:bookmarkEnd w:id="142"/>
    </w:p>
    <w:p w:rsidR="00610AD5" w:rsidRPr="00610AD5" w:rsidRDefault="00610AD5" w:rsidP="00610AD5">
      <w:pPr>
        <w:tabs>
          <w:tab w:val="clear" w:pos="794"/>
          <w:tab w:val="clear" w:pos="1191"/>
          <w:tab w:val="clear" w:pos="1588"/>
          <w:tab w:val="clear" w:pos="1985"/>
        </w:tabs>
        <w:overflowPunct/>
        <w:autoSpaceDE/>
        <w:autoSpaceDN/>
        <w:adjustRightInd/>
        <w:textAlignment w:val="auto"/>
        <w:rPr>
          <w:rFonts w:asciiTheme="majorBidi" w:eastAsia="SimSun" w:hAnsiTheme="majorBidi" w:cstheme="majorBidi"/>
          <w:szCs w:val="22"/>
          <w:lang w:val="en-US"/>
        </w:rPr>
      </w:pPr>
      <w:r w:rsidRPr="00610AD5">
        <w:rPr>
          <w:rFonts w:asciiTheme="majorBidi" w:eastAsia="SimSun" w:hAnsiTheme="majorBidi" w:cstheme="majorBidi"/>
          <w:szCs w:val="22"/>
          <w:lang w:val="en-US"/>
        </w:rPr>
        <w:t>Applying of Fees due to special services requested from the Authority, such as Interference Complaints Processing and Monitoring, and making Site Surveys could be mentioned as well.</w:t>
      </w:r>
    </w:p>
    <w:p w:rsidR="00610AD5" w:rsidRPr="00610AD5" w:rsidRDefault="00610AD5" w:rsidP="00610AD5">
      <w:pPr>
        <w:tabs>
          <w:tab w:val="clear" w:pos="794"/>
          <w:tab w:val="clear" w:pos="1191"/>
          <w:tab w:val="clear" w:pos="1588"/>
          <w:tab w:val="clear" w:pos="1985"/>
        </w:tabs>
        <w:overflowPunct/>
        <w:autoSpaceDE/>
        <w:autoSpaceDN/>
        <w:adjustRightInd/>
        <w:spacing w:before="0"/>
        <w:jc w:val="left"/>
        <w:textAlignment w:val="auto"/>
        <w:rPr>
          <w:b/>
          <w:szCs w:val="19"/>
        </w:rPr>
      </w:pPr>
      <w:r w:rsidRPr="00610AD5">
        <w:rPr>
          <w:b/>
          <w:szCs w:val="19"/>
        </w:rPr>
        <w:br w:type="page"/>
      </w:r>
    </w:p>
    <w:p w:rsidR="00610AD5" w:rsidRPr="00610AD5" w:rsidRDefault="00610AD5" w:rsidP="00E4064E">
      <w:pPr>
        <w:pStyle w:val="AppendixNotitle"/>
      </w:pPr>
      <w:bookmarkStart w:id="143" w:name="_Toc280260028"/>
      <w:bookmarkStart w:id="144" w:name="_Toc280260888"/>
      <w:bookmarkStart w:id="145" w:name="_Toc280272489"/>
      <w:r w:rsidRPr="00610AD5">
        <w:lastRenderedPageBreak/>
        <w:t>Appendice 1.1 (Français)</w:t>
      </w:r>
      <w:r w:rsidRPr="00610AD5">
        <w:br/>
      </w:r>
      <w:r w:rsidRPr="00610AD5">
        <w:br/>
        <w:t>Emirats Arabes Unis: Eléments fondamentaux de la politique en matière</w:t>
      </w:r>
      <w:r w:rsidRPr="00610AD5">
        <w:br/>
        <w:t>de redevances d'utilisation du spectre</w:t>
      </w:r>
      <w:bookmarkEnd w:id="143"/>
      <w:bookmarkEnd w:id="144"/>
      <w:bookmarkEnd w:id="145"/>
    </w:p>
    <w:p w:rsidR="00610AD5" w:rsidRPr="00610AD5" w:rsidRDefault="00610AD5" w:rsidP="00E4064E">
      <w:pPr>
        <w:pStyle w:val="Heading1"/>
        <w:rPr>
          <w:lang w:val="fr-CH"/>
        </w:rPr>
      </w:pPr>
      <w:bookmarkStart w:id="146" w:name="_Toc280260029"/>
      <w:bookmarkStart w:id="147" w:name="_Toc280260889"/>
      <w:bookmarkStart w:id="148" w:name="_Toc280272490"/>
      <w:r w:rsidRPr="00610AD5">
        <w:rPr>
          <w:lang w:val="fr-CH"/>
        </w:rPr>
        <w:t>Introduction:</w:t>
      </w:r>
      <w:bookmarkEnd w:id="146"/>
      <w:bookmarkEnd w:id="147"/>
      <w:bookmarkEnd w:id="148"/>
    </w:p>
    <w:p w:rsidR="00610AD5" w:rsidRPr="00610AD5" w:rsidRDefault="00610AD5" w:rsidP="00610AD5">
      <w:r w:rsidRPr="00610AD5">
        <w:t>Le présent document et son Annexe, qui figurent dans le Document JGRES09/030, sont soumis en vue d'aider à élaborer les lignes directrices applicables au Système de redevances d'utilisation du spectre des fréquences radioélectriques, l'objectif étant d'établir des lignes directrices concrètes et complètes et de donner un exemple de politique en matière de redevances d'utilisation du spectre permettant d'aider certains pays, en particulier les pays en développement et les pays les moins avancés, à rédiger de nouvelles politiques de ce type ou réviser ces politiques.</w:t>
      </w:r>
    </w:p>
    <w:p w:rsidR="00610AD5" w:rsidRPr="00610AD5" w:rsidRDefault="00610AD5" w:rsidP="00E4064E">
      <w:pPr>
        <w:pStyle w:val="Heading1"/>
        <w:rPr>
          <w:lang w:val="fr-CH"/>
        </w:rPr>
      </w:pPr>
      <w:bookmarkStart w:id="149" w:name="_Toc280260030"/>
      <w:bookmarkStart w:id="150" w:name="_Toc280260890"/>
      <w:bookmarkStart w:id="151" w:name="_Toc280272491"/>
      <w:r w:rsidRPr="00610AD5">
        <w:rPr>
          <w:lang w:val="fr-CH"/>
        </w:rPr>
        <w:t>Eléments fondamentaux de la politique en matière de redevances d'utilisation du spectre:</w:t>
      </w:r>
      <w:bookmarkEnd w:id="149"/>
      <w:bookmarkEnd w:id="150"/>
      <w:bookmarkEnd w:id="151"/>
    </w:p>
    <w:p w:rsidR="00610AD5" w:rsidRPr="00610AD5" w:rsidRDefault="00610AD5" w:rsidP="00610AD5">
      <w:r w:rsidRPr="00610AD5">
        <w:t xml:space="preserve">Il est très important de préciser dès le départ qu'il n'existe pas de solution unique concernant les aspects économiques de la gestion du spectre. </w:t>
      </w:r>
      <w:r w:rsidRPr="00610AD5">
        <w:rPr>
          <w:u w:val="single"/>
        </w:rPr>
        <w:t>Chaque pays a ses propres objectifs juridiques, réglementaires et économiques et des conditions spécifiques dont il faut tenir compte pour élaborer une solution adaptée contenant des dispositions pouvant être améliorées tout en assurant la stabilité du système de redevances</w:t>
      </w:r>
      <w:r w:rsidRPr="00610AD5">
        <w:t xml:space="preserve">. </w:t>
      </w:r>
    </w:p>
    <w:p w:rsidR="00610AD5" w:rsidRPr="00610AD5" w:rsidRDefault="00610AD5" w:rsidP="00610AD5">
      <w:r w:rsidRPr="00610AD5">
        <w:t>Ces lignes directrices proposent certains éléments fondamentaux considérés comme étant indispensables pour l'établissement d'une politique en matière de redevances d'utilisation du spectre:</w:t>
      </w:r>
    </w:p>
    <w:p w:rsidR="00610AD5" w:rsidRPr="00610AD5" w:rsidRDefault="00610AD5" w:rsidP="00E4064E">
      <w:pPr>
        <w:pStyle w:val="Heading1"/>
      </w:pPr>
      <w:bookmarkStart w:id="152" w:name="_Toc280260031"/>
      <w:bookmarkStart w:id="153" w:name="_Toc280260891"/>
      <w:bookmarkStart w:id="154" w:name="_Toc280272492"/>
      <w:r w:rsidRPr="00610AD5">
        <w:t>1</w:t>
      </w:r>
      <w:r w:rsidRPr="00610AD5">
        <w:tab/>
        <w:t>Référence à la législation</w:t>
      </w:r>
      <w:bookmarkEnd w:id="152"/>
      <w:bookmarkEnd w:id="153"/>
      <w:bookmarkEnd w:id="154"/>
    </w:p>
    <w:p w:rsidR="00610AD5" w:rsidRPr="00610AD5" w:rsidRDefault="00610AD5" w:rsidP="00610AD5">
      <w:r w:rsidRPr="00610AD5">
        <w:t>Dans ce type de politique, il est important de commencer par indiquer la législation qui fixe les droits à percevoir pour la gestion du spectre ou l'autorité juridique qui est habilitée à les fixer.</w:t>
      </w:r>
    </w:p>
    <w:p w:rsidR="00610AD5" w:rsidRPr="00610AD5" w:rsidRDefault="00610AD5" w:rsidP="00E4064E">
      <w:pPr>
        <w:pStyle w:val="Heading1"/>
      </w:pPr>
      <w:bookmarkStart w:id="155" w:name="_Toc280260032"/>
      <w:bookmarkStart w:id="156" w:name="_Toc280260892"/>
      <w:bookmarkStart w:id="157" w:name="_Toc280272493"/>
      <w:r w:rsidRPr="00610AD5">
        <w:t>2</w:t>
      </w:r>
      <w:r w:rsidRPr="00610AD5">
        <w:tab/>
        <w:t>Définitions importantes</w:t>
      </w:r>
      <w:bookmarkEnd w:id="155"/>
      <w:bookmarkEnd w:id="156"/>
      <w:bookmarkEnd w:id="157"/>
    </w:p>
    <w:p w:rsidR="00610AD5" w:rsidRPr="00610AD5" w:rsidRDefault="00610AD5" w:rsidP="00610AD5">
      <w:r w:rsidRPr="00610AD5">
        <w:t>Cette partie permet, non seulement de réduire le volume du document relatif à la politique en question, mais, ce qui est plus important encore, de supprimer toute ambigüité quant à la signification des termes utilisés.</w:t>
      </w:r>
    </w:p>
    <w:p w:rsidR="00610AD5" w:rsidRPr="00610AD5" w:rsidRDefault="00610AD5" w:rsidP="00E4064E">
      <w:pPr>
        <w:pStyle w:val="Heading1"/>
      </w:pPr>
      <w:bookmarkStart w:id="158" w:name="_Toc280260033"/>
      <w:bookmarkStart w:id="159" w:name="_Toc280260893"/>
      <w:bookmarkStart w:id="160" w:name="_Toc280272494"/>
      <w:r w:rsidRPr="00610AD5">
        <w:t>3</w:t>
      </w:r>
      <w:r w:rsidRPr="00610AD5">
        <w:tab/>
        <w:t>Type de redevances</w:t>
      </w:r>
      <w:bookmarkEnd w:id="158"/>
      <w:bookmarkEnd w:id="159"/>
      <w:bookmarkEnd w:id="160"/>
    </w:p>
    <w:p w:rsidR="00610AD5" w:rsidRPr="00610AD5" w:rsidRDefault="00610AD5" w:rsidP="00E4064E">
      <w:r w:rsidRPr="00610AD5">
        <w:t>Il est utile de diviser les catégories de redevances administratives pour la gestion du spectre en composantes et en éléments détaillés utilisés pour percevoir les redevances d'utilisation du spectre, à savoir:</w:t>
      </w:r>
    </w:p>
    <w:p w:rsidR="00610AD5" w:rsidRPr="00610AD5" w:rsidRDefault="00610AD5" w:rsidP="00E4064E">
      <w:pPr>
        <w:pStyle w:val="Heading1"/>
      </w:pPr>
      <w:bookmarkStart w:id="161" w:name="_Toc280260034"/>
      <w:bookmarkStart w:id="162" w:name="_Toc280272495"/>
      <w:r w:rsidRPr="00610AD5">
        <w:t>A</w:t>
      </w:r>
      <w:r w:rsidRPr="00610AD5">
        <w:tab/>
        <w:t>Redevances de base</w:t>
      </w:r>
      <w:bookmarkEnd w:id="161"/>
      <w:bookmarkEnd w:id="162"/>
    </w:p>
    <w:p w:rsidR="00610AD5" w:rsidRPr="00610AD5" w:rsidRDefault="00610AD5" w:rsidP="00610AD5">
      <w:pPr>
        <w:spacing w:before="80"/>
        <w:ind w:left="794" w:hanging="794"/>
        <w:rPr>
          <w:lang w:val="fr-CH"/>
        </w:rPr>
      </w:pPr>
      <w:r w:rsidRPr="00610AD5">
        <w:rPr>
          <w:lang w:val="fr-CH"/>
        </w:rPr>
        <w:t>–</w:t>
      </w:r>
      <w:r w:rsidRPr="00610AD5">
        <w:rPr>
          <w:lang w:val="fr-CH"/>
        </w:rPr>
        <w:tab/>
        <w:t>Redevances pour le traitement des demandes: redevances forfaitaires non remboursables pour le traitement des demandes quel que soit le statut final.</w:t>
      </w:r>
    </w:p>
    <w:p w:rsidR="00610AD5" w:rsidRPr="00610AD5" w:rsidRDefault="00610AD5" w:rsidP="00610AD5">
      <w:pPr>
        <w:spacing w:before="80"/>
        <w:ind w:left="794" w:hanging="794"/>
        <w:rPr>
          <w:lang w:val="fr-CH"/>
        </w:rPr>
      </w:pPr>
      <w:r w:rsidRPr="00610AD5">
        <w:rPr>
          <w:lang w:val="fr-CH"/>
        </w:rPr>
        <w:t>–</w:t>
      </w:r>
      <w:r w:rsidRPr="00610AD5">
        <w:rPr>
          <w:lang w:val="fr-CH"/>
        </w:rPr>
        <w:tab/>
        <w:t>Redevances d'utilisation du spectre: redevances liées à l'utilisation du spectre.</w:t>
      </w:r>
    </w:p>
    <w:p w:rsidR="00610AD5" w:rsidRPr="00610AD5" w:rsidRDefault="00610AD5" w:rsidP="00E4064E">
      <w:pPr>
        <w:pStyle w:val="Heading1"/>
      </w:pPr>
      <w:bookmarkStart w:id="163" w:name="_Toc280260035"/>
      <w:bookmarkStart w:id="164" w:name="_Toc280272496"/>
      <w:r w:rsidRPr="00610AD5">
        <w:t>B</w:t>
      </w:r>
      <w:r w:rsidRPr="00610AD5">
        <w:tab/>
        <w:t>Redevances additionnelles</w:t>
      </w:r>
      <w:bookmarkEnd w:id="163"/>
      <w:bookmarkEnd w:id="164"/>
    </w:p>
    <w:p w:rsidR="00610AD5" w:rsidRPr="00610AD5" w:rsidRDefault="00610AD5" w:rsidP="00610AD5">
      <w:pPr>
        <w:spacing w:before="80"/>
        <w:ind w:left="794" w:hanging="794"/>
        <w:rPr>
          <w:lang w:val="fr-CH"/>
        </w:rPr>
      </w:pPr>
      <w:r w:rsidRPr="00610AD5">
        <w:rPr>
          <w:lang w:val="fr-CH"/>
        </w:rPr>
        <w:t>–</w:t>
      </w:r>
      <w:r w:rsidRPr="00610AD5">
        <w:rPr>
          <w:lang w:val="fr-CH"/>
        </w:rPr>
        <w:tab/>
        <w:t>Redevances afférentes à la reproduction, la modification et l'annulation: il convient de définir et de spécifier les redevances appliquées dans chaque cas.</w:t>
      </w:r>
    </w:p>
    <w:p w:rsidR="00610AD5" w:rsidRPr="00610AD5" w:rsidRDefault="00610AD5" w:rsidP="00610AD5">
      <w:pPr>
        <w:spacing w:before="80"/>
        <w:ind w:left="794" w:hanging="794"/>
        <w:rPr>
          <w:lang w:val="fr-CH"/>
        </w:rPr>
      </w:pPr>
      <w:r w:rsidRPr="00610AD5">
        <w:rPr>
          <w:lang w:val="fr-CH"/>
        </w:rPr>
        <w:t>–</w:t>
      </w:r>
      <w:r w:rsidRPr="00610AD5">
        <w:rPr>
          <w:lang w:val="fr-CH"/>
        </w:rPr>
        <w:tab/>
        <w:t xml:space="preserve">Autres redevances pour les services spéciaux demandés par l'Autorité, comme le traitement et le suivi des plaintes concernant les brouillages, les études de site, etc. </w:t>
      </w:r>
    </w:p>
    <w:p w:rsidR="00610AD5" w:rsidRPr="00610AD5" w:rsidRDefault="00610AD5" w:rsidP="00E4064E">
      <w:pPr>
        <w:pStyle w:val="Heading1"/>
      </w:pPr>
      <w:bookmarkStart w:id="165" w:name="_Toc280260036"/>
      <w:bookmarkStart w:id="166" w:name="_Toc280260894"/>
      <w:bookmarkStart w:id="167" w:name="_Toc280272497"/>
      <w:r w:rsidRPr="00610AD5">
        <w:t>4</w:t>
      </w:r>
      <w:r w:rsidRPr="00610AD5">
        <w:tab/>
        <w:t>Mode de paiement</w:t>
      </w:r>
      <w:bookmarkEnd w:id="165"/>
      <w:bookmarkEnd w:id="166"/>
      <w:bookmarkEnd w:id="167"/>
    </w:p>
    <w:p w:rsidR="00610AD5" w:rsidRPr="00610AD5" w:rsidRDefault="00610AD5" w:rsidP="00610AD5">
      <w:r w:rsidRPr="00610AD5">
        <w:t>Il faut préciser le mode de paiement choisi par l'Autorité pour la perception des redevances susmentionnées, par exemple:</w:t>
      </w:r>
    </w:p>
    <w:p w:rsidR="00610AD5" w:rsidRPr="00610AD5" w:rsidRDefault="00610AD5" w:rsidP="00E4064E">
      <w:pPr>
        <w:pageBreakBefore/>
        <w:spacing w:before="80"/>
        <w:ind w:left="794" w:hanging="794"/>
        <w:rPr>
          <w:lang w:val="fr-CH"/>
        </w:rPr>
      </w:pPr>
      <w:r w:rsidRPr="00610AD5">
        <w:rPr>
          <w:lang w:val="fr-CH"/>
        </w:rPr>
        <w:lastRenderedPageBreak/>
        <w:t>–</w:t>
      </w:r>
      <w:r w:rsidRPr="00610AD5">
        <w:rPr>
          <w:lang w:val="fr-CH"/>
        </w:rPr>
        <w:tab/>
        <w:t>paiement à l'avance ou postpaiement, etc.</w:t>
      </w:r>
    </w:p>
    <w:p w:rsidR="00610AD5" w:rsidRPr="00610AD5" w:rsidRDefault="00610AD5" w:rsidP="00610AD5">
      <w:pPr>
        <w:spacing w:before="80"/>
        <w:ind w:left="794" w:hanging="794"/>
        <w:rPr>
          <w:lang w:val="fr-CH"/>
        </w:rPr>
      </w:pPr>
      <w:r w:rsidRPr="00610AD5">
        <w:rPr>
          <w:lang w:val="fr-CH"/>
        </w:rPr>
        <w:t>–</w:t>
      </w:r>
      <w:r w:rsidRPr="00610AD5">
        <w:rPr>
          <w:lang w:val="fr-CH"/>
        </w:rPr>
        <w:tab/>
        <w:t>chèque, dépôts bancaires directs, etc.</w:t>
      </w:r>
    </w:p>
    <w:p w:rsidR="00610AD5" w:rsidRPr="00610AD5" w:rsidRDefault="00610AD5" w:rsidP="00610AD5">
      <w:pPr>
        <w:spacing w:before="80"/>
        <w:ind w:left="794" w:hanging="794"/>
        <w:rPr>
          <w:lang w:val="fr-CH"/>
        </w:rPr>
      </w:pPr>
      <w:r w:rsidRPr="00610AD5">
        <w:rPr>
          <w:lang w:val="fr-CH"/>
        </w:rPr>
        <w:t>–</w:t>
      </w:r>
      <w:r w:rsidRPr="00610AD5">
        <w:rPr>
          <w:lang w:val="fr-CH"/>
        </w:rPr>
        <w:tab/>
        <w:t>date limite avant laquelle le paiement doit être effectué, mesures à prendre si le délai n'est pas respecté.</w:t>
      </w:r>
    </w:p>
    <w:p w:rsidR="00610AD5" w:rsidRPr="00610AD5" w:rsidRDefault="00610AD5" w:rsidP="00E4064E">
      <w:pPr>
        <w:pStyle w:val="Heading1"/>
      </w:pPr>
      <w:bookmarkStart w:id="168" w:name="_Toc280260037"/>
      <w:bookmarkStart w:id="169" w:name="_Toc280260895"/>
      <w:bookmarkStart w:id="170" w:name="_Toc280272498"/>
      <w:r w:rsidRPr="00610AD5">
        <w:t>5</w:t>
      </w:r>
      <w:r w:rsidRPr="00610AD5">
        <w:tab/>
        <w:t>Exemption de redevances</w:t>
      </w:r>
      <w:bookmarkEnd w:id="168"/>
      <w:bookmarkEnd w:id="169"/>
      <w:bookmarkEnd w:id="170"/>
    </w:p>
    <w:p w:rsidR="00610AD5" w:rsidRPr="00610AD5" w:rsidRDefault="00610AD5" w:rsidP="00610AD5">
      <w:r w:rsidRPr="00610AD5">
        <w:t>L'exemption de tout type de redevances pour des services spécifiques et/ou des personnes données doit être clairement indiquée dans la politique ainsi que les conditions qui y sont associées.</w:t>
      </w:r>
    </w:p>
    <w:p w:rsidR="00610AD5" w:rsidRPr="00610AD5" w:rsidRDefault="00610AD5" w:rsidP="00E4064E">
      <w:pPr>
        <w:pStyle w:val="Heading1"/>
      </w:pPr>
      <w:bookmarkStart w:id="171" w:name="_Toc280260038"/>
      <w:bookmarkStart w:id="172" w:name="_Toc280260896"/>
      <w:bookmarkStart w:id="173" w:name="_Toc280272499"/>
      <w:r w:rsidRPr="00610AD5">
        <w:t>6</w:t>
      </w:r>
      <w:r w:rsidRPr="00610AD5">
        <w:tab/>
        <w:t>Calcul des redevances d'utilisation du spectre</w:t>
      </w:r>
      <w:bookmarkEnd w:id="171"/>
      <w:bookmarkEnd w:id="172"/>
      <w:bookmarkEnd w:id="173"/>
    </w:p>
    <w:p w:rsidR="00610AD5" w:rsidRPr="00610AD5" w:rsidRDefault="00610AD5" w:rsidP="00610AD5">
      <w:pPr>
        <w:rPr>
          <w:lang w:val="fr-CH"/>
        </w:rPr>
      </w:pPr>
      <w:r w:rsidRPr="00610AD5">
        <w:rPr>
          <w:lang w:val="fr-CH"/>
        </w:rPr>
        <w:t>Pour calculer ces redevances, il faut tenir compte à la fois des frais administratifs de gestion du spectre et de la valeur du marché du spectre.</w:t>
      </w:r>
    </w:p>
    <w:p w:rsidR="00610AD5" w:rsidRPr="00610AD5" w:rsidRDefault="00610AD5" w:rsidP="00610AD5">
      <w:pPr>
        <w:rPr>
          <w:lang w:val="fr-CH"/>
        </w:rPr>
      </w:pPr>
      <w:r w:rsidRPr="00610AD5">
        <w:rPr>
          <w:lang w:val="fr-CH"/>
        </w:rPr>
        <w:t>La méthode de calcul de ces redevances doit être clairement définie pour chaque service et sa (ses) bande(s) de fréquences pertinente(s) et doit être fondée sur une logique.</w:t>
      </w:r>
    </w:p>
    <w:p w:rsidR="00610AD5" w:rsidRPr="00610AD5" w:rsidRDefault="00610AD5" w:rsidP="00610AD5">
      <w:pPr>
        <w:rPr>
          <w:lang w:val="fr-CH"/>
        </w:rPr>
      </w:pPr>
      <w:r w:rsidRPr="00610AD5">
        <w:rPr>
          <w:lang w:val="fr-CH"/>
        </w:rPr>
        <w:t>Il existe différentes méthodes de calcul allant du forfait à des formules très complexes.</w:t>
      </w:r>
    </w:p>
    <w:p w:rsidR="00610AD5" w:rsidRPr="00610AD5" w:rsidRDefault="00610AD5" w:rsidP="00610AD5">
      <w:pPr>
        <w:rPr>
          <w:lang w:val="fr-CH"/>
        </w:rPr>
      </w:pPr>
      <w:r w:rsidRPr="00610AD5">
        <w:rPr>
          <w:lang w:val="fr-CH"/>
        </w:rPr>
        <w:t>Pour ces calculs, on pourrait tenir compte entre autres des facteurs suivants:</w:t>
      </w:r>
    </w:p>
    <w:p w:rsidR="00610AD5" w:rsidRPr="00610AD5" w:rsidRDefault="00610AD5" w:rsidP="00E4064E">
      <w:pPr>
        <w:pStyle w:val="enumlev1"/>
        <w:rPr>
          <w:lang w:val="fr-CH"/>
        </w:rPr>
      </w:pPr>
      <w:r w:rsidRPr="00610AD5">
        <w:rPr>
          <w:lang w:val="fr-CH"/>
        </w:rPr>
        <w:t>–</w:t>
      </w:r>
      <w:r w:rsidRPr="00610AD5">
        <w:rPr>
          <w:lang w:val="fr-CH"/>
        </w:rPr>
        <w:tab/>
        <w:t>Bande de fréquences (demande de fréquences et encombrement du spectre).</w:t>
      </w:r>
    </w:p>
    <w:p w:rsidR="00610AD5" w:rsidRPr="00610AD5" w:rsidRDefault="00610AD5" w:rsidP="00E4064E">
      <w:pPr>
        <w:pStyle w:val="enumlev1"/>
        <w:rPr>
          <w:lang w:val="fr-CH"/>
        </w:rPr>
      </w:pPr>
      <w:r w:rsidRPr="00610AD5">
        <w:rPr>
          <w:lang w:val="fr-CH"/>
        </w:rPr>
        <w:t>–</w:t>
      </w:r>
      <w:r w:rsidRPr="00610AD5">
        <w:rPr>
          <w:lang w:val="fr-CH"/>
        </w:rPr>
        <w:tab/>
        <w:t>Largeur de bande.</w:t>
      </w:r>
    </w:p>
    <w:p w:rsidR="00610AD5" w:rsidRPr="00610AD5" w:rsidRDefault="00610AD5" w:rsidP="00E4064E">
      <w:pPr>
        <w:pStyle w:val="enumlev1"/>
        <w:rPr>
          <w:lang w:val="fr-CH"/>
        </w:rPr>
      </w:pPr>
      <w:r w:rsidRPr="00610AD5">
        <w:rPr>
          <w:lang w:val="fr-CH"/>
        </w:rPr>
        <w:t>–</w:t>
      </w:r>
      <w:r w:rsidRPr="00610AD5">
        <w:rPr>
          <w:lang w:val="fr-CH"/>
        </w:rPr>
        <w:tab/>
        <w:t>Puissance, hauteur et zone de couverture.</w:t>
      </w:r>
    </w:p>
    <w:p w:rsidR="00610AD5" w:rsidRPr="00610AD5" w:rsidRDefault="00610AD5" w:rsidP="00E4064E">
      <w:pPr>
        <w:pStyle w:val="enumlev1"/>
        <w:rPr>
          <w:lang w:val="fr-CH"/>
        </w:rPr>
      </w:pPr>
      <w:r w:rsidRPr="00610AD5">
        <w:rPr>
          <w:lang w:val="fr-CH"/>
        </w:rPr>
        <w:t>–</w:t>
      </w:r>
      <w:r w:rsidRPr="00610AD5">
        <w:rPr>
          <w:lang w:val="fr-CH"/>
        </w:rPr>
        <w:tab/>
        <w:t>Lieu (demande de fréquences et encombrement du spectre).</w:t>
      </w:r>
    </w:p>
    <w:p w:rsidR="00610AD5" w:rsidRPr="00610AD5" w:rsidRDefault="00610AD5" w:rsidP="00610AD5">
      <w:pPr>
        <w:rPr>
          <w:lang w:val="fr-CH"/>
        </w:rPr>
      </w:pPr>
      <w:r w:rsidRPr="00610AD5">
        <w:rPr>
          <w:lang w:val="fr-CH"/>
        </w:rPr>
        <w:t>Des primes ainsi que des réductions temporaires spéciales pourraient être proposées pour encourager l'utilisation de certaines bandes ou la mise en oeuvre de services spécifiques.</w:t>
      </w:r>
    </w:p>
    <w:p w:rsidR="00610AD5" w:rsidRPr="00610AD5" w:rsidRDefault="00610AD5" w:rsidP="00E4064E">
      <w:pPr>
        <w:pStyle w:val="Heading1"/>
      </w:pPr>
      <w:bookmarkStart w:id="174" w:name="_Toc280260039"/>
      <w:bookmarkStart w:id="175" w:name="_Toc280260897"/>
      <w:bookmarkStart w:id="176" w:name="_Toc280272500"/>
      <w:r w:rsidRPr="00610AD5">
        <w:t>7</w:t>
      </w:r>
      <w:r w:rsidRPr="00610AD5">
        <w:tab/>
        <w:t>Dispositifs à faible puissance et à faible portée</w:t>
      </w:r>
      <w:bookmarkEnd w:id="174"/>
      <w:bookmarkEnd w:id="175"/>
      <w:bookmarkEnd w:id="176"/>
    </w:p>
    <w:p w:rsidR="00610AD5" w:rsidRPr="00610AD5" w:rsidRDefault="00610AD5" w:rsidP="00610AD5">
      <w:pPr>
        <w:rPr>
          <w:lang w:val="fr-CH"/>
        </w:rPr>
      </w:pPr>
      <w:r w:rsidRPr="00610AD5">
        <w:rPr>
          <w:lang w:val="fr-CH"/>
        </w:rPr>
        <w:t>Le traitement des dispositifs à faible portée ainsi que des services qui bénéficient de l'exemption des redevances susmentionnées devrait également être clairement défini et les conditions associées pourraient être spécifiées.</w:t>
      </w:r>
    </w:p>
    <w:p w:rsidR="00610AD5" w:rsidRPr="00610AD5" w:rsidRDefault="00610AD5" w:rsidP="00E4064E">
      <w:pPr>
        <w:pStyle w:val="Heading1"/>
      </w:pPr>
      <w:bookmarkStart w:id="177" w:name="_Toc280260040"/>
      <w:bookmarkStart w:id="178" w:name="_Toc280260898"/>
      <w:bookmarkStart w:id="179" w:name="_Toc280272501"/>
      <w:r w:rsidRPr="00610AD5">
        <w:t>8</w:t>
      </w:r>
      <w:r w:rsidRPr="00610AD5">
        <w:tab/>
        <w:t>Redevances afférentes à l'annulation, la reproduction et la modification d'une autorisation</w:t>
      </w:r>
      <w:bookmarkEnd w:id="177"/>
      <w:bookmarkEnd w:id="178"/>
      <w:bookmarkEnd w:id="179"/>
    </w:p>
    <w:p w:rsidR="00610AD5" w:rsidRPr="00610AD5" w:rsidRDefault="00610AD5" w:rsidP="00610AD5">
      <w:pPr>
        <w:rPr>
          <w:lang w:val="fr-CH"/>
        </w:rPr>
      </w:pPr>
      <w:r w:rsidRPr="00610AD5">
        <w:rPr>
          <w:lang w:val="fr-CH"/>
        </w:rPr>
        <w:t>Il convient de définir et de spécifier les redevances éventuelles associées dans chaque cas.</w:t>
      </w:r>
    </w:p>
    <w:p w:rsidR="00610AD5" w:rsidRPr="00610AD5" w:rsidRDefault="00610AD5" w:rsidP="00610AD5">
      <w:pPr>
        <w:rPr>
          <w:lang w:val="fr-CH"/>
        </w:rPr>
      </w:pPr>
      <w:r w:rsidRPr="00610AD5">
        <w:rPr>
          <w:lang w:val="fr-CH"/>
        </w:rPr>
        <w:t xml:space="preserve">En outre, il convient de préciser, dans le cas où une modification entraîne une augmentation des redevances d'utilisation du spectre, comment est calculée la différence que doit payer l'utilisateur. Dans le cas où la modification entraîne une diminution des redevances d'utilisation du spectre et que l'Autorité des </w:t>
      </w:r>
      <w:r w:rsidRPr="00610AD5">
        <w:rPr>
          <w:szCs w:val="24"/>
          <w:lang w:val="fr-CH"/>
        </w:rPr>
        <w:t>télécommunications</w:t>
      </w:r>
      <w:r w:rsidRPr="00610AD5">
        <w:rPr>
          <w:lang w:val="fr-CH"/>
        </w:rPr>
        <w:t xml:space="preserve"> doit rembourser la différence à l'utilisateur, il convient d'indiquer comment elle doit rembourser cette somme. </w:t>
      </w:r>
    </w:p>
    <w:p w:rsidR="00610AD5" w:rsidRPr="00610AD5" w:rsidRDefault="00610AD5" w:rsidP="00E4064E">
      <w:pPr>
        <w:pStyle w:val="Heading1"/>
      </w:pPr>
      <w:bookmarkStart w:id="180" w:name="_Toc280260041"/>
      <w:bookmarkStart w:id="181" w:name="_Toc280260899"/>
      <w:bookmarkStart w:id="182" w:name="_Toc280272502"/>
      <w:r w:rsidRPr="00610AD5">
        <w:t>9</w:t>
      </w:r>
      <w:r w:rsidRPr="00610AD5">
        <w:tab/>
        <w:t>Traitement des fréquences d'urgence et de détresse</w:t>
      </w:r>
      <w:bookmarkEnd w:id="180"/>
      <w:bookmarkEnd w:id="181"/>
      <w:bookmarkEnd w:id="182"/>
    </w:p>
    <w:p w:rsidR="00610AD5" w:rsidRPr="00610AD5" w:rsidRDefault="00610AD5" w:rsidP="00610AD5">
      <w:pPr>
        <w:rPr>
          <w:lang w:val="fr-CH"/>
        </w:rPr>
      </w:pPr>
      <w:r w:rsidRPr="00610AD5">
        <w:rPr>
          <w:lang w:val="fr-CH"/>
        </w:rPr>
        <w:t>Il peut être utile d'indiquer que les fréquences et les équipements autorisés de ce type bénéficient d'une exemption de redevances, ou de donner des indications sur la façon dont l'Autorité entend traiter l'utilisation de ces fréquences.</w:t>
      </w:r>
    </w:p>
    <w:p w:rsidR="00610AD5" w:rsidRPr="00610AD5" w:rsidRDefault="00610AD5" w:rsidP="00E4064E">
      <w:pPr>
        <w:pStyle w:val="Heading1"/>
      </w:pPr>
      <w:bookmarkStart w:id="183" w:name="_Toc280260042"/>
      <w:bookmarkStart w:id="184" w:name="_Toc280260900"/>
      <w:bookmarkStart w:id="185" w:name="_Toc280272503"/>
      <w:r w:rsidRPr="00610AD5">
        <w:t>10</w:t>
      </w:r>
      <w:r w:rsidRPr="00610AD5">
        <w:tab/>
        <w:t>Autorisations temporaires</w:t>
      </w:r>
      <w:bookmarkEnd w:id="183"/>
      <w:bookmarkEnd w:id="184"/>
      <w:bookmarkEnd w:id="185"/>
    </w:p>
    <w:p w:rsidR="00610AD5" w:rsidRPr="00610AD5" w:rsidRDefault="00610AD5" w:rsidP="00610AD5">
      <w:pPr>
        <w:rPr>
          <w:lang w:val="fr-CH"/>
        </w:rPr>
      </w:pPr>
      <w:r w:rsidRPr="00610AD5">
        <w:rPr>
          <w:lang w:val="fr-CH"/>
        </w:rPr>
        <w:t xml:space="preserve">Il convient de définir clairement le calcul des redevances à appliquer en pareils cas. </w:t>
      </w:r>
    </w:p>
    <w:p w:rsidR="00610AD5" w:rsidRPr="00610AD5" w:rsidRDefault="00610AD5" w:rsidP="00610AD5">
      <w:pPr>
        <w:rPr>
          <w:lang w:val="fr-CH"/>
        </w:rPr>
      </w:pPr>
      <w:r w:rsidRPr="00610AD5">
        <w:rPr>
          <w:lang w:val="fr-CH"/>
        </w:rPr>
        <w:t>Il peut être utile d'indiquer les redevances minimales, l'unité de temps minimale utilisée pour calculer les redevances afférentes à ces autorisations, ainsi que d'autres conditions importantes associées.</w:t>
      </w:r>
    </w:p>
    <w:p w:rsidR="00610AD5" w:rsidRPr="00610AD5" w:rsidRDefault="00610AD5" w:rsidP="00E4064E">
      <w:pPr>
        <w:keepNext/>
        <w:keepLines/>
        <w:spacing w:before="360"/>
        <w:ind w:left="794" w:hanging="794"/>
        <w:outlineLvl w:val="0"/>
        <w:rPr>
          <w:b/>
        </w:rPr>
      </w:pPr>
      <w:bookmarkStart w:id="186" w:name="_Toc280260043"/>
      <w:bookmarkStart w:id="187" w:name="_Toc280260901"/>
      <w:bookmarkStart w:id="188" w:name="_Toc280272504"/>
      <w:r w:rsidRPr="00E4064E">
        <w:rPr>
          <w:rStyle w:val="Heading1Char"/>
        </w:rPr>
        <w:lastRenderedPageBreak/>
        <w:t>11</w:t>
      </w:r>
      <w:r w:rsidRPr="00E4064E">
        <w:rPr>
          <w:rStyle w:val="Heading1Char"/>
        </w:rPr>
        <w:tab/>
        <w:t>Répondre aux besoins d'autres services de radiocommunication qui ne sont pas</w:t>
      </w:r>
      <w:r w:rsidRPr="00610AD5">
        <w:rPr>
          <w:b/>
        </w:rPr>
        <w:t xml:space="preserve"> mentionnés</w:t>
      </w:r>
      <w:bookmarkEnd w:id="186"/>
      <w:bookmarkEnd w:id="187"/>
      <w:bookmarkEnd w:id="188"/>
      <w:r w:rsidRPr="00610AD5">
        <w:rPr>
          <w:b/>
        </w:rPr>
        <w:t xml:space="preserve"> </w:t>
      </w:r>
    </w:p>
    <w:p w:rsidR="00610AD5" w:rsidRPr="00610AD5" w:rsidRDefault="00610AD5" w:rsidP="00610AD5">
      <w:pPr>
        <w:rPr>
          <w:lang w:val="fr-CH"/>
        </w:rPr>
      </w:pPr>
      <w:r w:rsidRPr="00610AD5">
        <w:rPr>
          <w:lang w:val="fr-CH"/>
        </w:rPr>
        <w:t>La politique pourrait inclure un article habilitant l'Autorité à fixer et à appliquer les redevances appropriées pour tout autre service de radiocommunication/hertzien non mentionné dans ladite politique.</w:t>
      </w:r>
    </w:p>
    <w:p w:rsidR="00610AD5" w:rsidRPr="00610AD5" w:rsidRDefault="00610AD5" w:rsidP="00E4064E">
      <w:pPr>
        <w:pStyle w:val="Heading1"/>
      </w:pPr>
      <w:bookmarkStart w:id="189" w:name="_Toc280260044"/>
      <w:bookmarkStart w:id="190" w:name="_Toc280260902"/>
      <w:bookmarkStart w:id="191" w:name="_Toc280272505"/>
      <w:r w:rsidRPr="00610AD5">
        <w:t>12</w:t>
      </w:r>
      <w:r w:rsidRPr="00610AD5">
        <w:tab/>
        <w:t>Autres redevances</w:t>
      </w:r>
      <w:bookmarkEnd w:id="189"/>
      <w:bookmarkEnd w:id="190"/>
      <w:bookmarkEnd w:id="191"/>
    </w:p>
    <w:p w:rsidR="00610AD5" w:rsidRPr="00610AD5" w:rsidRDefault="00610AD5" w:rsidP="00610AD5">
      <w:pPr>
        <w:rPr>
          <w:lang w:val="fr-CH"/>
        </w:rPr>
      </w:pPr>
      <w:r w:rsidRPr="00610AD5">
        <w:rPr>
          <w:lang w:val="fr-CH"/>
        </w:rPr>
        <w:t>Il peut être également fait mention de l'application de redevances afférentes à des services spéciaux demandés par l'Autorité, comme le traitement et le suivi des plaintes concernant les brouillages et la réalisation d'études de site.</w:t>
      </w:r>
    </w:p>
    <w:p w:rsidR="00610AD5" w:rsidRPr="00610AD5" w:rsidRDefault="00610AD5" w:rsidP="00610AD5">
      <w:pPr>
        <w:tabs>
          <w:tab w:val="clear" w:pos="794"/>
          <w:tab w:val="clear" w:pos="1191"/>
          <w:tab w:val="clear" w:pos="1588"/>
          <w:tab w:val="clear" w:pos="1985"/>
        </w:tabs>
        <w:overflowPunct/>
        <w:autoSpaceDE/>
        <w:autoSpaceDN/>
        <w:adjustRightInd/>
        <w:spacing w:before="0"/>
        <w:jc w:val="left"/>
        <w:textAlignment w:val="auto"/>
        <w:rPr>
          <w:b/>
          <w:szCs w:val="19"/>
        </w:rPr>
      </w:pPr>
      <w:r w:rsidRPr="00610AD5">
        <w:rPr>
          <w:b/>
          <w:szCs w:val="19"/>
        </w:rPr>
        <w:br w:type="page"/>
      </w:r>
    </w:p>
    <w:p w:rsidR="00610AD5" w:rsidRPr="00BC495B" w:rsidRDefault="00610AD5" w:rsidP="00E4064E">
      <w:pPr>
        <w:pStyle w:val="AppendixNotitle"/>
      </w:pPr>
      <w:bookmarkStart w:id="192" w:name="_Toc280260045"/>
      <w:bookmarkStart w:id="193" w:name="_Toc280260903"/>
      <w:bookmarkStart w:id="194" w:name="_Toc280272506"/>
      <w:r w:rsidRPr="00610AD5">
        <w:lastRenderedPageBreak/>
        <w:t>Appendix 1.2 (English)</w:t>
      </w:r>
      <w:r w:rsidRPr="00610AD5">
        <w:rPr>
          <w:bCs/>
        </w:rPr>
        <w:br/>
      </w:r>
      <w:r w:rsidRPr="00610AD5">
        <w:rPr>
          <w:bCs/>
        </w:rPr>
        <w:br/>
      </w:r>
      <w:r w:rsidRPr="00BC495B">
        <w:t>United Arab Emirates: Proposed example on spectrum fees policy</w:t>
      </w:r>
      <w:bookmarkEnd w:id="192"/>
      <w:bookmarkEnd w:id="193"/>
      <w:bookmarkEnd w:id="194"/>
    </w:p>
    <w:p w:rsidR="00610AD5" w:rsidRPr="00610AD5" w:rsidRDefault="00610AD5" w:rsidP="00610AD5"/>
    <w:p w:rsidR="00610AD5" w:rsidRPr="00610AD5" w:rsidRDefault="00610AD5" w:rsidP="00610AD5">
      <w:pPr>
        <w:suppressAutoHyphens/>
        <w:jc w:val="center"/>
        <w:rPr>
          <w:b/>
        </w:rPr>
      </w:pPr>
      <w:r w:rsidRPr="00610AD5">
        <w:rPr>
          <w:b/>
        </w:rPr>
        <w:t>TABLE OF CONTENTS</w:t>
      </w:r>
    </w:p>
    <w:p w:rsidR="00610AD5" w:rsidRPr="00610AD5" w:rsidRDefault="00610AD5" w:rsidP="00610AD5">
      <w:pPr>
        <w:suppressAutoHyphens/>
        <w:rPr>
          <w:bCs/>
        </w:rPr>
      </w:pPr>
    </w:p>
    <w:p w:rsidR="00610AD5" w:rsidRPr="00610AD5" w:rsidRDefault="00610AD5" w:rsidP="00610AD5">
      <w:pPr>
        <w:keepNext/>
        <w:tabs>
          <w:tab w:val="clear" w:pos="794"/>
          <w:tab w:val="clear" w:pos="1191"/>
          <w:tab w:val="clear" w:pos="1588"/>
          <w:tab w:val="clear" w:pos="1985"/>
          <w:tab w:val="right" w:pos="9639"/>
        </w:tabs>
        <w:jc w:val="left"/>
        <w:rPr>
          <w:b/>
          <w:i/>
          <w:iCs/>
        </w:rPr>
      </w:pPr>
      <w:r w:rsidRPr="00610AD5">
        <w:rPr>
          <w:i/>
          <w:iCs/>
        </w:rPr>
        <w:tab/>
      </w:r>
      <w:r w:rsidRPr="00610AD5">
        <w:rPr>
          <w:b/>
          <w:i/>
          <w:iCs/>
        </w:rPr>
        <w:t>Page</w:t>
      </w:r>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r w:rsidRPr="005D1F2F">
        <w:rPr>
          <w:noProof/>
          <w:szCs w:val="24"/>
          <w:lang w:val="en-US"/>
        </w:rPr>
        <w:fldChar w:fldCharType="begin"/>
      </w:r>
      <w:r w:rsidR="00610AD5" w:rsidRPr="00610AD5">
        <w:rPr>
          <w:noProof/>
          <w:szCs w:val="24"/>
          <w:lang w:val="en-US"/>
        </w:rPr>
        <w:instrText xml:space="preserve"> TOC \h \z \t "Art_title;1" </w:instrText>
      </w:r>
      <w:r w:rsidRPr="005D1F2F">
        <w:rPr>
          <w:noProof/>
          <w:szCs w:val="24"/>
          <w:lang w:val="en-US"/>
        </w:rPr>
        <w:fldChar w:fldCharType="separate"/>
      </w:r>
      <w:hyperlink w:anchor="_Toc280272715" w:history="1">
        <w:r w:rsidR="00610AD5" w:rsidRPr="00C608EC">
          <w:rPr>
            <w:noProof/>
            <w:szCs w:val="24"/>
            <w:lang w:val="en-US"/>
          </w:rPr>
          <w:t>Article 1 – Purpose</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_Toc280272715 \h </w:instrText>
        </w:r>
        <w:r w:rsidRPr="00C608EC">
          <w:rPr>
            <w:noProof/>
            <w:webHidden/>
            <w:szCs w:val="24"/>
            <w:lang w:val="en-US"/>
          </w:rPr>
        </w:r>
        <w:r w:rsidRPr="00C608EC">
          <w:rPr>
            <w:noProof/>
            <w:webHidden/>
            <w:szCs w:val="24"/>
            <w:lang w:val="en-US"/>
          </w:rPr>
          <w:fldChar w:fldCharType="separate"/>
        </w:r>
        <w:r w:rsidR="00510183">
          <w:rPr>
            <w:noProof/>
            <w:webHidden/>
            <w:szCs w:val="24"/>
            <w:lang w:val="en-US"/>
          </w:rPr>
          <w:t>27</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716" w:history="1">
        <w:r w:rsidR="00610AD5" w:rsidRPr="00C608EC">
          <w:rPr>
            <w:noProof/>
            <w:szCs w:val="24"/>
            <w:lang w:val="en-US"/>
          </w:rPr>
          <w:t>Article 2 – Definitions</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_Toc280272716 \h </w:instrText>
        </w:r>
        <w:r w:rsidRPr="00C608EC">
          <w:rPr>
            <w:noProof/>
            <w:webHidden/>
            <w:szCs w:val="24"/>
            <w:lang w:val="en-US"/>
          </w:rPr>
        </w:r>
        <w:r w:rsidRPr="00C608EC">
          <w:rPr>
            <w:noProof/>
            <w:webHidden/>
            <w:szCs w:val="24"/>
            <w:lang w:val="en-US"/>
          </w:rPr>
          <w:fldChar w:fldCharType="separate"/>
        </w:r>
        <w:r w:rsidR="00510183">
          <w:rPr>
            <w:noProof/>
            <w:webHidden/>
            <w:szCs w:val="24"/>
            <w:lang w:val="en-US"/>
          </w:rPr>
          <w:t>27</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717" w:history="1">
        <w:r w:rsidR="00610AD5" w:rsidRPr="00C608EC">
          <w:rPr>
            <w:noProof/>
            <w:szCs w:val="24"/>
            <w:lang w:val="en-US"/>
          </w:rPr>
          <w:t>Article 3 – Application processing Fees</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_Toc280272717 \h </w:instrText>
        </w:r>
        <w:r w:rsidRPr="00C608EC">
          <w:rPr>
            <w:noProof/>
            <w:webHidden/>
            <w:szCs w:val="24"/>
            <w:lang w:val="en-US"/>
          </w:rPr>
        </w:r>
        <w:r w:rsidRPr="00C608EC">
          <w:rPr>
            <w:noProof/>
            <w:webHidden/>
            <w:szCs w:val="24"/>
            <w:lang w:val="en-US"/>
          </w:rPr>
          <w:fldChar w:fldCharType="separate"/>
        </w:r>
        <w:r w:rsidR="00510183">
          <w:rPr>
            <w:noProof/>
            <w:webHidden/>
            <w:szCs w:val="24"/>
            <w:lang w:val="en-US"/>
          </w:rPr>
          <w:t>28</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718" w:history="1">
        <w:r w:rsidR="00610AD5" w:rsidRPr="00C608EC">
          <w:rPr>
            <w:noProof/>
            <w:szCs w:val="24"/>
            <w:lang w:val="en-US"/>
          </w:rPr>
          <w:t>Article 4 – Exemption from Application processing Fees</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_Toc280272718 \h </w:instrText>
        </w:r>
        <w:r w:rsidRPr="00C608EC">
          <w:rPr>
            <w:noProof/>
            <w:webHidden/>
            <w:szCs w:val="24"/>
            <w:lang w:val="en-US"/>
          </w:rPr>
        </w:r>
        <w:r w:rsidRPr="00C608EC">
          <w:rPr>
            <w:noProof/>
            <w:webHidden/>
            <w:szCs w:val="24"/>
            <w:lang w:val="en-US"/>
          </w:rPr>
          <w:fldChar w:fldCharType="separate"/>
        </w:r>
        <w:r w:rsidR="00510183">
          <w:rPr>
            <w:noProof/>
            <w:webHidden/>
            <w:szCs w:val="24"/>
            <w:lang w:val="en-US"/>
          </w:rPr>
          <w:t>28</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719" w:history="1">
        <w:r w:rsidR="00610AD5" w:rsidRPr="00C608EC">
          <w:rPr>
            <w:noProof/>
            <w:szCs w:val="24"/>
            <w:lang w:val="en-US"/>
          </w:rPr>
          <w:t>Article 5 – Spectrum Fees for fresh Application</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_Toc280272719 \h </w:instrText>
        </w:r>
        <w:r w:rsidRPr="00C608EC">
          <w:rPr>
            <w:noProof/>
            <w:webHidden/>
            <w:szCs w:val="24"/>
            <w:lang w:val="en-US"/>
          </w:rPr>
        </w:r>
        <w:r w:rsidRPr="00C608EC">
          <w:rPr>
            <w:noProof/>
            <w:webHidden/>
            <w:szCs w:val="24"/>
            <w:lang w:val="en-US"/>
          </w:rPr>
          <w:fldChar w:fldCharType="separate"/>
        </w:r>
        <w:r w:rsidR="00510183">
          <w:rPr>
            <w:noProof/>
            <w:webHidden/>
            <w:szCs w:val="24"/>
            <w:lang w:val="en-US"/>
          </w:rPr>
          <w:t>28</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720" w:history="1">
        <w:r w:rsidR="00610AD5" w:rsidRPr="00C608EC">
          <w:rPr>
            <w:noProof/>
            <w:szCs w:val="24"/>
            <w:lang w:val="en-US"/>
          </w:rPr>
          <w:t>Article 6 – Spectrum Fees for renewal of Authorization</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_Toc280272720 \h </w:instrText>
        </w:r>
        <w:r w:rsidRPr="00C608EC">
          <w:rPr>
            <w:noProof/>
            <w:webHidden/>
            <w:szCs w:val="24"/>
            <w:lang w:val="en-US"/>
          </w:rPr>
        </w:r>
        <w:r w:rsidRPr="00C608EC">
          <w:rPr>
            <w:noProof/>
            <w:webHidden/>
            <w:szCs w:val="24"/>
            <w:lang w:val="en-US"/>
          </w:rPr>
          <w:fldChar w:fldCharType="separate"/>
        </w:r>
        <w:r w:rsidR="00510183">
          <w:rPr>
            <w:noProof/>
            <w:webHidden/>
            <w:szCs w:val="24"/>
            <w:lang w:val="en-US"/>
          </w:rPr>
          <w:t>29</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721" w:history="1">
        <w:r w:rsidR="00610AD5" w:rsidRPr="00C608EC">
          <w:rPr>
            <w:noProof/>
            <w:szCs w:val="24"/>
            <w:lang w:val="en-US"/>
          </w:rPr>
          <w:t>Article 7 – Additional Fees for delayed renewal of Authorization</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_Toc280272721 \h </w:instrText>
        </w:r>
        <w:r w:rsidRPr="00C608EC">
          <w:rPr>
            <w:noProof/>
            <w:webHidden/>
            <w:szCs w:val="24"/>
            <w:lang w:val="en-US"/>
          </w:rPr>
        </w:r>
        <w:r w:rsidRPr="00C608EC">
          <w:rPr>
            <w:noProof/>
            <w:webHidden/>
            <w:szCs w:val="24"/>
            <w:lang w:val="en-US"/>
          </w:rPr>
          <w:fldChar w:fldCharType="separate"/>
        </w:r>
        <w:r w:rsidR="00510183">
          <w:rPr>
            <w:noProof/>
            <w:webHidden/>
            <w:szCs w:val="24"/>
            <w:lang w:val="en-US"/>
          </w:rPr>
          <w:t>29</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722" w:history="1">
        <w:r w:rsidR="00610AD5" w:rsidRPr="00C608EC">
          <w:rPr>
            <w:noProof/>
            <w:szCs w:val="24"/>
            <w:lang w:val="en-US"/>
          </w:rPr>
          <w:t>Article 8 – Authorization reproduction fees</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_Toc280272722 \h </w:instrText>
        </w:r>
        <w:r w:rsidRPr="00C608EC">
          <w:rPr>
            <w:noProof/>
            <w:webHidden/>
            <w:szCs w:val="24"/>
            <w:lang w:val="en-US"/>
          </w:rPr>
        </w:r>
        <w:r w:rsidRPr="00C608EC">
          <w:rPr>
            <w:noProof/>
            <w:webHidden/>
            <w:szCs w:val="24"/>
            <w:lang w:val="en-US"/>
          </w:rPr>
          <w:fldChar w:fldCharType="separate"/>
        </w:r>
        <w:r w:rsidR="00510183">
          <w:rPr>
            <w:noProof/>
            <w:webHidden/>
            <w:szCs w:val="24"/>
            <w:lang w:val="en-US"/>
          </w:rPr>
          <w:t>29</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723" w:history="1">
        <w:r w:rsidR="00610AD5" w:rsidRPr="00C608EC">
          <w:rPr>
            <w:noProof/>
            <w:szCs w:val="24"/>
            <w:lang w:val="en-US"/>
          </w:rPr>
          <w:t>Article 9 – Authorization modification fees</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_Toc280272723 \h </w:instrText>
        </w:r>
        <w:r w:rsidRPr="00C608EC">
          <w:rPr>
            <w:noProof/>
            <w:webHidden/>
            <w:szCs w:val="24"/>
            <w:lang w:val="en-US"/>
          </w:rPr>
        </w:r>
        <w:r w:rsidRPr="00C608EC">
          <w:rPr>
            <w:noProof/>
            <w:webHidden/>
            <w:szCs w:val="24"/>
            <w:lang w:val="en-US"/>
          </w:rPr>
          <w:fldChar w:fldCharType="separate"/>
        </w:r>
        <w:r w:rsidR="00510183">
          <w:rPr>
            <w:noProof/>
            <w:webHidden/>
            <w:szCs w:val="24"/>
            <w:lang w:val="en-US"/>
          </w:rPr>
          <w:t>29</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724" w:history="1">
        <w:r w:rsidR="00610AD5" w:rsidRPr="00C608EC">
          <w:rPr>
            <w:noProof/>
            <w:szCs w:val="24"/>
            <w:lang w:val="en-US"/>
          </w:rPr>
          <w:t>Article 10 – Authorization cancellation fees</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_Toc280272724 \h </w:instrText>
        </w:r>
        <w:r w:rsidRPr="00C608EC">
          <w:rPr>
            <w:noProof/>
            <w:webHidden/>
            <w:szCs w:val="24"/>
            <w:lang w:val="en-US"/>
          </w:rPr>
        </w:r>
        <w:r w:rsidRPr="00C608EC">
          <w:rPr>
            <w:noProof/>
            <w:webHidden/>
            <w:szCs w:val="24"/>
            <w:lang w:val="en-US"/>
          </w:rPr>
          <w:fldChar w:fldCharType="separate"/>
        </w:r>
        <w:r w:rsidR="00510183">
          <w:rPr>
            <w:noProof/>
            <w:webHidden/>
            <w:szCs w:val="24"/>
            <w:lang w:val="en-US"/>
          </w:rPr>
          <w:t>29</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725" w:history="1">
        <w:r w:rsidR="00610AD5" w:rsidRPr="00C608EC">
          <w:rPr>
            <w:noProof/>
            <w:szCs w:val="24"/>
            <w:lang w:val="en-US"/>
          </w:rPr>
          <w:t>Article 11 – Spectrum Fees for Public Land Mobile (Cellular) Service</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_Toc280272725 \h </w:instrText>
        </w:r>
        <w:r w:rsidRPr="00C608EC">
          <w:rPr>
            <w:noProof/>
            <w:webHidden/>
            <w:szCs w:val="24"/>
            <w:lang w:val="en-US"/>
          </w:rPr>
        </w:r>
        <w:r w:rsidRPr="00C608EC">
          <w:rPr>
            <w:noProof/>
            <w:webHidden/>
            <w:szCs w:val="24"/>
            <w:lang w:val="en-US"/>
          </w:rPr>
          <w:fldChar w:fldCharType="separate"/>
        </w:r>
        <w:r w:rsidR="00510183">
          <w:rPr>
            <w:noProof/>
            <w:webHidden/>
            <w:szCs w:val="24"/>
            <w:lang w:val="en-US"/>
          </w:rPr>
          <w:t>30</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726" w:history="1">
        <w:r w:rsidR="00610AD5" w:rsidRPr="00C608EC">
          <w:rPr>
            <w:noProof/>
            <w:szCs w:val="24"/>
            <w:lang w:val="en-US"/>
          </w:rPr>
          <w:t>Article 12 – Spectrum Fees for Private Mobile Radio, paging and trunking</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_Toc280272726 \h </w:instrText>
        </w:r>
        <w:r w:rsidRPr="00C608EC">
          <w:rPr>
            <w:noProof/>
            <w:webHidden/>
            <w:szCs w:val="24"/>
            <w:lang w:val="en-US"/>
          </w:rPr>
        </w:r>
        <w:r w:rsidRPr="00C608EC">
          <w:rPr>
            <w:noProof/>
            <w:webHidden/>
            <w:szCs w:val="24"/>
            <w:lang w:val="en-US"/>
          </w:rPr>
          <w:fldChar w:fldCharType="separate"/>
        </w:r>
        <w:r w:rsidR="00510183">
          <w:rPr>
            <w:noProof/>
            <w:webHidden/>
            <w:szCs w:val="24"/>
            <w:lang w:val="en-US"/>
          </w:rPr>
          <w:t>30</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727" w:history="1">
        <w:r w:rsidR="00610AD5" w:rsidRPr="00C608EC">
          <w:rPr>
            <w:noProof/>
            <w:szCs w:val="24"/>
            <w:lang w:val="en-US"/>
          </w:rPr>
          <w:t>Article 13 – Spectrum Fees for Fixed (point to point) links</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_Toc280272727 \h </w:instrText>
        </w:r>
        <w:r w:rsidRPr="00C608EC">
          <w:rPr>
            <w:noProof/>
            <w:webHidden/>
            <w:szCs w:val="24"/>
            <w:lang w:val="en-US"/>
          </w:rPr>
        </w:r>
        <w:r w:rsidRPr="00C608EC">
          <w:rPr>
            <w:noProof/>
            <w:webHidden/>
            <w:szCs w:val="24"/>
            <w:lang w:val="en-US"/>
          </w:rPr>
          <w:fldChar w:fldCharType="separate"/>
        </w:r>
        <w:r w:rsidR="00510183">
          <w:rPr>
            <w:noProof/>
            <w:webHidden/>
            <w:szCs w:val="24"/>
            <w:lang w:val="en-US"/>
          </w:rPr>
          <w:t>32</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728" w:history="1">
        <w:r w:rsidR="00610AD5" w:rsidRPr="00C608EC">
          <w:rPr>
            <w:noProof/>
            <w:szCs w:val="24"/>
            <w:lang w:val="en-US"/>
          </w:rPr>
          <w:t>Article 14 – Spectrum Fees for FWA, SCADA, Telemetry, Mesh Networks</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_Toc280272728 \h </w:instrText>
        </w:r>
        <w:r w:rsidRPr="00C608EC">
          <w:rPr>
            <w:noProof/>
            <w:webHidden/>
            <w:szCs w:val="24"/>
            <w:lang w:val="en-US"/>
          </w:rPr>
        </w:r>
        <w:r w:rsidRPr="00C608EC">
          <w:rPr>
            <w:noProof/>
            <w:webHidden/>
            <w:szCs w:val="24"/>
            <w:lang w:val="en-US"/>
          </w:rPr>
          <w:fldChar w:fldCharType="separate"/>
        </w:r>
        <w:r w:rsidR="00510183">
          <w:rPr>
            <w:noProof/>
            <w:webHidden/>
            <w:szCs w:val="24"/>
            <w:lang w:val="en-US"/>
          </w:rPr>
          <w:t>33</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729" w:history="1">
        <w:r w:rsidR="00610AD5" w:rsidRPr="00C608EC">
          <w:rPr>
            <w:noProof/>
            <w:szCs w:val="24"/>
            <w:lang w:val="en-US"/>
          </w:rPr>
          <w:t>Article 15 – Spectrum Fees for Mobile Broadband Wireless Access</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_Toc280272729 \h </w:instrText>
        </w:r>
        <w:r w:rsidRPr="00C608EC">
          <w:rPr>
            <w:noProof/>
            <w:webHidden/>
            <w:szCs w:val="24"/>
            <w:lang w:val="en-US"/>
          </w:rPr>
        </w:r>
        <w:r w:rsidRPr="00C608EC">
          <w:rPr>
            <w:noProof/>
            <w:webHidden/>
            <w:szCs w:val="24"/>
            <w:lang w:val="en-US"/>
          </w:rPr>
          <w:fldChar w:fldCharType="separate"/>
        </w:r>
        <w:r w:rsidR="00510183">
          <w:rPr>
            <w:noProof/>
            <w:webHidden/>
            <w:szCs w:val="24"/>
            <w:lang w:val="en-US"/>
          </w:rPr>
          <w:t>33</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730" w:history="1">
        <w:r w:rsidR="00610AD5" w:rsidRPr="00C608EC">
          <w:rPr>
            <w:noProof/>
            <w:szCs w:val="24"/>
            <w:lang w:val="en-US"/>
          </w:rPr>
          <w:t>Article 16 – Spectrum Fees for Optical and laser links</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_Toc280272730 \h </w:instrText>
        </w:r>
        <w:r w:rsidRPr="00C608EC">
          <w:rPr>
            <w:noProof/>
            <w:webHidden/>
            <w:szCs w:val="24"/>
            <w:lang w:val="en-US"/>
          </w:rPr>
        </w:r>
        <w:r w:rsidRPr="00C608EC">
          <w:rPr>
            <w:noProof/>
            <w:webHidden/>
            <w:szCs w:val="24"/>
            <w:lang w:val="en-US"/>
          </w:rPr>
          <w:fldChar w:fldCharType="separate"/>
        </w:r>
        <w:r w:rsidR="00510183">
          <w:rPr>
            <w:noProof/>
            <w:webHidden/>
            <w:szCs w:val="24"/>
            <w:lang w:val="en-US"/>
          </w:rPr>
          <w:t>34</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731" w:history="1">
        <w:r w:rsidR="00610AD5" w:rsidRPr="00C608EC">
          <w:rPr>
            <w:noProof/>
            <w:szCs w:val="24"/>
            <w:lang w:val="en-US"/>
          </w:rPr>
          <w:t>Article 17 – Spectrum Fees for WLAN and cordless telephony</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_Toc280272731 \h </w:instrText>
        </w:r>
        <w:r w:rsidRPr="00C608EC">
          <w:rPr>
            <w:noProof/>
            <w:webHidden/>
            <w:szCs w:val="24"/>
            <w:lang w:val="en-US"/>
          </w:rPr>
        </w:r>
        <w:r w:rsidRPr="00C608EC">
          <w:rPr>
            <w:noProof/>
            <w:webHidden/>
            <w:szCs w:val="24"/>
            <w:lang w:val="en-US"/>
          </w:rPr>
          <w:fldChar w:fldCharType="separate"/>
        </w:r>
        <w:r w:rsidR="00510183">
          <w:rPr>
            <w:noProof/>
            <w:webHidden/>
            <w:szCs w:val="24"/>
            <w:lang w:val="en-US"/>
          </w:rPr>
          <w:t>34</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732" w:history="1">
        <w:r w:rsidR="00610AD5" w:rsidRPr="00C608EC">
          <w:rPr>
            <w:noProof/>
            <w:szCs w:val="24"/>
            <w:lang w:val="en-US"/>
          </w:rPr>
          <w:t>Article 18 – Spectrum Fees for GMPCS</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_Toc280272732 \h </w:instrText>
        </w:r>
        <w:r w:rsidRPr="00C608EC">
          <w:rPr>
            <w:noProof/>
            <w:webHidden/>
            <w:szCs w:val="24"/>
            <w:lang w:val="en-US"/>
          </w:rPr>
        </w:r>
        <w:r w:rsidRPr="00C608EC">
          <w:rPr>
            <w:noProof/>
            <w:webHidden/>
            <w:szCs w:val="24"/>
            <w:lang w:val="en-US"/>
          </w:rPr>
          <w:fldChar w:fldCharType="separate"/>
        </w:r>
        <w:r w:rsidR="00510183">
          <w:rPr>
            <w:noProof/>
            <w:webHidden/>
            <w:szCs w:val="24"/>
            <w:lang w:val="en-US"/>
          </w:rPr>
          <w:t>34</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733" w:history="1">
        <w:r w:rsidR="00610AD5" w:rsidRPr="00C608EC">
          <w:rPr>
            <w:noProof/>
            <w:szCs w:val="24"/>
            <w:lang w:val="en-US"/>
          </w:rPr>
          <w:t>Article 19 – Spectrum Fees for Amateur</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_Toc280272733 \h </w:instrText>
        </w:r>
        <w:r w:rsidRPr="00C608EC">
          <w:rPr>
            <w:noProof/>
            <w:webHidden/>
            <w:szCs w:val="24"/>
            <w:lang w:val="en-US"/>
          </w:rPr>
        </w:r>
        <w:r w:rsidRPr="00C608EC">
          <w:rPr>
            <w:noProof/>
            <w:webHidden/>
            <w:szCs w:val="24"/>
            <w:lang w:val="en-US"/>
          </w:rPr>
          <w:fldChar w:fldCharType="separate"/>
        </w:r>
        <w:r w:rsidR="00510183">
          <w:rPr>
            <w:noProof/>
            <w:webHidden/>
            <w:szCs w:val="24"/>
            <w:lang w:val="en-US"/>
          </w:rPr>
          <w:t>35</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734" w:history="1">
        <w:r w:rsidR="00610AD5" w:rsidRPr="00C608EC">
          <w:rPr>
            <w:noProof/>
            <w:szCs w:val="24"/>
            <w:lang w:val="en-US"/>
          </w:rPr>
          <w:t>Article 20 – Spectrum Fees for Aeronautical Radio Stations</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_Toc280272734 \h </w:instrText>
        </w:r>
        <w:r w:rsidRPr="00C608EC">
          <w:rPr>
            <w:noProof/>
            <w:webHidden/>
            <w:szCs w:val="24"/>
            <w:lang w:val="en-US"/>
          </w:rPr>
        </w:r>
        <w:r w:rsidRPr="00C608EC">
          <w:rPr>
            <w:noProof/>
            <w:webHidden/>
            <w:szCs w:val="24"/>
            <w:lang w:val="en-US"/>
          </w:rPr>
          <w:fldChar w:fldCharType="separate"/>
        </w:r>
        <w:r w:rsidR="00510183">
          <w:rPr>
            <w:noProof/>
            <w:webHidden/>
            <w:szCs w:val="24"/>
            <w:lang w:val="en-US"/>
          </w:rPr>
          <w:t>35</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735" w:history="1">
        <w:r w:rsidR="00610AD5" w:rsidRPr="00C608EC">
          <w:rPr>
            <w:noProof/>
            <w:szCs w:val="24"/>
            <w:lang w:val="en-US"/>
          </w:rPr>
          <w:t>Article 21 – Spectrum Fees for Maritime Radio Services</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_Toc280272735 \h </w:instrText>
        </w:r>
        <w:r w:rsidRPr="00C608EC">
          <w:rPr>
            <w:noProof/>
            <w:webHidden/>
            <w:szCs w:val="24"/>
            <w:lang w:val="en-US"/>
          </w:rPr>
        </w:r>
        <w:r w:rsidRPr="00C608EC">
          <w:rPr>
            <w:noProof/>
            <w:webHidden/>
            <w:szCs w:val="24"/>
            <w:lang w:val="en-US"/>
          </w:rPr>
          <w:fldChar w:fldCharType="separate"/>
        </w:r>
        <w:r w:rsidR="00510183">
          <w:rPr>
            <w:noProof/>
            <w:webHidden/>
            <w:szCs w:val="24"/>
            <w:lang w:val="en-US"/>
          </w:rPr>
          <w:t>35</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736" w:history="1">
        <w:r w:rsidR="00610AD5" w:rsidRPr="00C608EC">
          <w:rPr>
            <w:noProof/>
            <w:szCs w:val="24"/>
            <w:lang w:val="en-US"/>
          </w:rPr>
          <w:t>Article 22 – Spectrum Fees for Space Services and Ancillary</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_Toc280272736 \h </w:instrText>
        </w:r>
        <w:r w:rsidRPr="00C608EC">
          <w:rPr>
            <w:noProof/>
            <w:webHidden/>
            <w:szCs w:val="24"/>
            <w:lang w:val="en-US"/>
          </w:rPr>
        </w:r>
        <w:r w:rsidRPr="00C608EC">
          <w:rPr>
            <w:noProof/>
            <w:webHidden/>
            <w:szCs w:val="24"/>
            <w:lang w:val="en-US"/>
          </w:rPr>
          <w:fldChar w:fldCharType="separate"/>
        </w:r>
        <w:r w:rsidR="00510183">
          <w:rPr>
            <w:noProof/>
            <w:webHidden/>
            <w:szCs w:val="24"/>
            <w:lang w:val="en-US"/>
          </w:rPr>
          <w:t>36</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737" w:history="1">
        <w:r w:rsidR="00610AD5" w:rsidRPr="00C608EC">
          <w:rPr>
            <w:noProof/>
            <w:szCs w:val="24"/>
            <w:lang w:val="en-US"/>
          </w:rPr>
          <w:t>Article 23 – Spectrum Fees for Radionavigation stations</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_Toc280272737 \h </w:instrText>
        </w:r>
        <w:r w:rsidRPr="00C608EC">
          <w:rPr>
            <w:noProof/>
            <w:webHidden/>
            <w:szCs w:val="24"/>
            <w:lang w:val="en-US"/>
          </w:rPr>
        </w:r>
        <w:r w:rsidRPr="00C608EC">
          <w:rPr>
            <w:noProof/>
            <w:webHidden/>
            <w:szCs w:val="24"/>
            <w:lang w:val="en-US"/>
          </w:rPr>
          <w:fldChar w:fldCharType="separate"/>
        </w:r>
        <w:r w:rsidR="00510183">
          <w:rPr>
            <w:noProof/>
            <w:webHidden/>
            <w:szCs w:val="24"/>
            <w:lang w:val="en-US"/>
          </w:rPr>
          <w:t>36</w:t>
        </w:r>
        <w:r w:rsidRPr="00C608EC">
          <w:rPr>
            <w:noProof/>
            <w:webHidden/>
            <w:szCs w:val="24"/>
            <w:lang w:val="en-US"/>
          </w:rPr>
          <w:fldChar w:fldCharType="end"/>
        </w:r>
      </w:hyperlink>
    </w:p>
    <w:p w:rsidR="00610AD5" w:rsidRPr="00C608EC" w:rsidRDefault="00610AD5" w:rsidP="00610AD5">
      <w:pPr>
        <w:keepNext/>
        <w:tabs>
          <w:tab w:val="clear" w:pos="794"/>
          <w:tab w:val="clear" w:pos="1191"/>
          <w:tab w:val="clear" w:pos="1588"/>
          <w:tab w:val="clear" w:pos="1985"/>
          <w:tab w:val="right" w:pos="9639"/>
        </w:tabs>
        <w:jc w:val="left"/>
        <w:rPr>
          <w:b/>
          <w:i/>
          <w:iCs/>
          <w:noProof/>
        </w:rPr>
      </w:pPr>
      <w:r w:rsidRPr="00C608EC">
        <w:rPr>
          <w:i/>
          <w:iCs/>
          <w:noProof/>
        </w:rPr>
        <w:lastRenderedPageBreak/>
        <w:tab/>
      </w:r>
      <w:r w:rsidRPr="00C608EC">
        <w:rPr>
          <w:b/>
          <w:i/>
          <w:iCs/>
          <w:noProof/>
        </w:rPr>
        <w:t>Page</w:t>
      </w:r>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738" w:history="1">
        <w:r w:rsidR="00610AD5" w:rsidRPr="00C608EC">
          <w:rPr>
            <w:noProof/>
            <w:szCs w:val="24"/>
            <w:lang w:val="en-US"/>
          </w:rPr>
          <w:t>Article 24 – Spectrum Fees for Radio Astronomy stations</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_Toc280272738 \h </w:instrText>
        </w:r>
        <w:r w:rsidRPr="00C608EC">
          <w:rPr>
            <w:noProof/>
            <w:webHidden/>
            <w:szCs w:val="24"/>
            <w:lang w:val="en-US"/>
          </w:rPr>
        </w:r>
        <w:r w:rsidRPr="00C608EC">
          <w:rPr>
            <w:noProof/>
            <w:webHidden/>
            <w:szCs w:val="24"/>
            <w:lang w:val="en-US"/>
          </w:rPr>
          <w:fldChar w:fldCharType="separate"/>
        </w:r>
        <w:r w:rsidR="00510183">
          <w:rPr>
            <w:noProof/>
            <w:webHidden/>
            <w:szCs w:val="24"/>
            <w:lang w:val="en-US"/>
          </w:rPr>
          <w:t>36</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739" w:history="1">
        <w:r w:rsidR="00610AD5" w:rsidRPr="00C608EC">
          <w:rPr>
            <w:noProof/>
            <w:szCs w:val="24"/>
            <w:lang w:val="en-US"/>
          </w:rPr>
          <w:t>Article 25 – Spectrum Fees for Radiolocation stations</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_Toc280272739 \h </w:instrText>
        </w:r>
        <w:r w:rsidRPr="00C608EC">
          <w:rPr>
            <w:noProof/>
            <w:webHidden/>
            <w:szCs w:val="24"/>
            <w:lang w:val="en-US"/>
          </w:rPr>
        </w:r>
        <w:r w:rsidRPr="00C608EC">
          <w:rPr>
            <w:noProof/>
            <w:webHidden/>
            <w:szCs w:val="24"/>
            <w:lang w:val="en-US"/>
          </w:rPr>
          <w:fldChar w:fldCharType="separate"/>
        </w:r>
        <w:r w:rsidR="00510183">
          <w:rPr>
            <w:noProof/>
            <w:webHidden/>
            <w:szCs w:val="24"/>
            <w:lang w:val="en-US"/>
          </w:rPr>
          <w:t>36</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740" w:history="1">
        <w:r w:rsidR="00610AD5" w:rsidRPr="00C608EC">
          <w:rPr>
            <w:noProof/>
            <w:szCs w:val="24"/>
            <w:lang w:val="en-US"/>
          </w:rPr>
          <w:t>Article 26 – Spectrum Fees for Broadcasting Service</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_Toc280272740 \h </w:instrText>
        </w:r>
        <w:r w:rsidRPr="00C608EC">
          <w:rPr>
            <w:noProof/>
            <w:webHidden/>
            <w:szCs w:val="24"/>
            <w:lang w:val="en-US"/>
          </w:rPr>
        </w:r>
        <w:r w:rsidRPr="00C608EC">
          <w:rPr>
            <w:noProof/>
            <w:webHidden/>
            <w:szCs w:val="24"/>
            <w:lang w:val="en-US"/>
          </w:rPr>
          <w:fldChar w:fldCharType="separate"/>
        </w:r>
        <w:r w:rsidR="00510183">
          <w:rPr>
            <w:noProof/>
            <w:webHidden/>
            <w:szCs w:val="24"/>
            <w:lang w:val="en-US"/>
          </w:rPr>
          <w:t>36</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741" w:history="1">
        <w:r w:rsidR="00610AD5" w:rsidRPr="00C608EC">
          <w:rPr>
            <w:noProof/>
            <w:szCs w:val="24"/>
            <w:lang w:val="en-US"/>
          </w:rPr>
          <w:t>Article 27 – Short Range Devices</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_Toc280272741 \h </w:instrText>
        </w:r>
        <w:r w:rsidRPr="00C608EC">
          <w:rPr>
            <w:noProof/>
            <w:webHidden/>
            <w:szCs w:val="24"/>
            <w:lang w:val="en-US"/>
          </w:rPr>
        </w:r>
        <w:r w:rsidRPr="00C608EC">
          <w:rPr>
            <w:noProof/>
            <w:webHidden/>
            <w:szCs w:val="24"/>
            <w:lang w:val="en-US"/>
          </w:rPr>
          <w:fldChar w:fldCharType="separate"/>
        </w:r>
        <w:r w:rsidR="00510183">
          <w:rPr>
            <w:noProof/>
            <w:webHidden/>
            <w:szCs w:val="24"/>
            <w:lang w:val="en-US"/>
          </w:rPr>
          <w:t>40</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742" w:history="1">
        <w:r w:rsidR="00610AD5" w:rsidRPr="00C608EC">
          <w:rPr>
            <w:noProof/>
            <w:szCs w:val="24"/>
            <w:lang w:val="en-US"/>
          </w:rPr>
          <w:t>Article 28</w:t>
        </w:r>
        <w:r w:rsidR="00610AD5" w:rsidRPr="00C608EC">
          <w:rPr>
            <w:bCs/>
            <w:noProof/>
            <w:szCs w:val="24"/>
            <w:lang w:val="en-US"/>
          </w:rPr>
          <w:t xml:space="preserve"> – </w:t>
        </w:r>
        <w:r w:rsidR="00610AD5" w:rsidRPr="00C608EC">
          <w:rPr>
            <w:noProof/>
            <w:szCs w:val="24"/>
            <w:lang w:val="en-US"/>
          </w:rPr>
          <w:t>Emergency and disaster frequencies</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_Toc280272742 \h </w:instrText>
        </w:r>
        <w:r w:rsidRPr="00C608EC">
          <w:rPr>
            <w:noProof/>
            <w:webHidden/>
            <w:szCs w:val="24"/>
            <w:lang w:val="en-US"/>
          </w:rPr>
        </w:r>
        <w:r w:rsidRPr="00C608EC">
          <w:rPr>
            <w:noProof/>
            <w:webHidden/>
            <w:szCs w:val="24"/>
            <w:lang w:val="en-US"/>
          </w:rPr>
          <w:fldChar w:fldCharType="separate"/>
        </w:r>
        <w:r w:rsidR="00510183">
          <w:rPr>
            <w:noProof/>
            <w:webHidden/>
            <w:szCs w:val="24"/>
            <w:lang w:val="en-US"/>
          </w:rPr>
          <w:t>40</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743" w:history="1">
        <w:r w:rsidR="00610AD5" w:rsidRPr="00C608EC">
          <w:rPr>
            <w:noProof/>
            <w:szCs w:val="24"/>
            <w:lang w:val="en-US"/>
          </w:rPr>
          <w:t xml:space="preserve">Article 29 </w:t>
        </w:r>
        <w:r w:rsidR="00610AD5" w:rsidRPr="00C608EC">
          <w:rPr>
            <w:bCs/>
            <w:noProof/>
            <w:szCs w:val="24"/>
            <w:lang w:val="en-US"/>
          </w:rPr>
          <w:t>–</w:t>
        </w:r>
        <w:r w:rsidR="00610AD5" w:rsidRPr="00C608EC">
          <w:rPr>
            <w:noProof/>
            <w:szCs w:val="24"/>
            <w:lang w:val="en-US"/>
          </w:rPr>
          <w:t xml:space="preserve"> Temporary Authorization</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_Toc280272743 \h </w:instrText>
        </w:r>
        <w:r w:rsidRPr="00C608EC">
          <w:rPr>
            <w:noProof/>
            <w:webHidden/>
            <w:szCs w:val="24"/>
            <w:lang w:val="en-US"/>
          </w:rPr>
        </w:r>
        <w:r w:rsidRPr="00C608EC">
          <w:rPr>
            <w:noProof/>
            <w:webHidden/>
            <w:szCs w:val="24"/>
            <w:lang w:val="en-US"/>
          </w:rPr>
          <w:fldChar w:fldCharType="separate"/>
        </w:r>
        <w:r w:rsidR="00510183">
          <w:rPr>
            <w:noProof/>
            <w:webHidden/>
            <w:szCs w:val="24"/>
            <w:lang w:val="en-US"/>
          </w:rPr>
          <w:t>41</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744" w:history="1">
        <w:r w:rsidR="00610AD5" w:rsidRPr="00C608EC">
          <w:rPr>
            <w:noProof/>
            <w:szCs w:val="24"/>
            <w:lang w:val="en-US"/>
          </w:rPr>
          <w:t xml:space="preserve">Article 30 </w:t>
        </w:r>
        <w:r w:rsidR="00610AD5" w:rsidRPr="00C608EC">
          <w:rPr>
            <w:bCs/>
            <w:noProof/>
            <w:szCs w:val="24"/>
            <w:lang w:val="en-US"/>
          </w:rPr>
          <w:t>–</w:t>
        </w:r>
        <w:r w:rsidR="00610AD5" w:rsidRPr="00C608EC">
          <w:rPr>
            <w:noProof/>
            <w:szCs w:val="24"/>
            <w:lang w:val="en-US"/>
          </w:rPr>
          <w:t xml:space="preserve"> Other Radio Services</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_Toc280272744 \h </w:instrText>
        </w:r>
        <w:r w:rsidRPr="00C608EC">
          <w:rPr>
            <w:noProof/>
            <w:webHidden/>
            <w:szCs w:val="24"/>
            <w:lang w:val="en-US"/>
          </w:rPr>
        </w:r>
        <w:r w:rsidRPr="00C608EC">
          <w:rPr>
            <w:noProof/>
            <w:webHidden/>
            <w:szCs w:val="24"/>
            <w:lang w:val="en-US"/>
          </w:rPr>
          <w:fldChar w:fldCharType="separate"/>
        </w:r>
        <w:r w:rsidR="00510183">
          <w:rPr>
            <w:noProof/>
            <w:webHidden/>
            <w:szCs w:val="24"/>
            <w:lang w:val="en-US"/>
          </w:rPr>
          <w:t>41</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745" w:history="1">
        <w:r w:rsidR="00610AD5" w:rsidRPr="00C608EC">
          <w:rPr>
            <w:noProof/>
            <w:szCs w:val="24"/>
            <w:lang w:val="en-US"/>
          </w:rPr>
          <w:t xml:space="preserve">Article 31 </w:t>
        </w:r>
        <w:r w:rsidR="00610AD5" w:rsidRPr="00C608EC">
          <w:rPr>
            <w:bCs/>
            <w:noProof/>
            <w:szCs w:val="24"/>
            <w:lang w:val="en-US"/>
          </w:rPr>
          <w:t>–</w:t>
        </w:r>
        <w:r w:rsidR="00610AD5" w:rsidRPr="00C608EC">
          <w:rPr>
            <w:noProof/>
            <w:szCs w:val="24"/>
            <w:lang w:val="en-US"/>
          </w:rPr>
          <w:t xml:space="preserve"> Interference complaints processing and monitoring fees</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_Toc280272745 \h </w:instrText>
        </w:r>
        <w:r w:rsidRPr="00C608EC">
          <w:rPr>
            <w:noProof/>
            <w:webHidden/>
            <w:szCs w:val="24"/>
            <w:lang w:val="en-US"/>
          </w:rPr>
        </w:r>
        <w:r w:rsidRPr="00C608EC">
          <w:rPr>
            <w:noProof/>
            <w:webHidden/>
            <w:szCs w:val="24"/>
            <w:lang w:val="en-US"/>
          </w:rPr>
          <w:fldChar w:fldCharType="separate"/>
        </w:r>
        <w:r w:rsidR="00510183">
          <w:rPr>
            <w:noProof/>
            <w:webHidden/>
            <w:szCs w:val="24"/>
            <w:lang w:val="en-US"/>
          </w:rPr>
          <w:t>41</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746" w:history="1">
        <w:r w:rsidR="00610AD5" w:rsidRPr="00C608EC">
          <w:rPr>
            <w:noProof/>
            <w:szCs w:val="24"/>
            <w:lang w:val="en-US"/>
          </w:rPr>
          <w:t xml:space="preserve">Article 32 </w:t>
        </w:r>
        <w:r w:rsidR="00610AD5" w:rsidRPr="00C608EC">
          <w:rPr>
            <w:bCs/>
            <w:noProof/>
            <w:szCs w:val="24"/>
            <w:lang w:val="en-US"/>
          </w:rPr>
          <w:t>–</w:t>
        </w:r>
        <w:r w:rsidR="00610AD5" w:rsidRPr="00C608EC">
          <w:rPr>
            <w:noProof/>
            <w:szCs w:val="24"/>
            <w:lang w:val="en-US"/>
          </w:rPr>
          <w:t xml:space="preserve"> Fees for the Foreign Embassies, Consulates and Diplomatic Missions</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_Toc280272746 \h </w:instrText>
        </w:r>
        <w:r w:rsidRPr="00C608EC">
          <w:rPr>
            <w:noProof/>
            <w:webHidden/>
            <w:szCs w:val="24"/>
            <w:lang w:val="en-US"/>
          </w:rPr>
        </w:r>
        <w:r w:rsidRPr="00C608EC">
          <w:rPr>
            <w:noProof/>
            <w:webHidden/>
            <w:szCs w:val="24"/>
            <w:lang w:val="en-US"/>
          </w:rPr>
          <w:fldChar w:fldCharType="separate"/>
        </w:r>
        <w:r w:rsidR="00510183">
          <w:rPr>
            <w:noProof/>
            <w:webHidden/>
            <w:szCs w:val="24"/>
            <w:lang w:val="en-US"/>
          </w:rPr>
          <w:t>41</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747" w:history="1">
        <w:r w:rsidR="00610AD5" w:rsidRPr="00C608EC">
          <w:rPr>
            <w:noProof/>
            <w:szCs w:val="24"/>
            <w:lang w:val="en-US"/>
          </w:rPr>
          <w:t xml:space="preserve">Article 33 </w:t>
        </w:r>
        <w:r w:rsidR="00610AD5" w:rsidRPr="00C608EC">
          <w:rPr>
            <w:bCs/>
            <w:noProof/>
            <w:szCs w:val="24"/>
            <w:lang w:val="en-US"/>
          </w:rPr>
          <w:t>–</w:t>
        </w:r>
        <w:r w:rsidR="00610AD5" w:rsidRPr="00C608EC">
          <w:rPr>
            <w:noProof/>
            <w:szCs w:val="24"/>
            <w:lang w:val="en-US"/>
          </w:rPr>
          <w:t xml:space="preserve"> Fees for Site Surveys</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_Toc280272747 \h </w:instrText>
        </w:r>
        <w:r w:rsidRPr="00C608EC">
          <w:rPr>
            <w:noProof/>
            <w:webHidden/>
            <w:szCs w:val="24"/>
            <w:lang w:val="en-US"/>
          </w:rPr>
        </w:r>
        <w:r w:rsidRPr="00C608EC">
          <w:rPr>
            <w:noProof/>
            <w:webHidden/>
            <w:szCs w:val="24"/>
            <w:lang w:val="en-US"/>
          </w:rPr>
          <w:fldChar w:fldCharType="separate"/>
        </w:r>
        <w:r w:rsidR="00510183">
          <w:rPr>
            <w:noProof/>
            <w:webHidden/>
            <w:szCs w:val="24"/>
            <w:lang w:val="en-US"/>
          </w:rPr>
          <w:t>41</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748" w:history="1">
        <w:r w:rsidR="00610AD5" w:rsidRPr="00C608EC">
          <w:rPr>
            <w:noProof/>
            <w:szCs w:val="24"/>
            <w:lang w:val="en-US"/>
          </w:rPr>
          <w:t xml:space="preserve">Article 34 </w:t>
        </w:r>
        <w:r w:rsidR="00610AD5" w:rsidRPr="00C608EC">
          <w:rPr>
            <w:bCs/>
            <w:noProof/>
            <w:szCs w:val="24"/>
            <w:lang w:val="en-US"/>
          </w:rPr>
          <w:t>–</w:t>
        </w:r>
        <w:r w:rsidR="00610AD5" w:rsidRPr="00C608EC">
          <w:rPr>
            <w:noProof/>
            <w:szCs w:val="24"/>
            <w:lang w:val="en-US"/>
          </w:rPr>
          <w:t xml:space="preserve"> Obligation to pay</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_Toc280272748 \h </w:instrText>
        </w:r>
        <w:r w:rsidRPr="00C608EC">
          <w:rPr>
            <w:noProof/>
            <w:webHidden/>
            <w:szCs w:val="24"/>
            <w:lang w:val="en-US"/>
          </w:rPr>
        </w:r>
        <w:r w:rsidRPr="00C608EC">
          <w:rPr>
            <w:noProof/>
            <w:webHidden/>
            <w:szCs w:val="24"/>
            <w:lang w:val="en-US"/>
          </w:rPr>
          <w:fldChar w:fldCharType="separate"/>
        </w:r>
        <w:r w:rsidR="00510183">
          <w:rPr>
            <w:noProof/>
            <w:webHidden/>
            <w:szCs w:val="24"/>
            <w:lang w:val="en-US"/>
          </w:rPr>
          <w:t>41</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749" w:history="1">
        <w:r w:rsidR="00610AD5" w:rsidRPr="00C608EC">
          <w:rPr>
            <w:noProof/>
            <w:szCs w:val="24"/>
            <w:lang w:val="en-US"/>
          </w:rPr>
          <w:t>Article 35</w:t>
        </w:r>
        <w:r w:rsidR="00610AD5" w:rsidRPr="00C608EC">
          <w:rPr>
            <w:bCs/>
            <w:noProof/>
            <w:szCs w:val="24"/>
            <w:lang w:val="en-US"/>
          </w:rPr>
          <w:t xml:space="preserve"> – </w:t>
        </w:r>
        <w:r w:rsidR="00610AD5" w:rsidRPr="00C608EC">
          <w:rPr>
            <w:noProof/>
            <w:szCs w:val="24"/>
            <w:lang w:val="en-US"/>
          </w:rPr>
          <w:t>Methods of payments</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_Toc280272749 \h </w:instrText>
        </w:r>
        <w:r w:rsidRPr="00C608EC">
          <w:rPr>
            <w:noProof/>
            <w:webHidden/>
            <w:szCs w:val="24"/>
            <w:lang w:val="en-US"/>
          </w:rPr>
        </w:r>
        <w:r w:rsidRPr="00C608EC">
          <w:rPr>
            <w:noProof/>
            <w:webHidden/>
            <w:szCs w:val="24"/>
            <w:lang w:val="en-US"/>
          </w:rPr>
          <w:fldChar w:fldCharType="separate"/>
        </w:r>
        <w:r w:rsidR="00510183">
          <w:rPr>
            <w:noProof/>
            <w:webHidden/>
            <w:szCs w:val="24"/>
            <w:lang w:val="en-US"/>
          </w:rPr>
          <w:t>42</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750" w:history="1">
        <w:r w:rsidR="00610AD5" w:rsidRPr="00C608EC">
          <w:rPr>
            <w:noProof/>
            <w:szCs w:val="24"/>
            <w:lang w:val="en-US"/>
          </w:rPr>
          <w:t xml:space="preserve">Article 36 </w:t>
        </w:r>
        <w:r w:rsidR="00610AD5" w:rsidRPr="00C608EC">
          <w:rPr>
            <w:bCs/>
            <w:noProof/>
            <w:szCs w:val="24"/>
            <w:lang w:val="en-US"/>
          </w:rPr>
          <w:t>–</w:t>
        </w:r>
        <w:r w:rsidR="00610AD5" w:rsidRPr="00C608EC">
          <w:rPr>
            <w:noProof/>
            <w:szCs w:val="24"/>
            <w:lang w:val="en-US"/>
          </w:rPr>
          <w:t xml:space="preserve"> Penalties</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_Toc280272750 \h </w:instrText>
        </w:r>
        <w:r w:rsidRPr="00C608EC">
          <w:rPr>
            <w:noProof/>
            <w:webHidden/>
            <w:szCs w:val="24"/>
            <w:lang w:val="en-US"/>
          </w:rPr>
        </w:r>
        <w:r w:rsidRPr="00C608EC">
          <w:rPr>
            <w:noProof/>
            <w:webHidden/>
            <w:szCs w:val="24"/>
            <w:lang w:val="en-US"/>
          </w:rPr>
          <w:fldChar w:fldCharType="separate"/>
        </w:r>
        <w:r w:rsidR="00510183">
          <w:rPr>
            <w:noProof/>
            <w:webHidden/>
            <w:szCs w:val="24"/>
            <w:lang w:val="en-US"/>
          </w:rPr>
          <w:t>42</w:t>
        </w:r>
        <w:r w:rsidRPr="00C608EC">
          <w:rPr>
            <w:noProof/>
            <w:webHidden/>
            <w:szCs w:val="24"/>
            <w:lang w:val="en-US"/>
          </w:rPr>
          <w:fldChar w:fldCharType="end"/>
        </w:r>
      </w:hyperlink>
    </w:p>
    <w:p w:rsidR="00610AD5" w:rsidRPr="00610AD5"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751" w:history="1">
        <w:r w:rsidR="00610AD5" w:rsidRPr="00C608EC">
          <w:rPr>
            <w:noProof/>
            <w:szCs w:val="24"/>
            <w:lang w:val="en-US"/>
          </w:rPr>
          <w:t xml:space="preserve">Article 37 </w:t>
        </w:r>
        <w:r w:rsidR="00610AD5" w:rsidRPr="00C608EC">
          <w:rPr>
            <w:bCs/>
            <w:noProof/>
            <w:szCs w:val="24"/>
            <w:lang w:val="en-US"/>
          </w:rPr>
          <w:t>–</w:t>
        </w:r>
        <w:r w:rsidR="00610AD5" w:rsidRPr="00C608EC">
          <w:rPr>
            <w:noProof/>
            <w:szCs w:val="24"/>
            <w:lang w:val="en-US"/>
          </w:rPr>
          <w:t xml:space="preserve"> Implementation</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_Toc280272751 \h </w:instrText>
        </w:r>
        <w:r w:rsidRPr="00C608EC">
          <w:rPr>
            <w:noProof/>
            <w:webHidden/>
            <w:szCs w:val="24"/>
            <w:lang w:val="en-US"/>
          </w:rPr>
        </w:r>
        <w:r w:rsidRPr="00C608EC">
          <w:rPr>
            <w:noProof/>
            <w:webHidden/>
            <w:szCs w:val="24"/>
            <w:lang w:val="en-US"/>
          </w:rPr>
          <w:fldChar w:fldCharType="separate"/>
        </w:r>
        <w:r w:rsidR="00510183">
          <w:rPr>
            <w:noProof/>
            <w:webHidden/>
            <w:szCs w:val="24"/>
            <w:lang w:val="en-US"/>
          </w:rPr>
          <w:t>42</w:t>
        </w:r>
        <w:r w:rsidRPr="00C608EC">
          <w:rPr>
            <w:noProof/>
            <w:webHidden/>
            <w:szCs w:val="24"/>
            <w:lang w:val="en-US"/>
          </w:rPr>
          <w:fldChar w:fldCharType="end"/>
        </w:r>
      </w:hyperlink>
    </w:p>
    <w:p w:rsidR="00610AD5" w:rsidRPr="00610AD5" w:rsidRDefault="005D1F2F" w:rsidP="00610AD5">
      <w:r w:rsidRPr="00610AD5">
        <w:fldChar w:fldCharType="end"/>
      </w:r>
    </w:p>
    <w:p w:rsidR="00610AD5" w:rsidRPr="00E4064E" w:rsidRDefault="00610AD5" w:rsidP="00E4064E">
      <w:pPr>
        <w:pStyle w:val="Arttitle"/>
      </w:pPr>
      <w:r w:rsidRPr="00610AD5">
        <w:br w:type="page"/>
      </w:r>
      <w:bookmarkStart w:id="195" w:name="_Toc280261823"/>
      <w:bookmarkStart w:id="196" w:name="_Toc280262321"/>
      <w:bookmarkStart w:id="197" w:name="_Toc280272715"/>
      <w:bookmarkStart w:id="198" w:name="_Toc280272894"/>
      <w:r w:rsidRPr="00E4064E">
        <w:lastRenderedPageBreak/>
        <w:t>Article 1</w:t>
      </w:r>
      <w:r w:rsidRPr="00E4064E">
        <w:br/>
      </w:r>
      <w:r w:rsidRPr="00E4064E">
        <w:br/>
      </w:r>
      <w:bookmarkStart w:id="199" w:name="_Toc199215024"/>
      <w:r w:rsidRPr="00E4064E">
        <w:t>Purpose</w:t>
      </w:r>
      <w:bookmarkEnd w:id="195"/>
      <w:bookmarkEnd w:id="196"/>
      <w:bookmarkEnd w:id="197"/>
      <w:bookmarkEnd w:id="198"/>
      <w:bookmarkEnd w:id="199"/>
    </w:p>
    <w:p w:rsidR="00610AD5" w:rsidRPr="00610AD5" w:rsidRDefault="00610AD5" w:rsidP="00610AD5">
      <w:r w:rsidRPr="00610AD5">
        <w:t>In accordance with the Federal Law by Decree No. 3 of 2003 as amended and its Executive Order, this Policy sets the spectrum fees schedule for Frequency Spectrum and Wireless Equipment</w:t>
      </w:r>
      <w:r w:rsidRPr="00610AD5" w:rsidDel="00475BFE">
        <w:t xml:space="preserve"> </w:t>
      </w:r>
      <w:r w:rsidRPr="00610AD5">
        <w:t>Authorization. The spectrum fees shall be collected in advance for applying, registering, authorizing or renewing unless exempted in this Policy.</w:t>
      </w:r>
    </w:p>
    <w:p w:rsidR="00610AD5" w:rsidRPr="00610AD5" w:rsidRDefault="00610AD5" w:rsidP="00E4064E">
      <w:pPr>
        <w:pStyle w:val="Arttitle"/>
      </w:pPr>
      <w:bookmarkStart w:id="200" w:name="_Toc280261824"/>
      <w:bookmarkStart w:id="201" w:name="_Toc280262322"/>
      <w:bookmarkStart w:id="202" w:name="_Toc280272716"/>
      <w:bookmarkStart w:id="203" w:name="_Toc280272895"/>
      <w:r w:rsidRPr="00610AD5">
        <w:t>Article 2</w:t>
      </w:r>
      <w:r w:rsidRPr="00610AD5">
        <w:br/>
      </w:r>
      <w:r w:rsidRPr="00610AD5">
        <w:br/>
      </w:r>
      <w:bookmarkStart w:id="204" w:name="_Toc199215025"/>
      <w:r w:rsidRPr="00610AD5">
        <w:t>Definitions</w:t>
      </w:r>
      <w:bookmarkEnd w:id="200"/>
      <w:bookmarkEnd w:id="201"/>
      <w:bookmarkEnd w:id="202"/>
      <w:bookmarkEnd w:id="203"/>
      <w:bookmarkEnd w:id="204"/>
    </w:p>
    <w:p w:rsidR="00610AD5" w:rsidRPr="00610AD5" w:rsidRDefault="00610AD5" w:rsidP="00610AD5">
      <w:r w:rsidRPr="00610AD5">
        <w:t>In applying this policy, the following terms shall have the following meanings unless the context requires otherwise, whereas any term undefined in the following shall be defined in</w:t>
      </w:r>
      <w:r w:rsidRPr="00610AD5">
        <w:noBreakHyphen/>
        <w:t>line with the Federal Law by Decree No. 3 of 2003 as amended and its Executive Order:</w:t>
      </w:r>
    </w:p>
    <w:p w:rsidR="00610AD5" w:rsidRPr="00610AD5" w:rsidRDefault="00610AD5" w:rsidP="00E4064E">
      <w:pPr>
        <w:pStyle w:val="enumlev1"/>
      </w:pPr>
      <w:r w:rsidRPr="00610AD5">
        <w:rPr>
          <w:bCs/>
        </w:rPr>
        <w:t>2.1</w:t>
      </w:r>
      <w:r w:rsidRPr="00610AD5">
        <w:rPr>
          <w:b/>
        </w:rPr>
        <w:tab/>
        <w:t>"Allocation"</w:t>
      </w:r>
      <w:r w:rsidRPr="00610AD5">
        <w:t xml:space="preserve"> means the entry of a designated frequency or frequency band in the National Spectrum Plan for use by one or more users for a terrestrial or space Radiocommunication service in the UAE.</w:t>
      </w:r>
    </w:p>
    <w:p w:rsidR="00610AD5" w:rsidRPr="00610AD5" w:rsidRDefault="00610AD5" w:rsidP="00E4064E">
      <w:pPr>
        <w:pStyle w:val="enumlev1"/>
      </w:pPr>
      <w:r w:rsidRPr="00610AD5">
        <w:rPr>
          <w:bCs/>
        </w:rPr>
        <w:t>2.2</w:t>
      </w:r>
      <w:r w:rsidRPr="00610AD5">
        <w:rPr>
          <w:b/>
        </w:rPr>
        <w:tab/>
        <w:t>"Applicant"</w:t>
      </w:r>
      <w:r w:rsidRPr="00610AD5">
        <w:t xml:space="preserve"> means any Person who has applied for a License or an Authorization in accordance with the Telecom Law or other Policy Instruments issued by the TRA.</w:t>
      </w:r>
    </w:p>
    <w:p w:rsidR="00610AD5" w:rsidRPr="00610AD5" w:rsidRDefault="00610AD5" w:rsidP="00E4064E">
      <w:pPr>
        <w:pStyle w:val="enumlev1"/>
      </w:pPr>
      <w:r w:rsidRPr="00610AD5">
        <w:rPr>
          <w:bCs/>
        </w:rPr>
        <w:t>2.3</w:t>
      </w:r>
      <w:r w:rsidRPr="00610AD5">
        <w:rPr>
          <w:b/>
        </w:rPr>
        <w:tab/>
        <w:t xml:space="preserve">"Application" </w:t>
      </w:r>
      <w:r w:rsidRPr="00610AD5">
        <w:t>means the request for issuance of a License or an Authorization, received at the TRA on prescribed forms as per the procedure in vogue.</w:t>
      </w:r>
    </w:p>
    <w:p w:rsidR="00610AD5" w:rsidRPr="00610AD5" w:rsidRDefault="00610AD5" w:rsidP="00E4064E">
      <w:pPr>
        <w:pStyle w:val="enumlev1"/>
      </w:pPr>
      <w:r w:rsidRPr="00610AD5">
        <w:rPr>
          <w:bCs/>
        </w:rPr>
        <w:t>2.4</w:t>
      </w:r>
      <w:r w:rsidRPr="00610AD5">
        <w:rPr>
          <w:b/>
        </w:rPr>
        <w:tab/>
        <w:t xml:space="preserve">"Authorization" </w:t>
      </w:r>
      <w:r w:rsidRPr="00610AD5">
        <w:t>means a Radio Spectrum Authorization awarded by the TRA.</w:t>
      </w:r>
    </w:p>
    <w:p w:rsidR="00610AD5" w:rsidRPr="00610AD5" w:rsidRDefault="00610AD5" w:rsidP="00E4064E">
      <w:pPr>
        <w:pStyle w:val="enumlev1"/>
      </w:pPr>
      <w:r w:rsidRPr="00610AD5">
        <w:rPr>
          <w:bCs/>
        </w:rPr>
        <w:t>2.5</w:t>
      </w:r>
      <w:r w:rsidRPr="00610AD5">
        <w:rPr>
          <w:b/>
        </w:rPr>
        <w:tab/>
        <w:t xml:space="preserve">"Authorized User" </w:t>
      </w:r>
      <w:r w:rsidRPr="00610AD5">
        <w:t>means a Person that has been issued a Radio Spectrum Authorization by the TRA.</w:t>
      </w:r>
    </w:p>
    <w:p w:rsidR="00610AD5" w:rsidRPr="00610AD5" w:rsidRDefault="00610AD5" w:rsidP="00E4064E">
      <w:pPr>
        <w:pStyle w:val="enumlev1"/>
      </w:pPr>
      <w:r w:rsidRPr="00610AD5">
        <w:rPr>
          <w:bCs/>
        </w:rPr>
        <w:t>2.6</w:t>
      </w:r>
      <w:r w:rsidRPr="00610AD5">
        <w:rPr>
          <w:b/>
        </w:rPr>
        <w:tab/>
        <w:t>"Class Authorization"</w:t>
      </w:r>
      <w:r w:rsidRPr="00610AD5">
        <w:t xml:space="preserve"> means a Radio Spectrum Authorization which permits the operation of Wireless Equipment by any Person within designated frequency bands subject to any Terms and Conditions stipulated therein.</w:t>
      </w:r>
    </w:p>
    <w:p w:rsidR="00610AD5" w:rsidRPr="00610AD5" w:rsidRDefault="00610AD5" w:rsidP="00E4064E">
      <w:pPr>
        <w:pStyle w:val="enumlev1"/>
      </w:pPr>
      <w:r w:rsidRPr="00610AD5">
        <w:rPr>
          <w:bCs/>
        </w:rPr>
        <w:t>2.7</w:t>
      </w:r>
      <w:r w:rsidRPr="00610AD5">
        <w:rPr>
          <w:b/>
        </w:rPr>
        <w:tab/>
        <w:t>"Individual Authorization"</w:t>
      </w:r>
      <w:r w:rsidRPr="00610AD5">
        <w:t xml:space="preserve"> means a Radio Spectrum Authorization which permits the operation of Wireless Equipment by a specified Person to whom frequencies have been allocated or assigned, subject to any Terms and Conditions stipulated therein.</w:t>
      </w:r>
    </w:p>
    <w:p w:rsidR="00610AD5" w:rsidRPr="00610AD5" w:rsidRDefault="00610AD5" w:rsidP="00E4064E">
      <w:pPr>
        <w:pStyle w:val="enumlev1"/>
      </w:pPr>
      <w:r w:rsidRPr="00610AD5">
        <w:rPr>
          <w:bCs/>
        </w:rPr>
        <w:t>2.8</w:t>
      </w:r>
      <w:r w:rsidRPr="00610AD5">
        <w:rPr>
          <w:b/>
        </w:rPr>
        <w:tab/>
        <w:t>"National Spectrum Plan"</w:t>
      </w:r>
      <w:r w:rsidRPr="00610AD5">
        <w:t xml:space="preserve"> means Radio Frequency Allocation Plan for the UAE approved by the Supreme Committee and any modifications thereof.</w:t>
      </w:r>
    </w:p>
    <w:p w:rsidR="00610AD5" w:rsidRPr="00610AD5" w:rsidRDefault="00610AD5" w:rsidP="00E4064E">
      <w:pPr>
        <w:pStyle w:val="enumlev1"/>
      </w:pPr>
      <w:r w:rsidRPr="00610AD5">
        <w:rPr>
          <w:bCs/>
        </w:rPr>
        <w:t>2.9</w:t>
      </w:r>
      <w:r w:rsidRPr="00610AD5">
        <w:rPr>
          <w:b/>
        </w:rPr>
        <w:tab/>
        <w:t>"Person"</w:t>
      </w:r>
      <w:r w:rsidRPr="00610AD5">
        <w:t xml:space="preserve"> will include ‘juridical entities’ as well as ‘natural persons’.</w:t>
      </w:r>
    </w:p>
    <w:p w:rsidR="00610AD5" w:rsidRPr="00610AD5" w:rsidRDefault="00610AD5" w:rsidP="00E4064E">
      <w:pPr>
        <w:pStyle w:val="enumlev1"/>
      </w:pPr>
      <w:r w:rsidRPr="00610AD5">
        <w:rPr>
          <w:bCs/>
        </w:rPr>
        <w:t>2.10</w:t>
      </w:r>
      <w:r w:rsidRPr="00610AD5">
        <w:rPr>
          <w:b/>
        </w:rPr>
        <w:tab/>
        <w:t xml:space="preserve">"Radiocommunication" </w:t>
      </w:r>
      <w:r w:rsidRPr="00610AD5">
        <w:t>means Wireless Transmission by means of radio frequency.</w:t>
      </w:r>
    </w:p>
    <w:p w:rsidR="00610AD5" w:rsidRPr="00610AD5" w:rsidRDefault="00610AD5" w:rsidP="00E4064E">
      <w:pPr>
        <w:pStyle w:val="enumlev1"/>
      </w:pPr>
      <w:r w:rsidRPr="00610AD5">
        <w:rPr>
          <w:bCs/>
        </w:rPr>
        <w:t>2.11</w:t>
      </w:r>
      <w:r w:rsidRPr="00610AD5">
        <w:rPr>
          <w:b/>
        </w:rPr>
        <w:tab/>
        <w:t xml:space="preserve">"Radiocommunication service" </w:t>
      </w:r>
      <w:r w:rsidRPr="00610AD5">
        <w:t>means a service using Radiocommunication.</w:t>
      </w:r>
    </w:p>
    <w:p w:rsidR="00610AD5" w:rsidRPr="00610AD5" w:rsidRDefault="00610AD5" w:rsidP="00E4064E">
      <w:pPr>
        <w:pStyle w:val="enumlev1"/>
      </w:pPr>
      <w:r w:rsidRPr="00610AD5">
        <w:rPr>
          <w:bCs/>
        </w:rPr>
        <w:t>2.12</w:t>
      </w:r>
      <w:r w:rsidRPr="00610AD5">
        <w:rPr>
          <w:b/>
        </w:rPr>
        <w:tab/>
        <w:t xml:space="preserve">"Radio Frequency" </w:t>
      </w:r>
      <w:r w:rsidRPr="00610AD5">
        <w:t>means radiated electromagnetic energy measured in Hz or cycles / sec.</w:t>
      </w:r>
    </w:p>
    <w:p w:rsidR="00610AD5" w:rsidRPr="00610AD5" w:rsidRDefault="00610AD5" w:rsidP="00E4064E">
      <w:pPr>
        <w:pStyle w:val="enumlev1"/>
      </w:pPr>
      <w:r w:rsidRPr="00610AD5">
        <w:rPr>
          <w:bCs/>
        </w:rPr>
        <w:t>2.13</w:t>
      </w:r>
      <w:r w:rsidRPr="00610AD5">
        <w:rPr>
          <w:b/>
        </w:rPr>
        <w:tab/>
        <w:t xml:space="preserve">"Radio Spectrum Authorization" </w:t>
      </w:r>
      <w:r w:rsidRPr="00610AD5">
        <w:t>means a Radio Spectrum Authorization whether Individual or Class issued by the TRA, which permits the use of Radio Frequency subject to terms and conditions set out therein.</w:t>
      </w:r>
    </w:p>
    <w:p w:rsidR="00610AD5" w:rsidRPr="00610AD5" w:rsidRDefault="00610AD5" w:rsidP="00E4064E">
      <w:pPr>
        <w:pStyle w:val="enumlev1"/>
      </w:pPr>
      <w:r w:rsidRPr="00610AD5">
        <w:rPr>
          <w:bCs/>
        </w:rPr>
        <w:t>2.14</w:t>
      </w:r>
      <w:r w:rsidRPr="00610AD5">
        <w:rPr>
          <w:b/>
        </w:rPr>
        <w:tab/>
        <w:t xml:space="preserve">"Regulatory Instruments" </w:t>
      </w:r>
      <w:r w:rsidRPr="00610AD5">
        <w:t>means any instrument issued by the TRA under its powers, and includes without limitation; Regulations, violation decisions, directives, instructions, guidance and recommendations and regulatory policies.</w:t>
      </w:r>
    </w:p>
    <w:p w:rsidR="00610AD5" w:rsidRPr="00610AD5" w:rsidRDefault="00610AD5" w:rsidP="00E4064E">
      <w:pPr>
        <w:pStyle w:val="enumlev1"/>
      </w:pPr>
      <w:r w:rsidRPr="00610AD5">
        <w:rPr>
          <w:bCs/>
        </w:rPr>
        <w:t>2.15</w:t>
      </w:r>
      <w:r w:rsidRPr="00610AD5">
        <w:rPr>
          <w:b/>
        </w:rPr>
        <w:tab/>
        <w:t xml:space="preserve">"Station" </w:t>
      </w:r>
      <w:r w:rsidRPr="00610AD5">
        <w:t>means an installation operated by an authorized user, comprising a radio transmitting and or receiving apparatus and the necessary auxiliary equipment or one or more transmitters or receivers or a combination of transmitters or receivers, including the ancillary equipment, necessary at one location for carrying on a Radiocommunication service.</w:t>
      </w:r>
    </w:p>
    <w:p w:rsidR="00610AD5" w:rsidRPr="00610AD5" w:rsidRDefault="00610AD5" w:rsidP="00E4064E">
      <w:pPr>
        <w:pStyle w:val="enumlev1"/>
      </w:pPr>
      <w:r w:rsidRPr="00610AD5">
        <w:rPr>
          <w:bCs/>
        </w:rPr>
        <w:lastRenderedPageBreak/>
        <w:t>2.16</w:t>
      </w:r>
      <w:r w:rsidRPr="00610AD5">
        <w:rPr>
          <w:b/>
        </w:rPr>
        <w:tab/>
        <w:t xml:space="preserve">"Telecommunication" </w:t>
      </w:r>
      <w:r w:rsidRPr="00610AD5">
        <w:t>means any transmission, emission or reception of signs, signals, writings, images and sounds or intelligence of any nature by wire, radio, optical or other electromagnetic systems</w:t>
      </w:r>
    </w:p>
    <w:p w:rsidR="00610AD5" w:rsidRPr="00610AD5" w:rsidRDefault="00610AD5" w:rsidP="00E4064E">
      <w:pPr>
        <w:pStyle w:val="enumlev1"/>
      </w:pPr>
      <w:r w:rsidRPr="00610AD5">
        <w:rPr>
          <w:bCs/>
        </w:rPr>
        <w:t>2.17</w:t>
      </w:r>
      <w:r w:rsidRPr="00610AD5">
        <w:rPr>
          <w:b/>
        </w:rPr>
        <w:tab/>
        <w:t xml:space="preserve">"Temporary Authorization" </w:t>
      </w:r>
      <w:r w:rsidRPr="00610AD5">
        <w:t>means Radio Spectrum Authorization issued by the TRA which permits the use of assigned frequency for a period up to 90 days.</w:t>
      </w:r>
    </w:p>
    <w:p w:rsidR="00610AD5" w:rsidRPr="00610AD5" w:rsidRDefault="00610AD5" w:rsidP="00E4064E">
      <w:pPr>
        <w:pStyle w:val="enumlev1"/>
      </w:pPr>
      <w:r w:rsidRPr="00610AD5">
        <w:rPr>
          <w:bCs/>
        </w:rPr>
        <w:t>2.18</w:t>
      </w:r>
      <w:r w:rsidRPr="00610AD5">
        <w:rPr>
          <w:b/>
        </w:rPr>
        <w:tab/>
        <w:t xml:space="preserve">"The TRA" </w:t>
      </w:r>
      <w:r w:rsidRPr="00610AD5">
        <w:t>means the General Authority for Regulating the Telecommunication Sector known as Telecommunications Regulatory Authority (TRA) established pursuant to the provisions of Article 6 of Federal Law by Decree No. 3 of 2003.</w:t>
      </w:r>
    </w:p>
    <w:p w:rsidR="00610AD5" w:rsidRPr="00610AD5" w:rsidRDefault="00610AD5" w:rsidP="00E4064E">
      <w:pPr>
        <w:pStyle w:val="enumlev1"/>
      </w:pPr>
      <w:r w:rsidRPr="00610AD5">
        <w:rPr>
          <w:bCs/>
        </w:rPr>
        <w:t>2.19</w:t>
      </w:r>
      <w:r w:rsidRPr="00610AD5">
        <w:rPr>
          <w:b/>
        </w:rPr>
        <w:tab/>
        <w:t xml:space="preserve">"UAE" </w:t>
      </w:r>
      <w:r w:rsidRPr="00610AD5">
        <w:t>means the United Arab Emirates including its territorial waters and the airspace above.</w:t>
      </w:r>
    </w:p>
    <w:p w:rsidR="00610AD5" w:rsidRPr="00610AD5" w:rsidRDefault="00610AD5" w:rsidP="00E4064E">
      <w:pPr>
        <w:pStyle w:val="enumlev1"/>
        <w:rPr>
          <w:b/>
        </w:rPr>
      </w:pPr>
      <w:r w:rsidRPr="00610AD5">
        <w:rPr>
          <w:bCs/>
        </w:rPr>
        <w:t>2.20</w:t>
      </w:r>
      <w:r w:rsidRPr="00610AD5">
        <w:rPr>
          <w:b/>
        </w:rPr>
        <w:tab/>
        <w:t xml:space="preserve">"Wireless Equipment" </w:t>
      </w:r>
      <w:r w:rsidRPr="00610AD5">
        <w:t>means a category of Telecommunication Apparatus used for Radiocommunication.</w:t>
      </w:r>
    </w:p>
    <w:p w:rsidR="00610AD5" w:rsidRPr="00610AD5" w:rsidRDefault="00610AD5" w:rsidP="00E4064E">
      <w:pPr>
        <w:pStyle w:val="Arttitle"/>
      </w:pPr>
      <w:bookmarkStart w:id="205" w:name="_Toc280261825"/>
      <w:bookmarkStart w:id="206" w:name="_Toc280262323"/>
      <w:bookmarkStart w:id="207" w:name="_Toc280272717"/>
      <w:bookmarkStart w:id="208" w:name="_Toc280272896"/>
      <w:r w:rsidRPr="00610AD5">
        <w:t>Article 3</w:t>
      </w:r>
      <w:r w:rsidRPr="00610AD5">
        <w:br/>
      </w:r>
      <w:r w:rsidRPr="00610AD5">
        <w:br/>
      </w:r>
      <w:bookmarkStart w:id="209" w:name="_Toc199215026"/>
      <w:r w:rsidRPr="00610AD5">
        <w:t>Application processing Fees</w:t>
      </w:r>
      <w:bookmarkEnd w:id="205"/>
      <w:bookmarkEnd w:id="206"/>
      <w:bookmarkEnd w:id="207"/>
      <w:bookmarkEnd w:id="208"/>
      <w:bookmarkEnd w:id="209"/>
    </w:p>
    <w:p w:rsidR="00610AD5" w:rsidRPr="00610AD5" w:rsidRDefault="00610AD5" w:rsidP="00610AD5">
      <w:pPr>
        <w:rPr>
          <w:szCs w:val="19"/>
        </w:rPr>
      </w:pPr>
      <w:r w:rsidRPr="00610AD5">
        <w:rPr>
          <w:szCs w:val="19"/>
        </w:rPr>
        <w:t xml:space="preserve">Each application for the Radio Spectrum Authorization requires an advance non-refundable payment of Five Hundred </w:t>
      </w:r>
      <w:r w:rsidRPr="00610AD5">
        <w:rPr>
          <w:b/>
          <w:szCs w:val="19"/>
        </w:rPr>
        <w:t xml:space="preserve">(500) Dirhams </w:t>
      </w:r>
      <w:r w:rsidRPr="00610AD5">
        <w:rPr>
          <w:szCs w:val="19"/>
        </w:rPr>
        <w:t xml:space="preserve">for processing the application, irrespective of the final status of the application towards grant or rejection of the application. The TRA may advise certain Government organizations, licensed operators and any major user to accumulate the application processing fees for payment along with the spectrum fees. </w:t>
      </w:r>
    </w:p>
    <w:p w:rsidR="00610AD5" w:rsidRPr="00610AD5" w:rsidRDefault="00610AD5" w:rsidP="00610AD5">
      <w:pPr>
        <w:keepNext/>
        <w:keepLines/>
        <w:spacing w:before="400"/>
        <w:jc w:val="center"/>
        <w:rPr>
          <w:b/>
          <w:sz w:val="28"/>
        </w:rPr>
      </w:pPr>
      <w:bookmarkStart w:id="210" w:name="_Toc280261826"/>
      <w:bookmarkStart w:id="211" w:name="_Toc280262324"/>
      <w:bookmarkStart w:id="212" w:name="_Toc280272718"/>
      <w:bookmarkStart w:id="213" w:name="_Toc280272897"/>
      <w:r w:rsidRPr="00610AD5">
        <w:rPr>
          <w:b/>
          <w:sz w:val="28"/>
        </w:rPr>
        <w:t>Article 4</w:t>
      </w:r>
      <w:r w:rsidRPr="00610AD5">
        <w:rPr>
          <w:b/>
          <w:sz w:val="28"/>
        </w:rPr>
        <w:br/>
      </w:r>
      <w:r w:rsidRPr="00610AD5">
        <w:rPr>
          <w:b/>
          <w:sz w:val="28"/>
        </w:rPr>
        <w:br/>
      </w:r>
      <w:bookmarkStart w:id="214" w:name="_Toc199215027"/>
      <w:r w:rsidRPr="00610AD5">
        <w:rPr>
          <w:b/>
          <w:sz w:val="28"/>
        </w:rPr>
        <w:t>Exemption from Application processing Fees</w:t>
      </w:r>
      <w:bookmarkEnd w:id="210"/>
      <w:bookmarkEnd w:id="211"/>
      <w:bookmarkEnd w:id="212"/>
      <w:bookmarkEnd w:id="213"/>
      <w:bookmarkEnd w:id="214"/>
    </w:p>
    <w:p w:rsidR="00610AD5" w:rsidRPr="00610AD5" w:rsidRDefault="00610AD5" w:rsidP="00610AD5">
      <w:pPr>
        <w:rPr>
          <w:szCs w:val="19"/>
        </w:rPr>
      </w:pPr>
      <w:r w:rsidRPr="00610AD5">
        <w:rPr>
          <w:szCs w:val="19"/>
        </w:rPr>
        <w:t>The following applications shall be exempted from the Application processing Fees:</w:t>
      </w:r>
    </w:p>
    <w:p w:rsidR="00610AD5" w:rsidRPr="00610AD5" w:rsidRDefault="00610AD5" w:rsidP="00324665">
      <w:pPr>
        <w:pStyle w:val="enumlev1"/>
      </w:pPr>
      <w:r w:rsidRPr="00610AD5">
        <w:t>4.1</w:t>
      </w:r>
      <w:r w:rsidRPr="00610AD5">
        <w:tab/>
        <w:t>Application for Small Boat which is categorized as fishing trawler in the Navigation license.</w:t>
      </w:r>
    </w:p>
    <w:p w:rsidR="00610AD5" w:rsidRPr="00610AD5" w:rsidRDefault="00610AD5" w:rsidP="00324665">
      <w:pPr>
        <w:pStyle w:val="enumlev1"/>
      </w:pPr>
      <w:r w:rsidRPr="00610AD5">
        <w:t>4.2</w:t>
      </w:r>
      <w:r w:rsidRPr="00610AD5">
        <w:tab/>
        <w:t>Application for Amateur Authorization if submitted through Emirates Amateur Radio Society.</w:t>
      </w:r>
    </w:p>
    <w:p w:rsidR="00610AD5" w:rsidRPr="00610AD5" w:rsidRDefault="00610AD5" w:rsidP="00324665">
      <w:pPr>
        <w:pStyle w:val="enumlev1"/>
      </w:pPr>
      <w:r w:rsidRPr="00610AD5">
        <w:t>4.3</w:t>
      </w:r>
      <w:r w:rsidRPr="00610AD5">
        <w:tab/>
        <w:t>Application for personal use of Private Mobile Radio for Camel jockeys.</w:t>
      </w:r>
    </w:p>
    <w:p w:rsidR="00610AD5" w:rsidRPr="00610AD5" w:rsidRDefault="00610AD5" w:rsidP="00324665">
      <w:pPr>
        <w:pStyle w:val="enumlev1"/>
      </w:pPr>
      <w:r w:rsidRPr="00610AD5">
        <w:t>4.4</w:t>
      </w:r>
      <w:r w:rsidRPr="00610AD5">
        <w:tab/>
        <w:t>Application by non-commercial clubs for hobbies like Aeromodelling.</w:t>
      </w:r>
    </w:p>
    <w:p w:rsidR="00610AD5" w:rsidRPr="00610AD5" w:rsidRDefault="00610AD5" w:rsidP="00324665">
      <w:pPr>
        <w:pStyle w:val="enumlev1"/>
      </w:pPr>
      <w:r w:rsidRPr="00610AD5">
        <w:t>4.5</w:t>
      </w:r>
      <w:r w:rsidRPr="00610AD5">
        <w:tab/>
        <w:t>Application by research and educational institutions for private use.</w:t>
      </w:r>
    </w:p>
    <w:p w:rsidR="00610AD5" w:rsidRPr="00610AD5" w:rsidRDefault="00610AD5" w:rsidP="00324665">
      <w:pPr>
        <w:pStyle w:val="enumlev1"/>
      </w:pPr>
      <w:r w:rsidRPr="00610AD5">
        <w:t>4.6</w:t>
      </w:r>
      <w:r w:rsidRPr="00610AD5">
        <w:tab/>
        <w:t>Application by Foreign Missions, Consulates and Embassies for official correspondence or visits of dignitaries when submitted through the UAE Ministry of Foreign Affairs.</w:t>
      </w:r>
    </w:p>
    <w:p w:rsidR="00610AD5" w:rsidRPr="00610AD5" w:rsidRDefault="00610AD5" w:rsidP="00324665">
      <w:pPr>
        <w:pStyle w:val="Arttitle"/>
      </w:pPr>
      <w:bookmarkStart w:id="215" w:name="_Toc280261827"/>
      <w:bookmarkStart w:id="216" w:name="_Toc280262325"/>
      <w:bookmarkStart w:id="217" w:name="_Toc280272719"/>
      <w:bookmarkStart w:id="218" w:name="_Toc280272898"/>
      <w:r w:rsidRPr="00610AD5">
        <w:t>Article 5</w:t>
      </w:r>
      <w:r w:rsidRPr="00610AD5">
        <w:br/>
      </w:r>
      <w:r w:rsidRPr="00610AD5">
        <w:br/>
      </w:r>
      <w:bookmarkStart w:id="219" w:name="_Toc199215028"/>
      <w:r w:rsidRPr="00610AD5">
        <w:t>Spectrum Fees for fresh Application</w:t>
      </w:r>
      <w:bookmarkEnd w:id="215"/>
      <w:bookmarkEnd w:id="216"/>
      <w:bookmarkEnd w:id="217"/>
      <w:bookmarkEnd w:id="218"/>
      <w:bookmarkEnd w:id="219"/>
    </w:p>
    <w:p w:rsidR="00610AD5" w:rsidRPr="00610AD5" w:rsidRDefault="00610AD5" w:rsidP="00610AD5">
      <w:pPr>
        <w:rPr>
          <w:szCs w:val="19"/>
        </w:rPr>
      </w:pPr>
      <w:r w:rsidRPr="00610AD5">
        <w:rPr>
          <w:szCs w:val="19"/>
        </w:rPr>
        <w:t>The spectrum fees shall be payable in advance. Upon successful processing of a fresh application, the TRA shall inform the Applicant of the spectrum fees in accordance with this policy calculated on prorate for the period of validity of the Authorization starting from the date of invoice. The Applicant shall submit to the TRA, the proof of payment immediately and not later than thirty (30) days. The receipt of the fees by the TRA based on verification by the TRA shall be considered as completion of the payment for issuance of the Authorization. If payment is not received, the TRA shall cancel the application. If the Applicant requires pursuing this Application, the Applicant shall be required to re-submit the application with application processing Fees.</w:t>
      </w:r>
    </w:p>
    <w:p w:rsidR="00610AD5" w:rsidRPr="00610AD5" w:rsidRDefault="00610AD5" w:rsidP="00324665">
      <w:pPr>
        <w:pStyle w:val="Arttitle"/>
      </w:pPr>
      <w:bookmarkStart w:id="220" w:name="_Toc280261828"/>
      <w:bookmarkStart w:id="221" w:name="_Toc280262326"/>
      <w:bookmarkStart w:id="222" w:name="_Toc280272720"/>
      <w:bookmarkStart w:id="223" w:name="_Toc280272899"/>
      <w:r w:rsidRPr="00610AD5">
        <w:lastRenderedPageBreak/>
        <w:t>Article 6</w:t>
      </w:r>
      <w:r w:rsidRPr="00610AD5">
        <w:br/>
      </w:r>
      <w:r w:rsidRPr="00610AD5">
        <w:br/>
      </w:r>
      <w:bookmarkStart w:id="224" w:name="_Toc199215029"/>
      <w:r w:rsidRPr="00610AD5">
        <w:t>Spectrum Fees for renewal of Authorization</w:t>
      </w:r>
      <w:bookmarkEnd w:id="220"/>
      <w:bookmarkEnd w:id="221"/>
      <w:bookmarkEnd w:id="222"/>
      <w:bookmarkEnd w:id="223"/>
      <w:bookmarkEnd w:id="224"/>
    </w:p>
    <w:p w:rsidR="00610AD5" w:rsidRPr="00610AD5" w:rsidRDefault="00610AD5" w:rsidP="00610AD5">
      <w:pPr>
        <w:rPr>
          <w:szCs w:val="19"/>
        </w:rPr>
      </w:pPr>
      <w:r w:rsidRPr="00610AD5">
        <w:rPr>
          <w:szCs w:val="19"/>
        </w:rPr>
        <w:t xml:space="preserve">The Authorized User shall be responsible to apply to the TRA for renewal of the Authorization, within the period, thirty (30) days before the expiry of the Authorization. Authorized User may also request for invoice of the Spectrum Fees for renewal of Authorization even before thirty (30) days of the expiry of the Authorization for a period as allowed for that Authorization in the Spectrum Allocation and Assignment Regulations of the TRA. The applicable Spectrum Fees are defined in the relevant articles of this policy. Wherever, the Spectrum Fees are inclusive of Wireless Equipment as a component, the annual renewal of the Spectrum Fees will include all components and not any part thereof. A grace period of fifteen (15) days after expiry may be given to the Authorized User by the TRA to pay the Spectrum Fees for renewal without any additional Fees. </w:t>
      </w:r>
    </w:p>
    <w:p w:rsidR="00610AD5" w:rsidRPr="00610AD5" w:rsidRDefault="00610AD5" w:rsidP="00324665">
      <w:pPr>
        <w:pStyle w:val="Arttitle"/>
      </w:pPr>
      <w:bookmarkStart w:id="225" w:name="_Toc280261829"/>
      <w:bookmarkStart w:id="226" w:name="_Toc280262327"/>
      <w:bookmarkStart w:id="227" w:name="_Toc280272721"/>
      <w:bookmarkStart w:id="228" w:name="_Toc280272900"/>
      <w:r w:rsidRPr="00610AD5">
        <w:t>Article 7</w:t>
      </w:r>
      <w:r w:rsidRPr="00610AD5">
        <w:br/>
      </w:r>
      <w:r w:rsidRPr="00610AD5">
        <w:br/>
      </w:r>
      <w:bookmarkStart w:id="229" w:name="_Toc199215030"/>
      <w:r w:rsidRPr="00610AD5">
        <w:t>Additional Fees for delayed renewal of Authorization</w:t>
      </w:r>
      <w:bookmarkEnd w:id="225"/>
      <w:bookmarkEnd w:id="226"/>
      <w:bookmarkEnd w:id="227"/>
      <w:bookmarkEnd w:id="228"/>
      <w:bookmarkEnd w:id="229"/>
    </w:p>
    <w:p w:rsidR="00610AD5" w:rsidRPr="00610AD5" w:rsidRDefault="00610AD5" w:rsidP="00610AD5">
      <w:pPr>
        <w:rPr>
          <w:szCs w:val="19"/>
        </w:rPr>
      </w:pPr>
      <w:r w:rsidRPr="00610AD5">
        <w:rPr>
          <w:szCs w:val="19"/>
        </w:rPr>
        <w:t xml:space="preserve">The TRA shall levy an additional fee of 10% of the amount due for Spectrum Fees if the Authorized User applies for renewal after fifteen days of expiry and before forty-five (45) days of expiry. The TRA shall cancel the Authorization if not applied for renewal within forty-five (45) days of expiry. The TRA shall levy additional fees of 20% of the amount due for Spectrum Fees if a cancelled Authorization is applied for renewal. </w:t>
      </w:r>
    </w:p>
    <w:p w:rsidR="00610AD5" w:rsidRPr="00610AD5" w:rsidRDefault="00610AD5" w:rsidP="00324665">
      <w:pPr>
        <w:pStyle w:val="Arttitle"/>
      </w:pPr>
      <w:bookmarkStart w:id="230" w:name="_Toc280261830"/>
      <w:bookmarkStart w:id="231" w:name="_Toc280262328"/>
      <w:bookmarkStart w:id="232" w:name="_Toc280272722"/>
      <w:bookmarkStart w:id="233" w:name="_Toc280272901"/>
      <w:r w:rsidRPr="00610AD5">
        <w:t>Article 8</w:t>
      </w:r>
      <w:r w:rsidRPr="00610AD5">
        <w:br/>
      </w:r>
      <w:r w:rsidRPr="00610AD5">
        <w:br/>
      </w:r>
      <w:bookmarkStart w:id="234" w:name="_Toc199215031"/>
      <w:r w:rsidRPr="00610AD5">
        <w:t>Authorization reproduction fees</w:t>
      </w:r>
      <w:bookmarkEnd w:id="230"/>
      <w:bookmarkEnd w:id="231"/>
      <w:bookmarkEnd w:id="232"/>
      <w:bookmarkEnd w:id="233"/>
      <w:bookmarkEnd w:id="234"/>
    </w:p>
    <w:p w:rsidR="00610AD5" w:rsidRPr="00610AD5" w:rsidRDefault="00610AD5" w:rsidP="00610AD5">
      <w:pPr>
        <w:rPr>
          <w:szCs w:val="19"/>
        </w:rPr>
      </w:pPr>
      <w:r w:rsidRPr="00610AD5">
        <w:rPr>
          <w:szCs w:val="19"/>
        </w:rPr>
        <w:t>In case the Authorization is damaged or lost, the Authorized User can apply to the TRA for reproduction of the Authorization. An advance non-refundable payment of One Hundred (100) Dirhams</w:t>
      </w:r>
      <w:r w:rsidRPr="00610AD5">
        <w:rPr>
          <w:b/>
          <w:szCs w:val="19"/>
        </w:rPr>
        <w:t xml:space="preserve"> </w:t>
      </w:r>
      <w:r w:rsidRPr="00610AD5">
        <w:rPr>
          <w:szCs w:val="19"/>
        </w:rPr>
        <w:t>shall be levied</w:t>
      </w:r>
      <w:r w:rsidRPr="00610AD5">
        <w:rPr>
          <w:b/>
          <w:szCs w:val="19"/>
        </w:rPr>
        <w:t xml:space="preserve"> </w:t>
      </w:r>
      <w:r w:rsidRPr="00610AD5">
        <w:rPr>
          <w:szCs w:val="19"/>
        </w:rPr>
        <w:t xml:space="preserve">for each Authorization requested. </w:t>
      </w:r>
    </w:p>
    <w:p w:rsidR="00610AD5" w:rsidRPr="00610AD5" w:rsidRDefault="00610AD5" w:rsidP="00324665">
      <w:pPr>
        <w:pStyle w:val="Arttitle"/>
      </w:pPr>
      <w:bookmarkStart w:id="235" w:name="_Toc280261831"/>
      <w:bookmarkStart w:id="236" w:name="_Toc280262329"/>
      <w:bookmarkStart w:id="237" w:name="_Toc280272723"/>
      <w:bookmarkStart w:id="238" w:name="_Toc280272902"/>
      <w:r w:rsidRPr="00610AD5">
        <w:t>Article 9</w:t>
      </w:r>
      <w:r w:rsidRPr="00610AD5">
        <w:br/>
      </w:r>
      <w:r w:rsidRPr="00610AD5">
        <w:br/>
      </w:r>
      <w:bookmarkStart w:id="239" w:name="_Toc199215032"/>
      <w:r w:rsidRPr="00610AD5">
        <w:t>Authorization modification fees</w:t>
      </w:r>
      <w:bookmarkEnd w:id="235"/>
      <w:bookmarkEnd w:id="236"/>
      <w:bookmarkEnd w:id="237"/>
      <w:bookmarkEnd w:id="238"/>
      <w:bookmarkEnd w:id="239"/>
    </w:p>
    <w:p w:rsidR="00610AD5" w:rsidRPr="00610AD5" w:rsidRDefault="00610AD5" w:rsidP="00610AD5">
      <w:pPr>
        <w:rPr>
          <w:szCs w:val="19"/>
        </w:rPr>
      </w:pPr>
      <w:r w:rsidRPr="00610AD5">
        <w:rPr>
          <w:szCs w:val="19"/>
        </w:rPr>
        <w:t xml:space="preserve">The Authorized User can apply for modification of an Authorization. Modifications of contact details in the Authorization at the time of renewal shall not be charged. Modifications of contact details in the Authorization other than the time of renewal shall require the reproduction charges. The modification of any site data or addition of Wireless Equipment, change of technical data shall require payment of application processing fees. In case the modification is approved by the TRA, the annual Spectrum Fees shall be calculated on pro-rata basis. The Authorized User shall pay the difference in advance to the TRA. If the difference is in favor of the Authorized User, no reimbursement shall be made by the TRA and the annual Spectrum Fees for subsequent year shall be calculated based on the revised fees. </w:t>
      </w:r>
    </w:p>
    <w:p w:rsidR="00610AD5" w:rsidRPr="00610AD5" w:rsidRDefault="00610AD5" w:rsidP="00324665">
      <w:pPr>
        <w:pStyle w:val="Arttitle"/>
      </w:pPr>
      <w:bookmarkStart w:id="240" w:name="_Toc280261832"/>
      <w:bookmarkStart w:id="241" w:name="_Toc280262330"/>
      <w:bookmarkStart w:id="242" w:name="_Toc280272724"/>
      <w:bookmarkStart w:id="243" w:name="_Toc280272903"/>
      <w:r w:rsidRPr="00610AD5">
        <w:t>Article 10</w:t>
      </w:r>
      <w:r w:rsidRPr="00610AD5">
        <w:br/>
      </w:r>
      <w:r w:rsidRPr="00610AD5">
        <w:br/>
      </w:r>
      <w:bookmarkStart w:id="244" w:name="_Toc199215033"/>
      <w:r w:rsidRPr="00610AD5">
        <w:t>Authorization cancellation fees</w:t>
      </w:r>
      <w:bookmarkEnd w:id="240"/>
      <w:bookmarkEnd w:id="241"/>
      <w:bookmarkEnd w:id="242"/>
      <w:bookmarkEnd w:id="243"/>
      <w:bookmarkEnd w:id="244"/>
    </w:p>
    <w:p w:rsidR="00610AD5" w:rsidRPr="00610AD5" w:rsidRDefault="00610AD5" w:rsidP="00610AD5">
      <w:pPr>
        <w:rPr>
          <w:szCs w:val="19"/>
        </w:rPr>
      </w:pPr>
      <w:r w:rsidRPr="00610AD5">
        <w:rPr>
          <w:szCs w:val="19"/>
        </w:rPr>
        <w:t xml:space="preserve">The Authorized User can apply for cancellation of the Authorization. There will be no fees for cancellation and no re-imbursements shall be made by the TRA for any balance amount. </w:t>
      </w:r>
    </w:p>
    <w:p w:rsidR="00610AD5" w:rsidRPr="00610AD5" w:rsidRDefault="00610AD5" w:rsidP="00324665">
      <w:pPr>
        <w:pStyle w:val="Arttitle"/>
      </w:pPr>
      <w:bookmarkStart w:id="245" w:name="_Toc280261833"/>
      <w:bookmarkStart w:id="246" w:name="_Toc280262331"/>
      <w:bookmarkStart w:id="247" w:name="_Toc280272725"/>
      <w:bookmarkStart w:id="248" w:name="_Toc280272904"/>
      <w:r w:rsidRPr="00610AD5">
        <w:lastRenderedPageBreak/>
        <w:t>Article 11</w:t>
      </w:r>
      <w:r w:rsidRPr="00610AD5">
        <w:br/>
      </w:r>
      <w:r w:rsidRPr="00610AD5">
        <w:br/>
      </w:r>
      <w:bookmarkStart w:id="249" w:name="_Toc199215034"/>
      <w:r w:rsidRPr="00610AD5">
        <w:t xml:space="preserve">Spectrum Fees for </w:t>
      </w:r>
      <w:smartTag w:uri="urn:schemas-microsoft-com:office:smarttags" w:element="PlaceName">
        <w:r w:rsidRPr="00610AD5">
          <w:t>Public</w:t>
        </w:r>
      </w:smartTag>
      <w:r w:rsidRPr="00610AD5">
        <w:t xml:space="preserve"> </w:t>
      </w:r>
      <w:smartTag w:uri="urn:schemas-microsoft-com:office:smarttags" w:element="PlaceType">
        <w:r w:rsidRPr="00610AD5">
          <w:t>Land</w:t>
        </w:r>
      </w:smartTag>
      <w:r w:rsidRPr="00610AD5">
        <w:t xml:space="preserve"> </w:t>
      </w:r>
      <w:smartTag w:uri="urn:schemas-microsoft-com:office:smarttags" w:element="place">
        <w:r w:rsidRPr="00610AD5">
          <w:t>Mobile</w:t>
        </w:r>
      </w:smartTag>
      <w:r w:rsidRPr="00610AD5">
        <w:t xml:space="preserve"> (Cellular) Service</w:t>
      </w:r>
      <w:bookmarkEnd w:id="245"/>
      <w:bookmarkEnd w:id="246"/>
      <w:bookmarkEnd w:id="247"/>
      <w:bookmarkEnd w:id="248"/>
      <w:bookmarkEnd w:id="249"/>
    </w:p>
    <w:p w:rsidR="00610AD5" w:rsidRPr="00610AD5" w:rsidRDefault="00610AD5" w:rsidP="00324665">
      <w:pPr>
        <w:pStyle w:val="enumlev1"/>
      </w:pPr>
      <w:r w:rsidRPr="00610AD5">
        <w:t>11.1</w:t>
      </w:r>
      <w:r w:rsidRPr="00610AD5">
        <w:tab/>
        <w:t xml:space="preserve">The Annual Spectrum Fees for the Public Land Mobile (cellular) services (including GSM, UMTS and IMT) shall be calculated as follows: </w:t>
      </w:r>
    </w:p>
    <w:p w:rsidR="00610AD5" w:rsidRPr="00610AD5" w:rsidRDefault="00610AD5" w:rsidP="00610AD5">
      <w:pPr>
        <w:jc w:val="center"/>
        <w:rPr>
          <w:color w:val="000000"/>
          <w:szCs w:val="19"/>
        </w:rPr>
      </w:pPr>
      <w:r w:rsidRPr="00610AD5">
        <w:rPr>
          <w:b/>
          <w:color w:val="000000"/>
          <w:szCs w:val="19"/>
        </w:rPr>
        <w:t xml:space="preserve">Spectrum Price = [(P x MHz) </w:t>
      </w:r>
      <w:r w:rsidRPr="00610AD5">
        <w:rPr>
          <w:b/>
          <w:color w:val="000000"/>
          <w:position w:val="10"/>
          <w:szCs w:val="19"/>
          <w:vertAlign w:val="superscript"/>
        </w:rPr>
        <w:t>EM</w:t>
      </w:r>
      <w:r w:rsidRPr="00610AD5">
        <w:rPr>
          <w:b/>
          <w:color w:val="000000"/>
          <w:szCs w:val="19"/>
        </w:rPr>
        <w:t xml:space="preserve">] x [1 + (MC – CC) / CM] </w:t>
      </w:r>
      <w:r w:rsidRPr="00610AD5">
        <w:rPr>
          <w:b/>
          <w:color w:val="000000"/>
          <w:position w:val="10"/>
          <w:szCs w:val="19"/>
          <w:vertAlign w:val="superscript"/>
        </w:rPr>
        <w:t xml:space="preserve">EC </w:t>
      </w:r>
    </w:p>
    <w:p w:rsidR="00610AD5" w:rsidRPr="00610AD5" w:rsidRDefault="00324665" w:rsidP="00324665">
      <w:pPr>
        <w:pStyle w:val="enumlev1"/>
      </w:pPr>
      <w:r>
        <w:rPr>
          <w:lang w:val="ru-RU"/>
        </w:rPr>
        <w:tab/>
      </w:r>
      <w:r w:rsidR="00610AD5" w:rsidRPr="00610AD5">
        <w:t xml:space="preserve">Where: </w:t>
      </w:r>
    </w:p>
    <w:p w:rsidR="00610AD5" w:rsidRPr="00610AD5" w:rsidRDefault="00324665" w:rsidP="00324665">
      <w:pPr>
        <w:pStyle w:val="enumlev1"/>
      </w:pPr>
      <w:r>
        <w:rPr>
          <w:b/>
          <w:lang w:val="ru-RU"/>
        </w:rPr>
        <w:tab/>
      </w:r>
      <w:r w:rsidR="00610AD5" w:rsidRPr="00610AD5">
        <w:rPr>
          <w:b/>
        </w:rPr>
        <w:t xml:space="preserve">P = </w:t>
      </w:r>
      <w:r w:rsidR="00610AD5" w:rsidRPr="00610AD5">
        <w:t xml:space="preserve">Price per MHz, presently set at 3,500,000.00 AED ( Three Million Five Hundred Thousand) per year </w:t>
      </w:r>
      <w:r w:rsidR="00610AD5" w:rsidRPr="00610AD5">
        <w:rPr>
          <w:color w:val="000000"/>
        </w:rPr>
        <w:t>based</w:t>
      </w:r>
      <w:r w:rsidR="00610AD5" w:rsidRPr="00610AD5">
        <w:t xml:space="preserve"> on market study. The TRA may conduct a market study at appropriate intervals to review this price.  </w:t>
      </w:r>
    </w:p>
    <w:p w:rsidR="00610AD5" w:rsidRPr="00610AD5" w:rsidRDefault="00324665" w:rsidP="00324665">
      <w:pPr>
        <w:pStyle w:val="enumlev1"/>
      </w:pPr>
      <w:r>
        <w:rPr>
          <w:b/>
          <w:lang w:val="ru-RU"/>
        </w:rPr>
        <w:tab/>
      </w:r>
      <w:r w:rsidR="00610AD5" w:rsidRPr="00610AD5">
        <w:rPr>
          <w:b/>
        </w:rPr>
        <w:t>MHz</w:t>
      </w:r>
      <w:r w:rsidR="00610AD5" w:rsidRPr="00610AD5">
        <w:t>= Assigned Bandwidth (of Cellular service) where for duplex assignment of 2x20 MHz shall be taken as 40 MHz. Combined Bandwidth of GSM 900/1800 shall be used for each Licensed Operator. The bandwidth for UMTS and other IMT shall be charged separately.</w:t>
      </w:r>
    </w:p>
    <w:p w:rsidR="00610AD5" w:rsidRPr="00610AD5" w:rsidRDefault="00324665" w:rsidP="00324665">
      <w:pPr>
        <w:pStyle w:val="enumlev1"/>
      </w:pPr>
      <w:r>
        <w:rPr>
          <w:b/>
          <w:lang w:val="ru-RU"/>
        </w:rPr>
        <w:tab/>
      </w:r>
      <w:r w:rsidR="00610AD5" w:rsidRPr="00610AD5">
        <w:rPr>
          <w:b/>
        </w:rPr>
        <w:t>CC</w:t>
      </w:r>
      <w:r w:rsidR="00610AD5" w:rsidRPr="00610AD5">
        <w:t xml:space="preserve">= </w:t>
      </w:r>
      <w:r w:rsidR="00610AD5" w:rsidRPr="00610AD5">
        <w:rPr>
          <w:color w:val="000000"/>
        </w:rPr>
        <w:t>Current</w:t>
      </w:r>
      <w:r w:rsidR="00610AD5" w:rsidRPr="00610AD5">
        <w:t xml:space="preserve"> Coverage of the operator in number of inhabitants covered by the radio network. </w:t>
      </w:r>
    </w:p>
    <w:p w:rsidR="00610AD5" w:rsidRPr="00610AD5" w:rsidRDefault="00324665" w:rsidP="00324665">
      <w:pPr>
        <w:pStyle w:val="enumlev1"/>
      </w:pPr>
      <w:r>
        <w:rPr>
          <w:b/>
          <w:lang w:val="ru-RU"/>
        </w:rPr>
        <w:tab/>
      </w:r>
      <w:r w:rsidR="00610AD5" w:rsidRPr="00610AD5">
        <w:rPr>
          <w:b/>
        </w:rPr>
        <w:t>CM</w:t>
      </w:r>
      <w:r w:rsidR="00610AD5" w:rsidRPr="00610AD5">
        <w:t xml:space="preserve">= </w:t>
      </w:r>
      <w:r w:rsidR="00610AD5" w:rsidRPr="00610AD5">
        <w:rPr>
          <w:color w:val="000000"/>
        </w:rPr>
        <w:t>Maximum</w:t>
      </w:r>
      <w:r w:rsidR="00610AD5" w:rsidRPr="00610AD5">
        <w:t xml:space="preserve"> coverage in UAE is set as 4,912,000 inhabitants of UAE based on projected information from Ministry of Planning and shall be revised on results of Census or after three years from the date of this Policy.  </w:t>
      </w:r>
    </w:p>
    <w:p w:rsidR="00610AD5" w:rsidRPr="00610AD5" w:rsidRDefault="00324665" w:rsidP="00324665">
      <w:pPr>
        <w:pStyle w:val="enumlev1"/>
      </w:pPr>
      <w:r>
        <w:rPr>
          <w:b/>
          <w:lang w:val="ru-RU"/>
        </w:rPr>
        <w:tab/>
      </w:r>
      <w:r w:rsidR="00610AD5" w:rsidRPr="00610AD5">
        <w:rPr>
          <w:b/>
        </w:rPr>
        <w:t>MC</w:t>
      </w:r>
      <w:r w:rsidR="00610AD5" w:rsidRPr="00610AD5">
        <w:t xml:space="preserve">= </w:t>
      </w:r>
      <w:r w:rsidR="00610AD5" w:rsidRPr="00610AD5">
        <w:rPr>
          <w:color w:val="000000"/>
        </w:rPr>
        <w:t>Minimum</w:t>
      </w:r>
      <w:r w:rsidR="00610AD5" w:rsidRPr="00610AD5">
        <w:t xml:space="preserve"> coverage which is set as 2,063,040 inhabitants of UAE (42% of the CM value). </w:t>
      </w:r>
    </w:p>
    <w:p w:rsidR="00610AD5" w:rsidRPr="00610AD5" w:rsidRDefault="00324665" w:rsidP="00324665">
      <w:pPr>
        <w:pStyle w:val="enumlev1"/>
      </w:pPr>
      <w:r>
        <w:rPr>
          <w:b/>
          <w:lang w:val="ru-RU"/>
        </w:rPr>
        <w:tab/>
      </w:r>
      <w:r w:rsidR="00610AD5" w:rsidRPr="00610AD5">
        <w:rPr>
          <w:b/>
        </w:rPr>
        <w:t>EC</w:t>
      </w:r>
      <w:r w:rsidR="00610AD5" w:rsidRPr="00610AD5">
        <w:t xml:space="preserve">= </w:t>
      </w:r>
      <w:r w:rsidR="00610AD5" w:rsidRPr="00610AD5">
        <w:rPr>
          <w:color w:val="000000"/>
        </w:rPr>
        <w:t>Efficient</w:t>
      </w:r>
      <w:r w:rsidR="00610AD5" w:rsidRPr="00610AD5">
        <w:t xml:space="preserve"> Factor for coverage, calculated as EC= 1 + (CC/MC). </w:t>
      </w:r>
    </w:p>
    <w:p w:rsidR="00610AD5" w:rsidRPr="00610AD5" w:rsidRDefault="00324665" w:rsidP="00324665">
      <w:pPr>
        <w:pStyle w:val="enumlev1"/>
      </w:pPr>
      <w:r>
        <w:rPr>
          <w:b/>
          <w:lang w:val="ru-RU"/>
        </w:rPr>
        <w:tab/>
      </w:r>
      <w:r w:rsidR="00610AD5" w:rsidRPr="00610AD5">
        <w:rPr>
          <w:b/>
        </w:rPr>
        <w:t>EM</w:t>
      </w:r>
      <w:r w:rsidR="00610AD5" w:rsidRPr="00610AD5">
        <w:t xml:space="preserve">= </w:t>
      </w:r>
      <w:r w:rsidR="00610AD5" w:rsidRPr="00610AD5">
        <w:rPr>
          <w:color w:val="000000"/>
        </w:rPr>
        <w:t>Efficiency</w:t>
      </w:r>
      <w:r w:rsidR="00610AD5" w:rsidRPr="00610AD5">
        <w:t xml:space="preserve"> factor for MHz, calculated as EM= 1 + (MHz/982.4) </w:t>
      </w:r>
    </w:p>
    <w:p w:rsidR="00610AD5" w:rsidRPr="00610AD5" w:rsidRDefault="00324665" w:rsidP="00324665">
      <w:pPr>
        <w:pStyle w:val="enumlev1"/>
      </w:pPr>
      <w:r>
        <w:rPr>
          <w:lang w:val="ru-RU"/>
        </w:rPr>
        <w:tab/>
      </w:r>
      <w:r w:rsidR="00610AD5" w:rsidRPr="00610AD5">
        <w:t xml:space="preserve">982.4 </w:t>
      </w:r>
      <w:r w:rsidR="00610AD5" w:rsidRPr="00610AD5">
        <w:rPr>
          <w:color w:val="000000"/>
        </w:rPr>
        <w:t>represent</w:t>
      </w:r>
      <w:r w:rsidR="00610AD5" w:rsidRPr="00610AD5">
        <w:t xml:space="preserve"> a value corresponding to 4.912 Million population of UAE. </w:t>
      </w:r>
    </w:p>
    <w:p w:rsidR="00610AD5" w:rsidRPr="00610AD5" w:rsidRDefault="00610AD5" w:rsidP="00324665">
      <w:pPr>
        <w:pStyle w:val="enumlev1"/>
        <w:rPr>
          <w:rFonts w:asciiTheme="majorBidi" w:hAnsiTheme="majorBidi" w:cstheme="majorBidi"/>
          <w:szCs w:val="22"/>
        </w:rPr>
      </w:pPr>
      <w:r w:rsidRPr="00610AD5">
        <w:rPr>
          <w:rFonts w:asciiTheme="majorBidi" w:hAnsiTheme="majorBidi" w:cstheme="majorBidi"/>
          <w:szCs w:val="22"/>
        </w:rPr>
        <w:t>11.2</w:t>
      </w:r>
      <w:r w:rsidRPr="00610AD5">
        <w:rPr>
          <w:rFonts w:asciiTheme="majorBidi" w:hAnsiTheme="majorBidi" w:cstheme="majorBidi"/>
          <w:szCs w:val="22"/>
        </w:rPr>
        <w:tab/>
        <w:t xml:space="preserve">The TRA regulations and guidelines for determination of the factors like coverage for calculation of Fees for Public Land Mobile (cellular) services shall apply. </w:t>
      </w:r>
    </w:p>
    <w:p w:rsidR="00610AD5" w:rsidRPr="00610AD5" w:rsidRDefault="00610AD5" w:rsidP="00324665">
      <w:pPr>
        <w:pStyle w:val="Arttitle"/>
      </w:pPr>
      <w:bookmarkStart w:id="250" w:name="_Toc280261834"/>
      <w:bookmarkStart w:id="251" w:name="_Toc280262332"/>
      <w:bookmarkStart w:id="252" w:name="_Toc280272726"/>
      <w:bookmarkStart w:id="253" w:name="_Toc280272905"/>
      <w:r w:rsidRPr="00610AD5">
        <w:t>Article 12</w:t>
      </w:r>
      <w:r w:rsidRPr="00610AD5">
        <w:br/>
      </w:r>
      <w:r w:rsidRPr="00610AD5">
        <w:br/>
      </w:r>
      <w:bookmarkStart w:id="254" w:name="_Toc199215035"/>
      <w:r w:rsidRPr="00610AD5">
        <w:t>Spectrum Fees for Private Mobile Radio, paging and trunking</w:t>
      </w:r>
      <w:bookmarkEnd w:id="250"/>
      <w:bookmarkEnd w:id="251"/>
      <w:bookmarkEnd w:id="252"/>
      <w:bookmarkEnd w:id="253"/>
      <w:bookmarkEnd w:id="254"/>
    </w:p>
    <w:p w:rsidR="00610AD5" w:rsidRPr="00610AD5" w:rsidRDefault="00610AD5" w:rsidP="00324665">
      <w:pPr>
        <w:pStyle w:val="enumlev1"/>
      </w:pPr>
      <w:r w:rsidRPr="00610AD5">
        <w:t>12.1</w:t>
      </w:r>
      <w:r w:rsidRPr="00610AD5">
        <w:tab/>
        <w:t xml:space="preserve">The Annual Spectrum Fees for Private Mobile Radio shall be calculated as follows: </w:t>
      </w:r>
    </w:p>
    <w:p w:rsidR="00610AD5" w:rsidRPr="00610AD5" w:rsidRDefault="00610AD5" w:rsidP="00610AD5">
      <w:pPr>
        <w:jc w:val="center"/>
        <w:rPr>
          <w:color w:val="000000"/>
          <w:szCs w:val="19"/>
        </w:rPr>
      </w:pPr>
      <w:r w:rsidRPr="00610AD5">
        <w:rPr>
          <w:b/>
          <w:color w:val="000000"/>
          <w:szCs w:val="19"/>
        </w:rPr>
        <w:t xml:space="preserve">Spectrum Price = NC x CF + SUM (WE x 500 x PF) </w:t>
      </w:r>
    </w:p>
    <w:p w:rsidR="00610AD5" w:rsidRPr="00610AD5" w:rsidRDefault="00324665" w:rsidP="00324665">
      <w:pPr>
        <w:pStyle w:val="enumlev1"/>
      </w:pPr>
      <w:r>
        <w:rPr>
          <w:lang w:val="ru-RU"/>
        </w:rPr>
        <w:tab/>
      </w:r>
      <w:r w:rsidR="00610AD5" w:rsidRPr="00610AD5">
        <w:t xml:space="preserve">Where: </w:t>
      </w:r>
    </w:p>
    <w:p w:rsidR="00610AD5" w:rsidRPr="00610AD5" w:rsidRDefault="00324665" w:rsidP="00324665">
      <w:pPr>
        <w:pStyle w:val="enumlev1"/>
      </w:pPr>
      <w:r>
        <w:rPr>
          <w:b/>
          <w:lang w:val="ru-RU"/>
        </w:rPr>
        <w:tab/>
      </w:r>
      <w:r w:rsidR="00610AD5" w:rsidRPr="00610AD5">
        <w:rPr>
          <w:b/>
        </w:rPr>
        <w:t xml:space="preserve">NC= </w:t>
      </w:r>
      <w:r w:rsidR="00610AD5" w:rsidRPr="00610AD5">
        <w:t xml:space="preserve">Number of Channels (12.5 kHz bandwidth equivalents each) that will be assigned to the user. </w:t>
      </w:r>
    </w:p>
    <w:p w:rsidR="00610AD5" w:rsidRPr="00610AD5" w:rsidRDefault="00324665" w:rsidP="00324665">
      <w:pPr>
        <w:pStyle w:val="enumlev1"/>
      </w:pPr>
      <w:r>
        <w:rPr>
          <w:b/>
          <w:lang w:val="ru-RU"/>
        </w:rPr>
        <w:tab/>
      </w:r>
      <w:r w:rsidR="00610AD5" w:rsidRPr="00610AD5">
        <w:rPr>
          <w:b/>
        </w:rPr>
        <w:t xml:space="preserve">WE = </w:t>
      </w:r>
      <w:r w:rsidR="00610AD5" w:rsidRPr="00610AD5">
        <w:t xml:space="preserve">Wireless Equipment authorized (including handhelds) will be included in the calculation. </w:t>
      </w:r>
    </w:p>
    <w:p w:rsidR="00610AD5" w:rsidRPr="00610AD5" w:rsidRDefault="00324665" w:rsidP="00324665">
      <w:pPr>
        <w:pStyle w:val="enumlev1"/>
      </w:pPr>
      <w:r>
        <w:rPr>
          <w:b/>
          <w:lang w:val="ru-RU"/>
        </w:rPr>
        <w:tab/>
      </w:r>
      <w:r w:rsidR="00610AD5" w:rsidRPr="00610AD5">
        <w:rPr>
          <w:b/>
        </w:rPr>
        <w:t xml:space="preserve">SUM (WE x 500 x PF) = </w:t>
      </w:r>
      <w:r w:rsidR="00610AD5" w:rsidRPr="00610AD5">
        <w:t xml:space="preserve">Total sum of (each Wireless Equipment authorized multiplied by 500 multiplied by Power Factor). </w:t>
      </w:r>
    </w:p>
    <w:p w:rsidR="00610AD5" w:rsidRPr="00610AD5" w:rsidRDefault="00324665" w:rsidP="00324665">
      <w:pPr>
        <w:pStyle w:val="enumlev1"/>
      </w:pPr>
      <w:r>
        <w:rPr>
          <w:b/>
          <w:lang w:val="ru-RU"/>
        </w:rPr>
        <w:tab/>
      </w:r>
      <w:r w:rsidR="00610AD5" w:rsidRPr="00610AD5">
        <w:rPr>
          <w:b/>
        </w:rPr>
        <w:t xml:space="preserve">PF= </w:t>
      </w:r>
      <w:r w:rsidR="00610AD5" w:rsidRPr="00610AD5">
        <w:t xml:space="preserve">Power Factor depending on the authorized radiated power of the Equipment which will be determined as follows: </w:t>
      </w:r>
    </w:p>
    <w:p w:rsidR="00610AD5" w:rsidRPr="00610AD5" w:rsidRDefault="00610AD5" w:rsidP="00610AD5">
      <w:pPr>
        <w:spacing w:before="0"/>
        <w:ind w:left="720"/>
        <w:rPr>
          <w:color w:val="000000"/>
          <w:szCs w:val="19"/>
        </w:rPr>
      </w:pPr>
    </w:p>
    <w:p w:rsidR="00610AD5" w:rsidRPr="00324665" w:rsidRDefault="00610AD5" w:rsidP="00324665">
      <w:pPr>
        <w:pStyle w:val="FigureTitle"/>
        <w:rPr>
          <w:rFonts w:ascii="Times New Roman" w:hAnsi="Times New Roman"/>
        </w:rPr>
      </w:pPr>
    </w:p>
    <w:tbl>
      <w:tblPr>
        <w:tblW w:w="0" w:type="auto"/>
        <w:jc w:val="center"/>
        <w:tblInd w:w="900" w:type="dxa"/>
        <w:tblBorders>
          <w:top w:val="nil"/>
          <w:left w:val="nil"/>
          <w:bottom w:val="nil"/>
          <w:right w:val="nil"/>
        </w:tblBorders>
        <w:tblLook w:val="0000"/>
      </w:tblPr>
      <w:tblGrid>
        <w:gridCol w:w="815"/>
        <w:gridCol w:w="1555"/>
        <w:gridCol w:w="931"/>
        <w:gridCol w:w="1167"/>
        <w:gridCol w:w="1222"/>
        <w:gridCol w:w="782"/>
      </w:tblGrid>
      <w:tr w:rsidR="00610AD5" w:rsidRPr="00610AD5" w:rsidTr="00610AD5">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rPr>
            </w:pPr>
            <w:r w:rsidRPr="00610AD5">
              <w:rPr>
                <w:rFonts w:asciiTheme="majorBidi" w:hAnsiTheme="majorBidi" w:cstheme="majorBidi"/>
                <w:b/>
                <w:szCs w:val="22"/>
              </w:rPr>
              <w:t xml:space="preserve">Power </w:t>
            </w:r>
          </w:p>
        </w:tc>
        <w:tc>
          <w:tcPr>
            <w:tcW w:w="0" w:type="auto"/>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rPr>
            </w:pPr>
            <w:r w:rsidRPr="00610AD5">
              <w:rPr>
                <w:rFonts w:asciiTheme="majorBidi" w:hAnsiTheme="majorBidi" w:cstheme="majorBidi"/>
                <w:b/>
                <w:szCs w:val="22"/>
              </w:rPr>
              <w:t>Less than 1 W</w:t>
            </w:r>
          </w:p>
        </w:tc>
        <w:tc>
          <w:tcPr>
            <w:tcW w:w="0" w:type="auto"/>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rPr>
            </w:pPr>
            <w:r w:rsidRPr="00610AD5">
              <w:rPr>
                <w:rFonts w:asciiTheme="majorBidi" w:hAnsiTheme="majorBidi" w:cstheme="majorBidi"/>
                <w:b/>
                <w:szCs w:val="22"/>
              </w:rPr>
              <w:t xml:space="preserve">1 – 5 W </w:t>
            </w:r>
          </w:p>
        </w:tc>
        <w:tc>
          <w:tcPr>
            <w:tcW w:w="0" w:type="auto"/>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rPr>
            </w:pPr>
            <w:r w:rsidRPr="00610AD5">
              <w:rPr>
                <w:rFonts w:asciiTheme="majorBidi" w:hAnsiTheme="majorBidi" w:cstheme="majorBidi"/>
                <w:b/>
                <w:szCs w:val="22"/>
              </w:rPr>
              <w:t xml:space="preserve">&gt;5 – 10 W </w:t>
            </w:r>
          </w:p>
        </w:tc>
        <w:tc>
          <w:tcPr>
            <w:tcW w:w="0" w:type="auto"/>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rPr>
            </w:pPr>
            <w:r w:rsidRPr="00610AD5">
              <w:rPr>
                <w:rFonts w:asciiTheme="majorBidi" w:hAnsiTheme="majorBidi" w:cstheme="majorBidi"/>
                <w:b/>
                <w:szCs w:val="22"/>
              </w:rPr>
              <w:t xml:space="preserve">&gt;10 – 20W </w:t>
            </w:r>
          </w:p>
        </w:tc>
        <w:tc>
          <w:tcPr>
            <w:tcW w:w="0" w:type="auto"/>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rPr>
            </w:pPr>
            <w:r w:rsidRPr="00610AD5">
              <w:rPr>
                <w:rFonts w:asciiTheme="majorBidi" w:hAnsiTheme="majorBidi" w:cstheme="majorBidi"/>
                <w:b/>
                <w:szCs w:val="22"/>
              </w:rPr>
              <w:t xml:space="preserve">&gt;20W </w:t>
            </w:r>
          </w:p>
        </w:tc>
      </w:tr>
      <w:tr w:rsidR="00610AD5" w:rsidRPr="00610AD5" w:rsidTr="00610AD5">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rPr>
              <w:t>PF</w:t>
            </w:r>
          </w:p>
        </w:tc>
        <w:tc>
          <w:tcPr>
            <w:tcW w:w="0" w:type="auto"/>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rPr>
              <w:t>0.25</w:t>
            </w:r>
          </w:p>
        </w:tc>
        <w:tc>
          <w:tcPr>
            <w:tcW w:w="0" w:type="auto"/>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rPr>
              <w:t>1</w:t>
            </w:r>
          </w:p>
        </w:tc>
        <w:tc>
          <w:tcPr>
            <w:tcW w:w="0" w:type="auto"/>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rPr>
              <w:t>2</w:t>
            </w:r>
          </w:p>
        </w:tc>
        <w:tc>
          <w:tcPr>
            <w:tcW w:w="0" w:type="auto"/>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rPr>
              <w:t>3</w:t>
            </w:r>
          </w:p>
        </w:tc>
        <w:tc>
          <w:tcPr>
            <w:tcW w:w="0" w:type="auto"/>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rPr>
              <w:t>4</w:t>
            </w:r>
          </w:p>
        </w:tc>
      </w:tr>
    </w:tbl>
    <w:p w:rsidR="00610AD5" w:rsidRPr="00610AD5" w:rsidRDefault="00610AD5" w:rsidP="00BC495B">
      <w:pPr>
        <w:pStyle w:val="FigureSource"/>
      </w:pPr>
    </w:p>
    <w:p w:rsidR="00610AD5" w:rsidRPr="00610AD5" w:rsidRDefault="00610AD5" w:rsidP="00C608EC">
      <w:pPr>
        <w:pageBreakBefore/>
        <w:ind w:left="720"/>
        <w:rPr>
          <w:color w:val="000000"/>
          <w:szCs w:val="19"/>
        </w:rPr>
      </w:pPr>
      <w:r w:rsidRPr="00610AD5">
        <w:rPr>
          <w:b/>
          <w:color w:val="000000"/>
          <w:szCs w:val="19"/>
        </w:rPr>
        <w:lastRenderedPageBreak/>
        <w:t xml:space="preserve">CF= </w:t>
      </w:r>
      <w:r w:rsidRPr="00610AD5">
        <w:rPr>
          <w:color w:val="000000"/>
          <w:szCs w:val="19"/>
        </w:rPr>
        <w:t xml:space="preserve">Coverage Factor depending on the geographical area which will be determined as follows: </w:t>
      </w:r>
    </w:p>
    <w:p w:rsidR="00610AD5" w:rsidRPr="00610AD5" w:rsidRDefault="00610AD5" w:rsidP="00610AD5">
      <w:pPr>
        <w:ind w:left="720"/>
        <w:rPr>
          <w:color w:val="000000"/>
          <w:szCs w:val="19"/>
        </w:rPr>
      </w:pPr>
    </w:p>
    <w:p w:rsidR="00610AD5" w:rsidRPr="00324665" w:rsidRDefault="00610AD5" w:rsidP="00324665">
      <w:pPr>
        <w:pStyle w:val="FigureTitle"/>
        <w:rPr>
          <w:rFonts w:ascii="Times New Roman" w:hAnsi="Times New Roman"/>
        </w:rPr>
      </w:pPr>
    </w:p>
    <w:tbl>
      <w:tblPr>
        <w:tblW w:w="0" w:type="auto"/>
        <w:jc w:val="center"/>
        <w:tblInd w:w="900" w:type="dxa"/>
        <w:tblBorders>
          <w:top w:val="nil"/>
          <w:left w:val="nil"/>
          <w:bottom w:val="nil"/>
          <w:right w:val="nil"/>
        </w:tblBorders>
        <w:tblLook w:val="0000"/>
      </w:tblPr>
      <w:tblGrid>
        <w:gridCol w:w="681"/>
        <w:gridCol w:w="1475"/>
        <w:gridCol w:w="1523"/>
        <w:gridCol w:w="3268"/>
        <w:gridCol w:w="817"/>
      </w:tblGrid>
      <w:tr w:rsidR="00610AD5" w:rsidRPr="00610AD5" w:rsidTr="00610AD5">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rPr>
            </w:pPr>
            <w:r w:rsidRPr="00610AD5">
              <w:rPr>
                <w:rFonts w:asciiTheme="majorBidi" w:hAnsiTheme="majorBidi" w:cstheme="majorBidi"/>
                <w:b/>
                <w:szCs w:val="22"/>
              </w:rPr>
              <w:t xml:space="preserve">Area </w:t>
            </w:r>
          </w:p>
        </w:tc>
        <w:tc>
          <w:tcPr>
            <w:tcW w:w="1475"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rPr>
            </w:pPr>
            <w:r w:rsidRPr="00610AD5">
              <w:rPr>
                <w:rFonts w:asciiTheme="majorBidi" w:hAnsiTheme="majorBidi" w:cstheme="majorBidi"/>
                <w:b/>
                <w:szCs w:val="22"/>
              </w:rPr>
              <w:t xml:space="preserve">Rural area or within premises </w:t>
            </w:r>
          </w:p>
        </w:tc>
        <w:tc>
          <w:tcPr>
            <w:tcW w:w="1523"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rPr>
            </w:pPr>
            <w:r w:rsidRPr="00610AD5">
              <w:rPr>
                <w:rFonts w:asciiTheme="majorBidi" w:hAnsiTheme="majorBidi" w:cstheme="majorBidi"/>
                <w:b/>
                <w:szCs w:val="22"/>
              </w:rPr>
              <w:t>Urban city area of one city</w:t>
            </w:r>
          </w:p>
        </w:tc>
        <w:tc>
          <w:tcPr>
            <w:tcW w:w="3268"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rPr>
            </w:pPr>
            <w:r w:rsidRPr="00610AD5">
              <w:rPr>
                <w:rFonts w:asciiTheme="majorBidi" w:hAnsiTheme="majorBidi" w:cstheme="majorBidi"/>
                <w:b/>
                <w:szCs w:val="22"/>
              </w:rPr>
              <w:t xml:space="preserve">Emirate wide </w:t>
            </w:r>
          </w:p>
        </w:tc>
        <w:tc>
          <w:tcPr>
            <w:tcW w:w="817"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rPr>
            </w:pPr>
            <w:r w:rsidRPr="00610AD5">
              <w:rPr>
                <w:rFonts w:asciiTheme="majorBidi" w:hAnsiTheme="majorBidi" w:cstheme="majorBidi"/>
                <w:b/>
                <w:szCs w:val="22"/>
              </w:rPr>
              <w:t xml:space="preserve">All UAE </w:t>
            </w:r>
          </w:p>
        </w:tc>
      </w:tr>
      <w:tr w:rsidR="00610AD5" w:rsidRPr="00610AD5" w:rsidTr="00610AD5">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rPr>
            </w:pPr>
            <w:r w:rsidRPr="00610AD5">
              <w:rPr>
                <w:rFonts w:asciiTheme="majorBidi" w:hAnsiTheme="majorBidi" w:cstheme="majorBidi"/>
                <w:szCs w:val="22"/>
              </w:rPr>
              <w:t xml:space="preserve">CF </w:t>
            </w:r>
          </w:p>
        </w:tc>
        <w:tc>
          <w:tcPr>
            <w:tcW w:w="1475"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rPr>
            </w:pPr>
            <w:r w:rsidRPr="00610AD5">
              <w:rPr>
                <w:rFonts w:asciiTheme="majorBidi" w:hAnsiTheme="majorBidi" w:cstheme="majorBidi"/>
                <w:szCs w:val="22"/>
              </w:rPr>
              <w:t xml:space="preserve">100 </w:t>
            </w:r>
          </w:p>
        </w:tc>
        <w:tc>
          <w:tcPr>
            <w:tcW w:w="1523"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rPr>
            </w:pPr>
            <w:r w:rsidRPr="00610AD5">
              <w:rPr>
                <w:rFonts w:asciiTheme="majorBidi" w:hAnsiTheme="majorBidi" w:cstheme="majorBidi"/>
                <w:szCs w:val="22"/>
              </w:rPr>
              <w:t xml:space="preserve">500 </w:t>
            </w:r>
          </w:p>
        </w:tc>
        <w:tc>
          <w:tcPr>
            <w:tcW w:w="3268"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rPr>
            </w:pPr>
            <w:r w:rsidRPr="00610AD5">
              <w:rPr>
                <w:rFonts w:asciiTheme="majorBidi" w:hAnsiTheme="majorBidi" w:cstheme="majorBidi"/>
                <w:szCs w:val="22"/>
              </w:rPr>
              <w:t>2000 for Abu Dhabi or Dubai</w:t>
            </w:r>
          </w:p>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rPr>
            </w:pPr>
            <w:r w:rsidRPr="00610AD5">
              <w:rPr>
                <w:rFonts w:asciiTheme="majorBidi" w:hAnsiTheme="majorBidi" w:cstheme="majorBidi"/>
                <w:szCs w:val="22"/>
              </w:rPr>
              <w:t>1000 for other Emirates</w:t>
            </w:r>
          </w:p>
        </w:tc>
        <w:tc>
          <w:tcPr>
            <w:tcW w:w="817"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rPr>
            </w:pPr>
            <w:r w:rsidRPr="00610AD5">
              <w:rPr>
                <w:rFonts w:asciiTheme="majorBidi" w:hAnsiTheme="majorBidi" w:cstheme="majorBidi"/>
                <w:szCs w:val="22"/>
              </w:rPr>
              <w:t xml:space="preserve">4,000 </w:t>
            </w:r>
          </w:p>
        </w:tc>
      </w:tr>
    </w:tbl>
    <w:p w:rsidR="00610AD5" w:rsidRPr="00610AD5" w:rsidRDefault="00610AD5" w:rsidP="00BC495B">
      <w:pPr>
        <w:pStyle w:val="FigureSource"/>
      </w:pPr>
    </w:p>
    <w:p w:rsidR="00610AD5" w:rsidRPr="00610AD5" w:rsidRDefault="00610AD5" w:rsidP="00610AD5">
      <w:pPr>
        <w:ind w:left="720" w:hanging="720"/>
      </w:pPr>
    </w:p>
    <w:p w:rsidR="00610AD5" w:rsidRPr="00610AD5" w:rsidRDefault="00610AD5" w:rsidP="00C11A0F">
      <w:pPr>
        <w:pStyle w:val="enumlev1"/>
      </w:pPr>
      <w:r w:rsidRPr="00610AD5">
        <w:t>12.3</w:t>
      </w:r>
      <w:r w:rsidRPr="00610AD5">
        <w:tab/>
        <w:t xml:space="preserve">The Annual Spectrum Fees for Private Mobile Radio (vehicles only) which are not localized shall be calculated as follows: </w:t>
      </w:r>
    </w:p>
    <w:p w:rsidR="00610AD5" w:rsidRPr="00610AD5" w:rsidRDefault="00C11A0F" w:rsidP="00C11A0F">
      <w:pPr>
        <w:pStyle w:val="enumlev1"/>
        <w:rPr>
          <w:color w:val="000000"/>
        </w:rPr>
      </w:pPr>
      <w:r>
        <w:rPr>
          <w:b/>
          <w:color w:val="000000"/>
          <w:lang w:val="ru-RU"/>
        </w:rPr>
        <w:tab/>
      </w:r>
      <w:r w:rsidR="00610AD5" w:rsidRPr="00610AD5">
        <w:rPr>
          <w:b/>
          <w:color w:val="000000"/>
        </w:rPr>
        <w:t>Spectrum Fees = NC x CF</w:t>
      </w:r>
    </w:p>
    <w:p w:rsidR="00610AD5" w:rsidRPr="00610AD5" w:rsidRDefault="00C11A0F" w:rsidP="00C11A0F">
      <w:pPr>
        <w:pStyle w:val="enumlev1"/>
        <w:rPr>
          <w:color w:val="000000"/>
        </w:rPr>
      </w:pPr>
      <w:r>
        <w:rPr>
          <w:color w:val="000000"/>
          <w:lang w:val="ru-RU"/>
        </w:rPr>
        <w:tab/>
      </w:r>
      <w:r w:rsidR="00610AD5" w:rsidRPr="00610AD5">
        <w:rPr>
          <w:color w:val="000000"/>
        </w:rPr>
        <w:t xml:space="preserve">Where: </w:t>
      </w:r>
    </w:p>
    <w:p w:rsidR="00610AD5" w:rsidRPr="00610AD5" w:rsidRDefault="00C11A0F" w:rsidP="00C11A0F">
      <w:pPr>
        <w:pStyle w:val="enumlev1"/>
        <w:rPr>
          <w:color w:val="000000"/>
        </w:rPr>
      </w:pPr>
      <w:r>
        <w:rPr>
          <w:b/>
          <w:color w:val="000000"/>
          <w:lang w:val="ru-RU"/>
        </w:rPr>
        <w:tab/>
      </w:r>
      <w:r w:rsidR="00610AD5" w:rsidRPr="00610AD5">
        <w:rPr>
          <w:b/>
          <w:color w:val="000000"/>
        </w:rPr>
        <w:t xml:space="preserve">NC= </w:t>
      </w:r>
      <w:r w:rsidR="00610AD5" w:rsidRPr="00610AD5">
        <w:rPr>
          <w:color w:val="000000"/>
        </w:rPr>
        <w:t xml:space="preserve">Number of Channels (12.5 kHz bandwidth equivalents each) that will be assigned to the user. </w:t>
      </w:r>
    </w:p>
    <w:p w:rsidR="00610AD5" w:rsidRPr="00610AD5" w:rsidRDefault="00C11A0F" w:rsidP="00C11A0F">
      <w:pPr>
        <w:pStyle w:val="enumlev1"/>
        <w:rPr>
          <w:color w:val="000000"/>
        </w:rPr>
      </w:pPr>
      <w:r>
        <w:rPr>
          <w:b/>
          <w:color w:val="000000"/>
          <w:lang w:val="ru-RU"/>
        </w:rPr>
        <w:tab/>
      </w:r>
      <w:r w:rsidR="00610AD5" w:rsidRPr="00610AD5">
        <w:rPr>
          <w:b/>
          <w:color w:val="000000"/>
        </w:rPr>
        <w:t xml:space="preserve">CF= </w:t>
      </w:r>
      <w:r w:rsidR="00610AD5" w:rsidRPr="00610AD5">
        <w:rPr>
          <w:color w:val="000000"/>
        </w:rPr>
        <w:t xml:space="preserve">Coverage Factor depending on the geographical area which will be determined as follows: </w:t>
      </w:r>
    </w:p>
    <w:p w:rsidR="00610AD5" w:rsidRPr="00610AD5" w:rsidRDefault="00610AD5" w:rsidP="00610AD5"/>
    <w:p w:rsidR="00610AD5" w:rsidRPr="00324665" w:rsidRDefault="00610AD5" w:rsidP="00324665">
      <w:pPr>
        <w:pStyle w:val="FigureTitle"/>
        <w:rPr>
          <w:rFonts w:ascii="Times New Roman" w:hAnsi="Times New Roman"/>
        </w:rPr>
      </w:pPr>
    </w:p>
    <w:tbl>
      <w:tblPr>
        <w:tblW w:w="0" w:type="auto"/>
        <w:tblInd w:w="925" w:type="dxa"/>
        <w:tblBorders>
          <w:top w:val="nil"/>
          <w:left w:val="nil"/>
          <w:bottom w:val="nil"/>
          <w:right w:val="nil"/>
        </w:tblBorders>
        <w:tblLook w:val="0000"/>
      </w:tblPr>
      <w:tblGrid>
        <w:gridCol w:w="681"/>
        <w:gridCol w:w="1475"/>
        <w:gridCol w:w="1523"/>
        <w:gridCol w:w="3268"/>
        <w:gridCol w:w="817"/>
      </w:tblGrid>
      <w:tr w:rsidR="00610AD5" w:rsidRPr="00610AD5" w:rsidTr="00610AD5">
        <w:trPr>
          <w:trHeight w:val="319"/>
        </w:trPr>
        <w:tc>
          <w:tcPr>
            <w:tcW w:w="0" w:type="auto"/>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rPr>
            </w:pPr>
            <w:r w:rsidRPr="00610AD5">
              <w:rPr>
                <w:rFonts w:asciiTheme="majorBidi" w:hAnsiTheme="majorBidi" w:cstheme="majorBidi"/>
                <w:b/>
                <w:szCs w:val="22"/>
              </w:rPr>
              <w:t xml:space="preserve">Area </w:t>
            </w:r>
          </w:p>
        </w:tc>
        <w:tc>
          <w:tcPr>
            <w:tcW w:w="1475"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rPr>
            </w:pPr>
            <w:r w:rsidRPr="00610AD5">
              <w:rPr>
                <w:rFonts w:asciiTheme="majorBidi" w:hAnsiTheme="majorBidi" w:cstheme="majorBidi"/>
                <w:b/>
                <w:szCs w:val="22"/>
              </w:rPr>
              <w:t xml:space="preserve">Rural area or within premises </w:t>
            </w:r>
          </w:p>
        </w:tc>
        <w:tc>
          <w:tcPr>
            <w:tcW w:w="1523"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rPr>
            </w:pPr>
            <w:r w:rsidRPr="00610AD5">
              <w:rPr>
                <w:rFonts w:asciiTheme="majorBidi" w:hAnsiTheme="majorBidi" w:cstheme="majorBidi"/>
                <w:b/>
                <w:szCs w:val="22"/>
              </w:rPr>
              <w:t>Urban city area of one city</w:t>
            </w:r>
          </w:p>
        </w:tc>
        <w:tc>
          <w:tcPr>
            <w:tcW w:w="3268"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rPr>
            </w:pPr>
            <w:r w:rsidRPr="00610AD5">
              <w:rPr>
                <w:rFonts w:asciiTheme="majorBidi" w:hAnsiTheme="majorBidi" w:cstheme="majorBidi"/>
                <w:b/>
                <w:szCs w:val="22"/>
              </w:rPr>
              <w:t xml:space="preserve">Emirate wide </w:t>
            </w:r>
          </w:p>
        </w:tc>
        <w:tc>
          <w:tcPr>
            <w:tcW w:w="817"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rPr>
            </w:pPr>
            <w:r w:rsidRPr="00610AD5">
              <w:rPr>
                <w:rFonts w:asciiTheme="majorBidi" w:hAnsiTheme="majorBidi" w:cstheme="majorBidi"/>
                <w:b/>
                <w:szCs w:val="22"/>
              </w:rPr>
              <w:t xml:space="preserve">All UAE </w:t>
            </w:r>
          </w:p>
        </w:tc>
      </w:tr>
      <w:tr w:rsidR="00610AD5" w:rsidRPr="00610AD5" w:rsidTr="00610AD5">
        <w:trPr>
          <w:trHeight w:val="319"/>
        </w:trPr>
        <w:tc>
          <w:tcPr>
            <w:tcW w:w="0" w:type="auto"/>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rPr>
            </w:pPr>
            <w:r w:rsidRPr="00610AD5">
              <w:rPr>
                <w:rFonts w:asciiTheme="majorBidi" w:hAnsiTheme="majorBidi" w:cstheme="majorBidi"/>
                <w:szCs w:val="22"/>
              </w:rPr>
              <w:t xml:space="preserve">CF </w:t>
            </w:r>
          </w:p>
        </w:tc>
        <w:tc>
          <w:tcPr>
            <w:tcW w:w="1475"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rPr>
            </w:pPr>
            <w:r w:rsidRPr="00610AD5">
              <w:rPr>
                <w:rFonts w:asciiTheme="majorBidi" w:hAnsiTheme="majorBidi" w:cstheme="majorBidi"/>
                <w:szCs w:val="22"/>
              </w:rPr>
              <w:t xml:space="preserve">100 </w:t>
            </w:r>
          </w:p>
        </w:tc>
        <w:tc>
          <w:tcPr>
            <w:tcW w:w="1523"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rPr>
            </w:pPr>
            <w:r w:rsidRPr="00610AD5">
              <w:rPr>
                <w:rFonts w:asciiTheme="majorBidi" w:hAnsiTheme="majorBidi" w:cstheme="majorBidi"/>
                <w:szCs w:val="22"/>
              </w:rPr>
              <w:t xml:space="preserve">500 </w:t>
            </w:r>
          </w:p>
        </w:tc>
        <w:tc>
          <w:tcPr>
            <w:tcW w:w="3268"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rPr>
            </w:pPr>
            <w:r w:rsidRPr="00610AD5">
              <w:rPr>
                <w:rFonts w:asciiTheme="majorBidi" w:hAnsiTheme="majorBidi" w:cstheme="majorBidi"/>
                <w:szCs w:val="22"/>
              </w:rPr>
              <w:t>2000 for Abu Dhabi or Dubai</w:t>
            </w:r>
          </w:p>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rPr>
            </w:pPr>
            <w:r w:rsidRPr="00610AD5">
              <w:rPr>
                <w:rFonts w:asciiTheme="majorBidi" w:hAnsiTheme="majorBidi" w:cstheme="majorBidi"/>
                <w:szCs w:val="22"/>
              </w:rPr>
              <w:t>1000 for other Emirates</w:t>
            </w:r>
          </w:p>
        </w:tc>
        <w:tc>
          <w:tcPr>
            <w:tcW w:w="817"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rPr>
            </w:pPr>
            <w:r w:rsidRPr="00610AD5">
              <w:rPr>
                <w:rFonts w:asciiTheme="majorBidi" w:hAnsiTheme="majorBidi" w:cstheme="majorBidi"/>
                <w:szCs w:val="22"/>
              </w:rPr>
              <w:t xml:space="preserve">4,000 </w:t>
            </w:r>
          </w:p>
        </w:tc>
      </w:tr>
    </w:tbl>
    <w:p w:rsidR="00610AD5" w:rsidRPr="00610AD5" w:rsidRDefault="00610AD5" w:rsidP="00BC495B">
      <w:pPr>
        <w:pStyle w:val="FigureSource"/>
      </w:pPr>
    </w:p>
    <w:p w:rsidR="00610AD5" w:rsidRPr="00610AD5" w:rsidRDefault="00610AD5" w:rsidP="00610AD5">
      <w:pPr>
        <w:suppressAutoHyphens/>
        <w:rPr>
          <w:szCs w:val="19"/>
        </w:rPr>
      </w:pPr>
    </w:p>
    <w:p w:rsidR="00610AD5" w:rsidRPr="00610AD5" w:rsidRDefault="00610AD5" w:rsidP="00C11A0F">
      <w:pPr>
        <w:pStyle w:val="enumlev1"/>
      </w:pPr>
      <w:r w:rsidRPr="00610AD5">
        <w:t>12.4</w:t>
      </w:r>
      <w:r w:rsidRPr="00610AD5">
        <w:tab/>
        <w:t xml:space="preserve">The Annual Spectrum Fees for Private Mobile Radio used by the Taxi companies shall be calculated for the base station in accordance with the Article 12.1 and separate charges of 300 AED for each Taxi fitted with a radio. </w:t>
      </w:r>
    </w:p>
    <w:p w:rsidR="00610AD5" w:rsidRPr="00610AD5" w:rsidRDefault="00610AD5" w:rsidP="00C11A0F">
      <w:pPr>
        <w:pStyle w:val="enumlev1"/>
      </w:pPr>
      <w:r w:rsidRPr="00610AD5">
        <w:t>12.5</w:t>
      </w:r>
      <w:r w:rsidRPr="00610AD5">
        <w:tab/>
        <w:t xml:space="preserve">The Annual Spectrum Fees for public paging and in house paging shall be calculated for the base station in accordance with the Article 12.1 with no additional charges for handheld pagers. </w:t>
      </w:r>
    </w:p>
    <w:p w:rsidR="00610AD5" w:rsidRPr="00610AD5" w:rsidRDefault="00610AD5" w:rsidP="00C11A0F">
      <w:pPr>
        <w:pStyle w:val="enumlev1"/>
      </w:pPr>
      <w:r w:rsidRPr="00610AD5">
        <w:t>12.6</w:t>
      </w:r>
      <w:r w:rsidRPr="00610AD5">
        <w:tab/>
        <w:t xml:space="preserve">The Annual Spectrum Fees for analog trunking (like MPT 1327) shall be calculated in accordance with the Article 12.1 above. </w:t>
      </w:r>
    </w:p>
    <w:p w:rsidR="00610AD5" w:rsidRPr="00610AD5" w:rsidRDefault="00610AD5" w:rsidP="00C11A0F">
      <w:pPr>
        <w:pStyle w:val="enumlev1"/>
        <w:rPr>
          <w:color w:val="000000"/>
        </w:rPr>
      </w:pPr>
      <w:r w:rsidRPr="00610AD5">
        <w:t>12.7</w:t>
      </w:r>
      <w:r w:rsidRPr="00610AD5">
        <w:tab/>
        <w:t>The Annual Spectrum Fees for digital trunking (like TETRA, TETRAPOL, EDACS, APCO, etc) shall be calculated as follows:</w:t>
      </w:r>
    </w:p>
    <w:p w:rsidR="00610AD5" w:rsidRPr="00610AD5" w:rsidRDefault="00C11A0F" w:rsidP="00C11A0F">
      <w:pPr>
        <w:pStyle w:val="enumlev1"/>
        <w:rPr>
          <w:color w:val="000000"/>
          <w:szCs w:val="19"/>
        </w:rPr>
      </w:pPr>
      <w:r>
        <w:rPr>
          <w:b/>
          <w:color w:val="000000"/>
          <w:szCs w:val="19"/>
          <w:lang w:val="ru-RU"/>
        </w:rPr>
        <w:tab/>
      </w:r>
      <w:r w:rsidR="00610AD5" w:rsidRPr="00610AD5">
        <w:rPr>
          <w:b/>
          <w:color w:val="000000"/>
          <w:szCs w:val="19"/>
        </w:rPr>
        <w:t>Spectrum Fees = NC x CF x 2.5</w:t>
      </w:r>
    </w:p>
    <w:p w:rsidR="00610AD5" w:rsidRPr="00610AD5" w:rsidRDefault="00C11A0F" w:rsidP="00C11A0F">
      <w:pPr>
        <w:pStyle w:val="enumlev1"/>
        <w:rPr>
          <w:color w:val="000000"/>
          <w:szCs w:val="19"/>
        </w:rPr>
      </w:pPr>
      <w:r>
        <w:rPr>
          <w:color w:val="000000"/>
          <w:szCs w:val="19"/>
          <w:lang w:val="ru-RU"/>
        </w:rPr>
        <w:tab/>
      </w:r>
      <w:r w:rsidR="00610AD5" w:rsidRPr="00610AD5">
        <w:rPr>
          <w:color w:val="000000"/>
          <w:szCs w:val="19"/>
        </w:rPr>
        <w:t xml:space="preserve">Where: </w:t>
      </w:r>
    </w:p>
    <w:p w:rsidR="00610AD5" w:rsidRPr="00610AD5" w:rsidRDefault="00C11A0F" w:rsidP="00C11A0F">
      <w:pPr>
        <w:pStyle w:val="enumlev1"/>
        <w:rPr>
          <w:color w:val="000000"/>
          <w:szCs w:val="19"/>
        </w:rPr>
      </w:pPr>
      <w:r>
        <w:rPr>
          <w:b/>
          <w:color w:val="000000"/>
          <w:szCs w:val="19"/>
          <w:lang w:val="ru-RU"/>
        </w:rPr>
        <w:tab/>
      </w:r>
      <w:r w:rsidR="00610AD5" w:rsidRPr="00610AD5">
        <w:rPr>
          <w:b/>
          <w:color w:val="000000"/>
          <w:szCs w:val="19"/>
        </w:rPr>
        <w:t xml:space="preserve">NC = </w:t>
      </w:r>
      <w:r w:rsidR="00610AD5" w:rsidRPr="00610AD5">
        <w:rPr>
          <w:color w:val="000000"/>
          <w:szCs w:val="19"/>
        </w:rPr>
        <w:t xml:space="preserve">Number of Channels (12.5 kHz unpaired bandwidth equivalents each) that will be assigned to the user. </w:t>
      </w:r>
    </w:p>
    <w:p w:rsidR="00610AD5" w:rsidRPr="00610AD5" w:rsidRDefault="00C11A0F" w:rsidP="00C11A0F">
      <w:pPr>
        <w:pStyle w:val="enumlev1"/>
        <w:rPr>
          <w:color w:val="000000"/>
          <w:szCs w:val="19"/>
        </w:rPr>
      </w:pPr>
      <w:r>
        <w:rPr>
          <w:b/>
          <w:color w:val="000000"/>
          <w:szCs w:val="19"/>
          <w:lang w:val="ru-RU"/>
        </w:rPr>
        <w:tab/>
      </w:r>
      <w:r w:rsidR="00610AD5" w:rsidRPr="00610AD5">
        <w:rPr>
          <w:b/>
          <w:color w:val="000000"/>
          <w:szCs w:val="19"/>
        </w:rPr>
        <w:t xml:space="preserve">CF = </w:t>
      </w:r>
      <w:r w:rsidR="00610AD5" w:rsidRPr="00610AD5">
        <w:rPr>
          <w:color w:val="000000"/>
          <w:szCs w:val="19"/>
        </w:rPr>
        <w:t xml:space="preserve">Coverage Factor depending on the geographical area which will be determined as follows: </w:t>
      </w:r>
    </w:p>
    <w:p w:rsidR="00610AD5" w:rsidRPr="00610AD5" w:rsidRDefault="00610AD5" w:rsidP="00610AD5"/>
    <w:p w:rsidR="00610AD5" w:rsidRPr="00324665" w:rsidRDefault="00610AD5" w:rsidP="00324665">
      <w:pPr>
        <w:pStyle w:val="FigureTitle"/>
        <w:rPr>
          <w:rFonts w:ascii="Times New Roman" w:hAnsi="Times New Roman"/>
        </w:rPr>
      </w:pPr>
    </w:p>
    <w:tbl>
      <w:tblPr>
        <w:tblW w:w="0" w:type="auto"/>
        <w:tblInd w:w="925" w:type="dxa"/>
        <w:tblBorders>
          <w:top w:val="nil"/>
          <w:left w:val="nil"/>
          <w:bottom w:val="nil"/>
          <w:right w:val="nil"/>
        </w:tblBorders>
        <w:tblLook w:val="0000"/>
      </w:tblPr>
      <w:tblGrid>
        <w:gridCol w:w="681"/>
        <w:gridCol w:w="1475"/>
        <w:gridCol w:w="1523"/>
        <w:gridCol w:w="3268"/>
        <w:gridCol w:w="817"/>
      </w:tblGrid>
      <w:tr w:rsidR="00610AD5" w:rsidRPr="00610AD5" w:rsidTr="00610AD5">
        <w:trPr>
          <w:trHeight w:val="319"/>
        </w:trPr>
        <w:tc>
          <w:tcPr>
            <w:tcW w:w="0" w:type="auto"/>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rPr>
            </w:pPr>
            <w:r w:rsidRPr="00610AD5">
              <w:rPr>
                <w:rFonts w:asciiTheme="majorBidi" w:hAnsiTheme="majorBidi" w:cstheme="majorBidi"/>
                <w:b/>
                <w:szCs w:val="22"/>
              </w:rPr>
              <w:t xml:space="preserve">Area </w:t>
            </w:r>
          </w:p>
        </w:tc>
        <w:tc>
          <w:tcPr>
            <w:tcW w:w="1475"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rPr>
            </w:pPr>
            <w:r w:rsidRPr="00610AD5">
              <w:rPr>
                <w:rFonts w:asciiTheme="majorBidi" w:hAnsiTheme="majorBidi" w:cstheme="majorBidi"/>
                <w:b/>
                <w:szCs w:val="22"/>
              </w:rPr>
              <w:t xml:space="preserve">Rural area or within premises </w:t>
            </w:r>
          </w:p>
        </w:tc>
        <w:tc>
          <w:tcPr>
            <w:tcW w:w="1523"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rPr>
            </w:pPr>
            <w:r w:rsidRPr="00610AD5">
              <w:rPr>
                <w:rFonts w:asciiTheme="majorBidi" w:hAnsiTheme="majorBidi" w:cstheme="majorBidi"/>
                <w:b/>
                <w:szCs w:val="22"/>
              </w:rPr>
              <w:t>Urban city area of one city</w:t>
            </w:r>
          </w:p>
        </w:tc>
        <w:tc>
          <w:tcPr>
            <w:tcW w:w="3268"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rPr>
            </w:pPr>
            <w:r w:rsidRPr="00610AD5">
              <w:rPr>
                <w:rFonts w:asciiTheme="majorBidi" w:hAnsiTheme="majorBidi" w:cstheme="majorBidi"/>
                <w:b/>
                <w:szCs w:val="22"/>
              </w:rPr>
              <w:t xml:space="preserve">Emirate wide </w:t>
            </w:r>
          </w:p>
        </w:tc>
        <w:tc>
          <w:tcPr>
            <w:tcW w:w="817"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rPr>
            </w:pPr>
            <w:r w:rsidRPr="00610AD5">
              <w:rPr>
                <w:rFonts w:asciiTheme="majorBidi" w:hAnsiTheme="majorBidi" w:cstheme="majorBidi"/>
                <w:b/>
                <w:szCs w:val="22"/>
              </w:rPr>
              <w:t xml:space="preserve">All UAE </w:t>
            </w:r>
          </w:p>
        </w:tc>
      </w:tr>
      <w:tr w:rsidR="00610AD5" w:rsidRPr="00610AD5" w:rsidTr="00610AD5">
        <w:trPr>
          <w:trHeight w:val="319"/>
        </w:trPr>
        <w:tc>
          <w:tcPr>
            <w:tcW w:w="0" w:type="auto"/>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rPr>
            </w:pPr>
            <w:r w:rsidRPr="00610AD5">
              <w:rPr>
                <w:rFonts w:asciiTheme="majorBidi" w:hAnsiTheme="majorBidi" w:cstheme="majorBidi"/>
                <w:szCs w:val="22"/>
              </w:rPr>
              <w:t xml:space="preserve">CF </w:t>
            </w:r>
          </w:p>
        </w:tc>
        <w:tc>
          <w:tcPr>
            <w:tcW w:w="1475"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rPr>
            </w:pPr>
            <w:r w:rsidRPr="00610AD5">
              <w:rPr>
                <w:rFonts w:asciiTheme="majorBidi" w:hAnsiTheme="majorBidi" w:cstheme="majorBidi"/>
                <w:szCs w:val="22"/>
              </w:rPr>
              <w:t xml:space="preserve">100 </w:t>
            </w:r>
          </w:p>
        </w:tc>
        <w:tc>
          <w:tcPr>
            <w:tcW w:w="1523"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rPr>
            </w:pPr>
            <w:r w:rsidRPr="00610AD5">
              <w:rPr>
                <w:rFonts w:asciiTheme="majorBidi" w:hAnsiTheme="majorBidi" w:cstheme="majorBidi"/>
                <w:szCs w:val="22"/>
              </w:rPr>
              <w:t xml:space="preserve">500 </w:t>
            </w:r>
          </w:p>
        </w:tc>
        <w:tc>
          <w:tcPr>
            <w:tcW w:w="3268"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rPr>
            </w:pPr>
            <w:r w:rsidRPr="00610AD5">
              <w:rPr>
                <w:rFonts w:asciiTheme="majorBidi" w:hAnsiTheme="majorBidi" w:cstheme="majorBidi"/>
                <w:szCs w:val="22"/>
              </w:rPr>
              <w:t>2000 for Abu Dhabi or Dubai</w:t>
            </w:r>
          </w:p>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rPr>
            </w:pPr>
            <w:r w:rsidRPr="00610AD5">
              <w:rPr>
                <w:rFonts w:asciiTheme="majorBidi" w:hAnsiTheme="majorBidi" w:cstheme="majorBidi"/>
                <w:szCs w:val="22"/>
              </w:rPr>
              <w:t>1000 for other Emirates</w:t>
            </w:r>
          </w:p>
        </w:tc>
        <w:tc>
          <w:tcPr>
            <w:tcW w:w="817"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rPr>
            </w:pPr>
            <w:r w:rsidRPr="00610AD5">
              <w:rPr>
                <w:rFonts w:asciiTheme="majorBidi" w:hAnsiTheme="majorBidi" w:cstheme="majorBidi"/>
                <w:szCs w:val="22"/>
              </w:rPr>
              <w:t xml:space="preserve">4,000 </w:t>
            </w:r>
          </w:p>
        </w:tc>
      </w:tr>
    </w:tbl>
    <w:p w:rsidR="00610AD5" w:rsidRPr="00610AD5" w:rsidRDefault="00610AD5" w:rsidP="00BC495B">
      <w:pPr>
        <w:pStyle w:val="FigureSource"/>
      </w:pPr>
    </w:p>
    <w:p w:rsidR="00610AD5" w:rsidRPr="00610AD5" w:rsidRDefault="00610AD5" w:rsidP="00737413">
      <w:pPr>
        <w:pStyle w:val="Arttitle"/>
      </w:pPr>
      <w:bookmarkStart w:id="255" w:name="_Toc280261835"/>
      <w:bookmarkStart w:id="256" w:name="_Toc280262333"/>
      <w:bookmarkStart w:id="257" w:name="_Toc280272727"/>
      <w:bookmarkStart w:id="258" w:name="_Toc280272906"/>
      <w:r w:rsidRPr="00610AD5">
        <w:t>Article 13</w:t>
      </w:r>
      <w:r w:rsidRPr="00610AD5">
        <w:br/>
      </w:r>
      <w:r w:rsidRPr="00610AD5">
        <w:br/>
      </w:r>
      <w:bookmarkStart w:id="259" w:name="_Toc199215036"/>
      <w:r w:rsidRPr="00610AD5">
        <w:t>Spectrum Fees for Fixed (point to point) links</w:t>
      </w:r>
      <w:bookmarkEnd w:id="255"/>
      <w:bookmarkEnd w:id="256"/>
      <w:bookmarkEnd w:id="257"/>
      <w:bookmarkEnd w:id="258"/>
      <w:bookmarkEnd w:id="259"/>
    </w:p>
    <w:p w:rsidR="00610AD5" w:rsidRPr="00610AD5" w:rsidRDefault="00610AD5" w:rsidP="00C11A0F">
      <w:pPr>
        <w:pStyle w:val="enumlev1"/>
      </w:pPr>
      <w:r w:rsidRPr="00610AD5">
        <w:t>13.1</w:t>
      </w:r>
      <w:r w:rsidRPr="00610AD5">
        <w:tab/>
        <w:t xml:space="preserve">The Annual Spectrum Fees for each fixed point to point link above 2 GHz shall be calculated as follows: </w:t>
      </w:r>
    </w:p>
    <w:p w:rsidR="00610AD5" w:rsidRPr="00610AD5" w:rsidRDefault="00610AD5" w:rsidP="00610AD5">
      <w:pPr>
        <w:jc w:val="center"/>
        <w:rPr>
          <w:b/>
          <w:bCs/>
          <w:szCs w:val="19"/>
        </w:rPr>
      </w:pPr>
      <w:r w:rsidRPr="00610AD5">
        <w:rPr>
          <w:b/>
          <w:szCs w:val="19"/>
        </w:rPr>
        <w:t>Spectrum Fees = F x 2000 + BW x 1000</w:t>
      </w:r>
    </w:p>
    <w:p w:rsidR="00610AD5" w:rsidRPr="00610AD5" w:rsidRDefault="00C11A0F" w:rsidP="00C11A0F">
      <w:pPr>
        <w:pStyle w:val="enumlev1"/>
      </w:pPr>
      <w:r>
        <w:rPr>
          <w:lang w:val="ru-RU"/>
        </w:rPr>
        <w:tab/>
      </w:r>
      <w:r w:rsidR="00610AD5" w:rsidRPr="00610AD5">
        <w:t xml:space="preserve">Where: </w:t>
      </w:r>
    </w:p>
    <w:p w:rsidR="00610AD5" w:rsidRPr="00610AD5" w:rsidRDefault="00C11A0F" w:rsidP="00C11A0F">
      <w:pPr>
        <w:pStyle w:val="enumlev1"/>
      </w:pPr>
      <w:r>
        <w:rPr>
          <w:b/>
          <w:lang w:val="ru-RU"/>
        </w:rPr>
        <w:tab/>
      </w:r>
      <w:r w:rsidR="00610AD5" w:rsidRPr="00610AD5">
        <w:rPr>
          <w:b/>
        </w:rPr>
        <w:t xml:space="preserve">F= </w:t>
      </w:r>
      <w:r w:rsidR="00610AD5" w:rsidRPr="00610AD5">
        <w:rPr>
          <w:lang w:val="fr-FR"/>
        </w:rPr>
        <w:t>Frequency</w:t>
      </w:r>
      <w:r w:rsidR="00610AD5" w:rsidRPr="00610AD5">
        <w:t xml:space="preserve"> range factor as follows: </w:t>
      </w:r>
      <w:r w:rsidR="00610AD5" w:rsidRPr="00610AD5">
        <w:tab/>
        <w:t xml:space="preserve"> </w:t>
      </w:r>
      <w:r w:rsidR="00610AD5" w:rsidRPr="00610AD5">
        <w:rPr>
          <w:b/>
        </w:rPr>
        <w:t xml:space="preserve">BW= </w:t>
      </w:r>
      <w:r w:rsidR="00610AD5" w:rsidRPr="00610AD5">
        <w:t xml:space="preserve">Bandwidth factor as follows: </w:t>
      </w:r>
    </w:p>
    <w:p w:rsidR="00610AD5" w:rsidRPr="00610AD5" w:rsidRDefault="00610AD5" w:rsidP="00610AD5">
      <w:pPr>
        <w:ind w:left="720"/>
        <w:rPr>
          <w:szCs w:val="19"/>
        </w:rPr>
      </w:pPr>
    </w:p>
    <w:p w:rsidR="00610AD5" w:rsidRPr="00324665" w:rsidRDefault="00610AD5" w:rsidP="00324665">
      <w:pPr>
        <w:pStyle w:val="FigureTitle"/>
        <w:rPr>
          <w:rFonts w:ascii="Times New Roman" w:hAnsi="Times New Roman"/>
        </w:rPr>
      </w:pPr>
    </w:p>
    <w:tbl>
      <w:tblPr>
        <w:tblW w:w="0" w:type="auto"/>
        <w:tblInd w:w="828" w:type="dxa"/>
        <w:tblBorders>
          <w:top w:val="nil"/>
          <w:left w:val="nil"/>
          <w:bottom w:val="nil"/>
          <w:right w:val="nil"/>
        </w:tblBorders>
        <w:tblLook w:val="0000"/>
      </w:tblPr>
      <w:tblGrid>
        <w:gridCol w:w="2447"/>
        <w:gridCol w:w="1071"/>
        <w:gridCol w:w="1142"/>
        <w:gridCol w:w="2163"/>
        <w:gridCol w:w="1097"/>
      </w:tblGrid>
      <w:tr w:rsidR="00610AD5" w:rsidRPr="00610AD5" w:rsidTr="00610AD5">
        <w:trPr>
          <w:trHeight w:val="608"/>
        </w:trPr>
        <w:tc>
          <w:tcPr>
            <w:tcW w:w="2447"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rPr>
            </w:pPr>
            <w:r w:rsidRPr="00610AD5">
              <w:rPr>
                <w:rFonts w:asciiTheme="majorBidi" w:hAnsiTheme="majorBidi" w:cstheme="majorBidi"/>
                <w:b/>
                <w:szCs w:val="22"/>
              </w:rPr>
              <w:t xml:space="preserve">Frequency Range </w:t>
            </w:r>
          </w:p>
        </w:tc>
        <w:tc>
          <w:tcPr>
            <w:tcW w:w="1071" w:type="dxa"/>
            <w:tcBorders>
              <w:top w:val="single" w:sz="8" w:space="0" w:color="000000"/>
              <w:left w:val="single" w:sz="8" w:space="0" w:color="000000"/>
              <w:bottom w:val="single" w:sz="8" w:space="0" w:color="000000"/>
              <w:right w:val="single" w:sz="4" w:space="0" w:color="auto"/>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rPr>
            </w:pPr>
            <w:r w:rsidRPr="00610AD5">
              <w:rPr>
                <w:rFonts w:asciiTheme="majorBidi" w:hAnsiTheme="majorBidi" w:cstheme="majorBidi"/>
                <w:b/>
                <w:szCs w:val="22"/>
              </w:rPr>
              <w:t xml:space="preserve">F </w:t>
            </w:r>
            <w:r w:rsidRPr="00610AD5">
              <w:rPr>
                <w:rFonts w:asciiTheme="majorBidi" w:hAnsiTheme="majorBidi" w:cstheme="majorBidi"/>
                <w:b/>
                <w:szCs w:val="22"/>
              </w:rPr>
              <w:br/>
              <w:t xml:space="preserve">Factor </w:t>
            </w:r>
          </w:p>
        </w:tc>
        <w:tc>
          <w:tcPr>
            <w:tcW w:w="1142" w:type="dxa"/>
            <w:tcBorders>
              <w:top w:val="nil"/>
              <w:left w:val="single" w:sz="4" w:space="0" w:color="auto"/>
              <w:bottom w:val="nil"/>
              <w:right w:val="single" w:sz="4" w:space="0" w:color="auto"/>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Verdana" w:hAnsi="Verdana"/>
                <w:b/>
                <w:sz w:val="19"/>
                <w:szCs w:val="19"/>
              </w:rPr>
            </w:pPr>
          </w:p>
        </w:tc>
        <w:tc>
          <w:tcPr>
            <w:tcW w:w="2163" w:type="dxa"/>
            <w:tcBorders>
              <w:top w:val="single" w:sz="8" w:space="0" w:color="000000"/>
              <w:left w:val="single" w:sz="4" w:space="0" w:color="auto"/>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rPr>
            </w:pPr>
            <w:r w:rsidRPr="00610AD5">
              <w:rPr>
                <w:rFonts w:asciiTheme="majorBidi" w:hAnsiTheme="majorBidi" w:cstheme="majorBidi"/>
                <w:b/>
                <w:szCs w:val="22"/>
              </w:rPr>
              <w:t xml:space="preserve">Bandwidth </w:t>
            </w:r>
          </w:p>
        </w:tc>
        <w:tc>
          <w:tcPr>
            <w:tcW w:w="1097"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rPr>
            </w:pPr>
            <w:r w:rsidRPr="00610AD5">
              <w:rPr>
                <w:rFonts w:asciiTheme="majorBidi" w:hAnsiTheme="majorBidi" w:cstheme="majorBidi"/>
                <w:b/>
                <w:szCs w:val="22"/>
              </w:rPr>
              <w:t xml:space="preserve">BW </w:t>
            </w:r>
            <w:r w:rsidRPr="00610AD5">
              <w:rPr>
                <w:rFonts w:asciiTheme="majorBidi" w:hAnsiTheme="majorBidi" w:cstheme="majorBidi"/>
                <w:b/>
                <w:szCs w:val="22"/>
              </w:rPr>
              <w:br/>
              <w:t xml:space="preserve">Factor </w:t>
            </w:r>
          </w:p>
        </w:tc>
      </w:tr>
      <w:tr w:rsidR="00610AD5" w:rsidRPr="00610AD5" w:rsidTr="00610AD5">
        <w:trPr>
          <w:trHeight w:val="319"/>
        </w:trPr>
        <w:tc>
          <w:tcPr>
            <w:tcW w:w="2447"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rPr>
            </w:pPr>
            <w:r w:rsidRPr="00610AD5">
              <w:rPr>
                <w:rFonts w:asciiTheme="majorBidi" w:hAnsiTheme="majorBidi" w:cstheme="majorBidi"/>
                <w:szCs w:val="22"/>
              </w:rPr>
              <w:t xml:space="preserve">2 GHz - 3 GHz </w:t>
            </w:r>
          </w:p>
        </w:tc>
        <w:tc>
          <w:tcPr>
            <w:tcW w:w="1071" w:type="dxa"/>
            <w:tcBorders>
              <w:top w:val="single" w:sz="8" w:space="0" w:color="000000"/>
              <w:left w:val="single" w:sz="8" w:space="0" w:color="000000"/>
              <w:bottom w:val="single" w:sz="8" w:space="0" w:color="000000"/>
              <w:right w:val="single" w:sz="4" w:space="0" w:color="auto"/>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rPr>
              <w:t>4</w:t>
            </w:r>
          </w:p>
        </w:tc>
        <w:tc>
          <w:tcPr>
            <w:tcW w:w="1142" w:type="dxa"/>
            <w:tcBorders>
              <w:top w:val="nil"/>
              <w:left w:val="single" w:sz="4" w:space="0" w:color="auto"/>
              <w:bottom w:val="nil"/>
              <w:right w:val="single" w:sz="4" w:space="0" w:color="auto"/>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Verdana" w:hAnsi="Verdana"/>
                <w:sz w:val="19"/>
                <w:szCs w:val="19"/>
              </w:rPr>
            </w:pPr>
          </w:p>
        </w:tc>
        <w:tc>
          <w:tcPr>
            <w:tcW w:w="2163" w:type="dxa"/>
            <w:tcBorders>
              <w:top w:val="single" w:sz="8" w:space="0" w:color="000000"/>
              <w:left w:val="single" w:sz="4" w:space="0" w:color="auto"/>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rPr>
            </w:pPr>
            <w:r w:rsidRPr="00610AD5">
              <w:rPr>
                <w:rFonts w:asciiTheme="majorBidi" w:hAnsiTheme="majorBidi" w:cstheme="majorBidi"/>
                <w:szCs w:val="22"/>
              </w:rPr>
              <w:t xml:space="preserve">7 MHz or less </w:t>
            </w:r>
          </w:p>
        </w:tc>
        <w:tc>
          <w:tcPr>
            <w:tcW w:w="1097"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rPr>
              <w:t>1</w:t>
            </w:r>
          </w:p>
        </w:tc>
      </w:tr>
      <w:tr w:rsidR="00610AD5" w:rsidRPr="00610AD5" w:rsidTr="00610AD5">
        <w:trPr>
          <w:trHeight w:val="319"/>
        </w:trPr>
        <w:tc>
          <w:tcPr>
            <w:tcW w:w="2447"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rPr>
            </w:pPr>
            <w:r w:rsidRPr="00610AD5">
              <w:rPr>
                <w:rFonts w:asciiTheme="majorBidi" w:hAnsiTheme="majorBidi" w:cstheme="majorBidi"/>
                <w:szCs w:val="22"/>
              </w:rPr>
              <w:t xml:space="preserve">&gt;3 GHz – 14 GHz </w:t>
            </w:r>
          </w:p>
        </w:tc>
        <w:tc>
          <w:tcPr>
            <w:tcW w:w="1071" w:type="dxa"/>
            <w:tcBorders>
              <w:top w:val="single" w:sz="8" w:space="0" w:color="000000"/>
              <w:left w:val="single" w:sz="8" w:space="0" w:color="000000"/>
              <w:bottom w:val="single" w:sz="8" w:space="0" w:color="000000"/>
              <w:right w:val="single" w:sz="4" w:space="0" w:color="auto"/>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rPr>
              <w:t>3</w:t>
            </w:r>
          </w:p>
        </w:tc>
        <w:tc>
          <w:tcPr>
            <w:tcW w:w="1142" w:type="dxa"/>
            <w:tcBorders>
              <w:top w:val="nil"/>
              <w:left w:val="single" w:sz="4" w:space="0" w:color="auto"/>
              <w:bottom w:val="nil"/>
              <w:right w:val="single" w:sz="4" w:space="0" w:color="auto"/>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Verdana" w:hAnsi="Verdana"/>
                <w:sz w:val="19"/>
                <w:szCs w:val="19"/>
              </w:rPr>
            </w:pPr>
          </w:p>
        </w:tc>
        <w:tc>
          <w:tcPr>
            <w:tcW w:w="2163" w:type="dxa"/>
            <w:tcBorders>
              <w:top w:val="single" w:sz="8" w:space="0" w:color="000000"/>
              <w:left w:val="single" w:sz="4" w:space="0" w:color="auto"/>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rPr>
            </w:pPr>
            <w:r w:rsidRPr="00610AD5">
              <w:rPr>
                <w:rFonts w:asciiTheme="majorBidi" w:hAnsiTheme="majorBidi" w:cstheme="majorBidi"/>
                <w:szCs w:val="22"/>
              </w:rPr>
              <w:t xml:space="preserve">&gt;7 MHz -28 MHz </w:t>
            </w:r>
          </w:p>
        </w:tc>
        <w:tc>
          <w:tcPr>
            <w:tcW w:w="1097"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rPr>
              <w:t>2</w:t>
            </w:r>
          </w:p>
        </w:tc>
      </w:tr>
      <w:tr w:rsidR="00610AD5" w:rsidRPr="00610AD5" w:rsidTr="00610AD5">
        <w:trPr>
          <w:trHeight w:val="319"/>
        </w:trPr>
        <w:tc>
          <w:tcPr>
            <w:tcW w:w="2447"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rPr>
            </w:pPr>
            <w:r w:rsidRPr="00610AD5">
              <w:rPr>
                <w:rFonts w:asciiTheme="majorBidi" w:hAnsiTheme="majorBidi" w:cstheme="majorBidi"/>
                <w:szCs w:val="22"/>
              </w:rPr>
              <w:t xml:space="preserve">&gt;14 GHz – 40 GHz </w:t>
            </w:r>
          </w:p>
        </w:tc>
        <w:tc>
          <w:tcPr>
            <w:tcW w:w="1071" w:type="dxa"/>
            <w:tcBorders>
              <w:top w:val="single" w:sz="8" w:space="0" w:color="000000"/>
              <w:left w:val="single" w:sz="8" w:space="0" w:color="000000"/>
              <w:bottom w:val="single" w:sz="8" w:space="0" w:color="000000"/>
              <w:right w:val="single" w:sz="4" w:space="0" w:color="auto"/>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rPr>
              <w:t>2</w:t>
            </w:r>
          </w:p>
        </w:tc>
        <w:tc>
          <w:tcPr>
            <w:tcW w:w="1142" w:type="dxa"/>
            <w:tcBorders>
              <w:top w:val="nil"/>
              <w:left w:val="single" w:sz="4" w:space="0" w:color="auto"/>
              <w:bottom w:val="nil"/>
              <w:right w:val="single" w:sz="4" w:space="0" w:color="auto"/>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Verdana" w:hAnsi="Verdana"/>
                <w:sz w:val="19"/>
                <w:szCs w:val="19"/>
              </w:rPr>
            </w:pPr>
          </w:p>
        </w:tc>
        <w:tc>
          <w:tcPr>
            <w:tcW w:w="2163" w:type="dxa"/>
            <w:tcBorders>
              <w:top w:val="single" w:sz="8" w:space="0" w:color="000000"/>
              <w:left w:val="single" w:sz="4" w:space="0" w:color="auto"/>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rPr>
            </w:pPr>
            <w:r w:rsidRPr="00610AD5">
              <w:rPr>
                <w:rFonts w:asciiTheme="majorBidi" w:hAnsiTheme="majorBidi" w:cstheme="majorBidi"/>
                <w:szCs w:val="22"/>
              </w:rPr>
              <w:t xml:space="preserve">&gt;28 MHz – 56 MHz </w:t>
            </w:r>
          </w:p>
        </w:tc>
        <w:tc>
          <w:tcPr>
            <w:tcW w:w="1097"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rPr>
              <w:t>3</w:t>
            </w:r>
          </w:p>
        </w:tc>
      </w:tr>
      <w:tr w:rsidR="00610AD5" w:rsidRPr="00610AD5" w:rsidTr="00610AD5">
        <w:trPr>
          <w:trHeight w:val="319"/>
        </w:trPr>
        <w:tc>
          <w:tcPr>
            <w:tcW w:w="2447"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rPr>
            </w:pPr>
            <w:r w:rsidRPr="00610AD5">
              <w:rPr>
                <w:rFonts w:asciiTheme="majorBidi" w:hAnsiTheme="majorBidi" w:cstheme="majorBidi"/>
                <w:szCs w:val="22"/>
              </w:rPr>
              <w:t xml:space="preserve">Above 40 GHz </w:t>
            </w:r>
          </w:p>
        </w:tc>
        <w:tc>
          <w:tcPr>
            <w:tcW w:w="1071" w:type="dxa"/>
            <w:tcBorders>
              <w:top w:val="single" w:sz="8" w:space="0" w:color="000000"/>
              <w:left w:val="single" w:sz="8" w:space="0" w:color="000000"/>
              <w:bottom w:val="single" w:sz="8" w:space="0" w:color="000000"/>
              <w:right w:val="single" w:sz="4" w:space="0" w:color="auto"/>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rPr>
              <w:t>1</w:t>
            </w:r>
          </w:p>
        </w:tc>
        <w:tc>
          <w:tcPr>
            <w:tcW w:w="1142" w:type="dxa"/>
            <w:tcBorders>
              <w:top w:val="nil"/>
              <w:left w:val="single" w:sz="4" w:space="0" w:color="auto"/>
              <w:bottom w:val="nil"/>
              <w:right w:val="single" w:sz="4" w:space="0" w:color="auto"/>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Verdana" w:hAnsi="Verdana"/>
                <w:sz w:val="19"/>
                <w:szCs w:val="19"/>
              </w:rPr>
            </w:pPr>
          </w:p>
        </w:tc>
        <w:tc>
          <w:tcPr>
            <w:tcW w:w="2163" w:type="dxa"/>
            <w:tcBorders>
              <w:top w:val="single" w:sz="8" w:space="0" w:color="000000"/>
              <w:left w:val="single" w:sz="4" w:space="0" w:color="auto"/>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rPr>
            </w:pPr>
            <w:r w:rsidRPr="00610AD5">
              <w:rPr>
                <w:rFonts w:asciiTheme="majorBidi" w:hAnsiTheme="majorBidi" w:cstheme="majorBidi"/>
                <w:szCs w:val="22"/>
              </w:rPr>
              <w:t xml:space="preserve">More than 56 MHz </w:t>
            </w:r>
          </w:p>
        </w:tc>
        <w:tc>
          <w:tcPr>
            <w:tcW w:w="1097"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rPr>
              <w:t>4</w:t>
            </w:r>
          </w:p>
        </w:tc>
      </w:tr>
    </w:tbl>
    <w:p w:rsidR="00610AD5" w:rsidRPr="00610AD5" w:rsidRDefault="00610AD5" w:rsidP="00BC495B">
      <w:pPr>
        <w:pStyle w:val="FigureSource"/>
      </w:pPr>
    </w:p>
    <w:p w:rsidR="00610AD5" w:rsidRPr="00610AD5" w:rsidRDefault="00610AD5" w:rsidP="00610AD5">
      <w:pPr>
        <w:spacing w:before="80"/>
        <w:ind w:left="794" w:hanging="794"/>
        <w:rPr>
          <w:rFonts w:ascii="Verdana" w:hAnsi="Verdana"/>
          <w:sz w:val="19"/>
          <w:szCs w:val="19"/>
        </w:rPr>
      </w:pPr>
    </w:p>
    <w:p w:rsidR="00610AD5" w:rsidRPr="00610AD5" w:rsidRDefault="00610AD5" w:rsidP="00C11A0F">
      <w:pPr>
        <w:pStyle w:val="enumlev1"/>
      </w:pPr>
      <w:r w:rsidRPr="00610AD5">
        <w:t>13.2</w:t>
      </w:r>
      <w:r w:rsidRPr="00610AD5">
        <w:tab/>
        <w:t>The bandwidth for each fixed point to point link above 2 GHz shall be calculated based on the channel bandwidth (e.g. frequency pair with each frequency of 3.5 MHz + 3.5 MHz = 7 MHz shall be having BW factor of 1). The frequency diversity shall be charged as a separate link but space diversity and hot standby operations shall not add to the fees.</w:t>
      </w:r>
    </w:p>
    <w:p w:rsidR="00610AD5" w:rsidRPr="00610AD5" w:rsidRDefault="00610AD5" w:rsidP="00C11A0F">
      <w:pPr>
        <w:pStyle w:val="enumlev1"/>
      </w:pPr>
      <w:r w:rsidRPr="00610AD5">
        <w:t>13.3</w:t>
      </w:r>
      <w:r w:rsidRPr="00610AD5">
        <w:tab/>
        <w:t>In exceptional cases where frequency pairs are assigned for all UAE point-to-point links above 2 GHz, the annual spectrum fees shall be ten times the annual spectrum fees for one link (same parameters) based on a re-use factor of 10.</w:t>
      </w:r>
    </w:p>
    <w:p w:rsidR="00610AD5" w:rsidRPr="00610AD5" w:rsidRDefault="00610AD5" w:rsidP="00C11A0F">
      <w:pPr>
        <w:pStyle w:val="enumlev1"/>
      </w:pPr>
      <w:r w:rsidRPr="00610AD5">
        <w:t>13.4</w:t>
      </w:r>
      <w:r w:rsidRPr="00610AD5">
        <w:tab/>
        <w:t xml:space="preserve">The Annual Spectrum Fees for each HF fixed point to point link below 30 MHz shall be calculated as follows: </w:t>
      </w:r>
    </w:p>
    <w:p w:rsidR="00610AD5" w:rsidRPr="00610AD5" w:rsidRDefault="00610AD5" w:rsidP="00610AD5">
      <w:pPr>
        <w:jc w:val="center"/>
        <w:rPr>
          <w:b/>
          <w:bCs/>
          <w:szCs w:val="19"/>
        </w:rPr>
      </w:pPr>
      <w:r w:rsidRPr="00610AD5">
        <w:rPr>
          <w:b/>
          <w:szCs w:val="19"/>
        </w:rPr>
        <w:t>Spectrum Fees = BW x 1000</w:t>
      </w:r>
    </w:p>
    <w:p w:rsidR="00610AD5" w:rsidRPr="00610AD5" w:rsidRDefault="00610AD5" w:rsidP="00C11A0F">
      <w:pPr>
        <w:pStyle w:val="enumlev1"/>
      </w:pPr>
      <w:r w:rsidRPr="00610AD5">
        <w:tab/>
        <w:t>Where: BW is in kHz for all channels of that link</w:t>
      </w:r>
    </w:p>
    <w:p w:rsidR="00610AD5" w:rsidRPr="00610AD5" w:rsidRDefault="00610AD5" w:rsidP="00610AD5">
      <w:pPr>
        <w:tabs>
          <w:tab w:val="clear" w:pos="794"/>
          <w:tab w:val="clear" w:pos="1191"/>
          <w:tab w:val="clear" w:pos="1588"/>
          <w:tab w:val="clear" w:pos="1985"/>
        </w:tabs>
        <w:overflowPunct/>
        <w:autoSpaceDE/>
        <w:autoSpaceDN/>
        <w:adjustRightInd/>
        <w:spacing w:before="0"/>
        <w:jc w:val="left"/>
        <w:textAlignment w:val="auto"/>
        <w:rPr>
          <w:rFonts w:asciiTheme="majorBidi" w:hAnsiTheme="majorBidi" w:cstheme="majorBidi"/>
          <w:szCs w:val="22"/>
        </w:rPr>
      </w:pPr>
      <w:r w:rsidRPr="00610AD5">
        <w:rPr>
          <w:rFonts w:asciiTheme="majorBidi" w:hAnsiTheme="majorBidi" w:cstheme="majorBidi"/>
          <w:szCs w:val="22"/>
        </w:rPr>
        <w:br w:type="page"/>
      </w:r>
    </w:p>
    <w:p w:rsidR="00610AD5" w:rsidRPr="00610AD5" w:rsidRDefault="00610AD5" w:rsidP="00C11A0F">
      <w:pPr>
        <w:pStyle w:val="enumlev1"/>
      </w:pPr>
      <w:r w:rsidRPr="00610AD5">
        <w:lastRenderedPageBreak/>
        <w:t>13.5</w:t>
      </w:r>
      <w:r w:rsidRPr="00610AD5">
        <w:tab/>
        <w:t xml:space="preserve">The Annual Spectrum Fees for each VHF and UHF fixed point to point link below 2 GHz shall be calculated as follows: </w:t>
      </w:r>
    </w:p>
    <w:p w:rsidR="00610AD5" w:rsidRPr="00610AD5" w:rsidRDefault="00610AD5" w:rsidP="00610AD5">
      <w:pPr>
        <w:keepNext/>
        <w:spacing w:before="160"/>
        <w:jc w:val="center"/>
        <w:rPr>
          <w:b/>
          <w:szCs w:val="22"/>
        </w:rPr>
      </w:pPr>
      <w:r w:rsidRPr="00610AD5">
        <w:rPr>
          <w:b/>
          <w:szCs w:val="22"/>
        </w:rPr>
        <w:t>Spectrum Fees = BW x 500</w:t>
      </w:r>
    </w:p>
    <w:p w:rsidR="00610AD5" w:rsidRPr="00610AD5" w:rsidRDefault="00610AD5" w:rsidP="00C11A0F">
      <w:pPr>
        <w:pStyle w:val="enumlev1"/>
      </w:pPr>
      <w:r w:rsidRPr="00610AD5">
        <w:tab/>
        <w:t>Where: BW is in kHz for all channels of that link</w:t>
      </w:r>
    </w:p>
    <w:p w:rsidR="00610AD5" w:rsidRPr="00610AD5" w:rsidRDefault="00610AD5" w:rsidP="00737413">
      <w:pPr>
        <w:pStyle w:val="Arttitle"/>
      </w:pPr>
      <w:bookmarkStart w:id="260" w:name="_Toc280261836"/>
      <w:bookmarkStart w:id="261" w:name="_Toc280262334"/>
      <w:bookmarkStart w:id="262" w:name="_Toc280272728"/>
      <w:bookmarkStart w:id="263" w:name="_Toc280272907"/>
      <w:r w:rsidRPr="00610AD5">
        <w:t>Article 14</w:t>
      </w:r>
      <w:r w:rsidRPr="00610AD5">
        <w:br/>
      </w:r>
      <w:r w:rsidRPr="00610AD5">
        <w:br/>
      </w:r>
      <w:bookmarkStart w:id="264" w:name="_Toc199215037"/>
      <w:r w:rsidRPr="00610AD5">
        <w:t>Spectrum Fees for FWA, SCADA, Telemetry, Mesh Networks</w:t>
      </w:r>
      <w:bookmarkEnd w:id="260"/>
      <w:bookmarkEnd w:id="261"/>
      <w:bookmarkEnd w:id="262"/>
      <w:bookmarkEnd w:id="263"/>
      <w:bookmarkEnd w:id="264"/>
    </w:p>
    <w:p w:rsidR="00610AD5" w:rsidRPr="00610AD5" w:rsidRDefault="00610AD5" w:rsidP="00C11A0F">
      <w:pPr>
        <w:pStyle w:val="enumlev1"/>
      </w:pPr>
      <w:r w:rsidRPr="00610AD5">
        <w:t>14.1</w:t>
      </w:r>
      <w:r w:rsidRPr="00610AD5">
        <w:tab/>
        <w:t xml:space="preserve">The Annual Spectrum Fees for Fixed Wireless Access (including Wireless Local loop and Point to multipoint), SCADA, Telemetry and mesh networks below 1 GHz shall be calculated as follows: </w:t>
      </w:r>
    </w:p>
    <w:p w:rsidR="00610AD5" w:rsidRPr="00610AD5" w:rsidRDefault="00610AD5" w:rsidP="00610AD5">
      <w:pPr>
        <w:keepNext/>
        <w:spacing w:before="160"/>
        <w:jc w:val="center"/>
        <w:rPr>
          <w:b/>
          <w:szCs w:val="22"/>
          <w:lang w:val="en-US"/>
        </w:rPr>
      </w:pPr>
      <w:r w:rsidRPr="00610AD5">
        <w:rPr>
          <w:b/>
          <w:szCs w:val="22"/>
          <w:lang w:val="en-US"/>
        </w:rPr>
        <w:t>Spectrum Fees = BW x 2000</w:t>
      </w:r>
    </w:p>
    <w:p w:rsidR="00610AD5" w:rsidRPr="00610AD5" w:rsidRDefault="00610AD5" w:rsidP="00C11A0F">
      <w:pPr>
        <w:pStyle w:val="enumlev1"/>
      </w:pPr>
      <w:r w:rsidRPr="00610AD5">
        <w:rPr>
          <w:rFonts w:ascii="Verdana" w:hAnsi="Verdana"/>
          <w:sz w:val="19"/>
          <w:szCs w:val="19"/>
        </w:rPr>
        <w:tab/>
      </w:r>
      <w:r w:rsidRPr="00610AD5">
        <w:t>Where</w:t>
      </w:r>
      <w:r w:rsidRPr="00610AD5">
        <w:rPr>
          <w:b/>
          <w:bCs/>
        </w:rPr>
        <w:t xml:space="preserve"> BW = </w:t>
      </w:r>
      <w:r w:rsidRPr="00610AD5">
        <w:t xml:space="preserve">Total Bandwidth in kHz </w:t>
      </w:r>
    </w:p>
    <w:p w:rsidR="00610AD5" w:rsidRPr="00610AD5" w:rsidRDefault="00610AD5" w:rsidP="00C11A0F">
      <w:pPr>
        <w:pStyle w:val="enumlev1"/>
        <w:rPr>
          <w:szCs w:val="19"/>
        </w:rPr>
      </w:pPr>
      <w:r w:rsidRPr="00610AD5">
        <w:rPr>
          <w:szCs w:val="19"/>
        </w:rPr>
        <w:t>14.2</w:t>
      </w:r>
      <w:r w:rsidRPr="00610AD5">
        <w:rPr>
          <w:szCs w:val="19"/>
        </w:rPr>
        <w:tab/>
        <w:t xml:space="preserve">The Annual Spectrum Fees for Fixed Wireless Access (including Wireless Local loop and Point to multipoint), SCADA, Fixed Broadband and mesh networks between 1 GHz and 4 GHz shall be calculated as follows: </w:t>
      </w:r>
    </w:p>
    <w:p w:rsidR="00610AD5" w:rsidRPr="00610AD5" w:rsidRDefault="00610AD5" w:rsidP="00610AD5">
      <w:pPr>
        <w:jc w:val="center"/>
        <w:rPr>
          <w:color w:val="000000"/>
          <w:szCs w:val="19"/>
        </w:rPr>
      </w:pPr>
      <w:r w:rsidRPr="00610AD5">
        <w:rPr>
          <w:b/>
          <w:color w:val="000000"/>
          <w:szCs w:val="19"/>
        </w:rPr>
        <w:t>Spectrum Fees = BW x CF x 5</w:t>
      </w:r>
    </w:p>
    <w:p w:rsidR="00610AD5" w:rsidRPr="00610AD5" w:rsidRDefault="00610AD5" w:rsidP="00C11A0F">
      <w:pPr>
        <w:pStyle w:val="enumlev1"/>
        <w:rPr>
          <w:b/>
          <w:bCs/>
          <w:color w:val="000000"/>
        </w:rPr>
      </w:pPr>
      <w:r w:rsidRPr="00610AD5">
        <w:tab/>
        <w:t>Where</w:t>
      </w:r>
      <w:r w:rsidRPr="00610AD5">
        <w:rPr>
          <w:b/>
          <w:color w:val="000000"/>
        </w:rPr>
        <w:t xml:space="preserve"> </w:t>
      </w:r>
    </w:p>
    <w:p w:rsidR="00610AD5" w:rsidRPr="00610AD5" w:rsidRDefault="00C11A0F" w:rsidP="00C11A0F">
      <w:pPr>
        <w:pStyle w:val="enumlev1"/>
        <w:rPr>
          <w:color w:val="000000"/>
        </w:rPr>
      </w:pPr>
      <w:r>
        <w:rPr>
          <w:b/>
          <w:color w:val="000000"/>
          <w:lang w:val="ru-RU"/>
        </w:rPr>
        <w:tab/>
      </w:r>
      <w:r w:rsidR="00610AD5" w:rsidRPr="00610AD5">
        <w:rPr>
          <w:b/>
          <w:color w:val="000000"/>
        </w:rPr>
        <w:t xml:space="preserve">BW = </w:t>
      </w:r>
      <w:r w:rsidR="00610AD5" w:rsidRPr="00610AD5">
        <w:rPr>
          <w:color w:val="000000"/>
        </w:rPr>
        <w:t>Total Bandwidth in MHz</w:t>
      </w:r>
    </w:p>
    <w:p w:rsidR="00610AD5" w:rsidRPr="00610AD5" w:rsidRDefault="00C11A0F" w:rsidP="00C11A0F">
      <w:pPr>
        <w:pStyle w:val="enumlev1"/>
        <w:rPr>
          <w:color w:val="000000"/>
        </w:rPr>
      </w:pPr>
      <w:r>
        <w:rPr>
          <w:b/>
          <w:color w:val="000000"/>
          <w:lang w:val="ru-RU"/>
        </w:rPr>
        <w:tab/>
      </w:r>
      <w:r w:rsidR="00610AD5" w:rsidRPr="00610AD5">
        <w:rPr>
          <w:b/>
          <w:color w:val="000000"/>
        </w:rPr>
        <w:t xml:space="preserve">CF= </w:t>
      </w:r>
      <w:r w:rsidR="00610AD5" w:rsidRPr="00610AD5">
        <w:rPr>
          <w:color w:val="000000"/>
        </w:rPr>
        <w:t xml:space="preserve">Coverage Factor depending on the geographical area which will be determined as follows: </w:t>
      </w:r>
    </w:p>
    <w:p w:rsidR="00610AD5" w:rsidRPr="00610AD5" w:rsidRDefault="00610AD5" w:rsidP="00C11A0F">
      <w:pPr>
        <w:pStyle w:val="enumlev1"/>
        <w:rPr>
          <w:color w:val="000000"/>
        </w:rPr>
      </w:pPr>
    </w:p>
    <w:p w:rsidR="00610AD5" w:rsidRPr="00324665" w:rsidRDefault="00610AD5" w:rsidP="00324665">
      <w:pPr>
        <w:pStyle w:val="FigureTitle"/>
        <w:rPr>
          <w:rFonts w:ascii="Times New Roman" w:hAnsi="Times New Roman"/>
        </w:rPr>
      </w:pPr>
    </w:p>
    <w:tbl>
      <w:tblPr>
        <w:tblW w:w="0" w:type="auto"/>
        <w:tblInd w:w="925" w:type="dxa"/>
        <w:tblBorders>
          <w:top w:val="nil"/>
          <w:left w:val="nil"/>
          <w:bottom w:val="nil"/>
          <w:right w:val="nil"/>
        </w:tblBorders>
        <w:tblLook w:val="0000"/>
      </w:tblPr>
      <w:tblGrid>
        <w:gridCol w:w="681"/>
        <w:gridCol w:w="1475"/>
        <w:gridCol w:w="1523"/>
        <w:gridCol w:w="3268"/>
        <w:gridCol w:w="817"/>
      </w:tblGrid>
      <w:tr w:rsidR="00610AD5" w:rsidRPr="00610AD5" w:rsidTr="00610AD5">
        <w:trPr>
          <w:trHeight w:val="319"/>
        </w:trPr>
        <w:tc>
          <w:tcPr>
            <w:tcW w:w="0" w:type="auto"/>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rPr>
            </w:pPr>
            <w:r w:rsidRPr="00610AD5">
              <w:rPr>
                <w:rFonts w:asciiTheme="majorBidi" w:hAnsiTheme="majorBidi" w:cstheme="majorBidi"/>
                <w:b/>
                <w:szCs w:val="22"/>
              </w:rPr>
              <w:t xml:space="preserve">Area </w:t>
            </w:r>
          </w:p>
        </w:tc>
        <w:tc>
          <w:tcPr>
            <w:tcW w:w="1475"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rPr>
            </w:pPr>
            <w:r w:rsidRPr="00610AD5">
              <w:rPr>
                <w:rFonts w:asciiTheme="majorBidi" w:hAnsiTheme="majorBidi" w:cstheme="majorBidi"/>
                <w:b/>
                <w:szCs w:val="22"/>
              </w:rPr>
              <w:t xml:space="preserve">Rural area or within premises </w:t>
            </w:r>
          </w:p>
        </w:tc>
        <w:tc>
          <w:tcPr>
            <w:tcW w:w="1523"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rPr>
            </w:pPr>
            <w:r w:rsidRPr="00610AD5">
              <w:rPr>
                <w:rFonts w:asciiTheme="majorBidi" w:hAnsiTheme="majorBidi" w:cstheme="majorBidi"/>
                <w:b/>
                <w:szCs w:val="22"/>
              </w:rPr>
              <w:t>Urban city area of one city</w:t>
            </w:r>
          </w:p>
        </w:tc>
        <w:tc>
          <w:tcPr>
            <w:tcW w:w="3268"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rPr>
            </w:pPr>
            <w:r w:rsidRPr="00610AD5">
              <w:rPr>
                <w:rFonts w:asciiTheme="majorBidi" w:hAnsiTheme="majorBidi" w:cstheme="majorBidi"/>
                <w:b/>
                <w:szCs w:val="22"/>
              </w:rPr>
              <w:t xml:space="preserve">Emirate wide </w:t>
            </w:r>
          </w:p>
        </w:tc>
        <w:tc>
          <w:tcPr>
            <w:tcW w:w="817"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rPr>
            </w:pPr>
            <w:r w:rsidRPr="00610AD5">
              <w:rPr>
                <w:rFonts w:asciiTheme="majorBidi" w:hAnsiTheme="majorBidi" w:cstheme="majorBidi"/>
                <w:b/>
                <w:szCs w:val="22"/>
              </w:rPr>
              <w:t xml:space="preserve">All UAE </w:t>
            </w:r>
          </w:p>
        </w:tc>
      </w:tr>
      <w:tr w:rsidR="00610AD5" w:rsidRPr="00610AD5" w:rsidTr="00610AD5">
        <w:trPr>
          <w:trHeight w:val="319"/>
        </w:trPr>
        <w:tc>
          <w:tcPr>
            <w:tcW w:w="0" w:type="auto"/>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rPr>
            </w:pPr>
            <w:r w:rsidRPr="00610AD5">
              <w:rPr>
                <w:rFonts w:asciiTheme="majorBidi" w:hAnsiTheme="majorBidi" w:cstheme="majorBidi"/>
                <w:szCs w:val="22"/>
              </w:rPr>
              <w:t xml:space="preserve">CF </w:t>
            </w:r>
          </w:p>
        </w:tc>
        <w:tc>
          <w:tcPr>
            <w:tcW w:w="1475"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rPr>
            </w:pPr>
            <w:r w:rsidRPr="00610AD5">
              <w:rPr>
                <w:rFonts w:asciiTheme="majorBidi" w:hAnsiTheme="majorBidi" w:cstheme="majorBidi"/>
                <w:szCs w:val="22"/>
              </w:rPr>
              <w:t xml:space="preserve">100 </w:t>
            </w:r>
          </w:p>
        </w:tc>
        <w:tc>
          <w:tcPr>
            <w:tcW w:w="1523"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rPr>
            </w:pPr>
            <w:r w:rsidRPr="00610AD5">
              <w:rPr>
                <w:rFonts w:asciiTheme="majorBidi" w:hAnsiTheme="majorBidi" w:cstheme="majorBidi"/>
                <w:szCs w:val="22"/>
              </w:rPr>
              <w:t xml:space="preserve">500 </w:t>
            </w:r>
          </w:p>
        </w:tc>
        <w:tc>
          <w:tcPr>
            <w:tcW w:w="3268"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rPr>
            </w:pPr>
            <w:r w:rsidRPr="00610AD5">
              <w:rPr>
                <w:rFonts w:asciiTheme="majorBidi" w:hAnsiTheme="majorBidi" w:cstheme="majorBidi"/>
                <w:szCs w:val="22"/>
              </w:rPr>
              <w:t>2000 for Abu Dhabi or Dubai</w:t>
            </w:r>
          </w:p>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rPr>
            </w:pPr>
            <w:r w:rsidRPr="00610AD5">
              <w:rPr>
                <w:rFonts w:asciiTheme="majorBidi" w:hAnsiTheme="majorBidi" w:cstheme="majorBidi"/>
                <w:szCs w:val="22"/>
              </w:rPr>
              <w:t>1000 for other Emirates</w:t>
            </w:r>
          </w:p>
        </w:tc>
        <w:tc>
          <w:tcPr>
            <w:tcW w:w="817"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rPr>
            </w:pPr>
            <w:r w:rsidRPr="00610AD5">
              <w:rPr>
                <w:rFonts w:asciiTheme="majorBidi" w:hAnsiTheme="majorBidi" w:cstheme="majorBidi"/>
                <w:szCs w:val="22"/>
              </w:rPr>
              <w:t xml:space="preserve">4,000 </w:t>
            </w:r>
          </w:p>
        </w:tc>
      </w:tr>
    </w:tbl>
    <w:p w:rsidR="00610AD5" w:rsidRPr="00610AD5" w:rsidRDefault="00610AD5" w:rsidP="00BC495B">
      <w:pPr>
        <w:pStyle w:val="FigureSource"/>
      </w:pPr>
    </w:p>
    <w:p w:rsidR="00610AD5" w:rsidRPr="00610AD5" w:rsidRDefault="00610AD5" w:rsidP="00737413">
      <w:pPr>
        <w:pStyle w:val="Arttitle"/>
      </w:pPr>
      <w:bookmarkStart w:id="265" w:name="_Toc280261837"/>
      <w:bookmarkStart w:id="266" w:name="_Toc280262335"/>
      <w:bookmarkStart w:id="267" w:name="_Toc280272729"/>
      <w:bookmarkStart w:id="268" w:name="_Toc280272908"/>
      <w:r w:rsidRPr="00610AD5">
        <w:t xml:space="preserve">Article </w:t>
      </w:r>
      <w:r w:rsidRPr="00610AD5">
        <w:rPr>
          <w:color w:val="000000"/>
          <w:lang w:val="en-US"/>
        </w:rPr>
        <w:t>15</w:t>
      </w:r>
      <w:r w:rsidRPr="00610AD5">
        <w:rPr>
          <w:color w:val="000000"/>
          <w:lang w:val="en-US"/>
        </w:rPr>
        <w:br/>
      </w:r>
      <w:r w:rsidRPr="00610AD5">
        <w:rPr>
          <w:color w:val="000000"/>
          <w:lang w:val="en-US"/>
        </w:rPr>
        <w:br/>
      </w:r>
      <w:bookmarkStart w:id="269" w:name="_Toc199215038"/>
      <w:r w:rsidRPr="00610AD5">
        <w:t xml:space="preserve">Spectrum Fees for </w:t>
      </w:r>
      <w:smartTag w:uri="urn:schemas-microsoft-com:office:smarttags" w:element="place">
        <w:r w:rsidRPr="00610AD5">
          <w:t>Mobile</w:t>
        </w:r>
      </w:smartTag>
      <w:r w:rsidRPr="00610AD5">
        <w:t xml:space="preserve"> Broadband Wireless Access</w:t>
      </w:r>
      <w:bookmarkEnd w:id="265"/>
      <w:bookmarkEnd w:id="266"/>
      <w:bookmarkEnd w:id="267"/>
      <w:bookmarkEnd w:id="268"/>
      <w:bookmarkEnd w:id="269"/>
    </w:p>
    <w:p w:rsidR="00610AD5" w:rsidRPr="00610AD5" w:rsidRDefault="00610AD5" w:rsidP="00C11A0F">
      <w:pPr>
        <w:pStyle w:val="enumlev1"/>
      </w:pPr>
      <w:r w:rsidRPr="00610AD5">
        <w:t>15.1</w:t>
      </w:r>
      <w:r w:rsidRPr="00610AD5">
        <w:tab/>
        <w:t xml:space="preserve">The Annual Spectrum Fees for Mobile Broadband Wireless Access between 2 GHz to 4 GHz shall be calculated as follows: </w:t>
      </w:r>
    </w:p>
    <w:p w:rsidR="00610AD5" w:rsidRPr="00610AD5" w:rsidRDefault="00610AD5" w:rsidP="00610AD5">
      <w:pPr>
        <w:jc w:val="center"/>
        <w:rPr>
          <w:color w:val="000000"/>
          <w:szCs w:val="19"/>
        </w:rPr>
      </w:pPr>
      <w:r w:rsidRPr="00610AD5">
        <w:rPr>
          <w:b/>
          <w:color w:val="000000"/>
          <w:szCs w:val="19"/>
        </w:rPr>
        <w:t>Spectrum Fees = BW x CF x 10</w:t>
      </w:r>
    </w:p>
    <w:p w:rsidR="00610AD5" w:rsidRPr="00610AD5" w:rsidRDefault="00610AD5" w:rsidP="00610AD5">
      <w:pPr>
        <w:ind w:firstLine="720"/>
        <w:rPr>
          <w:b/>
          <w:bCs/>
          <w:color w:val="000000"/>
          <w:szCs w:val="19"/>
        </w:rPr>
      </w:pPr>
      <w:r w:rsidRPr="00610AD5">
        <w:rPr>
          <w:szCs w:val="19"/>
        </w:rPr>
        <w:t>Where</w:t>
      </w:r>
      <w:r w:rsidRPr="00610AD5">
        <w:rPr>
          <w:b/>
          <w:color w:val="000000"/>
          <w:szCs w:val="19"/>
        </w:rPr>
        <w:t xml:space="preserve"> </w:t>
      </w:r>
    </w:p>
    <w:p w:rsidR="00610AD5" w:rsidRPr="00610AD5" w:rsidRDefault="00610AD5" w:rsidP="00610AD5">
      <w:pPr>
        <w:ind w:firstLine="720"/>
        <w:rPr>
          <w:color w:val="000000"/>
          <w:szCs w:val="19"/>
        </w:rPr>
      </w:pPr>
      <w:r w:rsidRPr="00610AD5">
        <w:rPr>
          <w:b/>
          <w:color w:val="000000"/>
          <w:szCs w:val="19"/>
        </w:rPr>
        <w:t xml:space="preserve">BW = </w:t>
      </w:r>
      <w:r w:rsidRPr="00610AD5">
        <w:rPr>
          <w:color w:val="000000"/>
          <w:szCs w:val="19"/>
        </w:rPr>
        <w:t>Total Bandwidth in MHz</w:t>
      </w:r>
    </w:p>
    <w:p w:rsidR="00610AD5" w:rsidRPr="00610AD5" w:rsidRDefault="00610AD5" w:rsidP="00610AD5">
      <w:pPr>
        <w:ind w:left="720"/>
        <w:rPr>
          <w:color w:val="000000"/>
          <w:szCs w:val="19"/>
        </w:rPr>
      </w:pPr>
      <w:r w:rsidRPr="00610AD5">
        <w:rPr>
          <w:b/>
          <w:color w:val="000000"/>
          <w:szCs w:val="19"/>
        </w:rPr>
        <w:t xml:space="preserve">CF= </w:t>
      </w:r>
      <w:r w:rsidRPr="00610AD5">
        <w:rPr>
          <w:color w:val="000000"/>
          <w:szCs w:val="19"/>
        </w:rPr>
        <w:t xml:space="preserve">Coverage Factor depending on the geographical area which will be determined as follows: </w:t>
      </w:r>
    </w:p>
    <w:p w:rsidR="00610AD5" w:rsidRPr="00610AD5" w:rsidRDefault="00610AD5" w:rsidP="00610AD5"/>
    <w:p w:rsidR="00610AD5" w:rsidRPr="00324665" w:rsidRDefault="00610AD5" w:rsidP="00324665">
      <w:pPr>
        <w:pStyle w:val="FigureTitle"/>
        <w:rPr>
          <w:rFonts w:ascii="Times New Roman" w:hAnsi="Times New Roman"/>
        </w:rPr>
      </w:pPr>
    </w:p>
    <w:tbl>
      <w:tblPr>
        <w:tblW w:w="0" w:type="auto"/>
        <w:tblInd w:w="925" w:type="dxa"/>
        <w:tblBorders>
          <w:top w:val="nil"/>
          <w:left w:val="nil"/>
          <w:bottom w:val="nil"/>
          <w:right w:val="nil"/>
        </w:tblBorders>
        <w:tblLook w:val="0000"/>
      </w:tblPr>
      <w:tblGrid>
        <w:gridCol w:w="681"/>
        <w:gridCol w:w="1475"/>
        <w:gridCol w:w="1523"/>
        <w:gridCol w:w="3268"/>
        <w:gridCol w:w="817"/>
      </w:tblGrid>
      <w:tr w:rsidR="00610AD5" w:rsidRPr="00610AD5" w:rsidTr="00610AD5">
        <w:trPr>
          <w:trHeight w:val="319"/>
        </w:trPr>
        <w:tc>
          <w:tcPr>
            <w:tcW w:w="0" w:type="auto"/>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rPr>
            </w:pPr>
            <w:r w:rsidRPr="00610AD5">
              <w:rPr>
                <w:rFonts w:asciiTheme="majorBidi" w:hAnsiTheme="majorBidi" w:cstheme="majorBidi"/>
                <w:b/>
                <w:szCs w:val="22"/>
              </w:rPr>
              <w:t xml:space="preserve">Area </w:t>
            </w:r>
          </w:p>
        </w:tc>
        <w:tc>
          <w:tcPr>
            <w:tcW w:w="1475"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rPr>
            </w:pPr>
            <w:r w:rsidRPr="00610AD5">
              <w:rPr>
                <w:rFonts w:asciiTheme="majorBidi" w:hAnsiTheme="majorBidi" w:cstheme="majorBidi"/>
                <w:b/>
                <w:szCs w:val="22"/>
              </w:rPr>
              <w:t xml:space="preserve">Rural area or within premises </w:t>
            </w:r>
          </w:p>
        </w:tc>
        <w:tc>
          <w:tcPr>
            <w:tcW w:w="1523"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rPr>
            </w:pPr>
            <w:r w:rsidRPr="00610AD5">
              <w:rPr>
                <w:rFonts w:asciiTheme="majorBidi" w:hAnsiTheme="majorBidi" w:cstheme="majorBidi"/>
                <w:b/>
                <w:szCs w:val="22"/>
              </w:rPr>
              <w:t>Urban city area of one city</w:t>
            </w:r>
          </w:p>
        </w:tc>
        <w:tc>
          <w:tcPr>
            <w:tcW w:w="3268"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rPr>
            </w:pPr>
            <w:r w:rsidRPr="00610AD5">
              <w:rPr>
                <w:rFonts w:asciiTheme="majorBidi" w:hAnsiTheme="majorBidi" w:cstheme="majorBidi"/>
                <w:b/>
                <w:szCs w:val="22"/>
              </w:rPr>
              <w:t xml:space="preserve">Emirate wide </w:t>
            </w:r>
          </w:p>
        </w:tc>
        <w:tc>
          <w:tcPr>
            <w:tcW w:w="817"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rPr>
            </w:pPr>
            <w:r w:rsidRPr="00610AD5">
              <w:rPr>
                <w:rFonts w:asciiTheme="majorBidi" w:hAnsiTheme="majorBidi" w:cstheme="majorBidi"/>
                <w:b/>
                <w:szCs w:val="22"/>
              </w:rPr>
              <w:t xml:space="preserve">All UAE </w:t>
            </w:r>
          </w:p>
        </w:tc>
      </w:tr>
      <w:tr w:rsidR="00610AD5" w:rsidRPr="00610AD5" w:rsidTr="00610AD5">
        <w:trPr>
          <w:trHeight w:val="319"/>
        </w:trPr>
        <w:tc>
          <w:tcPr>
            <w:tcW w:w="0" w:type="auto"/>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rPr>
            </w:pPr>
            <w:r w:rsidRPr="00610AD5">
              <w:rPr>
                <w:rFonts w:asciiTheme="majorBidi" w:hAnsiTheme="majorBidi" w:cstheme="majorBidi"/>
                <w:szCs w:val="22"/>
              </w:rPr>
              <w:t xml:space="preserve">CF </w:t>
            </w:r>
          </w:p>
        </w:tc>
        <w:tc>
          <w:tcPr>
            <w:tcW w:w="1475"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rPr>
            </w:pPr>
            <w:r w:rsidRPr="00610AD5">
              <w:rPr>
                <w:rFonts w:asciiTheme="majorBidi" w:hAnsiTheme="majorBidi" w:cstheme="majorBidi"/>
                <w:szCs w:val="22"/>
              </w:rPr>
              <w:t xml:space="preserve">100 </w:t>
            </w:r>
          </w:p>
        </w:tc>
        <w:tc>
          <w:tcPr>
            <w:tcW w:w="1523"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rPr>
            </w:pPr>
            <w:r w:rsidRPr="00610AD5">
              <w:rPr>
                <w:rFonts w:asciiTheme="majorBidi" w:hAnsiTheme="majorBidi" w:cstheme="majorBidi"/>
                <w:szCs w:val="22"/>
              </w:rPr>
              <w:t xml:space="preserve">500 </w:t>
            </w:r>
          </w:p>
        </w:tc>
        <w:tc>
          <w:tcPr>
            <w:tcW w:w="3268"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rPr>
            </w:pPr>
            <w:r w:rsidRPr="00610AD5">
              <w:rPr>
                <w:rFonts w:asciiTheme="majorBidi" w:hAnsiTheme="majorBidi" w:cstheme="majorBidi"/>
                <w:szCs w:val="22"/>
              </w:rPr>
              <w:t>2000 for Abu Dhabi or Dubai</w:t>
            </w:r>
          </w:p>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rPr>
            </w:pPr>
            <w:r w:rsidRPr="00610AD5">
              <w:rPr>
                <w:rFonts w:asciiTheme="majorBidi" w:hAnsiTheme="majorBidi" w:cstheme="majorBidi"/>
                <w:szCs w:val="22"/>
              </w:rPr>
              <w:t>1000 for other Emirates</w:t>
            </w:r>
          </w:p>
        </w:tc>
        <w:tc>
          <w:tcPr>
            <w:tcW w:w="817"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rPr>
            </w:pPr>
            <w:r w:rsidRPr="00610AD5">
              <w:rPr>
                <w:rFonts w:asciiTheme="majorBidi" w:hAnsiTheme="majorBidi" w:cstheme="majorBidi"/>
                <w:szCs w:val="22"/>
              </w:rPr>
              <w:t xml:space="preserve">4,000 </w:t>
            </w:r>
          </w:p>
        </w:tc>
      </w:tr>
    </w:tbl>
    <w:p w:rsidR="00610AD5" w:rsidRPr="00610AD5" w:rsidRDefault="00610AD5" w:rsidP="00BC495B">
      <w:pPr>
        <w:pStyle w:val="FigureSource"/>
      </w:pPr>
    </w:p>
    <w:p w:rsidR="00610AD5" w:rsidRPr="00610AD5" w:rsidRDefault="00610AD5" w:rsidP="00737413">
      <w:pPr>
        <w:pStyle w:val="Arttitle"/>
      </w:pPr>
      <w:bookmarkStart w:id="270" w:name="_Toc280261838"/>
      <w:bookmarkStart w:id="271" w:name="_Toc280262336"/>
      <w:bookmarkStart w:id="272" w:name="_Toc280272730"/>
      <w:bookmarkStart w:id="273" w:name="_Toc280272909"/>
      <w:r w:rsidRPr="00610AD5">
        <w:t>Article 16</w:t>
      </w:r>
      <w:r w:rsidRPr="00610AD5">
        <w:br/>
      </w:r>
      <w:r w:rsidRPr="00610AD5">
        <w:br/>
      </w:r>
      <w:bookmarkStart w:id="274" w:name="_Toc199215039"/>
      <w:r w:rsidRPr="00610AD5">
        <w:t>Spectrum Fees for Optical and laser links</w:t>
      </w:r>
      <w:bookmarkEnd w:id="270"/>
      <w:bookmarkEnd w:id="271"/>
      <w:bookmarkEnd w:id="272"/>
      <w:bookmarkEnd w:id="273"/>
      <w:bookmarkEnd w:id="274"/>
    </w:p>
    <w:p w:rsidR="00610AD5" w:rsidRPr="00610AD5" w:rsidRDefault="00610AD5" w:rsidP="00610AD5">
      <w:pPr>
        <w:rPr>
          <w:b/>
          <w:bCs/>
          <w:color w:val="000000"/>
          <w:szCs w:val="19"/>
        </w:rPr>
      </w:pPr>
      <w:r w:rsidRPr="00610AD5">
        <w:rPr>
          <w:szCs w:val="19"/>
        </w:rPr>
        <w:t xml:space="preserve">The Annual Fees for free space optical and laser links shall be </w:t>
      </w:r>
      <w:r w:rsidRPr="00610AD5">
        <w:rPr>
          <w:color w:val="000000"/>
          <w:szCs w:val="19"/>
        </w:rPr>
        <w:t>fifty (50) Dirhams.</w:t>
      </w:r>
      <w:r w:rsidRPr="00610AD5">
        <w:rPr>
          <w:b/>
          <w:color w:val="000000"/>
          <w:szCs w:val="19"/>
        </w:rPr>
        <w:t xml:space="preserve"> </w:t>
      </w:r>
    </w:p>
    <w:p w:rsidR="00610AD5" w:rsidRPr="00610AD5" w:rsidRDefault="00610AD5" w:rsidP="00737413">
      <w:pPr>
        <w:pStyle w:val="Arttitle"/>
      </w:pPr>
      <w:bookmarkStart w:id="275" w:name="_Toc280261839"/>
      <w:bookmarkStart w:id="276" w:name="_Toc280262337"/>
      <w:bookmarkStart w:id="277" w:name="_Toc280272731"/>
      <w:bookmarkStart w:id="278" w:name="_Toc280272910"/>
      <w:r w:rsidRPr="00610AD5">
        <w:t>Article 17</w:t>
      </w:r>
      <w:r w:rsidRPr="00610AD5">
        <w:br/>
      </w:r>
      <w:r w:rsidRPr="00610AD5">
        <w:br/>
      </w:r>
      <w:bookmarkStart w:id="279" w:name="_Toc199215040"/>
      <w:r w:rsidRPr="00610AD5">
        <w:t>Spectrum Fees for WLAN and cordless telephony</w:t>
      </w:r>
      <w:bookmarkEnd w:id="275"/>
      <w:bookmarkEnd w:id="276"/>
      <w:bookmarkEnd w:id="277"/>
      <w:bookmarkEnd w:id="278"/>
      <w:bookmarkEnd w:id="279"/>
    </w:p>
    <w:p w:rsidR="00610AD5" w:rsidRPr="00610AD5" w:rsidRDefault="00610AD5" w:rsidP="00610AD5">
      <w:pPr>
        <w:rPr>
          <w:b/>
          <w:bCs/>
          <w:color w:val="000000"/>
          <w:szCs w:val="19"/>
        </w:rPr>
      </w:pPr>
      <w:r w:rsidRPr="00610AD5">
        <w:rPr>
          <w:szCs w:val="19"/>
        </w:rPr>
        <w:t>The indoor use of WLAN and DECT based cordless telephony shall be exempted from the Spectrum Fees.</w:t>
      </w:r>
      <w:r w:rsidRPr="00610AD5">
        <w:rPr>
          <w:b/>
          <w:color w:val="000000"/>
          <w:szCs w:val="19"/>
        </w:rPr>
        <w:t xml:space="preserve"> </w:t>
      </w:r>
    </w:p>
    <w:p w:rsidR="00610AD5" w:rsidRPr="00610AD5" w:rsidRDefault="00610AD5" w:rsidP="00737413">
      <w:pPr>
        <w:pStyle w:val="Arttitle"/>
      </w:pPr>
      <w:bookmarkStart w:id="280" w:name="_Toc280261840"/>
      <w:bookmarkStart w:id="281" w:name="_Toc280262338"/>
      <w:bookmarkStart w:id="282" w:name="_Toc280272732"/>
      <w:bookmarkStart w:id="283" w:name="_Toc280272911"/>
      <w:r w:rsidRPr="00610AD5">
        <w:t>Article 18</w:t>
      </w:r>
      <w:r w:rsidRPr="00610AD5">
        <w:br/>
      </w:r>
      <w:r w:rsidRPr="00610AD5">
        <w:br/>
      </w:r>
      <w:bookmarkStart w:id="284" w:name="_Toc199215041"/>
      <w:r w:rsidRPr="00610AD5">
        <w:t>Spectrum Fees for GMPCS</w:t>
      </w:r>
      <w:bookmarkEnd w:id="280"/>
      <w:bookmarkEnd w:id="281"/>
      <w:bookmarkEnd w:id="282"/>
      <w:bookmarkEnd w:id="283"/>
      <w:bookmarkEnd w:id="284"/>
    </w:p>
    <w:p w:rsidR="00610AD5" w:rsidRPr="00610AD5" w:rsidRDefault="00610AD5" w:rsidP="00610AD5">
      <w:pPr>
        <w:rPr>
          <w:szCs w:val="19"/>
        </w:rPr>
      </w:pPr>
      <w:r w:rsidRPr="00610AD5">
        <w:rPr>
          <w:szCs w:val="19"/>
        </w:rPr>
        <w:t xml:space="preserve">The Annual Spectrum Fees for Global Mobile Personal Communication Service (GMPCS) shall be calculated as follows: </w:t>
      </w:r>
    </w:p>
    <w:p w:rsidR="00610AD5" w:rsidRPr="00610AD5" w:rsidRDefault="00610AD5" w:rsidP="00610AD5">
      <w:pPr>
        <w:jc w:val="center"/>
        <w:rPr>
          <w:b/>
          <w:bCs/>
          <w:color w:val="000000"/>
          <w:szCs w:val="19"/>
        </w:rPr>
      </w:pPr>
      <w:r w:rsidRPr="00610AD5">
        <w:rPr>
          <w:b/>
          <w:color w:val="000000"/>
          <w:szCs w:val="19"/>
        </w:rPr>
        <w:t>Spectrum Fees = BW x 5000</w:t>
      </w:r>
    </w:p>
    <w:p w:rsidR="00610AD5" w:rsidRPr="00610AD5" w:rsidRDefault="00610AD5" w:rsidP="00610AD5">
      <w:pPr>
        <w:rPr>
          <w:color w:val="000000"/>
          <w:szCs w:val="19"/>
        </w:rPr>
      </w:pPr>
      <w:r w:rsidRPr="00610AD5">
        <w:rPr>
          <w:color w:val="000000"/>
          <w:szCs w:val="19"/>
        </w:rPr>
        <w:tab/>
        <w:t xml:space="preserve">Where </w:t>
      </w:r>
      <w:r w:rsidRPr="00610AD5">
        <w:rPr>
          <w:b/>
          <w:color w:val="000000"/>
          <w:szCs w:val="19"/>
        </w:rPr>
        <w:t xml:space="preserve">BW= </w:t>
      </w:r>
      <w:r w:rsidRPr="00610AD5">
        <w:rPr>
          <w:color w:val="000000"/>
          <w:szCs w:val="19"/>
        </w:rPr>
        <w:t xml:space="preserve">Bandwidth Factor based on 2x1 MHz Bandwidth used </w:t>
      </w:r>
    </w:p>
    <w:p w:rsidR="00610AD5" w:rsidRPr="00610AD5" w:rsidRDefault="00610AD5" w:rsidP="00610AD5">
      <w:pPr>
        <w:tabs>
          <w:tab w:val="clear" w:pos="794"/>
          <w:tab w:val="clear" w:pos="1191"/>
          <w:tab w:val="clear" w:pos="1588"/>
          <w:tab w:val="clear" w:pos="1985"/>
        </w:tabs>
        <w:overflowPunct/>
        <w:autoSpaceDE/>
        <w:autoSpaceDN/>
        <w:adjustRightInd/>
        <w:spacing w:before="0"/>
        <w:jc w:val="left"/>
        <w:textAlignment w:val="auto"/>
        <w:rPr>
          <w:color w:val="000000"/>
          <w:szCs w:val="19"/>
        </w:rPr>
      </w:pPr>
      <w:r w:rsidRPr="00610AD5">
        <w:rPr>
          <w:color w:val="000000"/>
          <w:szCs w:val="19"/>
        </w:rPr>
        <w:br w:type="page"/>
      </w:r>
    </w:p>
    <w:p w:rsidR="00610AD5" w:rsidRPr="00610AD5" w:rsidRDefault="00610AD5" w:rsidP="00610AD5">
      <w:pPr>
        <w:spacing w:before="0"/>
        <w:rPr>
          <w:color w:val="000000"/>
          <w:sz w:val="2"/>
          <w:szCs w:val="19"/>
        </w:rPr>
      </w:pPr>
    </w:p>
    <w:p w:rsidR="00610AD5" w:rsidRPr="00324665" w:rsidRDefault="00610AD5" w:rsidP="00324665">
      <w:pPr>
        <w:pStyle w:val="FigureTitle"/>
        <w:rPr>
          <w:rFonts w:ascii="Times New Roman" w:hAnsi="Times New Roman"/>
        </w:rPr>
      </w:pPr>
    </w:p>
    <w:tbl>
      <w:tblPr>
        <w:tblW w:w="0" w:type="auto"/>
        <w:jc w:val="center"/>
        <w:tblInd w:w="1440" w:type="dxa"/>
        <w:tblBorders>
          <w:top w:val="nil"/>
          <w:left w:val="nil"/>
          <w:bottom w:val="nil"/>
          <w:right w:val="nil"/>
        </w:tblBorders>
        <w:tblLook w:val="0000"/>
      </w:tblPr>
      <w:tblGrid>
        <w:gridCol w:w="3333"/>
        <w:gridCol w:w="1261"/>
      </w:tblGrid>
      <w:tr w:rsidR="00610AD5" w:rsidRPr="00610AD5" w:rsidTr="00610AD5">
        <w:trPr>
          <w:trHeight w:val="332"/>
          <w:tblHeader/>
          <w:jc w:val="center"/>
        </w:trPr>
        <w:tc>
          <w:tcPr>
            <w:tcW w:w="0" w:type="auto"/>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rPr>
            </w:pPr>
            <w:r w:rsidRPr="00610AD5">
              <w:rPr>
                <w:rFonts w:asciiTheme="majorBidi" w:hAnsiTheme="majorBidi" w:cstheme="majorBidi"/>
                <w:b/>
                <w:szCs w:val="22"/>
              </w:rPr>
              <w:t xml:space="preserve">Bandwidth </w:t>
            </w:r>
          </w:p>
        </w:tc>
        <w:tc>
          <w:tcPr>
            <w:tcW w:w="0" w:type="auto"/>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rPr>
            </w:pPr>
            <w:r w:rsidRPr="00610AD5">
              <w:rPr>
                <w:rFonts w:asciiTheme="majorBidi" w:hAnsiTheme="majorBidi" w:cstheme="majorBidi"/>
                <w:b/>
                <w:szCs w:val="22"/>
              </w:rPr>
              <w:t>BW Factor</w:t>
            </w:r>
          </w:p>
        </w:tc>
      </w:tr>
      <w:tr w:rsidR="00610AD5" w:rsidRPr="00610AD5" w:rsidTr="00610AD5">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rPr>
            </w:pPr>
            <w:r w:rsidRPr="00610AD5">
              <w:rPr>
                <w:rFonts w:asciiTheme="majorBidi" w:hAnsiTheme="majorBidi" w:cstheme="majorBidi"/>
                <w:szCs w:val="22"/>
              </w:rPr>
              <w:t xml:space="preserve">Less than 2 x 1 MHz </w:t>
            </w:r>
          </w:p>
        </w:tc>
        <w:tc>
          <w:tcPr>
            <w:tcW w:w="0" w:type="auto"/>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rPr>
              <w:t>3</w:t>
            </w:r>
          </w:p>
        </w:tc>
      </w:tr>
      <w:tr w:rsidR="00610AD5" w:rsidRPr="00610AD5" w:rsidTr="00610AD5">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rPr>
            </w:pPr>
            <w:r w:rsidRPr="00610AD5">
              <w:rPr>
                <w:rFonts w:asciiTheme="majorBidi" w:hAnsiTheme="majorBidi" w:cstheme="majorBidi"/>
                <w:szCs w:val="22"/>
              </w:rPr>
              <w:t xml:space="preserve">2 x 1 MHz – Less than 4 x 1 MHz </w:t>
            </w:r>
          </w:p>
        </w:tc>
        <w:tc>
          <w:tcPr>
            <w:tcW w:w="0" w:type="auto"/>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rPr>
              <w:t>6</w:t>
            </w:r>
          </w:p>
        </w:tc>
      </w:tr>
      <w:tr w:rsidR="00610AD5" w:rsidRPr="00610AD5" w:rsidTr="00610AD5">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rPr>
            </w:pPr>
            <w:r w:rsidRPr="00610AD5">
              <w:rPr>
                <w:rFonts w:asciiTheme="majorBidi" w:hAnsiTheme="majorBidi" w:cstheme="majorBidi"/>
                <w:szCs w:val="22"/>
              </w:rPr>
              <w:t xml:space="preserve">4 x 1 MHz – Less than 6 x 1 MHz </w:t>
            </w:r>
          </w:p>
        </w:tc>
        <w:tc>
          <w:tcPr>
            <w:tcW w:w="0" w:type="auto"/>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rPr>
              <w:t>9</w:t>
            </w:r>
          </w:p>
        </w:tc>
      </w:tr>
      <w:tr w:rsidR="00610AD5" w:rsidRPr="00610AD5" w:rsidTr="00610AD5">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rPr>
            </w:pPr>
            <w:r w:rsidRPr="00610AD5">
              <w:rPr>
                <w:rFonts w:asciiTheme="majorBidi" w:hAnsiTheme="majorBidi" w:cstheme="majorBidi"/>
                <w:szCs w:val="22"/>
              </w:rPr>
              <w:t xml:space="preserve">6 x 1 MHz – Less than 8 x 1 MHz </w:t>
            </w:r>
          </w:p>
        </w:tc>
        <w:tc>
          <w:tcPr>
            <w:tcW w:w="0" w:type="auto"/>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rPr>
              <w:t>12</w:t>
            </w:r>
          </w:p>
        </w:tc>
      </w:tr>
      <w:tr w:rsidR="00610AD5" w:rsidRPr="00610AD5" w:rsidTr="00610AD5">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rPr>
            </w:pPr>
            <w:r w:rsidRPr="00610AD5">
              <w:rPr>
                <w:rFonts w:asciiTheme="majorBidi" w:hAnsiTheme="majorBidi" w:cstheme="majorBidi"/>
                <w:szCs w:val="22"/>
              </w:rPr>
              <w:t xml:space="preserve">8 x 1 MHz – Less than 10 x 1 MHz </w:t>
            </w:r>
          </w:p>
        </w:tc>
        <w:tc>
          <w:tcPr>
            <w:tcW w:w="0" w:type="auto"/>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rPr>
              <w:t>15</w:t>
            </w:r>
          </w:p>
        </w:tc>
      </w:tr>
      <w:tr w:rsidR="00610AD5" w:rsidRPr="00610AD5" w:rsidTr="00610AD5">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rPr>
            </w:pPr>
            <w:r w:rsidRPr="00610AD5">
              <w:rPr>
                <w:rFonts w:asciiTheme="majorBidi" w:hAnsiTheme="majorBidi" w:cstheme="majorBidi"/>
                <w:szCs w:val="22"/>
              </w:rPr>
              <w:t xml:space="preserve">10 x 1 MHz </w:t>
            </w:r>
          </w:p>
        </w:tc>
        <w:tc>
          <w:tcPr>
            <w:tcW w:w="0" w:type="auto"/>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rPr>
              <w:t>18</w:t>
            </w:r>
          </w:p>
        </w:tc>
      </w:tr>
      <w:tr w:rsidR="00610AD5" w:rsidRPr="00610AD5" w:rsidTr="00610AD5">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rPr>
            </w:pPr>
            <w:r w:rsidRPr="00610AD5">
              <w:rPr>
                <w:rFonts w:asciiTheme="majorBidi" w:hAnsiTheme="majorBidi" w:cstheme="majorBidi"/>
                <w:szCs w:val="22"/>
              </w:rPr>
              <w:t xml:space="preserve">For each additional 2x1 MHz </w:t>
            </w:r>
          </w:p>
        </w:tc>
        <w:tc>
          <w:tcPr>
            <w:tcW w:w="0" w:type="auto"/>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rPr>
              <w:t>3</w:t>
            </w:r>
          </w:p>
        </w:tc>
      </w:tr>
    </w:tbl>
    <w:p w:rsidR="00610AD5" w:rsidRPr="00610AD5" w:rsidRDefault="00610AD5" w:rsidP="00BC495B">
      <w:pPr>
        <w:pStyle w:val="FigureSource"/>
      </w:pPr>
    </w:p>
    <w:p w:rsidR="00610AD5" w:rsidRPr="00610AD5" w:rsidRDefault="00610AD5" w:rsidP="00737413">
      <w:pPr>
        <w:pStyle w:val="Arttitle"/>
      </w:pPr>
      <w:bookmarkStart w:id="285" w:name="_Toc280261841"/>
      <w:bookmarkStart w:id="286" w:name="_Toc280262339"/>
      <w:bookmarkStart w:id="287" w:name="_Toc280272733"/>
      <w:bookmarkStart w:id="288" w:name="_Toc280272912"/>
      <w:r w:rsidRPr="00610AD5">
        <w:t>Article 19</w:t>
      </w:r>
      <w:r w:rsidRPr="00610AD5">
        <w:br/>
      </w:r>
      <w:r w:rsidRPr="00610AD5">
        <w:br/>
      </w:r>
      <w:bookmarkStart w:id="289" w:name="_Toc199215042"/>
      <w:r w:rsidRPr="00610AD5">
        <w:t>Spectrum Fees for Amateur</w:t>
      </w:r>
      <w:bookmarkEnd w:id="285"/>
      <w:bookmarkEnd w:id="286"/>
      <w:bookmarkEnd w:id="287"/>
      <w:bookmarkEnd w:id="288"/>
      <w:bookmarkEnd w:id="289"/>
    </w:p>
    <w:p w:rsidR="00610AD5" w:rsidRPr="00610AD5" w:rsidRDefault="00610AD5" w:rsidP="00610AD5">
      <w:pPr>
        <w:rPr>
          <w:szCs w:val="19"/>
        </w:rPr>
      </w:pPr>
      <w:r w:rsidRPr="00610AD5">
        <w:rPr>
          <w:szCs w:val="19"/>
        </w:rPr>
        <w:t xml:space="preserve">The Annual fees for Amateur license shall be Two Hundred (200) AED per wireless equipment payable in advance. </w:t>
      </w:r>
    </w:p>
    <w:p w:rsidR="00610AD5" w:rsidRPr="00610AD5" w:rsidRDefault="00610AD5" w:rsidP="00737413">
      <w:pPr>
        <w:pStyle w:val="Arttitle"/>
      </w:pPr>
      <w:bookmarkStart w:id="290" w:name="_Toc280261842"/>
      <w:bookmarkStart w:id="291" w:name="_Toc280262340"/>
      <w:bookmarkStart w:id="292" w:name="_Toc280272734"/>
      <w:bookmarkStart w:id="293" w:name="_Toc280272913"/>
      <w:r w:rsidRPr="00610AD5">
        <w:t>Article 20</w:t>
      </w:r>
      <w:r w:rsidRPr="00610AD5">
        <w:br/>
      </w:r>
      <w:r w:rsidRPr="00610AD5">
        <w:br/>
      </w:r>
      <w:bookmarkStart w:id="294" w:name="_Toc199215043"/>
      <w:r w:rsidRPr="00610AD5">
        <w:t xml:space="preserve">Spectrum Fees for Aeronautical Radio </w:t>
      </w:r>
      <w:bookmarkEnd w:id="294"/>
      <w:r w:rsidRPr="00610AD5">
        <w:t>Stations</w:t>
      </w:r>
      <w:bookmarkEnd w:id="290"/>
      <w:bookmarkEnd w:id="291"/>
      <w:bookmarkEnd w:id="292"/>
      <w:bookmarkEnd w:id="293"/>
    </w:p>
    <w:p w:rsidR="00610AD5" w:rsidRPr="00610AD5" w:rsidRDefault="00610AD5" w:rsidP="00C11A0F">
      <w:pPr>
        <w:pStyle w:val="enumlev1"/>
      </w:pPr>
      <w:r w:rsidRPr="00610AD5">
        <w:t>20.1</w:t>
      </w:r>
      <w:r w:rsidRPr="00610AD5">
        <w:tab/>
        <w:t>The annual fees for each aircraft and helicopter license shall be one thousand (1000) Dirhams. This shall deem to include all Wireless Equipment onboard.</w:t>
      </w:r>
    </w:p>
    <w:p w:rsidR="00610AD5" w:rsidRPr="00610AD5" w:rsidRDefault="00610AD5" w:rsidP="00C11A0F">
      <w:pPr>
        <w:pStyle w:val="enumlev1"/>
      </w:pPr>
      <w:r w:rsidRPr="00610AD5">
        <w:t>20.2</w:t>
      </w:r>
      <w:r w:rsidRPr="00610AD5">
        <w:tab/>
        <w:t xml:space="preserve">The annual fees for gliders and balloons shall be three hundred (300) Dirhams. </w:t>
      </w:r>
    </w:p>
    <w:p w:rsidR="00610AD5" w:rsidRPr="00610AD5" w:rsidRDefault="00610AD5" w:rsidP="00C11A0F">
      <w:pPr>
        <w:pStyle w:val="enumlev1"/>
      </w:pPr>
      <w:r w:rsidRPr="00610AD5">
        <w:t>20.3</w:t>
      </w:r>
      <w:r w:rsidRPr="00610AD5">
        <w:tab/>
        <w:t>The annual fees for ground to air links shall be in accordance with the private mobile radio. The ground to air HF links shall be charged in accordance with HF fixed point to point links.</w:t>
      </w:r>
    </w:p>
    <w:p w:rsidR="00610AD5" w:rsidRPr="00610AD5" w:rsidRDefault="00610AD5" w:rsidP="00C11A0F">
      <w:pPr>
        <w:pStyle w:val="enumlev1"/>
        <w:rPr>
          <w:color w:val="000000"/>
        </w:rPr>
      </w:pPr>
      <w:r w:rsidRPr="00610AD5">
        <w:rPr>
          <w:color w:val="000000"/>
        </w:rPr>
        <w:t>20.4</w:t>
      </w:r>
      <w:r w:rsidRPr="00610AD5">
        <w:rPr>
          <w:color w:val="000000"/>
        </w:rPr>
        <w:tab/>
        <w:t xml:space="preserve">The annual fees for High Altitude Platform System (HAPS) shall be considered under satellite services for charging. </w:t>
      </w:r>
    </w:p>
    <w:p w:rsidR="00610AD5" w:rsidRPr="00610AD5" w:rsidRDefault="00610AD5" w:rsidP="00610AD5">
      <w:pPr>
        <w:keepNext/>
        <w:keepLines/>
        <w:spacing w:before="240"/>
        <w:jc w:val="center"/>
        <w:rPr>
          <w:b/>
          <w:sz w:val="28"/>
        </w:rPr>
      </w:pPr>
      <w:bookmarkStart w:id="295" w:name="_Toc280261843"/>
      <w:bookmarkStart w:id="296" w:name="_Toc280262341"/>
      <w:bookmarkStart w:id="297" w:name="_Toc280272735"/>
      <w:bookmarkStart w:id="298" w:name="_Toc280272914"/>
      <w:r w:rsidRPr="00610AD5">
        <w:rPr>
          <w:b/>
          <w:sz w:val="28"/>
        </w:rPr>
        <w:t>Article 21</w:t>
      </w:r>
      <w:r w:rsidRPr="00610AD5">
        <w:rPr>
          <w:b/>
          <w:sz w:val="28"/>
        </w:rPr>
        <w:br/>
      </w:r>
      <w:r w:rsidRPr="00610AD5">
        <w:rPr>
          <w:b/>
          <w:sz w:val="28"/>
        </w:rPr>
        <w:br/>
      </w:r>
      <w:bookmarkStart w:id="299" w:name="_Toc199215044"/>
      <w:r w:rsidRPr="00610AD5">
        <w:rPr>
          <w:b/>
          <w:sz w:val="28"/>
        </w:rPr>
        <w:t>Spectrum Fees for Maritime Radio Services</w:t>
      </w:r>
      <w:bookmarkEnd w:id="295"/>
      <w:bookmarkEnd w:id="296"/>
      <w:bookmarkEnd w:id="297"/>
      <w:bookmarkEnd w:id="298"/>
      <w:bookmarkEnd w:id="299"/>
    </w:p>
    <w:p w:rsidR="00610AD5" w:rsidRPr="00610AD5" w:rsidRDefault="00610AD5" w:rsidP="00C11A0F">
      <w:pPr>
        <w:pStyle w:val="enumlev1"/>
      </w:pPr>
      <w:r w:rsidRPr="00610AD5">
        <w:t>21.1</w:t>
      </w:r>
      <w:r w:rsidRPr="00610AD5">
        <w:tab/>
        <w:t xml:space="preserve">The annual fees for each small boat license shall be two hundred (200) Dirhams. </w:t>
      </w:r>
    </w:p>
    <w:p w:rsidR="00610AD5" w:rsidRPr="00610AD5" w:rsidRDefault="00610AD5" w:rsidP="00C11A0F">
      <w:pPr>
        <w:pStyle w:val="enumlev1"/>
      </w:pPr>
      <w:r w:rsidRPr="00610AD5">
        <w:t>21.2</w:t>
      </w:r>
      <w:r w:rsidRPr="00610AD5">
        <w:tab/>
        <w:t xml:space="preserve">The annual fees for each Coastal ship </w:t>
      </w:r>
      <w:r w:rsidRPr="00610AD5">
        <w:rPr>
          <w:color w:val="000000"/>
        </w:rPr>
        <w:t xml:space="preserve">(within domestic water and without MMSI) </w:t>
      </w:r>
      <w:r w:rsidRPr="00610AD5">
        <w:t xml:space="preserve">license shall be Five Hundred and Fifty (550) Dirhams. </w:t>
      </w:r>
    </w:p>
    <w:p w:rsidR="00610AD5" w:rsidRPr="00610AD5" w:rsidRDefault="00610AD5" w:rsidP="00C11A0F">
      <w:pPr>
        <w:pStyle w:val="enumlev1"/>
      </w:pPr>
      <w:r w:rsidRPr="00610AD5">
        <w:t>21.3</w:t>
      </w:r>
      <w:r w:rsidRPr="00610AD5">
        <w:tab/>
        <w:t xml:space="preserve">The annual fees for each Ship </w:t>
      </w:r>
      <w:r w:rsidRPr="00610AD5">
        <w:rPr>
          <w:color w:val="000000"/>
        </w:rPr>
        <w:t xml:space="preserve">(goes outside domestic water and with MMSI) </w:t>
      </w:r>
      <w:r w:rsidRPr="00610AD5">
        <w:t xml:space="preserve">license shall be One Thousand (1000) Dirhams. </w:t>
      </w:r>
    </w:p>
    <w:p w:rsidR="00610AD5" w:rsidRPr="00610AD5" w:rsidRDefault="00610AD5" w:rsidP="00610AD5">
      <w:pPr>
        <w:tabs>
          <w:tab w:val="clear" w:pos="794"/>
          <w:tab w:val="clear" w:pos="1191"/>
          <w:tab w:val="clear" w:pos="1588"/>
          <w:tab w:val="clear" w:pos="1985"/>
        </w:tabs>
        <w:overflowPunct/>
        <w:autoSpaceDE/>
        <w:autoSpaceDN/>
        <w:adjustRightInd/>
        <w:spacing w:before="0"/>
        <w:jc w:val="left"/>
        <w:textAlignment w:val="auto"/>
        <w:rPr>
          <w:b/>
          <w:sz w:val="28"/>
        </w:rPr>
      </w:pPr>
      <w:r w:rsidRPr="00610AD5">
        <w:br w:type="page"/>
      </w:r>
    </w:p>
    <w:p w:rsidR="00610AD5" w:rsidRPr="00610AD5" w:rsidRDefault="00610AD5" w:rsidP="00737413">
      <w:pPr>
        <w:pStyle w:val="Arttitle"/>
      </w:pPr>
      <w:bookmarkStart w:id="300" w:name="_Toc280261844"/>
      <w:bookmarkStart w:id="301" w:name="_Toc280262342"/>
      <w:bookmarkStart w:id="302" w:name="_Toc280272736"/>
      <w:bookmarkStart w:id="303" w:name="_Toc280272915"/>
      <w:r w:rsidRPr="00610AD5">
        <w:lastRenderedPageBreak/>
        <w:t>Article 22</w:t>
      </w:r>
      <w:r w:rsidRPr="00610AD5">
        <w:br/>
      </w:r>
      <w:r w:rsidRPr="00610AD5">
        <w:br/>
      </w:r>
      <w:bookmarkStart w:id="304" w:name="_Toc199215045"/>
      <w:r w:rsidRPr="00610AD5">
        <w:t>Spectrum Fees for Space Services and Ancillary</w:t>
      </w:r>
      <w:bookmarkEnd w:id="300"/>
      <w:bookmarkEnd w:id="301"/>
      <w:bookmarkEnd w:id="302"/>
      <w:bookmarkEnd w:id="303"/>
      <w:bookmarkEnd w:id="304"/>
    </w:p>
    <w:p w:rsidR="00610AD5" w:rsidRPr="00610AD5" w:rsidRDefault="00610AD5" w:rsidP="00C11A0F">
      <w:pPr>
        <w:pStyle w:val="enumlev1"/>
      </w:pPr>
      <w:r w:rsidRPr="00610AD5">
        <w:t>22.1</w:t>
      </w:r>
      <w:r w:rsidRPr="00610AD5">
        <w:tab/>
        <w:t xml:space="preserve">The annual fees for each VSAT shall be five thousand (5000) Dirhams. </w:t>
      </w:r>
    </w:p>
    <w:p w:rsidR="00610AD5" w:rsidRPr="00610AD5" w:rsidRDefault="00610AD5" w:rsidP="00C11A0F">
      <w:pPr>
        <w:pStyle w:val="enumlev1"/>
      </w:pPr>
      <w:r w:rsidRPr="00610AD5">
        <w:t>22.2</w:t>
      </w:r>
      <w:r w:rsidRPr="00610AD5">
        <w:tab/>
        <w:t xml:space="preserve">The annual fees for each Earth Station antenna shall be fifty thousand (50000) Dirhams. </w:t>
      </w:r>
    </w:p>
    <w:p w:rsidR="00610AD5" w:rsidRPr="00610AD5" w:rsidRDefault="00610AD5" w:rsidP="00C11A0F">
      <w:pPr>
        <w:pStyle w:val="enumlev1"/>
      </w:pPr>
      <w:r w:rsidRPr="00610AD5">
        <w:t>22.3</w:t>
      </w:r>
      <w:r w:rsidRPr="00610AD5">
        <w:tab/>
        <w:t xml:space="preserve">The TVRO (Television receive only) shall not be charged. </w:t>
      </w:r>
    </w:p>
    <w:p w:rsidR="00610AD5" w:rsidRPr="00610AD5" w:rsidRDefault="00610AD5" w:rsidP="00C11A0F">
      <w:pPr>
        <w:pStyle w:val="enumlev1"/>
      </w:pPr>
      <w:r w:rsidRPr="00610AD5">
        <w:t>22.4</w:t>
      </w:r>
      <w:r w:rsidRPr="00610AD5">
        <w:tab/>
        <w:t>The annual fees for each DSNG shall be five thousand (5000) Dirhams.</w:t>
      </w:r>
    </w:p>
    <w:p w:rsidR="00610AD5" w:rsidRPr="00610AD5" w:rsidRDefault="00610AD5" w:rsidP="00C11A0F">
      <w:pPr>
        <w:pStyle w:val="enumlev1"/>
      </w:pPr>
      <w:r w:rsidRPr="00610AD5">
        <w:t>22.5</w:t>
      </w:r>
      <w:r w:rsidRPr="00610AD5">
        <w:tab/>
        <w:t>The annual Spectrum Fees for offering Aeronautical Mobile Satellite service shall be ten thousand (10000) Dirhams.</w:t>
      </w:r>
    </w:p>
    <w:p w:rsidR="00610AD5" w:rsidRPr="00610AD5" w:rsidRDefault="00610AD5" w:rsidP="00C11A0F">
      <w:pPr>
        <w:pStyle w:val="enumlev1"/>
      </w:pPr>
      <w:r w:rsidRPr="00610AD5">
        <w:t>22.6</w:t>
      </w:r>
      <w:r w:rsidRPr="00610AD5">
        <w:tab/>
        <w:t>The annual Spectrum Fees for offering Maritime Mobile Satellite service shall be ten thousand (10000) Dirhams.</w:t>
      </w:r>
    </w:p>
    <w:p w:rsidR="00610AD5" w:rsidRPr="00610AD5" w:rsidRDefault="00610AD5" w:rsidP="00C11A0F">
      <w:pPr>
        <w:pStyle w:val="enumlev1"/>
      </w:pPr>
      <w:r w:rsidRPr="00610AD5">
        <w:t>22.7</w:t>
      </w:r>
      <w:r w:rsidRPr="00610AD5">
        <w:tab/>
        <w:t>The annual Spectrum Fees for offering Earth Exploration Satellite service shall be ten thousand (10000) Dirhams.</w:t>
      </w:r>
    </w:p>
    <w:p w:rsidR="00610AD5" w:rsidRPr="00610AD5" w:rsidRDefault="00610AD5" w:rsidP="00C11A0F">
      <w:pPr>
        <w:pStyle w:val="enumlev1"/>
      </w:pPr>
      <w:r w:rsidRPr="00610AD5">
        <w:t>22.8</w:t>
      </w:r>
      <w:r w:rsidRPr="00610AD5">
        <w:tab/>
        <w:t>The annual Spectrum Fees for HAPS shall be determined by the TRA based on the purpose of use.</w:t>
      </w:r>
    </w:p>
    <w:p w:rsidR="00610AD5" w:rsidRPr="00610AD5" w:rsidRDefault="00610AD5" w:rsidP="00737413">
      <w:pPr>
        <w:pStyle w:val="Arttitle"/>
      </w:pPr>
      <w:bookmarkStart w:id="305" w:name="_Toc280261845"/>
      <w:bookmarkStart w:id="306" w:name="_Toc280262343"/>
      <w:bookmarkStart w:id="307" w:name="_Toc280272737"/>
      <w:bookmarkStart w:id="308" w:name="_Toc280272916"/>
      <w:r w:rsidRPr="00610AD5">
        <w:t>Article 23</w:t>
      </w:r>
      <w:r w:rsidRPr="00610AD5">
        <w:br/>
      </w:r>
      <w:r w:rsidRPr="00610AD5">
        <w:br/>
      </w:r>
      <w:bookmarkStart w:id="309" w:name="_Toc199215046"/>
      <w:r w:rsidRPr="00610AD5">
        <w:t>Spectrum Fees for Radionavigation stations</w:t>
      </w:r>
      <w:bookmarkEnd w:id="305"/>
      <w:bookmarkEnd w:id="306"/>
      <w:bookmarkEnd w:id="307"/>
      <w:bookmarkEnd w:id="308"/>
      <w:bookmarkEnd w:id="309"/>
    </w:p>
    <w:p w:rsidR="00610AD5" w:rsidRPr="00610AD5" w:rsidRDefault="00610AD5" w:rsidP="00610AD5">
      <w:pPr>
        <w:rPr>
          <w:color w:val="000000"/>
          <w:szCs w:val="19"/>
        </w:rPr>
      </w:pPr>
      <w:r w:rsidRPr="00610AD5">
        <w:rPr>
          <w:szCs w:val="19"/>
        </w:rPr>
        <w:t>The annual fees for each Radionavigation Station shall be One thousand (1000) Dirhams.</w:t>
      </w:r>
    </w:p>
    <w:p w:rsidR="00610AD5" w:rsidRPr="00610AD5" w:rsidRDefault="00610AD5" w:rsidP="00737413">
      <w:pPr>
        <w:pStyle w:val="Arttitle"/>
      </w:pPr>
      <w:bookmarkStart w:id="310" w:name="_Toc280261846"/>
      <w:bookmarkStart w:id="311" w:name="_Toc280262344"/>
      <w:bookmarkStart w:id="312" w:name="_Toc280272738"/>
      <w:bookmarkStart w:id="313" w:name="_Toc280272917"/>
      <w:r w:rsidRPr="00610AD5">
        <w:t>Article 24</w:t>
      </w:r>
      <w:r w:rsidRPr="00610AD5">
        <w:br/>
      </w:r>
      <w:r w:rsidRPr="00610AD5">
        <w:br/>
      </w:r>
      <w:bookmarkStart w:id="314" w:name="_Toc199215047"/>
      <w:r w:rsidRPr="00610AD5">
        <w:t>Spectrum Fees for Radio Astronomy stations</w:t>
      </w:r>
      <w:bookmarkEnd w:id="310"/>
      <w:bookmarkEnd w:id="311"/>
      <w:bookmarkEnd w:id="312"/>
      <w:bookmarkEnd w:id="313"/>
      <w:bookmarkEnd w:id="314"/>
    </w:p>
    <w:p w:rsidR="00610AD5" w:rsidRPr="00610AD5" w:rsidRDefault="00610AD5" w:rsidP="00610AD5">
      <w:pPr>
        <w:rPr>
          <w:color w:val="000000"/>
          <w:szCs w:val="19"/>
        </w:rPr>
      </w:pPr>
      <w:r w:rsidRPr="00610AD5">
        <w:rPr>
          <w:szCs w:val="19"/>
        </w:rPr>
        <w:t>The annual fees for each Radio Astronomy Station shall be five hundred (500) Dirhams.</w:t>
      </w:r>
    </w:p>
    <w:p w:rsidR="00610AD5" w:rsidRPr="00610AD5" w:rsidRDefault="00610AD5" w:rsidP="00737413">
      <w:pPr>
        <w:pStyle w:val="Arttitle"/>
      </w:pPr>
      <w:bookmarkStart w:id="315" w:name="_Toc280261847"/>
      <w:bookmarkStart w:id="316" w:name="_Toc280262345"/>
      <w:bookmarkStart w:id="317" w:name="_Toc280272739"/>
      <w:bookmarkStart w:id="318" w:name="_Toc280272918"/>
      <w:r w:rsidRPr="00610AD5">
        <w:t>Article 25</w:t>
      </w:r>
      <w:r w:rsidRPr="00610AD5">
        <w:br/>
      </w:r>
      <w:r w:rsidRPr="00610AD5">
        <w:br/>
      </w:r>
      <w:bookmarkStart w:id="319" w:name="_Toc199215048"/>
      <w:r w:rsidRPr="00610AD5">
        <w:t>Spectrum Fees for Radiolocation stations</w:t>
      </w:r>
      <w:bookmarkEnd w:id="315"/>
      <w:bookmarkEnd w:id="316"/>
      <w:bookmarkEnd w:id="317"/>
      <w:bookmarkEnd w:id="318"/>
      <w:bookmarkEnd w:id="319"/>
    </w:p>
    <w:p w:rsidR="00610AD5" w:rsidRPr="00610AD5" w:rsidRDefault="00610AD5" w:rsidP="00610AD5">
      <w:pPr>
        <w:rPr>
          <w:color w:val="000000"/>
          <w:szCs w:val="19"/>
        </w:rPr>
      </w:pPr>
      <w:r w:rsidRPr="00610AD5">
        <w:rPr>
          <w:szCs w:val="19"/>
        </w:rPr>
        <w:t>The annual fees for each maritime coastal radar, weather radar, ground based radar, aeronautical surveillance, approach control, oceanic, surface movement and tracking shall be five thousand (5000) Dirhams.</w:t>
      </w:r>
    </w:p>
    <w:p w:rsidR="00610AD5" w:rsidRPr="00610AD5" w:rsidRDefault="00610AD5" w:rsidP="00737413">
      <w:pPr>
        <w:pStyle w:val="Arttitle"/>
      </w:pPr>
      <w:bookmarkStart w:id="320" w:name="_Toc280261848"/>
      <w:bookmarkStart w:id="321" w:name="_Toc280262346"/>
      <w:bookmarkStart w:id="322" w:name="_Toc280272740"/>
      <w:bookmarkStart w:id="323" w:name="_Toc280272919"/>
      <w:r w:rsidRPr="00610AD5">
        <w:t>Article 26</w:t>
      </w:r>
      <w:r w:rsidRPr="00610AD5">
        <w:br/>
      </w:r>
      <w:r w:rsidRPr="00610AD5">
        <w:br/>
      </w:r>
      <w:bookmarkStart w:id="324" w:name="_Toc199215049"/>
      <w:r w:rsidRPr="00610AD5">
        <w:t>Spectrum Fees for Broadcasting Service</w:t>
      </w:r>
      <w:bookmarkEnd w:id="320"/>
      <w:bookmarkEnd w:id="321"/>
      <w:bookmarkEnd w:id="322"/>
      <w:bookmarkEnd w:id="323"/>
      <w:bookmarkEnd w:id="324"/>
    </w:p>
    <w:p w:rsidR="00610AD5" w:rsidRPr="00610AD5" w:rsidRDefault="00610AD5" w:rsidP="00867C40">
      <w:pPr>
        <w:pStyle w:val="enumlev1"/>
      </w:pPr>
      <w:bookmarkStart w:id="325" w:name="_Toc195057825"/>
      <w:r w:rsidRPr="00610AD5">
        <w:t>26.1</w:t>
      </w:r>
      <w:r w:rsidRPr="00610AD5">
        <w:tab/>
        <w:t>Terrestrial Radio and Television Broadcasting</w:t>
      </w:r>
      <w:bookmarkEnd w:id="325"/>
    </w:p>
    <w:p w:rsidR="00610AD5" w:rsidRPr="00610AD5" w:rsidRDefault="00610AD5" w:rsidP="00867C40">
      <w:pPr>
        <w:pStyle w:val="enumlev1"/>
        <w:rPr>
          <w:b/>
        </w:rPr>
      </w:pPr>
      <w:r w:rsidRPr="00610AD5">
        <w:tab/>
        <w:t>Annual fees of Radio Spectrum Authorization for an individual Broadcasting Station shall be calculated as follows:-</w:t>
      </w:r>
    </w:p>
    <w:p w:rsidR="00610AD5" w:rsidRPr="00610AD5" w:rsidRDefault="00610AD5" w:rsidP="00610AD5">
      <w:pPr>
        <w:suppressAutoHyphens/>
        <w:ind w:left="851"/>
        <w:rPr>
          <w:b/>
          <w:szCs w:val="19"/>
        </w:rPr>
      </w:pPr>
      <w:r w:rsidRPr="00610AD5">
        <w:rPr>
          <w:b/>
          <w:szCs w:val="19"/>
        </w:rPr>
        <w:tab/>
        <w:t>Spectrum Fees (per Station) = A + B * C * D * E * F</w:t>
      </w:r>
    </w:p>
    <w:p w:rsidR="00610AD5" w:rsidRPr="00610AD5" w:rsidRDefault="00610AD5" w:rsidP="00610AD5">
      <w:pPr>
        <w:tabs>
          <w:tab w:val="left" w:pos="851"/>
        </w:tabs>
        <w:ind w:left="851"/>
        <w:rPr>
          <w:szCs w:val="19"/>
        </w:rPr>
      </w:pPr>
      <w:r w:rsidRPr="00610AD5">
        <w:rPr>
          <w:b/>
          <w:szCs w:val="19"/>
        </w:rPr>
        <w:tab/>
        <w:t xml:space="preserve">A = Basic Fee = </w:t>
      </w:r>
      <w:r w:rsidRPr="00610AD5">
        <w:rPr>
          <w:szCs w:val="19"/>
        </w:rPr>
        <w:t>30,000 AED.</w:t>
      </w:r>
    </w:p>
    <w:p w:rsidR="00610AD5" w:rsidRPr="00610AD5" w:rsidRDefault="00610AD5" w:rsidP="00C608EC">
      <w:pPr>
        <w:pageBreakBefore/>
        <w:ind w:left="1191" w:hanging="1191"/>
        <w:rPr>
          <w:szCs w:val="19"/>
        </w:rPr>
      </w:pPr>
      <w:r w:rsidRPr="00610AD5">
        <w:rPr>
          <w:b/>
          <w:szCs w:val="19"/>
        </w:rPr>
        <w:lastRenderedPageBreak/>
        <w:tab/>
      </w:r>
      <w:r w:rsidRPr="00610AD5">
        <w:rPr>
          <w:b/>
          <w:szCs w:val="19"/>
        </w:rPr>
        <w:tab/>
        <w:t>Note:</w:t>
      </w:r>
      <w:r w:rsidRPr="00610AD5">
        <w:rPr>
          <w:szCs w:val="19"/>
        </w:rPr>
        <w:t xml:space="preserve"> In case of using Single Frequency Network (SFN) the complete network shall be treated as one single transmitter and the Basic Fee shall be charged once for that SFN whereas the remaining part of Spectrum Fees shall be charged per station.</w:t>
      </w:r>
    </w:p>
    <w:p w:rsidR="00610AD5" w:rsidRPr="00610AD5" w:rsidRDefault="00610AD5" w:rsidP="00610AD5">
      <w:pPr>
        <w:ind w:left="1191" w:hanging="1191"/>
        <w:rPr>
          <w:szCs w:val="19"/>
        </w:rPr>
      </w:pPr>
      <w:r w:rsidRPr="00610AD5">
        <w:rPr>
          <w:b/>
          <w:szCs w:val="19"/>
        </w:rPr>
        <w:tab/>
      </w:r>
      <w:r w:rsidRPr="00610AD5">
        <w:rPr>
          <w:b/>
          <w:szCs w:val="19"/>
        </w:rPr>
        <w:tab/>
        <w:t xml:space="preserve">B = Power Factor </w:t>
      </w:r>
      <w:r w:rsidRPr="00610AD5">
        <w:rPr>
          <w:szCs w:val="19"/>
        </w:rPr>
        <w:t xml:space="preserve">= The power, expressed in kilowatts [kW] equals the </w:t>
      </w:r>
      <w:r w:rsidRPr="00610AD5">
        <w:rPr>
          <w:szCs w:val="19"/>
        </w:rPr>
        <w:tab/>
        <w:t xml:space="preserve">transmitter output power (in case of LW, MW  or SW transmissions) and effective </w:t>
      </w:r>
      <w:r w:rsidRPr="00610AD5">
        <w:rPr>
          <w:szCs w:val="19"/>
        </w:rPr>
        <w:tab/>
        <w:t>radiated power (ERP) in all other cases.</w:t>
      </w:r>
    </w:p>
    <w:p w:rsidR="00610AD5" w:rsidRPr="00610AD5" w:rsidRDefault="00610AD5" w:rsidP="00610AD5">
      <w:pPr>
        <w:rPr>
          <w:szCs w:val="19"/>
        </w:rPr>
      </w:pPr>
      <w:r w:rsidRPr="00610AD5">
        <w:rPr>
          <w:szCs w:val="19"/>
        </w:rPr>
        <w:tab/>
      </w:r>
      <w:r w:rsidRPr="00610AD5">
        <w:rPr>
          <w:szCs w:val="19"/>
        </w:rPr>
        <w:tab/>
      </w:r>
      <w:r w:rsidRPr="00610AD5">
        <w:rPr>
          <w:b/>
          <w:szCs w:val="19"/>
        </w:rPr>
        <w:t xml:space="preserve">C = Service Type Factor </w:t>
      </w:r>
      <w:r w:rsidRPr="00610AD5">
        <w:rPr>
          <w:szCs w:val="19"/>
        </w:rPr>
        <w:t xml:space="preserve">as follows: </w:t>
      </w:r>
    </w:p>
    <w:p w:rsidR="00610AD5" w:rsidRPr="00610AD5" w:rsidRDefault="00610AD5" w:rsidP="00610AD5">
      <w:pPr>
        <w:rPr>
          <w:szCs w:val="19"/>
        </w:rPr>
      </w:pPr>
    </w:p>
    <w:p w:rsidR="00610AD5" w:rsidRPr="00610AD5" w:rsidRDefault="00610AD5" w:rsidP="00610AD5">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textAlignment w:val="auto"/>
        <w:rPr>
          <w:b/>
          <w:lang w:val="en-US"/>
        </w:rPr>
      </w:pPr>
      <w:bookmarkStart w:id="326" w:name="_Toc195057726"/>
      <w:r w:rsidRPr="00610AD5">
        <w:rPr>
          <w:b/>
          <w:lang w:val="en-US"/>
        </w:rPr>
        <w:t xml:space="preserve">Table </w:t>
      </w:r>
      <w:r w:rsidR="005D1F2F" w:rsidRPr="00610AD5">
        <w:rPr>
          <w:b/>
          <w:lang w:val="en-US"/>
        </w:rPr>
        <w:fldChar w:fldCharType="begin"/>
      </w:r>
      <w:r w:rsidRPr="00610AD5">
        <w:rPr>
          <w:b/>
          <w:lang w:val="en-US"/>
        </w:rPr>
        <w:instrText xml:space="preserve"> SEQ Figure \* ARABIC </w:instrText>
      </w:r>
      <w:r w:rsidR="005D1F2F" w:rsidRPr="00610AD5">
        <w:rPr>
          <w:b/>
          <w:lang w:val="en-US"/>
        </w:rPr>
        <w:fldChar w:fldCharType="separate"/>
      </w:r>
      <w:r w:rsidR="00F43450">
        <w:rPr>
          <w:b/>
          <w:noProof/>
          <w:lang w:val="en-US"/>
        </w:rPr>
        <w:t>1</w:t>
      </w:r>
      <w:r w:rsidR="005D1F2F" w:rsidRPr="00610AD5">
        <w:rPr>
          <w:b/>
          <w:lang w:val="en-US"/>
        </w:rPr>
        <w:fldChar w:fldCharType="end"/>
      </w:r>
      <w:r w:rsidRPr="00610AD5">
        <w:rPr>
          <w:b/>
          <w:lang w:val="en-US"/>
        </w:rPr>
        <w:t xml:space="preserve"> – Definition of Service Type Factors (C) for </w:t>
      </w:r>
      <w:bookmarkEnd w:id="326"/>
      <w:r w:rsidRPr="00610AD5">
        <w:rPr>
          <w:b/>
          <w:lang w:val="en-US"/>
        </w:rPr>
        <w:t>Sound Broadcasting Services</w:t>
      </w:r>
    </w:p>
    <w:p w:rsidR="00610AD5" w:rsidRPr="00610AD5" w:rsidRDefault="00610AD5" w:rsidP="00324665">
      <w:pPr>
        <w:pStyle w:val="FigureTitle"/>
      </w:pPr>
    </w:p>
    <w:tbl>
      <w:tblPr>
        <w:tblW w:w="0" w:type="auto"/>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2"/>
        <w:gridCol w:w="2496"/>
        <w:gridCol w:w="1620"/>
        <w:gridCol w:w="1829"/>
      </w:tblGrid>
      <w:tr w:rsidR="00610AD5" w:rsidRPr="00610AD5" w:rsidTr="00610AD5">
        <w:trPr>
          <w:trHeight w:val="397"/>
          <w:jc w:val="center"/>
        </w:trPr>
        <w:tc>
          <w:tcPr>
            <w:tcW w:w="7517" w:type="dxa"/>
            <w:gridSpan w:val="4"/>
            <w:tcBorders>
              <w:bottom w:val="single" w:sz="4" w:space="0" w:color="auto"/>
            </w:tcBorders>
            <w:shd w:val="clear" w:color="auto" w:fill="E6E6E6"/>
            <w:vAlign w:val="center"/>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rPr>
            </w:pPr>
            <w:r w:rsidRPr="00610AD5">
              <w:rPr>
                <w:rFonts w:asciiTheme="majorBidi" w:hAnsiTheme="majorBidi" w:cstheme="majorBidi"/>
                <w:b/>
                <w:szCs w:val="22"/>
              </w:rPr>
              <w:t>Sound Broadcasting Service</w:t>
            </w:r>
          </w:p>
        </w:tc>
      </w:tr>
      <w:tr w:rsidR="00610AD5" w:rsidRPr="00610AD5" w:rsidTr="00610AD5">
        <w:trPr>
          <w:trHeight w:val="397"/>
          <w:jc w:val="center"/>
        </w:trPr>
        <w:tc>
          <w:tcPr>
            <w:tcW w:w="1572" w:type="dxa"/>
            <w:shd w:val="clear" w:color="auto" w:fill="E6E6E6"/>
            <w:vAlign w:val="center"/>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rPr>
            </w:pPr>
            <w:r w:rsidRPr="00610AD5">
              <w:rPr>
                <w:rFonts w:asciiTheme="majorBidi" w:hAnsiTheme="majorBidi" w:cstheme="majorBidi"/>
                <w:b/>
                <w:szCs w:val="22"/>
              </w:rPr>
              <w:t>Service Type</w:t>
            </w:r>
          </w:p>
        </w:tc>
        <w:tc>
          <w:tcPr>
            <w:tcW w:w="2496" w:type="dxa"/>
            <w:shd w:val="clear" w:color="auto" w:fill="E6E6E6"/>
            <w:vAlign w:val="center"/>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rPr>
            </w:pPr>
            <w:r w:rsidRPr="00610AD5">
              <w:rPr>
                <w:rFonts w:asciiTheme="majorBidi" w:hAnsiTheme="majorBidi" w:cstheme="majorBidi"/>
                <w:b/>
                <w:szCs w:val="22"/>
              </w:rPr>
              <w:t>Frequency Range</w:t>
            </w:r>
          </w:p>
        </w:tc>
        <w:tc>
          <w:tcPr>
            <w:tcW w:w="1620" w:type="dxa"/>
            <w:shd w:val="clear" w:color="auto" w:fill="E6E6E6"/>
            <w:vAlign w:val="center"/>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rPr>
            </w:pPr>
            <w:r w:rsidRPr="00610AD5">
              <w:rPr>
                <w:rFonts w:asciiTheme="majorBidi" w:hAnsiTheme="majorBidi" w:cstheme="majorBidi"/>
                <w:b/>
                <w:szCs w:val="22"/>
              </w:rPr>
              <w:t>Bandwidth</w:t>
            </w:r>
          </w:p>
        </w:tc>
        <w:tc>
          <w:tcPr>
            <w:tcW w:w="1829" w:type="dxa"/>
            <w:shd w:val="clear" w:color="auto" w:fill="E6E6E6"/>
            <w:vAlign w:val="center"/>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rPr>
            </w:pPr>
            <w:r w:rsidRPr="00610AD5">
              <w:rPr>
                <w:rFonts w:asciiTheme="majorBidi" w:hAnsiTheme="majorBidi" w:cstheme="majorBidi"/>
                <w:b/>
                <w:szCs w:val="22"/>
              </w:rPr>
              <w:t>Service Type Factor (C)</w:t>
            </w:r>
          </w:p>
        </w:tc>
      </w:tr>
      <w:tr w:rsidR="00610AD5" w:rsidRPr="00610AD5" w:rsidTr="00610AD5">
        <w:trPr>
          <w:trHeight w:val="368"/>
          <w:jc w:val="center"/>
        </w:trPr>
        <w:tc>
          <w:tcPr>
            <w:tcW w:w="1572" w:type="dxa"/>
            <w:vMerge w:val="restart"/>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rPr>
              <w:br/>
              <w:t>LF/MF</w:t>
            </w:r>
          </w:p>
        </w:tc>
        <w:tc>
          <w:tcPr>
            <w:tcW w:w="2496" w:type="dxa"/>
            <w:shd w:val="clear" w:color="auto" w:fill="auto"/>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rPr>
              <w:t>148.5 – 283.5 kHz</w:t>
            </w:r>
          </w:p>
        </w:tc>
        <w:tc>
          <w:tcPr>
            <w:tcW w:w="1620" w:type="dxa"/>
            <w:shd w:val="clear" w:color="auto" w:fill="auto"/>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rPr>
              <w:t>9 kHz</w:t>
            </w:r>
          </w:p>
        </w:tc>
        <w:tc>
          <w:tcPr>
            <w:tcW w:w="1829" w:type="dxa"/>
            <w:vMerge w:val="restart"/>
            <w:vAlign w:val="center"/>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rPr>
              <w:t>8</w:t>
            </w:r>
          </w:p>
        </w:tc>
      </w:tr>
      <w:tr w:rsidR="00610AD5" w:rsidRPr="00610AD5" w:rsidTr="00610AD5">
        <w:trPr>
          <w:jc w:val="center"/>
        </w:trPr>
        <w:tc>
          <w:tcPr>
            <w:tcW w:w="1572" w:type="dxa"/>
            <w:vMerge/>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p>
        </w:tc>
        <w:tc>
          <w:tcPr>
            <w:tcW w:w="2496" w:type="dxa"/>
            <w:shd w:val="clear" w:color="auto" w:fill="auto"/>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rPr>
              <w:t>526.5 – 1,606.5 kHz</w:t>
            </w:r>
          </w:p>
        </w:tc>
        <w:tc>
          <w:tcPr>
            <w:tcW w:w="1620" w:type="dxa"/>
            <w:shd w:val="clear" w:color="auto" w:fill="auto"/>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rPr>
              <w:t>9 kHz</w:t>
            </w:r>
          </w:p>
        </w:tc>
        <w:tc>
          <w:tcPr>
            <w:tcW w:w="1829" w:type="dxa"/>
            <w:vMerge/>
            <w:vAlign w:val="center"/>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p>
        </w:tc>
      </w:tr>
      <w:tr w:rsidR="00610AD5" w:rsidRPr="00610AD5" w:rsidTr="00610AD5">
        <w:trPr>
          <w:trHeight w:val="233"/>
          <w:jc w:val="center"/>
        </w:trPr>
        <w:tc>
          <w:tcPr>
            <w:tcW w:w="1572" w:type="dxa"/>
            <w:vMerge w:val="restart"/>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rPr>
              <w:br/>
              <w:t>VHF</w:t>
            </w:r>
          </w:p>
        </w:tc>
        <w:tc>
          <w:tcPr>
            <w:tcW w:w="2496" w:type="dxa"/>
            <w:shd w:val="clear" w:color="auto" w:fill="auto"/>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rPr>
              <w:t>87.5 – 108 MHz</w:t>
            </w:r>
          </w:p>
        </w:tc>
        <w:tc>
          <w:tcPr>
            <w:tcW w:w="1620" w:type="dxa"/>
            <w:shd w:val="clear" w:color="auto" w:fill="auto"/>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rPr>
              <w:t>200 kHz</w:t>
            </w:r>
          </w:p>
        </w:tc>
        <w:tc>
          <w:tcPr>
            <w:tcW w:w="1829" w:type="dxa"/>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rPr>
              <w:t>16</w:t>
            </w:r>
          </w:p>
        </w:tc>
      </w:tr>
      <w:tr w:rsidR="00610AD5" w:rsidRPr="00610AD5" w:rsidTr="00610AD5">
        <w:trPr>
          <w:trHeight w:val="305"/>
          <w:jc w:val="center"/>
        </w:trPr>
        <w:tc>
          <w:tcPr>
            <w:tcW w:w="1572" w:type="dxa"/>
            <w:vMerge/>
          </w:tcPr>
          <w:p w:rsidR="00610AD5" w:rsidRPr="00610AD5" w:rsidDel="00192A8E"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Verdana" w:hAnsi="Verdana"/>
                <w:sz w:val="19"/>
                <w:szCs w:val="19"/>
              </w:rPr>
            </w:pPr>
          </w:p>
        </w:tc>
        <w:tc>
          <w:tcPr>
            <w:tcW w:w="2496" w:type="dxa"/>
            <w:shd w:val="clear" w:color="auto" w:fill="auto"/>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rPr>
              <w:t>174 – 230 MHz</w:t>
            </w:r>
          </w:p>
        </w:tc>
        <w:tc>
          <w:tcPr>
            <w:tcW w:w="1620" w:type="dxa"/>
            <w:shd w:val="clear" w:color="auto" w:fill="auto"/>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rPr>
              <w:t>1.536 MHz</w:t>
            </w:r>
          </w:p>
        </w:tc>
        <w:tc>
          <w:tcPr>
            <w:tcW w:w="1829" w:type="dxa"/>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rPr>
              <w:t>18</w:t>
            </w:r>
          </w:p>
        </w:tc>
      </w:tr>
    </w:tbl>
    <w:p w:rsidR="00610AD5" w:rsidRPr="00610AD5" w:rsidRDefault="00610AD5" w:rsidP="00BC495B">
      <w:pPr>
        <w:pStyle w:val="FigureSource"/>
      </w:pPr>
    </w:p>
    <w:p w:rsidR="00610AD5" w:rsidRPr="00610AD5" w:rsidRDefault="00610AD5" w:rsidP="00610AD5"/>
    <w:p w:rsidR="00610AD5" w:rsidRPr="00610AD5" w:rsidRDefault="00610AD5" w:rsidP="00610AD5">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textAlignment w:val="auto"/>
        <w:rPr>
          <w:b/>
          <w:lang w:val="en-US"/>
        </w:rPr>
      </w:pPr>
      <w:r w:rsidRPr="00610AD5">
        <w:rPr>
          <w:b/>
          <w:lang w:val="en-US"/>
        </w:rPr>
        <w:t xml:space="preserve">Table </w:t>
      </w:r>
      <w:r w:rsidR="005D1F2F" w:rsidRPr="00610AD5">
        <w:rPr>
          <w:b/>
          <w:lang w:val="en-US"/>
        </w:rPr>
        <w:fldChar w:fldCharType="begin"/>
      </w:r>
      <w:r w:rsidRPr="00610AD5">
        <w:rPr>
          <w:b/>
          <w:lang w:val="en-US"/>
        </w:rPr>
        <w:instrText xml:space="preserve"> SEQ Figure \* ARABIC </w:instrText>
      </w:r>
      <w:r w:rsidR="005D1F2F" w:rsidRPr="00610AD5">
        <w:rPr>
          <w:b/>
          <w:lang w:val="en-US"/>
        </w:rPr>
        <w:fldChar w:fldCharType="separate"/>
      </w:r>
      <w:r w:rsidR="00F43450">
        <w:rPr>
          <w:b/>
          <w:noProof/>
          <w:lang w:val="en-US"/>
        </w:rPr>
        <w:t>2</w:t>
      </w:r>
      <w:r w:rsidR="005D1F2F" w:rsidRPr="00610AD5">
        <w:rPr>
          <w:b/>
          <w:lang w:val="en-US"/>
        </w:rPr>
        <w:fldChar w:fldCharType="end"/>
      </w:r>
      <w:r w:rsidRPr="00610AD5">
        <w:rPr>
          <w:b/>
          <w:lang w:val="en-US"/>
        </w:rPr>
        <w:t xml:space="preserve"> – Definition of Service Type Factors (C) for TV Broadcasting Services</w:t>
      </w:r>
    </w:p>
    <w:p w:rsidR="00610AD5" w:rsidRPr="00610AD5" w:rsidRDefault="00610AD5" w:rsidP="00324665">
      <w:pPr>
        <w:pStyle w:val="FigureTitle"/>
      </w:pPr>
    </w:p>
    <w:tbl>
      <w:tblPr>
        <w:tblW w:w="0" w:type="auto"/>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9"/>
        <w:gridCol w:w="2568"/>
        <w:gridCol w:w="1443"/>
        <w:gridCol w:w="2117"/>
      </w:tblGrid>
      <w:tr w:rsidR="00610AD5" w:rsidRPr="00610AD5" w:rsidTr="00610AD5">
        <w:trPr>
          <w:trHeight w:val="397"/>
          <w:jc w:val="center"/>
        </w:trPr>
        <w:tc>
          <w:tcPr>
            <w:tcW w:w="7577" w:type="dxa"/>
            <w:gridSpan w:val="4"/>
            <w:tcBorders>
              <w:bottom w:val="single" w:sz="4" w:space="0" w:color="auto"/>
            </w:tcBorders>
            <w:shd w:val="clear" w:color="auto" w:fill="E6E6E6"/>
            <w:vAlign w:val="center"/>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rPr>
            </w:pPr>
            <w:r w:rsidRPr="00610AD5">
              <w:rPr>
                <w:rFonts w:asciiTheme="majorBidi" w:hAnsiTheme="majorBidi" w:cstheme="majorBidi"/>
                <w:b/>
                <w:szCs w:val="22"/>
              </w:rPr>
              <w:t>TV Broadcasting Service</w:t>
            </w:r>
          </w:p>
        </w:tc>
      </w:tr>
      <w:tr w:rsidR="00610AD5" w:rsidRPr="00610AD5" w:rsidTr="00610AD5">
        <w:trPr>
          <w:trHeight w:val="397"/>
          <w:jc w:val="center"/>
        </w:trPr>
        <w:tc>
          <w:tcPr>
            <w:tcW w:w="1449" w:type="dxa"/>
            <w:shd w:val="clear" w:color="auto" w:fill="E6E6E6"/>
            <w:vAlign w:val="center"/>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rPr>
            </w:pPr>
            <w:r w:rsidRPr="00610AD5">
              <w:rPr>
                <w:rFonts w:asciiTheme="majorBidi" w:hAnsiTheme="majorBidi" w:cstheme="majorBidi"/>
                <w:b/>
                <w:szCs w:val="22"/>
              </w:rPr>
              <w:t>Service Type</w:t>
            </w:r>
          </w:p>
        </w:tc>
        <w:tc>
          <w:tcPr>
            <w:tcW w:w="2568" w:type="dxa"/>
            <w:shd w:val="clear" w:color="auto" w:fill="E6E6E6"/>
            <w:vAlign w:val="center"/>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rPr>
            </w:pPr>
            <w:r w:rsidRPr="00610AD5">
              <w:rPr>
                <w:rFonts w:asciiTheme="majorBidi" w:hAnsiTheme="majorBidi" w:cstheme="majorBidi"/>
                <w:b/>
                <w:szCs w:val="22"/>
              </w:rPr>
              <w:t>Frequency Range</w:t>
            </w:r>
          </w:p>
        </w:tc>
        <w:tc>
          <w:tcPr>
            <w:tcW w:w="1443" w:type="dxa"/>
            <w:shd w:val="clear" w:color="auto" w:fill="E6E6E6"/>
            <w:vAlign w:val="center"/>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rPr>
            </w:pPr>
            <w:r w:rsidRPr="00610AD5">
              <w:rPr>
                <w:rFonts w:asciiTheme="majorBidi" w:hAnsiTheme="majorBidi" w:cstheme="majorBidi"/>
                <w:b/>
                <w:szCs w:val="22"/>
              </w:rPr>
              <w:t>Bandwidth</w:t>
            </w:r>
          </w:p>
        </w:tc>
        <w:tc>
          <w:tcPr>
            <w:tcW w:w="2117" w:type="dxa"/>
            <w:shd w:val="clear" w:color="auto" w:fill="E6E6E6"/>
            <w:vAlign w:val="center"/>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rPr>
            </w:pPr>
            <w:r w:rsidRPr="00610AD5">
              <w:rPr>
                <w:rFonts w:asciiTheme="majorBidi" w:hAnsiTheme="majorBidi" w:cstheme="majorBidi"/>
                <w:b/>
                <w:szCs w:val="22"/>
              </w:rPr>
              <w:t>Service Type Factor (C)</w:t>
            </w:r>
          </w:p>
        </w:tc>
      </w:tr>
      <w:tr w:rsidR="00610AD5" w:rsidRPr="00610AD5" w:rsidTr="00610AD5">
        <w:trPr>
          <w:jc w:val="center"/>
        </w:trPr>
        <w:tc>
          <w:tcPr>
            <w:tcW w:w="1449" w:type="dxa"/>
            <w:vMerge w:val="restart"/>
            <w:shd w:val="clear" w:color="auto" w:fill="auto"/>
            <w:vAlign w:val="center"/>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rPr>
              <w:t>VHF</w:t>
            </w:r>
          </w:p>
        </w:tc>
        <w:tc>
          <w:tcPr>
            <w:tcW w:w="2568" w:type="dxa"/>
            <w:shd w:val="clear" w:color="auto" w:fill="auto"/>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rPr>
              <w:t>47 – 68 MHz</w:t>
            </w:r>
          </w:p>
        </w:tc>
        <w:tc>
          <w:tcPr>
            <w:tcW w:w="1443" w:type="dxa"/>
            <w:vMerge w:val="restart"/>
            <w:shd w:val="clear" w:color="auto" w:fill="auto"/>
            <w:vAlign w:val="center"/>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rPr>
              <w:t>7 MHz</w:t>
            </w:r>
          </w:p>
        </w:tc>
        <w:tc>
          <w:tcPr>
            <w:tcW w:w="2117" w:type="dxa"/>
            <w:vMerge w:val="restart"/>
            <w:vAlign w:val="center"/>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rPr>
              <w:t>24</w:t>
            </w:r>
          </w:p>
        </w:tc>
      </w:tr>
      <w:tr w:rsidR="00610AD5" w:rsidRPr="00610AD5" w:rsidTr="00610AD5">
        <w:trPr>
          <w:trHeight w:val="377"/>
          <w:jc w:val="center"/>
        </w:trPr>
        <w:tc>
          <w:tcPr>
            <w:tcW w:w="1449" w:type="dxa"/>
            <w:vMerge/>
            <w:shd w:val="clear" w:color="auto" w:fill="auto"/>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p>
        </w:tc>
        <w:tc>
          <w:tcPr>
            <w:tcW w:w="2568" w:type="dxa"/>
            <w:shd w:val="clear" w:color="auto" w:fill="auto"/>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rPr>
              <w:t>174 – 230 MHz</w:t>
            </w:r>
          </w:p>
        </w:tc>
        <w:tc>
          <w:tcPr>
            <w:tcW w:w="1443" w:type="dxa"/>
            <w:vMerge/>
            <w:shd w:val="clear" w:color="auto" w:fill="auto"/>
            <w:vAlign w:val="center"/>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p>
        </w:tc>
        <w:tc>
          <w:tcPr>
            <w:tcW w:w="2117" w:type="dxa"/>
            <w:vMerge/>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p>
        </w:tc>
      </w:tr>
      <w:tr w:rsidR="00610AD5" w:rsidRPr="00610AD5" w:rsidTr="00610AD5">
        <w:trPr>
          <w:trHeight w:val="485"/>
          <w:jc w:val="center"/>
        </w:trPr>
        <w:tc>
          <w:tcPr>
            <w:tcW w:w="1449" w:type="dxa"/>
            <w:shd w:val="clear" w:color="auto" w:fill="auto"/>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rPr>
              <w:t>UHF</w:t>
            </w:r>
          </w:p>
        </w:tc>
        <w:tc>
          <w:tcPr>
            <w:tcW w:w="2568" w:type="dxa"/>
            <w:shd w:val="clear" w:color="auto" w:fill="auto"/>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rPr>
              <w:t>470 – 862 MHz</w:t>
            </w:r>
          </w:p>
        </w:tc>
        <w:tc>
          <w:tcPr>
            <w:tcW w:w="1443" w:type="dxa"/>
            <w:shd w:val="clear" w:color="auto" w:fill="auto"/>
            <w:vAlign w:val="center"/>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rPr>
              <w:t>8 MHz</w:t>
            </w:r>
          </w:p>
        </w:tc>
        <w:tc>
          <w:tcPr>
            <w:tcW w:w="2117" w:type="dxa"/>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rPr>
              <w:t>36</w:t>
            </w:r>
          </w:p>
        </w:tc>
      </w:tr>
    </w:tbl>
    <w:p w:rsidR="00610AD5" w:rsidRPr="00610AD5" w:rsidRDefault="00610AD5" w:rsidP="008347A9">
      <w:pPr>
        <w:pStyle w:val="FigureSource"/>
      </w:pPr>
    </w:p>
    <w:p w:rsidR="00610AD5" w:rsidRPr="00610AD5" w:rsidRDefault="00610AD5" w:rsidP="00610AD5">
      <w:pPr>
        <w:tabs>
          <w:tab w:val="clear" w:pos="794"/>
          <w:tab w:val="clear" w:pos="1191"/>
          <w:tab w:val="clear" w:pos="1588"/>
          <w:tab w:val="clear" w:pos="1985"/>
        </w:tabs>
        <w:overflowPunct/>
        <w:autoSpaceDE/>
        <w:autoSpaceDN/>
        <w:adjustRightInd/>
        <w:spacing w:before="0"/>
        <w:jc w:val="left"/>
        <w:textAlignment w:val="auto"/>
        <w:rPr>
          <w:b/>
          <w:szCs w:val="19"/>
        </w:rPr>
      </w:pPr>
      <w:r w:rsidRPr="00610AD5">
        <w:rPr>
          <w:b/>
          <w:szCs w:val="19"/>
        </w:rPr>
        <w:br w:type="page"/>
      </w:r>
    </w:p>
    <w:p w:rsidR="00610AD5" w:rsidRPr="00610AD5" w:rsidRDefault="00610AD5" w:rsidP="00610AD5">
      <w:pPr>
        <w:ind w:left="1599" w:hanging="159"/>
        <w:rPr>
          <w:szCs w:val="19"/>
        </w:rPr>
      </w:pPr>
      <w:r w:rsidRPr="00610AD5">
        <w:rPr>
          <w:b/>
          <w:szCs w:val="19"/>
        </w:rPr>
        <w:lastRenderedPageBreak/>
        <w:t>D = Service Zone Factor as follows:</w:t>
      </w:r>
    </w:p>
    <w:p w:rsidR="00610AD5" w:rsidRPr="00610AD5" w:rsidRDefault="00610AD5" w:rsidP="00610AD5">
      <w:pPr>
        <w:rPr>
          <w:sz w:val="2"/>
        </w:rPr>
      </w:pPr>
    </w:p>
    <w:p w:rsidR="00610AD5" w:rsidRPr="00610AD5" w:rsidRDefault="00610AD5" w:rsidP="00610AD5">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textAlignment w:val="auto"/>
        <w:rPr>
          <w:b/>
          <w:lang w:val="en-US"/>
        </w:rPr>
      </w:pPr>
      <w:bookmarkStart w:id="327" w:name="_Toc195057730"/>
      <w:r w:rsidRPr="00610AD5">
        <w:rPr>
          <w:b/>
          <w:lang w:val="en-US"/>
        </w:rPr>
        <w:t xml:space="preserve">Table </w:t>
      </w:r>
      <w:r w:rsidR="005D1F2F" w:rsidRPr="00610AD5">
        <w:rPr>
          <w:b/>
          <w:lang w:val="en-US"/>
        </w:rPr>
        <w:fldChar w:fldCharType="begin"/>
      </w:r>
      <w:r w:rsidRPr="00610AD5">
        <w:rPr>
          <w:b/>
          <w:lang w:val="en-US"/>
        </w:rPr>
        <w:instrText xml:space="preserve"> SEQ Figure \* ARABIC </w:instrText>
      </w:r>
      <w:r w:rsidR="005D1F2F" w:rsidRPr="00610AD5">
        <w:rPr>
          <w:b/>
          <w:lang w:val="en-US"/>
        </w:rPr>
        <w:fldChar w:fldCharType="separate"/>
      </w:r>
      <w:r w:rsidR="00F43450">
        <w:rPr>
          <w:b/>
          <w:noProof/>
          <w:lang w:val="en-US"/>
        </w:rPr>
        <w:t>3</w:t>
      </w:r>
      <w:r w:rsidR="005D1F2F" w:rsidRPr="00610AD5">
        <w:rPr>
          <w:b/>
          <w:lang w:val="en-US"/>
        </w:rPr>
        <w:fldChar w:fldCharType="end"/>
      </w:r>
      <w:r w:rsidRPr="00610AD5">
        <w:rPr>
          <w:b/>
          <w:lang w:val="en-US"/>
        </w:rPr>
        <w:t xml:space="preserve"> – Definition of Service Zones Factors (D)</w:t>
      </w:r>
      <w:bookmarkEnd w:id="327"/>
    </w:p>
    <w:p w:rsidR="00610AD5" w:rsidRPr="00610AD5" w:rsidRDefault="00610AD5" w:rsidP="00324665">
      <w:pPr>
        <w:pStyle w:val="FigureTitle"/>
      </w:pPr>
    </w:p>
    <w:tbl>
      <w:tblPr>
        <w:tblW w:w="0" w:type="auto"/>
        <w:tblInd w:w="1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3"/>
        <w:gridCol w:w="2807"/>
        <w:gridCol w:w="2628"/>
      </w:tblGrid>
      <w:tr w:rsidR="00610AD5" w:rsidRPr="00610AD5" w:rsidTr="00610AD5">
        <w:trPr>
          <w:trHeight w:val="680"/>
        </w:trPr>
        <w:tc>
          <w:tcPr>
            <w:tcW w:w="1713" w:type="dxa"/>
            <w:shd w:val="clear" w:color="auto" w:fill="E6E6E6"/>
            <w:vAlign w:val="center"/>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rPr>
            </w:pPr>
            <w:r w:rsidRPr="00610AD5">
              <w:rPr>
                <w:rFonts w:asciiTheme="majorBidi" w:hAnsiTheme="majorBidi" w:cstheme="majorBidi"/>
                <w:b/>
                <w:szCs w:val="22"/>
              </w:rPr>
              <w:t>Service Zone Factor (D)</w:t>
            </w:r>
          </w:p>
        </w:tc>
        <w:tc>
          <w:tcPr>
            <w:tcW w:w="2807" w:type="dxa"/>
            <w:shd w:val="clear" w:color="auto" w:fill="E6E6E6"/>
            <w:vAlign w:val="center"/>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rPr>
            </w:pPr>
            <w:r w:rsidRPr="00610AD5">
              <w:rPr>
                <w:rFonts w:asciiTheme="majorBidi" w:hAnsiTheme="majorBidi" w:cstheme="majorBidi"/>
                <w:b/>
                <w:szCs w:val="22"/>
              </w:rPr>
              <w:t>Service Zone</w:t>
            </w:r>
          </w:p>
        </w:tc>
        <w:tc>
          <w:tcPr>
            <w:tcW w:w="2628" w:type="dxa"/>
            <w:shd w:val="clear" w:color="auto" w:fill="E6E6E6"/>
            <w:vAlign w:val="center"/>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rPr>
            </w:pPr>
            <w:r w:rsidRPr="00610AD5">
              <w:rPr>
                <w:rFonts w:asciiTheme="majorBidi" w:hAnsiTheme="majorBidi" w:cstheme="majorBidi"/>
                <w:b/>
                <w:szCs w:val="22"/>
              </w:rPr>
              <w:t>Polygon Corners</w:t>
            </w:r>
          </w:p>
        </w:tc>
      </w:tr>
      <w:tr w:rsidR="00610AD5" w:rsidRPr="00610AD5" w:rsidTr="00610AD5">
        <w:trPr>
          <w:trHeight w:val="1142"/>
        </w:trPr>
        <w:tc>
          <w:tcPr>
            <w:tcW w:w="1713" w:type="dxa"/>
            <w:vMerge w:val="restart"/>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b/>
                <w:bCs/>
                <w:szCs w:val="22"/>
                <w:lang w:eastAsia="de-DE"/>
              </w:rPr>
            </w:pPr>
            <w:r w:rsidRPr="00610AD5">
              <w:rPr>
                <w:rFonts w:asciiTheme="majorBidi" w:hAnsiTheme="majorBidi" w:cstheme="majorBidi"/>
                <w:b/>
                <w:bCs/>
                <w:szCs w:val="22"/>
                <w:lang w:eastAsia="de-DE"/>
              </w:rPr>
              <w:t>1.00 (high)</w:t>
            </w:r>
          </w:p>
        </w:tc>
        <w:tc>
          <w:tcPr>
            <w:tcW w:w="2807" w:type="dxa"/>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eastAsia="de-DE"/>
              </w:rPr>
            </w:pPr>
            <w:r w:rsidRPr="00610AD5">
              <w:rPr>
                <w:rFonts w:asciiTheme="majorBidi" w:hAnsiTheme="majorBidi" w:cstheme="majorBidi"/>
                <w:szCs w:val="22"/>
                <w:lang w:eastAsia="de-DE"/>
              </w:rPr>
              <w:t>City and environs of Abu Dhabi</w:t>
            </w:r>
          </w:p>
        </w:tc>
        <w:tc>
          <w:tcPr>
            <w:tcW w:w="2628" w:type="dxa"/>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pt-BR"/>
              </w:rPr>
            </w:pPr>
            <w:r w:rsidRPr="00610AD5">
              <w:rPr>
                <w:rFonts w:asciiTheme="majorBidi" w:hAnsiTheme="majorBidi" w:cstheme="majorBidi"/>
                <w:szCs w:val="22"/>
                <w:lang w:val="pt-BR"/>
              </w:rPr>
              <w:t>54° 30’ E – 24° 45’ N</w:t>
            </w:r>
          </w:p>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pt-BR"/>
              </w:rPr>
            </w:pPr>
            <w:r w:rsidRPr="00610AD5">
              <w:rPr>
                <w:rFonts w:asciiTheme="majorBidi" w:hAnsiTheme="majorBidi" w:cstheme="majorBidi"/>
                <w:szCs w:val="22"/>
                <w:lang w:val="pt-BR"/>
              </w:rPr>
              <w:t>55° 00’ E – 24° 45’ N</w:t>
            </w:r>
          </w:p>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pt-BR"/>
              </w:rPr>
            </w:pPr>
            <w:r w:rsidRPr="00610AD5">
              <w:rPr>
                <w:rFonts w:asciiTheme="majorBidi" w:hAnsiTheme="majorBidi" w:cstheme="majorBidi"/>
                <w:szCs w:val="22"/>
                <w:lang w:val="pt-BR"/>
              </w:rPr>
              <w:t>55° 00’ E – 24° 05’ N</w:t>
            </w:r>
          </w:p>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rPr>
            </w:pPr>
            <w:r w:rsidRPr="00610AD5">
              <w:rPr>
                <w:rFonts w:asciiTheme="majorBidi" w:hAnsiTheme="majorBidi" w:cstheme="majorBidi"/>
                <w:szCs w:val="22"/>
              </w:rPr>
              <w:t>54° 00’ E – 24° 20’ N</w:t>
            </w:r>
          </w:p>
        </w:tc>
      </w:tr>
      <w:tr w:rsidR="00610AD5" w:rsidRPr="00610AD5" w:rsidTr="00610AD5">
        <w:trPr>
          <w:trHeight w:val="1250"/>
        </w:trPr>
        <w:tc>
          <w:tcPr>
            <w:tcW w:w="1713" w:type="dxa"/>
            <w:vMerge/>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rPr>
            </w:pPr>
          </w:p>
        </w:tc>
        <w:tc>
          <w:tcPr>
            <w:tcW w:w="2807" w:type="dxa"/>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rPr>
            </w:pPr>
            <w:r w:rsidRPr="00610AD5">
              <w:rPr>
                <w:rFonts w:asciiTheme="majorBidi" w:hAnsiTheme="majorBidi" w:cstheme="majorBidi"/>
                <w:szCs w:val="22"/>
              </w:rPr>
              <w:t>Cities and environs of Dubai, Sharjah, Ajman and Umm Al Qaiwain</w:t>
            </w:r>
          </w:p>
        </w:tc>
        <w:tc>
          <w:tcPr>
            <w:tcW w:w="2628" w:type="dxa"/>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pt-BR"/>
              </w:rPr>
            </w:pPr>
            <w:r w:rsidRPr="00610AD5">
              <w:rPr>
                <w:rFonts w:asciiTheme="majorBidi" w:hAnsiTheme="majorBidi" w:cstheme="majorBidi"/>
                <w:szCs w:val="22"/>
                <w:lang w:val="pt-BR"/>
              </w:rPr>
              <w:t>55° 30’ E – 25° 40’ N</w:t>
            </w:r>
          </w:p>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pt-BR"/>
              </w:rPr>
            </w:pPr>
            <w:r w:rsidRPr="00610AD5">
              <w:rPr>
                <w:rFonts w:asciiTheme="majorBidi" w:hAnsiTheme="majorBidi" w:cstheme="majorBidi"/>
                <w:szCs w:val="22"/>
                <w:lang w:val="pt-BR"/>
              </w:rPr>
              <w:t>55° 55’ E – 25° 20’ N</w:t>
            </w:r>
          </w:p>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pt-BR"/>
              </w:rPr>
            </w:pPr>
            <w:r w:rsidRPr="00610AD5">
              <w:rPr>
                <w:rFonts w:asciiTheme="majorBidi" w:hAnsiTheme="majorBidi" w:cstheme="majorBidi"/>
                <w:szCs w:val="22"/>
                <w:lang w:val="pt-BR"/>
              </w:rPr>
              <w:t>55° 00’ E – 24° 45’ N</w:t>
            </w:r>
          </w:p>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rPr>
            </w:pPr>
            <w:r w:rsidRPr="00610AD5">
              <w:rPr>
                <w:rFonts w:asciiTheme="majorBidi" w:hAnsiTheme="majorBidi" w:cstheme="majorBidi"/>
                <w:szCs w:val="22"/>
              </w:rPr>
              <w:t>54° 30’ E – 24° 45’ N</w:t>
            </w:r>
          </w:p>
        </w:tc>
      </w:tr>
      <w:tr w:rsidR="00610AD5" w:rsidRPr="00610AD5" w:rsidTr="00610AD5">
        <w:trPr>
          <w:trHeight w:val="1250"/>
        </w:trPr>
        <w:tc>
          <w:tcPr>
            <w:tcW w:w="1713" w:type="dxa"/>
            <w:vMerge/>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pt-BR"/>
              </w:rPr>
            </w:pPr>
          </w:p>
        </w:tc>
        <w:tc>
          <w:tcPr>
            <w:tcW w:w="2807" w:type="dxa"/>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rPr>
            </w:pPr>
            <w:r w:rsidRPr="00610AD5">
              <w:rPr>
                <w:rFonts w:asciiTheme="majorBidi" w:hAnsiTheme="majorBidi" w:cstheme="majorBidi"/>
                <w:szCs w:val="22"/>
                <w:lang w:eastAsia="de-DE"/>
              </w:rPr>
              <w:t>City and environs of Al Ain</w:t>
            </w:r>
          </w:p>
        </w:tc>
        <w:tc>
          <w:tcPr>
            <w:tcW w:w="2628" w:type="dxa"/>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pt-BR"/>
              </w:rPr>
            </w:pPr>
            <w:r w:rsidRPr="00610AD5">
              <w:rPr>
                <w:rFonts w:asciiTheme="majorBidi" w:hAnsiTheme="majorBidi" w:cstheme="majorBidi"/>
                <w:szCs w:val="22"/>
                <w:lang w:val="pt-BR"/>
              </w:rPr>
              <w:t>55° 30’ E – 24° 20’ N</w:t>
            </w:r>
          </w:p>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pt-BR"/>
              </w:rPr>
            </w:pPr>
            <w:r w:rsidRPr="00610AD5">
              <w:rPr>
                <w:rFonts w:asciiTheme="majorBidi" w:hAnsiTheme="majorBidi" w:cstheme="majorBidi"/>
                <w:szCs w:val="22"/>
                <w:lang w:val="pt-BR"/>
              </w:rPr>
              <w:t>55° 50’ E – 24° 20’ N</w:t>
            </w:r>
          </w:p>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pt-BR"/>
              </w:rPr>
            </w:pPr>
            <w:r w:rsidRPr="00610AD5">
              <w:rPr>
                <w:rFonts w:asciiTheme="majorBidi" w:hAnsiTheme="majorBidi" w:cstheme="majorBidi"/>
                <w:szCs w:val="22"/>
                <w:lang w:val="pt-BR"/>
              </w:rPr>
              <w:t>55° 50’ E – 24° 00’ N</w:t>
            </w:r>
          </w:p>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rPr>
            </w:pPr>
            <w:r w:rsidRPr="00610AD5">
              <w:rPr>
                <w:rFonts w:asciiTheme="majorBidi" w:hAnsiTheme="majorBidi" w:cstheme="majorBidi"/>
                <w:szCs w:val="22"/>
              </w:rPr>
              <w:t>55° 30’ E – 24° 00’ N</w:t>
            </w:r>
          </w:p>
        </w:tc>
      </w:tr>
      <w:tr w:rsidR="00610AD5" w:rsidRPr="00610AD5" w:rsidTr="00610AD5">
        <w:trPr>
          <w:trHeight w:val="1250"/>
        </w:trPr>
        <w:tc>
          <w:tcPr>
            <w:tcW w:w="1713" w:type="dxa"/>
            <w:vMerge w:val="restart"/>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b/>
                <w:bCs/>
                <w:szCs w:val="22"/>
              </w:rPr>
            </w:pPr>
            <w:r w:rsidRPr="00610AD5">
              <w:rPr>
                <w:rFonts w:asciiTheme="majorBidi" w:hAnsiTheme="majorBidi" w:cstheme="majorBidi"/>
                <w:b/>
                <w:bCs/>
                <w:szCs w:val="22"/>
              </w:rPr>
              <w:t>0.75(medium)</w:t>
            </w:r>
          </w:p>
        </w:tc>
        <w:tc>
          <w:tcPr>
            <w:tcW w:w="2807" w:type="dxa"/>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rPr>
            </w:pPr>
            <w:r w:rsidRPr="00610AD5">
              <w:rPr>
                <w:rFonts w:asciiTheme="majorBidi" w:hAnsiTheme="majorBidi" w:cstheme="majorBidi"/>
                <w:szCs w:val="22"/>
              </w:rPr>
              <w:t>Area between Abu Dhabi and Al Ain</w:t>
            </w:r>
          </w:p>
        </w:tc>
        <w:tc>
          <w:tcPr>
            <w:tcW w:w="2628" w:type="dxa"/>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pt-BR"/>
              </w:rPr>
            </w:pPr>
            <w:r w:rsidRPr="00610AD5">
              <w:rPr>
                <w:rFonts w:asciiTheme="majorBidi" w:hAnsiTheme="majorBidi" w:cstheme="majorBidi"/>
                <w:szCs w:val="22"/>
                <w:lang w:val="pt-BR"/>
              </w:rPr>
              <w:t>55° 00’ E – 24° 20’ N</w:t>
            </w:r>
          </w:p>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pt-BR"/>
              </w:rPr>
            </w:pPr>
            <w:r w:rsidRPr="00610AD5">
              <w:rPr>
                <w:rFonts w:asciiTheme="majorBidi" w:hAnsiTheme="majorBidi" w:cstheme="majorBidi"/>
                <w:szCs w:val="22"/>
                <w:lang w:val="pt-BR"/>
              </w:rPr>
              <w:t>55° 30’ E – 24° 20’ N</w:t>
            </w:r>
          </w:p>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pt-BR"/>
              </w:rPr>
            </w:pPr>
            <w:r w:rsidRPr="00610AD5">
              <w:rPr>
                <w:rFonts w:asciiTheme="majorBidi" w:hAnsiTheme="majorBidi" w:cstheme="majorBidi"/>
                <w:szCs w:val="22"/>
                <w:lang w:val="pt-BR"/>
              </w:rPr>
              <w:t>55° 30’ E – 24° 00’ N</w:t>
            </w:r>
          </w:p>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rPr>
            </w:pPr>
            <w:r w:rsidRPr="00610AD5">
              <w:rPr>
                <w:rFonts w:asciiTheme="majorBidi" w:hAnsiTheme="majorBidi" w:cstheme="majorBidi"/>
                <w:szCs w:val="22"/>
              </w:rPr>
              <w:t>55° 00’ E – 24° 05’ N</w:t>
            </w:r>
          </w:p>
        </w:tc>
      </w:tr>
      <w:tr w:rsidR="00610AD5" w:rsidRPr="00610AD5" w:rsidTr="00610AD5">
        <w:trPr>
          <w:trHeight w:val="1430"/>
        </w:trPr>
        <w:tc>
          <w:tcPr>
            <w:tcW w:w="1713" w:type="dxa"/>
            <w:vMerge/>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pt-BR"/>
              </w:rPr>
            </w:pPr>
          </w:p>
        </w:tc>
        <w:tc>
          <w:tcPr>
            <w:tcW w:w="2807" w:type="dxa"/>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eastAsia="de-DE"/>
              </w:rPr>
            </w:pPr>
            <w:r w:rsidRPr="00610AD5">
              <w:rPr>
                <w:rFonts w:asciiTheme="majorBidi" w:hAnsiTheme="majorBidi" w:cstheme="majorBidi"/>
                <w:szCs w:val="22"/>
                <w:lang w:eastAsia="de-DE"/>
              </w:rPr>
              <w:t>City and environs of Fujairah</w:t>
            </w:r>
          </w:p>
        </w:tc>
        <w:tc>
          <w:tcPr>
            <w:tcW w:w="2628" w:type="dxa"/>
            <w:vAlign w:val="center"/>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pt-BR"/>
              </w:rPr>
            </w:pPr>
            <w:r w:rsidRPr="00610AD5">
              <w:rPr>
                <w:rFonts w:asciiTheme="majorBidi" w:hAnsiTheme="majorBidi" w:cstheme="majorBidi"/>
                <w:szCs w:val="22"/>
                <w:lang w:val="pt-BR"/>
              </w:rPr>
              <w:t>56° 15’ E – 25° 15’ N</w:t>
            </w:r>
          </w:p>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pt-BR"/>
              </w:rPr>
            </w:pPr>
            <w:r w:rsidRPr="00610AD5">
              <w:rPr>
                <w:rFonts w:asciiTheme="majorBidi" w:hAnsiTheme="majorBidi" w:cstheme="majorBidi"/>
                <w:szCs w:val="22"/>
                <w:lang w:val="pt-BR"/>
              </w:rPr>
              <w:t>56° 25’ E – 25° 15’ N</w:t>
            </w:r>
          </w:p>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pt-BR"/>
              </w:rPr>
            </w:pPr>
            <w:r w:rsidRPr="00610AD5">
              <w:rPr>
                <w:rFonts w:asciiTheme="majorBidi" w:hAnsiTheme="majorBidi" w:cstheme="majorBidi"/>
                <w:szCs w:val="22"/>
                <w:lang w:val="pt-BR"/>
              </w:rPr>
              <w:t>56° 25’ E – 25° 00’ N</w:t>
            </w:r>
          </w:p>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rPr>
            </w:pPr>
            <w:r w:rsidRPr="00610AD5">
              <w:rPr>
                <w:rFonts w:asciiTheme="majorBidi" w:hAnsiTheme="majorBidi" w:cstheme="majorBidi"/>
                <w:szCs w:val="22"/>
              </w:rPr>
              <w:t>56° 15’ E – 25° 00’ N</w:t>
            </w:r>
          </w:p>
        </w:tc>
      </w:tr>
      <w:tr w:rsidR="00610AD5" w:rsidRPr="00610AD5" w:rsidTr="00610AD5">
        <w:trPr>
          <w:trHeight w:val="1250"/>
        </w:trPr>
        <w:tc>
          <w:tcPr>
            <w:tcW w:w="1713" w:type="dxa"/>
            <w:vMerge/>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pt-BR"/>
              </w:rPr>
            </w:pPr>
          </w:p>
        </w:tc>
        <w:tc>
          <w:tcPr>
            <w:tcW w:w="2807" w:type="dxa"/>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eastAsia="de-DE"/>
              </w:rPr>
            </w:pPr>
            <w:r w:rsidRPr="00610AD5">
              <w:rPr>
                <w:rFonts w:asciiTheme="majorBidi" w:hAnsiTheme="majorBidi" w:cstheme="majorBidi"/>
                <w:szCs w:val="22"/>
                <w:lang w:eastAsia="de-DE"/>
              </w:rPr>
              <w:t>City and environs of Ras Al Khaimah</w:t>
            </w:r>
          </w:p>
        </w:tc>
        <w:tc>
          <w:tcPr>
            <w:tcW w:w="2628" w:type="dxa"/>
            <w:vAlign w:val="center"/>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pt-BR" w:eastAsia="de-DE"/>
              </w:rPr>
            </w:pPr>
            <w:r w:rsidRPr="00610AD5">
              <w:rPr>
                <w:rFonts w:asciiTheme="majorBidi" w:hAnsiTheme="majorBidi" w:cstheme="majorBidi"/>
                <w:szCs w:val="22"/>
                <w:lang w:val="pt-BR" w:eastAsia="de-DE"/>
              </w:rPr>
              <w:t>55° 50’ E – 25° 55’ N</w:t>
            </w:r>
          </w:p>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pt-BR" w:eastAsia="de-DE"/>
              </w:rPr>
            </w:pPr>
            <w:r w:rsidRPr="00610AD5">
              <w:rPr>
                <w:rFonts w:asciiTheme="majorBidi" w:hAnsiTheme="majorBidi" w:cstheme="majorBidi"/>
                <w:szCs w:val="22"/>
                <w:lang w:val="pt-BR" w:eastAsia="de-DE"/>
              </w:rPr>
              <w:t>56° 05’ E – 25° 55’ N</w:t>
            </w:r>
          </w:p>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pt-BR" w:eastAsia="de-DE"/>
              </w:rPr>
            </w:pPr>
            <w:r w:rsidRPr="00610AD5">
              <w:rPr>
                <w:rFonts w:asciiTheme="majorBidi" w:hAnsiTheme="majorBidi" w:cstheme="majorBidi"/>
                <w:szCs w:val="22"/>
                <w:lang w:val="pt-BR" w:eastAsia="de-DE"/>
              </w:rPr>
              <w:t>56° 05’ E – 25° 40’ N</w:t>
            </w:r>
          </w:p>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pt-BR" w:eastAsia="de-DE"/>
              </w:rPr>
            </w:pPr>
            <w:r w:rsidRPr="00610AD5">
              <w:rPr>
                <w:rFonts w:asciiTheme="majorBidi" w:hAnsiTheme="majorBidi" w:cstheme="majorBidi"/>
                <w:szCs w:val="22"/>
                <w:lang w:val="pt-BR" w:eastAsia="de-DE"/>
              </w:rPr>
              <w:t>55° 50’ E – 25° 40’ N</w:t>
            </w:r>
          </w:p>
        </w:tc>
      </w:tr>
      <w:tr w:rsidR="00610AD5" w:rsidRPr="00610AD5" w:rsidTr="00610AD5">
        <w:trPr>
          <w:trHeight w:val="1070"/>
        </w:trPr>
        <w:tc>
          <w:tcPr>
            <w:tcW w:w="1713" w:type="dxa"/>
            <w:vMerge/>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pt-BR"/>
              </w:rPr>
            </w:pPr>
          </w:p>
        </w:tc>
        <w:tc>
          <w:tcPr>
            <w:tcW w:w="2807" w:type="dxa"/>
            <w:vAlign w:val="center"/>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eastAsia="de-DE"/>
              </w:rPr>
            </w:pPr>
            <w:r w:rsidRPr="00610AD5">
              <w:rPr>
                <w:rFonts w:asciiTheme="majorBidi" w:hAnsiTheme="majorBidi" w:cstheme="majorBidi"/>
                <w:szCs w:val="22"/>
                <w:lang w:eastAsia="de-DE"/>
              </w:rPr>
              <w:t xml:space="preserve">Area between </w:t>
            </w:r>
            <w:r w:rsidRPr="00610AD5">
              <w:rPr>
                <w:rFonts w:asciiTheme="majorBidi" w:hAnsiTheme="majorBidi" w:cstheme="majorBidi"/>
                <w:szCs w:val="22"/>
              </w:rPr>
              <w:t xml:space="preserve">Umm Al Qaiwain and </w:t>
            </w:r>
            <w:r w:rsidRPr="00610AD5">
              <w:rPr>
                <w:rFonts w:asciiTheme="majorBidi" w:hAnsiTheme="majorBidi" w:cstheme="majorBidi"/>
                <w:szCs w:val="22"/>
                <w:lang w:eastAsia="de-DE"/>
              </w:rPr>
              <w:t>Ras Al Khaimah</w:t>
            </w:r>
          </w:p>
        </w:tc>
        <w:tc>
          <w:tcPr>
            <w:tcW w:w="2628" w:type="dxa"/>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pt-BR"/>
              </w:rPr>
            </w:pPr>
            <w:r w:rsidRPr="00610AD5">
              <w:rPr>
                <w:rFonts w:asciiTheme="majorBidi" w:hAnsiTheme="majorBidi" w:cstheme="majorBidi"/>
                <w:szCs w:val="22"/>
                <w:lang w:val="pt-BR"/>
              </w:rPr>
              <w:t>55° 30’ E – 25° 40’ N</w:t>
            </w:r>
          </w:p>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pt-BR"/>
              </w:rPr>
            </w:pPr>
            <w:r w:rsidRPr="00610AD5">
              <w:rPr>
                <w:rFonts w:asciiTheme="majorBidi" w:hAnsiTheme="majorBidi" w:cstheme="majorBidi"/>
                <w:szCs w:val="22"/>
                <w:lang w:val="pt-BR"/>
              </w:rPr>
              <w:t>56° 05’ E – 25° 40’ N</w:t>
            </w:r>
          </w:p>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pt-BR"/>
              </w:rPr>
            </w:pPr>
            <w:r w:rsidRPr="00610AD5">
              <w:rPr>
                <w:rFonts w:asciiTheme="majorBidi" w:hAnsiTheme="majorBidi" w:cstheme="majorBidi"/>
                <w:szCs w:val="22"/>
                <w:lang w:val="pt-BR"/>
              </w:rPr>
              <w:t>55° 55’ E – 25° 20’ N</w:t>
            </w:r>
          </w:p>
        </w:tc>
      </w:tr>
      <w:tr w:rsidR="00610AD5" w:rsidRPr="00610AD5" w:rsidTr="00610AD5">
        <w:trPr>
          <w:trHeight w:val="350"/>
        </w:trPr>
        <w:tc>
          <w:tcPr>
            <w:tcW w:w="1713" w:type="dxa"/>
            <w:vAlign w:val="center"/>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b/>
                <w:bCs/>
                <w:szCs w:val="22"/>
                <w:lang w:eastAsia="de-DE"/>
              </w:rPr>
            </w:pPr>
            <w:r w:rsidRPr="00610AD5">
              <w:rPr>
                <w:rFonts w:asciiTheme="majorBidi" w:hAnsiTheme="majorBidi" w:cstheme="majorBidi"/>
                <w:b/>
                <w:bCs/>
                <w:szCs w:val="22"/>
                <w:lang w:eastAsia="de-DE"/>
              </w:rPr>
              <w:t>0.50 (low)</w:t>
            </w:r>
          </w:p>
        </w:tc>
        <w:tc>
          <w:tcPr>
            <w:tcW w:w="5435" w:type="dxa"/>
            <w:gridSpan w:val="2"/>
            <w:vAlign w:val="center"/>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eastAsia="de-DE"/>
              </w:rPr>
            </w:pPr>
            <w:r w:rsidRPr="00610AD5">
              <w:rPr>
                <w:rFonts w:asciiTheme="majorBidi" w:hAnsiTheme="majorBidi" w:cstheme="majorBidi"/>
                <w:szCs w:val="22"/>
                <w:lang w:eastAsia="de-DE"/>
              </w:rPr>
              <w:t>All remaining areas</w:t>
            </w:r>
          </w:p>
        </w:tc>
      </w:tr>
    </w:tbl>
    <w:p w:rsidR="00610AD5" w:rsidRPr="00610AD5" w:rsidRDefault="00610AD5" w:rsidP="00C608EC">
      <w:pPr>
        <w:pStyle w:val="FigureSource"/>
        <w:keepNext w:val="0"/>
        <w:ind w:left="567" w:hanging="567"/>
      </w:pPr>
    </w:p>
    <w:p w:rsidR="00610AD5" w:rsidRPr="008347A9" w:rsidRDefault="00610AD5" w:rsidP="008347A9">
      <w:pPr>
        <w:pStyle w:val="FigureTitle"/>
      </w:pPr>
    </w:p>
    <w:p w:rsidR="00610AD5" w:rsidRPr="00610AD5" w:rsidRDefault="00610AD5" w:rsidP="00610AD5">
      <w:pPr>
        <w:ind w:left="1599" w:hanging="902"/>
        <w:jc w:val="center"/>
        <w:rPr>
          <w:szCs w:val="19"/>
        </w:rPr>
      </w:pPr>
      <w:r w:rsidRPr="00610AD5">
        <w:rPr>
          <w:noProof/>
          <w:szCs w:val="19"/>
          <w:lang w:val="en-US" w:eastAsia="zh-CN"/>
        </w:rPr>
        <w:drawing>
          <wp:inline distT="0" distB="0" distL="0" distR="0">
            <wp:extent cx="4933950" cy="4267200"/>
            <wp:effectExtent l="19050" t="0" r="0" b="0"/>
            <wp:docPr id="5" name="Picture 2" descr="UA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E-TRA"/>
                    <pic:cNvPicPr>
                      <a:picLocks noChangeAspect="1" noChangeArrowheads="1"/>
                    </pic:cNvPicPr>
                  </pic:nvPicPr>
                  <pic:blipFill>
                    <a:blip r:embed="rId26" cstate="print"/>
                    <a:srcRect/>
                    <a:stretch>
                      <a:fillRect/>
                    </a:stretch>
                  </pic:blipFill>
                  <pic:spPr bwMode="auto">
                    <a:xfrm>
                      <a:off x="0" y="0"/>
                      <a:ext cx="4933950" cy="4267200"/>
                    </a:xfrm>
                    <a:prstGeom prst="rect">
                      <a:avLst/>
                    </a:prstGeom>
                    <a:noFill/>
                    <a:ln w="9525">
                      <a:noFill/>
                      <a:miter lim="800000"/>
                      <a:headEnd/>
                      <a:tailEnd/>
                    </a:ln>
                  </pic:spPr>
                </pic:pic>
              </a:graphicData>
            </a:graphic>
          </wp:inline>
        </w:drawing>
      </w:r>
    </w:p>
    <w:p w:rsidR="00610AD5" w:rsidRPr="00610AD5" w:rsidRDefault="00610AD5" w:rsidP="00610AD5">
      <w:pPr>
        <w:keepNext/>
        <w:keepLines/>
        <w:spacing w:before="360" w:after="120"/>
        <w:jc w:val="center"/>
        <w:rPr>
          <w:b/>
          <w:sz w:val="19"/>
          <w:szCs w:val="19"/>
        </w:rPr>
      </w:pPr>
      <w:r w:rsidRPr="00610AD5">
        <w:rPr>
          <w:b/>
          <w:sz w:val="19"/>
          <w:szCs w:val="19"/>
        </w:rPr>
        <w:t xml:space="preserve">Satellite view of the </w:t>
      </w:r>
      <w:smartTag w:uri="urn:schemas-microsoft-com:office:smarttags" w:element="place">
        <w:smartTag w:uri="urn:schemas-microsoft-com:office:smarttags" w:element="country-region">
          <w:r w:rsidRPr="00610AD5">
            <w:rPr>
              <w:b/>
              <w:sz w:val="19"/>
              <w:szCs w:val="19"/>
            </w:rPr>
            <w:t>United Arab Emirates</w:t>
          </w:r>
        </w:smartTag>
      </w:smartTag>
      <w:r w:rsidRPr="00610AD5">
        <w:rPr>
          <w:b/>
          <w:sz w:val="19"/>
          <w:szCs w:val="19"/>
        </w:rPr>
        <w:t xml:space="preserve"> with marked Service Zones</w:t>
      </w:r>
    </w:p>
    <w:p w:rsidR="00610AD5" w:rsidRPr="00610AD5" w:rsidRDefault="00610AD5" w:rsidP="00610AD5">
      <w:pPr>
        <w:ind w:left="3800" w:hanging="2200"/>
        <w:rPr>
          <w:b/>
          <w:szCs w:val="19"/>
        </w:rPr>
      </w:pPr>
      <w:r w:rsidRPr="00610AD5">
        <w:rPr>
          <w:b/>
          <w:szCs w:val="19"/>
        </w:rPr>
        <w:t>Red Zones:</w:t>
      </w:r>
      <w:r w:rsidRPr="00610AD5">
        <w:rPr>
          <w:b/>
          <w:szCs w:val="19"/>
        </w:rPr>
        <w:tab/>
        <w:t>Service Zone Factor D high (1.00)</w:t>
      </w:r>
    </w:p>
    <w:p w:rsidR="00610AD5" w:rsidRPr="00610AD5" w:rsidRDefault="00610AD5" w:rsidP="00610AD5">
      <w:pPr>
        <w:ind w:left="3800" w:hanging="2200"/>
        <w:rPr>
          <w:b/>
          <w:szCs w:val="19"/>
        </w:rPr>
      </w:pPr>
      <w:r w:rsidRPr="00610AD5">
        <w:rPr>
          <w:b/>
          <w:szCs w:val="19"/>
        </w:rPr>
        <w:t>Green Zones:</w:t>
      </w:r>
      <w:r w:rsidRPr="00610AD5">
        <w:rPr>
          <w:b/>
          <w:szCs w:val="19"/>
        </w:rPr>
        <w:tab/>
        <w:t>Service Zone Factor D medium (0.75)</w:t>
      </w:r>
    </w:p>
    <w:p w:rsidR="00610AD5" w:rsidRPr="00610AD5" w:rsidRDefault="00610AD5" w:rsidP="00610AD5">
      <w:pPr>
        <w:ind w:left="3800" w:hanging="2200"/>
        <w:rPr>
          <w:b/>
          <w:szCs w:val="19"/>
        </w:rPr>
      </w:pPr>
      <w:r w:rsidRPr="00610AD5">
        <w:rPr>
          <w:b/>
          <w:szCs w:val="19"/>
        </w:rPr>
        <w:t>Remaining Zones:</w:t>
      </w:r>
      <w:r w:rsidRPr="00610AD5">
        <w:rPr>
          <w:b/>
          <w:szCs w:val="19"/>
        </w:rPr>
        <w:tab/>
        <w:t>Service Zone Factor D low (0.50)</w:t>
      </w:r>
    </w:p>
    <w:p w:rsidR="00610AD5" w:rsidRPr="00610AD5" w:rsidRDefault="00610AD5" w:rsidP="008347A9">
      <w:pPr>
        <w:pStyle w:val="FigureSource"/>
      </w:pPr>
    </w:p>
    <w:p w:rsidR="00610AD5" w:rsidRPr="00610AD5" w:rsidRDefault="00610AD5" w:rsidP="00610AD5">
      <w:pPr>
        <w:ind w:left="1191" w:hanging="1191"/>
        <w:rPr>
          <w:szCs w:val="19"/>
        </w:rPr>
      </w:pPr>
      <w:r w:rsidRPr="00610AD5">
        <w:rPr>
          <w:b/>
          <w:szCs w:val="19"/>
        </w:rPr>
        <w:tab/>
      </w:r>
      <w:r w:rsidRPr="00610AD5">
        <w:rPr>
          <w:b/>
          <w:szCs w:val="19"/>
        </w:rPr>
        <w:tab/>
        <w:t>Note 1:</w:t>
      </w:r>
      <w:r w:rsidRPr="00610AD5">
        <w:rPr>
          <w:szCs w:val="19"/>
        </w:rPr>
        <w:tab/>
        <w:t>Any transmission from a certain location having medium or low Service Zone Factor into (partly or entirely) a Service Zone of higher level will upgrade this particular station in Service Zone Factor to the higher level which may be also a two step increase.</w:t>
      </w:r>
    </w:p>
    <w:p w:rsidR="00610AD5" w:rsidRPr="00610AD5" w:rsidRDefault="00610AD5" w:rsidP="00610AD5">
      <w:pPr>
        <w:ind w:left="1191" w:hanging="1191"/>
        <w:rPr>
          <w:szCs w:val="19"/>
        </w:rPr>
      </w:pPr>
      <w:r w:rsidRPr="00610AD5">
        <w:rPr>
          <w:b/>
          <w:szCs w:val="19"/>
        </w:rPr>
        <w:tab/>
      </w:r>
      <w:r w:rsidRPr="00610AD5">
        <w:rPr>
          <w:b/>
          <w:szCs w:val="19"/>
        </w:rPr>
        <w:tab/>
        <w:t>Note 2:</w:t>
      </w:r>
      <w:r w:rsidRPr="00610AD5">
        <w:rPr>
          <w:szCs w:val="19"/>
        </w:rPr>
        <w:tab/>
        <w:t xml:space="preserve">For Broadcasting Services in the HF and lower frequency bands, the Service Zone Factor = 1. </w:t>
      </w:r>
    </w:p>
    <w:p w:rsidR="00610AD5" w:rsidRPr="00610AD5" w:rsidRDefault="00610AD5" w:rsidP="00610AD5">
      <w:pPr>
        <w:ind w:left="1191" w:hanging="1191"/>
        <w:rPr>
          <w:b/>
          <w:bCs/>
          <w:szCs w:val="19"/>
        </w:rPr>
      </w:pPr>
      <w:r w:rsidRPr="00610AD5">
        <w:rPr>
          <w:b/>
          <w:szCs w:val="19"/>
        </w:rPr>
        <w:tab/>
      </w:r>
      <w:r w:rsidRPr="00610AD5">
        <w:rPr>
          <w:b/>
          <w:szCs w:val="19"/>
        </w:rPr>
        <w:tab/>
        <w:t>E = Antenna Height Factor as follows:</w:t>
      </w:r>
    </w:p>
    <w:p w:rsidR="00610AD5" w:rsidRPr="00610AD5" w:rsidRDefault="00610AD5" w:rsidP="00610AD5">
      <w:pPr>
        <w:ind w:left="1191" w:hanging="1191"/>
        <w:rPr>
          <w:szCs w:val="19"/>
        </w:rPr>
      </w:pPr>
      <w:r w:rsidRPr="00610AD5">
        <w:rPr>
          <w:szCs w:val="19"/>
        </w:rPr>
        <w:tab/>
      </w:r>
      <w:r w:rsidRPr="00610AD5">
        <w:rPr>
          <w:szCs w:val="19"/>
        </w:rPr>
        <w:tab/>
        <w:t>The Antenna Height Factor is calculated as follows:</w:t>
      </w:r>
    </w:p>
    <w:p w:rsidR="00610AD5" w:rsidRPr="00610AD5" w:rsidRDefault="00610AD5" w:rsidP="00610AD5">
      <w:pPr>
        <w:ind w:left="2160" w:hanging="1463"/>
        <w:rPr>
          <w:b/>
          <w:bCs/>
          <w:szCs w:val="19"/>
          <w:vertAlign w:val="subscript"/>
        </w:rPr>
      </w:pPr>
      <w:r w:rsidRPr="00610AD5">
        <w:rPr>
          <w:b/>
          <w:szCs w:val="19"/>
        </w:rPr>
        <w:tab/>
      </w:r>
      <w:r w:rsidRPr="00610AD5">
        <w:rPr>
          <w:b/>
          <w:szCs w:val="19"/>
        </w:rPr>
        <w:tab/>
        <w:t>E = H</w:t>
      </w:r>
      <w:r w:rsidRPr="00610AD5">
        <w:rPr>
          <w:b/>
          <w:szCs w:val="19"/>
          <w:vertAlign w:val="subscript"/>
        </w:rPr>
        <w:t>ASL</w:t>
      </w:r>
      <w:r w:rsidRPr="00610AD5">
        <w:rPr>
          <w:b/>
          <w:szCs w:val="19"/>
        </w:rPr>
        <w:t xml:space="preserve"> + H</w:t>
      </w:r>
      <w:r w:rsidRPr="00610AD5">
        <w:rPr>
          <w:b/>
          <w:szCs w:val="19"/>
          <w:vertAlign w:val="subscript"/>
        </w:rPr>
        <w:t>AGL</w:t>
      </w:r>
    </w:p>
    <w:p w:rsidR="00610AD5" w:rsidRPr="00610AD5" w:rsidRDefault="00610AD5" w:rsidP="00610AD5">
      <w:pPr>
        <w:ind w:left="1191" w:hanging="1191"/>
        <w:rPr>
          <w:szCs w:val="19"/>
        </w:rPr>
      </w:pPr>
      <w:r w:rsidRPr="00610AD5">
        <w:rPr>
          <w:szCs w:val="19"/>
        </w:rPr>
        <w:tab/>
      </w:r>
      <w:r w:rsidRPr="00610AD5">
        <w:rPr>
          <w:szCs w:val="19"/>
        </w:rPr>
        <w:tab/>
        <w:t xml:space="preserve">whereby </w:t>
      </w:r>
      <w:r w:rsidRPr="00610AD5">
        <w:rPr>
          <w:b/>
          <w:szCs w:val="19"/>
        </w:rPr>
        <w:t>H</w:t>
      </w:r>
      <w:r w:rsidRPr="00610AD5">
        <w:rPr>
          <w:b/>
          <w:szCs w:val="19"/>
          <w:vertAlign w:val="subscript"/>
        </w:rPr>
        <w:t>ASL</w:t>
      </w:r>
      <w:r w:rsidRPr="00610AD5">
        <w:rPr>
          <w:szCs w:val="19"/>
        </w:rPr>
        <w:t xml:space="preserve"> is the height above sea level in meters and </w:t>
      </w:r>
      <w:r w:rsidRPr="00610AD5">
        <w:rPr>
          <w:b/>
          <w:szCs w:val="19"/>
        </w:rPr>
        <w:t>H</w:t>
      </w:r>
      <w:r w:rsidRPr="00610AD5">
        <w:rPr>
          <w:b/>
          <w:szCs w:val="19"/>
          <w:vertAlign w:val="subscript"/>
        </w:rPr>
        <w:t>AGL</w:t>
      </w:r>
      <w:r w:rsidRPr="00610AD5">
        <w:rPr>
          <w:szCs w:val="19"/>
        </w:rPr>
        <w:t xml:space="preserve"> is the height above ground level in meters.</w:t>
      </w:r>
    </w:p>
    <w:p w:rsidR="00610AD5" w:rsidRPr="00610AD5" w:rsidRDefault="00610AD5" w:rsidP="00610AD5">
      <w:pPr>
        <w:ind w:left="1191" w:hanging="1191"/>
        <w:rPr>
          <w:szCs w:val="19"/>
        </w:rPr>
      </w:pPr>
      <w:r w:rsidRPr="00610AD5">
        <w:rPr>
          <w:szCs w:val="19"/>
        </w:rPr>
        <w:tab/>
      </w:r>
      <w:r w:rsidRPr="00610AD5">
        <w:rPr>
          <w:szCs w:val="19"/>
        </w:rPr>
        <w:tab/>
      </w:r>
      <w:r w:rsidRPr="00610AD5">
        <w:rPr>
          <w:b/>
          <w:szCs w:val="19"/>
        </w:rPr>
        <w:t>F = Correction Factor</w:t>
      </w:r>
      <w:r w:rsidRPr="00610AD5">
        <w:rPr>
          <w:szCs w:val="19"/>
        </w:rPr>
        <w:t xml:space="preserve"> as follows:</w:t>
      </w:r>
    </w:p>
    <w:p w:rsidR="00610AD5" w:rsidRPr="00610AD5" w:rsidRDefault="00610AD5" w:rsidP="00610AD5">
      <w:pPr>
        <w:spacing w:before="80"/>
        <w:ind w:left="1588" w:hanging="1588"/>
        <w:rPr>
          <w:rFonts w:asciiTheme="majorBidi" w:hAnsiTheme="majorBidi" w:cstheme="majorBidi"/>
          <w:szCs w:val="22"/>
        </w:rPr>
      </w:pPr>
      <w:r w:rsidRPr="00610AD5">
        <w:rPr>
          <w:rFonts w:asciiTheme="majorBidi" w:hAnsiTheme="majorBidi" w:cstheme="majorBidi"/>
          <w:szCs w:val="22"/>
        </w:rPr>
        <w:tab/>
      </w:r>
      <w:r w:rsidRPr="00610AD5">
        <w:rPr>
          <w:rFonts w:asciiTheme="majorBidi" w:hAnsiTheme="majorBidi" w:cstheme="majorBidi"/>
          <w:szCs w:val="22"/>
        </w:rPr>
        <w:tab/>
        <w:t>a)</w:t>
      </w:r>
      <w:r w:rsidRPr="00610AD5">
        <w:rPr>
          <w:rFonts w:asciiTheme="majorBidi" w:hAnsiTheme="majorBidi" w:cstheme="majorBidi"/>
          <w:szCs w:val="22"/>
        </w:rPr>
        <w:tab/>
        <w:t>For Governmental Broadcasting Stations which are operating on a non-commercial base, a Correction Factor (F) of 0.5 shall be applied.</w:t>
      </w:r>
    </w:p>
    <w:p w:rsidR="00610AD5" w:rsidRPr="00610AD5" w:rsidRDefault="00610AD5" w:rsidP="00610AD5">
      <w:pPr>
        <w:spacing w:before="80"/>
        <w:ind w:left="1588" w:hanging="1588"/>
        <w:rPr>
          <w:rFonts w:asciiTheme="majorBidi" w:hAnsiTheme="majorBidi" w:cstheme="majorBidi"/>
          <w:szCs w:val="22"/>
        </w:rPr>
      </w:pPr>
      <w:r w:rsidRPr="00610AD5">
        <w:rPr>
          <w:rFonts w:asciiTheme="majorBidi" w:hAnsiTheme="majorBidi" w:cstheme="majorBidi"/>
          <w:szCs w:val="22"/>
        </w:rPr>
        <w:lastRenderedPageBreak/>
        <w:tab/>
      </w:r>
      <w:r w:rsidRPr="00610AD5">
        <w:rPr>
          <w:rFonts w:asciiTheme="majorBidi" w:hAnsiTheme="majorBidi" w:cstheme="majorBidi"/>
          <w:szCs w:val="22"/>
        </w:rPr>
        <w:tab/>
        <w:t>b)</w:t>
      </w:r>
      <w:r w:rsidRPr="00610AD5">
        <w:rPr>
          <w:rFonts w:asciiTheme="majorBidi" w:hAnsiTheme="majorBidi" w:cstheme="majorBidi"/>
          <w:szCs w:val="22"/>
        </w:rPr>
        <w:tab/>
        <w:t>For promoting new digital terrestrial audio and video broadcasting technologies, a reduction of 25% shall be granted during the period before 2015; (i.e. Correction Factor = 0.75). This reduction is only limited to the above specified period and maybe accompanied with other conditions made by the TRA.</w:t>
      </w:r>
    </w:p>
    <w:p w:rsidR="00610AD5" w:rsidRPr="00610AD5" w:rsidRDefault="00610AD5" w:rsidP="00610AD5">
      <w:pPr>
        <w:spacing w:before="80"/>
        <w:ind w:left="1588" w:hanging="1588"/>
        <w:rPr>
          <w:rFonts w:asciiTheme="majorBidi" w:hAnsiTheme="majorBidi" w:cstheme="majorBidi"/>
          <w:szCs w:val="22"/>
        </w:rPr>
      </w:pPr>
      <w:r w:rsidRPr="00610AD5">
        <w:rPr>
          <w:rFonts w:asciiTheme="majorBidi" w:hAnsiTheme="majorBidi" w:cstheme="majorBidi"/>
          <w:szCs w:val="22"/>
        </w:rPr>
        <w:tab/>
      </w:r>
      <w:r w:rsidRPr="00610AD5">
        <w:rPr>
          <w:rFonts w:asciiTheme="majorBidi" w:hAnsiTheme="majorBidi" w:cstheme="majorBidi"/>
          <w:szCs w:val="22"/>
        </w:rPr>
        <w:tab/>
        <w:t>c)</w:t>
      </w:r>
      <w:r w:rsidRPr="00610AD5">
        <w:rPr>
          <w:rFonts w:asciiTheme="majorBidi" w:hAnsiTheme="majorBidi" w:cstheme="majorBidi"/>
          <w:szCs w:val="22"/>
        </w:rPr>
        <w:tab/>
        <w:t>For all other assignments, the value of Correction Factor = 1.</w:t>
      </w:r>
    </w:p>
    <w:p w:rsidR="00610AD5" w:rsidRPr="00610AD5" w:rsidRDefault="00610AD5" w:rsidP="00610AD5">
      <w:pPr>
        <w:keepNext/>
        <w:keepLines/>
        <w:spacing w:before="240"/>
        <w:ind w:left="794" w:hanging="794"/>
        <w:outlineLvl w:val="1"/>
        <w:rPr>
          <w:b/>
        </w:rPr>
      </w:pPr>
      <w:bookmarkStart w:id="328" w:name="_Toc280260046"/>
      <w:bookmarkStart w:id="329" w:name="_Toc280272507"/>
      <w:bookmarkStart w:id="330" w:name="_Toc195057826"/>
      <w:r w:rsidRPr="00610AD5">
        <w:rPr>
          <w:b/>
        </w:rPr>
        <w:t>26.2</w:t>
      </w:r>
      <w:r w:rsidRPr="00610AD5">
        <w:rPr>
          <w:b/>
        </w:rPr>
        <w:tab/>
        <w:t>HF Seasonal Sound Broadcasting:</w:t>
      </w:r>
      <w:bookmarkEnd w:id="328"/>
      <w:bookmarkEnd w:id="329"/>
    </w:p>
    <w:p w:rsidR="00610AD5" w:rsidRPr="00610AD5" w:rsidRDefault="00610AD5" w:rsidP="00610AD5">
      <w:pPr>
        <w:rPr>
          <w:szCs w:val="19"/>
        </w:rPr>
      </w:pPr>
      <w:r w:rsidRPr="00610AD5">
        <w:rPr>
          <w:szCs w:val="19"/>
        </w:rPr>
        <w:t>For HF Seasonal Sound Broadcasting Services, the Spectrum Fee shall be charged per transmitter basis and for each transmitter the annual Spectrum Fees shall be:</w:t>
      </w:r>
    </w:p>
    <w:p w:rsidR="00610AD5" w:rsidRPr="00610AD5" w:rsidRDefault="00610AD5" w:rsidP="00610AD5">
      <w:pPr>
        <w:rPr>
          <w:szCs w:val="19"/>
        </w:rPr>
      </w:pPr>
      <w:r w:rsidRPr="00610AD5">
        <w:rPr>
          <w:szCs w:val="19"/>
        </w:rPr>
        <w:t xml:space="preserve">Spectrum Fees = AED 30,000/-  </w:t>
      </w:r>
    </w:p>
    <w:p w:rsidR="00610AD5" w:rsidRPr="00610AD5" w:rsidRDefault="00610AD5" w:rsidP="00610AD5">
      <w:pPr>
        <w:keepNext/>
        <w:keepLines/>
        <w:spacing w:before="240"/>
        <w:ind w:left="794" w:hanging="794"/>
        <w:outlineLvl w:val="1"/>
        <w:rPr>
          <w:b/>
        </w:rPr>
      </w:pPr>
      <w:bookmarkStart w:id="331" w:name="_Toc280260047"/>
      <w:bookmarkStart w:id="332" w:name="_Toc280272508"/>
      <w:bookmarkEnd w:id="330"/>
      <w:r w:rsidRPr="00610AD5">
        <w:rPr>
          <w:b/>
        </w:rPr>
        <w:t>26.3</w:t>
      </w:r>
      <w:r w:rsidRPr="00610AD5">
        <w:rPr>
          <w:b/>
        </w:rPr>
        <w:tab/>
        <w:t>Satellite Radio and Television Broadcasting</w:t>
      </w:r>
      <w:bookmarkEnd w:id="331"/>
      <w:bookmarkEnd w:id="332"/>
    </w:p>
    <w:p w:rsidR="00610AD5" w:rsidRPr="00610AD5" w:rsidRDefault="00610AD5" w:rsidP="00610AD5">
      <w:pPr>
        <w:rPr>
          <w:szCs w:val="19"/>
        </w:rPr>
      </w:pPr>
      <w:r w:rsidRPr="00610AD5">
        <w:rPr>
          <w:szCs w:val="19"/>
        </w:rPr>
        <w:t>Up linking of DAB and DVB-SH shall be charged at 200,000 AED per multiplex unit, DVB-S and DVB-RCS by 400,000 AED per multiplex unit.</w:t>
      </w:r>
    </w:p>
    <w:p w:rsidR="00610AD5" w:rsidRPr="00610AD5" w:rsidRDefault="00610AD5" w:rsidP="00610AD5">
      <w:pPr>
        <w:rPr>
          <w:szCs w:val="19"/>
        </w:rPr>
      </w:pPr>
      <w:r w:rsidRPr="00610AD5">
        <w:rPr>
          <w:szCs w:val="19"/>
        </w:rPr>
        <w:t>A multiplex unit is defined as one channel (signal) with appropriate bandwidth containing several programmes combined by digital multiplexing and compressing.</w:t>
      </w:r>
    </w:p>
    <w:p w:rsidR="00610AD5" w:rsidRPr="00610AD5" w:rsidRDefault="00610AD5" w:rsidP="00737413">
      <w:pPr>
        <w:pStyle w:val="Arttitle"/>
      </w:pPr>
      <w:bookmarkStart w:id="333" w:name="_Toc280261849"/>
      <w:bookmarkStart w:id="334" w:name="_Toc280262347"/>
      <w:bookmarkStart w:id="335" w:name="_Toc280272741"/>
      <w:bookmarkStart w:id="336" w:name="_Toc280272920"/>
      <w:r w:rsidRPr="00610AD5">
        <w:t>Article 27</w:t>
      </w:r>
      <w:r w:rsidRPr="00610AD5">
        <w:br/>
      </w:r>
      <w:r w:rsidRPr="00610AD5">
        <w:br/>
      </w:r>
      <w:bookmarkStart w:id="337" w:name="_Toc199215050"/>
      <w:r w:rsidRPr="00610AD5">
        <w:t xml:space="preserve">Short </w:t>
      </w:r>
      <w:smartTag w:uri="urn:schemas-microsoft-com:office:smarttags" w:element="PlaceType">
        <w:r w:rsidRPr="00610AD5">
          <w:t>Range</w:t>
        </w:r>
      </w:smartTag>
      <w:r w:rsidRPr="00610AD5">
        <w:t xml:space="preserve"> Devices</w:t>
      </w:r>
      <w:bookmarkEnd w:id="333"/>
      <w:bookmarkEnd w:id="334"/>
      <w:bookmarkEnd w:id="335"/>
      <w:bookmarkEnd w:id="336"/>
      <w:bookmarkEnd w:id="337"/>
    </w:p>
    <w:p w:rsidR="00610AD5" w:rsidRPr="00610AD5" w:rsidRDefault="00610AD5" w:rsidP="00867C40">
      <w:pPr>
        <w:pStyle w:val="enumlev1"/>
      </w:pPr>
      <w:r w:rsidRPr="00610AD5">
        <w:t>27.1</w:t>
      </w:r>
      <w:r w:rsidRPr="00610AD5">
        <w:tab/>
        <w:t>All Wireless Transmission equipment meeting the criteria of the Short Range Devices as determined by the TRA shall be exempted from the annual Spectrum Fees. Class Authorization shall be issued for such Wireless Transmission equipment.</w:t>
      </w:r>
    </w:p>
    <w:p w:rsidR="00610AD5" w:rsidRPr="00610AD5" w:rsidRDefault="00610AD5" w:rsidP="00867C40">
      <w:pPr>
        <w:pStyle w:val="enumlev1"/>
      </w:pPr>
      <w:r w:rsidRPr="00610AD5">
        <w:t>27.2</w:t>
      </w:r>
      <w:r w:rsidRPr="00610AD5">
        <w:tab/>
        <w:t>Low Power Transmitting Equipment intended for strictly indoor use having less than 1 W effective radiated power and not categorized as short range device shall be charged as follows:</w:t>
      </w:r>
    </w:p>
    <w:p w:rsidR="00610AD5" w:rsidRPr="00610AD5" w:rsidRDefault="00610AD5" w:rsidP="00610AD5"/>
    <w:p w:rsidR="00610AD5" w:rsidRPr="00610AD5" w:rsidRDefault="00610AD5" w:rsidP="00610AD5">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textAlignment w:val="auto"/>
        <w:rPr>
          <w:b/>
          <w:lang w:val="en-US"/>
        </w:rPr>
      </w:pPr>
      <w:r w:rsidRPr="00610AD5">
        <w:rPr>
          <w:b/>
          <w:lang w:val="en-US"/>
        </w:rPr>
        <w:t xml:space="preserve">Table </w:t>
      </w:r>
      <w:r w:rsidR="005D1F2F" w:rsidRPr="00610AD5">
        <w:rPr>
          <w:b/>
          <w:lang w:val="en-US"/>
        </w:rPr>
        <w:fldChar w:fldCharType="begin"/>
      </w:r>
      <w:r w:rsidRPr="00610AD5">
        <w:rPr>
          <w:b/>
          <w:lang w:val="en-US"/>
        </w:rPr>
        <w:instrText xml:space="preserve"> SEQ Figure \* ARABIC </w:instrText>
      </w:r>
      <w:r w:rsidR="005D1F2F" w:rsidRPr="00610AD5">
        <w:rPr>
          <w:b/>
          <w:lang w:val="en-US"/>
        </w:rPr>
        <w:fldChar w:fldCharType="separate"/>
      </w:r>
      <w:r w:rsidR="00F43450">
        <w:rPr>
          <w:b/>
          <w:noProof/>
          <w:lang w:val="en-US"/>
        </w:rPr>
        <w:t>4</w:t>
      </w:r>
      <w:r w:rsidR="005D1F2F" w:rsidRPr="00610AD5">
        <w:rPr>
          <w:b/>
          <w:lang w:val="en-US"/>
        </w:rPr>
        <w:fldChar w:fldCharType="end"/>
      </w:r>
      <w:r w:rsidRPr="00610AD5">
        <w:rPr>
          <w:b/>
          <w:lang w:val="en-US"/>
        </w:rPr>
        <w:t xml:space="preserve"> – Annual Fee for Low Power Equipment</w:t>
      </w:r>
    </w:p>
    <w:p w:rsidR="00610AD5" w:rsidRPr="00610AD5" w:rsidRDefault="00610AD5" w:rsidP="00324665">
      <w:pPr>
        <w:pStyle w:val="FigureTitl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0"/>
        <w:gridCol w:w="1628"/>
      </w:tblGrid>
      <w:tr w:rsidR="00610AD5" w:rsidRPr="00610AD5" w:rsidTr="00610AD5">
        <w:trPr>
          <w:jc w:val="center"/>
        </w:trPr>
        <w:tc>
          <w:tcPr>
            <w:tcW w:w="2470" w:type="dxa"/>
            <w:shd w:val="clear" w:color="auto" w:fill="E6E6E6"/>
            <w:vAlign w:val="center"/>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center"/>
              <w:rPr>
                <w:rFonts w:asciiTheme="majorBidi" w:hAnsiTheme="majorBidi" w:cstheme="majorBidi"/>
                <w:b/>
                <w:szCs w:val="22"/>
              </w:rPr>
            </w:pPr>
            <w:r w:rsidRPr="00610AD5">
              <w:rPr>
                <w:rFonts w:asciiTheme="majorBidi" w:hAnsiTheme="majorBidi" w:cstheme="majorBidi"/>
                <w:b/>
                <w:szCs w:val="22"/>
              </w:rPr>
              <w:t>Radiated Power</w:t>
            </w:r>
          </w:p>
        </w:tc>
        <w:tc>
          <w:tcPr>
            <w:tcW w:w="1628" w:type="dxa"/>
            <w:shd w:val="clear" w:color="auto" w:fill="E6E6E6"/>
            <w:vAlign w:val="center"/>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center"/>
              <w:rPr>
                <w:rFonts w:asciiTheme="majorBidi" w:hAnsiTheme="majorBidi" w:cstheme="majorBidi"/>
                <w:b/>
                <w:szCs w:val="22"/>
              </w:rPr>
            </w:pPr>
            <w:r w:rsidRPr="00610AD5">
              <w:rPr>
                <w:rFonts w:asciiTheme="majorBidi" w:hAnsiTheme="majorBidi" w:cstheme="majorBidi"/>
                <w:b/>
                <w:szCs w:val="22"/>
              </w:rPr>
              <w:t>Annual Fee</w:t>
            </w:r>
          </w:p>
        </w:tc>
      </w:tr>
      <w:tr w:rsidR="00610AD5" w:rsidRPr="00610AD5" w:rsidTr="00610AD5">
        <w:trPr>
          <w:trHeight w:val="340"/>
          <w:jc w:val="center"/>
        </w:trPr>
        <w:tc>
          <w:tcPr>
            <w:tcW w:w="2470" w:type="dxa"/>
            <w:vAlign w:val="center"/>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rPr>
            </w:pPr>
            <w:r w:rsidRPr="00610AD5">
              <w:rPr>
                <w:rFonts w:asciiTheme="majorBidi" w:hAnsiTheme="majorBidi" w:cstheme="majorBidi"/>
                <w:szCs w:val="22"/>
              </w:rPr>
              <w:t>up to 10 mW</w:t>
            </w:r>
          </w:p>
        </w:tc>
        <w:tc>
          <w:tcPr>
            <w:tcW w:w="1628" w:type="dxa"/>
            <w:vAlign w:val="center"/>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rPr>
              <w:t>100 AED</w:t>
            </w:r>
          </w:p>
        </w:tc>
      </w:tr>
      <w:tr w:rsidR="00610AD5" w:rsidRPr="00610AD5" w:rsidTr="00610AD5">
        <w:trPr>
          <w:trHeight w:val="340"/>
          <w:jc w:val="center"/>
        </w:trPr>
        <w:tc>
          <w:tcPr>
            <w:tcW w:w="2470" w:type="dxa"/>
            <w:vAlign w:val="center"/>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rPr>
            </w:pPr>
            <w:r w:rsidRPr="00610AD5">
              <w:rPr>
                <w:rFonts w:asciiTheme="majorBidi" w:hAnsiTheme="majorBidi" w:cstheme="majorBidi"/>
                <w:szCs w:val="22"/>
              </w:rPr>
              <w:t>10 mW to 100 mW</w:t>
            </w:r>
          </w:p>
        </w:tc>
        <w:tc>
          <w:tcPr>
            <w:tcW w:w="1628" w:type="dxa"/>
            <w:vAlign w:val="center"/>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rPr>
              <w:t>200 AED</w:t>
            </w:r>
          </w:p>
        </w:tc>
      </w:tr>
      <w:tr w:rsidR="00610AD5" w:rsidRPr="00610AD5" w:rsidTr="00610AD5">
        <w:trPr>
          <w:trHeight w:val="340"/>
          <w:jc w:val="center"/>
        </w:trPr>
        <w:tc>
          <w:tcPr>
            <w:tcW w:w="2470" w:type="dxa"/>
            <w:vAlign w:val="center"/>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rPr>
            </w:pPr>
            <w:r w:rsidRPr="00610AD5">
              <w:rPr>
                <w:rFonts w:asciiTheme="majorBidi" w:hAnsiTheme="majorBidi" w:cstheme="majorBidi"/>
                <w:szCs w:val="22"/>
              </w:rPr>
              <w:t>100 mW to 1 W</w:t>
            </w:r>
          </w:p>
        </w:tc>
        <w:tc>
          <w:tcPr>
            <w:tcW w:w="1628" w:type="dxa"/>
            <w:vAlign w:val="center"/>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rPr>
              <w:t>400 AED</w:t>
            </w:r>
          </w:p>
        </w:tc>
      </w:tr>
    </w:tbl>
    <w:p w:rsidR="00610AD5" w:rsidRPr="00610AD5" w:rsidRDefault="00610AD5" w:rsidP="008347A9">
      <w:pPr>
        <w:pStyle w:val="FigureSource"/>
      </w:pPr>
    </w:p>
    <w:p w:rsidR="00610AD5" w:rsidRPr="00610AD5" w:rsidRDefault="00610AD5" w:rsidP="00737413">
      <w:pPr>
        <w:pStyle w:val="Arttitle"/>
        <w:rPr>
          <w:bCs/>
        </w:rPr>
      </w:pPr>
      <w:bookmarkStart w:id="338" w:name="_Toc280261850"/>
      <w:bookmarkStart w:id="339" w:name="_Toc280262348"/>
      <w:bookmarkStart w:id="340" w:name="_Toc280272742"/>
      <w:bookmarkStart w:id="341" w:name="_Toc280272921"/>
      <w:r w:rsidRPr="00610AD5">
        <w:t>Article 28</w:t>
      </w:r>
      <w:r w:rsidRPr="00610AD5">
        <w:rPr>
          <w:bCs/>
        </w:rPr>
        <w:br/>
      </w:r>
      <w:r w:rsidRPr="00610AD5">
        <w:rPr>
          <w:bCs/>
        </w:rPr>
        <w:br/>
      </w:r>
      <w:bookmarkStart w:id="342" w:name="_Toc199215051"/>
      <w:r w:rsidRPr="00610AD5">
        <w:t>Emergency and disaster frequencies</w:t>
      </w:r>
      <w:bookmarkEnd w:id="338"/>
      <w:bookmarkEnd w:id="339"/>
      <w:bookmarkEnd w:id="340"/>
      <w:bookmarkEnd w:id="341"/>
      <w:bookmarkEnd w:id="342"/>
    </w:p>
    <w:p w:rsidR="00610AD5" w:rsidRPr="00610AD5" w:rsidRDefault="00610AD5" w:rsidP="00610AD5">
      <w:pPr>
        <w:rPr>
          <w:szCs w:val="19"/>
        </w:rPr>
      </w:pPr>
      <w:r w:rsidRPr="00610AD5">
        <w:rPr>
          <w:szCs w:val="19"/>
        </w:rPr>
        <w:t xml:space="preserve">All emergency, distress and safety of life frequencies identified within the National Spectrum Plan and the National Table of Frequency Allocation shall not be charged. All Wireless Transmission equipment made exclusively for safety of life and accepted by the Director General of the TRA as falling within this category shall be exempted from the spectrum Fees. </w:t>
      </w:r>
    </w:p>
    <w:p w:rsidR="00610AD5" w:rsidRPr="00610AD5" w:rsidRDefault="00610AD5" w:rsidP="00737413">
      <w:pPr>
        <w:pStyle w:val="Arttitle"/>
      </w:pPr>
      <w:bookmarkStart w:id="343" w:name="_Toc280261851"/>
      <w:bookmarkStart w:id="344" w:name="_Toc280262349"/>
      <w:bookmarkStart w:id="345" w:name="_Toc280272743"/>
      <w:bookmarkStart w:id="346" w:name="_Toc280272922"/>
      <w:r w:rsidRPr="00610AD5">
        <w:lastRenderedPageBreak/>
        <w:t>Article 29</w:t>
      </w:r>
      <w:r w:rsidRPr="00610AD5">
        <w:br/>
      </w:r>
      <w:r w:rsidRPr="00610AD5">
        <w:br/>
      </w:r>
      <w:bookmarkStart w:id="347" w:name="_Toc199215052"/>
      <w:r w:rsidRPr="00610AD5">
        <w:t>Temporary Authorization</w:t>
      </w:r>
      <w:bookmarkEnd w:id="343"/>
      <w:bookmarkEnd w:id="344"/>
      <w:bookmarkEnd w:id="345"/>
      <w:bookmarkEnd w:id="346"/>
      <w:bookmarkEnd w:id="347"/>
    </w:p>
    <w:p w:rsidR="00610AD5" w:rsidRPr="00610AD5" w:rsidRDefault="00610AD5" w:rsidP="00610AD5">
      <w:pPr>
        <w:rPr>
          <w:szCs w:val="19"/>
        </w:rPr>
      </w:pPr>
      <w:r w:rsidRPr="00610AD5">
        <w:rPr>
          <w:szCs w:val="19"/>
        </w:rPr>
        <w:t xml:space="preserve">Spectrum fees for temporary authorization will be calculated on pro-rata basis of the annual fees in accordance to the radio services. However, a minimum of 100 AED will be charged as spectrum fees in case the amount is less than 100 AED. The temporary spectrum charge will be in addition to the application processing fees. </w:t>
      </w:r>
    </w:p>
    <w:p w:rsidR="00610AD5" w:rsidRPr="00610AD5" w:rsidRDefault="00610AD5" w:rsidP="00737413">
      <w:pPr>
        <w:pStyle w:val="Arttitle"/>
      </w:pPr>
      <w:bookmarkStart w:id="348" w:name="_Toc280261852"/>
      <w:bookmarkStart w:id="349" w:name="_Toc280262350"/>
      <w:bookmarkStart w:id="350" w:name="_Toc280272744"/>
      <w:bookmarkStart w:id="351" w:name="_Toc280272923"/>
      <w:r w:rsidRPr="00610AD5">
        <w:t>Article 30</w:t>
      </w:r>
      <w:r w:rsidRPr="00610AD5">
        <w:br/>
      </w:r>
      <w:r w:rsidRPr="00610AD5">
        <w:br/>
      </w:r>
      <w:bookmarkStart w:id="352" w:name="_Toc199215053"/>
      <w:r w:rsidRPr="00610AD5">
        <w:t>Other Radio Services</w:t>
      </w:r>
      <w:bookmarkEnd w:id="348"/>
      <w:bookmarkEnd w:id="349"/>
      <w:bookmarkEnd w:id="350"/>
      <w:bookmarkEnd w:id="351"/>
      <w:bookmarkEnd w:id="352"/>
    </w:p>
    <w:p w:rsidR="00610AD5" w:rsidRPr="00610AD5" w:rsidRDefault="00610AD5" w:rsidP="00610AD5">
      <w:pPr>
        <w:rPr>
          <w:szCs w:val="19"/>
        </w:rPr>
      </w:pPr>
      <w:r w:rsidRPr="00610AD5">
        <w:rPr>
          <w:szCs w:val="19"/>
        </w:rPr>
        <w:t xml:space="preserve">The annual fees of Radio Spectrum Authorization for any other Radio Services which are not covered above shall be determined by the TRA and shall be applicable on approval by the Director General, even before inclusion in the revised issue of this policy. </w:t>
      </w:r>
    </w:p>
    <w:p w:rsidR="00610AD5" w:rsidRPr="00610AD5" w:rsidRDefault="00610AD5" w:rsidP="00737413">
      <w:pPr>
        <w:pStyle w:val="Arttitle"/>
      </w:pPr>
      <w:bookmarkStart w:id="353" w:name="_Toc280261853"/>
      <w:bookmarkStart w:id="354" w:name="_Toc280262351"/>
      <w:bookmarkStart w:id="355" w:name="_Toc280272745"/>
      <w:bookmarkStart w:id="356" w:name="_Toc280272924"/>
      <w:r w:rsidRPr="00610AD5">
        <w:t>Article 31</w:t>
      </w:r>
      <w:r w:rsidRPr="00610AD5">
        <w:br/>
      </w:r>
      <w:r w:rsidRPr="00610AD5">
        <w:br/>
      </w:r>
      <w:bookmarkStart w:id="357" w:name="_Toc199215054"/>
      <w:r w:rsidRPr="00610AD5">
        <w:t>Interference complaints processing and monitoring fees</w:t>
      </w:r>
      <w:bookmarkEnd w:id="353"/>
      <w:bookmarkEnd w:id="354"/>
      <w:bookmarkEnd w:id="355"/>
      <w:bookmarkEnd w:id="356"/>
      <w:bookmarkEnd w:id="357"/>
    </w:p>
    <w:p w:rsidR="00610AD5" w:rsidRPr="00610AD5" w:rsidRDefault="00610AD5" w:rsidP="00610AD5">
      <w:pPr>
        <w:rPr>
          <w:color w:val="000000"/>
          <w:szCs w:val="19"/>
        </w:rPr>
      </w:pPr>
      <w:r w:rsidRPr="00610AD5">
        <w:rPr>
          <w:szCs w:val="19"/>
        </w:rPr>
        <w:t>The TRA shall determine the interference complaints processing and monitoring fees on case to case basis subject to the approval by the</w:t>
      </w:r>
      <w:r w:rsidRPr="00610AD5">
        <w:rPr>
          <w:color w:val="000000"/>
          <w:szCs w:val="19"/>
        </w:rPr>
        <w:t xml:space="preserve"> Director General. </w:t>
      </w:r>
    </w:p>
    <w:p w:rsidR="00610AD5" w:rsidRPr="00610AD5" w:rsidRDefault="00610AD5" w:rsidP="00737413">
      <w:pPr>
        <w:pStyle w:val="Arttitle"/>
      </w:pPr>
      <w:bookmarkStart w:id="358" w:name="_Toc280261854"/>
      <w:bookmarkStart w:id="359" w:name="_Toc280262352"/>
      <w:bookmarkStart w:id="360" w:name="_Toc280272746"/>
      <w:bookmarkStart w:id="361" w:name="_Toc280272925"/>
      <w:r w:rsidRPr="00610AD5">
        <w:t>Article 32</w:t>
      </w:r>
      <w:r w:rsidRPr="00610AD5">
        <w:br/>
      </w:r>
      <w:bookmarkStart w:id="362" w:name="_Toc199215055"/>
      <w:r w:rsidRPr="00610AD5">
        <w:br/>
        <w:t>Fees for the Foreign Embassies, Consulates and Diplomatic Missions</w:t>
      </w:r>
      <w:bookmarkEnd w:id="358"/>
      <w:bookmarkEnd w:id="359"/>
      <w:bookmarkEnd w:id="360"/>
      <w:bookmarkEnd w:id="361"/>
      <w:bookmarkEnd w:id="362"/>
    </w:p>
    <w:p w:rsidR="00610AD5" w:rsidRPr="00610AD5" w:rsidRDefault="00610AD5" w:rsidP="00610AD5">
      <w:pPr>
        <w:rPr>
          <w:szCs w:val="19"/>
        </w:rPr>
      </w:pPr>
      <w:r w:rsidRPr="00610AD5">
        <w:rPr>
          <w:szCs w:val="19"/>
        </w:rPr>
        <w:t xml:space="preserve">The Foreign Embassies, Consulates, Diplomatic Missions and the State visits of dignitaries shall be exempted from the Spectrum Fees provided the same exemption is available for the UAE Embassy, Consulate and </w:t>
      </w:r>
      <w:smartTag w:uri="urn:schemas-microsoft-com:office:smarttags" w:element="place">
        <w:smartTag w:uri="urn:schemas-microsoft-com:office:smarttags" w:element="City">
          <w:r w:rsidRPr="00610AD5">
            <w:rPr>
              <w:szCs w:val="19"/>
            </w:rPr>
            <w:t>Mission</w:t>
          </w:r>
        </w:smartTag>
      </w:smartTag>
      <w:r w:rsidRPr="00610AD5">
        <w:rPr>
          <w:szCs w:val="19"/>
        </w:rPr>
        <w:t xml:space="preserve"> in the country of origin. This exemption shall be applicable for official correspondence which falls within the scope of the Vienna Convention for diplomatic correspondence and forwarded through the Ministry of Foreign Affairs of the UAE. </w:t>
      </w:r>
    </w:p>
    <w:p w:rsidR="00610AD5" w:rsidRPr="00610AD5" w:rsidRDefault="00610AD5" w:rsidP="00737413">
      <w:pPr>
        <w:pStyle w:val="Arttitle"/>
      </w:pPr>
      <w:bookmarkStart w:id="363" w:name="_Toc280261855"/>
      <w:bookmarkStart w:id="364" w:name="_Toc280262353"/>
      <w:bookmarkStart w:id="365" w:name="_Toc280272747"/>
      <w:bookmarkStart w:id="366" w:name="_Toc280272926"/>
      <w:r w:rsidRPr="00610AD5">
        <w:t>Article 33</w:t>
      </w:r>
      <w:r w:rsidRPr="00610AD5">
        <w:br/>
      </w:r>
      <w:r w:rsidRPr="00610AD5">
        <w:br/>
        <w:t>Fees for Site Surveys</w:t>
      </w:r>
      <w:bookmarkEnd w:id="363"/>
      <w:bookmarkEnd w:id="364"/>
      <w:bookmarkEnd w:id="365"/>
      <w:bookmarkEnd w:id="366"/>
    </w:p>
    <w:p w:rsidR="00610AD5" w:rsidRPr="00610AD5" w:rsidRDefault="00610AD5" w:rsidP="00610AD5">
      <w:pPr>
        <w:rPr>
          <w:szCs w:val="19"/>
        </w:rPr>
      </w:pPr>
      <w:r w:rsidRPr="00610AD5">
        <w:rPr>
          <w:szCs w:val="19"/>
        </w:rPr>
        <w:t>The following fees shall be charged for the site survey conducted by the Authority upon request from the Authorized User for technical assistance:</w:t>
      </w:r>
    </w:p>
    <w:p w:rsidR="00610AD5" w:rsidRPr="00610AD5" w:rsidRDefault="00610AD5" w:rsidP="00610AD5">
      <w:pPr>
        <w:ind w:left="1191" w:hanging="1191"/>
        <w:rPr>
          <w:szCs w:val="19"/>
        </w:rPr>
      </w:pPr>
      <w:r w:rsidRPr="00610AD5">
        <w:rPr>
          <w:b/>
          <w:szCs w:val="19"/>
        </w:rPr>
        <w:tab/>
      </w:r>
      <w:r w:rsidRPr="00610AD5">
        <w:rPr>
          <w:b/>
          <w:szCs w:val="19"/>
        </w:rPr>
        <w:tab/>
        <w:t>Site Survey Fee</w:t>
      </w:r>
      <w:r w:rsidRPr="00610AD5">
        <w:rPr>
          <w:szCs w:val="19"/>
        </w:rPr>
        <w:t xml:space="preserve"> = 5,000 AED per day for each visit </w:t>
      </w:r>
    </w:p>
    <w:p w:rsidR="00610AD5" w:rsidRPr="00610AD5" w:rsidRDefault="00610AD5" w:rsidP="00737413">
      <w:pPr>
        <w:pStyle w:val="Arttitle"/>
      </w:pPr>
      <w:bookmarkStart w:id="367" w:name="_Toc280261856"/>
      <w:bookmarkStart w:id="368" w:name="_Toc280262354"/>
      <w:bookmarkStart w:id="369" w:name="_Toc280272748"/>
      <w:bookmarkStart w:id="370" w:name="_Toc280272927"/>
      <w:r w:rsidRPr="00610AD5">
        <w:t>Article 34</w:t>
      </w:r>
      <w:r w:rsidRPr="00610AD5">
        <w:br/>
      </w:r>
      <w:r w:rsidRPr="00610AD5">
        <w:br/>
      </w:r>
      <w:bookmarkStart w:id="371" w:name="_Toc199215056"/>
      <w:r w:rsidRPr="00610AD5">
        <w:t>Obligation to pay</w:t>
      </w:r>
      <w:bookmarkEnd w:id="367"/>
      <w:bookmarkEnd w:id="368"/>
      <w:bookmarkEnd w:id="369"/>
      <w:bookmarkEnd w:id="370"/>
      <w:bookmarkEnd w:id="371"/>
    </w:p>
    <w:p w:rsidR="00610AD5" w:rsidRPr="00610AD5" w:rsidRDefault="00610AD5" w:rsidP="00610AD5">
      <w:pPr>
        <w:rPr>
          <w:szCs w:val="19"/>
        </w:rPr>
      </w:pPr>
      <w:r w:rsidRPr="00610AD5">
        <w:rPr>
          <w:szCs w:val="19"/>
        </w:rPr>
        <w:t xml:space="preserve">The Spectrum Fees shall be payable in advance by all without any exemption except as determined in this Policy. The Spectrum Fees shall not be construed as Federal Tax or any Local Tax and shall be considered as charge for the use of a scarce national resource. Authorized Users should pay the full dues within the stipulated time, even in cases where the Authorised User contests the amount either wholly or partially. In case the amount is contested and a refund is due to the Authorised User, the amount shall be paid by the TRA within one month of settlement. </w:t>
      </w:r>
    </w:p>
    <w:p w:rsidR="00610AD5" w:rsidRPr="00610AD5" w:rsidRDefault="00610AD5" w:rsidP="00737413">
      <w:pPr>
        <w:pStyle w:val="Arttitle"/>
        <w:rPr>
          <w:bCs/>
        </w:rPr>
      </w:pPr>
      <w:bookmarkStart w:id="372" w:name="_Toc280261857"/>
      <w:bookmarkStart w:id="373" w:name="_Toc280262355"/>
      <w:bookmarkStart w:id="374" w:name="_Toc280272749"/>
      <w:bookmarkStart w:id="375" w:name="_Toc280272928"/>
      <w:r w:rsidRPr="00610AD5">
        <w:lastRenderedPageBreak/>
        <w:t>Article 35</w:t>
      </w:r>
      <w:r w:rsidRPr="00610AD5">
        <w:rPr>
          <w:bCs/>
        </w:rPr>
        <w:br/>
      </w:r>
      <w:r w:rsidRPr="00610AD5">
        <w:rPr>
          <w:bCs/>
        </w:rPr>
        <w:br/>
      </w:r>
      <w:bookmarkStart w:id="376" w:name="_Toc199215057"/>
      <w:r w:rsidRPr="00610AD5">
        <w:t>Methods of payments</w:t>
      </w:r>
      <w:bookmarkEnd w:id="372"/>
      <w:bookmarkEnd w:id="373"/>
      <w:bookmarkEnd w:id="374"/>
      <w:bookmarkEnd w:id="375"/>
      <w:bookmarkEnd w:id="376"/>
    </w:p>
    <w:p w:rsidR="00610AD5" w:rsidRPr="00610AD5" w:rsidRDefault="00610AD5" w:rsidP="00610AD5">
      <w:pPr>
        <w:rPr>
          <w:szCs w:val="19"/>
        </w:rPr>
      </w:pPr>
      <w:r w:rsidRPr="00610AD5">
        <w:rPr>
          <w:szCs w:val="19"/>
        </w:rPr>
        <w:t xml:space="preserve">Cash payment to the TRA shall not be acceptable and spectrum fees and other associated shall be payable to the TRA in one of the following methods: </w:t>
      </w:r>
    </w:p>
    <w:p w:rsidR="00610AD5" w:rsidRPr="00610AD5" w:rsidRDefault="00610AD5" w:rsidP="00867C40">
      <w:pPr>
        <w:pStyle w:val="enumlev1"/>
      </w:pPr>
      <w:r w:rsidRPr="00610AD5">
        <w:t>–</w:t>
      </w:r>
      <w:r w:rsidRPr="00610AD5">
        <w:tab/>
        <w:t xml:space="preserve">E-Dirham </w:t>
      </w:r>
    </w:p>
    <w:p w:rsidR="00610AD5" w:rsidRPr="00610AD5" w:rsidRDefault="00610AD5" w:rsidP="00867C40">
      <w:pPr>
        <w:pStyle w:val="enumlev1"/>
      </w:pPr>
      <w:r w:rsidRPr="00610AD5">
        <w:t>–</w:t>
      </w:r>
      <w:r w:rsidRPr="00610AD5">
        <w:tab/>
        <w:t xml:space="preserve">Cheque </w:t>
      </w:r>
    </w:p>
    <w:p w:rsidR="00610AD5" w:rsidRPr="00610AD5" w:rsidRDefault="00610AD5" w:rsidP="00867C40">
      <w:pPr>
        <w:pStyle w:val="enumlev1"/>
      </w:pPr>
      <w:r w:rsidRPr="00610AD5">
        <w:t>–</w:t>
      </w:r>
      <w:r w:rsidRPr="00610AD5">
        <w:tab/>
        <w:t xml:space="preserve">Deposit into the TRA’s bank account </w:t>
      </w:r>
    </w:p>
    <w:p w:rsidR="00610AD5" w:rsidRPr="00610AD5" w:rsidRDefault="00610AD5" w:rsidP="00737413">
      <w:pPr>
        <w:pStyle w:val="Arttitle"/>
      </w:pPr>
      <w:bookmarkStart w:id="377" w:name="_Toc280261858"/>
      <w:bookmarkStart w:id="378" w:name="_Toc280262356"/>
      <w:bookmarkStart w:id="379" w:name="_Toc280272750"/>
      <w:bookmarkStart w:id="380" w:name="_Toc280272929"/>
      <w:r w:rsidRPr="00610AD5">
        <w:t>Article 36</w:t>
      </w:r>
      <w:r w:rsidRPr="00610AD5">
        <w:br/>
      </w:r>
      <w:r w:rsidRPr="00610AD5">
        <w:br/>
      </w:r>
      <w:bookmarkStart w:id="381" w:name="_Toc199215058"/>
      <w:r w:rsidRPr="00610AD5">
        <w:t>Penalties</w:t>
      </w:r>
      <w:bookmarkEnd w:id="377"/>
      <w:bookmarkEnd w:id="378"/>
      <w:bookmarkEnd w:id="379"/>
      <w:bookmarkEnd w:id="380"/>
      <w:bookmarkEnd w:id="381"/>
    </w:p>
    <w:p w:rsidR="00610AD5" w:rsidRPr="00610AD5" w:rsidRDefault="00610AD5" w:rsidP="00610AD5">
      <w:pPr>
        <w:rPr>
          <w:szCs w:val="19"/>
        </w:rPr>
      </w:pPr>
      <w:r w:rsidRPr="00610AD5">
        <w:rPr>
          <w:szCs w:val="19"/>
        </w:rPr>
        <w:t>The TRA has the power to impose penalties upon any instance of non-observation of the terms and conditions of this Policy and any other Regulatory Instrument issued by the TRA. The manner and circumstances upon which the penalty should be imposed and the amount of such penalty is specified in the articles of the Federal Law issued by the Decree 3 of 2003 as amended.</w:t>
      </w:r>
    </w:p>
    <w:p w:rsidR="00610AD5" w:rsidRPr="00610AD5" w:rsidRDefault="00610AD5" w:rsidP="00737413">
      <w:pPr>
        <w:pStyle w:val="Arttitle"/>
      </w:pPr>
      <w:bookmarkStart w:id="382" w:name="_Toc280261859"/>
      <w:bookmarkStart w:id="383" w:name="_Toc280262357"/>
      <w:bookmarkStart w:id="384" w:name="_Toc280272751"/>
      <w:bookmarkStart w:id="385" w:name="_Toc280272930"/>
      <w:r w:rsidRPr="00610AD5">
        <w:t>Article 37</w:t>
      </w:r>
      <w:r w:rsidRPr="00610AD5">
        <w:br/>
      </w:r>
      <w:r w:rsidRPr="00610AD5">
        <w:br/>
      </w:r>
      <w:bookmarkStart w:id="386" w:name="_Toc199215060"/>
      <w:r w:rsidRPr="00610AD5">
        <w:t>Implementation</w:t>
      </w:r>
      <w:bookmarkEnd w:id="382"/>
      <w:bookmarkEnd w:id="383"/>
      <w:bookmarkEnd w:id="384"/>
      <w:bookmarkEnd w:id="385"/>
      <w:bookmarkEnd w:id="386"/>
    </w:p>
    <w:p w:rsidR="00610AD5" w:rsidRPr="00610AD5" w:rsidRDefault="00610AD5" w:rsidP="00610AD5">
      <w:pPr>
        <w:rPr>
          <w:szCs w:val="19"/>
        </w:rPr>
      </w:pPr>
      <w:r w:rsidRPr="00610AD5">
        <w:rPr>
          <w:szCs w:val="19"/>
        </w:rPr>
        <w:t>All invoices raised for the period starting from 1st January 2009 shall be in accordance with this Policy. The invoices raised for the period starting before 1st January 2009 shall be in accordance with the Spectrum Fees Policy Version 1.0</w:t>
      </w:r>
    </w:p>
    <w:p w:rsidR="00610AD5" w:rsidRPr="00610AD5" w:rsidRDefault="00610AD5" w:rsidP="00610AD5">
      <w:pPr>
        <w:tabs>
          <w:tab w:val="clear" w:pos="794"/>
          <w:tab w:val="clear" w:pos="1191"/>
          <w:tab w:val="clear" w:pos="1588"/>
          <w:tab w:val="clear" w:pos="1985"/>
        </w:tabs>
        <w:overflowPunct/>
        <w:autoSpaceDE/>
        <w:autoSpaceDN/>
        <w:adjustRightInd/>
        <w:spacing w:before="0"/>
        <w:jc w:val="left"/>
        <w:textAlignment w:val="auto"/>
        <w:rPr>
          <w:b/>
        </w:rPr>
      </w:pPr>
      <w:r w:rsidRPr="00610AD5">
        <w:rPr>
          <w:b/>
        </w:rPr>
        <w:br w:type="page"/>
      </w:r>
    </w:p>
    <w:p w:rsidR="00610AD5" w:rsidRPr="00610AD5" w:rsidRDefault="00610AD5" w:rsidP="00737413">
      <w:pPr>
        <w:pStyle w:val="AppendixNotitle"/>
        <w:rPr>
          <w:lang w:val="fr-FR"/>
        </w:rPr>
      </w:pPr>
      <w:bookmarkStart w:id="387" w:name="_Toc280260048"/>
      <w:bookmarkStart w:id="388" w:name="_Toc280260904"/>
      <w:bookmarkStart w:id="389" w:name="_Toc280272509"/>
      <w:r w:rsidRPr="00610AD5">
        <w:lastRenderedPageBreak/>
        <w:t>Appendice 1.2 (Français)</w:t>
      </w:r>
      <w:r w:rsidRPr="00610AD5">
        <w:br/>
      </w:r>
      <w:r w:rsidRPr="00610AD5">
        <w:br/>
      </w:r>
      <w:r w:rsidRPr="00610AD5">
        <w:rPr>
          <w:lang w:val="fr-FR"/>
        </w:rPr>
        <w:t>Emirats arabes unis: Exemple de directive en matière</w:t>
      </w:r>
      <w:r w:rsidRPr="00610AD5">
        <w:rPr>
          <w:lang w:val="fr-FR"/>
        </w:rPr>
        <w:br/>
        <w:t>de droits d'utilisation du spectre</w:t>
      </w:r>
      <w:bookmarkEnd w:id="387"/>
      <w:bookmarkEnd w:id="388"/>
      <w:bookmarkEnd w:id="389"/>
    </w:p>
    <w:p w:rsidR="00610AD5" w:rsidRPr="00610AD5" w:rsidRDefault="00610AD5" w:rsidP="00610AD5">
      <w:pPr>
        <w:spacing w:before="360"/>
        <w:rPr>
          <w:lang w:val="fr-FR"/>
        </w:rPr>
      </w:pPr>
    </w:p>
    <w:p w:rsidR="00610AD5" w:rsidRPr="00610AD5" w:rsidRDefault="00610AD5" w:rsidP="00610AD5">
      <w:pPr>
        <w:suppressAutoHyphens/>
        <w:jc w:val="center"/>
        <w:rPr>
          <w:b/>
        </w:rPr>
      </w:pPr>
      <w:r w:rsidRPr="00610AD5">
        <w:rPr>
          <w:b/>
        </w:rPr>
        <w:t>TABLE DES MATIÈRES</w:t>
      </w:r>
    </w:p>
    <w:p w:rsidR="00610AD5" w:rsidRPr="00610AD5" w:rsidRDefault="00610AD5" w:rsidP="00610AD5">
      <w:pPr>
        <w:widowControl w:val="0"/>
        <w:snapToGrid w:val="0"/>
        <w:rPr>
          <w:lang w:val="fr-FR"/>
        </w:rPr>
      </w:pPr>
    </w:p>
    <w:p w:rsidR="00610AD5" w:rsidRPr="00610AD5" w:rsidRDefault="00610AD5" w:rsidP="00610AD5">
      <w:pPr>
        <w:keepNext/>
        <w:tabs>
          <w:tab w:val="clear" w:pos="794"/>
          <w:tab w:val="clear" w:pos="1191"/>
          <w:tab w:val="clear" w:pos="1588"/>
          <w:tab w:val="clear" w:pos="1985"/>
          <w:tab w:val="right" w:pos="9639"/>
        </w:tabs>
        <w:jc w:val="left"/>
        <w:rPr>
          <w:b/>
          <w:i/>
          <w:iCs/>
        </w:rPr>
      </w:pPr>
      <w:r w:rsidRPr="00610AD5">
        <w:rPr>
          <w:i/>
          <w:iCs/>
        </w:rPr>
        <w:tab/>
      </w:r>
      <w:r w:rsidRPr="00610AD5">
        <w:rPr>
          <w:b/>
          <w:i/>
          <w:iCs/>
        </w:rPr>
        <w:t>Page</w:t>
      </w:r>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r w:rsidRPr="005D1F2F">
        <w:rPr>
          <w:noProof/>
          <w:szCs w:val="24"/>
          <w:lang w:val="fr-FR"/>
        </w:rPr>
        <w:fldChar w:fldCharType="begin"/>
      </w:r>
      <w:r w:rsidR="00610AD5" w:rsidRPr="00C608EC">
        <w:rPr>
          <w:noProof/>
          <w:szCs w:val="24"/>
          <w:lang w:val="fr-FR"/>
        </w:rPr>
        <w:instrText xml:space="preserve"> TOC \h \z \t "Art_title;1" </w:instrText>
      </w:r>
      <w:r w:rsidRPr="005D1F2F">
        <w:rPr>
          <w:noProof/>
          <w:szCs w:val="24"/>
          <w:lang w:val="fr-FR"/>
        </w:rPr>
        <w:fldChar w:fldCharType="separate"/>
      </w:r>
      <w:hyperlink w:anchor="_Toc280272931" w:history="1">
        <w:r w:rsidR="00610AD5" w:rsidRPr="00C608EC">
          <w:rPr>
            <w:noProof/>
            <w:szCs w:val="24"/>
            <w:lang w:val="en-US"/>
          </w:rPr>
          <w:t>Article 1 – Objet</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_Toc280272931 \h </w:instrText>
        </w:r>
        <w:r w:rsidRPr="00C608EC">
          <w:rPr>
            <w:noProof/>
            <w:webHidden/>
            <w:szCs w:val="24"/>
            <w:lang w:val="en-US"/>
          </w:rPr>
        </w:r>
        <w:r w:rsidRPr="00C608EC">
          <w:rPr>
            <w:noProof/>
            <w:webHidden/>
            <w:szCs w:val="24"/>
            <w:lang w:val="en-US"/>
          </w:rPr>
          <w:fldChar w:fldCharType="separate"/>
        </w:r>
        <w:r w:rsidR="00F43450">
          <w:rPr>
            <w:noProof/>
            <w:webHidden/>
            <w:szCs w:val="24"/>
            <w:lang w:val="en-US"/>
          </w:rPr>
          <w:t>45</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932" w:history="1">
        <w:r w:rsidR="00610AD5" w:rsidRPr="00C608EC">
          <w:rPr>
            <w:noProof/>
            <w:szCs w:val="24"/>
            <w:lang w:val="en-US"/>
          </w:rPr>
          <w:t>Article 2 – Définitions</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_Toc280272932 \h </w:instrText>
        </w:r>
        <w:r w:rsidRPr="00C608EC">
          <w:rPr>
            <w:noProof/>
            <w:webHidden/>
            <w:szCs w:val="24"/>
            <w:lang w:val="en-US"/>
          </w:rPr>
        </w:r>
        <w:r w:rsidRPr="00C608EC">
          <w:rPr>
            <w:noProof/>
            <w:webHidden/>
            <w:szCs w:val="24"/>
            <w:lang w:val="en-US"/>
          </w:rPr>
          <w:fldChar w:fldCharType="separate"/>
        </w:r>
        <w:r w:rsidR="00F43450">
          <w:rPr>
            <w:noProof/>
            <w:webHidden/>
            <w:szCs w:val="24"/>
            <w:lang w:val="en-US"/>
          </w:rPr>
          <w:t>45</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933" w:history="1">
        <w:r w:rsidR="00610AD5" w:rsidRPr="00C608EC">
          <w:rPr>
            <w:noProof/>
            <w:szCs w:val="24"/>
            <w:lang w:val="en-US"/>
          </w:rPr>
          <w:t>Article 3 – Droits à acquitter pour le traitement des demandes</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_Toc280272933 \h </w:instrText>
        </w:r>
        <w:r w:rsidRPr="00C608EC">
          <w:rPr>
            <w:noProof/>
            <w:webHidden/>
            <w:szCs w:val="24"/>
            <w:lang w:val="en-US"/>
          </w:rPr>
        </w:r>
        <w:r w:rsidRPr="00C608EC">
          <w:rPr>
            <w:noProof/>
            <w:webHidden/>
            <w:szCs w:val="24"/>
            <w:lang w:val="en-US"/>
          </w:rPr>
          <w:fldChar w:fldCharType="separate"/>
        </w:r>
        <w:r w:rsidR="00F43450">
          <w:rPr>
            <w:noProof/>
            <w:webHidden/>
            <w:szCs w:val="24"/>
            <w:lang w:val="en-US"/>
          </w:rPr>
          <w:t>46</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934" w:history="1">
        <w:r w:rsidR="00610AD5" w:rsidRPr="00C608EC">
          <w:rPr>
            <w:noProof/>
            <w:szCs w:val="24"/>
            <w:lang w:val="en-US"/>
          </w:rPr>
          <w:t>Article 4 – Exemption des droits à acquitter pour le traitement des demandes</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_Toc280272934 \h </w:instrText>
        </w:r>
        <w:r w:rsidRPr="00C608EC">
          <w:rPr>
            <w:noProof/>
            <w:webHidden/>
            <w:szCs w:val="24"/>
            <w:lang w:val="en-US"/>
          </w:rPr>
        </w:r>
        <w:r w:rsidRPr="00C608EC">
          <w:rPr>
            <w:noProof/>
            <w:webHidden/>
            <w:szCs w:val="24"/>
            <w:lang w:val="en-US"/>
          </w:rPr>
          <w:fldChar w:fldCharType="separate"/>
        </w:r>
        <w:r w:rsidR="00F43450">
          <w:rPr>
            <w:noProof/>
            <w:webHidden/>
            <w:szCs w:val="24"/>
            <w:lang w:val="en-US"/>
          </w:rPr>
          <w:t>46</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935" w:history="1">
        <w:r w:rsidR="00610AD5" w:rsidRPr="00C608EC">
          <w:rPr>
            <w:noProof/>
            <w:szCs w:val="24"/>
            <w:lang w:val="en-US"/>
          </w:rPr>
          <w:t>Article 5 – Droits d'utilisation du spectre à acquitter en cas de nouvelle demande</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_Toc280272935 \h </w:instrText>
        </w:r>
        <w:r w:rsidRPr="00C608EC">
          <w:rPr>
            <w:noProof/>
            <w:webHidden/>
            <w:szCs w:val="24"/>
            <w:lang w:val="en-US"/>
          </w:rPr>
        </w:r>
        <w:r w:rsidRPr="00C608EC">
          <w:rPr>
            <w:noProof/>
            <w:webHidden/>
            <w:szCs w:val="24"/>
            <w:lang w:val="en-US"/>
          </w:rPr>
          <w:fldChar w:fldCharType="separate"/>
        </w:r>
        <w:r w:rsidR="00F43450">
          <w:rPr>
            <w:noProof/>
            <w:webHidden/>
            <w:szCs w:val="24"/>
            <w:lang w:val="en-US"/>
          </w:rPr>
          <w:t>47</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936" w:history="1">
        <w:r w:rsidR="00610AD5" w:rsidRPr="00C608EC">
          <w:rPr>
            <w:noProof/>
            <w:szCs w:val="24"/>
            <w:lang w:val="en-US"/>
          </w:rPr>
          <w:t>Article 6 – Montant des droits à acquitter pour le renouvellement d'une autorisation</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_Toc280272936 \h </w:instrText>
        </w:r>
        <w:r w:rsidRPr="00C608EC">
          <w:rPr>
            <w:noProof/>
            <w:webHidden/>
            <w:szCs w:val="24"/>
            <w:lang w:val="en-US"/>
          </w:rPr>
        </w:r>
        <w:r w:rsidRPr="00C608EC">
          <w:rPr>
            <w:noProof/>
            <w:webHidden/>
            <w:szCs w:val="24"/>
            <w:lang w:val="en-US"/>
          </w:rPr>
          <w:fldChar w:fldCharType="separate"/>
        </w:r>
        <w:r w:rsidR="00F43450">
          <w:rPr>
            <w:noProof/>
            <w:webHidden/>
            <w:szCs w:val="24"/>
            <w:lang w:val="en-US"/>
          </w:rPr>
          <w:t>47</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937" w:history="1">
        <w:r w:rsidR="00610AD5" w:rsidRPr="00C608EC">
          <w:rPr>
            <w:noProof/>
            <w:szCs w:val="24"/>
            <w:lang w:val="en-US"/>
          </w:rPr>
          <w:t>Article 7 – Droits supplémentaires à acquitter en cas de retard  du renouvellement de l'autorisation</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_Toc280272937 \h </w:instrText>
        </w:r>
        <w:r w:rsidRPr="00C608EC">
          <w:rPr>
            <w:noProof/>
            <w:webHidden/>
            <w:szCs w:val="24"/>
            <w:lang w:val="en-US"/>
          </w:rPr>
        </w:r>
        <w:r w:rsidRPr="00C608EC">
          <w:rPr>
            <w:noProof/>
            <w:webHidden/>
            <w:szCs w:val="24"/>
            <w:lang w:val="en-US"/>
          </w:rPr>
          <w:fldChar w:fldCharType="separate"/>
        </w:r>
        <w:r w:rsidR="00F43450">
          <w:rPr>
            <w:noProof/>
            <w:webHidden/>
            <w:szCs w:val="24"/>
            <w:lang w:val="en-US"/>
          </w:rPr>
          <w:t>47</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938" w:history="1">
        <w:r w:rsidR="00610AD5" w:rsidRPr="00C608EC">
          <w:rPr>
            <w:noProof/>
            <w:szCs w:val="24"/>
            <w:lang w:val="en-US"/>
          </w:rPr>
          <w:t>Article 8 – Droits à acquitter pour obtenir une copie d'une autorisation</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_Toc280272938 \h </w:instrText>
        </w:r>
        <w:r w:rsidRPr="00C608EC">
          <w:rPr>
            <w:noProof/>
            <w:webHidden/>
            <w:szCs w:val="24"/>
            <w:lang w:val="en-US"/>
          </w:rPr>
        </w:r>
        <w:r w:rsidRPr="00C608EC">
          <w:rPr>
            <w:noProof/>
            <w:webHidden/>
            <w:szCs w:val="24"/>
            <w:lang w:val="en-US"/>
          </w:rPr>
          <w:fldChar w:fldCharType="separate"/>
        </w:r>
        <w:r w:rsidR="00F43450">
          <w:rPr>
            <w:noProof/>
            <w:webHidden/>
            <w:szCs w:val="24"/>
            <w:lang w:val="en-US"/>
          </w:rPr>
          <w:t>47</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939" w:history="1">
        <w:r w:rsidR="00610AD5" w:rsidRPr="00C608EC">
          <w:rPr>
            <w:noProof/>
            <w:szCs w:val="24"/>
            <w:lang w:val="en-US"/>
          </w:rPr>
          <w:t>Article 9 – Droits à acquitter pour modifier l'autorisation</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_Toc280272939 \h </w:instrText>
        </w:r>
        <w:r w:rsidRPr="00C608EC">
          <w:rPr>
            <w:noProof/>
            <w:webHidden/>
            <w:szCs w:val="24"/>
            <w:lang w:val="en-US"/>
          </w:rPr>
        </w:r>
        <w:r w:rsidRPr="00C608EC">
          <w:rPr>
            <w:noProof/>
            <w:webHidden/>
            <w:szCs w:val="24"/>
            <w:lang w:val="en-US"/>
          </w:rPr>
          <w:fldChar w:fldCharType="separate"/>
        </w:r>
        <w:r w:rsidR="00F43450">
          <w:rPr>
            <w:noProof/>
            <w:webHidden/>
            <w:szCs w:val="24"/>
            <w:lang w:val="en-US"/>
          </w:rPr>
          <w:t>48</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940" w:history="1">
        <w:r w:rsidR="00610AD5" w:rsidRPr="00C608EC">
          <w:rPr>
            <w:noProof/>
            <w:szCs w:val="24"/>
            <w:lang w:val="en-US"/>
          </w:rPr>
          <w:t>Article 10 – Droits à acquitter pour l'annulation d'une autorisation</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_Toc280272940 \h </w:instrText>
        </w:r>
        <w:r w:rsidRPr="00C608EC">
          <w:rPr>
            <w:noProof/>
            <w:webHidden/>
            <w:szCs w:val="24"/>
            <w:lang w:val="en-US"/>
          </w:rPr>
        </w:r>
        <w:r w:rsidRPr="00C608EC">
          <w:rPr>
            <w:noProof/>
            <w:webHidden/>
            <w:szCs w:val="24"/>
            <w:lang w:val="en-US"/>
          </w:rPr>
          <w:fldChar w:fldCharType="separate"/>
        </w:r>
        <w:r w:rsidR="00F43450">
          <w:rPr>
            <w:noProof/>
            <w:webHidden/>
            <w:szCs w:val="24"/>
            <w:lang w:val="en-US"/>
          </w:rPr>
          <w:t>48</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941" w:history="1">
        <w:r w:rsidR="00610AD5" w:rsidRPr="00C608EC">
          <w:rPr>
            <w:noProof/>
            <w:szCs w:val="24"/>
            <w:lang w:val="en-US"/>
          </w:rPr>
          <w:t>Article 11 – Droits à acquitter pour l'utilisation du spectre pour le service mobile terrestre public (cellulaire)</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_Toc280272941 \h </w:instrText>
        </w:r>
        <w:r w:rsidRPr="00C608EC">
          <w:rPr>
            <w:noProof/>
            <w:webHidden/>
            <w:szCs w:val="24"/>
            <w:lang w:val="en-US"/>
          </w:rPr>
        </w:r>
        <w:r w:rsidRPr="00C608EC">
          <w:rPr>
            <w:noProof/>
            <w:webHidden/>
            <w:szCs w:val="24"/>
            <w:lang w:val="en-US"/>
          </w:rPr>
          <w:fldChar w:fldCharType="separate"/>
        </w:r>
        <w:r w:rsidR="00F43450">
          <w:rPr>
            <w:noProof/>
            <w:webHidden/>
            <w:szCs w:val="24"/>
            <w:lang w:val="en-US"/>
          </w:rPr>
          <w:t>48</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942" w:history="1">
        <w:r w:rsidR="00610AD5" w:rsidRPr="00C608EC">
          <w:rPr>
            <w:noProof/>
            <w:szCs w:val="24"/>
            <w:lang w:val="en-US"/>
          </w:rPr>
          <w:t>Article 12 – Droits à acquitter pour les radiocommunications mobiles privées,  la radiomessagerie et les systèmes à ressources partagées</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_Toc280272942 \h </w:instrText>
        </w:r>
        <w:r w:rsidRPr="00C608EC">
          <w:rPr>
            <w:noProof/>
            <w:webHidden/>
            <w:szCs w:val="24"/>
            <w:lang w:val="en-US"/>
          </w:rPr>
        </w:r>
        <w:r w:rsidRPr="00C608EC">
          <w:rPr>
            <w:noProof/>
            <w:webHidden/>
            <w:szCs w:val="24"/>
            <w:lang w:val="en-US"/>
          </w:rPr>
          <w:fldChar w:fldCharType="separate"/>
        </w:r>
        <w:r w:rsidR="00F43450">
          <w:rPr>
            <w:noProof/>
            <w:webHidden/>
            <w:szCs w:val="24"/>
            <w:lang w:val="en-US"/>
          </w:rPr>
          <w:t>49</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943" w:history="1">
        <w:r w:rsidR="00610AD5" w:rsidRPr="00C608EC">
          <w:rPr>
            <w:noProof/>
            <w:szCs w:val="24"/>
            <w:lang w:val="en-US"/>
          </w:rPr>
          <w:t>Article 13 – Droits à acquitter pour l'utilisation du spectre pour des liaisons fixes (point à point)</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_Toc280272943 \h </w:instrText>
        </w:r>
        <w:r w:rsidRPr="00C608EC">
          <w:rPr>
            <w:noProof/>
            <w:webHidden/>
            <w:szCs w:val="24"/>
            <w:lang w:val="en-US"/>
          </w:rPr>
        </w:r>
        <w:r w:rsidRPr="00C608EC">
          <w:rPr>
            <w:noProof/>
            <w:webHidden/>
            <w:szCs w:val="24"/>
            <w:lang w:val="en-US"/>
          </w:rPr>
          <w:fldChar w:fldCharType="separate"/>
        </w:r>
        <w:r w:rsidR="00F43450">
          <w:rPr>
            <w:noProof/>
            <w:webHidden/>
            <w:szCs w:val="24"/>
            <w:lang w:val="en-US"/>
          </w:rPr>
          <w:t>51</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944" w:history="1">
        <w:r w:rsidR="00610AD5" w:rsidRPr="00C608EC">
          <w:rPr>
            <w:noProof/>
            <w:szCs w:val="24"/>
            <w:lang w:val="en-US"/>
          </w:rPr>
          <w:t>Article 14 – Droits d'utilisation du spectre à acquitter pour l'accès hertzien fixe,  les systèmes de surveillance et d'acquisition de données (SCADA), la télémesure et les réseaux maillés</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_Toc280272944 \h </w:instrText>
        </w:r>
        <w:r w:rsidRPr="00C608EC">
          <w:rPr>
            <w:noProof/>
            <w:webHidden/>
            <w:szCs w:val="24"/>
            <w:lang w:val="en-US"/>
          </w:rPr>
        </w:r>
        <w:r w:rsidRPr="00C608EC">
          <w:rPr>
            <w:noProof/>
            <w:webHidden/>
            <w:szCs w:val="24"/>
            <w:lang w:val="en-US"/>
          </w:rPr>
          <w:fldChar w:fldCharType="separate"/>
        </w:r>
        <w:r w:rsidR="00F43450">
          <w:rPr>
            <w:noProof/>
            <w:webHidden/>
            <w:szCs w:val="24"/>
            <w:lang w:val="en-US"/>
          </w:rPr>
          <w:t>52</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945" w:history="1">
        <w:r w:rsidR="00610AD5" w:rsidRPr="00C608EC">
          <w:rPr>
            <w:noProof/>
            <w:szCs w:val="24"/>
            <w:lang w:val="en-US"/>
          </w:rPr>
          <w:t>Article 15 – Droits d'utilisation du spectre à acquitter pour l'accès hertzien large bande mobile</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_Toc280272945 \h </w:instrText>
        </w:r>
        <w:r w:rsidRPr="00C608EC">
          <w:rPr>
            <w:noProof/>
            <w:webHidden/>
            <w:szCs w:val="24"/>
            <w:lang w:val="en-US"/>
          </w:rPr>
        </w:r>
        <w:r w:rsidRPr="00C608EC">
          <w:rPr>
            <w:noProof/>
            <w:webHidden/>
            <w:szCs w:val="24"/>
            <w:lang w:val="en-US"/>
          </w:rPr>
          <w:fldChar w:fldCharType="separate"/>
        </w:r>
        <w:r w:rsidR="00F43450">
          <w:rPr>
            <w:noProof/>
            <w:webHidden/>
            <w:szCs w:val="24"/>
            <w:lang w:val="en-US"/>
          </w:rPr>
          <w:t>52</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946" w:history="1">
        <w:r w:rsidR="00610AD5" w:rsidRPr="00C608EC">
          <w:rPr>
            <w:noProof/>
            <w:szCs w:val="24"/>
            <w:lang w:val="en-US"/>
          </w:rPr>
          <w:t>Article 16 – Droits d'utilisation du spectre pour les liaisons à fibre optique et les liaisons laser</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_Toc280272946 \h </w:instrText>
        </w:r>
        <w:r w:rsidRPr="00C608EC">
          <w:rPr>
            <w:noProof/>
            <w:webHidden/>
            <w:szCs w:val="24"/>
            <w:lang w:val="en-US"/>
          </w:rPr>
        </w:r>
        <w:r w:rsidRPr="00C608EC">
          <w:rPr>
            <w:noProof/>
            <w:webHidden/>
            <w:szCs w:val="24"/>
            <w:lang w:val="en-US"/>
          </w:rPr>
          <w:fldChar w:fldCharType="separate"/>
        </w:r>
        <w:r w:rsidR="00F43450">
          <w:rPr>
            <w:noProof/>
            <w:webHidden/>
            <w:szCs w:val="24"/>
            <w:lang w:val="en-US"/>
          </w:rPr>
          <w:t>53</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947" w:history="1">
        <w:r w:rsidR="00610AD5" w:rsidRPr="00C608EC">
          <w:rPr>
            <w:noProof/>
            <w:szCs w:val="24"/>
            <w:lang w:val="en-US"/>
          </w:rPr>
          <w:t>Article 17 – Droits d'utilisation du spectre pour les réseaux WLAN et la téléphonie sans fil</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_Toc280272947 \h </w:instrText>
        </w:r>
        <w:r w:rsidRPr="00C608EC">
          <w:rPr>
            <w:noProof/>
            <w:webHidden/>
            <w:szCs w:val="24"/>
            <w:lang w:val="en-US"/>
          </w:rPr>
        </w:r>
        <w:r w:rsidRPr="00C608EC">
          <w:rPr>
            <w:noProof/>
            <w:webHidden/>
            <w:szCs w:val="24"/>
            <w:lang w:val="en-US"/>
          </w:rPr>
          <w:fldChar w:fldCharType="separate"/>
        </w:r>
        <w:r w:rsidR="00F43450">
          <w:rPr>
            <w:noProof/>
            <w:webHidden/>
            <w:szCs w:val="24"/>
            <w:lang w:val="en-US"/>
          </w:rPr>
          <w:t>53</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948" w:history="1">
        <w:r w:rsidR="00610AD5" w:rsidRPr="00C608EC">
          <w:rPr>
            <w:noProof/>
            <w:szCs w:val="24"/>
            <w:lang w:val="en-US"/>
          </w:rPr>
          <w:t>Article 18 – Droits d'utilisation du spectre pour les systèmes GMPCS</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_Toc280272948 \h </w:instrText>
        </w:r>
        <w:r w:rsidRPr="00C608EC">
          <w:rPr>
            <w:noProof/>
            <w:webHidden/>
            <w:szCs w:val="24"/>
            <w:lang w:val="en-US"/>
          </w:rPr>
        </w:r>
        <w:r w:rsidRPr="00C608EC">
          <w:rPr>
            <w:noProof/>
            <w:webHidden/>
            <w:szCs w:val="24"/>
            <w:lang w:val="en-US"/>
          </w:rPr>
          <w:fldChar w:fldCharType="separate"/>
        </w:r>
        <w:r w:rsidR="00F43450">
          <w:rPr>
            <w:noProof/>
            <w:webHidden/>
            <w:szCs w:val="24"/>
            <w:lang w:val="en-US"/>
          </w:rPr>
          <w:t>53</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949" w:history="1">
        <w:r w:rsidR="00610AD5" w:rsidRPr="00C608EC">
          <w:rPr>
            <w:noProof/>
            <w:szCs w:val="24"/>
            <w:lang w:val="en-US"/>
          </w:rPr>
          <w:t>Article 19 – Droits d'utilisation du spectre pour le Service d'amateur</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_Toc280272949 \h </w:instrText>
        </w:r>
        <w:r w:rsidRPr="00C608EC">
          <w:rPr>
            <w:noProof/>
            <w:webHidden/>
            <w:szCs w:val="24"/>
            <w:lang w:val="en-US"/>
          </w:rPr>
        </w:r>
        <w:r w:rsidRPr="00C608EC">
          <w:rPr>
            <w:noProof/>
            <w:webHidden/>
            <w:szCs w:val="24"/>
            <w:lang w:val="en-US"/>
          </w:rPr>
          <w:fldChar w:fldCharType="separate"/>
        </w:r>
        <w:r w:rsidR="00F43450">
          <w:rPr>
            <w:noProof/>
            <w:webHidden/>
            <w:szCs w:val="24"/>
            <w:lang w:val="en-US"/>
          </w:rPr>
          <w:t>54</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950" w:history="1">
        <w:r w:rsidR="00610AD5" w:rsidRPr="00C608EC">
          <w:rPr>
            <w:noProof/>
            <w:szCs w:val="24"/>
            <w:lang w:val="en-US"/>
          </w:rPr>
          <w:t>Article 20 – Droits d'utilisation du spectre à acquitter pour les stations  de radiocommunication aéronautiques</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_Toc280272950 \h </w:instrText>
        </w:r>
        <w:r w:rsidRPr="00C608EC">
          <w:rPr>
            <w:noProof/>
            <w:webHidden/>
            <w:szCs w:val="24"/>
            <w:lang w:val="en-US"/>
          </w:rPr>
        </w:r>
        <w:r w:rsidRPr="00C608EC">
          <w:rPr>
            <w:noProof/>
            <w:webHidden/>
            <w:szCs w:val="24"/>
            <w:lang w:val="en-US"/>
          </w:rPr>
          <w:fldChar w:fldCharType="separate"/>
        </w:r>
        <w:r w:rsidR="00F43450">
          <w:rPr>
            <w:noProof/>
            <w:webHidden/>
            <w:szCs w:val="24"/>
            <w:lang w:val="en-US"/>
          </w:rPr>
          <w:t>54</w:t>
        </w:r>
        <w:r w:rsidRPr="00C608EC">
          <w:rPr>
            <w:noProof/>
            <w:webHidden/>
            <w:szCs w:val="24"/>
            <w:lang w:val="en-US"/>
          </w:rPr>
          <w:fldChar w:fldCharType="end"/>
        </w:r>
      </w:hyperlink>
    </w:p>
    <w:p w:rsidR="00610AD5" w:rsidRPr="00C608EC" w:rsidRDefault="00610AD5" w:rsidP="00610AD5">
      <w:pPr>
        <w:keepNext/>
        <w:tabs>
          <w:tab w:val="clear" w:pos="794"/>
          <w:tab w:val="clear" w:pos="1191"/>
          <w:tab w:val="clear" w:pos="1588"/>
          <w:tab w:val="clear" w:pos="1985"/>
          <w:tab w:val="right" w:pos="9639"/>
        </w:tabs>
        <w:jc w:val="left"/>
        <w:rPr>
          <w:b/>
          <w:i/>
          <w:iCs/>
          <w:noProof/>
        </w:rPr>
      </w:pPr>
      <w:r w:rsidRPr="00C608EC">
        <w:rPr>
          <w:i/>
          <w:iCs/>
          <w:noProof/>
        </w:rPr>
        <w:lastRenderedPageBreak/>
        <w:tab/>
      </w:r>
      <w:r w:rsidRPr="00C608EC">
        <w:rPr>
          <w:b/>
          <w:i/>
          <w:iCs/>
          <w:noProof/>
        </w:rPr>
        <w:t>Page</w:t>
      </w:r>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951" w:history="1">
        <w:r w:rsidR="00610AD5" w:rsidRPr="00C608EC">
          <w:rPr>
            <w:noProof/>
            <w:szCs w:val="24"/>
            <w:lang w:val="en-US"/>
          </w:rPr>
          <w:t>Article 21 – Droits d'utilisation du spectre pour les services de radiocommunication maritimes</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_Toc280272951 \h </w:instrText>
        </w:r>
        <w:r w:rsidRPr="00C608EC">
          <w:rPr>
            <w:noProof/>
            <w:webHidden/>
            <w:szCs w:val="24"/>
            <w:lang w:val="en-US"/>
          </w:rPr>
        </w:r>
        <w:r w:rsidRPr="00C608EC">
          <w:rPr>
            <w:noProof/>
            <w:webHidden/>
            <w:szCs w:val="24"/>
            <w:lang w:val="en-US"/>
          </w:rPr>
          <w:fldChar w:fldCharType="separate"/>
        </w:r>
        <w:r w:rsidR="00F43450">
          <w:rPr>
            <w:noProof/>
            <w:webHidden/>
            <w:szCs w:val="24"/>
            <w:lang w:val="en-US"/>
          </w:rPr>
          <w:t>54</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952" w:history="1">
        <w:r w:rsidR="00610AD5" w:rsidRPr="00C608EC">
          <w:rPr>
            <w:noProof/>
            <w:szCs w:val="24"/>
            <w:lang w:val="en-US"/>
          </w:rPr>
          <w:t>Article 22 – Droits d'utilisation du spectre à acquitter pour les services spatiaux  et les services auxiliaires</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_Toc280272952 \h </w:instrText>
        </w:r>
        <w:r w:rsidRPr="00C608EC">
          <w:rPr>
            <w:noProof/>
            <w:webHidden/>
            <w:szCs w:val="24"/>
            <w:lang w:val="en-US"/>
          </w:rPr>
        </w:r>
        <w:r w:rsidRPr="00C608EC">
          <w:rPr>
            <w:noProof/>
            <w:webHidden/>
            <w:szCs w:val="24"/>
            <w:lang w:val="en-US"/>
          </w:rPr>
          <w:fldChar w:fldCharType="separate"/>
        </w:r>
        <w:r w:rsidR="00F43450">
          <w:rPr>
            <w:noProof/>
            <w:webHidden/>
            <w:szCs w:val="24"/>
            <w:lang w:val="en-US"/>
          </w:rPr>
          <w:t>54</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953" w:history="1">
        <w:r w:rsidR="00610AD5" w:rsidRPr="00C608EC">
          <w:rPr>
            <w:noProof/>
            <w:szCs w:val="24"/>
            <w:lang w:val="en-US"/>
          </w:rPr>
          <w:t>Article 23 – Droits à acquitter pour les stations de radionavigation</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_Toc280272953 \h </w:instrText>
        </w:r>
        <w:r w:rsidRPr="00C608EC">
          <w:rPr>
            <w:noProof/>
            <w:webHidden/>
            <w:szCs w:val="24"/>
            <w:lang w:val="en-US"/>
          </w:rPr>
        </w:r>
        <w:r w:rsidRPr="00C608EC">
          <w:rPr>
            <w:noProof/>
            <w:webHidden/>
            <w:szCs w:val="24"/>
            <w:lang w:val="en-US"/>
          </w:rPr>
          <w:fldChar w:fldCharType="separate"/>
        </w:r>
        <w:r w:rsidR="00F43450">
          <w:rPr>
            <w:noProof/>
            <w:webHidden/>
            <w:szCs w:val="24"/>
            <w:lang w:val="en-US"/>
          </w:rPr>
          <w:t>55</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954" w:history="1">
        <w:r w:rsidR="00610AD5" w:rsidRPr="00C608EC">
          <w:rPr>
            <w:noProof/>
            <w:szCs w:val="24"/>
            <w:lang w:val="en-US"/>
          </w:rPr>
          <w:t>Article 24 – Droits à acquitter pour les stations de radioastronomie</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_Toc280272954 \h </w:instrText>
        </w:r>
        <w:r w:rsidRPr="00C608EC">
          <w:rPr>
            <w:noProof/>
            <w:webHidden/>
            <w:szCs w:val="24"/>
            <w:lang w:val="en-US"/>
          </w:rPr>
        </w:r>
        <w:r w:rsidRPr="00C608EC">
          <w:rPr>
            <w:noProof/>
            <w:webHidden/>
            <w:szCs w:val="24"/>
            <w:lang w:val="en-US"/>
          </w:rPr>
          <w:fldChar w:fldCharType="separate"/>
        </w:r>
        <w:r w:rsidR="00F43450">
          <w:rPr>
            <w:noProof/>
            <w:webHidden/>
            <w:szCs w:val="24"/>
            <w:lang w:val="en-US"/>
          </w:rPr>
          <w:t>55</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955" w:history="1">
        <w:r w:rsidR="00610AD5" w:rsidRPr="00C608EC">
          <w:rPr>
            <w:noProof/>
            <w:szCs w:val="24"/>
            <w:lang w:val="en-US"/>
          </w:rPr>
          <w:t>Article 25 – Droits à acquitter pour les stations de radiolocalisation</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_Toc280272955 \h </w:instrText>
        </w:r>
        <w:r w:rsidRPr="00C608EC">
          <w:rPr>
            <w:noProof/>
            <w:webHidden/>
            <w:szCs w:val="24"/>
            <w:lang w:val="en-US"/>
          </w:rPr>
        </w:r>
        <w:r w:rsidRPr="00C608EC">
          <w:rPr>
            <w:noProof/>
            <w:webHidden/>
            <w:szCs w:val="24"/>
            <w:lang w:val="en-US"/>
          </w:rPr>
          <w:fldChar w:fldCharType="separate"/>
        </w:r>
        <w:r w:rsidR="00F43450">
          <w:rPr>
            <w:noProof/>
            <w:webHidden/>
            <w:szCs w:val="24"/>
            <w:lang w:val="en-US"/>
          </w:rPr>
          <w:t>55</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956" w:history="1">
        <w:r w:rsidR="00610AD5" w:rsidRPr="00C608EC">
          <w:rPr>
            <w:noProof/>
            <w:szCs w:val="24"/>
            <w:lang w:val="en-US"/>
          </w:rPr>
          <w:t>Article 26 – Droits à acquitter pour le service de radiodiffusion</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_Toc280272956 \h </w:instrText>
        </w:r>
        <w:r w:rsidRPr="00C608EC">
          <w:rPr>
            <w:noProof/>
            <w:webHidden/>
            <w:szCs w:val="24"/>
            <w:lang w:val="en-US"/>
          </w:rPr>
        </w:r>
        <w:r w:rsidRPr="00C608EC">
          <w:rPr>
            <w:noProof/>
            <w:webHidden/>
            <w:szCs w:val="24"/>
            <w:lang w:val="en-US"/>
          </w:rPr>
          <w:fldChar w:fldCharType="separate"/>
        </w:r>
        <w:r w:rsidR="00F43450">
          <w:rPr>
            <w:noProof/>
            <w:webHidden/>
            <w:szCs w:val="24"/>
            <w:lang w:val="en-US"/>
          </w:rPr>
          <w:t>55</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957" w:history="1">
        <w:r w:rsidR="00610AD5" w:rsidRPr="00C608EC">
          <w:rPr>
            <w:noProof/>
            <w:szCs w:val="24"/>
            <w:lang w:val="en-US"/>
          </w:rPr>
          <w:t>Article 27 – Systèmes à courte portée</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_Toc280272957 \h </w:instrText>
        </w:r>
        <w:r w:rsidRPr="00C608EC">
          <w:rPr>
            <w:noProof/>
            <w:webHidden/>
            <w:szCs w:val="24"/>
            <w:lang w:val="en-US"/>
          </w:rPr>
        </w:r>
        <w:r w:rsidRPr="00C608EC">
          <w:rPr>
            <w:noProof/>
            <w:webHidden/>
            <w:szCs w:val="24"/>
            <w:lang w:val="en-US"/>
          </w:rPr>
          <w:fldChar w:fldCharType="separate"/>
        </w:r>
        <w:r w:rsidR="00F43450">
          <w:rPr>
            <w:noProof/>
            <w:webHidden/>
            <w:szCs w:val="24"/>
            <w:lang w:val="en-US"/>
          </w:rPr>
          <w:t>59</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958" w:history="1">
        <w:r w:rsidR="00610AD5" w:rsidRPr="00C608EC">
          <w:rPr>
            <w:noProof/>
            <w:szCs w:val="24"/>
            <w:lang w:val="en-US"/>
          </w:rPr>
          <w:t>Article 28 – Fréquences à utiliser en cas d'urgence et de catastrophe</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_Toc280272958 \h </w:instrText>
        </w:r>
        <w:r w:rsidRPr="00C608EC">
          <w:rPr>
            <w:noProof/>
            <w:webHidden/>
            <w:szCs w:val="24"/>
            <w:lang w:val="en-US"/>
          </w:rPr>
        </w:r>
        <w:r w:rsidRPr="00C608EC">
          <w:rPr>
            <w:noProof/>
            <w:webHidden/>
            <w:szCs w:val="24"/>
            <w:lang w:val="en-US"/>
          </w:rPr>
          <w:fldChar w:fldCharType="separate"/>
        </w:r>
        <w:r w:rsidR="00F43450">
          <w:rPr>
            <w:noProof/>
            <w:webHidden/>
            <w:szCs w:val="24"/>
            <w:lang w:val="en-US"/>
          </w:rPr>
          <w:t>59</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959" w:history="1">
        <w:r w:rsidR="00610AD5" w:rsidRPr="00C608EC">
          <w:rPr>
            <w:noProof/>
            <w:szCs w:val="24"/>
            <w:lang w:val="en-US"/>
          </w:rPr>
          <w:t>Article 29 – Autorisation temporaire</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_Toc280272959 \h </w:instrText>
        </w:r>
        <w:r w:rsidRPr="00C608EC">
          <w:rPr>
            <w:noProof/>
            <w:webHidden/>
            <w:szCs w:val="24"/>
            <w:lang w:val="en-US"/>
          </w:rPr>
        </w:r>
        <w:r w:rsidRPr="00C608EC">
          <w:rPr>
            <w:noProof/>
            <w:webHidden/>
            <w:szCs w:val="24"/>
            <w:lang w:val="en-US"/>
          </w:rPr>
          <w:fldChar w:fldCharType="separate"/>
        </w:r>
        <w:r w:rsidR="00F43450">
          <w:rPr>
            <w:noProof/>
            <w:webHidden/>
            <w:szCs w:val="24"/>
            <w:lang w:val="en-US"/>
          </w:rPr>
          <w:t>60</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960" w:history="1">
        <w:r w:rsidR="00610AD5" w:rsidRPr="00C608EC">
          <w:rPr>
            <w:noProof/>
            <w:szCs w:val="24"/>
            <w:lang w:val="en-US"/>
          </w:rPr>
          <w:t>Article 30 – Autres services de radiocommunication</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_Toc280272960 \h </w:instrText>
        </w:r>
        <w:r w:rsidRPr="00C608EC">
          <w:rPr>
            <w:noProof/>
            <w:webHidden/>
            <w:szCs w:val="24"/>
            <w:lang w:val="en-US"/>
          </w:rPr>
        </w:r>
        <w:r w:rsidRPr="00C608EC">
          <w:rPr>
            <w:noProof/>
            <w:webHidden/>
            <w:szCs w:val="24"/>
            <w:lang w:val="en-US"/>
          </w:rPr>
          <w:fldChar w:fldCharType="separate"/>
        </w:r>
        <w:r w:rsidR="00F43450">
          <w:rPr>
            <w:noProof/>
            <w:webHidden/>
            <w:szCs w:val="24"/>
            <w:lang w:val="en-US"/>
          </w:rPr>
          <w:t>60</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961" w:history="1">
        <w:r w:rsidR="00610AD5" w:rsidRPr="00C608EC">
          <w:rPr>
            <w:noProof/>
            <w:szCs w:val="24"/>
            <w:lang w:val="en-US"/>
          </w:rPr>
          <w:t>Article 31 – Traitement des plaintes pour brouillages et droits applicables</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_Toc280272961 \h </w:instrText>
        </w:r>
        <w:r w:rsidRPr="00C608EC">
          <w:rPr>
            <w:noProof/>
            <w:webHidden/>
            <w:szCs w:val="24"/>
            <w:lang w:val="en-US"/>
          </w:rPr>
        </w:r>
        <w:r w:rsidRPr="00C608EC">
          <w:rPr>
            <w:noProof/>
            <w:webHidden/>
            <w:szCs w:val="24"/>
            <w:lang w:val="en-US"/>
          </w:rPr>
          <w:fldChar w:fldCharType="separate"/>
        </w:r>
        <w:r w:rsidR="00F43450">
          <w:rPr>
            <w:noProof/>
            <w:webHidden/>
            <w:szCs w:val="24"/>
            <w:lang w:val="en-US"/>
          </w:rPr>
          <w:t>60</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962" w:history="1">
        <w:r w:rsidR="00610AD5" w:rsidRPr="00C608EC">
          <w:rPr>
            <w:noProof/>
            <w:szCs w:val="24"/>
            <w:lang w:val="en-US"/>
          </w:rPr>
          <w:t>Article 32 – Droits à acquitter par les ambassades et consulats de pays étrangers  et par les missions diplomatiques</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_Toc280272962 \h </w:instrText>
        </w:r>
        <w:r w:rsidRPr="00C608EC">
          <w:rPr>
            <w:noProof/>
            <w:webHidden/>
            <w:szCs w:val="24"/>
            <w:lang w:val="en-US"/>
          </w:rPr>
        </w:r>
        <w:r w:rsidRPr="00C608EC">
          <w:rPr>
            <w:noProof/>
            <w:webHidden/>
            <w:szCs w:val="24"/>
            <w:lang w:val="en-US"/>
          </w:rPr>
          <w:fldChar w:fldCharType="separate"/>
        </w:r>
        <w:r w:rsidR="00F43450">
          <w:rPr>
            <w:noProof/>
            <w:webHidden/>
            <w:szCs w:val="24"/>
            <w:lang w:val="en-US"/>
          </w:rPr>
          <w:t>60</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963" w:history="1">
        <w:r w:rsidR="00610AD5" w:rsidRPr="00C608EC">
          <w:rPr>
            <w:noProof/>
            <w:szCs w:val="24"/>
            <w:lang w:val="en-US"/>
          </w:rPr>
          <w:t>Article 33 – Droits à acquitter pour la visite des emplacements</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_Toc280272963 \h </w:instrText>
        </w:r>
        <w:r w:rsidRPr="00C608EC">
          <w:rPr>
            <w:noProof/>
            <w:webHidden/>
            <w:szCs w:val="24"/>
            <w:lang w:val="en-US"/>
          </w:rPr>
        </w:r>
        <w:r w:rsidRPr="00C608EC">
          <w:rPr>
            <w:noProof/>
            <w:webHidden/>
            <w:szCs w:val="24"/>
            <w:lang w:val="en-US"/>
          </w:rPr>
          <w:fldChar w:fldCharType="separate"/>
        </w:r>
        <w:r w:rsidR="00F43450">
          <w:rPr>
            <w:noProof/>
            <w:webHidden/>
            <w:szCs w:val="24"/>
            <w:lang w:val="en-US"/>
          </w:rPr>
          <w:t>60</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964" w:history="1">
        <w:r w:rsidR="00610AD5" w:rsidRPr="00C608EC">
          <w:rPr>
            <w:noProof/>
            <w:szCs w:val="24"/>
            <w:lang w:val="en-US"/>
          </w:rPr>
          <w:t>Article 34 – Obligation de paiement</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_Toc280272964 \h </w:instrText>
        </w:r>
        <w:r w:rsidRPr="00C608EC">
          <w:rPr>
            <w:noProof/>
            <w:webHidden/>
            <w:szCs w:val="24"/>
            <w:lang w:val="en-US"/>
          </w:rPr>
        </w:r>
        <w:r w:rsidRPr="00C608EC">
          <w:rPr>
            <w:noProof/>
            <w:webHidden/>
            <w:szCs w:val="24"/>
            <w:lang w:val="en-US"/>
          </w:rPr>
          <w:fldChar w:fldCharType="separate"/>
        </w:r>
        <w:r w:rsidR="00F43450">
          <w:rPr>
            <w:noProof/>
            <w:webHidden/>
            <w:szCs w:val="24"/>
            <w:lang w:val="en-US"/>
          </w:rPr>
          <w:t>60</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965" w:history="1">
        <w:r w:rsidR="00610AD5" w:rsidRPr="00C608EC">
          <w:rPr>
            <w:noProof/>
            <w:szCs w:val="24"/>
            <w:lang w:val="en-US"/>
          </w:rPr>
          <w:t>Article 35 – Méthodes de paiement</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_Toc280272965 \h </w:instrText>
        </w:r>
        <w:r w:rsidRPr="00C608EC">
          <w:rPr>
            <w:noProof/>
            <w:webHidden/>
            <w:szCs w:val="24"/>
            <w:lang w:val="en-US"/>
          </w:rPr>
        </w:r>
        <w:r w:rsidRPr="00C608EC">
          <w:rPr>
            <w:noProof/>
            <w:webHidden/>
            <w:szCs w:val="24"/>
            <w:lang w:val="en-US"/>
          </w:rPr>
          <w:fldChar w:fldCharType="separate"/>
        </w:r>
        <w:r w:rsidR="00F43450">
          <w:rPr>
            <w:noProof/>
            <w:webHidden/>
            <w:szCs w:val="24"/>
            <w:lang w:val="en-US"/>
          </w:rPr>
          <w:t>61</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966" w:history="1">
        <w:r w:rsidR="00610AD5" w:rsidRPr="00C608EC">
          <w:rPr>
            <w:noProof/>
            <w:szCs w:val="24"/>
            <w:lang w:val="en-US"/>
          </w:rPr>
          <w:t>Article 36 – Sanctions</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_Toc280272966 \h </w:instrText>
        </w:r>
        <w:r w:rsidRPr="00C608EC">
          <w:rPr>
            <w:noProof/>
            <w:webHidden/>
            <w:szCs w:val="24"/>
            <w:lang w:val="en-US"/>
          </w:rPr>
        </w:r>
        <w:r w:rsidRPr="00C608EC">
          <w:rPr>
            <w:noProof/>
            <w:webHidden/>
            <w:szCs w:val="24"/>
            <w:lang w:val="en-US"/>
          </w:rPr>
          <w:fldChar w:fldCharType="separate"/>
        </w:r>
        <w:r w:rsidR="00F43450">
          <w:rPr>
            <w:noProof/>
            <w:webHidden/>
            <w:szCs w:val="24"/>
            <w:lang w:val="en-US"/>
          </w:rPr>
          <w:t>61</w:t>
        </w:r>
        <w:r w:rsidRPr="00C608EC">
          <w:rPr>
            <w:noProof/>
            <w:webHidden/>
            <w:szCs w:val="24"/>
            <w:lang w:val="en-US"/>
          </w:rPr>
          <w:fldChar w:fldCharType="end"/>
        </w:r>
      </w:hyperlink>
    </w:p>
    <w:p w:rsidR="00610AD5" w:rsidRPr="00C608EC" w:rsidRDefault="005D1F2F" w:rsidP="00610AD5">
      <w:pPr>
        <w:keepLines/>
        <w:tabs>
          <w:tab w:val="clear" w:pos="794"/>
          <w:tab w:val="clear" w:pos="1191"/>
          <w:tab w:val="clear" w:pos="1588"/>
          <w:tab w:val="clear" w:pos="1985"/>
          <w:tab w:val="left" w:pos="964"/>
          <w:tab w:val="left" w:leader="dot" w:pos="8789"/>
          <w:tab w:val="right" w:pos="9639"/>
        </w:tabs>
        <w:spacing w:before="240"/>
        <w:ind w:left="567" w:right="851" w:hanging="567"/>
        <w:rPr>
          <w:rFonts w:asciiTheme="minorHAnsi" w:eastAsia="SimSun" w:hAnsiTheme="minorHAnsi" w:cstheme="minorBidi"/>
          <w:noProof/>
          <w:szCs w:val="22"/>
          <w:lang w:val="en-US" w:eastAsia="zh-CN"/>
        </w:rPr>
      </w:pPr>
      <w:hyperlink w:anchor="_Toc280272967" w:history="1">
        <w:r w:rsidR="00610AD5" w:rsidRPr="00C608EC">
          <w:rPr>
            <w:noProof/>
            <w:szCs w:val="24"/>
            <w:lang w:val="en-US"/>
          </w:rPr>
          <w:t>Article 37 – Mise en application</w:t>
        </w:r>
        <w:r w:rsidR="00610AD5" w:rsidRPr="00C608EC">
          <w:rPr>
            <w:noProof/>
            <w:webHidden/>
            <w:szCs w:val="24"/>
            <w:lang w:val="en-US"/>
          </w:rPr>
          <w:tab/>
        </w:r>
        <w:r w:rsidR="00610AD5" w:rsidRPr="00C608EC">
          <w:rPr>
            <w:noProof/>
            <w:webHidden/>
            <w:szCs w:val="24"/>
            <w:lang w:val="en-US"/>
          </w:rPr>
          <w:tab/>
        </w:r>
        <w:r w:rsidRPr="00C608EC">
          <w:rPr>
            <w:noProof/>
            <w:webHidden/>
            <w:szCs w:val="24"/>
            <w:lang w:val="en-US"/>
          </w:rPr>
          <w:fldChar w:fldCharType="begin"/>
        </w:r>
        <w:r w:rsidR="00610AD5" w:rsidRPr="00C608EC">
          <w:rPr>
            <w:noProof/>
            <w:webHidden/>
            <w:szCs w:val="24"/>
            <w:lang w:val="en-US"/>
          </w:rPr>
          <w:instrText xml:space="preserve"> PAGEREF _Toc280272967 \h </w:instrText>
        </w:r>
        <w:r w:rsidRPr="00C608EC">
          <w:rPr>
            <w:noProof/>
            <w:webHidden/>
            <w:szCs w:val="24"/>
            <w:lang w:val="en-US"/>
          </w:rPr>
        </w:r>
        <w:r w:rsidRPr="00C608EC">
          <w:rPr>
            <w:noProof/>
            <w:webHidden/>
            <w:szCs w:val="24"/>
            <w:lang w:val="en-US"/>
          </w:rPr>
          <w:fldChar w:fldCharType="separate"/>
        </w:r>
        <w:r w:rsidR="00F43450">
          <w:rPr>
            <w:noProof/>
            <w:webHidden/>
            <w:szCs w:val="24"/>
            <w:lang w:val="en-US"/>
          </w:rPr>
          <w:t>61</w:t>
        </w:r>
        <w:r w:rsidRPr="00C608EC">
          <w:rPr>
            <w:noProof/>
            <w:webHidden/>
            <w:szCs w:val="24"/>
            <w:lang w:val="en-US"/>
          </w:rPr>
          <w:fldChar w:fldCharType="end"/>
        </w:r>
      </w:hyperlink>
    </w:p>
    <w:p w:rsidR="00610AD5" w:rsidRPr="00C608EC" w:rsidRDefault="005D1F2F" w:rsidP="00610AD5">
      <w:pPr>
        <w:rPr>
          <w:lang w:val="fr-FR"/>
        </w:rPr>
      </w:pPr>
      <w:r w:rsidRPr="00C608EC">
        <w:rPr>
          <w:lang w:val="fr-FR"/>
        </w:rPr>
        <w:fldChar w:fldCharType="end"/>
      </w:r>
    </w:p>
    <w:p w:rsidR="00610AD5" w:rsidRPr="00610AD5" w:rsidRDefault="00610AD5" w:rsidP="00AB490D">
      <w:pPr>
        <w:pStyle w:val="Arttitle"/>
      </w:pPr>
      <w:r w:rsidRPr="00610AD5">
        <w:rPr>
          <w:lang w:val="fr-FR"/>
        </w:rPr>
        <w:br w:type="page"/>
      </w:r>
      <w:bookmarkStart w:id="390" w:name="_Toc225739476"/>
      <w:bookmarkStart w:id="391" w:name="_Toc225739811"/>
      <w:bookmarkStart w:id="392" w:name="_Toc280262358"/>
      <w:bookmarkStart w:id="393" w:name="_Toc280272752"/>
      <w:bookmarkStart w:id="394" w:name="_Toc280272931"/>
      <w:r w:rsidRPr="00610AD5">
        <w:lastRenderedPageBreak/>
        <w:t>Article 1</w:t>
      </w:r>
      <w:bookmarkStart w:id="395" w:name="_Toc225739477"/>
      <w:bookmarkStart w:id="396" w:name="_Toc225739812"/>
      <w:bookmarkEnd w:id="390"/>
      <w:bookmarkEnd w:id="391"/>
      <w:r w:rsidRPr="00610AD5">
        <w:br/>
      </w:r>
      <w:r w:rsidRPr="00610AD5">
        <w:br/>
        <w:t>Objet</w:t>
      </w:r>
      <w:bookmarkEnd w:id="392"/>
      <w:bookmarkEnd w:id="393"/>
      <w:bookmarkEnd w:id="394"/>
      <w:bookmarkEnd w:id="395"/>
      <w:bookmarkEnd w:id="396"/>
    </w:p>
    <w:p w:rsidR="00610AD5" w:rsidRPr="00610AD5" w:rsidRDefault="00610AD5" w:rsidP="00610AD5">
      <w:pPr>
        <w:rPr>
          <w:lang w:val="fr-FR"/>
        </w:rPr>
      </w:pPr>
      <w:r w:rsidRPr="00610AD5">
        <w:rPr>
          <w:lang w:val="fr-FR"/>
        </w:rPr>
        <w:t>Conformément à la Loi fédérale (Décret N° 3 de 2003), telle qu'elle a été amendée, et à son texte d'application, la présente directive établit le barème des droits d'utilisation du spectre des fréquences radioélectriques et d'utilisation d'équipements hertziens. Les droits d'utilisation du spectre sont payables à l'avance pour les demandes d'autorisation, l'enregistrement de ces demandes, l'autorisation ou le renouvellement, sauf disposition contraire indiquée dans la présente directive.</w:t>
      </w:r>
    </w:p>
    <w:p w:rsidR="00610AD5" w:rsidRPr="00610AD5" w:rsidRDefault="00610AD5" w:rsidP="00AB490D">
      <w:pPr>
        <w:pStyle w:val="Arttitle"/>
      </w:pPr>
      <w:bookmarkStart w:id="397" w:name="_Toc225739478"/>
      <w:bookmarkStart w:id="398" w:name="_Toc225739813"/>
      <w:bookmarkStart w:id="399" w:name="_Toc280262359"/>
      <w:bookmarkStart w:id="400" w:name="_Toc280272753"/>
      <w:bookmarkStart w:id="401" w:name="_Toc280272932"/>
      <w:r w:rsidRPr="00610AD5">
        <w:t>Article 2</w:t>
      </w:r>
      <w:bookmarkStart w:id="402" w:name="_Toc225739479"/>
      <w:bookmarkStart w:id="403" w:name="_Toc225739814"/>
      <w:bookmarkEnd w:id="397"/>
      <w:bookmarkEnd w:id="398"/>
      <w:r w:rsidRPr="00610AD5">
        <w:br/>
      </w:r>
      <w:r w:rsidRPr="00610AD5">
        <w:br/>
        <w:t>Définitions</w:t>
      </w:r>
      <w:bookmarkEnd w:id="399"/>
      <w:bookmarkEnd w:id="400"/>
      <w:bookmarkEnd w:id="401"/>
      <w:bookmarkEnd w:id="402"/>
      <w:bookmarkEnd w:id="403"/>
    </w:p>
    <w:p w:rsidR="00610AD5" w:rsidRPr="00610AD5" w:rsidRDefault="00610AD5" w:rsidP="00610AD5">
      <w:pPr>
        <w:rPr>
          <w:lang w:val="fr-FR"/>
        </w:rPr>
      </w:pPr>
      <w:r w:rsidRPr="00610AD5">
        <w:rPr>
          <w:lang w:val="fr-FR"/>
        </w:rPr>
        <w:t>Dans la présente directive, les termes suivants ont la signification suivante, sauf si le contexte en décide autrement, et chaque terme utilisé ci-après est défini conformément à la Loi fédérale (Décret N° 3 de 2003), telle qu'elle a été amendée, et à son texte d'application:</w:t>
      </w:r>
    </w:p>
    <w:p w:rsidR="00610AD5" w:rsidRPr="00610AD5" w:rsidRDefault="00610AD5" w:rsidP="00867C40">
      <w:pPr>
        <w:pStyle w:val="enumlev1"/>
      </w:pPr>
      <w:r w:rsidRPr="00610AD5">
        <w:t>2.1</w:t>
      </w:r>
      <w:r w:rsidRPr="00610AD5">
        <w:tab/>
        <w:t>On entend par "</w:t>
      </w:r>
      <w:r w:rsidRPr="00610AD5">
        <w:rPr>
          <w:b/>
        </w:rPr>
        <w:t>Attribution</w:t>
      </w:r>
      <w:r w:rsidRPr="00610AD5">
        <w:t>" l'inscription d'une fréquence ou d'une bande de fréquences désignée dans le plan national des fréquences radioélectriques, devant être utilisée par un ou plusieurs utilisateurs d'un service de radiocommunication de Terre ou spatial dans les Emirats arabes unis.</w:t>
      </w:r>
    </w:p>
    <w:p w:rsidR="00610AD5" w:rsidRPr="00610AD5" w:rsidRDefault="00610AD5" w:rsidP="00867C40">
      <w:pPr>
        <w:pStyle w:val="enumlev1"/>
      </w:pPr>
      <w:r w:rsidRPr="00610AD5">
        <w:t>2.2</w:t>
      </w:r>
      <w:r w:rsidRPr="00610AD5">
        <w:tab/>
        <w:t>On entend par "</w:t>
      </w:r>
      <w:r w:rsidRPr="00610AD5">
        <w:rPr>
          <w:b/>
        </w:rPr>
        <w:t>Demandeur</w:t>
      </w:r>
      <w:r w:rsidRPr="00610AD5">
        <w:t>" toute personne qui a demandé une licence ou une autorisation, conformément à la Loi sur les télécommunications ou à tout autre instrument de politique générale promulgué par la TRA.</w:t>
      </w:r>
    </w:p>
    <w:p w:rsidR="00610AD5" w:rsidRPr="00610AD5" w:rsidRDefault="00610AD5" w:rsidP="00867C40">
      <w:pPr>
        <w:pStyle w:val="enumlev1"/>
      </w:pPr>
      <w:r w:rsidRPr="00610AD5">
        <w:t>2.3</w:t>
      </w:r>
      <w:r w:rsidRPr="00610AD5">
        <w:tab/>
        <w:t>On entend par "</w:t>
      </w:r>
      <w:r w:rsidRPr="00610AD5">
        <w:rPr>
          <w:b/>
        </w:rPr>
        <w:t>Demande</w:t>
      </w:r>
      <w:r w:rsidRPr="00610AD5">
        <w:t>" la demande de délivrance d'une licence ou d'une autorisation, reçue par la TRA selon la procédure en vigueur.</w:t>
      </w:r>
    </w:p>
    <w:p w:rsidR="00610AD5" w:rsidRPr="00610AD5" w:rsidRDefault="00610AD5" w:rsidP="00867C40">
      <w:pPr>
        <w:pStyle w:val="enumlev1"/>
      </w:pPr>
      <w:r w:rsidRPr="00610AD5">
        <w:t>2.4</w:t>
      </w:r>
      <w:r w:rsidRPr="00610AD5">
        <w:tab/>
        <w:t>On entend par "</w:t>
      </w:r>
      <w:r w:rsidRPr="00610AD5">
        <w:rPr>
          <w:b/>
        </w:rPr>
        <w:t>Autorisation</w:t>
      </w:r>
      <w:r w:rsidRPr="00610AD5">
        <w:t>" une autorisation d'utilisation du spectre des fréquences radioélectriques, délivrée par la TRA.</w:t>
      </w:r>
    </w:p>
    <w:p w:rsidR="00610AD5" w:rsidRPr="00610AD5" w:rsidRDefault="00610AD5" w:rsidP="00867C40">
      <w:pPr>
        <w:pStyle w:val="enumlev1"/>
      </w:pPr>
      <w:r w:rsidRPr="00610AD5">
        <w:t>2.5</w:t>
      </w:r>
      <w:r w:rsidRPr="00610AD5">
        <w:tab/>
        <w:t>On entend par "</w:t>
      </w:r>
      <w:r w:rsidRPr="00610AD5">
        <w:rPr>
          <w:b/>
        </w:rPr>
        <w:t>Utilisateur agréé</w:t>
      </w:r>
      <w:r w:rsidRPr="00610AD5">
        <w:t>" une personne à laquelle la TRA a délivré une autorisation d'utilisation du spectre des fréquences radioélectriques.</w:t>
      </w:r>
    </w:p>
    <w:p w:rsidR="00610AD5" w:rsidRPr="00610AD5" w:rsidRDefault="00610AD5" w:rsidP="00867C40">
      <w:pPr>
        <w:pStyle w:val="enumlev1"/>
      </w:pPr>
      <w:r w:rsidRPr="00610AD5">
        <w:t>2.6</w:t>
      </w:r>
      <w:r w:rsidRPr="00610AD5">
        <w:tab/>
        <w:t>On entend par "</w:t>
      </w:r>
      <w:r w:rsidRPr="00610AD5">
        <w:rPr>
          <w:b/>
        </w:rPr>
        <w:t>Autorisation catégorielle</w:t>
      </w:r>
      <w:r w:rsidRPr="00610AD5">
        <w:t>" une autorisation d'utilisation des fréquences radioélectriques qui autorise l'exploitation d'équipements sans fil dans des bandes de fréquences désignées, conformément aux modalités et conditions énoncées ci-après.</w:t>
      </w:r>
    </w:p>
    <w:p w:rsidR="00610AD5" w:rsidRPr="00610AD5" w:rsidRDefault="00610AD5" w:rsidP="00867C40">
      <w:pPr>
        <w:pStyle w:val="enumlev1"/>
      </w:pPr>
      <w:r w:rsidRPr="00610AD5">
        <w:t>2.7</w:t>
      </w:r>
      <w:r w:rsidRPr="00610AD5">
        <w:tab/>
        <w:t>On entend par "</w:t>
      </w:r>
      <w:r w:rsidRPr="00610AD5">
        <w:rPr>
          <w:b/>
        </w:rPr>
        <w:t>Autorisation individuelle</w:t>
      </w:r>
      <w:r w:rsidRPr="00610AD5">
        <w:t>" une autorisation d'utilisation du spectre des fréquences radioélectriques qui autorise l'exploitation d'équipements sans fil par une personne précise à laquelle des fréquences ont été attribuées ou assignées, conformément aux modalités et conditions énoncées ci-après.</w:t>
      </w:r>
    </w:p>
    <w:p w:rsidR="00610AD5" w:rsidRPr="00610AD5" w:rsidRDefault="00610AD5" w:rsidP="00867C40">
      <w:pPr>
        <w:pStyle w:val="enumlev1"/>
      </w:pPr>
      <w:r w:rsidRPr="00610AD5">
        <w:t>2.8</w:t>
      </w:r>
      <w:r w:rsidRPr="00610AD5">
        <w:tab/>
        <w:t>On entend par "</w:t>
      </w:r>
      <w:r w:rsidRPr="00610AD5">
        <w:rPr>
          <w:b/>
        </w:rPr>
        <w:t>Plan national d'utilisation du spectre</w:t>
      </w:r>
      <w:r w:rsidRPr="00610AD5">
        <w:t>" le plan d'attribution des fréquences radioélectriques pour les Emirats arabes unis, approuvé par le Conseil suprême, et les éventuelles modifications de ce plan.</w:t>
      </w:r>
    </w:p>
    <w:p w:rsidR="00610AD5" w:rsidRPr="00610AD5" w:rsidRDefault="00610AD5" w:rsidP="00867C40">
      <w:pPr>
        <w:pStyle w:val="enumlev1"/>
      </w:pPr>
      <w:r w:rsidRPr="00610AD5">
        <w:t>2.9</w:t>
      </w:r>
      <w:r w:rsidRPr="00610AD5">
        <w:tab/>
        <w:t>On entend par "Personne" aussi bien des personnes morales que des personnes physiques.</w:t>
      </w:r>
    </w:p>
    <w:p w:rsidR="00610AD5" w:rsidRPr="00610AD5" w:rsidRDefault="00610AD5" w:rsidP="00867C40">
      <w:pPr>
        <w:pStyle w:val="enumlev1"/>
      </w:pPr>
      <w:r w:rsidRPr="00610AD5">
        <w:t>2.10</w:t>
      </w:r>
      <w:r w:rsidRPr="00610AD5">
        <w:tab/>
        <w:t>On entend par "</w:t>
      </w:r>
      <w:r w:rsidRPr="00610AD5">
        <w:rPr>
          <w:b/>
        </w:rPr>
        <w:t>Radiocommunication</w:t>
      </w:r>
      <w:r w:rsidRPr="00610AD5">
        <w:t>" les systèmes de transmission hertziens utilisant les fréquences radioélectriques.</w:t>
      </w:r>
    </w:p>
    <w:p w:rsidR="00610AD5" w:rsidRPr="00610AD5" w:rsidRDefault="00610AD5" w:rsidP="00867C40">
      <w:pPr>
        <w:pStyle w:val="enumlev1"/>
      </w:pPr>
      <w:r w:rsidRPr="00610AD5">
        <w:t>2.11</w:t>
      </w:r>
      <w:r w:rsidRPr="00610AD5">
        <w:tab/>
        <w:t>On entend par "</w:t>
      </w:r>
      <w:r w:rsidRPr="00610AD5">
        <w:rPr>
          <w:b/>
        </w:rPr>
        <w:t>Service de radiocommunication</w:t>
      </w:r>
      <w:r w:rsidRPr="00610AD5">
        <w:t>" un service qui utilise les radiocommunications.</w:t>
      </w:r>
    </w:p>
    <w:p w:rsidR="00610AD5" w:rsidRPr="00610AD5" w:rsidRDefault="00610AD5" w:rsidP="00867C40">
      <w:pPr>
        <w:pStyle w:val="enumlev1"/>
      </w:pPr>
      <w:r w:rsidRPr="00610AD5">
        <w:t>2.12</w:t>
      </w:r>
      <w:r w:rsidRPr="00610AD5">
        <w:tab/>
        <w:t>On entend par "</w:t>
      </w:r>
      <w:r w:rsidRPr="00610AD5">
        <w:rPr>
          <w:b/>
        </w:rPr>
        <w:t>Fréquence radioélectrique</w:t>
      </w:r>
      <w:r w:rsidRPr="00610AD5">
        <w:t>" l'énergie électromagnétique émise, mesurée en hertz ou en cycles/seconde.</w:t>
      </w:r>
    </w:p>
    <w:p w:rsidR="00610AD5" w:rsidRPr="00610AD5" w:rsidRDefault="00610AD5" w:rsidP="00867C40">
      <w:pPr>
        <w:pStyle w:val="enumlev1"/>
      </w:pPr>
      <w:r w:rsidRPr="00610AD5">
        <w:t>2.13</w:t>
      </w:r>
      <w:r w:rsidRPr="00610AD5">
        <w:tab/>
        <w:t>On entend par "</w:t>
      </w:r>
      <w:r w:rsidRPr="00610AD5">
        <w:rPr>
          <w:b/>
        </w:rPr>
        <w:t>Autorisation d'utilisation des fréquences radioélectriques</w:t>
      </w:r>
      <w:r w:rsidRPr="00610AD5">
        <w:t>" une autorisation, individuelle ou catégorielle, délivrée par la TRA, qui permet l'utilisation des fréquences radioélectriques, conformément aux modalités et conditions énoncées ci-après.</w:t>
      </w:r>
    </w:p>
    <w:p w:rsidR="00610AD5" w:rsidRPr="00610AD5" w:rsidRDefault="00610AD5" w:rsidP="00867C40">
      <w:pPr>
        <w:pStyle w:val="enumlev1"/>
      </w:pPr>
      <w:r w:rsidRPr="00610AD5">
        <w:lastRenderedPageBreak/>
        <w:t>2.14</w:t>
      </w:r>
      <w:r w:rsidRPr="00610AD5">
        <w:tab/>
        <w:t>On entend par "</w:t>
      </w:r>
      <w:r w:rsidRPr="00610AD5">
        <w:rPr>
          <w:b/>
        </w:rPr>
        <w:t>Instruments réglementaires</w:t>
      </w:r>
      <w:r w:rsidRPr="00610AD5">
        <w:t>" tout instrument provenant de la TRA et relevant de sa compétence, et plus précisément, mais non exclusivement, les réglementations, avis de violation, directives, instructions, avis, recommandations et politiques réglementaires.</w:t>
      </w:r>
    </w:p>
    <w:p w:rsidR="00610AD5" w:rsidRPr="00610AD5" w:rsidRDefault="00610AD5" w:rsidP="00867C40">
      <w:pPr>
        <w:pStyle w:val="enumlev1"/>
      </w:pPr>
      <w:r w:rsidRPr="00610AD5">
        <w:t>2.15</w:t>
      </w:r>
      <w:r w:rsidRPr="00610AD5">
        <w:tab/>
        <w:t>On entend par "</w:t>
      </w:r>
      <w:r w:rsidRPr="00610AD5">
        <w:rPr>
          <w:b/>
        </w:rPr>
        <w:t>Station</w:t>
      </w:r>
      <w:r w:rsidRPr="00610AD5">
        <w:t>" une installation exploitée par un utilisateur agréé, se composant d'un système d'émission ou de réception radioélectrique et des équipements auxiliaires nécessaires, ou d'un ou de plusieurs émetteurs ou récepteurs, ou encore d'une combinaison d'émetteurs et de récepteurs, équipements auxiliaires compris, nécessaires à l'acheminement d'un service de radiocommunication.</w:t>
      </w:r>
    </w:p>
    <w:p w:rsidR="00610AD5" w:rsidRPr="00610AD5" w:rsidRDefault="00610AD5" w:rsidP="00867C40">
      <w:pPr>
        <w:pStyle w:val="enumlev1"/>
      </w:pPr>
      <w:r w:rsidRPr="00610AD5">
        <w:t>2.16</w:t>
      </w:r>
      <w:r w:rsidRPr="00610AD5">
        <w:tab/>
        <w:t>On entend par "</w:t>
      </w:r>
      <w:r w:rsidRPr="00610AD5">
        <w:rPr>
          <w:b/>
        </w:rPr>
        <w:t>Télécommunication</w:t>
      </w:r>
      <w:r w:rsidRPr="00610AD5">
        <w:t>" tout moyen de transmission, d'émission ou de réception de signaux, de texte, d'images, de sons ou d'information de toute nature par voie filaire, radioélectrique, optique ou par tout autre système électromagnétique.</w:t>
      </w:r>
    </w:p>
    <w:p w:rsidR="00610AD5" w:rsidRPr="00610AD5" w:rsidRDefault="00610AD5" w:rsidP="00867C40">
      <w:pPr>
        <w:pStyle w:val="enumlev1"/>
      </w:pPr>
      <w:r w:rsidRPr="00610AD5">
        <w:t>2.17</w:t>
      </w:r>
      <w:r w:rsidRPr="00610AD5">
        <w:tab/>
        <w:t>On entend par "</w:t>
      </w:r>
      <w:r w:rsidRPr="00610AD5">
        <w:rPr>
          <w:b/>
        </w:rPr>
        <w:t>Autorisation temporaire</w:t>
      </w:r>
      <w:r w:rsidRPr="00610AD5">
        <w:t>" une autorisation d'utilisation du spectre des fréquences radioélectriques accordée par la TRA et qui permet l'utilisation de fréquences données pendant une période maximale de 90 jours.</w:t>
      </w:r>
    </w:p>
    <w:p w:rsidR="00610AD5" w:rsidRPr="00610AD5" w:rsidRDefault="00610AD5" w:rsidP="00867C40">
      <w:pPr>
        <w:pStyle w:val="enumlev1"/>
      </w:pPr>
      <w:r w:rsidRPr="00610AD5">
        <w:t>2.18</w:t>
      </w:r>
      <w:r w:rsidRPr="00610AD5">
        <w:tab/>
        <w:t>On entend par "</w:t>
      </w:r>
      <w:r w:rsidRPr="00610AD5">
        <w:rPr>
          <w:b/>
        </w:rPr>
        <w:t>TRA</w:t>
      </w:r>
      <w:r w:rsidRPr="00610AD5">
        <w:t>" l'Autorité générale responsable de la réglementation du secteur des télécommunications, appelée Telecommunication Regulatory Authority (TRA) et mise en place conformément aux dispositions de l'Article 6 de la Loi fédérale aux termes du Décret N° 3 (2003).</w:t>
      </w:r>
    </w:p>
    <w:p w:rsidR="00610AD5" w:rsidRPr="00610AD5" w:rsidRDefault="00610AD5" w:rsidP="00867C40">
      <w:pPr>
        <w:pStyle w:val="enumlev1"/>
      </w:pPr>
      <w:r w:rsidRPr="00610AD5">
        <w:t>2.19</w:t>
      </w:r>
      <w:r w:rsidRPr="00610AD5">
        <w:tab/>
        <w:t>On entend par "</w:t>
      </w:r>
      <w:r w:rsidRPr="00610AD5">
        <w:rPr>
          <w:b/>
        </w:rPr>
        <w:t>EAU</w:t>
      </w:r>
      <w:r w:rsidRPr="00610AD5">
        <w:t>" les Emirats arabes unis, incluant leurs eaux territoriales et espace aérien.</w:t>
      </w:r>
    </w:p>
    <w:p w:rsidR="00610AD5" w:rsidRPr="00610AD5" w:rsidRDefault="00610AD5" w:rsidP="00867C40">
      <w:pPr>
        <w:pStyle w:val="enumlev1"/>
      </w:pPr>
      <w:r w:rsidRPr="00610AD5">
        <w:t>2.20</w:t>
      </w:r>
      <w:r w:rsidRPr="00610AD5">
        <w:tab/>
        <w:t>On entend par "</w:t>
      </w:r>
      <w:r w:rsidRPr="00610AD5">
        <w:rPr>
          <w:b/>
        </w:rPr>
        <w:t>Equipements hertziens</w:t>
      </w:r>
      <w:r w:rsidRPr="00610AD5">
        <w:t>" une catégorie d'appareils de télécommunication utilisés pour les radiocommunications.</w:t>
      </w:r>
    </w:p>
    <w:p w:rsidR="00610AD5" w:rsidRPr="00610AD5" w:rsidRDefault="00610AD5" w:rsidP="00AB490D">
      <w:pPr>
        <w:pStyle w:val="Arttitle"/>
      </w:pPr>
      <w:bookmarkStart w:id="404" w:name="_Toc225739815"/>
      <w:bookmarkStart w:id="405" w:name="_Toc280262360"/>
      <w:bookmarkStart w:id="406" w:name="_Toc280272754"/>
      <w:bookmarkStart w:id="407" w:name="_Toc280272933"/>
      <w:r w:rsidRPr="00610AD5">
        <w:t>Article 3</w:t>
      </w:r>
      <w:r w:rsidRPr="00610AD5">
        <w:br/>
      </w:r>
      <w:r w:rsidRPr="00610AD5">
        <w:br/>
        <w:t>Droits à acquitter pour le traitement des demandes</w:t>
      </w:r>
      <w:bookmarkEnd w:id="404"/>
      <w:bookmarkEnd w:id="405"/>
      <w:bookmarkEnd w:id="406"/>
      <w:bookmarkEnd w:id="407"/>
    </w:p>
    <w:p w:rsidR="00610AD5" w:rsidRPr="00610AD5" w:rsidRDefault="00610AD5" w:rsidP="00610AD5">
      <w:pPr>
        <w:rPr>
          <w:lang w:val="fr-FR"/>
        </w:rPr>
      </w:pPr>
      <w:r w:rsidRPr="00610AD5">
        <w:rPr>
          <w:lang w:val="fr-FR"/>
        </w:rPr>
        <w:t xml:space="preserve">Chaque demande d'autorisation de fréquences radioélectriques doit être accompagnée par avance d'un paiement non remboursable de cinq cents </w:t>
      </w:r>
      <w:r w:rsidRPr="00610AD5">
        <w:rPr>
          <w:b/>
          <w:lang w:val="fr-FR"/>
        </w:rPr>
        <w:t>(500) dirhams</w:t>
      </w:r>
      <w:r w:rsidRPr="00610AD5">
        <w:rPr>
          <w:lang w:val="fr-FR"/>
        </w:rPr>
        <w:t xml:space="preserve"> pour le traitement de la demande, que celle-ci soit finalement approuvée ou refusée. La TRA peut conseiller à certains organismes gouvernementaux, opérateurs détenteurs de licence et grands utilisateurs de regrouper le paiement des droits à acquitter pour le traitement des demandes et pour l'utilisation du spectre.</w:t>
      </w:r>
    </w:p>
    <w:p w:rsidR="00610AD5" w:rsidRPr="00610AD5" w:rsidRDefault="00610AD5" w:rsidP="00AB490D">
      <w:pPr>
        <w:pStyle w:val="Arttitle"/>
      </w:pPr>
      <w:bookmarkStart w:id="408" w:name="_Toc280262361"/>
      <w:bookmarkStart w:id="409" w:name="_Toc280272755"/>
      <w:bookmarkStart w:id="410" w:name="_Toc280272934"/>
      <w:r w:rsidRPr="00610AD5">
        <w:t>Article 4</w:t>
      </w:r>
      <w:bookmarkStart w:id="411" w:name="_Toc225739816"/>
      <w:r w:rsidRPr="00610AD5">
        <w:br/>
      </w:r>
      <w:r w:rsidRPr="00610AD5">
        <w:br/>
        <w:t>Exemption des droits à acquitter pour le traitement des demandes</w:t>
      </w:r>
      <w:bookmarkEnd w:id="408"/>
      <w:bookmarkEnd w:id="409"/>
      <w:bookmarkEnd w:id="410"/>
      <w:bookmarkEnd w:id="411"/>
    </w:p>
    <w:p w:rsidR="00610AD5" w:rsidRPr="00610AD5" w:rsidRDefault="00610AD5" w:rsidP="00610AD5">
      <w:pPr>
        <w:rPr>
          <w:lang w:val="fr-FR"/>
        </w:rPr>
      </w:pPr>
      <w:r w:rsidRPr="00610AD5">
        <w:rPr>
          <w:lang w:val="fr-FR"/>
        </w:rPr>
        <w:t>Les demandes suivantes sont exemptées de droits de traitement:</w:t>
      </w:r>
    </w:p>
    <w:p w:rsidR="00610AD5" w:rsidRPr="00610AD5" w:rsidRDefault="00610AD5" w:rsidP="00867C40">
      <w:pPr>
        <w:pStyle w:val="enumlev1"/>
      </w:pPr>
      <w:r w:rsidRPr="00610AD5">
        <w:t>4.1</w:t>
      </w:r>
      <w:r w:rsidRPr="00610AD5">
        <w:tab/>
        <w:t>Demande concernant des petites embarcations considérées comme chalutiers selon leur permis de navigation.</w:t>
      </w:r>
    </w:p>
    <w:p w:rsidR="00610AD5" w:rsidRPr="00610AD5" w:rsidRDefault="00610AD5" w:rsidP="00867C40">
      <w:pPr>
        <w:pStyle w:val="enumlev1"/>
      </w:pPr>
      <w:r w:rsidRPr="00610AD5">
        <w:t>4.2</w:t>
      </w:r>
      <w:r w:rsidRPr="00610AD5">
        <w:tab/>
        <w:t>Demande d'autorisation de service d'amateur, si elle est présentée par l'intermédiaire de la Société des radioamateurs des Emirats.</w:t>
      </w:r>
    </w:p>
    <w:p w:rsidR="00610AD5" w:rsidRPr="00610AD5" w:rsidRDefault="00610AD5" w:rsidP="00867C40">
      <w:pPr>
        <w:pStyle w:val="enumlev1"/>
      </w:pPr>
      <w:r w:rsidRPr="00610AD5">
        <w:t>4.3</w:t>
      </w:r>
      <w:r w:rsidRPr="00610AD5">
        <w:tab/>
        <w:t>Demande d'utilisation personnelle d'un système de radiocommunication mobile privé pour les jockeys des courses de chameaux.</w:t>
      </w:r>
    </w:p>
    <w:p w:rsidR="00610AD5" w:rsidRPr="00610AD5" w:rsidRDefault="00610AD5" w:rsidP="00867C40">
      <w:pPr>
        <w:pStyle w:val="enumlev1"/>
      </w:pPr>
      <w:r w:rsidRPr="00610AD5">
        <w:t>4.4</w:t>
      </w:r>
      <w:r w:rsidRPr="00610AD5">
        <w:tab/>
        <w:t>Demande de clubs de loisirs à vocation non commerciale, par exemple pour l'aéromodélisme.</w:t>
      </w:r>
    </w:p>
    <w:p w:rsidR="00610AD5" w:rsidRPr="00610AD5" w:rsidRDefault="00610AD5" w:rsidP="00867C40">
      <w:pPr>
        <w:pStyle w:val="enumlev1"/>
      </w:pPr>
      <w:r w:rsidRPr="00610AD5">
        <w:t>4.5</w:t>
      </w:r>
      <w:r w:rsidRPr="00610AD5">
        <w:tab/>
        <w:t>Demande d'instituts de recherche et d'établissements d'enseignement pour utilisation privée.</w:t>
      </w:r>
    </w:p>
    <w:p w:rsidR="00610AD5" w:rsidRPr="00610AD5" w:rsidRDefault="00610AD5" w:rsidP="00867C40">
      <w:pPr>
        <w:pStyle w:val="enumlev1"/>
      </w:pPr>
      <w:r w:rsidRPr="00610AD5">
        <w:t>4.6</w:t>
      </w:r>
      <w:r w:rsidRPr="00610AD5">
        <w:tab/>
        <w:t>Demande des missions étrangères, des consulats et ambassades pour la correspondance officielle ou les visites de hautes personnalités, soumises par l'intermédiaire du Ministère des affaires étrangères des Emirats arabes unis.</w:t>
      </w:r>
    </w:p>
    <w:p w:rsidR="00610AD5" w:rsidRPr="00610AD5" w:rsidRDefault="00610AD5" w:rsidP="00AB490D">
      <w:pPr>
        <w:pStyle w:val="Arttitle"/>
      </w:pPr>
      <w:bookmarkStart w:id="412" w:name="_Toc225739817"/>
      <w:bookmarkStart w:id="413" w:name="_Toc280262362"/>
      <w:bookmarkStart w:id="414" w:name="_Toc280272756"/>
      <w:bookmarkStart w:id="415" w:name="_Toc280272935"/>
      <w:r w:rsidRPr="00610AD5">
        <w:lastRenderedPageBreak/>
        <w:t>Article 5</w:t>
      </w:r>
      <w:r w:rsidRPr="00610AD5">
        <w:br/>
      </w:r>
      <w:r w:rsidRPr="00610AD5">
        <w:br/>
        <w:t>Droits d'utilisation du spectre à acquitter en cas de nouvelle demande</w:t>
      </w:r>
      <w:bookmarkEnd w:id="412"/>
      <w:bookmarkEnd w:id="413"/>
      <w:bookmarkEnd w:id="414"/>
      <w:bookmarkEnd w:id="415"/>
    </w:p>
    <w:p w:rsidR="00610AD5" w:rsidRPr="00610AD5" w:rsidRDefault="00610AD5" w:rsidP="00610AD5">
      <w:pPr>
        <w:rPr>
          <w:lang w:val="fr-FR"/>
        </w:rPr>
      </w:pPr>
      <w:r w:rsidRPr="00610AD5">
        <w:rPr>
          <w:lang w:val="fr-FR"/>
        </w:rPr>
        <w:t>Les droits d'utilisation du spectre sont à acquitter à l'avance. Lorsqu'une réponse favorable est donnée à une nouvelle demande, la TRA informe le demandeur du montant des droits, conformément à la présente directive, calculé au prorata de la durée de validité de l'autorisation à compter de la date de la facture. Le demandeur présente à la TRA une preuve de paiement, dans un délai de trente (30) jours maximum. A la réception du paiement vérifié par la TRA, on considère que le paiement a été versé aux fins de délivrance de l'autorisation. En cas de non-réception du paiement, la TRA annule la demande. Si le demandeur exige qu'il soit donné suite à sa demande, il est tenu de la présenter une nouvelle fois, en s'acquittant des droits de traitement correspondants.</w:t>
      </w:r>
    </w:p>
    <w:p w:rsidR="00610AD5" w:rsidRPr="00610AD5" w:rsidRDefault="00610AD5" w:rsidP="00AB490D">
      <w:pPr>
        <w:pStyle w:val="Arttitle"/>
      </w:pPr>
      <w:bookmarkStart w:id="416" w:name="_Toc280262363"/>
      <w:bookmarkStart w:id="417" w:name="_Toc280272757"/>
      <w:bookmarkStart w:id="418" w:name="_Toc280272936"/>
      <w:r w:rsidRPr="00610AD5">
        <w:t>Article 6</w:t>
      </w:r>
      <w:bookmarkStart w:id="419" w:name="_Toc225739818"/>
      <w:r w:rsidRPr="00610AD5">
        <w:br/>
      </w:r>
      <w:r w:rsidRPr="00610AD5">
        <w:br/>
        <w:t>Montant des droits à acquitter pour le renouvellement d'une autorisation</w:t>
      </w:r>
      <w:bookmarkEnd w:id="416"/>
      <w:bookmarkEnd w:id="417"/>
      <w:bookmarkEnd w:id="418"/>
      <w:bookmarkEnd w:id="419"/>
    </w:p>
    <w:p w:rsidR="00610AD5" w:rsidRPr="00610AD5" w:rsidRDefault="00610AD5" w:rsidP="00610AD5">
      <w:pPr>
        <w:rPr>
          <w:lang w:val="fr-FR"/>
        </w:rPr>
      </w:pPr>
      <w:r w:rsidRPr="00610AD5">
        <w:rPr>
          <w:lang w:val="fr-FR"/>
        </w:rPr>
        <w:t>L'utilisateur agréé doit demander à la TRA le renouvellement de l'autorisation dans un délai de trente (30) jours avant l'expiration de celle-ci. Il peut également demander que lui soient facturés les droits d'utilisation du spectre pour le renouvellement de son autorisation, même avant expiration du délai de trente (30) jours, pour la période autorisée dans la réglementation de la TRA régissant l'attribution et l'assignation des fréquences radioélectriques. Les droits applicables sont définis dans les articles correspondants du présent document. Dans tous les cas, ces droits couvrent la composante équipements hertziens et leur renouvellement annuel inclut toutes les composantes, sans distinction entre les parties. Un délai de grâce de quinze (15) jours après la date d'expiration peut être accordé par la TRA à l'utilisateur agréé pour qu'il s'acquitte des droits de renouvellement, sans entraîner le paiement de droits supplémentaires.</w:t>
      </w:r>
    </w:p>
    <w:p w:rsidR="00610AD5" w:rsidRPr="00610AD5" w:rsidRDefault="00610AD5" w:rsidP="00AB490D">
      <w:pPr>
        <w:pStyle w:val="Arttitle"/>
      </w:pPr>
      <w:bookmarkStart w:id="420" w:name="_Toc280262364"/>
      <w:bookmarkStart w:id="421" w:name="_Toc280272758"/>
      <w:bookmarkStart w:id="422" w:name="_Toc280272937"/>
      <w:r w:rsidRPr="00610AD5">
        <w:t>Article 7</w:t>
      </w:r>
      <w:r w:rsidRPr="00610AD5">
        <w:br/>
      </w:r>
      <w:r w:rsidRPr="00610AD5">
        <w:br/>
      </w:r>
      <w:bookmarkStart w:id="423" w:name="_Toc225739819"/>
      <w:r w:rsidRPr="00610AD5">
        <w:t xml:space="preserve">Droits supplémentaires à acquitter en cas de retard </w:t>
      </w:r>
      <w:r w:rsidRPr="00610AD5">
        <w:br/>
        <w:t>du renouvellement de l'autorisation</w:t>
      </w:r>
      <w:bookmarkEnd w:id="420"/>
      <w:bookmarkEnd w:id="421"/>
      <w:bookmarkEnd w:id="422"/>
      <w:bookmarkEnd w:id="423"/>
    </w:p>
    <w:p w:rsidR="00610AD5" w:rsidRPr="00610AD5" w:rsidRDefault="00610AD5" w:rsidP="00610AD5">
      <w:pPr>
        <w:rPr>
          <w:lang w:val="fr-FR"/>
        </w:rPr>
      </w:pPr>
      <w:r w:rsidRPr="00610AD5">
        <w:rPr>
          <w:lang w:val="fr-FR"/>
        </w:rPr>
        <w:t>La TRA applique un droit supplémentaire équivalent à 10% du montant des droits d'utilisation du spectre si l'utilisateur agréé demande le renouvellement entre quinze et quarante-cinq (45) jours après la date d'expiration. La TRA annule l'autorisation si aucune demande de renouvellement ne lui parvient dans un délai de quarante-cinq (45) jours après la date d'expiration. La TRA applique un droit supplémentaire de 20% du montant à appliquer pour les droits d'utilisation du spectre si le renouvellement d'une autorisation déjà annulée est demandé.</w:t>
      </w:r>
    </w:p>
    <w:p w:rsidR="00610AD5" w:rsidRPr="00610AD5" w:rsidRDefault="00610AD5" w:rsidP="00AB490D">
      <w:pPr>
        <w:pStyle w:val="Arttitle"/>
      </w:pPr>
      <w:bookmarkStart w:id="424" w:name="_Toc280262365"/>
      <w:bookmarkStart w:id="425" w:name="_Toc280272759"/>
      <w:bookmarkStart w:id="426" w:name="_Toc280272938"/>
      <w:r w:rsidRPr="00610AD5">
        <w:t>Article 8</w:t>
      </w:r>
      <w:r w:rsidRPr="00610AD5">
        <w:br/>
      </w:r>
      <w:r w:rsidRPr="00610AD5">
        <w:br/>
      </w:r>
      <w:bookmarkStart w:id="427" w:name="_Toc225739820"/>
      <w:r w:rsidRPr="00610AD5">
        <w:t>Droits à acquitter pour obtenir une copie d'une autorisation</w:t>
      </w:r>
      <w:bookmarkEnd w:id="424"/>
      <w:bookmarkEnd w:id="425"/>
      <w:bookmarkEnd w:id="426"/>
      <w:bookmarkEnd w:id="427"/>
    </w:p>
    <w:p w:rsidR="00610AD5" w:rsidRPr="00610AD5" w:rsidRDefault="00610AD5" w:rsidP="00610AD5">
      <w:pPr>
        <w:rPr>
          <w:lang w:val="fr-FR"/>
        </w:rPr>
      </w:pPr>
      <w:r w:rsidRPr="00610AD5">
        <w:rPr>
          <w:lang w:val="fr-FR"/>
        </w:rPr>
        <w:t>Au cas où l'autorisation serait endommagée ou perdue, l'utilisateur agréé peut demander à la TRA de lui en fournir une nouvelle copie. Il lui est alors demandé de verser par avance la somme, non remboursable, de cent (100) dirhams.</w:t>
      </w:r>
    </w:p>
    <w:p w:rsidR="00610AD5" w:rsidRPr="00610AD5" w:rsidRDefault="00610AD5" w:rsidP="00C608EC">
      <w:pPr>
        <w:pStyle w:val="Arttitle"/>
        <w:keepNext w:val="0"/>
        <w:keepLines w:val="0"/>
        <w:pageBreakBefore/>
      </w:pPr>
      <w:bookmarkStart w:id="428" w:name="_Toc280262366"/>
      <w:bookmarkStart w:id="429" w:name="_Toc280272760"/>
      <w:bookmarkStart w:id="430" w:name="_Toc280272939"/>
      <w:r w:rsidRPr="00610AD5">
        <w:lastRenderedPageBreak/>
        <w:t>Article 9</w:t>
      </w:r>
      <w:r w:rsidRPr="00610AD5">
        <w:br/>
      </w:r>
      <w:r w:rsidRPr="00610AD5">
        <w:br/>
      </w:r>
      <w:bookmarkStart w:id="431" w:name="_Toc225739821"/>
      <w:r w:rsidRPr="00610AD5">
        <w:t>Droits à acquitter pour modifier l'autorisation</w:t>
      </w:r>
      <w:bookmarkEnd w:id="428"/>
      <w:bookmarkEnd w:id="429"/>
      <w:bookmarkEnd w:id="430"/>
      <w:bookmarkEnd w:id="431"/>
    </w:p>
    <w:p w:rsidR="00610AD5" w:rsidRPr="00610AD5" w:rsidRDefault="00610AD5" w:rsidP="00610AD5">
      <w:pPr>
        <w:rPr>
          <w:lang w:val="fr-FR"/>
        </w:rPr>
      </w:pPr>
      <w:r w:rsidRPr="00610AD5">
        <w:rPr>
          <w:lang w:val="fr-FR"/>
        </w:rPr>
        <w:t>L'utilisateur agréé peut demander qu'une autorisation soit modifiée. La modification des coordonnées indiquées dans l'autorisation au moment du renouvellement s'effectue sans frais; par contre, la modification des coordonnées indiquées dans l'autorisation à tout autre moment s'effectue contre paiement. La modification des données relatives aux emplacements ou à l'adjonction de nouveaux équipements ainsi que celle des données techniques s'effectuent contre paiement. Au cas où la modification est approuvée par la TRA, les droits annuels d'utilisation du spectre sont calculés au prorata. L'utilisateur agréé s'acquitte par avance à la TRA de la différence. Si le montant de cette différence est en faveur de l'utilisateur agréé, la TRA ne procède pas au remboursement et le montant annuel des droits d'utilisation du spectre pour l'année suivante est calculé sur la base du montant ainsi révisé.</w:t>
      </w:r>
    </w:p>
    <w:p w:rsidR="00610AD5" w:rsidRPr="00610AD5" w:rsidRDefault="00610AD5" w:rsidP="00AB490D">
      <w:pPr>
        <w:pStyle w:val="Arttitle"/>
      </w:pPr>
      <w:bookmarkStart w:id="432" w:name="_Toc280262367"/>
      <w:bookmarkStart w:id="433" w:name="_Toc280272761"/>
      <w:bookmarkStart w:id="434" w:name="_Toc280272940"/>
      <w:r w:rsidRPr="00610AD5">
        <w:t>Article 10</w:t>
      </w:r>
      <w:r w:rsidRPr="00610AD5">
        <w:br/>
      </w:r>
      <w:r w:rsidRPr="00610AD5">
        <w:br/>
      </w:r>
      <w:bookmarkStart w:id="435" w:name="_Toc225739822"/>
      <w:r w:rsidRPr="00610AD5">
        <w:t>Droits à acquitter pour l'annulation d'une autorisation</w:t>
      </w:r>
      <w:bookmarkEnd w:id="432"/>
      <w:bookmarkEnd w:id="433"/>
      <w:bookmarkEnd w:id="434"/>
      <w:bookmarkEnd w:id="435"/>
    </w:p>
    <w:p w:rsidR="00610AD5" w:rsidRPr="00610AD5" w:rsidRDefault="00610AD5" w:rsidP="00610AD5">
      <w:pPr>
        <w:rPr>
          <w:lang w:val="fr-FR"/>
        </w:rPr>
      </w:pPr>
      <w:r w:rsidRPr="00610AD5">
        <w:rPr>
          <w:lang w:val="fr-FR"/>
        </w:rPr>
        <w:t>L'utilisateur agréé peut demander l'annulation de l'autorisation. Aucun droit n'est perçu pour l'annulation et la TRA ne procède à aucun remboursement de l'éventuel solde.</w:t>
      </w:r>
    </w:p>
    <w:p w:rsidR="00610AD5" w:rsidRPr="00610AD5" w:rsidRDefault="00610AD5" w:rsidP="00AB490D">
      <w:pPr>
        <w:pStyle w:val="Arttitle"/>
      </w:pPr>
      <w:bookmarkStart w:id="436" w:name="_Toc280262368"/>
      <w:bookmarkStart w:id="437" w:name="_Toc280272762"/>
      <w:bookmarkStart w:id="438" w:name="_Toc280272941"/>
      <w:r w:rsidRPr="00610AD5">
        <w:t>Article 11</w:t>
      </w:r>
      <w:r w:rsidRPr="00610AD5">
        <w:br/>
      </w:r>
      <w:r w:rsidRPr="00610AD5">
        <w:br/>
      </w:r>
      <w:bookmarkStart w:id="439" w:name="_Toc225739823"/>
      <w:r w:rsidRPr="00610AD5">
        <w:t>Droits à acquitter pour l'utilisation du spectre pour</w:t>
      </w:r>
      <w:r w:rsidRPr="00610AD5">
        <w:br/>
        <w:t>le service mobile terrestre public (cellulaire)</w:t>
      </w:r>
      <w:bookmarkEnd w:id="436"/>
      <w:bookmarkEnd w:id="437"/>
      <w:bookmarkEnd w:id="438"/>
      <w:bookmarkEnd w:id="439"/>
    </w:p>
    <w:p w:rsidR="00610AD5" w:rsidRPr="00610AD5" w:rsidRDefault="00610AD5" w:rsidP="00867C40">
      <w:pPr>
        <w:pStyle w:val="enumlev1"/>
      </w:pPr>
      <w:r w:rsidRPr="00610AD5">
        <w:t>11.1</w:t>
      </w:r>
      <w:r w:rsidRPr="00610AD5">
        <w:tab/>
        <w:t>Le montant des droits annuels d'utilisation du spectre pour le service mobile terrestre public (cellulaire) (comprenant les systèmes GSM, UMTS et IMT) est calculé comme suit:</w:t>
      </w:r>
    </w:p>
    <w:p w:rsidR="00610AD5" w:rsidRPr="00610AD5" w:rsidRDefault="00610AD5" w:rsidP="00610AD5">
      <w:pPr>
        <w:jc w:val="center"/>
        <w:rPr>
          <w:color w:val="000000"/>
          <w:lang w:val="fr-FR"/>
        </w:rPr>
      </w:pPr>
      <w:r w:rsidRPr="00610AD5">
        <w:rPr>
          <w:b/>
          <w:color w:val="000000"/>
          <w:lang w:val="fr-FR"/>
        </w:rPr>
        <w:t xml:space="preserve">Droits à acquitter pour l'utilisation du spectre = [(P x MHz) </w:t>
      </w:r>
      <w:r w:rsidRPr="00610AD5">
        <w:rPr>
          <w:b/>
          <w:color w:val="000000"/>
          <w:position w:val="10"/>
          <w:vertAlign w:val="superscript"/>
          <w:lang w:val="fr-FR"/>
        </w:rPr>
        <w:t>EM</w:t>
      </w:r>
      <w:r w:rsidRPr="00610AD5">
        <w:rPr>
          <w:b/>
          <w:color w:val="000000"/>
          <w:lang w:val="fr-FR"/>
        </w:rPr>
        <w:t xml:space="preserve">] x [1 + (MC – CC) / CM] </w:t>
      </w:r>
      <w:r w:rsidRPr="00610AD5">
        <w:rPr>
          <w:b/>
          <w:color w:val="000000"/>
          <w:position w:val="10"/>
          <w:vertAlign w:val="superscript"/>
          <w:lang w:val="fr-FR"/>
        </w:rPr>
        <w:t xml:space="preserve">EC </w:t>
      </w:r>
    </w:p>
    <w:p w:rsidR="00610AD5" w:rsidRPr="00610AD5" w:rsidRDefault="00610AD5" w:rsidP="00610AD5">
      <w:pPr>
        <w:ind w:left="720"/>
        <w:rPr>
          <w:rFonts w:ascii="Verdana" w:hAnsi="Verdana"/>
          <w:sz w:val="19"/>
          <w:szCs w:val="19"/>
          <w:lang w:val="fr-FR"/>
        </w:rPr>
      </w:pPr>
      <w:r w:rsidRPr="00610AD5">
        <w:rPr>
          <w:rFonts w:ascii="Verdana" w:hAnsi="Verdana"/>
          <w:sz w:val="19"/>
          <w:szCs w:val="19"/>
          <w:lang w:val="fr-FR"/>
        </w:rPr>
        <w:t xml:space="preserve">où: </w:t>
      </w:r>
    </w:p>
    <w:p w:rsidR="00610AD5" w:rsidRPr="00610AD5" w:rsidRDefault="00610AD5" w:rsidP="00610AD5">
      <w:pPr>
        <w:ind w:left="720"/>
        <w:rPr>
          <w:szCs w:val="19"/>
        </w:rPr>
      </w:pPr>
      <w:r w:rsidRPr="00610AD5">
        <w:rPr>
          <w:b/>
          <w:bCs/>
          <w:szCs w:val="19"/>
        </w:rPr>
        <w:t>P</w:t>
      </w:r>
      <w:r w:rsidRPr="00610AD5">
        <w:rPr>
          <w:szCs w:val="19"/>
        </w:rPr>
        <w:t xml:space="preserve"> = prix par MHz, actuellement fixé à 3 500 000,00 AED (trois millions cinq cent mille) par an, sur la base d'une étude de marché. La TRA peut réaliser des études de marché à intervalles réguliers afin que le montant de ce prix soit réajusté.</w:t>
      </w:r>
    </w:p>
    <w:p w:rsidR="00610AD5" w:rsidRPr="00610AD5" w:rsidRDefault="00610AD5" w:rsidP="00610AD5">
      <w:pPr>
        <w:ind w:left="720"/>
        <w:rPr>
          <w:szCs w:val="19"/>
        </w:rPr>
      </w:pPr>
      <w:r w:rsidRPr="00610AD5">
        <w:rPr>
          <w:b/>
          <w:bCs/>
          <w:szCs w:val="19"/>
        </w:rPr>
        <w:t>MHz</w:t>
      </w:r>
      <w:r w:rsidRPr="00610AD5">
        <w:rPr>
          <w:szCs w:val="19"/>
        </w:rPr>
        <w:t xml:space="preserve"> = largeur de bande attribuée (du service cellulaire) pour laquelle un bande de 20 MHz en mode duplex est comptée pour 40 MHz. La largeur de bande combinée du système GSM 900/1800 est utilisée pour chaque opérateur détenteur de licence. La largeur de bande pour les systèmes UMTS et IMT est facturée séparément.</w:t>
      </w:r>
    </w:p>
    <w:p w:rsidR="00610AD5" w:rsidRPr="00610AD5" w:rsidRDefault="00610AD5" w:rsidP="00610AD5">
      <w:pPr>
        <w:ind w:left="720"/>
        <w:rPr>
          <w:szCs w:val="19"/>
        </w:rPr>
      </w:pPr>
      <w:r w:rsidRPr="00610AD5">
        <w:rPr>
          <w:b/>
          <w:bCs/>
          <w:szCs w:val="19"/>
        </w:rPr>
        <w:t>CC</w:t>
      </w:r>
      <w:r w:rsidRPr="00610AD5">
        <w:rPr>
          <w:szCs w:val="19"/>
        </w:rPr>
        <w:t xml:space="preserve"> = Desserte actuelle de l'opérateur, en termes du nombre d'habitants desservis par le réseau de radiocommunication. </w:t>
      </w:r>
    </w:p>
    <w:p w:rsidR="00610AD5" w:rsidRPr="00610AD5" w:rsidRDefault="00610AD5" w:rsidP="00610AD5">
      <w:pPr>
        <w:ind w:left="720"/>
        <w:rPr>
          <w:szCs w:val="19"/>
        </w:rPr>
      </w:pPr>
      <w:r w:rsidRPr="00610AD5">
        <w:rPr>
          <w:b/>
          <w:bCs/>
          <w:szCs w:val="19"/>
        </w:rPr>
        <w:t>CM</w:t>
      </w:r>
      <w:r w:rsidRPr="00610AD5">
        <w:rPr>
          <w:szCs w:val="19"/>
        </w:rPr>
        <w:t xml:space="preserve"> = Desserte maximale dans les Emirats arabes unis, soit 4 912 000 habitants, sur la base des prévisions du Ministère de la planification. Ce chiffre sera revu compte tenu des résultats du recensement ou après trois ans à compter de la date de parution du présent document.</w:t>
      </w:r>
    </w:p>
    <w:p w:rsidR="00610AD5" w:rsidRPr="00610AD5" w:rsidRDefault="00610AD5" w:rsidP="00610AD5">
      <w:pPr>
        <w:ind w:left="720"/>
        <w:rPr>
          <w:szCs w:val="19"/>
        </w:rPr>
      </w:pPr>
      <w:r w:rsidRPr="00610AD5">
        <w:rPr>
          <w:b/>
          <w:bCs/>
          <w:szCs w:val="19"/>
        </w:rPr>
        <w:t>MC</w:t>
      </w:r>
      <w:r w:rsidRPr="00610AD5">
        <w:rPr>
          <w:szCs w:val="19"/>
        </w:rPr>
        <w:t xml:space="preserve"> = Desserte minimale, soit 2 063 040 habitants des Emirats arabes unis (soit 42% de la valeur CM). </w:t>
      </w:r>
    </w:p>
    <w:p w:rsidR="00610AD5" w:rsidRPr="00610AD5" w:rsidRDefault="00610AD5" w:rsidP="00610AD5">
      <w:pPr>
        <w:ind w:left="720"/>
        <w:rPr>
          <w:szCs w:val="19"/>
        </w:rPr>
      </w:pPr>
      <w:r w:rsidRPr="00610AD5">
        <w:rPr>
          <w:b/>
          <w:bCs/>
          <w:szCs w:val="19"/>
        </w:rPr>
        <w:t>EC</w:t>
      </w:r>
      <w:r w:rsidRPr="00610AD5">
        <w:rPr>
          <w:szCs w:val="19"/>
        </w:rPr>
        <w:t xml:space="preserve"> = Coefficient d'efficacité pour la desserte, calculé selon la formule EC = 1 + (CC/MC). </w:t>
      </w:r>
    </w:p>
    <w:p w:rsidR="00610AD5" w:rsidRPr="00610AD5" w:rsidRDefault="00610AD5" w:rsidP="00610AD5">
      <w:pPr>
        <w:ind w:left="720"/>
        <w:rPr>
          <w:szCs w:val="19"/>
        </w:rPr>
      </w:pPr>
      <w:r w:rsidRPr="00610AD5">
        <w:rPr>
          <w:b/>
          <w:bCs/>
          <w:szCs w:val="19"/>
        </w:rPr>
        <w:t>EM</w:t>
      </w:r>
      <w:r w:rsidRPr="00610AD5">
        <w:rPr>
          <w:szCs w:val="19"/>
        </w:rPr>
        <w:t xml:space="preserve"> = Coefficient d'efficacité pour les MHz, calculé selon la formule EM = 1 + (MHz/982,4) </w:t>
      </w:r>
    </w:p>
    <w:p w:rsidR="00610AD5" w:rsidRPr="00610AD5" w:rsidRDefault="00610AD5" w:rsidP="00610AD5">
      <w:pPr>
        <w:ind w:left="720"/>
        <w:rPr>
          <w:szCs w:val="19"/>
        </w:rPr>
      </w:pPr>
      <w:r w:rsidRPr="00610AD5">
        <w:rPr>
          <w:szCs w:val="19"/>
        </w:rPr>
        <w:t xml:space="preserve">982,4 représente une valeur correspondant au chiffre de la population des Emirats arabes unis, soit 4,912 millions d'habitants. </w:t>
      </w:r>
    </w:p>
    <w:p w:rsidR="00610AD5" w:rsidRPr="00610AD5" w:rsidRDefault="00610AD5" w:rsidP="00867C40">
      <w:pPr>
        <w:pStyle w:val="enumlev1"/>
      </w:pPr>
      <w:r w:rsidRPr="00610AD5">
        <w:lastRenderedPageBreak/>
        <w:t>11.2</w:t>
      </w:r>
      <w:r w:rsidRPr="00610AD5">
        <w:tab/>
        <w:t xml:space="preserve">On applique la règlementation et les lignes directrices établies par la TRA pour le calcul des coefficients comme la couverture, pour établir le montant des droits dans le service mobile public terrestre (cellulaire). </w:t>
      </w:r>
    </w:p>
    <w:p w:rsidR="00610AD5" w:rsidRPr="00610AD5" w:rsidRDefault="00610AD5" w:rsidP="00AB490D">
      <w:pPr>
        <w:pStyle w:val="Arttitle"/>
      </w:pPr>
      <w:bookmarkStart w:id="440" w:name="_Toc225739480"/>
      <w:bookmarkStart w:id="441" w:name="_Toc225739824"/>
      <w:bookmarkStart w:id="442" w:name="_Toc280262369"/>
      <w:bookmarkStart w:id="443" w:name="_Toc280272763"/>
      <w:bookmarkStart w:id="444" w:name="_Toc280272942"/>
      <w:r w:rsidRPr="00610AD5">
        <w:t>Article 12</w:t>
      </w:r>
      <w:bookmarkEnd w:id="440"/>
      <w:bookmarkEnd w:id="441"/>
      <w:r w:rsidRPr="00610AD5">
        <w:br/>
      </w:r>
      <w:r w:rsidRPr="00610AD5">
        <w:br/>
      </w:r>
      <w:bookmarkStart w:id="445" w:name="_Toc225739481"/>
      <w:bookmarkStart w:id="446" w:name="_Toc225739825"/>
      <w:r w:rsidRPr="00610AD5">
        <w:t xml:space="preserve">Droits à acquitter pour les radiocommunications mobiles privées, </w:t>
      </w:r>
      <w:r w:rsidRPr="00610AD5">
        <w:br/>
        <w:t>la radiomessagerie et les systèmes à ressources partagées</w:t>
      </w:r>
      <w:bookmarkEnd w:id="442"/>
      <w:bookmarkEnd w:id="443"/>
      <w:bookmarkEnd w:id="444"/>
      <w:bookmarkEnd w:id="445"/>
      <w:bookmarkEnd w:id="446"/>
    </w:p>
    <w:p w:rsidR="00610AD5" w:rsidRPr="00610AD5" w:rsidRDefault="00610AD5" w:rsidP="00867C40">
      <w:pPr>
        <w:pStyle w:val="enumlev1"/>
      </w:pPr>
      <w:r w:rsidRPr="00610AD5">
        <w:t>12.1</w:t>
      </w:r>
      <w:r w:rsidRPr="00610AD5">
        <w:tab/>
        <w:t xml:space="preserve">Le montant annuel des droits à acquitter pour les radiocommunications mobiles privées est calculé selon la formule suivante: </w:t>
      </w:r>
    </w:p>
    <w:p w:rsidR="00610AD5" w:rsidRPr="00610AD5" w:rsidRDefault="00610AD5" w:rsidP="00610AD5">
      <w:pPr>
        <w:jc w:val="center"/>
        <w:rPr>
          <w:color w:val="000000"/>
          <w:lang w:val="fr-FR"/>
        </w:rPr>
      </w:pPr>
      <w:r w:rsidRPr="00610AD5">
        <w:rPr>
          <w:b/>
          <w:color w:val="000000"/>
          <w:lang w:val="fr-FR"/>
        </w:rPr>
        <w:t xml:space="preserve">Droits à acquitter = NC x CF + SUM (WE x 500 x PF) </w:t>
      </w:r>
    </w:p>
    <w:p w:rsidR="00610AD5" w:rsidRPr="00610AD5" w:rsidRDefault="00610AD5" w:rsidP="00610AD5">
      <w:pPr>
        <w:ind w:left="720"/>
        <w:rPr>
          <w:color w:val="000000"/>
          <w:szCs w:val="19"/>
        </w:rPr>
      </w:pPr>
      <w:r w:rsidRPr="00610AD5">
        <w:rPr>
          <w:color w:val="000000"/>
          <w:szCs w:val="19"/>
        </w:rPr>
        <w:t xml:space="preserve">où: </w:t>
      </w:r>
    </w:p>
    <w:p w:rsidR="00610AD5" w:rsidRPr="00610AD5" w:rsidRDefault="00610AD5" w:rsidP="00610AD5">
      <w:pPr>
        <w:ind w:left="720"/>
        <w:rPr>
          <w:color w:val="000000"/>
          <w:szCs w:val="19"/>
        </w:rPr>
      </w:pPr>
      <w:r w:rsidRPr="00610AD5">
        <w:rPr>
          <w:b/>
          <w:bCs/>
          <w:color w:val="000000"/>
          <w:szCs w:val="19"/>
        </w:rPr>
        <w:t>NC</w:t>
      </w:r>
      <w:r w:rsidRPr="00610AD5">
        <w:rPr>
          <w:color w:val="000000"/>
          <w:szCs w:val="19"/>
        </w:rPr>
        <w:t xml:space="preserve"> = Le nombre de canaux (dont chacun a une largeur de bande équivalente de 12,5 kHz) qui seront attribués à l'utilisateur. </w:t>
      </w:r>
    </w:p>
    <w:p w:rsidR="00610AD5" w:rsidRPr="00610AD5" w:rsidRDefault="00610AD5" w:rsidP="00610AD5">
      <w:pPr>
        <w:ind w:left="720"/>
        <w:rPr>
          <w:color w:val="000000"/>
          <w:szCs w:val="19"/>
        </w:rPr>
      </w:pPr>
      <w:r w:rsidRPr="00610AD5">
        <w:rPr>
          <w:b/>
          <w:bCs/>
          <w:color w:val="000000"/>
          <w:szCs w:val="19"/>
        </w:rPr>
        <w:t>WE</w:t>
      </w:r>
      <w:r w:rsidRPr="00610AD5">
        <w:rPr>
          <w:color w:val="000000"/>
          <w:szCs w:val="19"/>
        </w:rPr>
        <w:t xml:space="preserve"> = Equipements hertziens autorisés (appareils portables compris), qui seront inclus dans le calcul. </w:t>
      </w:r>
    </w:p>
    <w:p w:rsidR="00610AD5" w:rsidRPr="00610AD5" w:rsidRDefault="00610AD5" w:rsidP="00610AD5">
      <w:pPr>
        <w:ind w:left="720"/>
        <w:rPr>
          <w:color w:val="000000"/>
          <w:szCs w:val="19"/>
        </w:rPr>
      </w:pPr>
      <w:r w:rsidRPr="00610AD5">
        <w:rPr>
          <w:b/>
          <w:bCs/>
          <w:color w:val="000000"/>
          <w:szCs w:val="19"/>
        </w:rPr>
        <w:t>SUM (WE x 500 x PF)</w:t>
      </w:r>
      <w:r w:rsidRPr="00610AD5">
        <w:rPr>
          <w:color w:val="000000"/>
          <w:szCs w:val="19"/>
        </w:rPr>
        <w:t xml:space="preserve"> = Somme totale: chaque équipement hertzien autorisé multiplié par 500, multiplié par le facteur de puissance. </w:t>
      </w:r>
    </w:p>
    <w:p w:rsidR="00610AD5" w:rsidRPr="00610AD5" w:rsidRDefault="00610AD5" w:rsidP="00610AD5">
      <w:pPr>
        <w:ind w:left="720"/>
        <w:rPr>
          <w:color w:val="000000"/>
          <w:szCs w:val="19"/>
        </w:rPr>
      </w:pPr>
      <w:r w:rsidRPr="00610AD5">
        <w:rPr>
          <w:b/>
          <w:bCs/>
          <w:color w:val="000000"/>
          <w:szCs w:val="19"/>
        </w:rPr>
        <w:t>PF</w:t>
      </w:r>
      <w:r w:rsidRPr="00610AD5">
        <w:rPr>
          <w:color w:val="000000"/>
          <w:szCs w:val="19"/>
        </w:rPr>
        <w:t xml:space="preserve"> = Facteur de puissance, dépendant de la puissance émise autorisée des équipements, qui est calculé comme suit: </w:t>
      </w:r>
    </w:p>
    <w:p w:rsidR="00610AD5" w:rsidRPr="00610AD5" w:rsidRDefault="00610AD5" w:rsidP="00610AD5">
      <w:pPr>
        <w:ind w:left="720"/>
        <w:rPr>
          <w:color w:val="000000"/>
          <w:szCs w:val="19"/>
        </w:rPr>
      </w:pPr>
    </w:p>
    <w:p w:rsidR="00610AD5" w:rsidRPr="00610AD5" w:rsidRDefault="00610AD5" w:rsidP="00324665">
      <w:pPr>
        <w:pStyle w:val="FigureTitle"/>
        <w:rPr>
          <w:b w:val="0"/>
        </w:rPr>
      </w:pPr>
    </w:p>
    <w:tbl>
      <w:tblPr>
        <w:tblW w:w="0" w:type="auto"/>
        <w:jc w:val="center"/>
        <w:tblInd w:w="900" w:type="dxa"/>
        <w:tblBorders>
          <w:top w:val="nil"/>
          <w:left w:val="nil"/>
          <w:bottom w:val="nil"/>
          <w:right w:val="nil"/>
        </w:tblBorders>
        <w:tblLook w:val="0000"/>
      </w:tblPr>
      <w:tblGrid>
        <w:gridCol w:w="1226"/>
        <w:gridCol w:w="2032"/>
        <w:gridCol w:w="931"/>
        <w:gridCol w:w="1167"/>
        <w:gridCol w:w="1277"/>
        <w:gridCol w:w="837"/>
      </w:tblGrid>
      <w:tr w:rsidR="00610AD5" w:rsidRPr="00610AD5" w:rsidTr="00610AD5">
        <w:trPr>
          <w:trHeight w:val="319"/>
          <w:jc w:val="center"/>
        </w:trPr>
        <w:tc>
          <w:tcPr>
            <w:tcW w:w="1226"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lang w:val="fr-FR"/>
              </w:rPr>
            </w:pPr>
            <w:r w:rsidRPr="00610AD5">
              <w:rPr>
                <w:rFonts w:asciiTheme="majorBidi" w:hAnsiTheme="majorBidi" w:cstheme="majorBidi"/>
                <w:b/>
                <w:szCs w:val="22"/>
                <w:lang w:val="fr-FR"/>
              </w:rPr>
              <w:t xml:space="preserve">Puissance </w:t>
            </w:r>
          </w:p>
        </w:tc>
        <w:tc>
          <w:tcPr>
            <w:tcW w:w="2032"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lang w:val="fr-FR"/>
              </w:rPr>
            </w:pPr>
            <w:r w:rsidRPr="00610AD5">
              <w:rPr>
                <w:rFonts w:asciiTheme="majorBidi" w:hAnsiTheme="majorBidi" w:cstheme="majorBidi"/>
                <w:b/>
                <w:szCs w:val="22"/>
                <w:lang w:val="fr-FR"/>
              </w:rPr>
              <w:t>Inférieure à 1 W</w:t>
            </w:r>
          </w:p>
        </w:tc>
        <w:tc>
          <w:tcPr>
            <w:tcW w:w="0" w:type="auto"/>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lang w:val="fr-FR"/>
              </w:rPr>
            </w:pPr>
            <w:r w:rsidRPr="00610AD5">
              <w:rPr>
                <w:rFonts w:asciiTheme="majorBidi" w:hAnsiTheme="majorBidi" w:cstheme="majorBidi"/>
                <w:b/>
                <w:szCs w:val="22"/>
                <w:lang w:val="fr-FR"/>
              </w:rPr>
              <w:t xml:space="preserve">1 – 5 W </w:t>
            </w:r>
          </w:p>
        </w:tc>
        <w:tc>
          <w:tcPr>
            <w:tcW w:w="0" w:type="auto"/>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lang w:val="fr-FR"/>
              </w:rPr>
            </w:pPr>
            <w:r w:rsidRPr="00610AD5">
              <w:rPr>
                <w:rFonts w:asciiTheme="majorBidi" w:hAnsiTheme="majorBidi" w:cstheme="majorBidi"/>
                <w:b/>
                <w:szCs w:val="22"/>
                <w:lang w:val="fr-FR"/>
              </w:rPr>
              <w:t xml:space="preserve">&gt;5 – 10 W </w:t>
            </w:r>
          </w:p>
        </w:tc>
        <w:tc>
          <w:tcPr>
            <w:tcW w:w="0" w:type="auto"/>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lang w:val="fr-FR"/>
              </w:rPr>
            </w:pPr>
            <w:r w:rsidRPr="00610AD5">
              <w:rPr>
                <w:rFonts w:asciiTheme="majorBidi" w:hAnsiTheme="majorBidi" w:cstheme="majorBidi"/>
                <w:b/>
                <w:szCs w:val="22"/>
                <w:lang w:val="fr-FR"/>
              </w:rPr>
              <w:t xml:space="preserve">&gt;10 – 20 W </w:t>
            </w:r>
          </w:p>
        </w:tc>
        <w:tc>
          <w:tcPr>
            <w:tcW w:w="0" w:type="auto"/>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lang w:val="fr-FR"/>
              </w:rPr>
            </w:pPr>
            <w:r w:rsidRPr="00610AD5">
              <w:rPr>
                <w:rFonts w:asciiTheme="majorBidi" w:hAnsiTheme="majorBidi" w:cstheme="majorBidi"/>
                <w:b/>
                <w:szCs w:val="22"/>
                <w:lang w:val="fr-FR"/>
              </w:rPr>
              <w:t xml:space="preserve">&gt;20 W </w:t>
            </w:r>
          </w:p>
        </w:tc>
      </w:tr>
      <w:tr w:rsidR="00610AD5" w:rsidRPr="00610AD5" w:rsidTr="00610AD5">
        <w:trPr>
          <w:trHeight w:val="319"/>
          <w:jc w:val="center"/>
        </w:trPr>
        <w:tc>
          <w:tcPr>
            <w:tcW w:w="1226"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lang w:val="fr-FR"/>
              </w:rPr>
            </w:pPr>
            <w:r w:rsidRPr="00610AD5">
              <w:rPr>
                <w:rFonts w:asciiTheme="majorBidi" w:hAnsiTheme="majorBidi" w:cstheme="majorBidi"/>
                <w:szCs w:val="22"/>
                <w:lang w:val="fr-FR"/>
              </w:rPr>
              <w:t>PF</w:t>
            </w:r>
          </w:p>
        </w:tc>
        <w:tc>
          <w:tcPr>
            <w:tcW w:w="2032"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lang w:val="fr-FR"/>
              </w:rPr>
            </w:pPr>
            <w:r w:rsidRPr="00610AD5">
              <w:rPr>
                <w:rFonts w:asciiTheme="majorBidi" w:hAnsiTheme="majorBidi" w:cstheme="majorBidi"/>
                <w:szCs w:val="22"/>
                <w:lang w:val="fr-FR"/>
              </w:rPr>
              <w:t>0,25</w:t>
            </w:r>
          </w:p>
        </w:tc>
        <w:tc>
          <w:tcPr>
            <w:tcW w:w="0" w:type="auto"/>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lang w:val="fr-FR"/>
              </w:rPr>
            </w:pPr>
            <w:r w:rsidRPr="00610AD5">
              <w:rPr>
                <w:rFonts w:asciiTheme="majorBidi" w:hAnsiTheme="majorBidi" w:cstheme="majorBidi"/>
                <w:szCs w:val="22"/>
                <w:lang w:val="fr-FR"/>
              </w:rPr>
              <w:t>1</w:t>
            </w:r>
          </w:p>
        </w:tc>
        <w:tc>
          <w:tcPr>
            <w:tcW w:w="0" w:type="auto"/>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lang w:val="fr-FR"/>
              </w:rPr>
            </w:pPr>
            <w:r w:rsidRPr="00610AD5">
              <w:rPr>
                <w:rFonts w:asciiTheme="majorBidi" w:hAnsiTheme="majorBidi" w:cstheme="majorBidi"/>
                <w:szCs w:val="22"/>
                <w:lang w:val="fr-FR"/>
              </w:rPr>
              <w:t>2</w:t>
            </w:r>
          </w:p>
        </w:tc>
        <w:tc>
          <w:tcPr>
            <w:tcW w:w="0" w:type="auto"/>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lang w:val="fr-FR"/>
              </w:rPr>
            </w:pPr>
            <w:r w:rsidRPr="00610AD5">
              <w:rPr>
                <w:rFonts w:asciiTheme="majorBidi" w:hAnsiTheme="majorBidi" w:cstheme="majorBidi"/>
                <w:szCs w:val="22"/>
                <w:lang w:val="fr-FR"/>
              </w:rPr>
              <w:t>3</w:t>
            </w:r>
          </w:p>
        </w:tc>
        <w:tc>
          <w:tcPr>
            <w:tcW w:w="0" w:type="auto"/>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lang w:val="fr-FR"/>
              </w:rPr>
            </w:pPr>
            <w:r w:rsidRPr="00610AD5">
              <w:rPr>
                <w:rFonts w:asciiTheme="majorBidi" w:hAnsiTheme="majorBidi" w:cstheme="majorBidi"/>
                <w:szCs w:val="22"/>
                <w:lang w:val="fr-FR"/>
              </w:rPr>
              <w:t>4</w:t>
            </w:r>
          </w:p>
        </w:tc>
      </w:tr>
    </w:tbl>
    <w:p w:rsidR="00610AD5" w:rsidRPr="00610AD5" w:rsidRDefault="00610AD5" w:rsidP="008347A9">
      <w:pPr>
        <w:pStyle w:val="FigureSource"/>
      </w:pPr>
    </w:p>
    <w:p w:rsidR="00610AD5" w:rsidRPr="00610AD5" w:rsidRDefault="00610AD5" w:rsidP="00610AD5">
      <w:pPr>
        <w:ind w:left="720"/>
        <w:rPr>
          <w:b/>
          <w:color w:val="000000"/>
          <w:szCs w:val="19"/>
        </w:rPr>
      </w:pPr>
    </w:p>
    <w:p w:rsidR="00610AD5" w:rsidRPr="00610AD5" w:rsidRDefault="00610AD5" w:rsidP="00610AD5">
      <w:pPr>
        <w:ind w:left="720"/>
        <w:rPr>
          <w:color w:val="000000"/>
          <w:szCs w:val="19"/>
        </w:rPr>
      </w:pPr>
      <w:r w:rsidRPr="00610AD5">
        <w:rPr>
          <w:b/>
          <w:bCs/>
          <w:color w:val="000000"/>
          <w:szCs w:val="19"/>
        </w:rPr>
        <w:t>CF</w:t>
      </w:r>
      <w:r w:rsidRPr="00610AD5">
        <w:rPr>
          <w:color w:val="000000"/>
          <w:szCs w:val="19"/>
        </w:rPr>
        <w:t xml:space="preserve"> = coefficient de desserte, en fonction de la zone géographique, qui est déterminé comme suit: </w:t>
      </w:r>
    </w:p>
    <w:p w:rsidR="00610AD5" w:rsidRPr="00610AD5" w:rsidRDefault="00610AD5" w:rsidP="00610AD5">
      <w:pPr>
        <w:ind w:left="720"/>
        <w:rPr>
          <w:color w:val="000000"/>
          <w:szCs w:val="19"/>
        </w:rPr>
      </w:pPr>
    </w:p>
    <w:p w:rsidR="00610AD5" w:rsidRPr="00610AD5" w:rsidRDefault="00610AD5" w:rsidP="00324665">
      <w:pPr>
        <w:pStyle w:val="FigureTitle"/>
        <w:rPr>
          <w:b w:val="0"/>
        </w:rPr>
      </w:pPr>
    </w:p>
    <w:tbl>
      <w:tblPr>
        <w:tblW w:w="0" w:type="auto"/>
        <w:jc w:val="center"/>
        <w:tblInd w:w="490" w:type="dxa"/>
        <w:tblBorders>
          <w:top w:val="nil"/>
          <w:left w:val="nil"/>
          <w:bottom w:val="nil"/>
          <w:right w:val="nil"/>
        </w:tblBorders>
        <w:tblLook w:val="0000"/>
      </w:tblPr>
      <w:tblGrid>
        <w:gridCol w:w="1122"/>
        <w:gridCol w:w="1475"/>
        <w:gridCol w:w="1230"/>
        <w:gridCol w:w="3118"/>
        <w:gridCol w:w="1433"/>
      </w:tblGrid>
      <w:tr w:rsidR="00610AD5" w:rsidRPr="00610AD5" w:rsidTr="00610AD5">
        <w:trPr>
          <w:trHeight w:val="319"/>
          <w:jc w:val="center"/>
        </w:trPr>
        <w:tc>
          <w:tcPr>
            <w:tcW w:w="1122"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lang w:val="fr-FR"/>
              </w:rPr>
            </w:pPr>
            <w:r w:rsidRPr="00610AD5">
              <w:rPr>
                <w:rFonts w:asciiTheme="majorBidi" w:hAnsiTheme="majorBidi" w:cstheme="majorBidi"/>
                <w:b/>
                <w:szCs w:val="22"/>
                <w:lang w:val="fr-FR"/>
              </w:rPr>
              <w:t xml:space="preserve">Zone </w:t>
            </w:r>
          </w:p>
        </w:tc>
        <w:tc>
          <w:tcPr>
            <w:tcW w:w="1475"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lang w:val="fr-FR"/>
              </w:rPr>
            </w:pPr>
            <w:r w:rsidRPr="00610AD5">
              <w:rPr>
                <w:rFonts w:asciiTheme="majorBidi" w:hAnsiTheme="majorBidi" w:cstheme="majorBidi"/>
                <w:b/>
                <w:szCs w:val="22"/>
                <w:lang w:val="fr-FR"/>
              </w:rPr>
              <w:t>Zone rurale ou à l'intérieur de locaux</w:t>
            </w:r>
          </w:p>
        </w:tc>
        <w:tc>
          <w:tcPr>
            <w:tcW w:w="1230"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lang w:val="fr-FR"/>
              </w:rPr>
            </w:pPr>
            <w:r w:rsidRPr="00610AD5">
              <w:rPr>
                <w:rFonts w:asciiTheme="majorBidi" w:hAnsiTheme="majorBidi" w:cstheme="majorBidi"/>
                <w:b/>
                <w:szCs w:val="22"/>
                <w:lang w:val="fr-FR"/>
              </w:rPr>
              <w:t xml:space="preserve">Zone urbaine </w:t>
            </w:r>
          </w:p>
        </w:tc>
        <w:tc>
          <w:tcPr>
            <w:tcW w:w="3118"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lang w:val="fr-FR"/>
              </w:rPr>
            </w:pPr>
            <w:r w:rsidRPr="00610AD5">
              <w:rPr>
                <w:rFonts w:asciiTheme="majorBidi" w:hAnsiTheme="majorBidi" w:cstheme="majorBidi"/>
                <w:b/>
                <w:szCs w:val="22"/>
                <w:lang w:val="fr-FR"/>
              </w:rPr>
              <w:t xml:space="preserve">Ensemble des Emirats </w:t>
            </w:r>
          </w:p>
        </w:tc>
        <w:tc>
          <w:tcPr>
            <w:tcW w:w="1433"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lang w:val="fr-FR"/>
              </w:rPr>
            </w:pPr>
            <w:r w:rsidRPr="00610AD5">
              <w:rPr>
                <w:rFonts w:asciiTheme="majorBidi" w:hAnsiTheme="majorBidi" w:cstheme="majorBidi"/>
                <w:b/>
                <w:szCs w:val="22"/>
                <w:lang w:val="fr-FR"/>
              </w:rPr>
              <w:t xml:space="preserve">Totalité des Emirats arabes unis </w:t>
            </w:r>
          </w:p>
        </w:tc>
      </w:tr>
      <w:tr w:rsidR="00610AD5" w:rsidRPr="00610AD5" w:rsidTr="00610AD5">
        <w:trPr>
          <w:trHeight w:val="319"/>
          <w:jc w:val="center"/>
        </w:trPr>
        <w:tc>
          <w:tcPr>
            <w:tcW w:w="1122"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lang w:val="fr-FR"/>
              </w:rPr>
            </w:pPr>
            <w:r w:rsidRPr="00610AD5">
              <w:rPr>
                <w:rFonts w:asciiTheme="majorBidi" w:hAnsiTheme="majorBidi" w:cstheme="majorBidi"/>
                <w:szCs w:val="22"/>
                <w:lang w:val="fr-FR"/>
              </w:rPr>
              <w:t>CF</w:t>
            </w:r>
          </w:p>
        </w:tc>
        <w:tc>
          <w:tcPr>
            <w:tcW w:w="1475"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lang w:val="fr-FR"/>
              </w:rPr>
            </w:pPr>
            <w:r w:rsidRPr="00610AD5">
              <w:rPr>
                <w:rFonts w:asciiTheme="majorBidi" w:hAnsiTheme="majorBidi" w:cstheme="majorBidi"/>
                <w:szCs w:val="22"/>
                <w:lang w:val="fr-FR"/>
              </w:rPr>
              <w:t>100</w:t>
            </w:r>
          </w:p>
        </w:tc>
        <w:tc>
          <w:tcPr>
            <w:tcW w:w="1230"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lang w:val="fr-FR"/>
              </w:rPr>
            </w:pPr>
            <w:r w:rsidRPr="00610AD5">
              <w:rPr>
                <w:rFonts w:asciiTheme="majorBidi" w:hAnsiTheme="majorBidi" w:cstheme="majorBidi"/>
                <w:szCs w:val="22"/>
                <w:lang w:val="fr-FR"/>
              </w:rPr>
              <w:t>500</w:t>
            </w:r>
          </w:p>
        </w:tc>
        <w:tc>
          <w:tcPr>
            <w:tcW w:w="3118"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fr-FR"/>
              </w:rPr>
            </w:pPr>
            <w:r w:rsidRPr="00610AD5">
              <w:rPr>
                <w:rFonts w:asciiTheme="majorBidi" w:hAnsiTheme="majorBidi" w:cstheme="majorBidi"/>
                <w:szCs w:val="22"/>
                <w:lang w:val="fr-FR"/>
              </w:rPr>
              <w:t>2 000 pour Abu Dhabi ou Dubaï</w:t>
            </w:r>
          </w:p>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fr-FR"/>
              </w:rPr>
            </w:pPr>
            <w:r w:rsidRPr="00610AD5">
              <w:rPr>
                <w:rFonts w:asciiTheme="majorBidi" w:hAnsiTheme="majorBidi" w:cstheme="majorBidi"/>
                <w:szCs w:val="22"/>
                <w:lang w:val="fr-FR"/>
              </w:rPr>
              <w:t>1 000 pour les autres Emirats</w:t>
            </w:r>
          </w:p>
        </w:tc>
        <w:tc>
          <w:tcPr>
            <w:tcW w:w="1433"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lang w:val="fr-FR"/>
              </w:rPr>
            </w:pPr>
            <w:r w:rsidRPr="00610AD5">
              <w:rPr>
                <w:rFonts w:asciiTheme="majorBidi" w:hAnsiTheme="majorBidi" w:cstheme="majorBidi"/>
                <w:szCs w:val="22"/>
                <w:lang w:val="fr-FR"/>
              </w:rPr>
              <w:t>4 000</w:t>
            </w:r>
          </w:p>
        </w:tc>
      </w:tr>
    </w:tbl>
    <w:p w:rsidR="00610AD5" w:rsidRPr="00610AD5" w:rsidRDefault="00610AD5" w:rsidP="008347A9">
      <w:pPr>
        <w:pStyle w:val="FigureSource"/>
      </w:pPr>
    </w:p>
    <w:p w:rsidR="00610AD5" w:rsidRPr="00610AD5" w:rsidRDefault="00610AD5" w:rsidP="00610AD5">
      <w:pPr>
        <w:ind w:left="720" w:hanging="720"/>
      </w:pPr>
    </w:p>
    <w:p w:rsidR="00610AD5" w:rsidRPr="00610AD5" w:rsidRDefault="00610AD5" w:rsidP="00610AD5">
      <w:pPr>
        <w:tabs>
          <w:tab w:val="clear" w:pos="794"/>
          <w:tab w:val="clear" w:pos="1191"/>
          <w:tab w:val="clear" w:pos="1588"/>
          <w:tab w:val="clear" w:pos="1985"/>
        </w:tabs>
        <w:overflowPunct/>
        <w:autoSpaceDE/>
        <w:autoSpaceDN/>
        <w:adjustRightInd/>
        <w:spacing w:before="0"/>
        <w:jc w:val="left"/>
        <w:textAlignment w:val="auto"/>
      </w:pPr>
      <w:r w:rsidRPr="00610AD5">
        <w:br w:type="page"/>
      </w:r>
    </w:p>
    <w:p w:rsidR="00610AD5" w:rsidRPr="00610AD5" w:rsidRDefault="00610AD5" w:rsidP="00867C40">
      <w:pPr>
        <w:pStyle w:val="enumlev1"/>
      </w:pPr>
      <w:r w:rsidRPr="00610AD5">
        <w:lastRenderedPageBreak/>
        <w:t>12.3</w:t>
      </w:r>
      <w:r w:rsidRPr="00610AD5">
        <w:tab/>
        <w:t xml:space="preserve">Le montant annuel des droits d'utilisation du spectre pour les radiocommunications mobiles privées (à bord de véhicules uniquement) qui ne sont pas localisées est calculé comme suit: </w:t>
      </w:r>
    </w:p>
    <w:p w:rsidR="00610AD5" w:rsidRPr="00610AD5" w:rsidRDefault="00610AD5" w:rsidP="00610AD5">
      <w:pPr>
        <w:ind w:firstLine="720"/>
        <w:jc w:val="center"/>
        <w:rPr>
          <w:color w:val="000000"/>
          <w:lang w:val="fr-FR"/>
        </w:rPr>
      </w:pPr>
      <w:r w:rsidRPr="00610AD5">
        <w:rPr>
          <w:b/>
          <w:color w:val="000000"/>
          <w:lang w:val="fr-FR"/>
        </w:rPr>
        <w:t>Droits à acquitter = NC x CF</w:t>
      </w:r>
    </w:p>
    <w:p w:rsidR="00610AD5" w:rsidRPr="00610AD5" w:rsidRDefault="00610AD5" w:rsidP="00610AD5">
      <w:pPr>
        <w:ind w:left="720"/>
        <w:rPr>
          <w:color w:val="000000"/>
        </w:rPr>
      </w:pPr>
      <w:r w:rsidRPr="00610AD5">
        <w:rPr>
          <w:color w:val="000000"/>
        </w:rPr>
        <w:t xml:space="preserve">où: </w:t>
      </w:r>
    </w:p>
    <w:p w:rsidR="00610AD5" w:rsidRPr="00610AD5" w:rsidRDefault="00610AD5" w:rsidP="00610AD5">
      <w:pPr>
        <w:ind w:left="720"/>
        <w:rPr>
          <w:color w:val="000000"/>
        </w:rPr>
      </w:pPr>
      <w:r w:rsidRPr="00610AD5">
        <w:rPr>
          <w:b/>
          <w:bCs/>
          <w:color w:val="000000"/>
        </w:rPr>
        <w:t>NC</w:t>
      </w:r>
      <w:r w:rsidRPr="00610AD5">
        <w:rPr>
          <w:color w:val="000000"/>
        </w:rPr>
        <w:t xml:space="preserve"> = Le nombre de canaux (dont chacun a une largeur de bande équivalente de 12,5 kHz) qui seront attribués à l'utilisateur. </w:t>
      </w:r>
    </w:p>
    <w:p w:rsidR="00610AD5" w:rsidRPr="00610AD5" w:rsidRDefault="00610AD5" w:rsidP="00610AD5">
      <w:pPr>
        <w:ind w:left="720"/>
        <w:rPr>
          <w:color w:val="000000"/>
        </w:rPr>
      </w:pPr>
      <w:r w:rsidRPr="00610AD5">
        <w:rPr>
          <w:b/>
          <w:bCs/>
          <w:color w:val="000000"/>
        </w:rPr>
        <w:t>CF</w:t>
      </w:r>
      <w:r w:rsidRPr="00610AD5">
        <w:rPr>
          <w:color w:val="000000"/>
        </w:rPr>
        <w:t xml:space="preserve"> = Coefficient de desserte, en fonction de la zone géographique, qui est déterminé comme suit: </w:t>
      </w:r>
    </w:p>
    <w:p w:rsidR="00610AD5" w:rsidRPr="00610AD5" w:rsidRDefault="00610AD5" w:rsidP="00610AD5"/>
    <w:p w:rsidR="00610AD5" w:rsidRPr="00610AD5" w:rsidRDefault="00610AD5" w:rsidP="00324665">
      <w:pPr>
        <w:pStyle w:val="FigureTitle"/>
        <w:rPr>
          <w:b w:val="0"/>
        </w:rPr>
      </w:pPr>
    </w:p>
    <w:tbl>
      <w:tblPr>
        <w:tblW w:w="0" w:type="auto"/>
        <w:jc w:val="center"/>
        <w:tblInd w:w="900" w:type="dxa"/>
        <w:tblBorders>
          <w:top w:val="nil"/>
          <w:left w:val="nil"/>
          <w:bottom w:val="nil"/>
          <w:right w:val="nil"/>
        </w:tblBorders>
        <w:tblLook w:val="0000"/>
      </w:tblPr>
      <w:tblGrid>
        <w:gridCol w:w="1057"/>
        <w:gridCol w:w="1442"/>
        <w:gridCol w:w="1218"/>
        <w:gridCol w:w="3107"/>
        <w:gridCol w:w="1456"/>
      </w:tblGrid>
      <w:tr w:rsidR="00610AD5" w:rsidRPr="00610AD5" w:rsidTr="00610AD5">
        <w:trPr>
          <w:trHeight w:val="319"/>
          <w:jc w:val="center"/>
        </w:trPr>
        <w:tc>
          <w:tcPr>
            <w:tcW w:w="1057"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lang w:val="fr-FR"/>
              </w:rPr>
            </w:pPr>
            <w:r w:rsidRPr="00610AD5">
              <w:rPr>
                <w:rFonts w:asciiTheme="majorBidi" w:hAnsiTheme="majorBidi" w:cstheme="majorBidi"/>
                <w:b/>
                <w:szCs w:val="22"/>
                <w:lang w:val="fr-FR"/>
              </w:rPr>
              <w:t xml:space="preserve">Zone </w:t>
            </w:r>
          </w:p>
        </w:tc>
        <w:tc>
          <w:tcPr>
            <w:tcW w:w="1442"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lang w:val="fr-FR"/>
              </w:rPr>
            </w:pPr>
            <w:r w:rsidRPr="00610AD5">
              <w:rPr>
                <w:rFonts w:asciiTheme="majorBidi" w:hAnsiTheme="majorBidi" w:cstheme="majorBidi"/>
                <w:b/>
                <w:szCs w:val="22"/>
                <w:lang w:val="fr-FR"/>
              </w:rPr>
              <w:t>Zone rurale ou à l'intérieur de locaux</w:t>
            </w:r>
          </w:p>
        </w:tc>
        <w:tc>
          <w:tcPr>
            <w:tcW w:w="1218"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lang w:val="fr-FR"/>
              </w:rPr>
            </w:pPr>
            <w:r w:rsidRPr="00610AD5">
              <w:rPr>
                <w:rFonts w:asciiTheme="majorBidi" w:hAnsiTheme="majorBidi" w:cstheme="majorBidi"/>
                <w:b/>
                <w:szCs w:val="22"/>
                <w:lang w:val="fr-FR"/>
              </w:rPr>
              <w:t xml:space="preserve">Zone urbaine </w:t>
            </w:r>
          </w:p>
        </w:tc>
        <w:tc>
          <w:tcPr>
            <w:tcW w:w="3107"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lang w:val="fr-FR"/>
              </w:rPr>
            </w:pPr>
            <w:r w:rsidRPr="00610AD5">
              <w:rPr>
                <w:rFonts w:asciiTheme="majorBidi" w:hAnsiTheme="majorBidi" w:cstheme="majorBidi"/>
                <w:b/>
                <w:szCs w:val="22"/>
                <w:lang w:val="fr-FR"/>
              </w:rPr>
              <w:t>Ensemble des Emirats</w:t>
            </w:r>
          </w:p>
        </w:tc>
        <w:tc>
          <w:tcPr>
            <w:tcW w:w="1456"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lang w:val="fr-FR"/>
              </w:rPr>
            </w:pPr>
            <w:r w:rsidRPr="00610AD5">
              <w:rPr>
                <w:rFonts w:asciiTheme="majorBidi" w:hAnsiTheme="majorBidi" w:cstheme="majorBidi"/>
                <w:b/>
                <w:szCs w:val="22"/>
                <w:lang w:val="fr-FR"/>
              </w:rPr>
              <w:t xml:space="preserve">Totalité des Emirats arabes unis </w:t>
            </w:r>
          </w:p>
        </w:tc>
      </w:tr>
      <w:tr w:rsidR="00610AD5" w:rsidRPr="00610AD5" w:rsidTr="00610AD5">
        <w:trPr>
          <w:trHeight w:val="319"/>
          <w:jc w:val="center"/>
        </w:trPr>
        <w:tc>
          <w:tcPr>
            <w:tcW w:w="1057"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lang w:val="fr-FR"/>
              </w:rPr>
            </w:pPr>
            <w:r w:rsidRPr="00610AD5">
              <w:rPr>
                <w:rFonts w:asciiTheme="majorBidi" w:hAnsiTheme="majorBidi" w:cstheme="majorBidi"/>
                <w:szCs w:val="22"/>
                <w:lang w:val="fr-FR"/>
              </w:rPr>
              <w:t>CF</w:t>
            </w:r>
          </w:p>
        </w:tc>
        <w:tc>
          <w:tcPr>
            <w:tcW w:w="1442"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lang w:val="fr-FR"/>
              </w:rPr>
            </w:pPr>
            <w:r w:rsidRPr="00610AD5">
              <w:rPr>
                <w:rFonts w:asciiTheme="majorBidi" w:hAnsiTheme="majorBidi" w:cstheme="majorBidi"/>
                <w:szCs w:val="22"/>
                <w:lang w:val="fr-FR"/>
              </w:rPr>
              <w:t>100</w:t>
            </w:r>
          </w:p>
        </w:tc>
        <w:tc>
          <w:tcPr>
            <w:tcW w:w="1218"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lang w:val="fr-FR"/>
              </w:rPr>
            </w:pPr>
            <w:r w:rsidRPr="00610AD5">
              <w:rPr>
                <w:rFonts w:asciiTheme="majorBidi" w:hAnsiTheme="majorBidi" w:cstheme="majorBidi"/>
                <w:szCs w:val="22"/>
                <w:lang w:val="fr-FR"/>
              </w:rPr>
              <w:t>500</w:t>
            </w:r>
          </w:p>
        </w:tc>
        <w:tc>
          <w:tcPr>
            <w:tcW w:w="3107"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fr-FR"/>
              </w:rPr>
            </w:pPr>
            <w:r w:rsidRPr="00610AD5">
              <w:rPr>
                <w:rFonts w:asciiTheme="majorBidi" w:hAnsiTheme="majorBidi" w:cstheme="majorBidi"/>
                <w:szCs w:val="22"/>
                <w:lang w:val="fr-FR"/>
              </w:rPr>
              <w:t>2 000 pour Abu Dhabi ou Dubaï</w:t>
            </w:r>
          </w:p>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fr-FR"/>
              </w:rPr>
            </w:pPr>
            <w:r w:rsidRPr="00610AD5">
              <w:rPr>
                <w:rFonts w:asciiTheme="majorBidi" w:hAnsiTheme="majorBidi" w:cstheme="majorBidi"/>
                <w:szCs w:val="22"/>
                <w:lang w:val="fr-FR"/>
              </w:rPr>
              <w:t>1 000 pour les autres Emirats</w:t>
            </w:r>
          </w:p>
        </w:tc>
        <w:tc>
          <w:tcPr>
            <w:tcW w:w="1456"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lang w:val="fr-FR"/>
              </w:rPr>
            </w:pPr>
            <w:r w:rsidRPr="00610AD5">
              <w:rPr>
                <w:rFonts w:asciiTheme="majorBidi" w:hAnsiTheme="majorBidi" w:cstheme="majorBidi"/>
                <w:szCs w:val="22"/>
                <w:lang w:val="fr-FR"/>
              </w:rPr>
              <w:t>4 000</w:t>
            </w:r>
          </w:p>
        </w:tc>
      </w:tr>
    </w:tbl>
    <w:p w:rsidR="00610AD5" w:rsidRPr="00610AD5" w:rsidRDefault="00610AD5" w:rsidP="008347A9">
      <w:pPr>
        <w:pStyle w:val="FigureSource"/>
      </w:pPr>
    </w:p>
    <w:p w:rsidR="00610AD5" w:rsidRPr="00610AD5" w:rsidRDefault="00610AD5" w:rsidP="00610AD5">
      <w:pPr>
        <w:suppressAutoHyphens/>
        <w:rPr>
          <w:szCs w:val="19"/>
        </w:rPr>
      </w:pPr>
    </w:p>
    <w:p w:rsidR="00610AD5" w:rsidRPr="00610AD5" w:rsidRDefault="00610AD5" w:rsidP="00867C40">
      <w:pPr>
        <w:pStyle w:val="enumlev1"/>
      </w:pPr>
      <w:r w:rsidRPr="00610AD5">
        <w:t>12.4</w:t>
      </w:r>
      <w:r w:rsidRPr="00610AD5">
        <w:tab/>
        <w:t xml:space="preserve">Le montant annuel des droits d'utilisation du spectre pour les radiocommunications mobiles privées utilisées par les compagnies de taxi est calculé, pour la station de base, conformément à l'Article 12.1, une taxe distincte de 300 AED s'appliquant à chaque taxi équipé d'une radio. </w:t>
      </w:r>
    </w:p>
    <w:p w:rsidR="00610AD5" w:rsidRPr="00610AD5" w:rsidRDefault="00610AD5" w:rsidP="00867C40">
      <w:pPr>
        <w:pStyle w:val="enumlev1"/>
      </w:pPr>
      <w:r w:rsidRPr="00610AD5">
        <w:t>12.5</w:t>
      </w:r>
      <w:r w:rsidRPr="00610AD5">
        <w:tab/>
        <w:t xml:space="preserve">Les droits annuels d'utilisation du spectre pour la radiomessagerie publique et au domicile sont calculés pour la station de base conformément à l'Article 12.1, aucune taxe supplémentaire n'étant facturée pour les appareils portables. </w:t>
      </w:r>
    </w:p>
    <w:p w:rsidR="00610AD5" w:rsidRPr="00610AD5" w:rsidRDefault="00610AD5" w:rsidP="00867C40">
      <w:pPr>
        <w:pStyle w:val="enumlev1"/>
      </w:pPr>
      <w:r w:rsidRPr="00610AD5">
        <w:t>12.6</w:t>
      </w:r>
      <w:r w:rsidRPr="00610AD5">
        <w:tab/>
        <w:t xml:space="preserve">Les droits annuels d'utilisation du spectre pour les systèmes analogiques à ressources partagées (du type MPT 1327) sont calculés conformément à l'Article 12.1 ci-dessus. </w:t>
      </w:r>
    </w:p>
    <w:p w:rsidR="00610AD5" w:rsidRPr="00610AD5" w:rsidRDefault="00610AD5" w:rsidP="00867C40">
      <w:pPr>
        <w:pStyle w:val="enumlev1"/>
      </w:pPr>
      <w:r w:rsidRPr="00610AD5">
        <w:t>12.7</w:t>
      </w:r>
      <w:r w:rsidRPr="00610AD5">
        <w:tab/>
        <w:t>Les droits annuels d'utilisation du spectre pour les systèmes numériques à ressources partagées (du type TETRA, TETRAPOL, EDACS, APCO, etc.) sont calculés comme suit:</w:t>
      </w:r>
    </w:p>
    <w:p w:rsidR="00610AD5" w:rsidRPr="00610AD5" w:rsidRDefault="00610AD5" w:rsidP="00610AD5">
      <w:pPr>
        <w:ind w:left="720"/>
        <w:jc w:val="center"/>
        <w:rPr>
          <w:color w:val="000000"/>
          <w:lang w:val="fr-FR"/>
        </w:rPr>
      </w:pPr>
      <w:r w:rsidRPr="00610AD5">
        <w:rPr>
          <w:b/>
          <w:color w:val="000000"/>
          <w:lang w:val="fr-FR"/>
        </w:rPr>
        <w:t>Droits à acquitter = NC x CF x 2,5</w:t>
      </w:r>
    </w:p>
    <w:p w:rsidR="00610AD5" w:rsidRPr="00610AD5" w:rsidRDefault="00610AD5" w:rsidP="00610AD5">
      <w:pPr>
        <w:ind w:left="720"/>
        <w:rPr>
          <w:color w:val="000000"/>
          <w:lang w:val="fr-FR"/>
        </w:rPr>
      </w:pPr>
      <w:r w:rsidRPr="00610AD5">
        <w:rPr>
          <w:color w:val="000000"/>
          <w:szCs w:val="19"/>
        </w:rPr>
        <w:t>où</w:t>
      </w:r>
      <w:r w:rsidRPr="00610AD5">
        <w:rPr>
          <w:color w:val="000000"/>
          <w:lang w:val="fr-FR"/>
        </w:rPr>
        <w:t xml:space="preserve">: </w:t>
      </w:r>
    </w:p>
    <w:p w:rsidR="00610AD5" w:rsidRPr="00610AD5" w:rsidRDefault="00610AD5" w:rsidP="00610AD5">
      <w:pPr>
        <w:ind w:left="720"/>
        <w:rPr>
          <w:color w:val="000000"/>
          <w:szCs w:val="19"/>
        </w:rPr>
      </w:pPr>
      <w:r w:rsidRPr="00610AD5">
        <w:rPr>
          <w:b/>
          <w:bCs/>
          <w:color w:val="000000"/>
          <w:szCs w:val="19"/>
        </w:rPr>
        <w:t>NC</w:t>
      </w:r>
      <w:r w:rsidRPr="00610AD5">
        <w:rPr>
          <w:color w:val="000000"/>
          <w:szCs w:val="19"/>
        </w:rPr>
        <w:t xml:space="preserve"> = Le nombre de canaux (dont chacun a une largeur de bande équivalente de 12,5 kHz) qui seront attribués à l'utilisateur. </w:t>
      </w:r>
    </w:p>
    <w:p w:rsidR="00610AD5" w:rsidRPr="00610AD5" w:rsidRDefault="00610AD5" w:rsidP="00610AD5">
      <w:pPr>
        <w:ind w:left="720"/>
        <w:rPr>
          <w:color w:val="000000"/>
          <w:szCs w:val="19"/>
        </w:rPr>
      </w:pPr>
      <w:r w:rsidRPr="00610AD5">
        <w:rPr>
          <w:b/>
          <w:bCs/>
          <w:color w:val="000000"/>
          <w:szCs w:val="19"/>
        </w:rPr>
        <w:t>CF</w:t>
      </w:r>
      <w:r w:rsidRPr="00610AD5">
        <w:rPr>
          <w:color w:val="000000"/>
          <w:szCs w:val="19"/>
        </w:rPr>
        <w:t xml:space="preserve"> = Coefficient de desserte, en fonction de la zone géographique, qui est déterminé comme suit: </w:t>
      </w:r>
    </w:p>
    <w:p w:rsidR="00610AD5" w:rsidRPr="00610AD5" w:rsidRDefault="00610AD5" w:rsidP="00610AD5"/>
    <w:p w:rsidR="00610AD5" w:rsidRPr="00610AD5" w:rsidRDefault="00610AD5" w:rsidP="00C608EC">
      <w:pPr>
        <w:pStyle w:val="FigureTitle"/>
        <w:keepNext w:val="0"/>
        <w:keepLines w:val="0"/>
        <w:rPr>
          <w:b w:val="0"/>
        </w:rPr>
      </w:pPr>
    </w:p>
    <w:tbl>
      <w:tblPr>
        <w:tblW w:w="0" w:type="auto"/>
        <w:jc w:val="center"/>
        <w:tblInd w:w="925" w:type="dxa"/>
        <w:tblBorders>
          <w:top w:val="nil"/>
          <w:left w:val="nil"/>
          <w:bottom w:val="nil"/>
          <w:right w:val="nil"/>
        </w:tblBorders>
        <w:tblLook w:val="0000"/>
      </w:tblPr>
      <w:tblGrid>
        <w:gridCol w:w="866"/>
        <w:gridCol w:w="1462"/>
        <w:gridCol w:w="1382"/>
        <w:gridCol w:w="3268"/>
        <w:gridCol w:w="1401"/>
      </w:tblGrid>
      <w:tr w:rsidR="00610AD5" w:rsidRPr="00610AD5" w:rsidTr="00610AD5">
        <w:trPr>
          <w:trHeight w:val="319"/>
          <w:jc w:val="center"/>
        </w:trPr>
        <w:tc>
          <w:tcPr>
            <w:tcW w:w="866" w:type="dxa"/>
            <w:tcBorders>
              <w:top w:val="single" w:sz="8" w:space="0" w:color="000000"/>
              <w:left w:val="single" w:sz="8" w:space="0" w:color="000000"/>
              <w:bottom w:val="single" w:sz="8" w:space="0" w:color="000000"/>
              <w:right w:val="single" w:sz="8" w:space="0" w:color="000000"/>
            </w:tcBorders>
          </w:tcPr>
          <w:p w:rsidR="00610AD5" w:rsidRPr="00610AD5" w:rsidRDefault="00610AD5" w:rsidP="00C608E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lang w:val="fr-FR"/>
              </w:rPr>
            </w:pPr>
            <w:r w:rsidRPr="00610AD5">
              <w:rPr>
                <w:rFonts w:asciiTheme="majorBidi" w:hAnsiTheme="majorBidi" w:cstheme="majorBidi"/>
                <w:b/>
                <w:szCs w:val="22"/>
                <w:lang w:val="fr-FR"/>
              </w:rPr>
              <w:t xml:space="preserve">Zone </w:t>
            </w:r>
          </w:p>
        </w:tc>
        <w:tc>
          <w:tcPr>
            <w:tcW w:w="1462" w:type="dxa"/>
            <w:tcBorders>
              <w:top w:val="single" w:sz="8" w:space="0" w:color="000000"/>
              <w:left w:val="single" w:sz="8" w:space="0" w:color="000000"/>
              <w:bottom w:val="single" w:sz="8" w:space="0" w:color="000000"/>
              <w:right w:val="single" w:sz="8" w:space="0" w:color="000000"/>
            </w:tcBorders>
          </w:tcPr>
          <w:p w:rsidR="00610AD5" w:rsidRPr="00610AD5" w:rsidRDefault="00610AD5" w:rsidP="00C608E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lang w:val="fr-FR"/>
              </w:rPr>
            </w:pPr>
            <w:r w:rsidRPr="00610AD5">
              <w:rPr>
                <w:rFonts w:asciiTheme="majorBidi" w:hAnsiTheme="majorBidi" w:cstheme="majorBidi"/>
                <w:b/>
                <w:szCs w:val="22"/>
                <w:lang w:val="fr-FR"/>
              </w:rPr>
              <w:t>Zone rurale ou à l'intérieur de locaux</w:t>
            </w:r>
          </w:p>
        </w:tc>
        <w:tc>
          <w:tcPr>
            <w:tcW w:w="1382" w:type="dxa"/>
            <w:tcBorders>
              <w:top w:val="single" w:sz="8" w:space="0" w:color="000000"/>
              <w:left w:val="single" w:sz="8" w:space="0" w:color="000000"/>
              <w:bottom w:val="single" w:sz="8" w:space="0" w:color="000000"/>
              <w:right w:val="single" w:sz="8" w:space="0" w:color="000000"/>
            </w:tcBorders>
          </w:tcPr>
          <w:p w:rsidR="00610AD5" w:rsidRPr="00610AD5" w:rsidRDefault="00610AD5" w:rsidP="00C608E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lang w:val="fr-FR"/>
              </w:rPr>
            </w:pPr>
            <w:r w:rsidRPr="00610AD5">
              <w:rPr>
                <w:rFonts w:asciiTheme="majorBidi" w:hAnsiTheme="majorBidi" w:cstheme="majorBidi"/>
                <w:b/>
                <w:szCs w:val="22"/>
                <w:lang w:val="fr-FR"/>
              </w:rPr>
              <w:t xml:space="preserve">Zone urbaine </w:t>
            </w:r>
          </w:p>
        </w:tc>
        <w:tc>
          <w:tcPr>
            <w:tcW w:w="3268" w:type="dxa"/>
            <w:tcBorders>
              <w:top w:val="single" w:sz="8" w:space="0" w:color="000000"/>
              <w:left w:val="single" w:sz="8" w:space="0" w:color="000000"/>
              <w:bottom w:val="single" w:sz="8" w:space="0" w:color="000000"/>
              <w:right w:val="single" w:sz="8" w:space="0" w:color="000000"/>
            </w:tcBorders>
          </w:tcPr>
          <w:p w:rsidR="00610AD5" w:rsidRPr="00610AD5" w:rsidRDefault="00610AD5" w:rsidP="00C608E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lang w:val="fr-FR"/>
              </w:rPr>
            </w:pPr>
            <w:r w:rsidRPr="00610AD5">
              <w:rPr>
                <w:rFonts w:asciiTheme="majorBidi" w:hAnsiTheme="majorBidi" w:cstheme="majorBidi"/>
                <w:b/>
                <w:szCs w:val="22"/>
                <w:lang w:val="fr-FR"/>
              </w:rPr>
              <w:t>Ensemble des Emirats</w:t>
            </w:r>
          </w:p>
        </w:tc>
        <w:tc>
          <w:tcPr>
            <w:tcW w:w="1401" w:type="dxa"/>
            <w:tcBorders>
              <w:top w:val="single" w:sz="8" w:space="0" w:color="000000"/>
              <w:left w:val="single" w:sz="8" w:space="0" w:color="000000"/>
              <w:bottom w:val="single" w:sz="8" w:space="0" w:color="000000"/>
              <w:right w:val="single" w:sz="8" w:space="0" w:color="000000"/>
            </w:tcBorders>
          </w:tcPr>
          <w:p w:rsidR="00610AD5" w:rsidRPr="00610AD5" w:rsidRDefault="00610AD5" w:rsidP="00C608E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lang w:val="fr-FR"/>
              </w:rPr>
            </w:pPr>
            <w:r w:rsidRPr="00610AD5">
              <w:rPr>
                <w:rFonts w:asciiTheme="majorBidi" w:hAnsiTheme="majorBidi" w:cstheme="majorBidi"/>
                <w:b/>
                <w:szCs w:val="22"/>
                <w:lang w:val="fr-FR"/>
              </w:rPr>
              <w:t xml:space="preserve">Totalité des Emirats arabes unis </w:t>
            </w:r>
          </w:p>
        </w:tc>
      </w:tr>
      <w:tr w:rsidR="00610AD5" w:rsidRPr="00610AD5" w:rsidTr="00610AD5">
        <w:trPr>
          <w:trHeight w:val="319"/>
          <w:jc w:val="center"/>
        </w:trPr>
        <w:tc>
          <w:tcPr>
            <w:tcW w:w="866" w:type="dxa"/>
            <w:tcBorders>
              <w:top w:val="single" w:sz="8" w:space="0" w:color="000000"/>
              <w:left w:val="single" w:sz="8" w:space="0" w:color="000000"/>
              <w:bottom w:val="single" w:sz="8" w:space="0" w:color="000000"/>
              <w:right w:val="single" w:sz="8" w:space="0" w:color="000000"/>
            </w:tcBorders>
          </w:tcPr>
          <w:p w:rsidR="00610AD5" w:rsidRPr="00610AD5" w:rsidRDefault="00610AD5" w:rsidP="00C608E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Cs/>
                <w:szCs w:val="22"/>
                <w:lang w:val="fr-FR"/>
              </w:rPr>
            </w:pPr>
            <w:r w:rsidRPr="00610AD5">
              <w:rPr>
                <w:rFonts w:asciiTheme="majorBidi" w:hAnsiTheme="majorBidi" w:cstheme="majorBidi"/>
                <w:bCs/>
                <w:szCs w:val="22"/>
                <w:lang w:val="fr-FR"/>
              </w:rPr>
              <w:t xml:space="preserve">CF </w:t>
            </w:r>
          </w:p>
        </w:tc>
        <w:tc>
          <w:tcPr>
            <w:tcW w:w="1462" w:type="dxa"/>
            <w:tcBorders>
              <w:top w:val="single" w:sz="8" w:space="0" w:color="000000"/>
              <w:left w:val="single" w:sz="8" w:space="0" w:color="000000"/>
              <w:bottom w:val="single" w:sz="8" w:space="0" w:color="000000"/>
              <w:right w:val="single" w:sz="8" w:space="0" w:color="000000"/>
            </w:tcBorders>
          </w:tcPr>
          <w:p w:rsidR="00610AD5" w:rsidRPr="00610AD5" w:rsidRDefault="00610AD5" w:rsidP="00C608E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Cs/>
                <w:szCs w:val="22"/>
                <w:lang w:val="fr-FR"/>
              </w:rPr>
            </w:pPr>
            <w:r w:rsidRPr="00610AD5">
              <w:rPr>
                <w:rFonts w:asciiTheme="majorBidi" w:hAnsiTheme="majorBidi" w:cstheme="majorBidi"/>
                <w:bCs/>
                <w:szCs w:val="22"/>
                <w:lang w:val="fr-FR"/>
              </w:rPr>
              <w:t xml:space="preserve">100 </w:t>
            </w:r>
          </w:p>
        </w:tc>
        <w:tc>
          <w:tcPr>
            <w:tcW w:w="1382" w:type="dxa"/>
            <w:tcBorders>
              <w:top w:val="single" w:sz="8" w:space="0" w:color="000000"/>
              <w:left w:val="single" w:sz="8" w:space="0" w:color="000000"/>
              <w:bottom w:val="single" w:sz="8" w:space="0" w:color="000000"/>
              <w:right w:val="single" w:sz="8" w:space="0" w:color="000000"/>
            </w:tcBorders>
          </w:tcPr>
          <w:p w:rsidR="00610AD5" w:rsidRPr="00610AD5" w:rsidRDefault="00610AD5" w:rsidP="00C608E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Cs/>
                <w:szCs w:val="22"/>
                <w:lang w:val="fr-FR"/>
              </w:rPr>
            </w:pPr>
            <w:r w:rsidRPr="00610AD5">
              <w:rPr>
                <w:rFonts w:asciiTheme="majorBidi" w:hAnsiTheme="majorBidi" w:cstheme="majorBidi"/>
                <w:bCs/>
                <w:szCs w:val="22"/>
                <w:lang w:val="fr-FR"/>
              </w:rPr>
              <w:t xml:space="preserve">500 </w:t>
            </w:r>
          </w:p>
        </w:tc>
        <w:tc>
          <w:tcPr>
            <w:tcW w:w="3268" w:type="dxa"/>
            <w:tcBorders>
              <w:top w:val="single" w:sz="8" w:space="0" w:color="000000"/>
              <w:left w:val="single" w:sz="8" w:space="0" w:color="000000"/>
              <w:bottom w:val="single" w:sz="8" w:space="0" w:color="000000"/>
              <w:right w:val="single" w:sz="8" w:space="0" w:color="000000"/>
            </w:tcBorders>
          </w:tcPr>
          <w:p w:rsidR="00610AD5" w:rsidRPr="00610AD5" w:rsidRDefault="00610AD5" w:rsidP="00C608E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left"/>
              <w:rPr>
                <w:rFonts w:asciiTheme="majorBidi" w:hAnsiTheme="majorBidi" w:cstheme="majorBidi"/>
                <w:bCs/>
                <w:szCs w:val="22"/>
                <w:lang w:val="fr-FR"/>
              </w:rPr>
            </w:pPr>
            <w:r w:rsidRPr="00610AD5">
              <w:rPr>
                <w:rFonts w:asciiTheme="majorBidi" w:hAnsiTheme="majorBidi" w:cstheme="majorBidi"/>
                <w:bCs/>
                <w:szCs w:val="22"/>
                <w:lang w:val="fr-FR"/>
              </w:rPr>
              <w:t>2 000 pour Abu Dhabi ou Dubaï</w:t>
            </w:r>
          </w:p>
          <w:p w:rsidR="00610AD5" w:rsidRPr="00610AD5" w:rsidRDefault="00610AD5" w:rsidP="00C608E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left"/>
              <w:rPr>
                <w:rFonts w:asciiTheme="majorBidi" w:hAnsiTheme="majorBidi" w:cstheme="majorBidi"/>
                <w:bCs/>
                <w:szCs w:val="22"/>
                <w:lang w:val="fr-FR"/>
              </w:rPr>
            </w:pPr>
            <w:r w:rsidRPr="00610AD5">
              <w:rPr>
                <w:rFonts w:asciiTheme="majorBidi" w:hAnsiTheme="majorBidi" w:cstheme="majorBidi"/>
                <w:bCs/>
                <w:szCs w:val="22"/>
                <w:lang w:val="fr-FR"/>
              </w:rPr>
              <w:t>1 000 pour les autres Emirats</w:t>
            </w:r>
          </w:p>
        </w:tc>
        <w:tc>
          <w:tcPr>
            <w:tcW w:w="1401" w:type="dxa"/>
            <w:tcBorders>
              <w:top w:val="single" w:sz="8" w:space="0" w:color="000000"/>
              <w:left w:val="single" w:sz="8" w:space="0" w:color="000000"/>
              <w:bottom w:val="single" w:sz="8" w:space="0" w:color="000000"/>
              <w:right w:val="single" w:sz="8" w:space="0" w:color="000000"/>
            </w:tcBorders>
          </w:tcPr>
          <w:p w:rsidR="00610AD5" w:rsidRPr="00610AD5" w:rsidRDefault="00610AD5" w:rsidP="00C608E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Cs/>
                <w:szCs w:val="22"/>
                <w:lang w:val="fr-FR"/>
              </w:rPr>
            </w:pPr>
            <w:r w:rsidRPr="00610AD5">
              <w:rPr>
                <w:rFonts w:asciiTheme="majorBidi" w:hAnsiTheme="majorBidi" w:cstheme="majorBidi"/>
                <w:bCs/>
                <w:szCs w:val="22"/>
                <w:lang w:val="fr-FR"/>
              </w:rPr>
              <w:t xml:space="preserve">4 000 </w:t>
            </w:r>
          </w:p>
        </w:tc>
      </w:tr>
    </w:tbl>
    <w:p w:rsidR="00610AD5" w:rsidRPr="00610AD5" w:rsidRDefault="00610AD5" w:rsidP="00C608EC">
      <w:pPr>
        <w:pStyle w:val="FigureSource"/>
        <w:keepNext w:val="0"/>
        <w:ind w:left="567" w:hanging="567"/>
      </w:pPr>
    </w:p>
    <w:p w:rsidR="00610AD5" w:rsidRPr="00610AD5" w:rsidRDefault="00610AD5" w:rsidP="00AB490D">
      <w:pPr>
        <w:pStyle w:val="Arttitle"/>
      </w:pPr>
      <w:bookmarkStart w:id="447" w:name="_Toc225739482"/>
      <w:bookmarkStart w:id="448" w:name="_Toc225739826"/>
      <w:bookmarkStart w:id="449" w:name="_Toc280262370"/>
      <w:bookmarkStart w:id="450" w:name="_Toc280272764"/>
      <w:bookmarkStart w:id="451" w:name="_Toc280272943"/>
      <w:r w:rsidRPr="00610AD5">
        <w:lastRenderedPageBreak/>
        <w:t>Article 13</w:t>
      </w:r>
      <w:bookmarkEnd w:id="447"/>
      <w:bookmarkEnd w:id="448"/>
      <w:r w:rsidRPr="00610AD5">
        <w:br/>
      </w:r>
      <w:r w:rsidRPr="00610AD5">
        <w:br/>
      </w:r>
      <w:bookmarkStart w:id="452" w:name="_Toc225739483"/>
      <w:bookmarkStart w:id="453" w:name="_Toc225739827"/>
      <w:r w:rsidRPr="00610AD5">
        <w:t>Droits à acquitter pour l'utilisation du spectre</w:t>
      </w:r>
      <w:r w:rsidRPr="00610AD5">
        <w:br/>
        <w:t>pour des liaisons fixes (point à point)</w:t>
      </w:r>
      <w:bookmarkEnd w:id="449"/>
      <w:bookmarkEnd w:id="450"/>
      <w:bookmarkEnd w:id="451"/>
      <w:bookmarkEnd w:id="452"/>
      <w:bookmarkEnd w:id="453"/>
    </w:p>
    <w:p w:rsidR="00610AD5" w:rsidRPr="00610AD5" w:rsidRDefault="00610AD5" w:rsidP="00867C40">
      <w:pPr>
        <w:pStyle w:val="enumlev1"/>
      </w:pPr>
      <w:r w:rsidRPr="00610AD5">
        <w:t>13.1</w:t>
      </w:r>
      <w:r w:rsidRPr="00610AD5">
        <w:tab/>
        <w:t xml:space="preserve">Les droits annuels à acquitter pour chaque liaison fixe point à point au-dessus de 2 GHz sont calculés comme suit: </w:t>
      </w:r>
    </w:p>
    <w:p w:rsidR="00610AD5" w:rsidRPr="00610AD5" w:rsidRDefault="00610AD5" w:rsidP="00610AD5">
      <w:pPr>
        <w:jc w:val="center"/>
        <w:rPr>
          <w:lang w:val="fr-FR"/>
        </w:rPr>
      </w:pPr>
      <w:r w:rsidRPr="00610AD5">
        <w:rPr>
          <w:b/>
          <w:lang w:val="fr-FR"/>
        </w:rPr>
        <w:t>Droits à acquitter = F x 2000 + BW x 1000</w:t>
      </w:r>
    </w:p>
    <w:p w:rsidR="00610AD5" w:rsidRPr="00610AD5" w:rsidRDefault="00610AD5" w:rsidP="00610AD5">
      <w:pPr>
        <w:ind w:left="720"/>
        <w:rPr>
          <w:lang w:val="fr-FR"/>
        </w:rPr>
      </w:pPr>
      <w:r w:rsidRPr="00610AD5">
        <w:rPr>
          <w:lang w:val="fr-FR"/>
        </w:rPr>
        <w:t xml:space="preserve">où: </w:t>
      </w:r>
    </w:p>
    <w:p w:rsidR="00610AD5" w:rsidRPr="00610AD5" w:rsidRDefault="00610AD5" w:rsidP="00610AD5">
      <w:pPr>
        <w:ind w:left="720"/>
        <w:rPr>
          <w:lang w:val="fr-FR"/>
        </w:rPr>
      </w:pPr>
      <w:r w:rsidRPr="00610AD5">
        <w:rPr>
          <w:b/>
          <w:bCs/>
          <w:lang w:val="fr-FR"/>
        </w:rPr>
        <w:t>F</w:t>
      </w:r>
      <w:r w:rsidRPr="00610AD5">
        <w:rPr>
          <w:lang w:val="fr-FR"/>
        </w:rPr>
        <w:t xml:space="preserve"> = Le coefficient de gamme de </w:t>
      </w:r>
      <w:r w:rsidRPr="00610AD5">
        <w:rPr>
          <w:lang w:val="fr-FR"/>
        </w:rPr>
        <w:tab/>
      </w:r>
      <w:r w:rsidRPr="00610AD5">
        <w:rPr>
          <w:lang w:val="fr-FR"/>
        </w:rPr>
        <w:tab/>
      </w:r>
      <w:r w:rsidRPr="00610AD5">
        <w:rPr>
          <w:lang w:val="fr-FR"/>
        </w:rPr>
        <w:tab/>
      </w:r>
      <w:r w:rsidRPr="00610AD5">
        <w:rPr>
          <w:lang w:val="fr-FR"/>
        </w:rPr>
        <w:tab/>
      </w:r>
      <w:r w:rsidRPr="00610AD5">
        <w:rPr>
          <w:b/>
          <w:bCs/>
          <w:lang w:val="fr-FR"/>
        </w:rPr>
        <w:t>BW</w:t>
      </w:r>
      <w:r w:rsidRPr="00610AD5">
        <w:rPr>
          <w:lang w:val="fr-FR"/>
        </w:rPr>
        <w:t xml:space="preserve"> = Le coefficient de largeur de bande,</w:t>
      </w:r>
      <w:r w:rsidRPr="00610AD5">
        <w:rPr>
          <w:lang w:val="fr-FR"/>
        </w:rPr>
        <w:br/>
        <w:t xml:space="preserve">fréquences, comme suit: </w:t>
      </w:r>
      <w:r w:rsidRPr="00610AD5">
        <w:rPr>
          <w:lang w:val="fr-FR"/>
        </w:rPr>
        <w:tab/>
      </w:r>
      <w:r w:rsidRPr="00610AD5">
        <w:rPr>
          <w:lang w:val="fr-FR"/>
        </w:rPr>
        <w:tab/>
      </w:r>
      <w:r w:rsidRPr="00610AD5">
        <w:rPr>
          <w:lang w:val="fr-FR"/>
        </w:rPr>
        <w:tab/>
      </w:r>
      <w:r w:rsidRPr="00610AD5">
        <w:rPr>
          <w:lang w:val="fr-FR"/>
        </w:rPr>
        <w:tab/>
      </w:r>
      <w:r w:rsidRPr="00610AD5">
        <w:rPr>
          <w:lang w:val="fr-FR"/>
        </w:rPr>
        <w:tab/>
        <w:t>comme suit:</w:t>
      </w:r>
    </w:p>
    <w:p w:rsidR="00610AD5" w:rsidRPr="00610AD5" w:rsidRDefault="00610AD5" w:rsidP="00610AD5">
      <w:pPr>
        <w:ind w:left="720"/>
        <w:rPr>
          <w:szCs w:val="19"/>
        </w:rPr>
      </w:pPr>
    </w:p>
    <w:p w:rsidR="00610AD5" w:rsidRPr="00610AD5" w:rsidRDefault="00610AD5" w:rsidP="00324665">
      <w:pPr>
        <w:pStyle w:val="FigureTitle"/>
        <w:rPr>
          <w:b w:val="0"/>
        </w:rPr>
      </w:pPr>
    </w:p>
    <w:tbl>
      <w:tblPr>
        <w:tblW w:w="0" w:type="auto"/>
        <w:tblInd w:w="675" w:type="dxa"/>
        <w:tblBorders>
          <w:top w:val="nil"/>
          <w:left w:val="nil"/>
          <w:bottom w:val="nil"/>
          <w:right w:val="nil"/>
        </w:tblBorders>
        <w:tblLook w:val="0000"/>
      </w:tblPr>
      <w:tblGrid>
        <w:gridCol w:w="2410"/>
        <w:gridCol w:w="1491"/>
        <w:gridCol w:w="1247"/>
        <w:gridCol w:w="2127"/>
        <w:gridCol w:w="1769"/>
      </w:tblGrid>
      <w:tr w:rsidR="00610AD5" w:rsidRPr="00610AD5" w:rsidTr="00610AD5">
        <w:trPr>
          <w:trHeight w:val="608"/>
        </w:trPr>
        <w:tc>
          <w:tcPr>
            <w:tcW w:w="2410"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lang w:val="fr-FR"/>
              </w:rPr>
            </w:pPr>
            <w:r w:rsidRPr="00610AD5">
              <w:rPr>
                <w:rFonts w:asciiTheme="majorBidi" w:hAnsiTheme="majorBidi" w:cstheme="majorBidi"/>
                <w:b/>
                <w:szCs w:val="22"/>
                <w:lang w:val="fr-FR"/>
              </w:rPr>
              <w:t>Bande de fréquences</w:t>
            </w:r>
          </w:p>
        </w:tc>
        <w:tc>
          <w:tcPr>
            <w:tcW w:w="1491" w:type="dxa"/>
            <w:tcBorders>
              <w:top w:val="single" w:sz="8" w:space="0" w:color="000000"/>
              <w:left w:val="single" w:sz="8" w:space="0" w:color="000000"/>
              <w:bottom w:val="single" w:sz="8" w:space="0" w:color="000000"/>
              <w:right w:val="single" w:sz="4" w:space="0" w:color="auto"/>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lang w:val="fr-FR"/>
              </w:rPr>
            </w:pPr>
            <w:r w:rsidRPr="00610AD5">
              <w:rPr>
                <w:rFonts w:asciiTheme="majorBidi" w:hAnsiTheme="majorBidi" w:cstheme="majorBidi"/>
                <w:b/>
                <w:szCs w:val="22"/>
                <w:lang w:val="fr-FR"/>
              </w:rPr>
              <w:t xml:space="preserve">Coefficient F </w:t>
            </w:r>
          </w:p>
        </w:tc>
        <w:tc>
          <w:tcPr>
            <w:tcW w:w="1247" w:type="dxa"/>
            <w:tcBorders>
              <w:top w:val="nil"/>
              <w:left w:val="single" w:sz="4" w:space="0" w:color="auto"/>
              <w:bottom w:val="nil"/>
              <w:right w:val="single" w:sz="4" w:space="0" w:color="auto"/>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lang w:val="fr-FR"/>
              </w:rPr>
            </w:pPr>
          </w:p>
        </w:tc>
        <w:tc>
          <w:tcPr>
            <w:tcW w:w="2127" w:type="dxa"/>
            <w:tcBorders>
              <w:top w:val="single" w:sz="8" w:space="0" w:color="000000"/>
              <w:left w:val="single" w:sz="4" w:space="0" w:color="auto"/>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lang w:val="fr-FR"/>
              </w:rPr>
            </w:pPr>
            <w:r w:rsidRPr="00610AD5">
              <w:rPr>
                <w:rFonts w:asciiTheme="majorBidi" w:hAnsiTheme="majorBidi" w:cstheme="majorBidi"/>
                <w:b/>
                <w:szCs w:val="22"/>
                <w:lang w:val="fr-FR"/>
              </w:rPr>
              <w:t xml:space="preserve">Largeur de bande </w:t>
            </w:r>
          </w:p>
        </w:tc>
        <w:tc>
          <w:tcPr>
            <w:tcW w:w="1769"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lang w:val="fr-FR"/>
              </w:rPr>
            </w:pPr>
            <w:r w:rsidRPr="00610AD5">
              <w:rPr>
                <w:rFonts w:asciiTheme="majorBidi" w:hAnsiTheme="majorBidi" w:cstheme="majorBidi"/>
                <w:b/>
                <w:szCs w:val="22"/>
                <w:lang w:val="fr-FR"/>
              </w:rPr>
              <w:t xml:space="preserve">Coefficient BW </w:t>
            </w:r>
          </w:p>
        </w:tc>
      </w:tr>
      <w:tr w:rsidR="00610AD5" w:rsidRPr="00610AD5" w:rsidTr="00610AD5">
        <w:trPr>
          <w:trHeight w:val="319"/>
        </w:trPr>
        <w:tc>
          <w:tcPr>
            <w:tcW w:w="2410"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fr-FR"/>
              </w:rPr>
            </w:pPr>
            <w:r w:rsidRPr="00610AD5">
              <w:rPr>
                <w:rFonts w:asciiTheme="majorBidi" w:hAnsiTheme="majorBidi" w:cstheme="majorBidi"/>
                <w:szCs w:val="22"/>
                <w:lang w:val="fr-FR"/>
              </w:rPr>
              <w:t xml:space="preserve">2 GHz-3 GHz </w:t>
            </w:r>
          </w:p>
        </w:tc>
        <w:tc>
          <w:tcPr>
            <w:tcW w:w="1491" w:type="dxa"/>
            <w:tcBorders>
              <w:top w:val="single" w:sz="8" w:space="0" w:color="000000"/>
              <w:left w:val="single" w:sz="8" w:space="0" w:color="000000"/>
              <w:bottom w:val="single" w:sz="8" w:space="0" w:color="000000"/>
              <w:right w:val="single" w:sz="4" w:space="0" w:color="auto"/>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lang w:val="fr-FR"/>
              </w:rPr>
            </w:pPr>
            <w:r w:rsidRPr="00610AD5">
              <w:rPr>
                <w:rFonts w:asciiTheme="majorBidi" w:hAnsiTheme="majorBidi" w:cstheme="majorBidi"/>
                <w:szCs w:val="22"/>
                <w:lang w:val="fr-FR"/>
              </w:rPr>
              <w:t>4</w:t>
            </w:r>
          </w:p>
        </w:tc>
        <w:tc>
          <w:tcPr>
            <w:tcW w:w="1247" w:type="dxa"/>
            <w:tcBorders>
              <w:top w:val="nil"/>
              <w:left w:val="single" w:sz="4" w:space="0" w:color="auto"/>
              <w:bottom w:val="nil"/>
              <w:right w:val="single" w:sz="4" w:space="0" w:color="auto"/>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fr-FR"/>
              </w:rPr>
            </w:pPr>
          </w:p>
        </w:tc>
        <w:tc>
          <w:tcPr>
            <w:tcW w:w="2127" w:type="dxa"/>
            <w:tcBorders>
              <w:top w:val="single" w:sz="8" w:space="0" w:color="000000"/>
              <w:left w:val="single" w:sz="4" w:space="0" w:color="auto"/>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fr-FR"/>
              </w:rPr>
            </w:pPr>
            <w:r w:rsidRPr="00610AD5">
              <w:rPr>
                <w:rFonts w:asciiTheme="majorBidi" w:hAnsiTheme="majorBidi" w:cstheme="majorBidi"/>
                <w:szCs w:val="22"/>
                <w:lang w:val="fr-FR"/>
              </w:rPr>
              <w:t>7 MHz ou moins</w:t>
            </w:r>
          </w:p>
        </w:tc>
        <w:tc>
          <w:tcPr>
            <w:tcW w:w="1769"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lang w:val="fr-FR"/>
              </w:rPr>
            </w:pPr>
            <w:r w:rsidRPr="00610AD5">
              <w:rPr>
                <w:rFonts w:asciiTheme="majorBidi" w:hAnsiTheme="majorBidi" w:cstheme="majorBidi"/>
                <w:szCs w:val="22"/>
                <w:lang w:val="fr-FR"/>
              </w:rPr>
              <w:t>1</w:t>
            </w:r>
          </w:p>
        </w:tc>
      </w:tr>
      <w:tr w:rsidR="00610AD5" w:rsidRPr="00610AD5" w:rsidTr="00610AD5">
        <w:trPr>
          <w:trHeight w:val="319"/>
        </w:trPr>
        <w:tc>
          <w:tcPr>
            <w:tcW w:w="2410"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fr-FR"/>
              </w:rPr>
            </w:pPr>
            <w:r w:rsidRPr="00610AD5">
              <w:rPr>
                <w:rFonts w:asciiTheme="majorBidi" w:hAnsiTheme="majorBidi" w:cstheme="majorBidi"/>
                <w:szCs w:val="22"/>
                <w:lang w:val="fr-FR"/>
              </w:rPr>
              <w:t xml:space="preserve">&gt;3 GHz-14 GHz </w:t>
            </w:r>
          </w:p>
        </w:tc>
        <w:tc>
          <w:tcPr>
            <w:tcW w:w="1491" w:type="dxa"/>
            <w:tcBorders>
              <w:top w:val="single" w:sz="8" w:space="0" w:color="000000"/>
              <w:left w:val="single" w:sz="8" w:space="0" w:color="000000"/>
              <w:bottom w:val="single" w:sz="8" w:space="0" w:color="000000"/>
              <w:right w:val="single" w:sz="4" w:space="0" w:color="auto"/>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lang w:val="fr-FR"/>
              </w:rPr>
            </w:pPr>
            <w:r w:rsidRPr="00610AD5">
              <w:rPr>
                <w:rFonts w:asciiTheme="majorBidi" w:hAnsiTheme="majorBidi" w:cstheme="majorBidi"/>
                <w:szCs w:val="22"/>
                <w:lang w:val="fr-FR"/>
              </w:rPr>
              <w:t>3</w:t>
            </w:r>
          </w:p>
        </w:tc>
        <w:tc>
          <w:tcPr>
            <w:tcW w:w="1247" w:type="dxa"/>
            <w:tcBorders>
              <w:top w:val="nil"/>
              <w:left w:val="single" w:sz="4" w:space="0" w:color="auto"/>
              <w:bottom w:val="nil"/>
              <w:right w:val="single" w:sz="4" w:space="0" w:color="auto"/>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fr-FR"/>
              </w:rPr>
            </w:pPr>
          </w:p>
        </w:tc>
        <w:tc>
          <w:tcPr>
            <w:tcW w:w="2127" w:type="dxa"/>
            <w:tcBorders>
              <w:top w:val="single" w:sz="8" w:space="0" w:color="000000"/>
              <w:left w:val="single" w:sz="4" w:space="0" w:color="auto"/>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fr-FR"/>
              </w:rPr>
            </w:pPr>
            <w:r w:rsidRPr="00610AD5">
              <w:rPr>
                <w:rFonts w:asciiTheme="majorBidi" w:hAnsiTheme="majorBidi" w:cstheme="majorBidi"/>
                <w:szCs w:val="22"/>
                <w:lang w:val="fr-FR"/>
              </w:rPr>
              <w:t xml:space="preserve">&gt;7 MHz-28 MHz </w:t>
            </w:r>
          </w:p>
        </w:tc>
        <w:tc>
          <w:tcPr>
            <w:tcW w:w="1769"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lang w:val="fr-FR"/>
              </w:rPr>
            </w:pPr>
            <w:r w:rsidRPr="00610AD5">
              <w:rPr>
                <w:rFonts w:asciiTheme="majorBidi" w:hAnsiTheme="majorBidi" w:cstheme="majorBidi"/>
                <w:szCs w:val="22"/>
                <w:lang w:val="fr-FR"/>
              </w:rPr>
              <w:t>2</w:t>
            </w:r>
          </w:p>
        </w:tc>
      </w:tr>
      <w:tr w:rsidR="00610AD5" w:rsidRPr="00610AD5" w:rsidTr="00610AD5">
        <w:trPr>
          <w:trHeight w:val="319"/>
        </w:trPr>
        <w:tc>
          <w:tcPr>
            <w:tcW w:w="2410"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fr-FR"/>
              </w:rPr>
            </w:pPr>
            <w:r w:rsidRPr="00610AD5">
              <w:rPr>
                <w:rFonts w:asciiTheme="majorBidi" w:hAnsiTheme="majorBidi" w:cstheme="majorBidi"/>
                <w:szCs w:val="22"/>
                <w:lang w:val="fr-FR"/>
              </w:rPr>
              <w:t xml:space="preserve">&gt;14 GHz-40 GHz </w:t>
            </w:r>
          </w:p>
        </w:tc>
        <w:tc>
          <w:tcPr>
            <w:tcW w:w="1491" w:type="dxa"/>
            <w:tcBorders>
              <w:top w:val="single" w:sz="8" w:space="0" w:color="000000"/>
              <w:left w:val="single" w:sz="8" w:space="0" w:color="000000"/>
              <w:bottom w:val="single" w:sz="8" w:space="0" w:color="000000"/>
              <w:right w:val="single" w:sz="4" w:space="0" w:color="auto"/>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lang w:val="fr-FR"/>
              </w:rPr>
            </w:pPr>
            <w:r w:rsidRPr="00610AD5">
              <w:rPr>
                <w:rFonts w:asciiTheme="majorBidi" w:hAnsiTheme="majorBidi" w:cstheme="majorBidi"/>
                <w:szCs w:val="22"/>
                <w:lang w:val="fr-FR"/>
              </w:rPr>
              <w:t>2</w:t>
            </w:r>
          </w:p>
        </w:tc>
        <w:tc>
          <w:tcPr>
            <w:tcW w:w="1247" w:type="dxa"/>
            <w:tcBorders>
              <w:top w:val="nil"/>
              <w:left w:val="single" w:sz="4" w:space="0" w:color="auto"/>
              <w:bottom w:val="nil"/>
              <w:right w:val="single" w:sz="4" w:space="0" w:color="auto"/>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fr-FR"/>
              </w:rPr>
            </w:pPr>
          </w:p>
        </w:tc>
        <w:tc>
          <w:tcPr>
            <w:tcW w:w="2127" w:type="dxa"/>
            <w:tcBorders>
              <w:top w:val="single" w:sz="8" w:space="0" w:color="000000"/>
              <w:left w:val="single" w:sz="4" w:space="0" w:color="auto"/>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fr-FR"/>
              </w:rPr>
            </w:pPr>
            <w:r w:rsidRPr="00610AD5">
              <w:rPr>
                <w:rFonts w:asciiTheme="majorBidi" w:hAnsiTheme="majorBidi" w:cstheme="majorBidi"/>
                <w:szCs w:val="22"/>
                <w:lang w:val="fr-FR"/>
              </w:rPr>
              <w:t xml:space="preserve">&gt;28 MHz-56 MHz </w:t>
            </w:r>
          </w:p>
        </w:tc>
        <w:tc>
          <w:tcPr>
            <w:tcW w:w="1769"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lang w:val="fr-FR"/>
              </w:rPr>
            </w:pPr>
            <w:r w:rsidRPr="00610AD5">
              <w:rPr>
                <w:rFonts w:asciiTheme="majorBidi" w:hAnsiTheme="majorBidi" w:cstheme="majorBidi"/>
                <w:szCs w:val="22"/>
                <w:lang w:val="fr-FR"/>
              </w:rPr>
              <w:t>3</w:t>
            </w:r>
          </w:p>
        </w:tc>
      </w:tr>
      <w:tr w:rsidR="00610AD5" w:rsidRPr="00610AD5" w:rsidTr="00610AD5">
        <w:trPr>
          <w:trHeight w:val="319"/>
        </w:trPr>
        <w:tc>
          <w:tcPr>
            <w:tcW w:w="2410"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fr-FR"/>
              </w:rPr>
            </w:pPr>
            <w:r w:rsidRPr="00610AD5">
              <w:rPr>
                <w:rFonts w:asciiTheme="majorBidi" w:hAnsiTheme="majorBidi" w:cstheme="majorBidi"/>
                <w:szCs w:val="22"/>
                <w:lang w:val="fr-FR"/>
              </w:rPr>
              <w:t xml:space="preserve">Au-dessus de 40 GHz </w:t>
            </w:r>
          </w:p>
        </w:tc>
        <w:tc>
          <w:tcPr>
            <w:tcW w:w="1491" w:type="dxa"/>
            <w:tcBorders>
              <w:top w:val="single" w:sz="8" w:space="0" w:color="000000"/>
              <w:left w:val="single" w:sz="8" w:space="0" w:color="000000"/>
              <w:bottom w:val="single" w:sz="8" w:space="0" w:color="000000"/>
              <w:right w:val="single" w:sz="4" w:space="0" w:color="auto"/>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lang w:val="fr-FR"/>
              </w:rPr>
            </w:pPr>
            <w:r w:rsidRPr="00610AD5">
              <w:rPr>
                <w:rFonts w:asciiTheme="majorBidi" w:hAnsiTheme="majorBidi" w:cstheme="majorBidi"/>
                <w:szCs w:val="22"/>
                <w:lang w:val="fr-FR"/>
              </w:rPr>
              <w:t>1</w:t>
            </w:r>
          </w:p>
        </w:tc>
        <w:tc>
          <w:tcPr>
            <w:tcW w:w="1247" w:type="dxa"/>
            <w:tcBorders>
              <w:top w:val="nil"/>
              <w:left w:val="single" w:sz="4" w:space="0" w:color="auto"/>
              <w:bottom w:val="nil"/>
              <w:right w:val="single" w:sz="4" w:space="0" w:color="auto"/>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fr-FR"/>
              </w:rPr>
            </w:pPr>
          </w:p>
        </w:tc>
        <w:tc>
          <w:tcPr>
            <w:tcW w:w="2127" w:type="dxa"/>
            <w:tcBorders>
              <w:top w:val="single" w:sz="8" w:space="0" w:color="000000"/>
              <w:left w:val="single" w:sz="4" w:space="0" w:color="auto"/>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fr-FR"/>
              </w:rPr>
            </w:pPr>
            <w:r w:rsidRPr="00610AD5">
              <w:rPr>
                <w:rFonts w:asciiTheme="majorBidi" w:hAnsiTheme="majorBidi" w:cstheme="majorBidi"/>
                <w:szCs w:val="22"/>
                <w:lang w:val="fr-FR"/>
              </w:rPr>
              <w:t xml:space="preserve">Supérieure à 56 MHz </w:t>
            </w:r>
          </w:p>
        </w:tc>
        <w:tc>
          <w:tcPr>
            <w:tcW w:w="1769"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lang w:val="fr-FR"/>
              </w:rPr>
            </w:pPr>
            <w:r w:rsidRPr="00610AD5">
              <w:rPr>
                <w:rFonts w:asciiTheme="majorBidi" w:hAnsiTheme="majorBidi" w:cstheme="majorBidi"/>
                <w:szCs w:val="22"/>
                <w:lang w:val="fr-FR"/>
              </w:rPr>
              <w:t>4</w:t>
            </w:r>
          </w:p>
        </w:tc>
      </w:tr>
    </w:tbl>
    <w:p w:rsidR="00610AD5" w:rsidRPr="00610AD5" w:rsidRDefault="00610AD5" w:rsidP="008347A9">
      <w:pPr>
        <w:pStyle w:val="FigureSource"/>
      </w:pPr>
    </w:p>
    <w:p w:rsidR="00610AD5" w:rsidRPr="00610AD5" w:rsidRDefault="00610AD5" w:rsidP="00610AD5">
      <w:pPr>
        <w:spacing w:before="80"/>
        <w:ind w:left="794" w:hanging="794"/>
        <w:rPr>
          <w:rFonts w:ascii="Verdana" w:hAnsi="Verdana"/>
          <w:sz w:val="19"/>
          <w:szCs w:val="19"/>
        </w:rPr>
      </w:pPr>
    </w:p>
    <w:p w:rsidR="00610AD5" w:rsidRPr="00610AD5" w:rsidRDefault="00610AD5" w:rsidP="00867C40">
      <w:pPr>
        <w:pStyle w:val="enumlev1"/>
      </w:pPr>
      <w:r w:rsidRPr="00610AD5">
        <w:t>13.2</w:t>
      </w:r>
      <w:r w:rsidRPr="00610AD5">
        <w:tab/>
        <w:t>La largeur de bande pour chaque liaison fixe point à point au-dessus de 2 GHz est calculée sur la base de la largeur de bande du canal (par exemple, pour deux bandes de fréquences de 3,5 MHz chacune, soit 7 MHz, on a un coefficient de largeur de bande de 1). La diversité de fréquence est facturée comme une liaison séparée, mais sans supplément pour la diversité d'espace et l'exploitation en mode réserve active.</w:t>
      </w:r>
    </w:p>
    <w:p w:rsidR="00610AD5" w:rsidRPr="00610AD5" w:rsidRDefault="00610AD5" w:rsidP="00867C40">
      <w:pPr>
        <w:pStyle w:val="enumlev1"/>
      </w:pPr>
      <w:r w:rsidRPr="00610AD5">
        <w:t>13.3</w:t>
      </w:r>
      <w:r w:rsidRPr="00610AD5">
        <w:tab/>
        <w:t>Dans des cas exceptionnels, lorsque deux bandes de fréquences sont assignées à toutes les liaisons point à point des Emirats arabes unis, au-dessus de 2 GHz, le montant annuel des droits d'utilisation du spectre est dix fois supérieur au montant fixé pour une seule liaison (en supposant que les mêmes paramètres s'appliquent), sur la base d'un coefficient de réutilisation égal à 10.</w:t>
      </w:r>
    </w:p>
    <w:p w:rsidR="00610AD5" w:rsidRPr="00610AD5" w:rsidRDefault="00610AD5" w:rsidP="00867C40">
      <w:pPr>
        <w:pStyle w:val="enumlev1"/>
      </w:pPr>
      <w:r w:rsidRPr="00610AD5">
        <w:t>13.4</w:t>
      </w:r>
      <w:r w:rsidRPr="00610AD5">
        <w:tab/>
        <w:t xml:space="preserve">Le montant annuel des droits d'utilisation du spectre pour chaque liaison fixe point à point en ondes décamétriques au-dessous de 30 MHz est calculé comme suit: </w:t>
      </w:r>
    </w:p>
    <w:p w:rsidR="00610AD5" w:rsidRPr="00610AD5" w:rsidRDefault="00610AD5" w:rsidP="00610AD5">
      <w:pPr>
        <w:jc w:val="center"/>
        <w:rPr>
          <w:b/>
          <w:bCs/>
          <w:lang w:val="fr-FR"/>
        </w:rPr>
      </w:pPr>
      <w:r w:rsidRPr="00610AD5">
        <w:rPr>
          <w:b/>
          <w:lang w:val="fr-FR"/>
        </w:rPr>
        <w:t>Droits à acquitter = BW x 1000</w:t>
      </w:r>
    </w:p>
    <w:p w:rsidR="00610AD5" w:rsidRPr="00610AD5" w:rsidRDefault="00610AD5" w:rsidP="00867C40">
      <w:pPr>
        <w:pStyle w:val="enumlev1"/>
        <w:rPr>
          <w:lang w:val="fr-FR"/>
        </w:rPr>
      </w:pPr>
      <w:r w:rsidRPr="00610AD5">
        <w:rPr>
          <w:lang w:val="fr-FR"/>
        </w:rPr>
        <w:tab/>
        <w:t>Le coefficient BW étant exprimé en kHz pour tous les canaux sur cette liaison</w:t>
      </w:r>
    </w:p>
    <w:p w:rsidR="00610AD5" w:rsidRPr="00610AD5" w:rsidRDefault="00610AD5" w:rsidP="00867C40">
      <w:pPr>
        <w:pStyle w:val="enumlev1"/>
        <w:rPr>
          <w:rFonts w:asciiTheme="majorBidi" w:hAnsiTheme="majorBidi" w:cstheme="majorBidi"/>
          <w:szCs w:val="22"/>
        </w:rPr>
      </w:pPr>
      <w:r w:rsidRPr="00610AD5">
        <w:rPr>
          <w:rFonts w:asciiTheme="majorBidi" w:hAnsiTheme="majorBidi" w:cstheme="majorBidi"/>
          <w:szCs w:val="22"/>
        </w:rPr>
        <w:t>13.5</w:t>
      </w:r>
      <w:r w:rsidRPr="00610AD5">
        <w:rPr>
          <w:rFonts w:asciiTheme="majorBidi" w:hAnsiTheme="majorBidi" w:cstheme="majorBidi"/>
          <w:szCs w:val="22"/>
        </w:rPr>
        <w:tab/>
        <w:t xml:space="preserve">Le montant annuel des droits d'utilisation du spectre pour chaque liaison fixe point à point en ondes métriques et décimétriques au-dessous de 2 GHz est calculé comme suit: </w:t>
      </w:r>
    </w:p>
    <w:p w:rsidR="00610AD5" w:rsidRPr="00610AD5" w:rsidRDefault="00610AD5" w:rsidP="00610AD5">
      <w:pPr>
        <w:keepNext/>
        <w:spacing w:before="160"/>
        <w:jc w:val="center"/>
        <w:rPr>
          <w:b/>
          <w:lang w:val="fr-FR"/>
        </w:rPr>
      </w:pPr>
      <w:bookmarkStart w:id="454" w:name="_Toc225739484"/>
      <w:bookmarkStart w:id="455" w:name="_Toc225739828"/>
      <w:r w:rsidRPr="00610AD5">
        <w:rPr>
          <w:b/>
          <w:lang w:val="fr-FR"/>
        </w:rPr>
        <w:t>Droits à acquitter = BW x 500</w:t>
      </w:r>
      <w:bookmarkEnd w:id="454"/>
      <w:bookmarkEnd w:id="455"/>
    </w:p>
    <w:p w:rsidR="00610AD5" w:rsidRPr="00610AD5" w:rsidRDefault="00610AD5" w:rsidP="00867C40">
      <w:pPr>
        <w:pStyle w:val="enumlev1"/>
        <w:rPr>
          <w:lang w:val="fr-FR"/>
        </w:rPr>
      </w:pPr>
      <w:r w:rsidRPr="00610AD5">
        <w:rPr>
          <w:lang w:val="fr-FR"/>
        </w:rPr>
        <w:tab/>
        <w:t>Le coefficient BW étant exprimé en kHz pour tous les canaux sur cette liaison</w:t>
      </w:r>
    </w:p>
    <w:p w:rsidR="00610AD5" w:rsidRPr="00610AD5" w:rsidRDefault="00610AD5" w:rsidP="00AB490D">
      <w:pPr>
        <w:pStyle w:val="Arttitle"/>
      </w:pPr>
      <w:bookmarkStart w:id="456" w:name="_Toc225739485"/>
      <w:bookmarkStart w:id="457" w:name="_Toc225739829"/>
      <w:bookmarkStart w:id="458" w:name="_Toc280262371"/>
      <w:bookmarkStart w:id="459" w:name="_Toc280272765"/>
      <w:bookmarkStart w:id="460" w:name="_Toc280272944"/>
      <w:r w:rsidRPr="00610AD5">
        <w:lastRenderedPageBreak/>
        <w:t>Article 14</w:t>
      </w:r>
      <w:bookmarkEnd w:id="456"/>
      <w:bookmarkEnd w:id="457"/>
      <w:r w:rsidRPr="00610AD5">
        <w:br/>
      </w:r>
      <w:r w:rsidRPr="00610AD5">
        <w:br/>
      </w:r>
      <w:bookmarkStart w:id="461" w:name="_Toc225739486"/>
      <w:bookmarkStart w:id="462" w:name="_Toc225739830"/>
      <w:r w:rsidRPr="00610AD5">
        <w:t xml:space="preserve">Droits d'utilisation du spectre à acquitter pour l'accès hertzien fixe, </w:t>
      </w:r>
      <w:r w:rsidRPr="00610AD5">
        <w:br/>
        <w:t>les systèmes de surveillance et d'acquisition de données (SCADA),</w:t>
      </w:r>
      <w:r w:rsidRPr="00610AD5">
        <w:br/>
        <w:t>la télémesure et les réseaux maillés</w:t>
      </w:r>
      <w:bookmarkEnd w:id="458"/>
      <w:bookmarkEnd w:id="459"/>
      <w:bookmarkEnd w:id="460"/>
      <w:bookmarkEnd w:id="461"/>
      <w:bookmarkEnd w:id="462"/>
    </w:p>
    <w:p w:rsidR="00610AD5" w:rsidRPr="00610AD5" w:rsidRDefault="00610AD5" w:rsidP="00867C40">
      <w:pPr>
        <w:pStyle w:val="enumlev1"/>
      </w:pPr>
      <w:r w:rsidRPr="00610AD5">
        <w:t>14.1</w:t>
      </w:r>
      <w:r w:rsidRPr="00610AD5">
        <w:tab/>
        <w:t xml:space="preserve">Le montant annuel des droits d'utilisation du spectre à acquitter pour l'accès hertzien fixe (y compris l'accès à la boucle locale hertzienne et l'accès point à multipoint), les systèmes SCADA, la télémesure et les réseaux maillés, au-dessous de 1 GHz, est calculé comme suit: </w:t>
      </w:r>
    </w:p>
    <w:p w:rsidR="00610AD5" w:rsidRPr="00610AD5" w:rsidRDefault="00610AD5" w:rsidP="00610AD5">
      <w:pPr>
        <w:keepNext/>
        <w:spacing w:before="160"/>
        <w:jc w:val="center"/>
        <w:rPr>
          <w:b/>
          <w:lang w:val="fr-FR"/>
        </w:rPr>
      </w:pPr>
      <w:bookmarkStart w:id="463" w:name="_Toc225739487"/>
      <w:bookmarkStart w:id="464" w:name="_Toc225739831"/>
      <w:r w:rsidRPr="00610AD5">
        <w:rPr>
          <w:b/>
          <w:lang w:val="fr-FR"/>
        </w:rPr>
        <w:t>Droits à acquitter = BW x 2000</w:t>
      </w:r>
      <w:bookmarkEnd w:id="463"/>
      <w:bookmarkEnd w:id="464"/>
    </w:p>
    <w:p w:rsidR="00610AD5" w:rsidRPr="00610AD5" w:rsidRDefault="00610AD5" w:rsidP="00610AD5">
      <w:pPr>
        <w:rPr>
          <w:rFonts w:asciiTheme="majorBidi" w:hAnsiTheme="majorBidi" w:cstheme="majorBidi"/>
          <w:szCs w:val="22"/>
        </w:rPr>
      </w:pPr>
      <w:r w:rsidRPr="00610AD5">
        <w:rPr>
          <w:rFonts w:asciiTheme="majorBidi" w:hAnsiTheme="majorBidi" w:cstheme="majorBidi"/>
          <w:szCs w:val="22"/>
        </w:rPr>
        <w:tab/>
      </w:r>
      <w:r w:rsidRPr="00610AD5">
        <w:rPr>
          <w:rFonts w:asciiTheme="majorBidi" w:hAnsiTheme="majorBidi" w:cstheme="majorBidi"/>
          <w:b/>
          <w:bCs/>
          <w:szCs w:val="22"/>
        </w:rPr>
        <w:t>BW</w:t>
      </w:r>
      <w:r w:rsidRPr="00610AD5">
        <w:rPr>
          <w:rFonts w:asciiTheme="majorBidi" w:hAnsiTheme="majorBidi" w:cstheme="majorBidi"/>
          <w:szCs w:val="22"/>
        </w:rPr>
        <w:t xml:space="preserve"> étant la largeur de bande totale en kHz</w:t>
      </w:r>
    </w:p>
    <w:p w:rsidR="00610AD5" w:rsidRPr="00610AD5" w:rsidRDefault="00610AD5" w:rsidP="00867C40">
      <w:pPr>
        <w:pStyle w:val="enumlev1"/>
      </w:pPr>
      <w:r w:rsidRPr="00610AD5">
        <w:t>14.2</w:t>
      </w:r>
      <w:r w:rsidRPr="00610AD5">
        <w:tab/>
        <w:t xml:space="preserve">Le montant annuel des droits d'utilisation du spectre à acquitter pour l'accès hertzien fixe (y compris l'accès à la boucle locale hertzienne et les liaisons point à multipoint), les systèmes SCADA, l'accès fixe large bande et les réseaux maillés, entre 1 GHz et 4 GHz, est calculé comme suit: </w:t>
      </w:r>
    </w:p>
    <w:p w:rsidR="00610AD5" w:rsidRPr="00610AD5" w:rsidRDefault="00610AD5" w:rsidP="00610AD5">
      <w:pPr>
        <w:jc w:val="center"/>
        <w:rPr>
          <w:color w:val="000000"/>
          <w:lang w:val="fr-FR"/>
        </w:rPr>
      </w:pPr>
      <w:r w:rsidRPr="00610AD5">
        <w:rPr>
          <w:b/>
          <w:lang w:val="fr-FR"/>
        </w:rPr>
        <w:t>Droits à acquitter</w:t>
      </w:r>
      <w:r w:rsidRPr="00610AD5">
        <w:rPr>
          <w:b/>
          <w:color w:val="000000"/>
          <w:lang w:val="fr-FR"/>
        </w:rPr>
        <w:t xml:space="preserve"> = BW x CF x 5</w:t>
      </w:r>
    </w:p>
    <w:p w:rsidR="00610AD5" w:rsidRPr="00610AD5" w:rsidRDefault="00610AD5" w:rsidP="00610AD5">
      <w:pPr>
        <w:ind w:firstLine="720"/>
        <w:rPr>
          <w:color w:val="000000"/>
          <w:lang w:val="fr-FR"/>
        </w:rPr>
      </w:pPr>
      <w:r w:rsidRPr="00610AD5">
        <w:rPr>
          <w:b/>
          <w:color w:val="000000"/>
          <w:lang w:val="fr-FR"/>
        </w:rPr>
        <w:t>BW</w:t>
      </w:r>
      <w:r w:rsidRPr="00610AD5">
        <w:rPr>
          <w:color w:val="000000"/>
          <w:lang w:val="fr-FR"/>
        </w:rPr>
        <w:t xml:space="preserve"> étant la l</w:t>
      </w:r>
      <w:r w:rsidRPr="00610AD5">
        <w:rPr>
          <w:lang w:val="fr-FR"/>
        </w:rPr>
        <w:t>argeur de bande totale en MHz</w:t>
      </w:r>
    </w:p>
    <w:p w:rsidR="00610AD5" w:rsidRPr="00610AD5" w:rsidRDefault="00610AD5" w:rsidP="00610AD5">
      <w:pPr>
        <w:spacing w:after="360"/>
        <w:ind w:left="720"/>
        <w:rPr>
          <w:color w:val="000000"/>
          <w:lang w:val="fr-FR"/>
        </w:rPr>
      </w:pPr>
      <w:r w:rsidRPr="00610AD5">
        <w:rPr>
          <w:b/>
          <w:color w:val="000000"/>
          <w:lang w:val="fr-FR"/>
        </w:rPr>
        <w:t>CF</w:t>
      </w:r>
      <w:r w:rsidRPr="00610AD5">
        <w:rPr>
          <w:color w:val="000000"/>
          <w:lang w:val="fr-FR"/>
        </w:rPr>
        <w:t xml:space="preserve"> étant le</w:t>
      </w:r>
      <w:r w:rsidRPr="00610AD5">
        <w:rPr>
          <w:b/>
          <w:color w:val="000000"/>
          <w:lang w:val="fr-FR"/>
        </w:rPr>
        <w:t xml:space="preserve"> </w:t>
      </w:r>
      <w:r w:rsidRPr="00610AD5">
        <w:rPr>
          <w:color w:val="000000"/>
          <w:lang w:val="fr-FR"/>
        </w:rPr>
        <w:t>coefficient de couverture, en fonction de la zone géographique, déterminé comme suit:</w:t>
      </w:r>
    </w:p>
    <w:p w:rsidR="00610AD5" w:rsidRPr="00610AD5" w:rsidRDefault="00610AD5" w:rsidP="00610AD5">
      <w:pPr>
        <w:ind w:left="720"/>
        <w:rPr>
          <w:color w:val="000000"/>
          <w:szCs w:val="19"/>
        </w:rPr>
      </w:pPr>
    </w:p>
    <w:p w:rsidR="00610AD5" w:rsidRPr="00610AD5" w:rsidRDefault="00610AD5" w:rsidP="00324665">
      <w:pPr>
        <w:pStyle w:val="FigureTitle"/>
        <w:rPr>
          <w:b w:val="0"/>
        </w:rPr>
      </w:pPr>
    </w:p>
    <w:tbl>
      <w:tblPr>
        <w:tblW w:w="0" w:type="auto"/>
        <w:jc w:val="center"/>
        <w:tblInd w:w="925" w:type="dxa"/>
        <w:tblBorders>
          <w:top w:val="nil"/>
          <w:left w:val="nil"/>
          <w:bottom w:val="nil"/>
          <w:right w:val="nil"/>
        </w:tblBorders>
        <w:tblLook w:val="0000"/>
      </w:tblPr>
      <w:tblGrid>
        <w:gridCol w:w="693"/>
        <w:gridCol w:w="1475"/>
        <w:gridCol w:w="1107"/>
        <w:gridCol w:w="3119"/>
        <w:gridCol w:w="1555"/>
      </w:tblGrid>
      <w:tr w:rsidR="00610AD5" w:rsidRPr="00610AD5" w:rsidTr="00610AD5">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lang w:val="fr-FR"/>
              </w:rPr>
            </w:pPr>
            <w:r w:rsidRPr="00610AD5">
              <w:rPr>
                <w:rFonts w:asciiTheme="majorBidi" w:hAnsiTheme="majorBidi" w:cstheme="majorBidi"/>
                <w:b/>
                <w:szCs w:val="22"/>
                <w:lang w:val="fr-FR"/>
              </w:rPr>
              <w:t xml:space="preserve">Zone </w:t>
            </w:r>
          </w:p>
        </w:tc>
        <w:tc>
          <w:tcPr>
            <w:tcW w:w="1475"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lang w:val="fr-FR"/>
              </w:rPr>
            </w:pPr>
            <w:r w:rsidRPr="00610AD5">
              <w:rPr>
                <w:rFonts w:asciiTheme="majorBidi" w:hAnsiTheme="majorBidi" w:cstheme="majorBidi"/>
                <w:b/>
                <w:szCs w:val="22"/>
                <w:lang w:val="fr-FR"/>
              </w:rPr>
              <w:t>Zone rurale ou à l'intérieur de locaux</w:t>
            </w:r>
          </w:p>
        </w:tc>
        <w:tc>
          <w:tcPr>
            <w:tcW w:w="1107"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lang w:val="fr-FR"/>
              </w:rPr>
            </w:pPr>
            <w:r w:rsidRPr="00610AD5">
              <w:rPr>
                <w:rFonts w:asciiTheme="majorBidi" w:hAnsiTheme="majorBidi" w:cstheme="majorBidi"/>
                <w:b/>
                <w:szCs w:val="22"/>
                <w:lang w:val="fr-FR"/>
              </w:rPr>
              <w:t xml:space="preserve">Zone urbaine </w:t>
            </w:r>
          </w:p>
        </w:tc>
        <w:tc>
          <w:tcPr>
            <w:tcW w:w="3119"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lang w:val="fr-FR"/>
              </w:rPr>
            </w:pPr>
            <w:r w:rsidRPr="00610AD5">
              <w:rPr>
                <w:rFonts w:asciiTheme="majorBidi" w:hAnsiTheme="majorBidi" w:cstheme="majorBidi"/>
                <w:b/>
                <w:szCs w:val="22"/>
                <w:lang w:val="fr-FR"/>
              </w:rPr>
              <w:t>Ensemble des Emirats</w:t>
            </w:r>
          </w:p>
        </w:tc>
        <w:tc>
          <w:tcPr>
            <w:tcW w:w="1555"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lang w:val="fr-FR"/>
              </w:rPr>
            </w:pPr>
            <w:r w:rsidRPr="00610AD5">
              <w:rPr>
                <w:rFonts w:asciiTheme="majorBidi" w:hAnsiTheme="majorBidi" w:cstheme="majorBidi"/>
                <w:b/>
                <w:szCs w:val="22"/>
                <w:lang w:val="fr-FR"/>
              </w:rPr>
              <w:t xml:space="preserve">Totalité des Emirats arabes unis </w:t>
            </w:r>
          </w:p>
        </w:tc>
      </w:tr>
      <w:tr w:rsidR="00610AD5" w:rsidRPr="00610AD5" w:rsidTr="00610AD5">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fr-FR"/>
              </w:rPr>
            </w:pPr>
            <w:r w:rsidRPr="00610AD5">
              <w:rPr>
                <w:rFonts w:asciiTheme="majorBidi" w:hAnsiTheme="majorBidi" w:cstheme="majorBidi"/>
                <w:szCs w:val="22"/>
                <w:lang w:val="fr-FR"/>
              </w:rPr>
              <w:t xml:space="preserve">CF </w:t>
            </w:r>
          </w:p>
        </w:tc>
        <w:tc>
          <w:tcPr>
            <w:tcW w:w="1475"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lang w:val="fr-FR"/>
              </w:rPr>
            </w:pPr>
            <w:r w:rsidRPr="00610AD5">
              <w:rPr>
                <w:rFonts w:asciiTheme="majorBidi" w:hAnsiTheme="majorBidi" w:cstheme="majorBidi"/>
                <w:szCs w:val="22"/>
                <w:lang w:val="fr-FR"/>
              </w:rPr>
              <w:t>100</w:t>
            </w:r>
          </w:p>
        </w:tc>
        <w:tc>
          <w:tcPr>
            <w:tcW w:w="1107"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lang w:val="fr-FR"/>
              </w:rPr>
            </w:pPr>
            <w:r w:rsidRPr="00610AD5">
              <w:rPr>
                <w:rFonts w:asciiTheme="majorBidi" w:hAnsiTheme="majorBidi" w:cstheme="majorBidi"/>
                <w:szCs w:val="22"/>
                <w:lang w:val="fr-FR"/>
              </w:rPr>
              <w:t>500</w:t>
            </w:r>
          </w:p>
        </w:tc>
        <w:tc>
          <w:tcPr>
            <w:tcW w:w="3119"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fr-FR"/>
              </w:rPr>
            </w:pPr>
            <w:r w:rsidRPr="00610AD5">
              <w:rPr>
                <w:rFonts w:asciiTheme="majorBidi" w:hAnsiTheme="majorBidi" w:cstheme="majorBidi"/>
                <w:szCs w:val="22"/>
                <w:lang w:val="fr-FR"/>
              </w:rPr>
              <w:t>2 000 pour Abu Dhabi ou Dubaï</w:t>
            </w:r>
          </w:p>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fr-FR"/>
              </w:rPr>
            </w:pPr>
            <w:r w:rsidRPr="00610AD5">
              <w:rPr>
                <w:rFonts w:asciiTheme="majorBidi" w:hAnsiTheme="majorBidi" w:cstheme="majorBidi"/>
                <w:szCs w:val="22"/>
                <w:lang w:val="fr-FR"/>
              </w:rPr>
              <w:t>1 000 pour les autres Emirats</w:t>
            </w:r>
          </w:p>
        </w:tc>
        <w:tc>
          <w:tcPr>
            <w:tcW w:w="1555"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fr-FR"/>
              </w:rPr>
            </w:pPr>
            <w:r w:rsidRPr="00610AD5">
              <w:rPr>
                <w:rFonts w:asciiTheme="majorBidi" w:hAnsiTheme="majorBidi" w:cstheme="majorBidi"/>
                <w:szCs w:val="22"/>
                <w:lang w:val="fr-FR"/>
              </w:rPr>
              <w:t xml:space="preserve">4 000 </w:t>
            </w:r>
          </w:p>
        </w:tc>
      </w:tr>
    </w:tbl>
    <w:p w:rsidR="00610AD5" w:rsidRPr="00610AD5" w:rsidRDefault="00610AD5" w:rsidP="008347A9">
      <w:pPr>
        <w:pStyle w:val="FigureSource"/>
      </w:pPr>
    </w:p>
    <w:p w:rsidR="00610AD5" w:rsidRPr="00610AD5" w:rsidRDefault="00610AD5" w:rsidP="00AB490D">
      <w:pPr>
        <w:pStyle w:val="Arttitle"/>
      </w:pPr>
      <w:bookmarkStart w:id="465" w:name="_Toc225739488"/>
      <w:bookmarkStart w:id="466" w:name="_Toc225739832"/>
      <w:bookmarkStart w:id="467" w:name="_Toc280262372"/>
      <w:bookmarkStart w:id="468" w:name="_Toc280272766"/>
      <w:bookmarkStart w:id="469" w:name="_Toc280272945"/>
      <w:r w:rsidRPr="00610AD5">
        <w:t>Article 15</w:t>
      </w:r>
      <w:bookmarkEnd w:id="465"/>
      <w:bookmarkEnd w:id="466"/>
      <w:r w:rsidRPr="00610AD5">
        <w:br/>
      </w:r>
      <w:r w:rsidRPr="00610AD5">
        <w:br/>
      </w:r>
      <w:bookmarkStart w:id="470" w:name="_Toc225739489"/>
      <w:bookmarkStart w:id="471" w:name="_Toc225739833"/>
      <w:r w:rsidRPr="00610AD5">
        <w:t>Droits d'utilisation du spectre à acquitter pour l'accès hertzien</w:t>
      </w:r>
      <w:r w:rsidRPr="00610AD5">
        <w:br/>
        <w:t>large bande mobile</w:t>
      </w:r>
      <w:bookmarkEnd w:id="467"/>
      <w:bookmarkEnd w:id="468"/>
      <w:bookmarkEnd w:id="469"/>
      <w:bookmarkEnd w:id="470"/>
      <w:bookmarkEnd w:id="471"/>
    </w:p>
    <w:p w:rsidR="00610AD5" w:rsidRPr="00610AD5" w:rsidRDefault="00610AD5" w:rsidP="00867C40">
      <w:pPr>
        <w:pStyle w:val="enumlev1"/>
      </w:pPr>
      <w:r w:rsidRPr="00610AD5">
        <w:t>15.1</w:t>
      </w:r>
      <w:r w:rsidRPr="00610AD5">
        <w:tab/>
        <w:t xml:space="preserve">Le montant annuel des droits d'utilisation du spectre à acquitter pour l'accès hertzien large bande mobile, entre 2 GHz et 4 GHz, est calculé comme suit: </w:t>
      </w:r>
    </w:p>
    <w:p w:rsidR="00610AD5" w:rsidRPr="00610AD5" w:rsidRDefault="00610AD5" w:rsidP="00610AD5">
      <w:pPr>
        <w:jc w:val="center"/>
        <w:rPr>
          <w:color w:val="000000"/>
          <w:lang w:val="fr-FR"/>
        </w:rPr>
      </w:pPr>
      <w:r w:rsidRPr="00610AD5">
        <w:rPr>
          <w:b/>
          <w:lang w:val="fr-FR"/>
        </w:rPr>
        <w:t>Droits à acquitter</w:t>
      </w:r>
      <w:r w:rsidRPr="00610AD5">
        <w:rPr>
          <w:b/>
          <w:color w:val="000000"/>
          <w:lang w:val="fr-FR"/>
        </w:rPr>
        <w:t xml:space="preserve"> = BW x CF x 10</w:t>
      </w:r>
    </w:p>
    <w:p w:rsidR="00610AD5" w:rsidRPr="00610AD5" w:rsidRDefault="00610AD5" w:rsidP="00610AD5">
      <w:pPr>
        <w:ind w:firstLine="720"/>
        <w:rPr>
          <w:color w:val="000000"/>
          <w:lang w:val="fr-FR"/>
        </w:rPr>
      </w:pPr>
      <w:r w:rsidRPr="00610AD5">
        <w:rPr>
          <w:b/>
          <w:color w:val="000000"/>
          <w:lang w:val="fr-FR"/>
        </w:rPr>
        <w:t xml:space="preserve">BW </w:t>
      </w:r>
      <w:r w:rsidRPr="00610AD5">
        <w:rPr>
          <w:color w:val="000000"/>
          <w:lang w:val="fr-FR"/>
        </w:rPr>
        <w:t>étant la l</w:t>
      </w:r>
      <w:r w:rsidRPr="00610AD5">
        <w:rPr>
          <w:lang w:val="fr-FR"/>
        </w:rPr>
        <w:t>argeur de bande totale en MHz</w:t>
      </w:r>
    </w:p>
    <w:p w:rsidR="00610AD5" w:rsidRPr="00610AD5" w:rsidRDefault="00610AD5" w:rsidP="00610AD5">
      <w:pPr>
        <w:spacing w:after="120"/>
        <w:ind w:left="720"/>
        <w:rPr>
          <w:color w:val="000000"/>
          <w:lang w:val="fr-FR"/>
        </w:rPr>
      </w:pPr>
      <w:r w:rsidRPr="00610AD5">
        <w:rPr>
          <w:b/>
          <w:color w:val="000000"/>
          <w:lang w:val="fr-FR"/>
        </w:rPr>
        <w:t>CF</w:t>
      </w:r>
      <w:r w:rsidRPr="00610AD5">
        <w:rPr>
          <w:color w:val="000000"/>
          <w:lang w:val="fr-FR"/>
        </w:rPr>
        <w:t xml:space="preserve"> étant le coefficient de couverture, en fonction de la zone géographique, déterminé comme suit:</w:t>
      </w:r>
    </w:p>
    <w:p w:rsidR="00610AD5" w:rsidRPr="00610AD5" w:rsidRDefault="00610AD5" w:rsidP="00610AD5">
      <w:pPr>
        <w:tabs>
          <w:tab w:val="clear" w:pos="794"/>
          <w:tab w:val="clear" w:pos="1191"/>
          <w:tab w:val="clear" w:pos="1588"/>
          <w:tab w:val="clear" w:pos="1985"/>
        </w:tabs>
        <w:overflowPunct/>
        <w:autoSpaceDE/>
        <w:autoSpaceDN/>
        <w:adjustRightInd/>
        <w:spacing w:before="0"/>
        <w:jc w:val="left"/>
        <w:textAlignment w:val="auto"/>
      </w:pPr>
      <w:r w:rsidRPr="00610AD5">
        <w:br w:type="page"/>
      </w:r>
    </w:p>
    <w:p w:rsidR="00610AD5" w:rsidRPr="00610AD5" w:rsidRDefault="00610AD5" w:rsidP="00610AD5">
      <w:pPr>
        <w:spacing w:before="0"/>
      </w:pPr>
    </w:p>
    <w:p w:rsidR="00610AD5" w:rsidRPr="00610AD5" w:rsidRDefault="00610AD5" w:rsidP="00324665">
      <w:pPr>
        <w:pStyle w:val="FigureTitle"/>
        <w:rPr>
          <w:b w:val="0"/>
        </w:rPr>
      </w:pPr>
    </w:p>
    <w:tbl>
      <w:tblPr>
        <w:tblW w:w="0" w:type="auto"/>
        <w:jc w:val="center"/>
        <w:tblInd w:w="925" w:type="dxa"/>
        <w:tblBorders>
          <w:top w:val="nil"/>
          <w:left w:val="nil"/>
          <w:bottom w:val="nil"/>
          <w:right w:val="nil"/>
        </w:tblBorders>
        <w:tblLook w:val="0000"/>
      </w:tblPr>
      <w:tblGrid>
        <w:gridCol w:w="850"/>
        <w:gridCol w:w="1470"/>
        <w:gridCol w:w="1390"/>
        <w:gridCol w:w="3268"/>
        <w:gridCol w:w="1401"/>
      </w:tblGrid>
      <w:tr w:rsidR="00610AD5" w:rsidRPr="00610AD5" w:rsidTr="00610AD5">
        <w:trPr>
          <w:trHeight w:val="319"/>
          <w:jc w:val="center"/>
        </w:trPr>
        <w:tc>
          <w:tcPr>
            <w:tcW w:w="850"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lang w:val="fr-FR"/>
              </w:rPr>
            </w:pPr>
            <w:r w:rsidRPr="00610AD5">
              <w:rPr>
                <w:rFonts w:asciiTheme="majorBidi" w:hAnsiTheme="majorBidi" w:cstheme="majorBidi"/>
                <w:b/>
                <w:szCs w:val="22"/>
                <w:lang w:val="fr-FR"/>
              </w:rPr>
              <w:t xml:space="preserve">Zone </w:t>
            </w:r>
          </w:p>
        </w:tc>
        <w:tc>
          <w:tcPr>
            <w:tcW w:w="1470"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lang w:val="fr-FR"/>
              </w:rPr>
            </w:pPr>
            <w:r w:rsidRPr="00610AD5">
              <w:rPr>
                <w:rFonts w:asciiTheme="majorBidi" w:hAnsiTheme="majorBidi" w:cstheme="majorBidi"/>
                <w:b/>
                <w:szCs w:val="22"/>
                <w:lang w:val="fr-FR"/>
              </w:rPr>
              <w:t>Zone rurale ou à l'intérieur de locaux</w:t>
            </w:r>
          </w:p>
        </w:tc>
        <w:tc>
          <w:tcPr>
            <w:tcW w:w="1390"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lang w:val="fr-FR"/>
              </w:rPr>
            </w:pPr>
            <w:r w:rsidRPr="00610AD5">
              <w:rPr>
                <w:rFonts w:asciiTheme="majorBidi" w:hAnsiTheme="majorBidi" w:cstheme="majorBidi"/>
                <w:b/>
                <w:szCs w:val="22"/>
                <w:lang w:val="fr-FR"/>
              </w:rPr>
              <w:t xml:space="preserve">Zone urbaine </w:t>
            </w:r>
          </w:p>
        </w:tc>
        <w:tc>
          <w:tcPr>
            <w:tcW w:w="3268"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lang w:val="fr-FR"/>
              </w:rPr>
            </w:pPr>
            <w:r w:rsidRPr="00610AD5">
              <w:rPr>
                <w:rFonts w:asciiTheme="majorBidi" w:hAnsiTheme="majorBidi" w:cstheme="majorBidi"/>
                <w:b/>
                <w:szCs w:val="22"/>
                <w:lang w:val="fr-FR"/>
              </w:rPr>
              <w:t>Ensemble des Emirats</w:t>
            </w:r>
          </w:p>
        </w:tc>
        <w:tc>
          <w:tcPr>
            <w:tcW w:w="1401"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lang w:val="fr-FR"/>
              </w:rPr>
            </w:pPr>
            <w:r w:rsidRPr="00610AD5">
              <w:rPr>
                <w:rFonts w:asciiTheme="majorBidi" w:hAnsiTheme="majorBidi" w:cstheme="majorBidi"/>
                <w:b/>
                <w:szCs w:val="22"/>
                <w:lang w:val="fr-FR"/>
              </w:rPr>
              <w:t xml:space="preserve">Totalité des Emirats arabes unis </w:t>
            </w:r>
          </w:p>
        </w:tc>
      </w:tr>
      <w:tr w:rsidR="00610AD5" w:rsidRPr="00610AD5" w:rsidTr="00610AD5">
        <w:trPr>
          <w:trHeight w:val="319"/>
          <w:jc w:val="center"/>
        </w:trPr>
        <w:tc>
          <w:tcPr>
            <w:tcW w:w="850"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lang w:val="fr-FR"/>
              </w:rPr>
            </w:pPr>
            <w:r w:rsidRPr="00610AD5">
              <w:rPr>
                <w:rFonts w:asciiTheme="majorBidi" w:hAnsiTheme="majorBidi" w:cstheme="majorBidi"/>
                <w:szCs w:val="22"/>
                <w:lang w:val="fr-FR"/>
              </w:rPr>
              <w:t>CF</w:t>
            </w:r>
          </w:p>
        </w:tc>
        <w:tc>
          <w:tcPr>
            <w:tcW w:w="1470"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lang w:val="fr-FR"/>
              </w:rPr>
            </w:pPr>
            <w:r w:rsidRPr="00610AD5">
              <w:rPr>
                <w:rFonts w:asciiTheme="majorBidi" w:hAnsiTheme="majorBidi" w:cstheme="majorBidi"/>
                <w:szCs w:val="22"/>
                <w:lang w:val="fr-FR"/>
              </w:rPr>
              <w:t>100</w:t>
            </w:r>
          </w:p>
        </w:tc>
        <w:tc>
          <w:tcPr>
            <w:tcW w:w="1390"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lang w:val="fr-FR"/>
              </w:rPr>
            </w:pPr>
            <w:r w:rsidRPr="00610AD5">
              <w:rPr>
                <w:rFonts w:asciiTheme="majorBidi" w:hAnsiTheme="majorBidi" w:cstheme="majorBidi"/>
                <w:szCs w:val="22"/>
                <w:lang w:val="fr-FR"/>
              </w:rPr>
              <w:t>500</w:t>
            </w:r>
          </w:p>
        </w:tc>
        <w:tc>
          <w:tcPr>
            <w:tcW w:w="3268"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fr-FR"/>
              </w:rPr>
            </w:pPr>
            <w:r w:rsidRPr="00610AD5">
              <w:rPr>
                <w:rFonts w:asciiTheme="majorBidi" w:hAnsiTheme="majorBidi" w:cstheme="majorBidi"/>
                <w:szCs w:val="22"/>
                <w:lang w:val="fr-FR"/>
              </w:rPr>
              <w:t>2 000 pour Abu Dhabi ou Dubaï</w:t>
            </w:r>
          </w:p>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fr-FR"/>
              </w:rPr>
            </w:pPr>
            <w:r w:rsidRPr="00610AD5">
              <w:rPr>
                <w:rFonts w:asciiTheme="majorBidi" w:hAnsiTheme="majorBidi" w:cstheme="majorBidi"/>
                <w:szCs w:val="22"/>
                <w:lang w:val="fr-FR"/>
              </w:rPr>
              <w:t>1 000 pour les autres Emirats</w:t>
            </w:r>
          </w:p>
        </w:tc>
        <w:tc>
          <w:tcPr>
            <w:tcW w:w="1401"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lang w:val="fr-FR"/>
              </w:rPr>
            </w:pPr>
            <w:r w:rsidRPr="00610AD5">
              <w:rPr>
                <w:rFonts w:asciiTheme="majorBidi" w:hAnsiTheme="majorBidi" w:cstheme="majorBidi"/>
                <w:szCs w:val="22"/>
                <w:lang w:val="fr-FR"/>
              </w:rPr>
              <w:t>4 000</w:t>
            </w:r>
          </w:p>
        </w:tc>
      </w:tr>
    </w:tbl>
    <w:p w:rsidR="00610AD5" w:rsidRPr="00610AD5" w:rsidRDefault="00610AD5" w:rsidP="008347A9">
      <w:pPr>
        <w:pStyle w:val="FigureSource"/>
      </w:pPr>
    </w:p>
    <w:p w:rsidR="00610AD5" w:rsidRPr="00610AD5" w:rsidRDefault="00610AD5" w:rsidP="00AB490D">
      <w:pPr>
        <w:pStyle w:val="Arttitle"/>
      </w:pPr>
      <w:bookmarkStart w:id="472" w:name="_Toc225739490"/>
      <w:bookmarkStart w:id="473" w:name="_Toc225739834"/>
      <w:bookmarkStart w:id="474" w:name="_Toc280262373"/>
      <w:bookmarkStart w:id="475" w:name="_Toc280272767"/>
      <w:bookmarkStart w:id="476" w:name="_Toc280272946"/>
      <w:r w:rsidRPr="00610AD5">
        <w:t>Article 16</w:t>
      </w:r>
      <w:bookmarkEnd w:id="472"/>
      <w:bookmarkEnd w:id="473"/>
      <w:r w:rsidRPr="00610AD5">
        <w:br/>
      </w:r>
      <w:r w:rsidRPr="00610AD5">
        <w:br/>
      </w:r>
      <w:bookmarkStart w:id="477" w:name="_Toc225739491"/>
      <w:bookmarkStart w:id="478" w:name="_Toc225739835"/>
      <w:r w:rsidRPr="00610AD5">
        <w:t>Droits d'utilisation du spectre pour les liaisons à fibre optique et les liaisons laser</w:t>
      </w:r>
      <w:bookmarkEnd w:id="474"/>
      <w:bookmarkEnd w:id="475"/>
      <w:bookmarkEnd w:id="476"/>
      <w:bookmarkEnd w:id="477"/>
      <w:bookmarkEnd w:id="478"/>
    </w:p>
    <w:p w:rsidR="00610AD5" w:rsidRPr="00610AD5" w:rsidRDefault="00610AD5" w:rsidP="00610AD5">
      <w:pPr>
        <w:rPr>
          <w:b/>
          <w:bCs/>
          <w:color w:val="000000"/>
          <w:lang w:val="fr-FR"/>
        </w:rPr>
      </w:pPr>
      <w:r w:rsidRPr="00610AD5">
        <w:rPr>
          <w:lang w:val="fr-FR"/>
        </w:rPr>
        <w:t xml:space="preserve">Le montant annuel des droits à acquitter pour ces liaisons est de cinquante </w:t>
      </w:r>
      <w:r w:rsidRPr="00610AD5">
        <w:rPr>
          <w:color w:val="000000"/>
          <w:lang w:val="fr-FR"/>
        </w:rPr>
        <w:t>(50) dirhams.</w:t>
      </w:r>
      <w:r w:rsidRPr="00610AD5">
        <w:rPr>
          <w:b/>
          <w:color w:val="000000"/>
          <w:lang w:val="fr-FR"/>
        </w:rPr>
        <w:t xml:space="preserve"> </w:t>
      </w:r>
    </w:p>
    <w:p w:rsidR="00610AD5" w:rsidRPr="00610AD5" w:rsidRDefault="00610AD5" w:rsidP="00AB490D">
      <w:pPr>
        <w:pStyle w:val="Arttitle"/>
      </w:pPr>
      <w:bookmarkStart w:id="479" w:name="_Toc225739492"/>
      <w:bookmarkStart w:id="480" w:name="_Toc225739836"/>
      <w:bookmarkStart w:id="481" w:name="_Toc280262374"/>
      <w:bookmarkStart w:id="482" w:name="_Toc280272768"/>
      <w:bookmarkStart w:id="483" w:name="_Toc280272947"/>
      <w:r w:rsidRPr="00610AD5">
        <w:t>Article 17</w:t>
      </w:r>
      <w:bookmarkEnd w:id="479"/>
      <w:bookmarkEnd w:id="480"/>
      <w:r w:rsidRPr="00610AD5">
        <w:br/>
      </w:r>
      <w:r w:rsidRPr="00610AD5">
        <w:br/>
      </w:r>
      <w:bookmarkStart w:id="484" w:name="_Toc225739493"/>
      <w:bookmarkStart w:id="485" w:name="_Toc225739837"/>
      <w:r w:rsidRPr="00610AD5">
        <w:t>Droits d'utilisation du spectre pour les réseaux WLAN et la téléphonie sans fil</w:t>
      </w:r>
      <w:bookmarkEnd w:id="481"/>
      <w:bookmarkEnd w:id="482"/>
      <w:bookmarkEnd w:id="483"/>
      <w:bookmarkEnd w:id="484"/>
      <w:bookmarkEnd w:id="485"/>
    </w:p>
    <w:p w:rsidR="00610AD5" w:rsidRPr="00610AD5" w:rsidRDefault="00610AD5" w:rsidP="00610AD5">
      <w:pPr>
        <w:rPr>
          <w:b/>
          <w:bCs/>
          <w:color w:val="000000"/>
          <w:lang w:val="fr-FR"/>
        </w:rPr>
      </w:pPr>
      <w:r w:rsidRPr="00610AD5">
        <w:rPr>
          <w:lang w:val="fr-FR"/>
        </w:rPr>
        <w:t>L'utilisation à l'intérieur de la téléphonie sans fil sur réseau WLAN et utilisant le système DECT est exemptée de droits.</w:t>
      </w:r>
      <w:r w:rsidRPr="00610AD5">
        <w:rPr>
          <w:b/>
          <w:color w:val="000000"/>
          <w:lang w:val="fr-FR"/>
        </w:rPr>
        <w:t xml:space="preserve"> </w:t>
      </w:r>
    </w:p>
    <w:p w:rsidR="00610AD5" w:rsidRPr="00610AD5" w:rsidRDefault="00610AD5" w:rsidP="00AB490D">
      <w:pPr>
        <w:pStyle w:val="Arttitle"/>
      </w:pPr>
      <w:bookmarkStart w:id="486" w:name="_Toc225739494"/>
      <w:bookmarkStart w:id="487" w:name="_Toc225739838"/>
      <w:bookmarkStart w:id="488" w:name="_Toc280262375"/>
      <w:bookmarkStart w:id="489" w:name="_Toc280272769"/>
      <w:bookmarkStart w:id="490" w:name="_Toc280272948"/>
      <w:r w:rsidRPr="00610AD5">
        <w:t>Article 18</w:t>
      </w:r>
      <w:bookmarkEnd w:id="486"/>
      <w:bookmarkEnd w:id="487"/>
      <w:r w:rsidRPr="00610AD5">
        <w:br/>
      </w:r>
      <w:r w:rsidRPr="00610AD5">
        <w:br/>
      </w:r>
      <w:bookmarkStart w:id="491" w:name="_Toc225739495"/>
      <w:bookmarkStart w:id="492" w:name="_Toc225739839"/>
      <w:r w:rsidRPr="00610AD5">
        <w:t>Droits d'utilisation du spectre pour les systèmes GMPCS</w:t>
      </w:r>
      <w:bookmarkEnd w:id="488"/>
      <w:bookmarkEnd w:id="489"/>
      <w:bookmarkEnd w:id="490"/>
      <w:bookmarkEnd w:id="491"/>
      <w:bookmarkEnd w:id="492"/>
    </w:p>
    <w:p w:rsidR="00610AD5" w:rsidRPr="00610AD5" w:rsidRDefault="00610AD5" w:rsidP="00610AD5">
      <w:pPr>
        <w:rPr>
          <w:lang w:val="fr-FR"/>
        </w:rPr>
      </w:pPr>
      <w:r w:rsidRPr="00610AD5">
        <w:rPr>
          <w:lang w:val="fr-FR"/>
        </w:rPr>
        <w:t xml:space="preserve">Le montant annuel des droits d'utilisation du spectre pour les systèmes mobiles mondiaux de communications personnelles (GMPCS) est calculé comme suit: </w:t>
      </w:r>
    </w:p>
    <w:p w:rsidR="00610AD5" w:rsidRPr="00610AD5" w:rsidRDefault="00610AD5" w:rsidP="00610AD5">
      <w:pPr>
        <w:jc w:val="center"/>
        <w:rPr>
          <w:b/>
          <w:bCs/>
          <w:color w:val="000000"/>
          <w:lang w:val="fr-FR"/>
        </w:rPr>
      </w:pPr>
      <w:r w:rsidRPr="00610AD5">
        <w:rPr>
          <w:b/>
          <w:lang w:val="fr-FR"/>
        </w:rPr>
        <w:t>Droits à acquitter</w:t>
      </w:r>
      <w:r w:rsidRPr="00610AD5">
        <w:rPr>
          <w:b/>
          <w:color w:val="000000"/>
          <w:lang w:val="fr-FR"/>
        </w:rPr>
        <w:t xml:space="preserve"> = BW x 5000</w:t>
      </w:r>
    </w:p>
    <w:p w:rsidR="00610AD5" w:rsidRPr="00610AD5" w:rsidRDefault="00610AD5" w:rsidP="00610AD5">
      <w:pPr>
        <w:ind w:left="567" w:hanging="567"/>
        <w:rPr>
          <w:color w:val="000000"/>
          <w:lang w:val="fr-FR"/>
        </w:rPr>
      </w:pPr>
      <w:r w:rsidRPr="00610AD5">
        <w:rPr>
          <w:color w:val="000000"/>
          <w:lang w:val="fr-FR"/>
        </w:rPr>
        <w:tab/>
      </w:r>
      <w:r w:rsidRPr="00610AD5">
        <w:rPr>
          <w:b/>
          <w:color w:val="000000"/>
          <w:lang w:val="fr-FR"/>
        </w:rPr>
        <w:t xml:space="preserve">BW </w:t>
      </w:r>
      <w:r w:rsidRPr="00610AD5">
        <w:rPr>
          <w:color w:val="000000"/>
          <w:lang w:val="fr-FR"/>
        </w:rPr>
        <w:t xml:space="preserve">étant le coefficient de largeur de bande, fondé sur l'utilisation 2 x 1 MHz de largeur de bande </w:t>
      </w:r>
    </w:p>
    <w:p w:rsidR="00610AD5" w:rsidRPr="00610AD5" w:rsidRDefault="00610AD5" w:rsidP="00610AD5">
      <w:pPr>
        <w:ind w:left="567" w:hanging="567"/>
        <w:rPr>
          <w:color w:val="000000"/>
          <w:lang w:val="fr-FR"/>
        </w:rPr>
      </w:pPr>
    </w:p>
    <w:p w:rsidR="00610AD5" w:rsidRPr="00610AD5" w:rsidRDefault="00610AD5" w:rsidP="00324665">
      <w:pPr>
        <w:pStyle w:val="FigureTitle"/>
        <w:rPr>
          <w:b w:val="0"/>
        </w:rPr>
      </w:pPr>
    </w:p>
    <w:tbl>
      <w:tblPr>
        <w:tblW w:w="0" w:type="auto"/>
        <w:jc w:val="center"/>
        <w:tblInd w:w="1440" w:type="dxa"/>
        <w:tblBorders>
          <w:top w:val="nil"/>
          <w:left w:val="nil"/>
          <w:bottom w:val="nil"/>
          <w:right w:val="nil"/>
        </w:tblBorders>
        <w:tblLook w:val="0000"/>
      </w:tblPr>
      <w:tblGrid>
        <w:gridCol w:w="3711"/>
        <w:gridCol w:w="2219"/>
      </w:tblGrid>
      <w:tr w:rsidR="00610AD5" w:rsidRPr="00610AD5" w:rsidTr="00610AD5">
        <w:trPr>
          <w:trHeight w:val="332"/>
          <w:tblHeader/>
          <w:jc w:val="center"/>
        </w:trPr>
        <w:tc>
          <w:tcPr>
            <w:tcW w:w="0" w:type="auto"/>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lang w:val="fr-FR"/>
              </w:rPr>
            </w:pPr>
            <w:r w:rsidRPr="00610AD5">
              <w:rPr>
                <w:rFonts w:asciiTheme="majorBidi" w:hAnsiTheme="majorBidi" w:cstheme="majorBidi"/>
                <w:b/>
                <w:szCs w:val="22"/>
                <w:lang w:val="fr-FR"/>
              </w:rPr>
              <w:t>Largeur de bande</w:t>
            </w:r>
          </w:p>
        </w:tc>
        <w:tc>
          <w:tcPr>
            <w:tcW w:w="2219"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lang w:val="fr-FR"/>
              </w:rPr>
            </w:pPr>
            <w:r w:rsidRPr="00610AD5">
              <w:rPr>
                <w:rFonts w:asciiTheme="majorBidi" w:hAnsiTheme="majorBidi" w:cstheme="majorBidi"/>
                <w:b/>
                <w:szCs w:val="22"/>
                <w:lang w:val="fr-FR"/>
              </w:rPr>
              <w:t>Coefficient BW</w:t>
            </w:r>
          </w:p>
        </w:tc>
      </w:tr>
      <w:tr w:rsidR="00610AD5" w:rsidRPr="00610AD5" w:rsidTr="00610AD5">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fr-FR"/>
              </w:rPr>
            </w:pPr>
            <w:r w:rsidRPr="00610AD5">
              <w:rPr>
                <w:rFonts w:asciiTheme="majorBidi" w:hAnsiTheme="majorBidi" w:cstheme="majorBidi"/>
                <w:szCs w:val="22"/>
                <w:lang w:val="fr-FR"/>
              </w:rPr>
              <w:t xml:space="preserve">Moins de 2 x 1 MHz </w:t>
            </w:r>
          </w:p>
        </w:tc>
        <w:tc>
          <w:tcPr>
            <w:tcW w:w="2219"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lang w:val="fr-FR"/>
              </w:rPr>
            </w:pPr>
            <w:r w:rsidRPr="00610AD5">
              <w:rPr>
                <w:rFonts w:asciiTheme="majorBidi" w:hAnsiTheme="majorBidi" w:cstheme="majorBidi"/>
                <w:szCs w:val="22"/>
                <w:lang w:val="fr-FR"/>
              </w:rPr>
              <w:t>3</w:t>
            </w:r>
          </w:p>
        </w:tc>
      </w:tr>
      <w:tr w:rsidR="00610AD5" w:rsidRPr="00610AD5" w:rsidTr="00610AD5">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fr-FR"/>
              </w:rPr>
            </w:pPr>
            <w:r w:rsidRPr="00610AD5">
              <w:rPr>
                <w:rFonts w:asciiTheme="majorBidi" w:hAnsiTheme="majorBidi" w:cstheme="majorBidi"/>
                <w:szCs w:val="22"/>
                <w:lang w:val="fr-FR"/>
              </w:rPr>
              <w:t xml:space="preserve">2 x 1 MHz - Moins de 4 x 1 MHz </w:t>
            </w:r>
          </w:p>
        </w:tc>
        <w:tc>
          <w:tcPr>
            <w:tcW w:w="2219"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lang w:val="fr-FR"/>
              </w:rPr>
            </w:pPr>
            <w:r w:rsidRPr="00610AD5">
              <w:rPr>
                <w:rFonts w:asciiTheme="majorBidi" w:hAnsiTheme="majorBidi" w:cstheme="majorBidi"/>
                <w:szCs w:val="22"/>
                <w:lang w:val="fr-FR"/>
              </w:rPr>
              <w:t>6</w:t>
            </w:r>
          </w:p>
        </w:tc>
      </w:tr>
      <w:tr w:rsidR="00610AD5" w:rsidRPr="00610AD5" w:rsidTr="00610AD5">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fr-FR"/>
              </w:rPr>
            </w:pPr>
            <w:r w:rsidRPr="00610AD5">
              <w:rPr>
                <w:rFonts w:asciiTheme="majorBidi" w:hAnsiTheme="majorBidi" w:cstheme="majorBidi"/>
                <w:szCs w:val="22"/>
                <w:lang w:val="fr-FR"/>
              </w:rPr>
              <w:t xml:space="preserve">4 x 1 MHz - Moins de 6 x 1 MHz </w:t>
            </w:r>
          </w:p>
        </w:tc>
        <w:tc>
          <w:tcPr>
            <w:tcW w:w="2219"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lang w:val="fr-FR"/>
              </w:rPr>
            </w:pPr>
            <w:r w:rsidRPr="00610AD5">
              <w:rPr>
                <w:rFonts w:asciiTheme="majorBidi" w:hAnsiTheme="majorBidi" w:cstheme="majorBidi"/>
                <w:szCs w:val="22"/>
                <w:lang w:val="fr-FR"/>
              </w:rPr>
              <w:t>9</w:t>
            </w:r>
          </w:p>
        </w:tc>
      </w:tr>
      <w:tr w:rsidR="00610AD5" w:rsidRPr="00610AD5" w:rsidTr="00610AD5">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fr-FR"/>
              </w:rPr>
            </w:pPr>
            <w:r w:rsidRPr="00610AD5">
              <w:rPr>
                <w:rFonts w:asciiTheme="majorBidi" w:hAnsiTheme="majorBidi" w:cstheme="majorBidi"/>
                <w:szCs w:val="22"/>
                <w:lang w:val="fr-FR"/>
              </w:rPr>
              <w:t xml:space="preserve">6 x 1 MHz - Moins de 8 x 1 MHz </w:t>
            </w:r>
          </w:p>
        </w:tc>
        <w:tc>
          <w:tcPr>
            <w:tcW w:w="2219"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lang w:val="fr-FR"/>
              </w:rPr>
            </w:pPr>
            <w:r w:rsidRPr="00610AD5">
              <w:rPr>
                <w:rFonts w:asciiTheme="majorBidi" w:hAnsiTheme="majorBidi" w:cstheme="majorBidi"/>
                <w:szCs w:val="22"/>
                <w:lang w:val="fr-FR"/>
              </w:rPr>
              <w:t>12</w:t>
            </w:r>
          </w:p>
        </w:tc>
      </w:tr>
      <w:tr w:rsidR="00610AD5" w:rsidRPr="00610AD5" w:rsidTr="00610AD5">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fr-FR"/>
              </w:rPr>
            </w:pPr>
            <w:r w:rsidRPr="00610AD5">
              <w:rPr>
                <w:rFonts w:asciiTheme="majorBidi" w:hAnsiTheme="majorBidi" w:cstheme="majorBidi"/>
                <w:szCs w:val="22"/>
                <w:lang w:val="fr-FR"/>
              </w:rPr>
              <w:t xml:space="preserve">8 x 1 MHz - Moins de 10 x 1 MHz </w:t>
            </w:r>
          </w:p>
        </w:tc>
        <w:tc>
          <w:tcPr>
            <w:tcW w:w="2219"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lang w:val="fr-FR"/>
              </w:rPr>
            </w:pPr>
            <w:r w:rsidRPr="00610AD5">
              <w:rPr>
                <w:rFonts w:asciiTheme="majorBidi" w:hAnsiTheme="majorBidi" w:cstheme="majorBidi"/>
                <w:szCs w:val="22"/>
                <w:lang w:val="fr-FR"/>
              </w:rPr>
              <w:t>15</w:t>
            </w:r>
          </w:p>
        </w:tc>
      </w:tr>
      <w:tr w:rsidR="00610AD5" w:rsidRPr="00610AD5" w:rsidTr="00610AD5">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fr-FR"/>
              </w:rPr>
            </w:pPr>
            <w:r w:rsidRPr="00610AD5">
              <w:rPr>
                <w:rFonts w:asciiTheme="majorBidi" w:hAnsiTheme="majorBidi" w:cstheme="majorBidi"/>
                <w:szCs w:val="22"/>
                <w:lang w:val="fr-FR"/>
              </w:rPr>
              <w:t xml:space="preserve">10 x 1 MHz </w:t>
            </w:r>
          </w:p>
        </w:tc>
        <w:tc>
          <w:tcPr>
            <w:tcW w:w="2219"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lang w:val="fr-FR"/>
              </w:rPr>
            </w:pPr>
            <w:r w:rsidRPr="00610AD5">
              <w:rPr>
                <w:rFonts w:asciiTheme="majorBidi" w:hAnsiTheme="majorBidi" w:cstheme="majorBidi"/>
                <w:szCs w:val="22"/>
                <w:lang w:val="fr-FR"/>
              </w:rPr>
              <w:t>18</w:t>
            </w:r>
          </w:p>
        </w:tc>
      </w:tr>
      <w:tr w:rsidR="00610AD5" w:rsidRPr="00610AD5" w:rsidTr="00610AD5">
        <w:trPr>
          <w:trHeight w:val="319"/>
          <w:jc w:val="center"/>
        </w:trPr>
        <w:tc>
          <w:tcPr>
            <w:tcW w:w="0" w:type="auto"/>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fr-FR"/>
              </w:rPr>
            </w:pPr>
            <w:r w:rsidRPr="00610AD5">
              <w:rPr>
                <w:rFonts w:asciiTheme="majorBidi" w:hAnsiTheme="majorBidi" w:cstheme="majorBidi"/>
                <w:szCs w:val="22"/>
                <w:lang w:val="fr-FR"/>
              </w:rPr>
              <w:t xml:space="preserve">Pour chaque 2 x 1 MHz supplémentaire </w:t>
            </w:r>
          </w:p>
        </w:tc>
        <w:tc>
          <w:tcPr>
            <w:tcW w:w="2219" w:type="dxa"/>
            <w:tcBorders>
              <w:top w:val="single" w:sz="8" w:space="0" w:color="000000"/>
              <w:left w:val="single" w:sz="8" w:space="0" w:color="000000"/>
              <w:bottom w:val="single" w:sz="8" w:space="0" w:color="000000"/>
              <w:right w:val="single" w:sz="8"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lang w:val="fr-FR"/>
              </w:rPr>
            </w:pPr>
            <w:r w:rsidRPr="00610AD5">
              <w:rPr>
                <w:rFonts w:asciiTheme="majorBidi" w:hAnsiTheme="majorBidi" w:cstheme="majorBidi"/>
                <w:szCs w:val="22"/>
                <w:lang w:val="fr-FR"/>
              </w:rPr>
              <w:t>3</w:t>
            </w:r>
          </w:p>
        </w:tc>
      </w:tr>
    </w:tbl>
    <w:p w:rsidR="00610AD5" w:rsidRPr="00610AD5" w:rsidRDefault="00610AD5" w:rsidP="00C608EC">
      <w:pPr>
        <w:pStyle w:val="FigureSource"/>
        <w:keepNext w:val="0"/>
        <w:ind w:left="567" w:hanging="567"/>
      </w:pPr>
    </w:p>
    <w:p w:rsidR="00610AD5" w:rsidRPr="00610AD5" w:rsidRDefault="00610AD5" w:rsidP="00AB490D">
      <w:pPr>
        <w:pStyle w:val="Arttitle"/>
      </w:pPr>
      <w:bookmarkStart w:id="493" w:name="_Toc225739496"/>
      <w:bookmarkStart w:id="494" w:name="_Toc225739840"/>
      <w:bookmarkStart w:id="495" w:name="_Toc280262376"/>
      <w:bookmarkStart w:id="496" w:name="_Toc280272770"/>
      <w:bookmarkStart w:id="497" w:name="_Toc280272949"/>
      <w:r w:rsidRPr="00610AD5">
        <w:lastRenderedPageBreak/>
        <w:t>Article 19</w:t>
      </w:r>
      <w:bookmarkEnd w:id="493"/>
      <w:bookmarkEnd w:id="494"/>
      <w:r w:rsidRPr="00610AD5">
        <w:br/>
      </w:r>
      <w:r w:rsidRPr="00610AD5">
        <w:br/>
      </w:r>
      <w:bookmarkStart w:id="498" w:name="_Toc225739497"/>
      <w:bookmarkStart w:id="499" w:name="_Toc225739841"/>
      <w:r w:rsidRPr="00610AD5">
        <w:t>Droits d'utilisation du spectre pour le Service d'amateur</w:t>
      </w:r>
      <w:bookmarkEnd w:id="495"/>
      <w:bookmarkEnd w:id="496"/>
      <w:bookmarkEnd w:id="497"/>
      <w:bookmarkEnd w:id="498"/>
      <w:bookmarkEnd w:id="499"/>
    </w:p>
    <w:p w:rsidR="00610AD5" w:rsidRPr="00610AD5" w:rsidRDefault="00610AD5" w:rsidP="00610AD5">
      <w:pPr>
        <w:rPr>
          <w:szCs w:val="19"/>
        </w:rPr>
      </w:pPr>
      <w:r w:rsidRPr="00610AD5">
        <w:rPr>
          <w:szCs w:val="19"/>
        </w:rPr>
        <w:t>Le montant annuel des droits à acquitter pour obtenir une licence d'amateur est de deux cents (200) AED par équipement hertzien, payable à l'avance.</w:t>
      </w:r>
    </w:p>
    <w:p w:rsidR="00610AD5" w:rsidRPr="00610AD5" w:rsidRDefault="00610AD5" w:rsidP="00AB490D">
      <w:pPr>
        <w:pStyle w:val="Arttitle"/>
      </w:pPr>
      <w:bookmarkStart w:id="500" w:name="_Toc225739498"/>
      <w:bookmarkStart w:id="501" w:name="_Toc225739842"/>
      <w:bookmarkStart w:id="502" w:name="_Toc280262377"/>
      <w:bookmarkStart w:id="503" w:name="_Toc280272771"/>
      <w:bookmarkStart w:id="504" w:name="_Toc280272950"/>
      <w:r w:rsidRPr="00610AD5">
        <w:t>Article 20</w:t>
      </w:r>
      <w:bookmarkEnd w:id="500"/>
      <w:bookmarkEnd w:id="501"/>
      <w:r w:rsidRPr="00610AD5">
        <w:br/>
      </w:r>
      <w:r w:rsidRPr="00610AD5">
        <w:br/>
      </w:r>
      <w:bookmarkStart w:id="505" w:name="_Toc225739499"/>
      <w:bookmarkStart w:id="506" w:name="_Toc225739843"/>
      <w:r w:rsidRPr="00610AD5">
        <w:t xml:space="preserve">Droits d'utilisation du spectre à acquitter pour les stations </w:t>
      </w:r>
      <w:r w:rsidRPr="00610AD5">
        <w:br/>
        <w:t>de radiocommunication aéronautiques</w:t>
      </w:r>
      <w:bookmarkEnd w:id="502"/>
      <w:bookmarkEnd w:id="503"/>
      <w:bookmarkEnd w:id="504"/>
      <w:bookmarkEnd w:id="505"/>
      <w:bookmarkEnd w:id="506"/>
    </w:p>
    <w:p w:rsidR="00610AD5" w:rsidRPr="00610AD5" w:rsidRDefault="00610AD5" w:rsidP="00867C40">
      <w:pPr>
        <w:pStyle w:val="enumlev1"/>
      </w:pPr>
      <w:r w:rsidRPr="00610AD5">
        <w:t>20.1</w:t>
      </w:r>
      <w:r w:rsidRPr="00610AD5">
        <w:tab/>
        <w:t>Le montant annuel à acquitter pour chaque licence d'aéronef et d'hélicoptère est de mille (1 000) dirhams. Ce montant inclut tous les équipements hertziens à bord.</w:t>
      </w:r>
    </w:p>
    <w:p w:rsidR="00610AD5" w:rsidRPr="00610AD5" w:rsidRDefault="00610AD5" w:rsidP="00867C40">
      <w:pPr>
        <w:pStyle w:val="enumlev1"/>
      </w:pPr>
      <w:r w:rsidRPr="00610AD5">
        <w:t>20.2</w:t>
      </w:r>
      <w:r w:rsidRPr="00610AD5">
        <w:tab/>
        <w:t xml:space="preserve">Le montant annuel des droits à acquitter pour les planeurs et les ballons est de trois cents (300) dirhams. </w:t>
      </w:r>
    </w:p>
    <w:p w:rsidR="00610AD5" w:rsidRPr="00610AD5" w:rsidRDefault="00610AD5" w:rsidP="00867C40">
      <w:pPr>
        <w:pStyle w:val="enumlev1"/>
      </w:pPr>
      <w:r w:rsidRPr="00610AD5">
        <w:t>20.3</w:t>
      </w:r>
      <w:r w:rsidRPr="00610AD5">
        <w:tab/>
        <w:t>Le montant annuel des droits à acquitter pour les liaisons sol-air est fixé conformément à celui du service des radiocommunications mobiles privées. Les liaisons sol</w:t>
      </w:r>
      <w:r w:rsidRPr="00610AD5">
        <w:noBreakHyphen/>
        <w:t>air en ondes décamétriques sont facturées comme les liaisons point à point du service fixe en ondes décamétriques.</w:t>
      </w:r>
    </w:p>
    <w:p w:rsidR="00610AD5" w:rsidRPr="00610AD5" w:rsidRDefault="00610AD5" w:rsidP="00867C40">
      <w:pPr>
        <w:pStyle w:val="enumlev1"/>
      </w:pPr>
      <w:r w:rsidRPr="00610AD5">
        <w:t>20.4</w:t>
      </w:r>
      <w:r w:rsidRPr="00610AD5">
        <w:tab/>
        <w:t>Le montant annuel des droits à acquitter pour les stations placées sur des plates</w:t>
      </w:r>
      <w:r w:rsidRPr="00610AD5">
        <w:noBreakHyphen/>
        <w:t>formes à haute altitude (HAPS) relève de la rubrique services par satellite.</w:t>
      </w:r>
    </w:p>
    <w:p w:rsidR="00610AD5" w:rsidRPr="00610AD5" w:rsidRDefault="00610AD5" w:rsidP="00AB490D">
      <w:pPr>
        <w:pStyle w:val="Arttitle"/>
      </w:pPr>
      <w:bookmarkStart w:id="507" w:name="_Toc225739500"/>
      <w:bookmarkStart w:id="508" w:name="_Toc225739844"/>
      <w:bookmarkStart w:id="509" w:name="_Toc280262378"/>
      <w:bookmarkStart w:id="510" w:name="_Toc280272772"/>
      <w:bookmarkStart w:id="511" w:name="_Toc280272951"/>
      <w:r w:rsidRPr="00610AD5">
        <w:t>Article 21</w:t>
      </w:r>
      <w:bookmarkEnd w:id="507"/>
      <w:bookmarkEnd w:id="508"/>
      <w:r w:rsidRPr="00610AD5">
        <w:br/>
      </w:r>
      <w:r w:rsidRPr="00610AD5">
        <w:br/>
      </w:r>
      <w:bookmarkStart w:id="512" w:name="_Toc225739501"/>
      <w:bookmarkStart w:id="513" w:name="_Toc225739845"/>
      <w:r w:rsidRPr="00610AD5">
        <w:t>Droits d'utilisation du spectre pour les services de radiocommunication maritimes</w:t>
      </w:r>
      <w:bookmarkEnd w:id="509"/>
      <w:bookmarkEnd w:id="510"/>
      <w:bookmarkEnd w:id="511"/>
      <w:bookmarkEnd w:id="512"/>
      <w:bookmarkEnd w:id="513"/>
    </w:p>
    <w:p w:rsidR="00610AD5" w:rsidRPr="00610AD5" w:rsidRDefault="00610AD5" w:rsidP="00867C40">
      <w:pPr>
        <w:pStyle w:val="enumlev1"/>
      </w:pPr>
      <w:r w:rsidRPr="00610AD5">
        <w:t>21.1</w:t>
      </w:r>
      <w:r w:rsidRPr="00610AD5">
        <w:tab/>
        <w:t xml:space="preserve">Le montant annuel de chaque licence pour une petite embarcation est de deux cents (200) dirhams. </w:t>
      </w:r>
    </w:p>
    <w:p w:rsidR="00610AD5" w:rsidRPr="00610AD5" w:rsidRDefault="00610AD5" w:rsidP="00867C40">
      <w:pPr>
        <w:pStyle w:val="enumlev1"/>
      </w:pPr>
      <w:r w:rsidRPr="00610AD5">
        <w:t>21.2</w:t>
      </w:r>
      <w:r w:rsidRPr="00610AD5">
        <w:tab/>
        <w:t xml:space="preserve">Le montant annuel des droits à acquitter pour chaque caboteur (naviguant dans les limites des eaux territoriales et sans identité MMSI) est de cinq cent cinquante (550) dirhams. </w:t>
      </w:r>
    </w:p>
    <w:p w:rsidR="00610AD5" w:rsidRPr="00610AD5" w:rsidRDefault="00610AD5" w:rsidP="00867C40">
      <w:pPr>
        <w:pStyle w:val="enumlev1"/>
      </w:pPr>
      <w:r w:rsidRPr="00610AD5">
        <w:t>21.3</w:t>
      </w:r>
      <w:r w:rsidRPr="00610AD5">
        <w:tab/>
        <w:t xml:space="preserve">Le montant annuel des droits à acquitter pour chaque navire (naviguant hors des eaux territoriales et avec identité MMSI) est de mille (1 000) dirhams. </w:t>
      </w:r>
    </w:p>
    <w:p w:rsidR="00610AD5" w:rsidRPr="00610AD5" w:rsidRDefault="00610AD5" w:rsidP="00AB490D">
      <w:pPr>
        <w:pStyle w:val="Arttitle"/>
      </w:pPr>
      <w:bookmarkStart w:id="514" w:name="_Toc225739502"/>
      <w:bookmarkStart w:id="515" w:name="_Toc225739846"/>
      <w:bookmarkStart w:id="516" w:name="_Toc280262379"/>
      <w:bookmarkStart w:id="517" w:name="_Toc280272773"/>
      <w:bookmarkStart w:id="518" w:name="_Toc280272952"/>
      <w:r w:rsidRPr="00610AD5">
        <w:t>Article 22</w:t>
      </w:r>
      <w:bookmarkEnd w:id="514"/>
      <w:bookmarkEnd w:id="515"/>
      <w:r w:rsidRPr="00610AD5">
        <w:br/>
      </w:r>
      <w:r w:rsidRPr="00610AD5">
        <w:br/>
      </w:r>
      <w:bookmarkStart w:id="519" w:name="_Toc225739503"/>
      <w:bookmarkStart w:id="520" w:name="_Toc225739847"/>
      <w:r w:rsidRPr="00610AD5">
        <w:t xml:space="preserve">Droits d'utilisation du spectre à acquitter pour les services spatiaux </w:t>
      </w:r>
      <w:r w:rsidRPr="00610AD5">
        <w:br/>
        <w:t>et les services auxiliaires</w:t>
      </w:r>
      <w:bookmarkEnd w:id="516"/>
      <w:bookmarkEnd w:id="517"/>
      <w:bookmarkEnd w:id="518"/>
      <w:bookmarkEnd w:id="519"/>
      <w:bookmarkEnd w:id="520"/>
    </w:p>
    <w:p w:rsidR="00610AD5" w:rsidRPr="00610AD5" w:rsidRDefault="00610AD5" w:rsidP="00867C40">
      <w:pPr>
        <w:pStyle w:val="enumlev1"/>
      </w:pPr>
      <w:r w:rsidRPr="00610AD5">
        <w:t>22.1</w:t>
      </w:r>
      <w:r w:rsidRPr="00610AD5">
        <w:tab/>
        <w:t xml:space="preserve">Le montant annuel à acquitter pour chaque microstation est de cinq mille (5 000) dirhams. </w:t>
      </w:r>
    </w:p>
    <w:p w:rsidR="00610AD5" w:rsidRPr="00610AD5" w:rsidRDefault="00610AD5" w:rsidP="00867C40">
      <w:pPr>
        <w:pStyle w:val="enumlev1"/>
      </w:pPr>
      <w:r w:rsidRPr="00610AD5">
        <w:t>22.2</w:t>
      </w:r>
      <w:r w:rsidRPr="00610AD5">
        <w:tab/>
        <w:t xml:space="preserve">Le montant annuel à acquitter pour chaque antenne de station terrienne est de cinquante mille (50 000) dirhams. </w:t>
      </w:r>
    </w:p>
    <w:p w:rsidR="00610AD5" w:rsidRPr="00610AD5" w:rsidRDefault="00610AD5" w:rsidP="00867C40">
      <w:pPr>
        <w:pStyle w:val="enumlev1"/>
      </w:pPr>
      <w:r w:rsidRPr="00610AD5">
        <w:t>22.3</w:t>
      </w:r>
      <w:r w:rsidRPr="00610AD5">
        <w:tab/>
        <w:t xml:space="preserve">La télévision uniquement réceptrice est gratuite. </w:t>
      </w:r>
    </w:p>
    <w:p w:rsidR="00610AD5" w:rsidRPr="00610AD5" w:rsidRDefault="00610AD5" w:rsidP="00867C40">
      <w:pPr>
        <w:pStyle w:val="enumlev1"/>
      </w:pPr>
      <w:r w:rsidRPr="00610AD5">
        <w:t>22.4</w:t>
      </w:r>
      <w:r w:rsidRPr="00610AD5">
        <w:tab/>
        <w:t>Le montant annuel à acquitter pour chaque reportage d'actualités par satellite numérique est de cinq mille (5 000) dirhams.</w:t>
      </w:r>
    </w:p>
    <w:p w:rsidR="00610AD5" w:rsidRPr="00610AD5" w:rsidRDefault="00610AD5" w:rsidP="00867C40">
      <w:pPr>
        <w:pStyle w:val="enumlev1"/>
      </w:pPr>
      <w:r w:rsidRPr="00610AD5">
        <w:t>22.5</w:t>
      </w:r>
      <w:r w:rsidRPr="00610AD5">
        <w:tab/>
        <w:t>Le montant annuel à acquitter pour le service mobile aéronautique par satellite est de dix mille (10 000) dirhams.</w:t>
      </w:r>
    </w:p>
    <w:p w:rsidR="00610AD5" w:rsidRPr="00610AD5" w:rsidRDefault="00610AD5" w:rsidP="00867C40">
      <w:pPr>
        <w:pStyle w:val="enumlev1"/>
      </w:pPr>
      <w:r w:rsidRPr="00610AD5">
        <w:t>22.6</w:t>
      </w:r>
      <w:r w:rsidRPr="00610AD5">
        <w:tab/>
        <w:t>Le montant annuel à acquitter pour le service mobile maritime par satellite est de dix mille (10 000) dirhams.</w:t>
      </w:r>
    </w:p>
    <w:p w:rsidR="00610AD5" w:rsidRPr="00610AD5" w:rsidRDefault="00610AD5" w:rsidP="00C608EC">
      <w:pPr>
        <w:pStyle w:val="enumlev1"/>
        <w:pageBreakBefore/>
      </w:pPr>
      <w:r w:rsidRPr="00610AD5">
        <w:lastRenderedPageBreak/>
        <w:t>22.7</w:t>
      </w:r>
      <w:r w:rsidRPr="00610AD5">
        <w:tab/>
        <w:t>Le montant annuel à acquitter pour les services d'exploration de la Terre par satellite est de dix mille (10 000) dirhams.</w:t>
      </w:r>
    </w:p>
    <w:p w:rsidR="00610AD5" w:rsidRPr="00610AD5" w:rsidRDefault="00610AD5" w:rsidP="00867C40">
      <w:pPr>
        <w:pStyle w:val="enumlev1"/>
      </w:pPr>
      <w:r w:rsidRPr="00610AD5">
        <w:t>22.8</w:t>
      </w:r>
      <w:r w:rsidRPr="00610AD5">
        <w:tab/>
        <w:t>Le montant annuel à acquitter pour les stations HAPS est déterminé par la TRA, en fonction de la finalité de l'utilisation.</w:t>
      </w:r>
    </w:p>
    <w:p w:rsidR="00610AD5" w:rsidRPr="00610AD5" w:rsidRDefault="00610AD5" w:rsidP="00AB490D">
      <w:pPr>
        <w:pStyle w:val="Arttitle"/>
      </w:pPr>
      <w:bookmarkStart w:id="521" w:name="_Toc225739504"/>
      <w:bookmarkStart w:id="522" w:name="_Toc225739848"/>
      <w:bookmarkStart w:id="523" w:name="_Toc280262380"/>
      <w:bookmarkStart w:id="524" w:name="_Toc280272774"/>
      <w:bookmarkStart w:id="525" w:name="_Toc280272953"/>
      <w:r w:rsidRPr="00610AD5">
        <w:t>Article 23</w:t>
      </w:r>
      <w:bookmarkEnd w:id="521"/>
      <w:bookmarkEnd w:id="522"/>
      <w:r w:rsidRPr="00610AD5">
        <w:br/>
      </w:r>
      <w:r w:rsidRPr="00610AD5">
        <w:br/>
      </w:r>
      <w:bookmarkStart w:id="526" w:name="_Toc225739505"/>
      <w:bookmarkStart w:id="527" w:name="_Toc225739849"/>
      <w:r w:rsidRPr="00610AD5">
        <w:t>Droits à acquitter pour les stations de radionavigation</w:t>
      </w:r>
      <w:bookmarkEnd w:id="523"/>
      <w:bookmarkEnd w:id="524"/>
      <w:bookmarkEnd w:id="525"/>
      <w:bookmarkEnd w:id="526"/>
      <w:bookmarkEnd w:id="527"/>
    </w:p>
    <w:p w:rsidR="00610AD5" w:rsidRPr="00610AD5" w:rsidRDefault="00610AD5" w:rsidP="00610AD5">
      <w:pPr>
        <w:rPr>
          <w:color w:val="000000"/>
          <w:lang w:val="fr-FR"/>
        </w:rPr>
      </w:pPr>
      <w:r w:rsidRPr="00610AD5">
        <w:rPr>
          <w:lang w:val="fr-FR"/>
        </w:rPr>
        <w:t>Le montant annuel à acquitter pour chaque station de radionavigation est de mille (1 000) dirhams.</w:t>
      </w:r>
    </w:p>
    <w:p w:rsidR="00610AD5" w:rsidRPr="00610AD5" w:rsidRDefault="00610AD5" w:rsidP="00AB490D">
      <w:pPr>
        <w:pStyle w:val="Arttitle"/>
      </w:pPr>
      <w:bookmarkStart w:id="528" w:name="_Toc225739506"/>
      <w:bookmarkStart w:id="529" w:name="_Toc225739850"/>
      <w:bookmarkStart w:id="530" w:name="_Toc280262381"/>
      <w:bookmarkStart w:id="531" w:name="_Toc280272775"/>
      <w:bookmarkStart w:id="532" w:name="_Toc280272954"/>
      <w:r w:rsidRPr="00610AD5">
        <w:t>Article 24</w:t>
      </w:r>
      <w:bookmarkEnd w:id="528"/>
      <w:bookmarkEnd w:id="529"/>
      <w:r w:rsidRPr="00610AD5">
        <w:br/>
      </w:r>
      <w:r w:rsidRPr="00610AD5">
        <w:br/>
      </w:r>
      <w:bookmarkStart w:id="533" w:name="_Toc225739507"/>
      <w:bookmarkStart w:id="534" w:name="_Toc225739851"/>
      <w:r w:rsidRPr="00610AD5">
        <w:t>Droits à acquitter pour les stations de radioastronomie</w:t>
      </w:r>
      <w:bookmarkEnd w:id="530"/>
      <w:bookmarkEnd w:id="531"/>
      <w:bookmarkEnd w:id="532"/>
      <w:bookmarkEnd w:id="533"/>
      <w:bookmarkEnd w:id="534"/>
    </w:p>
    <w:p w:rsidR="00610AD5" w:rsidRPr="00610AD5" w:rsidRDefault="00610AD5" w:rsidP="00610AD5">
      <w:pPr>
        <w:rPr>
          <w:color w:val="000000"/>
          <w:lang w:val="fr-FR"/>
        </w:rPr>
      </w:pPr>
      <w:r w:rsidRPr="00610AD5">
        <w:rPr>
          <w:lang w:val="fr-FR"/>
        </w:rPr>
        <w:t>Le montant annuel à acquitter pour chaque station de radioastronomie est de cinq cents (500) dirhams.</w:t>
      </w:r>
    </w:p>
    <w:p w:rsidR="00610AD5" w:rsidRPr="00610AD5" w:rsidRDefault="00610AD5" w:rsidP="00AB490D">
      <w:pPr>
        <w:pStyle w:val="Arttitle"/>
      </w:pPr>
      <w:bookmarkStart w:id="535" w:name="_Toc225739508"/>
      <w:bookmarkStart w:id="536" w:name="_Toc225739852"/>
      <w:bookmarkStart w:id="537" w:name="_Toc280262382"/>
      <w:bookmarkStart w:id="538" w:name="_Toc280272776"/>
      <w:bookmarkStart w:id="539" w:name="_Toc280272955"/>
      <w:r w:rsidRPr="00610AD5">
        <w:t>Article 25</w:t>
      </w:r>
      <w:bookmarkEnd w:id="535"/>
      <w:bookmarkEnd w:id="536"/>
      <w:r w:rsidRPr="00610AD5">
        <w:br/>
      </w:r>
      <w:r w:rsidRPr="00610AD5">
        <w:br/>
      </w:r>
      <w:bookmarkStart w:id="540" w:name="_Toc225739509"/>
      <w:bookmarkStart w:id="541" w:name="_Toc225739853"/>
      <w:r w:rsidRPr="00610AD5">
        <w:t>Droits à acquitter pour les stations de radiolocalisation</w:t>
      </w:r>
      <w:bookmarkEnd w:id="537"/>
      <w:bookmarkEnd w:id="538"/>
      <w:bookmarkEnd w:id="539"/>
      <w:bookmarkEnd w:id="540"/>
      <w:bookmarkEnd w:id="541"/>
    </w:p>
    <w:p w:rsidR="00610AD5" w:rsidRPr="00610AD5" w:rsidRDefault="00610AD5" w:rsidP="00610AD5">
      <w:r w:rsidRPr="00610AD5">
        <w:t>Le montant annuel des droits à acquitter pour chaque radar côtier maritime, radar météorologique, radar au sol, station de surveillance aéronautique, station de contrôle d'approche, station d'observation des océans, des mouvements en surface et de localisation est de cinq mille (5 000) dirhams.</w:t>
      </w:r>
    </w:p>
    <w:p w:rsidR="00610AD5" w:rsidRPr="00610AD5" w:rsidRDefault="00610AD5" w:rsidP="00AB490D">
      <w:pPr>
        <w:pStyle w:val="Arttitle"/>
      </w:pPr>
      <w:bookmarkStart w:id="542" w:name="_Toc225739510"/>
      <w:bookmarkStart w:id="543" w:name="_Toc225739854"/>
      <w:bookmarkStart w:id="544" w:name="_Toc280262383"/>
      <w:bookmarkStart w:id="545" w:name="_Toc280272777"/>
      <w:bookmarkStart w:id="546" w:name="_Toc280272956"/>
      <w:r w:rsidRPr="00610AD5">
        <w:t>Article 26</w:t>
      </w:r>
      <w:bookmarkEnd w:id="542"/>
      <w:bookmarkEnd w:id="543"/>
      <w:r w:rsidRPr="00610AD5">
        <w:br/>
      </w:r>
      <w:r w:rsidRPr="00610AD5">
        <w:br/>
      </w:r>
      <w:bookmarkStart w:id="547" w:name="_Toc225739511"/>
      <w:bookmarkStart w:id="548" w:name="_Toc225739855"/>
      <w:r w:rsidRPr="00610AD5">
        <w:t>Droits à acquitter pour le service de radiodiffusion</w:t>
      </w:r>
      <w:bookmarkEnd w:id="544"/>
      <w:bookmarkEnd w:id="545"/>
      <w:bookmarkEnd w:id="546"/>
      <w:bookmarkEnd w:id="547"/>
      <w:bookmarkEnd w:id="548"/>
    </w:p>
    <w:p w:rsidR="00610AD5" w:rsidRPr="00610AD5" w:rsidRDefault="00610AD5" w:rsidP="00867C40">
      <w:pPr>
        <w:pStyle w:val="enumlev1"/>
      </w:pPr>
      <w:r w:rsidRPr="00610AD5">
        <w:t>26.1</w:t>
      </w:r>
      <w:r w:rsidRPr="00610AD5">
        <w:tab/>
        <w:t>Radiodiffusion et télévision de Terre</w:t>
      </w:r>
    </w:p>
    <w:p w:rsidR="00610AD5" w:rsidRPr="00610AD5" w:rsidRDefault="00610AD5" w:rsidP="00610AD5">
      <w:pPr>
        <w:ind w:left="794" w:hanging="794"/>
        <w:rPr>
          <w:b/>
          <w:lang w:val="fr-FR"/>
        </w:rPr>
      </w:pPr>
      <w:r w:rsidRPr="00610AD5">
        <w:rPr>
          <w:lang w:val="fr-FR"/>
        </w:rPr>
        <w:tab/>
        <w:t>Le montant annuel des droits à acquitter pour une station de radiodiffusion individuelle est calculé comme suit:</w:t>
      </w:r>
    </w:p>
    <w:p w:rsidR="00610AD5" w:rsidRPr="00610AD5" w:rsidRDefault="00610AD5" w:rsidP="00610AD5">
      <w:pPr>
        <w:tabs>
          <w:tab w:val="left" w:pos="851"/>
        </w:tabs>
        <w:suppressAutoHyphens/>
        <w:rPr>
          <w:b/>
          <w:szCs w:val="19"/>
          <w:lang w:val="fr-FR"/>
        </w:rPr>
      </w:pPr>
      <w:r w:rsidRPr="00610AD5">
        <w:rPr>
          <w:b/>
          <w:szCs w:val="19"/>
          <w:lang w:val="fr-FR"/>
        </w:rPr>
        <w:tab/>
        <w:t>Montant à acquitter (par station) = A + B * C * D * E * F</w:t>
      </w:r>
    </w:p>
    <w:p w:rsidR="00610AD5" w:rsidRPr="00610AD5" w:rsidRDefault="00610AD5" w:rsidP="00610AD5">
      <w:pPr>
        <w:tabs>
          <w:tab w:val="left" w:pos="851"/>
        </w:tabs>
        <w:rPr>
          <w:lang w:val="fr-FR"/>
        </w:rPr>
      </w:pPr>
      <w:r w:rsidRPr="00610AD5">
        <w:rPr>
          <w:b/>
          <w:lang w:val="fr-FR"/>
        </w:rPr>
        <w:tab/>
        <w:t>A = Montant de base</w:t>
      </w:r>
      <w:r w:rsidRPr="00610AD5">
        <w:rPr>
          <w:lang w:val="fr-FR"/>
        </w:rPr>
        <w:t xml:space="preserve"> = 30 000 AED.</w:t>
      </w:r>
    </w:p>
    <w:p w:rsidR="00610AD5" w:rsidRPr="00610AD5" w:rsidRDefault="00610AD5" w:rsidP="00610AD5">
      <w:pPr>
        <w:tabs>
          <w:tab w:val="left" w:pos="851"/>
        </w:tabs>
        <w:ind w:left="851" w:hanging="851"/>
        <w:rPr>
          <w:lang w:val="fr-FR"/>
        </w:rPr>
      </w:pPr>
      <w:r w:rsidRPr="00610AD5">
        <w:rPr>
          <w:lang w:val="fr-FR"/>
        </w:rPr>
        <w:tab/>
        <w:t>NOTE – Dans le cas d'un réseau à fréquence unique (RFU), le réseau complet est considéré comme étant un seul émetteur et le montant de base est facturé une fois pour ce réseau, tandis que le reste des droits à acquitter est facturé pour chaque station.</w:t>
      </w:r>
    </w:p>
    <w:p w:rsidR="00610AD5" w:rsidRPr="00610AD5" w:rsidRDefault="00610AD5" w:rsidP="00610AD5">
      <w:pPr>
        <w:tabs>
          <w:tab w:val="left" w:pos="851"/>
        </w:tabs>
        <w:ind w:left="851" w:hanging="851"/>
        <w:rPr>
          <w:lang w:val="fr-FR"/>
        </w:rPr>
      </w:pPr>
      <w:r w:rsidRPr="00610AD5">
        <w:rPr>
          <w:b/>
          <w:lang w:val="fr-FR"/>
        </w:rPr>
        <w:tab/>
        <w:t xml:space="preserve">B = Facteur de puissance = </w:t>
      </w:r>
      <w:r w:rsidRPr="00610AD5">
        <w:rPr>
          <w:lang w:val="fr-FR"/>
        </w:rPr>
        <w:t>La puissance, exprimée en kilowatts [kW], égale à la puissance émise par l'émetteur (en cas d'émission en ondes longues, moyennes ou courtes) et à la puissance apparente rayonnée (p.a.r.) dans tous les autres cas.</w:t>
      </w:r>
    </w:p>
    <w:p w:rsidR="00610AD5" w:rsidRPr="00610AD5" w:rsidRDefault="00610AD5" w:rsidP="00610AD5">
      <w:pPr>
        <w:tabs>
          <w:tab w:val="left" w:pos="851"/>
        </w:tabs>
        <w:spacing w:after="360"/>
        <w:rPr>
          <w:lang w:val="fr-FR"/>
        </w:rPr>
      </w:pPr>
      <w:r w:rsidRPr="00610AD5">
        <w:rPr>
          <w:b/>
          <w:lang w:val="fr-FR"/>
        </w:rPr>
        <w:tab/>
        <w:t>C = Coefficient de type de service</w:t>
      </w:r>
      <w:r w:rsidRPr="00610AD5">
        <w:rPr>
          <w:lang w:val="fr-FR"/>
        </w:rPr>
        <w:t>,</w:t>
      </w:r>
      <w:r w:rsidRPr="00610AD5">
        <w:rPr>
          <w:b/>
          <w:lang w:val="fr-FR"/>
        </w:rPr>
        <w:t xml:space="preserve"> </w:t>
      </w:r>
      <w:r w:rsidRPr="00610AD5">
        <w:rPr>
          <w:lang w:val="fr-FR"/>
        </w:rPr>
        <w:t>comme suit:</w:t>
      </w:r>
    </w:p>
    <w:p w:rsidR="00610AD5" w:rsidRPr="00610AD5" w:rsidRDefault="00610AD5" w:rsidP="00610AD5">
      <w:pPr>
        <w:tabs>
          <w:tab w:val="clear" w:pos="794"/>
          <w:tab w:val="clear" w:pos="1191"/>
          <w:tab w:val="clear" w:pos="1588"/>
          <w:tab w:val="clear" w:pos="1985"/>
        </w:tabs>
        <w:overflowPunct/>
        <w:autoSpaceDE/>
        <w:autoSpaceDN/>
        <w:adjustRightInd/>
        <w:spacing w:before="0"/>
        <w:jc w:val="left"/>
        <w:textAlignment w:val="auto"/>
        <w:rPr>
          <w:szCs w:val="19"/>
        </w:rPr>
      </w:pPr>
      <w:r w:rsidRPr="00610AD5">
        <w:rPr>
          <w:szCs w:val="19"/>
        </w:rPr>
        <w:br w:type="page"/>
      </w:r>
    </w:p>
    <w:p w:rsidR="00610AD5" w:rsidRPr="00610AD5" w:rsidRDefault="00610AD5" w:rsidP="00610AD5">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textAlignment w:val="auto"/>
        <w:rPr>
          <w:b/>
          <w:lang w:val="en-US"/>
        </w:rPr>
      </w:pPr>
      <w:r w:rsidRPr="00610AD5">
        <w:rPr>
          <w:b/>
          <w:lang w:val="en-US"/>
        </w:rPr>
        <w:lastRenderedPageBreak/>
        <w:t xml:space="preserve">Tableau </w:t>
      </w:r>
      <w:r w:rsidR="005D1F2F" w:rsidRPr="00610AD5">
        <w:rPr>
          <w:b/>
          <w:lang w:val="en-US"/>
        </w:rPr>
        <w:fldChar w:fldCharType="begin"/>
      </w:r>
      <w:r w:rsidRPr="00610AD5">
        <w:rPr>
          <w:b/>
          <w:lang w:val="en-US"/>
        </w:rPr>
        <w:instrText xml:space="preserve"> SEQ Figure \* ARABIC </w:instrText>
      </w:r>
      <w:r w:rsidR="005D1F2F" w:rsidRPr="00610AD5">
        <w:rPr>
          <w:b/>
          <w:lang w:val="en-US"/>
        </w:rPr>
        <w:fldChar w:fldCharType="separate"/>
      </w:r>
      <w:r w:rsidR="00F43450">
        <w:rPr>
          <w:b/>
          <w:noProof/>
          <w:lang w:val="en-US"/>
        </w:rPr>
        <w:t>5</w:t>
      </w:r>
      <w:r w:rsidR="005D1F2F" w:rsidRPr="00610AD5">
        <w:rPr>
          <w:b/>
          <w:lang w:val="en-US"/>
        </w:rPr>
        <w:fldChar w:fldCharType="end"/>
      </w:r>
      <w:r w:rsidRPr="00610AD5">
        <w:rPr>
          <w:b/>
          <w:lang w:val="en-US"/>
        </w:rPr>
        <w:t xml:space="preserve"> – </w:t>
      </w:r>
      <w:r w:rsidRPr="00610AD5">
        <w:rPr>
          <w:b/>
          <w:lang w:val="fr-FR"/>
        </w:rPr>
        <w:t>Définition des coefficients de type de service (C) pour les services de radiodiffusion sonore</w:t>
      </w:r>
      <w:r w:rsidRPr="00610AD5">
        <w:rPr>
          <w:b/>
          <w:lang w:val="en-US"/>
        </w:rPr>
        <w:t xml:space="preserve"> </w:t>
      </w:r>
    </w:p>
    <w:p w:rsidR="00610AD5" w:rsidRPr="00610AD5" w:rsidRDefault="00610AD5" w:rsidP="00324665">
      <w:pPr>
        <w:pStyle w:val="FigureTitle"/>
      </w:pPr>
    </w:p>
    <w:tbl>
      <w:tblPr>
        <w:tblW w:w="0" w:type="auto"/>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2"/>
        <w:gridCol w:w="2496"/>
        <w:gridCol w:w="1620"/>
        <w:gridCol w:w="1829"/>
      </w:tblGrid>
      <w:tr w:rsidR="00610AD5" w:rsidRPr="00610AD5" w:rsidTr="00610AD5">
        <w:trPr>
          <w:trHeight w:val="397"/>
          <w:jc w:val="center"/>
        </w:trPr>
        <w:tc>
          <w:tcPr>
            <w:tcW w:w="7517" w:type="dxa"/>
            <w:gridSpan w:val="4"/>
            <w:tcBorders>
              <w:bottom w:val="single" w:sz="4" w:space="0" w:color="auto"/>
            </w:tcBorders>
            <w:shd w:val="clear" w:color="auto" w:fill="E6E6E6"/>
            <w:vAlign w:val="center"/>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rPr>
            </w:pPr>
            <w:r w:rsidRPr="00610AD5">
              <w:rPr>
                <w:rFonts w:asciiTheme="majorBidi" w:hAnsiTheme="majorBidi" w:cstheme="majorBidi"/>
                <w:b/>
                <w:szCs w:val="22"/>
                <w:lang w:val="fr-FR"/>
              </w:rPr>
              <w:t>Service de radiodiffusion sonore</w:t>
            </w:r>
          </w:p>
        </w:tc>
      </w:tr>
      <w:tr w:rsidR="00610AD5" w:rsidRPr="00610AD5" w:rsidTr="00610AD5">
        <w:trPr>
          <w:trHeight w:val="397"/>
          <w:jc w:val="center"/>
        </w:trPr>
        <w:tc>
          <w:tcPr>
            <w:tcW w:w="1572" w:type="dxa"/>
            <w:shd w:val="clear" w:color="auto" w:fill="E6E6E6"/>
            <w:vAlign w:val="center"/>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rPr>
            </w:pPr>
            <w:r w:rsidRPr="00610AD5">
              <w:rPr>
                <w:rFonts w:asciiTheme="majorBidi" w:hAnsiTheme="majorBidi" w:cstheme="majorBidi"/>
                <w:b/>
                <w:szCs w:val="22"/>
                <w:lang w:val="fr-FR"/>
              </w:rPr>
              <w:t>Type de service</w:t>
            </w:r>
          </w:p>
        </w:tc>
        <w:tc>
          <w:tcPr>
            <w:tcW w:w="2496" w:type="dxa"/>
            <w:shd w:val="clear" w:color="auto" w:fill="E6E6E6"/>
            <w:vAlign w:val="center"/>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rPr>
            </w:pPr>
            <w:r w:rsidRPr="00610AD5">
              <w:rPr>
                <w:rFonts w:asciiTheme="majorBidi" w:hAnsiTheme="majorBidi" w:cstheme="majorBidi"/>
                <w:b/>
                <w:szCs w:val="22"/>
                <w:lang w:val="fr-FR"/>
              </w:rPr>
              <w:t>Gamme de fréquences</w:t>
            </w:r>
          </w:p>
        </w:tc>
        <w:tc>
          <w:tcPr>
            <w:tcW w:w="1620" w:type="dxa"/>
            <w:shd w:val="clear" w:color="auto" w:fill="E6E6E6"/>
            <w:vAlign w:val="center"/>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rPr>
            </w:pPr>
            <w:r w:rsidRPr="00610AD5">
              <w:rPr>
                <w:rFonts w:asciiTheme="majorBidi" w:hAnsiTheme="majorBidi" w:cstheme="majorBidi"/>
                <w:b/>
                <w:szCs w:val="22"/>
                <w:lang w:val="fr-FR"/>
              </w:rPr>
              <w:t>Largeur de bande</w:t>
            </w:r>
          </w:p>
        </w:tc>
        <w:tc>
          <w:tcPr>
            <w:tcW w:w="1829" w:type="dxa"/>
            <w:shd w:val="clear" w:color="auto" w:fill="E6E6E6"/>
            <w:vAlign w:val="center"/>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rPr>
            </w:pPr>
            <w:r w:rsidRPr="00610AD5">
              <w:rPr>
                <w:rFonts w:asciiTheme="majorBidi" w:hAnsiTheme="majorBidi" w:cstheme="majorBidi"/>
                <w:b/>
                <w:szCs w:val="22"/>
                <w:lang w:val="fr-FR"/>
              </w:rPr>
              <w:t>Coefficient de type de service (C)</w:t>
            </w:r>
          </w:p>
        </w:tc>
      </w:tr>
      <w:tr w:rsidR="00610AD5" w:rsidRPr="00610AD5" w:rsidTr="00610AD5">
        <w:trPr>
          <w:trHeight w:val="368"/>
          <w:jc w:val="center"/>
        </w:trPr>
        <w:tc>
          <w:tcPr>
            <w:tcW w:w="1572" w:type="dxa"/>
            <w:vMerge w:val="restart"/>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lang w:val="fr-FR"/>
              </w:rPr>
              <w:t>Ondes kilométriques/</w:t>
            </w:r>
            <w:r w:rsidRPr="00610AD5">
              <w:rPr>
                <w:rFonts w:asciiTheme="majorBidi" w:hAnsiTheme="majorBidi" w:cstheme="majorBidi"/>
                <w:szCs w:val="22"/>
                <w:lang w:val="fr-FR"/>
              </w:rPr>
              <w:br/>
              <w:t>hectométriques</w:t>
            </w:r>
          </w:p>
        </w:tc>
        <w:tc>
          <w:tcPr>
            <w:tcW w:w="2496" w:type="dxa"/>
            <w:shd w:val="clear" w:color="auto" w:fill="auto"/>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lang w:val="fr-FR"/>
              </w:rPr>
              <w:t>148,5-283,5 kHz</w:t>
            </w:r>
          </w:p>
        </w:tc>
        <w:tc>
          <w:tcPr>
            <w:tcW w:w="1620" w:type="dxa"/>
            <w:shd w:val="clear" w:color="auto" w:fill="auto"/>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rPr>
              <w:t>9 kHz</w:t>
            </w:r>
          </w:p>
        </w:tc>
        <w:tc>
          <w:tcPr>
            <w:tcW w:w="1829" w:type="dxa"/>
            <w:vMerge w:val="restart"/>
            <w:vAlign w:val="center"/>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rPr>
              <w:t>8</w:t>
            </w:r>
          </w:p>
        </w:tc>
      </w:tr>
      <w:tr w:rsidR="00610AD5" w:rsidRPr="00610AD5" w:rsidTr="00610AD5">
        <w:trPr>
          <w:jc w:val="center"/>
        </w:trPr>
        <w:tc>
          <w:tcPr>
            <w:tcW w:w="1572" w:type="dxa"/>
            <w:vMerge/>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p>
        </w:tc>
        <w:tc>
          <w:tcPr>
            <w:tcW w:w="2496" w:type="dxa"/>
            <w:shd w:val="clear" w:color="auto" w:fill="auto"/>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lang w:val="fr-FR"/>
              </w:rPr>
              <w:t>526,5-1 606,5 kHz</w:t>
            </w:r>
          </w:p>
        </w:tc>
        <w:tc>
          <w:tcPr>
            <w:tcW w:w="1620" w:type="dxa"/>
            <w:shd w:val="clear" w:color="auto" w:fill="auto"/>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rPr>
              <w:t>9 kHz</w:t>
            </w:r>
          </w:p>
        </w:tc>
        <w:tc>
          <w:tcPr>
            <w:tcW w:w="1829" w:type="dxa"/>
            <w:vMerge/>
            <w:vAlign w:val="center"/>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p>
        </w:tc>
      </w:tr>
      <w:tr w:rsidR="00610AD5" w:rsidRPr="00610AD5" w:rsidTr="00610AD5">
        <w:trPr>
          <w:trHeight w:val="233"/>
          <w:jc w:val="center"/>
        </w:trPr>
        <w:tc>
          <w:tcPr>
            <w:tcW w:w="1572" w:type="dxa"/>
            <w:vMerge w:val="restart"/>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lang w:val="fr-FR"/>
              </w:rPr>
              <w:t>Ondes métriques</w:t>
            </w:r>
          </w:p>
        </w:tc>
        <w:tc>
          <w:tcPr>
            <w:tcW w:w="2496" w:type="dxa"/>
            <w:shd w:val="clear" w:color="auto" w:fill="auto"/>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lang w:val="fr-FR"/>
              </w:rPr>
              <w:t>87,5-108 MHz</w:t>
            </w:r>
          </w:p>
        </w:tc>
        <w:tc>
          <w:tcPr>
            <w:tcW w:w="1620" w:type="dxa"/>
            <w:shd w:val="clear" w:color="auto" w:fill="auto"/>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rPr>
              <w:t>200 kHz</w:t>
            </w:r>
          </w:p>
        </w:tc>
        <w:tc>
          <w:tcPr>
            <w:tcW w:w="1829" w:type="dxa"/>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rPr>
              <w:t>16</w:t>
            </w:r>
          </w:p>
        </w:tc>
      </w:tr>
      <w:tr w:rsidR="00610AD5" w:rsidRPr="00610AD5" w:rsidTr="00610AD5">
        <w:trPr>
          <w:trHeight w:val="305"/>
          <w:jc w:val="center"/>
        </w:trPr>
        <w:tc>
          <w:tcPr>
            <w:tcW w:w="1572" w:type="dxa"/>
            <w:vMerge/>
          </w:tcPr>
          <w:p w:rsidR="00610AD5" w:rsidRPr="00610AD5" w:rsidDel="00192A8E"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p>
        </w:tc>
        <w:tc>
          <w:tcPr>
            <w:tcW w:w="2496" w:type="dxa"/>
            <w:shd w:val="clear" w:color="auto" w:fill="auto"/>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lang w:val="fr-FR"/>
              </w:rPr>
              <w:t>174-230 MHz</w:t>
            </w:r>
          </w:p>
        </w:tc>
        <w:tc>
          <w:tcPr>
            <w:tcW w:w="1620" w:type="dxa"/>
            <w:shd w:val="clear" w:color="auto" w:fill="auto"/>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lang w:val="fr-FR"/>
              </w:rPr>
              <w:t>1,536 MHz</w:t>
            </w:r>
          </w:p>
        </w:tc>
        <w:tc>
          <w:tcPr>
            <w:tcW w:w="1829" w:type="dxa"/>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rPr>
            </w:pPr>
            <w:r w:rsidRPr="00610AD5">
              <w:rPr>
                <w:rFonts w:asciiTheme="majorBidi" w:hAnsiTheme="majorBidi" w:cstheme="majorBidi"/>
                <w:szCs w:val="22"/>
              </w:rPr>
              <w:t>18</w:t>
            </w:r>
          </w:p>
        </w:tc>
      </w:tr>
    </w:tbl>
    <w:p w:rsidR="00610AD5" w:rsidRPr="00610AD5" w:rsidRDefault="00610AD5" w:rsidP="008347A9">
      <w:pPr>
        <w:pStyle w:val="FigureSource"/>
      </w:pPr>
    </w:p>
    <w:p w:rsidR="00610AD5" w:rsidRPr="00610AD5" w:rsidRDefault="00610AD5" w:rsidP="00610AD5"/>
    <w:p w:rsidR="00610AD5" w:rsidRPr="00610AD5" w:rsidRDefault="00610AD5" w:rsidP="00610AD5">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textAlignment w:val="auto"/>
        <w:rPr>
          <w:b/>
          <w:lang w:val="en-US"/>
        </w:rPr>
      </w:pPr>
      <w:r w:rsidRPr="00610AD5">
        <w:rPr>
          <w:b/>
          <w:lang w:val="en-US"/>
        </w:rPr>
        <w:t xml:space="preserve">Tableau </w:t>
      </w:r>
      <w:r w:rsidR="005D1F2F" w:rsidRPr="00610AD5">
        <w:rPr>
          <w:b/>
          <w:lang w:val="en-US"/>
        </w:rPr>
        <w:fldChar w:fldCharType="begin"/>
      </w:r>
      <w:r w:rsidRPr="00610AD5">
        <w:rPr>
          <w:b/>
          <w:lang w:val="en-US"/>
        </w:rPr>
        <w:instrText xml:space="preserve"> SEQ Figure \* ARABIC </w:instrText>
      </w:r>
      <w:r w:rsidR="005D1F2F" w:rsidRPr="00610AD5">
        <w:rPr>
          <w:b/>
          <w:lang w:val="en-US"/>
        </w:rPr>
        <w:fldChar w:fldCharType="separate"/>
      </w:r>
      <w:r w:rsidR="00F43450">
        <w:rPr>
          <w:b/>
          <w:noProof/>
          <w:lang w:val="en-US"/>
        </w:rPr>
        <w:t>6</w:t>
      </w:r>
      <w:r w:rsidR="005D1F2F" w:rsidRPr="00610AD5">
        <w:rPr>
          <w:b/>
          <w:lang w:val="en-US"/>
        </w:rPr>
        <w:fldChar w:fldCharType="end"/>
      </w:r>
      <w:r w:rsidRPr="00610AD5">
        <w:rPr>
          <w:b/>
          <w:lang w:val="en-US"/>
        </w:rPr>
        <w:t xml:space="preserve"> – </w:t>
      </w:r>
      <w:r w:rsidRPr="00610AD5">
        <w:rPr>
          <w:b/>
          <w:lang w:val="fr-FR"/>
        </w:rPr>
        <w:t>Définition des coefficients de type de service (C) pour les services de radiodiffusion télévisuelle</w:t>
      </w:r>
    </w:p>
    <w:p w:rsidR="00610AD5" w:rsidRPr="00610AD5" w:rsidRDefault="00610AD5" w:rsidP="00324665">
      <w:pPr>
        <w:pStyle w:val="FigureTitle"/>
      </w:pPr>
    </w:p>
    <w:tbl>
      <w:tblPr>
        <w:tblW w:w="0" w:type="auto"/>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6"/>
        <w:gridCol w:w="2515"/>
        <w:gridCol w:w="1443"/>
        <w:gridCol w:w="2117"/>
      </w:tblGrid>
      <w:tr w:rsidR="00610AD5" w:rsidRPr="00610AD5" w:rsidTr="00610AD5">
        <w:trPr>
          <w:trHeight w:val="397"/>
          <w:jc w:val="center"/>
        </w:trPr>
        <w:tc>
          <w:tcPr>
            <w:tcW w:w="7631" w:type="dxa"/>
            <w:gridSpan w:val="4"/>
            <w:tcBorders>
              <w:bottom w:val="single" w:sz="4" w:space="0" w:color="auto"/>
            </w:tcBorders>
            <w:shd w:val="clear" w:color="auto" w:fill="E6E6E6"/>
            <w:vAlign w:val="center"/>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lang w:val="fr-FR"/>
              </w:rPr>
            </w:pPr>
            <w:r w:rsidRPr="00610AD5">
              <w:rPr>
                <w:rFonts w:asciiTheme="majorBidi" w:hAnsiTheme="majorBidi" w:cstheme="majorBidi"/>
                <w:b/>
                <w:szCs w:val="22"/>
                <w:lang w:val="fr-FR"/>
              </w:rPr>
              <w:t>Service de radiodiffusion télévisuelle</w:t>
            </w:r>
          </w:p>
        </w:tc>
      </w:tr>
      <w:tr w:rsidR="00610AD5" w:rsidRPr="00610AD5" w:rsidTr="00610AD5">
        <w:trPr>
          <w:trHeight w:val="397"/>
          <w:jc w:val="center"/>
        </w:trPr>
        <w:tc>
          <w:tcPr>
            <w:tcW w:w="1556" w:type="dxa"/>
            <w:shd w:val="clear" w:color="auto" w:fill="E6E6E6"/>
            <w:vAlign w:val="center"/>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lang w:val="fr-FR"/>
              </w:rPr>
            </w:pPr>
            <w:r w:rsidRPr="00610AD5">
              <w:rPr>
                <w:rFonts w:asciiTheme="majorBidi" w:hAnsiTheme="majorBidi" w:cstheme="majorBidi"/>
                <w:b/>
                <w:szCs w:val="22"/>
                <w:lang w:val="fr-FR"/>
              </w:rPr>
              <w:t>Type de service</w:t>
            </w:r>
          </w:p>
        </w:tc>
        <w:tc>
          <w:tcPr>
            <w:tcW w:w="2515" w:type="dxa"/>
            <w:shd w:val="clear" w:color="auto" w:fill="E6E6E6"/>
            <w:vAlign w:val="center"/>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lang w:val="fr-FR"/>
              </w:rPr>
            </w:pPr>
            <w:r w:rsidRPr="00610AD5">
              <w:rPr>
                <w:rFonts w:asciiTheme="majorBidi" w:hAnsiTheme="majorBidi" w:cstheme="majorBidi"/>
                <w:b/>
                <w:szCs w:val="22"/>
                <w:lang w:val="fr-FR"/>
              </w:rPr>
              <w:t>Gamme de fréquences</w:t>
            </w:r>
          </w:p>
        </w:tc>
        <w:tc>
          <w:tcPr>
            <w:tcW w:w="1443" w:type="dxa"/>
            <w:shd w:val="clear" w:color="auto" w:fill="E6E6E6"/>
            <w:vAlign w:val="center"/>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lang w:val="fr-FR"/>
              </w:rPr>
            </w:pPr>
            <w:r w:rsidRPr="00610AD5">
              <w:rPr>
                <w:rFonts w:asciiTheme="majorBidi" w:hAnsiTheme="majorBidi" w:cstheme="majorBidi"/>
                <w:b/>
                <w:szCs w:val="22"/>
                <w:lang w:val="fr-FR"/>
              </w:rPr>
              <w:t>Largeur de bande</w:t>
            </w:r>
          </w:p>
        </w:tc>
        <w:tc>
          <w:tcPr>
            <w:tcW w:w="2117" w:type="dxa"/>
            <w:shd w:val="clear" w:color="auto" w:fill="E6E6E6"/>
            <w:vAlign w:val="center"/>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lang w:val="fr-FR"/>
              </w:rPr>
            </w:pPr>
            <w:r w:rsidRPr="00610AD5">
              <w:rPr>
                <w:rFonts w:asciiTheme="majorBidi" w:hAnsiTheme="majorBidi" w:cstheme="majorBidi"/>
                <w:b/>
                <w:szCs w:val="22"/>
                <w:lang w:val="fr-FR"/>
              </w:rPr>
              <w:t>Coefficient de type de service (C)</w:t>
            </w:r>
          </w:p>
        </w:tc>
      </w:tr>
      <w:tr w:rsidR="00610AD5" w:rsidRPr="00610AD5" w:rsidTr="00610AD5">
        <w:trPr>
          <w:jc w:val="center"/>
        </w:trPr>
        <w:tc>
          <w:tcPr>
            <w:tcW w:w="1556" w:type="dxa"/>
            <w:vMerge w:val="restart"/>
            <w:shd w:val="clear" w:color="auto" w:fill="auto"/>
            <w:vAlign w:val="center"/>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lang w:val="fr-FR"/>
              </w:rPr>
            </w:pPr>
            <w:r w:rsidRPr="00610AD5">
              <w:rPr>
                <w:rFonts w:asciiTheme="majorBidi" w:hAnsiTheme="majorBidi" w:cstheme="majorBidi"/>
                <w:szCs w:val="22"/>
                <w:lang w:val="fr-FR"/>
              </w:rPr>
              <w:t>Ondes métriques</w:t>
            </w:r>
          </w:p>
        </w:tc>
        <w:tc>
          <w:tcPr>
            <w:tcW w:w="2515" w:type="dxa"/>
            <w:shd w:val="clear" w:color="auto" w:fill="auto"/>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lang w:val="fr-FR"/>
              </w:rPr>
            </w:pPr>
            <w:r w:rsidRPr="00610AD5">
              <w:rPr>
                <w:rFonts w:asciiTheme="majorBidi" w:hAnsiTheme="majorBidi" w:cstheme="majorBidi"/>
                <w:szCs w:val="22"/>
                <w:lang w:val="fr-FR"/>
              </w:rPr>
              <w:t>47-68 MHz</w:t>
            </w:r>
          </w:p>
        </w:tc>
        <w:tc>
          <w:tcPr>
            <w:tcW w:w="1443" w:type="dxa"/>
            <w:vMerge w:val="restart"/>
            <w:shd w:val="clear" w:color="auto" w:fill="auto"/>
            <w:vAlign w:val="center"/>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lang w:val="fr-FR"/>
              </w:rPr>
            </w:pPr>
            <w:r w:rsidRPr="00610AD5">
              <w:rPr>
                <w:rFonts w:asciiTheme="majorBidi" w:hAnsiTheme="majorBidi" w:cstheme="majorBidi"/>
                <w:szCs w:val="22"/>
                <w:lang w:val="fr-FR"/>
              </w:rPr>
              <w:t>7 MHz</w:t>
            </w:r>
          </w:p>
        </w:tc>
        <w:tc>
          <w:tcPr>
            <w:tcW w:w="2117" w:type="dxa"/>
            <w:vMerge w:val="restart"/>
            <w:vAlign w:val="center"/>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lang w:val="fr-FR"/>
              </w:rPr>
            </w:pPr>
            <w:r w:rsidRPr="00610AD5">
              <w:rPr>
                <w:rFonts w:asciiTheme="majorBidi" w:hAnsiTheme="majorBidi" w:cstheme="majorBidi"/>
                <w:szCs w:val="22"/>
                <w:lang w:val="fr-FR"/>
              </w:rPr>
              <w:t>24</w:t>
            </w:r>
          </w:p>
        </w:tc>
      </w:tr>
      <w:tr w:rsidR="00610AD5" w:rsidRPr="00610AD5" w:rsidTr="00610AD5">
        <w:trPr>
          <w:trHeight w:val="377"/>
          <w:jc w:val="center"/>
        </w:trPr>
        <w:tc>
          <w:tcPr>
            <w:tcW w:w="1556" w:type="dxa"/>
            <w:vMerge/>
            <w:shd w:val="clear" w:color="auto" w:fill="auto"/>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lang w:val="fr-FR"/>
              </w:rPr>
            </w:pPr>
          </w:p>
        </w:tc>
        <w:tc>
          <w:tcPr>
            <w:tcW w:w="2515" w:type="dxa"/>
            <w:shd w:val="clear" w:color="auto" w:fill="auto"/>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lang w:val="fr-FR"/>
              </w:rPr>
            </w:pPr>
            <w:r w:rsidRPr="00610AD5">
              <w:rPr>
                <w:rFonts w:asciiTheme="majorBidi" w:hAnsiTheme="majorBidi" w:cstheme="majorBidi"/>
                <w:szCs w:val="22"/>
                <w:lang w:val="fr-FR"/>
              </w:rPr>
              <w:t>174-230 MHz</w:t>
            </w:r>
          </w:p>
        </w:tc>
        <w:tc>
          <w:tcPr>
            <w:tcW w:w="1443" w:type="dxa"/>
            <w:vMerge/>
            <w:shd w:val="clear" w:color="auto" w:fill="auto"/>
            <w:vAlign w:val="center"/>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lang w:val="fr-FR"/>
              </w:rPr>
            </w:pPr>
          </w:p>
        </w:tc>
        <w:tc>
          <w:tcPr>
            <w:tcW w:w="2117" w:type="dxa"/>
            <w:vMerge/>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lang w:val="fr-FR"/>
              </w:rPr>
            </w:pPr>
          </w:p>
        </w:tc>
      </w:tr>
      <w:tr w:rsidR="00610AD5" w:rsidRPr="00610AD5" w:rsidTr="00610AD5">
        <w:trPr>
          <w:trHeight w:val="485"/>
          <w:jc w:val="center"/>
        </w:trPr>
        <w:tc>
          <w:tcPr>
            <w:tcW w:w="1556" w:type="dxa"/>
            <w:shd w:val="clear" w:color="auto" w:fill="auto"/>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lang w:val="fr-FR"/>
              </w:rPr>
            </w:pPr>
            <w:r w:rsidRPr="00610AD5">
              <w:rPr>
                <w:rFonts w:asciiTheme="majorBidi" w:hAnsiTheme="majorBidi" w:cstheme="majorBidi"/>
                <w:szCs w:val="22"/>
                <w:lang w:val="fr-FR"/>
              </w:rPr>
              <w:t>Ondes décimétriques</w:t>
            </w:r>
          </w:p>
        </w:tc>
        <w:tc>
          <w:tcPr>
            <w:tcW w:w="2515" w:type="dxa"/>
            <w:shd w:val="clear" w:color="auto" w:fill="auto"/>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lang w:val="fr-FR"/>
              </w:rPr>
            </w:pPr>
            <w:r w:rsidRPr="00610AD5">
              <w:rPr>
                <w:rFonts w:asciiTheme="majorBidi" w:hAnsiTheme="majorBidi" w:cstheme="majorBidi"/>
                <w:szCs w:val="22"/>
                <w:lang w:val="fr-FR"/>
              </w:rPr>
              <w:t>470-862 MHz</w:t>
            </w:r>
          </w:p>
        </w:tc>
        <w:tc>
          <w:tcPr>
            <w:tcW w:w="1443" w:type="dxa"/>
            <w:shd w:val="clear" w:color="auto" w:fill="auto"/>
            <w:vAlign w:val="center"/>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lang w:val="fr-FR"/>
              </w:rPr>
            </w:pPr>
            <w:r w:rsidRPr="00610AD5">
              <w:rPr>
                <w:rFonts w:asciiTheme="majorBidi" w:hAnsiTheme="majorBidi" w:cstheme="majorBidi"/>
                <w:szCs w:val="22"/>
                <w:lang w:val="fr-FR"/>
              </w:rPr>
              <w:t>8 MHz</w:t>
            </w:r>
          </w:p>
        </w:tc>
        <w:tc>
          <w:tcPr>
            <w:tcW w:w="2117" w:type="dxa"/>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lang w:val="fr-FR"/>
              </w:rPr>
            </w:pPr>
            <w:r w:rsidRPr="00610AD5">
              <w:rPr>
                <w:rFonts w:asciiTheme="majorBidi" w:hAnsiTheme="majorBidi" w:cstheme="majorBidi"/>
                <w:szCs w:val="22"/>
                <w:lang w:val="fr-FR"/>
              </w:rPr>
              <w:t>36</w:t>
            </w:r>
          </w:p>
        </w:tc>
      </w:tr>
    </w:tbl>
    <w:p w:rsidR="00610AD5" w:rsidRPr="00610AD5" w:rsidRDefault="00610AD5" w:rsidP="008347A9">
      <w:pPr>
        <w:pStyle w:val="FigureSource"/>
      </w:pPr>
    </w:p>
    <w:p w:rsidR="00610AD5" w:rsidRPr="00610AD5" w:rsidRDefault="00610AD5" w:rsidP="00610AD5">
      <w:pPr>
        <w:tabs>
          <w:tab w:val="clear" w:pos="794"/>
          <w:tab w:val="clear" w:pos="1191"/>
          <w:tab w:val="clear" w:pos="1588"/>
          <w:tab w:val="clear" w:pos="1985"/>
        </w:tabs>
        <w:overflowPunct/>
        <w:autoSpaceDE/>
        <w:autoSpaceDN/>
        <w:adjustRightInd/>
        <w:spacing w:before="0"/>
        <w:jc w:val="left"/>
        <w:textAlignment w:val="auto"/>
        <w:rPr>
          <w:b/>
          <w:lang w:val="fr-FR"/>
        </w:rPr>
      </w:pPr>
      <w:r w:rsidRPr="00610AD5">
        <w:rPr>
          <w:b/>
          <w:lang w:val="fr-FR"/>
        </w:rPr>
        <w:br w:type="page"/>
      </w:r>
    </w:p>
    <w:p w:rsidR="00610AD5" w:rsidRPr="00610AD5" w:rsidRDefault="00610AD5" w:rsidP="00610AD5">
      <w:pPr>
        <w:spacing w:after="120"/>
        <w:ind w:left="1599" w:hanging="159"/>
        <w:rPr>
          <w:b/>
          <w:lang w:val="fr-FR"/>
        </w:rPr>
      </w:pPr>
      <w:r w:rsidRPr="00610AD5">
        <w:rPr>
          <w:b/>
          <w:lang w:val="fr-FR"/>
        </w:rPr>
        <w:lastRenderedPageBreak/>
        <w:t>D = Coefficient de zone de service, comme suit:</w:t>
      </w:r>
    </w:p>
    <w:p w:rsidR="00610AD5" w:rsidRPr="00610AD5" w:rsidRDefault="00610AD5" w:rsidP="00610AD5">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textAlignment w:val="auto"/>
        <w:rPr>
          <w:b/>
          <w:lang w:val="en-US"/>
        </w:rPr>
      </w:pPr>
      <w:r w:rsidRPr="00610AD5">
        <w:rPr>
          <w:b/>
          <w:lang w:val="en-US"/>
        </w:rPr>
        <w:t xml:space="preserve">Tableau </w:t>
      </w:r>
      <w:r w:rsidR="005D1F2F" w:rsidRPr="00610AD5">
        <w:rPr>
          <w:b/>
          <w:lang w:val="en-US"/>
        </w:rPr>
        <w:fldChar w:fldCharType="begin"/>
      </w:r>
      <w:r w:rsidRPr="00610AD5">
        <w:rPr>
          <w:b/>
          <w:lang w:val="en-US"/>
        </w:rPr>
        <w:instrText xml:space="preserve"> SEQ Figure \* ARABIC </w:instrText>
      </w:r>
      <w:r w:rsidR="005D1F2F" w:rsidRPr="00610AD5">
        <w:rPr>
          <w:b/>
          <w:lang w:val="en-US"/>
        </w:rPr>
        <w:fldChar w:fldCharType="separate"/>
      </w:r>
      <w:r w:rsidR="00F43450">
        <w:rPr>
          <w:b/>
          <w:noProof/>
          <w:lang w:val="en-US"/>
        </w:rPr>
        <w:t>7</w:t>
      </w:r>
      <w:r w:rsidR="005D1F2F" w:rsidRPr="00610AD5">
        <w:rPr>
          <w:b/>
          <w:lang w:val="en-US"/>
        </w:rPr>
        <w:fldChar w:fldCharType="end"/>
      </w:r>
      <w:r w:rsidRPr="00610AD5">
        <w:rPr>
          <w:b/>
          <w:lang w:val="en-US"/>
        </w:rPr>
        <w:t xml:space="preserve"> – </w:t>
      </w:r>
      <w:r w:rsidRPr="00610AD5">
        <w:rPr>
          <w:b/>
          <w:lang w:val="fr-FR"/>
        </w:rPr>
        <w:t>Définition des coefficients de zone de service (D)</w:t>
      </w:r>
    </w:p>
    <w:p w:rsidR="00610AD5" w:rsidRPr="00610AD5" w:rsidRDefault="00610AD5" w:rsidP="00324665">
      <w:pPr>
        <w:pStyle w:val="FigureTitle"/>
      </w:pPr>
    </w:p>
    <w:tbl>
      <w:tblPr>
        <w:tblW w:w="0" w:type="auto"/>
        <w:tblInd w:w="1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3"/>
        <w:gridCol w:w="2807"/>
        <w:gridCol w:w="2628"/>
      </w:tblGrid>
      <w:tr w:rsidR="00610AD5" w:rsidRPr="00610AD5" w:rsidTr="00610AD5">
        <w:trPr>
          <w:trHeight w:val="680"/>
        </w:trPr>
        <w:tc>
          <w:tcPr>
            <w:tcW w:w="1713" w:type="dxa"/>
            <w:shd w:val="clear" w:color="auto" w:fill="E6E6E6"/>
            <w:vAlign w:val="center"/>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lang w:val="fr-FR"/>
              </w:rPr>
            </w:pPr>
            <w:r w:rsidRPr="00610AD5">
              <w:rPr>
                <w:rFonts w:asciiTheme="majorBidi" w:hAnsiTheme="majorBidi" w:cstheme="majorBidi"/>
                <w:b/>
                <w:szCs w:val="22"/>
                <w:lang w:val="fr-FR"/>
              </w:rPr>
              <w:t>Coefficient de zone de service (D)</w:t>
            </w:r>
          </w:p>
        </w:tc>
        <w:tc>
          <w:tcPr>
            <w:tcW w:w="2807" w:type="dxa"/>
            <w:shd w:val="clear" w:color="auto" w:fill="E6E6E6"/>
            <w:vAlign w:val="center"/>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lang w:val="fr-FR"/>
              </w:rPr>
            </w:pPr>
            <w:r w:rsidRPr="00610AD5">
              <w:rPr>
                <w:rFonts w:asciiTheme="majorBidi" w:hAnsiTheme="majorBidi" w:cstheme="majorBidi"/>
                <w:b/>
                <w:szCs w:val="22"/>
                <w:lang w:val="fr-FR"/>
              </w:rPr>
              <w:t>Zone de service</w:t>
            </w:r>
          </w:p>
        </w:tc>
        <w:tc>
          <w:tcPr>
            <w:tcW w:w="2628" w:type="dxa"/>
            <w:shd w:val="clear" w:color="auto" w:fill="E6E6E6"/>
            <w:vAlign w:val="center"/>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
                <w:szCs w:val="22"/>
                <w:lang w:val="fr-FR"/>
              </w:rPr>
            </w:pPr>
            <w:r w:rsidRPr="00610AD5">
              <w:rPr>
                <w:rFonts w:asciiTheme="majorBidi" w:hAnsiTheme="majorBidi" w:cstheme="majorBidi"/>
                <w:b/>
                <w:szCs w:val="22"/>
                <w:lang w:val="fr-FR"/>
              </w:rPr>
              <w:t>Coordonnées</w:t>
            </w:r>
          </w:p>
        </w:tc>
      </w:tr>
      <w:tr w:rsidR="00610AD5" w:rsidRPr="00610AD5" w:rsidTr="00610AD5">
        <w:trPr>
          <w:trHeight w:val="1142"/>
        </w:trPr>
        <w:tc>
          <w:tcPr>
            <w:tcW w:w="1713" w:type="dxa"/>
            <w:vMerge w:val="restart"/>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b/>
                <w:bCs/>
                <w:szCs w:val="22"/>
                <w:lang w:val="fr-FR" w:eastAsia="de-DE"/>
              </w:rPr>
            </w:pPr>
            <w:r w:rsidRPr="00610AD5">
              <w:rPr>
                <w:rFonts w:asciiTheme="majorBidi" w:hAnsiTheme="majorBidi" w:cstheme="majorBidi"/>
                <w:b/>
                <w:bCs/>
                <w:szCs w:val="22"/>
                <w:lang w:val="fr-FR" w:eastAsia="de-DE"/>
              </w:rPr>
              <w:t>1,00 (élevé)</w:t>
            </w:r>
          </w:p>
        </w:tc>
        <w:tc>
          <w:tcPr>
            <w:tcW w:w="2807" w:type="dxa"/>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ajorBidi" w:hAnsiTheme="majorBidi" w:cstheme="majorBidi"/>
                <w:szCs w:val="22"/>
                <w:lang w:val="fr-FR" w:eastAsia="de-DE"/>
              </w:rPr>
            </w:pPr>
            <w:r w:rsidRPr="00610AD5">
              <w:rPr>
                <w:rFonts w:asciiTheme="majorBidi" w:hAnsiTheme="majorBidi" w:cstheme="majorBidi"/>
                <w:szCs w:val="22"/>
                <w:lang w:val="fr-FR" w:eastAsia="de-DE"/>
              </w:rPr>
              <w:t>Ville d'Abu Dhabi et environs</w:t>
            </w:r>
          </w:p>
        </w:tc>
        <w:tc>
          <w:tcPr>
            <w:tcW w:w="2628" w:type="dxa"/>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it-IT"/>
              </w:rPr>
            </w:pPr>
            <w:r w:rsidRPr="00610AD5">
              <w:rPr>
                <w:rFonts w:asciiTheme="majorBidi" w:hAnsiTheme="majorBidi" w:cstheme="majorBidi"/>
                <w:szCs w:val="22"/>
                <w:lang w:val="it-IT"/>
              </w:rPr>
              <w:t>54° 30' E – 24° 45' N</w:t>
            </w:r>
          </w:p>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it-IT"/>
              </w:rPr>
            </w:pPr>
            <w:r w:rsidRPr="00610AD5">
              <w:rPr>
                <w:rFonts w:asciiTheme="majorBidi" w:hAnsiTheme="majorBidi" w:cstheme="majorBidi"/>
                <w:szCs w:val="22"/>
                <w:lang w:val="it-IT"/>
              </w:rPr>
              <w:t>55° 00' E – 24° 45' N</w:t>
            </w:r>
          </w:p>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it-IT"/>
              </w:rPr>
            </w:pPr>
            <w:r w:rsidRPr="00610AD5">
              <w:rPr>
                <w:rFonts w:asciiTheme="majorBidi" w:hAnsiTheme="majorBidi" w:cstheme="majorBidi"/>
                <w:szCs w:val="22"/>
                <w:lang w:val="it-IT"/>
              </w:rPr>
              <w:t>55° 00' E – 24° 05' N</w:t>
            </w:r>
          </w:p>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fr-FR"/>
              </w:rPr>
            </w:pPr>
            <w:r w:rsidRPr="00610AD5">
              <w:rPr>
                <w:rFonts w:asciiTheme="majorBidi" w:hAnsiTheme="majorBidi" w:cstheme="majorBidi"/>
                <w:szCs w:val="22"/>
                <w:lang w:val="fr-FR"/>
              </w:rPr>
              <w:t>54° 00' E – 24° 20' N</w:t>
            </w:r>
          </w:p>
        </w:tc>
      </w:tr>
      <w:tr w:rsidR="00610AD5" w:rsidRPr="00610AD5" w:rsidTr="00610AD5">
        <w:trPr>
          <w:trHeight w:val="1250"/>
        </w:trPr>
        <w:tc>
          <w:tcPr>
            <w:tcW w:w="1713" w:type="dxa"/>
            <w:vMerge/>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fr-FR"/>
              </w:rPr>
            </w:pPr>
          </w:p>
        </w:tc>
        <w:tc>
          <w:tcPr>
            <w:tcW w:w="2807" w:type="dxa"/>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ajorBidi" w:hAnsiTheme="majorBidi" w:cstheme="majorBidi"/>
                <w:szCs w:val="22"/>
                <w:lang w:val="fr-FR"/>
              </w:rPr>
            </w:pPr>
            <w:r w:rsidRPr="00610AD5">
              <w:rPr>
                <w:rFonts w:asciiTheme="majorBidi" w:hAnsiTheme="majorBidi" w:cstheme="majorBidi"/>
                <w:szCs w:val="22"/>
                <w:lang w:val="fr-FR"/>
              </w:rPr>
              <w:t>Villes de Dubaï, Sharjah, Ajman et Umm Al Qaiwain et environs</w:t>
            </w:r>
          </w:p>
        </w:tc>
        <w:tc>
          <w:tcPr>
            <w:tcW w:w="2628" w:type="dxa"/>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it-IT"/>
              </w:rPr>
            </w:pPr>
            <w:r w:rsidRPr="00610AD5">
              <w:rPr>
                <w:rFonts w:asciiTheme="majorBidi" w:hAnsiTheme="majorBidi" w:cstheme="majorBidi"/>
                <w:szCs w:val="22"/>
                <w:lang w:val="it-IT"/>
              </w:rPr>
              <w:t>55° 30' E – 25° 40' N</w:t>
            </w:r>
          </w:p>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it-IT"/>
              </w:rPr>
            </w:pPr>
            <w:r w:rsidRPr="00610AD5">
              <w:rPr>
                <w:rFonts w:asciiTheme="majorBidi" w:hAnsiTheme="majorBidi" w:cstheme="majorBidi"/>
                <w:szCs w:val="22"/>
                <w:lang w:val="it-IT"/>
              </w:rPr>
              <w:t>55° 55' E – 25° 20' N</w:t>
            </w:r>
          </w:p>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it-IT"/>
              </w:rPr>
            </w:pPr>
            <w:r w:rsidRPr="00610AD5">
              <w:rPr>
                <w:rFonts w:asciiTheme="majorBidi" w:hAnsiTheme="majorBidi" w:cstheme="majorBidi"/>
                <w:szCs w:val="22"/>
                <w:lang w:val="it-IT"/>
              </w:rPr>
              <w:t>55° 00' E – 24° 45' N</w:t>
            </w:r>
          </w:p>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fr-FR"/>
              </w:rPr>
            </w:pPr>
            <w:r w:rsidRPr="00610AD5">
              <w:rPr>
                <w:rFonts w:asciiTheme="majorBidi" w:hAnsiTheme="majorBidi" w:cstheme="majorBidi"/>
                <w:szCs w:val="22"/>
                <w:lang w:val="fr-FR"/>
              </w:rPr>
              <w:t>54° 30' E – 24° 45' N</w:t>
            </w:r>
          </w:p>
        </w:tc>
      </w:tr>
      <w:tr w:rsidR="00610AD5" w:rsidRPr="00610AD5" w:rsidTr="00610AD5">
        <w:trPr>
          <w:trHeight w:val="1250"/>
        </w:trPr>
        <w:tc>
          <w:tcPr>
            <w:tcW w:w="1713" w:type="dxa"/>
            <w:vMerge/>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fr-FR"/>
              </w:rPr>
            </w:pPr>
          </w:p>
        </w:tc>
        <w:tc>
          <w:tcPr>
            <w:tcW w:w="2807" w:type="dxa"/>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ajorBidi" w:hAnsiTheme="majorBidi" w:cstheme="majorBidi"/>
                <w:szCs w:val="22"/>
                <w:lang w:val="fr-FR"/>
              </w:rPr>
            </w:pPr>
            <w:r w:rsidRPr="00610AD5">
              <w:rPr>
                <w:rFonts w:asciiTheme="majorBidi" w:hAnsiTheme="majorBidi" w:cstheme="majorBidi"/>
                <w:szCs w:val="22"/>
                <w:lang w:val="fr-FR" w:eastAsia="de-DE"/>
              </w:rPr>
              <w:t>Ville de Al Ain et environs</w:t>
            </w:r>
          </w:p>
        </w:tc>
        <w:tc>
          <w:tcPr>
            <w:tcW w:w="2628" w:type="dxa"/>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it-IT"/>
              </w:rPr>
            </w:pPr>
            <w:r w:rsidRPr="00610AD5">
              <w:rPr>
                <w:rFonts w:asciiTheme="majorBidi" w:hAnsiTheme="majorBidi" w:cstheme="majorBidi"/>
                <w:szCs w:val="22"/>
                <w:lang w:val="it-IT"/>
              </w:rPr>
              <w:t>55° 30' E – 24° 20' N</w:t>
            </w:r>
          </w:p>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it-IT"/>
              </w:rPr>
            </w:pPr>
            <w:r w:rsidRPr="00610AD5">
              <w:rPr>
                <w:rFonts w:asciiTheme="majorBidi" w:hAnsiTheme="majorBidi" w:cstheme="majorBidi"/>
                <w:szCs w:val="22"/>
                <w:lang w:val="it-IT"/>
              </w:rPr>
              <w:t>55° 50' E – 24° 20' N</w:t>
            </w:r>
          </w:p>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it-IT"/>
              </w:rPr>
            </w:pPr>
            <w:r w:rsidRPr="00610AD5">
              <w:rPr>
                <w:rFonts w:asciiTheme="majorBidi" w:hAnsiTheme="majorBidi" w:cstheme="majorBidi"/>
                <w:szCs w:val="22"/>
                <w:lang w:val="it-IT"/>
              </w:rPr>
              <w:t>55° 50' E – 24° 00' N</w:t>
            </w:r>
          </w:p>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fr-FR"/>
              </w:rPr>
            </w:pPr>
            <w:r w:rsidRPr="00610AD5">
              <w:rPr>
                <w:rFonts w:asciiTheme="majorBidi" w:hAnsiTheme="majorBidi" w:cstheme="majorBidi"/>
                <w:szCs w:val="22"/>
                <w:lang w:val="fr-FR"/>
              </w:rPr>
              <w:t>55° 30' E – 24° 00' N</w:t>
            </w:r>
          </w:p>
        </w:tc>
      </w:tr>
      <w:tr w:rsidR="00610AD5" w:rsidRPr="00610AD5" w:rsidTr="00610AD5">
        <w:trPr>
          <w:trHeight w:val="1250"/>
        </w:trPr>
        <w:tc>
          <w:tcPr>
            <w:tcW w:w="1713" w:type="dxa"/>
            <w:vMerge w:val="restart"/>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b/>
                <w:bCs/>
                <w:szCs w:val="22"/>
                <w:lang w:val="fr-FR"/>
              </w:rPr>
            </w:pPr>
            <w:r w:rsidRPr="00610AD5">
              <w:rPr>
                <w:rFonts w:asciiTheme="majorBidi" w:hAnsiTheme="majorBidi" w:cstheme="majorBidi"/>
                <w:b/>
                <w:bCs/>
                <w:szCs w:val="22"/>
                <w:lang w:val="fr-FR"/>
              </w:rPr>
              <w:t>0,75 (moyen)</w:t>
            </w:r>
          </w:p>
        </w:tc>
        <w:tc>
          <w:tcPr>
            <w:tcW w:w="2807" w:type="dxa"/>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ajorBidi" w:hAnsiTheme="majorBidi" w:cstheme="majorBidi"/>
                <w:szCs w:val="22"/>
                <w:lang w:val="fr-FR"/>
              </w:rPr>
            </w:pPr>
            <w:r w:rsidRPr="00610AD5">
              <w:rPr>
                <w:rFonts w:asciiTheme="majorBidi" w:hAnsiTheme="majorBidi" w:cstheme="majorBidi"/>
                <w:szCs w:val="22"/>
                <w:lang w:val="fr-FR"/>
              </w:rPr>
              <w:t xml:space="preserve">Zone entre Abu Dhabi et Al Ain </w:t>
            </w:r>
          </w:p>
        </w:tc>
        <w:tc>
          <w:tcPr>
            <w:tcW w:w="2628" w:type="dxa"/>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it-IT"/>
              </w:rPr>
            </w:pPr>
            <w:r w:rsidRPr="00610AD5">
              <w:rPr>
                <w:rFonts w:asciiTheme="majorBidi" w:hAnsiTheme="majorBidi" w:cstheme="majorBidi"/>
                <w:szCs w:val="22"/>
                <w:lang w:val="it-IT"/>
              </w:rPr>
              <w:t>55° 00' E – 24° 20' N</w:t>
            </w:r>
          </w:p>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it-IT"/>
              </w:rPr>
            </w:pPr>
            <w:r w:rsidRPr="00610AD5">
              <w:rPr>
                <w:rFonts w:asciiTheme="majorBidi" w:hAnsiTheme="majorBidi" w:cstheme="majorBidi"/>
                <w:szCs w:val="22"/>
                <w:lang w:val="it-IT"/>
              </w:rPr>
              <w:t>55° 30' E – 24° 20' N</w:t>
            </w:r>
          </w:p>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it-IT"/>
              </w:rPr>
            </w:pPr>
            <w:r w:rsidRPr="00610AD5">
              <w:rPr>
                <w:rFonts w:asciiTheme="majorBidi" w:hAnsiTheme="majorBidi" w:cstheme="majorBidi"/>
                <w:szCs w:val="22"/>
                <w:lang w:val="it-IT"/>
              </w:rPr>
              <w:t>55° 30' E – 24° 00' N</w:t>
            </w:r>
          </w:p>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fr-FR"/>
              </w:rPr>
            </w:pPr>
            <w:r w:rsidRPr="00610AD5">
              <w:rPr>
                <w:rFonts w:asciiTheme="majorBidi" w:hAnsiTheme="majorBidi" w:cstheme="majorBidi"/>
                <w:szCs w:val="22"/>
                <w:lang w:val="fr-FR"/>
              </w:rPr>
              <w:t>55° 00' E – 24° 05' N</w:t>
            </w:r>
          </w:p>
        </w:tc>
      </w:tr>
      <w:tr w:rsidR="00610AD5" w:rsidRPr="00610AD5" w:rsidTr="00610AD5">
        <w:trPr>
          <w:trHeight w:val="1430"/>
        </w:trPr>
        <w:tc>
          <w:tcPr>
            <w:tcW w:w="1713" w:type="dxa"/>
            <w:vMerge/>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fr-FR"/>
              </w:rPr>
            </w:pPr>
          </w:p>
        </w:tc>
        <w:tc>
          <w:tcPr>
            <w:tcW w:w="2807" w:type="dxa"/>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ajorBidi" w:hAnsiTheme="majorBidi" w:cstheme="majorBidi"/>
                <w:szCs w:val="22"/>
                <w:lang w:val="fr-FR" w:eastAsia="de-DE"/>
              </w:rPr>
            </w:pPr>
            <w:r w:rsidRPr="00610AD5">
              <w:rPr>
                <w:rFonts w:asciiTheme="majorBidi" w:hAnsiTheme="majorBidi" w:cstheme="majorBidi"/>
                <w:szCs w:val="22"/>
                <w:lang w:val="fr-FR" w:eastAsia="de-DE"/>
              </w:rPr>
              <w:t xml:space="preserve">Ville de Fujairah </w:t>
            </w:r>
            <w:r w:rsidRPr="00610AD5">
              <w:rPr>
                <w:rFonts w:asciiTheme="majorBidi" w:hAnsiTheme="majorBidi" w:cstheme="majorBidi"/>
                <w:szCs w:val="22"/>
                <w:lang w:val="fr-FR"/>
              </w:rPr>
              <w:t>et environs</w:t>
            </w:r>
          </w:p>
        </w:tc>
        <w:tc>
          <w:tcPr>
            <w:tcW w:w="2628" w:type="dxa"/>
            <w:vAlign w:val="center"/>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it-IT"/>
              </w:rPr>
            </w:pPr>
            <w:r w:rsidRPr="00610AD5">
              <w:rPr>
                <w:rFonts w:asciiTheme="majorBidi" w:hAnsiTheme="majorBidi" w:cstheme="majorBidi"/>
                <w:szCs w:val="22"/>
                <w:lang w:val="it-IT"/>
              </w:rPr>
              <w:t>56° 15' E – 25° 15' N</w:t>
            </w:r>
          </w:p>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it-IT"/>
              </w:rPr>
            </w:pPr>
            <w:r w:rsidRPr="00610AD5">
              <w:rPr>
                <w:rFonts w:asciiTheme="majorBidi" w:hAnsiTheme="majorBidi" w:cstheme="majorBidi"/>
                <w:szCs w:val="22"/>
                <w:lang w:val="it-IT"/>
              </w:rPr>
              <w:t>56° 25' E – 25° 15' N</w:t>
            </w:r>
          </w:p>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it-IT"/>
              </w:rPr>
            </w:pPr>
            <w:r w:rsidRPr="00610AD5">
              <w:rPr>
                <w:rFonts w:asciiTheme="majorBidi" w:hAnsiTheme="majorBidi" w:cstheme="majorBidi"/>
                <w:szCs w:val="22"/>
                <w:lang w:val="it-IT"/>
              </w:rPr>
              <w:t>56° 25' E – 25° 00' N</w:t>
            </w:r>
          </w:p>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fr-FR"/>
              </w:rPr>
            </w:pPr>
            <w:r w:rsidRPr="00610AD5">
              <w:rPr>
                <w:rFonts w:asciiTheme="majorBidi" w:hAnsiTheme="majorBidi" w:cstheme="majorBidi"/>
                <w:szCs w:val="22"/>
                <w:lang w:val="fr-FR"/>
              </w:rPr>
              <w:t>56° 15' E – 25° 00' N</w:t>
            </w:r>
          </w:p>
        </w:tc>
      </w:tr>
      <w:tr w:rsidR="00610AD5" w:rsidRPr="00610AD5" w:rsidTr="00610AD5">
        <w:trPr>
          <w:trHeight w:val="1250"/>
        </w:trPr>
        <w:tc>
          <w:tcPr>
            <w:tcW w:w="1713" w:type="dxa"/>
            <w:vMerge/>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fr-FR"/>
              </w:rPr>
            </w:pPr>
          </w:p>
        </w:tc>
        <w:tc>
          <w:tcPr>
            <w:tcW w:w="2807" w:type="dxa"/>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ajorBidi" w:hAnsiTheme="majorBidi" w:cstheme="majorBidi"/>
                <w:szCs w:val="22"/>
                <w:lang w:val="fr-FR" w:eastAsia="de-DE"/>
              </w:rPr>
            </w:pPr>
            <w:r w:rsidRPr="00610AD5">
              <w:rPr>
                <w:rFonts w:asciiTheme="majorBidi" w:hAnsiTheme="majorBidi" w:cstheme="majorBidi"/>
                <w:szCs w:val="22"/>
                <w:lang w:val="fr-FR" w:eastAsia="de-DE"/>
              </w:rPr>
              <w:t>Ville de Ras Al Khaimah</w:t>
            </w:r>
            <w:r w:rsidRPr="00610AD5">
              <w:rPr>
                <w:rFonts w:asciiTheme="majorBidi" w:hAnsiTheme="majorBidi" w:cstheme="majorBidi"/>
                <w:szCs w:val="22"/>
                <w:lang w:val="fr-FR"/>
              </w:rPr>
              <w:t xml:space="preserve"> et environs</w:t>
            </w:r>
          </w:p>
        </w:tc>
        <w:tc>
          <w:tcPr>
            <w:tcW w:w="2628" w:type="dxa"/>
            <w:vAlign w:val="center"/>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it-IT" w:eastAsia="de-DE"/>
              </w:rPr>
            </w:pPr>
            <w:r w:rsidRPr="00610AD5">
              <w:rPr>
                <w:rFonts w:asciiTheme="majorBidi" w:hAnsiTheme="majorBidi" w:cstheme="majorBidi"/>
                <w:szCs w:val="22"/>
                <w:lang w:val="it-IT" w:eastAsia="de-DE"/>
              </w:rPr>
              <w:t>55° 50' E – 25° 55' N</w:t>
            </w:r>
          </w:p>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it-IT" w:eastAsia="de-DE"/>
              </w:rPr>
            </w:pPr>
            <w:r w:rsidRPr="00610AD5">
              <w:rPr>
                <w:rFonts w:asciiTheme="majorBidi" w:hAnsiTheme="majorBidi" w:cstheme="majorBidi"/>
                <w:szCs w:val="22"/>
                <w:lang w:val="it-IT" w:eastAsia="de-DE"/>
              </w:rPr>
              <w:t>56° 05' E – 25° 55' N</w:t>
            </w:r>
          </w:p>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it-IT" w:eastAsia="de-DE"/>
              </w:rPr>
            </w:pPr>
            <w:r w:rsidRPr="00610AD5">
              <w:rPr>
                <w:rFonts w:asciiTheme="majorBidi" w:hAnsiTheme="majorBidi" w:cstheme="majorBidi"/>
                <w:szCs w:val="22"/>
                <w:lang w:val="it-IT" w:eastAsia="de-DE"/>
              </w:rPr>
              <w:t>56° 05' E – 25° 40' N</w:t>
            </w:r>
          </w:p>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fr-FR" w:eastAsia="de-DE"/>
              </w:rPr>
            </w:pPr>
            <w:r w:rsidRPr="00610AD5">
              <w:rPr>
                <w:rFonts w:asciiTheme="majorBidi" w:hAnsiTheme="majorBidi" w:cstheme="majorBidi"/>
                <w:szCs w:val="22"/>
                <w:lang w:val="fr-FR" w:eastAsia="de-DE"/>
              </w:rPr>
              <w:t>55° 50' E – 25° 40' N</w:t>
            </w:r>
          </w:p>
        </w:tc>
      </w:tr>
      <w:tr w:rsidR="00610AD5" w:rsidRPr="00610AD5" w:rsidTr="00610AD5">
        <w:trPr>
          <w:trHeight w:val="1070"/>
        </w:trPr>
        <w:tc>
          <w:tcPr>
            <w:tcW w:w="1713" w:type="dxa"/>
            <w:vMerge/>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fr-FR"/>
              </w:rPr>
            </w:pPr>
          </w:p>
        </w:tc>
        <w:tc>
          <w:tcPr>
            <w:tcW w:w="2807" w:type="dxa"/>
            <w:vAlign w:val="center"/>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ajorBidi" w:hAnsiTheme="majorBidi" w:cstheme="majorBidi"/>
                <w:szCs w:val="22"/>
                <w:lang w:val="fr-FR" w:eastAsia="de-DE"/>
              </w:rPr>
            </w:pPr>
            <w:r w:rsidRPr="00610AD5">
              <w:rPr>
                <w:rFonts w:asciiTheme="majorBidi" w:hAnsiTheme="majorBidi" w:cstheme="majorBidi"/>
                <w:szCs w:val="22"/>
                <w:lang w:val="fr-FR" w:eastAsia="de-DE"/>
              </w:rPr>
              <w:t xml:space="preserve">Zone entre </w:t>
            </w:r>
            <w:r w:rsidRPr="00610AD5">
              <w:rPr>
                <w:rFonts w:asciiTheme="majorBidi" w:hAnsiTheme="majorBidi" w:cstheme="majorBidi"/>
                <w:szCs w:val="22"/>
                <w:lang w:val="fr-FR"/>
              </w:rPr>
              <w:t xml:space="preserve">Umm Al Qaiwain et </w:t>
            </w:r>
            <w:r w:rsidRPr="00610AD5">
              <w:rPr>
                <w:rFonts w:asciiTheme="majorBidi" w:hAnsiTheme="majorBidi" w:cstheme="majorBidi"/>
                <w:szCs w:val="22"/>
                <w:lang w:val="fr-FR" w:eastAsia="de-DE"/>
              </w:rPr>
              <w:t>Ras Al Khaimah</w:t>
            </w:r>
            <w:r w:rsidRPr="00610AD5">
              <w:rPr>
                <w:rFonts w:asciiTheme="majorBidi" w:hAnsiTheme="majorBidi" w:cstheme="majorBidi"/>
                <w:szCs w:val="22"/>
                <w:lang w:val="fr-FR"/>
              </w:rPr>
              <w:t xml:space="preserve"> </w:t>
            </w:r>
          </w:p>
        </w:tc>
        <w:tc>
          <w:tcPr>
            <w:tcW w:w="2628" w:type="dxa"/>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it-IT"/>
              </w:rPr>
            </w:pPr>
            <w:r w:rsidRPr="00610AD5">
              <w:rPr>
                <w:rFonts w:asciiTheme="majorBidi" w:hAnsiTheme="majorBidi" w:cstheme="majorBidi"/>
                <w:szCs w:val="22"/>
                <w:lang w:val="it-IT"/>
              </w:rPr>
              <w:t>55° 30' E – 25° 40' N</w:t>
            </w:r>
          </w:p>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it-IT"/>
              </w:rPr>
            </w:pPr>
            <w:r w:rsidRPr="00610AD5">
              <w:rPr>
                <w:rFonts w:asciiTheme="majorBidi" w:hAnsiTheme="majorBidi" w:cstheme="majorBidi"/>
                <w:szCs w:val="22"/>
                <w:lang w:val="it-IT"/>
              </w:rPr>
              <w:t>56° 05' E – 25° 40' N</w:t>
            </w:r>
          </w:p>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it-IT"/>
              </w:rPr>
            </w:pPr>
            <w:r w:rsidRPr="00610AD5">
              <w:rPr>
                <w:rFonts w:asciiTheme="majorBidi" w:hAnsiTheme="majorBidi" w:cstheme="majorBidi"/>
                <w:szCs w:val="22"/>
                <w:lang w:val="it-IT"/>
              </w:rPr>
              <w:t>55° 55' E – 25° 20' N</w:t>
            </w:r>
          </w:p>
        </w:tc>
      </w:tr>
      <w:tr w:rsidR="00610AD5" w:rsidRPr="00610AD5" w:rsidTr="00610AD5">
        <w:trPr>
          <w:trHeight w:val="350"/>
        </w:trPr>
        <w:tc>
          <w:tcPr>
            <w:tcW w:w="1713" w:type="dxa"/>
            <w:vAlign w:val="center"/>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b/>
                <w:bCs/>
                <w:szCs w:val="22"/>
                <w:lang w:val="fr-FR" w:eastAsia="de-DE"/>
              </w:rPr>
            </w:pPr>
            <w:r w:rsidRPr="00610AD5">
              <w:rPr>
                <w:rFonts w:asciiTheme="majorBidi" w:hAnsiTheme="majorBidi" w:cstheme="majorBidi"/>
                <w:b/>
                <w:bCs/>
                <w:szCs w:val="22"/>
                <w:lang w:val="fr-FR" w:eastAsia="de-DE"/>
              </w:rPr>
              <w:t>0,50 (faible)</w:t>
            </w:r>
          </w:p>
        </w:tc>
        <w:tc>
          <w:tcPr>
            <w:tcW w:w="5435" w:type="dxa"/>
            <w:gridSpan w:val="2"/>
            <w:vAlign w:val="center"/>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fr-FR" w:eastAsia="de-DE"/>
              </w:rPr>
            </w:pPr>
            <w:r w:rsidRPr="00610AD5">
              <w:rPr>
                <w:rFonts w:asciiTheme="majorBidi" w:hAnsiTheme="majorBidi" w:cstheme="majorBidi"/>
                <w:szCs w:val="22"/>
                <w:lang w:val="fr-FR" w:eastAsia="de-DE"/>
              </w:rPr>
              <w:t>Toutes les zones restantes</w:t>
            </w:r>
          </w:p>
        </w:tc>
      </w:tr>
    </w:tbl>
    <w:p w:rsidR="00610AD5" w:rsidRPr="00610AD5" w:rsidRDefault="00610AD5" w:rsidP="00F43450">
      <w:pPr>
        <w:pStyle w:val="FigureSource"/>
        <w:keepNext w:val="0"/>
        <w:ind w:left="567" w:hanging="567"/>
      </w:pPr>
    </w:p>
    <w:p w:rsidR="00610AD5" w:rsidRPr="00610AD5" w:rsidRDefault="00610AD5" w:rsidP="00C11A0F">
      <w:pPr>
        <w:pStyle w:val="FigureTitle"/>
        <w:rPr>
          <w:b w:val="0"/>
        </w:rPr>
      </w:pPr>
    </w:p>
    <w:p w:rsidR="00610AD5" w:rsidRPr="00610AD5" w:rsidRDefault="00610AD5" w:rsidP="00610AD5">
      <w:pPr>
        <w:ind w:left="1599" w:hanging="902"/>
        <w:jc w:val="center"/>
        <w:rPr>
          <w:szCs w:val="19"/>
        </w:rPr>
      </w:pPr>
      <w:r w:rsidRPr="00610AD5">
        <w:rPr>
          <w:noProof/>
          <w:szCs w:val="19"/>
          <w:lang w:val="en-US" w:eastAsia="zh-CN"/>
        </w:rPr>
        <w:drawing>
          <wp:inline distT="0" distB="0" distL="0" distR="0">
            <wp:extent cx="4933950" cy="4267200"/>
            <wp:effectExtent l="19050" t="0" r="0" b="0"/>
            <wp:docPr id="6" name="Picture 3" descr="UA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E-TRA"/>
                    <pic:cNvPicPr>
                      <a:picLocks noChangeAspect="1" noChangeArrowheads="1"/>
                    </pic:cNvPicPr>
                  </pic:nvPicPr>
                  <pic:blipFill>
                    <a:blip r:embed="rId26" cstate="print"/>
                    <a:srcRect/>
                    <a:stretch>
                      <a:fillRect/>
                    </a:stretch>
                  </pic:blipFill>
                  <pic:spPr bwMode="auto">
                    <a:xfrm>
                      <a:off x="0" y="0"/>
                      <a:ext cx="4933950" cy="4267200"/>
                    </a:xfrm>
                    <a:prstGeom prst="rect">
                      <a:avLst/>
                    </a:prstGeom>
                    <a:noFill/>
                    <a:ln w="9525">
                      <a:noFill/>
                      <a:miter lim="800000"/>
                      <a:headEnd/>
                      <a:tailEnd/>
                    </a:ln>
                  </pic:spPr>
                </pic:pic>
              </a:graphicData>
            </a:graphic>
          </wp:inline>
        </w:drawing>
      </w:r>
    </w:p>
    <w:p w:rsidR="00610AD5" w:rsidRPr="00610AD5" w:rsidRDefault="00610AD5" w:rsidP="00610AD5">
      <w:pPr>
        <w:keepNext/>
        <w:keepLines/>
        <w:spacing w:before="360" w:after="120"/>
        <w:jc w:val="center"/>
        <w:rPr>
          <w:b/>
          <w:sz w:val="19"/>
          <w:szCs w:val="19"/>
        </w:rPr>
      </w:pPr>
      <w:r w:rsidRPr="00610AD5">
        <w:rPr>
          <w:b/>
          <w:sz w:val="19"/>
          <w:szCs w:val="19"/>
        </w:rPr>
        <w:t>Vue par satellite des Emirats arabes unis, avec indication des zones de service</w:t>
      </w:r>
    </w:p>
    <w:p w:rsidR="00610AD5" w:rsidRPr="00610AD5" w:rsidRDefault="00610AD5" w:rsidP="00610AD5">
      <w:pPr>
        <w:ind w:left="3800" w:hanging="2200"/>
        <w:rPr>
          <w:b/>
          <w:lang w:val="fr-FR"/>
        </w:rPr>
      </w:pPr>
      <w:r w:rsidRPr="00610AD5">
        <w:rPr>
          <w:b/>
          <w:lang w:val="fr-FR"/>
        </w:rPr>
        <w:t>En rouge:</w:t>
      </w:r>
      <w:r w:rsidRPr="00610AD5">
        <w:rPr>
          <w:b/>
          <w:lang w:val="fr-FR"/>
        </w:rPr>
        <w:tab/>
        <w:t>Zone de service avec coefficient D élevé (1,00)</w:t>
      </w:r>
    </w:p>
    <w:p w:rsidR="00610AD5" w:rsidRPr="00610AD5" w:rsidRDefault="00610AD5" w:rsidP="00610AD5">
      <w:pPr>
        <w:ind w:left="3800" w:hanging="2200"/>
        <w:rPr>
          <w:b/>
          <w:lang w:val="fr-FR"/>
        </w:rPr>
      </w:pPr>
      <w:r w:rsidRPr="00610AD5">
        <w:rPr>
          <w:b/>
          <w:lang w:val="fr-FR"/>
        </w:rPr>
        <w:t>En vert:</w:t>
      </w:r>
      <w:r w:rsidRPr="00610AD5">
        <w:rPr>
          <w:b/>
          <w:lang w:val="fr-FR"/>
        </w:rPr>
        <w:tab/>
        <w:t>Zone de service avec coefficient D moyen (0,75)</w:t>
      </w:r>
    </w:p>
    <w:p w:rsidR="00610AD5" w:rsidRPr="00610AD5" w:rsidRDefault="00610AD5" w:rsidP="00610AD5">
      <w:pPr>
        <w:ind w:left="3800" w:hanging="2200"/>
        <w:rPr>
          <w:b/>
          <w:lang w:val="fr-FR"/>
        </w:rPr>
      </w:pPr>
      <w:r w:rsidRPr="00610AD5">
        <w:rPr>
          <w:b/>
          <w:lang w:val="fr-FR"/>
        </w:rPr>
        <w:t>Autres zones:</w:t>
      </w:r>
      <w:r w:rsidRPr="00610AD5">
        <w:rPr>
          <w:b/>
          <w:lang w:val="fr-FR"/>
        </w:rPr>
        <w:tab/>
        <w:t>Zone de service avec coefficient D faible (0,50)</w:t>
      </w:r>
    </w:p>
    <w:p w:rsidR="00610AD5" w:rsidRPr="00610AD5" w:rsidRDefault="00610AD5" w:rsidP="008347A9">
      <w:pPr>
        <w:pStyle w:val="FigureSource"/>
      </w:pPr>
    </w:p>
    <w:p w:rsidR="00610AD5" w:rsidRPr="00610AD5" w:rsidRDefault="00610AD5" w:rsidP="00610AD5">
      <w:pPr>
        <w:ind w:left="1191" w:hanging="1191"/>
        <w:rPr>
          <w:lang w:val="fr-FR"/>
        </w:rPr>
      </w:pPr>
      <w:r w:rsidRPr="00610AD5">
        <w:rPr>
          <w:b/>
          <w:lang w:val="fr-FR"/>
        </w:rPr>
        <w:tab/>
      </w:r>
      <w:r w:rsidRPr="00610AD5">
        <w:rPr>
          <w:b/>
          <w:lang w:val="fr-FR"/>
        </w:rPr>
        <w:tab/>
      </w:r>
      <w:r w:rsidRPr="00610AD5">
        <w:rPr>
          <w:b/>
          <w:bCs/>
          <w:lang w:val="fr-FR"/>
        </w:rPr>
        <w:t>Note 1</w:t>
      </w:r>
      <w:r w:rsidRPr="00610AD5">
        <w:rPr>
          <w:lang w:val="fr-FR"/>
        </w:rPr>
        <w:t>:</w:t>
      </w:r>
      <w:r w:rsidRPr="00610AD5">
        <w:rPr>
          <w:lang w:val="fr-FR"/>
        </w:rPr>
        <w:tab/>
        <w:t xml:space="preserve">En cas d'émission depuis une station située dans une zone de service à coefficient moyen ou faible et à destination (en partie ou en totalité) d'une zone de service à coefficient plus élevé, la station concernée </w:t>
      </w:r>
      <w:r w:rsidRPr="00610AD5">
        <w:rPr>
          <w:szCs w:val="19"/>
        </w:rPr>
        <w:t>sera</w:t>
      </w:r>
      <w:r w:rsidRPr="00610AD5">
        <w:rPr>
          <w:lang w:val="fr-FR"/>
        </w:rPr>
        <w:t xml:space="preserve"> considérée comme appartenant à la zone de service à coefficient plus élevé.</w:t>
      </w:r>
    </w:p>
    <w:p w:rsidR="00610AD5" w:rsidRPr="00610AD5" w:rsidRDefault="00610AD5" w:rsidP="00610AD5">
      <w:pPr>
        <w:ind w:left="1191" w:hanging="1191"/>
        <w:rPr>
          <w:lang w:val="fr-FR"/>
        </w:rPr>
      </w:pPr>
      <w:r w:rsidRPr="00610AD5">
        <w:rPr>
          <w:b/>
          <w:lang w:val="fr-FR"/>
        </w:rPr>
        <w:tab/>
      </w:r>
      <w:r w:rsidRPr="00610AD5">
        <w:rPr>
          <w:b/>
          <w:lang w:val="fr-FR"/>
        </w:rPr>
        <w:tab/>
      </w:r>
      <w:r w:rsidRPr="00610AD5">
        <w:rPr>
          <w:b/>
          <w:bCs/>
          <w:lang w:val="fr-FR"/>
        </w:rPr>
        <w:t>Note 2</w:t>
      </w:r>
      <w:r w:rsidRPr="00610AD5">
        <w:rPr>
          <w:lang w:val="fr-FR"/>
        </w:rPr>
        <w:t>:</w:t>
      </w:r>
      <w:r w:rsidRPr="00610AD5">
        <w:rPr>
          <w:lang w:val="fr-FR"/>
        </w:rPr>
        <w:tab/>
        <w:t>Pour les services de radiodiffusion dans la bande des ondes décamétriques et dans les bandes de fréquences inférieures, le coefficient de zone de service est égal à 1.</w:t>
      </w:r>
    </w:p>
    <w:p w:rsidR="00610AD5" w:rsidRPr="00610AD5" w:rsidRDefault="00610AD5" w:rsidP="00610AD5">
      <w:pPr>
        <w:ind w:left="1191" w:hanging="1191"/>
        <w:rPr>
          <w:b/>
          <w:bCs/>
          <w:lang w:val="fr-FR"/>
        </w:rPr>
      </w:pPr>
      <w:r w:rsidRPr="00610AD5">
        <w:rPr>
          <w:b/>
          <w:lang w:val="fr-FR"/>
        </w:rPr>
        <w:tab/>
      </w:r>
      <w:r w:rsidRPr="00610AD5">
        <w:rPr>
          <w:b/>
          <w:lang w:val="fr-FR"/>
        </w:rPr>
        <w:tab/>
        <w:t>E = Coefficient de hauteur de l'antenne, calculé comme suit:</w:t>
      </w:r>
    </w:p>
    <w:p w:rsidR="00610AD5" w:rsidRPr="00610AD5" w:rsidRDefault="00610AD5" w:rsidP="00610AD5">
      <w:pPr>
        <w:ind w:left="2160" w:hanging="1463"/>
        <w:rPr>
          <w:b/>
          <w:bCs/>
          <w:vertAlign w:val="subscript"/>
          <w:lang w:val="fr-FR"/>
        </w:rPr>
      </w:pPr>
      <w:r w:rsidRPr="00610AD5">
        <w:rPr>
          <w:b/>
          <w:lang w:val="fr-FR"/>
        </w:rPr>
        <w:tab/>
      </w:r>
      <w:r w:rsidRPr="00610AD5">
        <w:rPr>
          <w:b/>
          <w:lang w:val="fr-FR"/>
        </w:rPr>
        <w:tab/>
        <w:t>E = H</w:t>
      </w:r>
      <w:r w:rsidRPr="00610AD5">
        <w:rPr>
          <w:b/>
          <w:vertAlign w:val="subscript"/>
          <w:lang w:val="fr-FR"/>
        </w:rPr>
        <w:t>ASL</w:t>
      </w:r>
      <w:r w:rsidRPr="00610AD5">
        <w:rPr>
          <w:b/>
          <w:lang w:val="fr-FR"/>
        </w:rPr>
        <w:t xml:space="preserve"> + H</w:t>
      </w:r>
      <w:r w:rsidRPr="00610AD5">
        <w:rPr>
          <w:b/>
          <w:vertAlign w:val="subscript"/>
          <w:lang w:val="fr-FR"/>
        </w:rPr>
        <w:t>AGL</w:t>
      </w:r>
    </w:p>
    <w:p w:rsidR="00610AD5" w:rsidRPr="00610AD5" w:rsidRDefault="00610AD5" w:rsidP="00610AD5">
      <w:pPr>
        <w:ind w:left="1191" w:hanging="1191"/>
        <w:rPr>
          <w:lang w:val="fr-FR"/>
        </w:rPr>
      </w:pPr>
      <w:r w:rsidRPr="00610AD5">
        <w:rPr>
          <w:lang w:val="fr-FR"/>
        </w:rPr>
        <w:tab/>
      </w:r>
      <w:r w:rsidRPr="00610AD5">
        <w:rPr>
          <w:lang w:val="fr-FR"/>
        </w:rPr>
        <w:tab/>
      </w:r>
      <w:r w:rsidRPr="00610AD5">
        <w:rPr>
          <w:b/>
          <w:lang w:val="fr-FR"/>
        </w:rPr>
        <w:t>H</w:t>
      </w:r>
      <w:r w:rsidRPr="00610AD5">
        <w:rPr>
          <w:b/>
          <w:vertAlign w:val="subscript"/>
          <w:lang w:val="fr-FR"/>
        </w:rPr>
        <w:t>ASL</w:t>
      </w:r>
      <w:r w:rsidRPr="00610AD5">
        <w:rPr>
          <w:lang w:val="fr-FR"/>
        </w:rPr>
        <w:t xml:space="preserve"> étant la hauteur par rapport au niveau de la mer exprimée en mètres et </w:t>
      </w:r>
      <w:r w:rsidRPr="00610AD5">
        <w:rPr>
          <w:b/>
          <w:lang w:val="fr-FR"/>
        </w:rPr>
        <w:t>H</w:t>
      </w:r>
      <w:r w:rsidRPr="00610AD5">
        <w:rPr>
          <w:b/>
          <w:vertAlign w:val="subscript"/>
          <w:lang w:val="fr-FR"/>
        </w:rPr>
        <w:t>AGL</w:t>
      </w:r>
      <w:r w:rsidRPr="00610AD5">
        <w:rPr>
          <w:lang w:val="fr-FR"/>
        </w:rPr>
        <w:t xml:space="preserve"> étant la hauteur par rapport au niveau du sol, exprimée en mètres.</w:t>
      </w:r>
    </w:p>
    <w:p w:rsidR="00610AD5" w:rsidRPr="00610AD5" w:rsidRDefault="00610AD5" w:rsidP="00610AD5">
      <w:pPr>
        <w:ind w:left="1191" w:hanging="1191"/>
        <w:rPr>
          <w:lang w:val="fr-FR"/>
        </w:rPr>
      </w:pPr>
      <w:r w:rsidRPr="00610AD5">
        <w:rPr>
          <w:lang w:val="fr-FR"/>
        </w:rPr>
        <w:tab/>
      </w:r>
      <w:r w:rsidRPr="00610AD5">
        <w:rPr>
          <w:lang w:val="fr-FR"/>
        </w:rPr>
        <w:tab/>
      </w:r>
      <w:r w:rsidRPr="00610AD5">
        <w:rPr>
          <w:b/>
          <w:lang w:val="fr-FR"/>
        </w:rPr>
        <w:t xml:space="preserve">F = Coefficient de correction </w:t>
      </w:r>
      <w:r w:rsidRPr="00610AD5">
        <w:rPr>
          <w:lang w:val="fr-FR"/>
        </w:rPr>
        <w:t>exprimé comme suit:</w:t>
      </w:r>
    </w:p>
    <w:p w:rsidR="00610AD5" w:rsidRPr="00610AD5" w:rsidRDefault="00610AD5" w:rsidP="00610AD5">
      <w:pPr>
        <w:spacing w:before="80"/>
        <w:ind w:left="1588" w:hanging="1588"/>
        <w:rPr>
          <w:rFonts w:asciiTheme="majorBidi" w:hAnsiTheme="majorBidi" w:cstheme="majorBidi"/>
          <w:szCs w:val="22"/>
        </w:rPr>
      </w:pPr>
      <w:r w:rsidRPr="00610AD5">
        <w:rPr>
          <w:rFonts w:asciiTheme="majorBidi" w:hAnsiTheme="majorBidi" w:cstheme="majorBidi"/>
          <w:szCs w:val="22"/>
        </w:rPr>
        <w:tab/>
      </w:r>
      <w:r w:rsidRPr="00610AD5">
        <w:rPr>
          <w:rFonts w:asciiTheme="majorBidi" w:hAnsiTheme="majorBidi" w:cstheme="majorBidi"/>
          <w:szCs w:val="22"/>
        </w:rPr>
        <w:tab/>
        <w:t>a)</w:t>
      </w:r>
      <w:r w:rsidRPr="00610AD5">
        <w:rPr>
          <w:rFonts w:asciiTheme="majorBidi" w:hAnsiTheme="majorBidi" w:cstheme="majorBidi"/>
          <w:szCs w:val="22"/>
        </w:rPr>
        <w:tab/>
        <w:t>Pour les stations de radiodiffusion publique exploitées sur une base non commerciale, on applique un coefficient de correction (F) de 0,5.</w:t>
      </w:r>
    </w:p>
    <w:p w:rsidR="00610AD5" w:rsidRPr="00610AD5" w:rsidRDefault="00610AD5" w:rsidP="00610AD5">
      <w:pPr>
        <w:spacing w:before="80"/>
        <w:ind w:left="1588" w:hanging="1588"/>
        <w:rPr>
          <w:rFonts w:asciiTheme="majorBidi" w:hAnsiTheme="majorBidi" w:cstheme="majorBidi"/>
          <w:szCs w:val="22"/>
        </w:rPr>
      </w:pPr>
      <w:r w:rsidRPr="00610AD5">
        <w:rPr>
          <w:rFonts w:asciiTheme="majorBidi" w:hAnsiTheme="majorBidi" w:cstheme="majorBidi"/>
          <w:szCs w:val="22"/>
        </w:rPr>
        <w:lastRenderedPageBreak/>
        <w:tab/>
      </w:r>
      <w:r w:rsidRPr="00610AD5">
        <w:rPr>
          <w:rFonts w:asciiTheme="majorBidi" w:hAnsiTheme="majorBidi" w:cstheme="majorBidi"/>
          <w:szCs w:val="22"/>
        </w:rPr>
        <w:tab/>
        <w:t>b)</w:t>
      </w:r>
      <w:r w:rsidRPr="00610AD5">
        <w:rPr>
          <w:rFonts w:asciiTheme="majorBidi" w:hAnsiTheme="majorBidi" w:cstheme="majorBidi"/>
          <w:szCs w:val="22"/>
        </w:rPr>
        <w:tab/>
        <w:t>Pour encourager les nouvelles technologies de radiodiffusion audio et vidéo numérique de Terre, on applique jusqu'à 2015 une réduction de 25% (soit un coefficient de correction de 0,75). Cette réduction ne vaut que pour la période indiquée et peut être accompagnée d'autres conditions énoncées par la TRA.</w:t>
      </w:r>
    </w:p>
    <w:p w:rsidR="00610AD5" w:rsidRPr="00610AD5" w:rsidRDefault="00610AD5" w:rsidP="00610AD5">
      <w:pPr>
        <w:spacing w:before="80"/>
        <w:ind w:left="1588" w:hanging="1588"/>
        <w:rPr>
          <w:rFonts w:asciiTheme="majorBidi" w:hAnsiTheme="majorBidi" w:cstheme="majorBidi"/>
          <w:szCs w:val="22"/>
        </w:rPr>
      </w:pPr>
      <w:r w:rsidRPr="00610AD5">
        <w:rPr>
          <w:rFonts w:asciiTheme="majorBidi" w:hAnsiTheme="majorBidi" w:cstheme="majorBidi"/>
          <w:szCs w:val="22"/>
        </w:rPr>
        <w:tab/>
      </w:r>
      <w:r w:rsidRPr="00610AD5">
        <w:rPr>
          <w:rFonts w:asciiTheme="majorBidi" w:hAnsiTheme="majorBidi" w:cstheme="majorBidi"/>
          <w:szCs w:val="22"/>
        </w:rPr>
        <w:tab/>
        <w:t>c)</w:t>
      </w:r>
      <w:r w:rsidRPr="00610AD5">
        <w:rPr>
          <w:rFonts w:asciiTheme="majorBidi" w:hAnsiTheme="majorBidi" w:cstheme="majorBidi"/>
          <w:szCs w:val="22"/>
        </w:rPr>
        <w:tab/>
        <w:t>Pour toutes les autres assignations, la valeur du coefficient de correction est de 1.</w:t>
      </w:r>
    </w:p>
    <w:p w:rsidR="00610AD5" w:rsidRPr="00610AD5" w:rsidRDefault="00610AD5" w:rsidP="00610AD5">
      <w:pPr>
        <w:keepNext/>
        <w:keepLines/>
        <w:spacing w:before="240"/>
        <w:ind w:left="794" w:hanging="794"/>
        <w:outlineLvl w:val="1"/>
        <w:rPr>
          <w:b/>
        </w:rPr>
      </w:pPr>
      <w:bookmarkStart w:id="549" w:name="_Toc280260049"/>
      <w:bookmarkStart w:id="550" w:name="_Toc280272510"/>
      <w:r w:rsidRPr="00610AD5">
        <w:rPr>
          <w:b/>
        </w:rPr>
        <w:t>26.2</w:t>
      </w:r>
      <w:r w:rsidRPr="00610AD5">
        <w:rPr>
          <w:b/>
        </w:rPr>
        <w:tab/>
        <w:t>Service saisonnier de radiodiffusion sonore en ondes décamétriques</w:t>
      </w:r>
      <w:bookmarkEnd w:id="549"/>
      <w:bookmarkEnd w:id="550"/>
    </w:p>
    <w:p w:rsidR="00610AD5" w:rsidRPr="00610AD5" w:rsidRDefault="00610AD5" w:rsidP="00610AD5">
      <w:pPr>
        <w:rPr>
          <w:lang w:val="fr-FR"/>
        </w:rPr>
      </w:pPr>
      <w:r w:rsidRPr="00610AD5">
        <w:rPr>
          <w:lang w:val="fr-FR"/>
        </w:rPr>
        <w:t xml:space="preserve">Pour ce service, les droits à acquitter sont facturés en fonction du nombre d'émetteurs, le montant annuel pour chaque émetteur étant de 30 000 AED. </w:t>
      </w:r>
    </w:p>
    <w:p w:rsidR="00610AD5" w:rsidRPr="00610AD5" w:rsidRDefault="00610AD5" w:rsidP="00610AD5">
      <w:pPr>
        <w:keepNext/>
        <w:keepLines/>
        <w:spacing w:before="240"/>
        <w:ind w:left="794" w:hanging="794"/>
        <w:outlineLvl w:val="1"/>
        <w:rPr>
          <w:b/>
        </w:rPr>
      </w:pPr>
      <w:bookmarkStart w:id="551" w:name="_Toc280260050"/>
      <w:bookmarkStart w:id="552" w:name="_Toc280272511"/>
      <w:r w:rsidRPr="00610AD5">
        <w:rPr>
          <w:b/>
        </w:rPr>
        <w:t>26.3</w:t>
      </w:r>
      <w:r w:rsidRPr="00610AD5">
        <w:rPr>
          <w:b/>
        </w:rPr>
        <w:tab/>
        <w:t>Radiodiffusion et télévision par satellite</w:t>
      </w:r>
      <w:bookmarkEnd w:id="551"/>
      <w:bookmarkEnd w:id="552"/>
    </w:p>
    <w:p w:rsidR="00610AD5" w:rsidRPr="00610AD5" w:rsidRDefault="00610AD5" w:rsidP="00610AD5">
      <w:pPr>
        <w:rPr>
          <w:lang w:val="fr-FR"/>
        </w:rPr>
      </w:pPr>
      <w:r w:rsidRPr="00610AD5">
        <w:rPr>
          <w:lang w:val="fr-FR"/>
        </w:rPr>
        <w:t>L'établissement de liaisons montantes de radiodiffusion DAB et DVB-SH est facturé à 200 000 AED par unité multiplex, et à 400 000 AED par unité multiplex pour la DVB</w:t>
      </w:r>
      <w:r w:rsidRPr="00610AD5">
        <w:rPr>
          <w:lang w:val="fr-FR"/>
        </w:rPr>
        <w:noBreakHyphen/>
        <w:t>S et la DVB-RCS.</w:t>
      </w:r>
    </w:p>
    <w:p w:rsidR="00610AD5" w:rsidRPr="00610AD5" w:rsidRDefault="00610AD5" w:rsidP="00610AD5">
      <w:pPr>
        <w:rPr>
          <w:lang w:val="fr-FR"/>
        </w:rPr>
      </w:pPr>
      <w:r w:rsidRPr="00610AD5">
        <w:rPr>
          <w:lang w:val="fr-FR"/>
        </w:rPr>
        <w:t>On entend par unité multiplex un canal (signal) avec une largeur de bande appropriée contenant plusieurs programmes associés par multiplexage et compression numériques.</w:t>
      </w:r>
    </w:p>
    <w:p w:rsidR="00610AD5" w:rsidRPr="00610AD5" w:rsidRDefault="00610AD5" w:rsidP="00AB490D">
      <w:pPr>
        <w:pStyle w:val="Arttitle"/>
      </w:pPr>
      <w:bookmarkStart w:id="553" w:name="_Toc225739512"/>
      <w:bookmarkStart w:id="554" w:name="_Toc225739856"/>
      <w:bookmarkStart w:id="555" w:name="_Toc280262384"/>
      <w:bookmarkStart w:id="556" w:name="_Toc280272778"/>
      <w:bookmarkStart w:id="557" w:name="_Toc280272957"/>
      <w:r w:rsidRPr="00610AD5">
        <w:t>Article 27</w:t>
      </w:r>
      <w:bookmarkEnd w:id="553"/>
      <w:bookmarkEnd w:id="554"/>
      <w:r w:rsidRPr="00610AD5">
        <w:br/>
      </w:r>
      <w:r w:rsidRPr="00610AD5">
        <w:br/>
      </w:r>
      <w:bookmarkStart w:id="558" w:name="_Toc225739513"/>
      <w:bookmarkStart w:id="559" w:name="_Toc225739857"/>
      <w:r w:rsidRPr="00610AD5">
        <w:t>Systèmes à courte portée</w:t>
      </w:r>
      <w:bookmarkEnd w:id="555"/>
      <w:bookmarkEnd w:id="556"/>
      <w:bookmarkEnd w:id="557"/>
      <w:bookmarkEnd w:id="558"/>
      <w:bookmarkEnd w:id="559"/>
    </w:p>
    <w:p w:rsidR="00610AD5" w:rsidRPr="00610AD5" w:rsidRDefault="00610AD5" w:rsidP="00867C40">
      <w:pPr>
        <w:pStyle w:val="enumlev1"/>
      </w:pPr>
      <w:r w:rsidRPr="00610AD5">
        <w:t>27.1</w:t>
      </w:r>
      <w:r w:rsidRPr="00610AD5">
        <w:tab/>
        <w:t>Tous les équipements de transmission sans fil pouvant être considérés comme systèmes à courte portée, selon les critères définis par la TRA, sont exemptés du paiement de droits annuels. Ces équipements font l'objet d'une autorisation catégorielle.</w:t>
      </w:r>
    </w:p>
    <w:p w:rsidR="00610AD5" w:rsidRPr="00610AD5" w:rsidRDefault="00610AD5" w:rsidP="00867C40">
      <w:pPr>
        <w:pStyle w:val="enumlev1"/>
      </w:pPr>
      <w:r w:rsidRPr="00610AD5">
        <w:t>27.2</w:t>
      </w:r>
      <w:r w:rsidRPr="00610AD5">
        <w:tab/>
        <w:t>Pour les équipements de transmission de faible puissance prévus pour être utilisés exclusivement à l'intérieur et ayant une puissance apparente rayonnée de moins de 1 W et n'étant pas classés comme systèmes à courte portée, les droits à acquitter sont les suivants:</w:t>
      </w:r>
    </w:p>
    <w:p w:rsidR="00610AD5" w:rsidRPr="00610AD5" w:rsidRDefault="00610AD5" w:rsidP="00867C40">
      <w:pPr>
        <w:pStyle w:val="enumlev1"/>
      </w:pPr>
    </w:p>
    <w:p w:rsidR="00610AD5" w:rsidRPr="00610AD5" w:rsidRDefault="00610AD5" w:rsidP="00610AD5">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textAlignment w:val="auto"/>
        <w:rPr>
          <w:b/>
          <w:lang w:val="en-US"/>
        </w:rPr>
      </w:pPr>
      <w:r w:rsidRPr="00610AD5">
        <w:rPr>
          <w:b/>
          <w:lang w:val="en-US"/>
        </w:rPr>
        <w:t xml:space="preserve">Tableau </w:t>
      </w:r>
      <w:r w:rsidR="005D1F2F" w:rsidRPr="00610AD5">
        <w:rPr>
          <w:b/>
          <w:lang w:val="en-US"/>
        </w:rPr>
        <w:fldChar w:fldCharType="begin"/>
      </w:r>
      <w:r w:rsidRPr="00610AD5">
        <w:rPr>
          <w:b/>
          <w:lang w:val="en-US"/>
        </w:rPr>
        <w:instrText xml:space="preserve"> SEQ Figure \* ARABIC </w:instrText>
      </w:r>
      <w:r w:rsidR="005D1F2F" w:rsidRPr="00610AD5">
        <w:rPr>
          <w:b/>
          <w:lang w:val="en-US"/>
        </w:rPr>
        <w:fldChar w:fldCharType="separate"/>
      </w:r>
      <w:r w:rsidR="00F43450">
        <w:rPr>
          <w:b/>
          <w:noProof/>
          <w:lang w:val="en-US"/>
        </w:rPr>
        <w:t>8</w:t>
      </w:r>
      <w:r w:rsidR="005D1F2F" w:rsidRPr="00610AD5">
        <w:rPr>
          <w:b/>
          <w:lang w:val="en-US"/>
        </w:rPr>
        <w:fldChar w:fldCharType="end"/>
      </w:r>
      <w:r w:rsidRPr="00610AD5">
        <w:rPr>
          <w:b/>
          <w:lang w:val="en-US"/>
        </w:rPr>
        <w:t xml:space="preserve"> – </w:t>
      </w:r>
      <w:r w:rsidRPr="00610AD5">
        <w:rPr>
          <w:b/>
          <w:lang w:val="fr-FR"/>
        </w:rPr>
        <w:t>Montant annuel des droits à acquitter pour les équipements à faible puissance</w:t>
      </w:r>
    </w:p>
    <w:p w:rsidR="00610AD5" w:rsidRPr="00610AD5" w:rsidRDefault="00610AD5" w:rsidP="00C11A0F">
      <w:pPr>
        <w:pStyle w:val="FigureTitl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0"/>
        <w:gridCol w:w="2272"/>
      </w:tblGrid>
      <w:tr w:rsidR="00610AD5" w:rsidRPr="00610AD5" w:rsidTr="00610AD5">
        <w:trPr>
          <w:jc w:val="center"/>
        </w:trPr>
        <w:tc>
          <w:tcPr>
            <w:tcW w:w="2470" w:type="dxa"/>
            <w:shd w:val="clear" w:color="auto" w:fill="E6E6E6"/>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center"/>
              <w:rPr>
                <w:rFonts w:asciiTheme="majorBidi" w:hAnsiTheme="majorBidi" w:cstheme="majorBidi"/>
                <w:b/>
                <w:szCs w:val="22"/>
              </w:rPr>
            </w:pPr>
            <w:r w:rsidRPr="00610AD5">
              <w:rPr>
                <w:rFonts w:asciiTheme="majorBidi" w:hAnsiTheme="majorBidi" w:cstheme="majorBidi"/>
                <w:b/>
                <w:szCs w:val="22"/>
              </w:rPr>
              <w:t>Puissance émise</w:t>
            </w:r>
          </w:p>
        </w:tc>
        <w:tc>
          <w:tcPr>
            <w:tcW w:w="2272" w:type="dxa"/>
            <w:shd w:val="clear" w:color="auto" w:fill="E6E6E6"/>
          </w:tcPr>
          <w:p w:rsidR="00610AD5" w:rsidRPr="00610AD5" w:rsidRDefault="00610AD5" w:rsidP="00610A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120"/>
              <w:jc w:val="center"/>
              <w:rPr>
                <w:rFonts w:asciiTheme="majorBidi" w:hAnsiTheme="majorBidi" w:cstheme="majorBidi"/>
                <w:b/>
                <w:szCs w:val="22"/>
              </w:rPr>
            </w:pPr>
            <w:r w:rsidRPr="00610AD5">
              <w:rPr>
                <w:rFonts w:asciiTheme="majorBidi" w:hAnsiTheme="majorBidi" w:cstheme="majorBidi"/>
                <w:b/>
                <w:szCs w:val="22"/>
              </w:rPr>
              <w:t>Droits annuels</w:t>
            </w:r>
          </w:p>
        </w:tc>
      </w:tr>
      <w:tr w:rsidR="00610AD5" w:rsidRPr="00610AD5" w:rsidTr="00610AD5">
        <w:trPr>
          <w:trHeight w:hRule="exact" w:val="340"/>
          <w:jc w:val="center"/>
        </w:trPr>
        <w:tc>
          <w:tcPr>
            <w:tcW w:w="2470" w:type="dxa"/>
            <w:vAlign w:val="center"/>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fr-FR"/>
              </w:rPr>
            </w:pPr>
            <w:r w:rsidRPr="00610AD5">
              <w:rPr>
                <w:rFonts w:asciiTheme="majorBidi" w:hAnsiTheme="majorBidi" w:cstheme="majorBidi"/>
                <w:szCs w:val="22"/>
                <w:lang w:val="fr-FR"/>
              </w:rPr>
              <w:t>Jusqu'à 10 mW</w:t>
            </w:r>
          </w:p>
        </w:tc>
        <w:tc>
          <w:tcPr>
            <w:tcW w:w="2272" w:type="dxa"/>
            <w:vAlign w:val="center"/>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lang w:val="fr-FR"/>
              </w:rPr>
            </w:pPr>
            <w:r w:rsidRPr="00610AD5">
              <w:rPr>
                <w:rFonts w:asciiTheme="majorBidi" w:hAnsiTheme="majorBidi" w:cstheme="majorBidi"/>
                <w:szCs w:val="22"/>
                <w:lang w:val="fr-FR"/>
              </w:rPr>
              <w:t>100 AED</w:t>
            </w:r>
          </w:p>
        </w:tc>
      </w:tr>
      <w:tr w:rsidR="00610AD5" w:rsidRPr="00610AD5" w:rsidTr="00610AD5">
        <w:trPr>
          <w:trHeight w:hRule="exact" w:val="340"/>
          <w:jc w:val="center"/>
        </w:trPr>
        <w:tc>
          <w:tcPr>
            <w:tcW w:w="2470" w:type="dxa"/>
            <w:vAlign w:val="center"/>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fr-FR"/>
              </w:rPr>
            </w:pPr>
            <w:r w:rsidRPr="00610AD5">
              <w:rPr>
                <w:rFonts w:asciiTheme="majorBidi" w:hAnsiTheme="majorBidi" w:cstheme="majorBidi"/>
                <w:szCs w:val="22"/>
                <w:lang w:val="fr-FR"/>
              </w:rPr>
              <w:t>De 10 mW à 100 mW</w:t>
            </w:r>
          </w:p>
        </w:tc>
        <w:tc>
          <w:tcPr>
            <w:tcW w:w="2272" w:type="dxa"/>
            <w:vAlign w:val="center"/>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lang w:val="fr-FR"/>
              </w:rPr>
            </w:pPr>
            <w:r w:rsidRPr="00610AD5">
              <w:rPr>
                <w:rFonts w:asciiTheme="majorBidi" w:hAnsiTheme="majorBidi" w:cstheme="majorBidi"/>
                <w:szCs w:val="22"/>
                <w:lang w:val="fr-FR"/>
              </w:rPr>
              <w:t>200 AED</w:t>
            </w:r>
          </w:p>
        </w:tc>
      </w:tr>
      <w:tr w:rsidR="00610AD5" w:rsidRPr="00610AD5" w:rsidTr="00610AD5">
        <w:trPr>
          <w:trHeight w:hRule="exact" w:val="340"/>
          <w:jc w:val="center"/>
        </w:trPr>
        <w:tc>
          <w:tcPr>
            <w:tcW w:w="2470" w:type="dxa"/>
            <w:vAlign w:val="center"/>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ajorBidi" w:hAnsiTheme="majorBidi" w:cstheme="majorBidi"/>
                <w:szCs w:val="22"/>
                <w:lang w:val="fr-FR"/>
              </w:rPr>
            </w:pPr>
            <w:r w:rsidRPr="00610AD5">
              <w:rPr>
                <w:rFonts w:asciiTheme="majorBidi" w:hAnsiTheme="majorBidi" w:cstheme="majorBidi"/>
                <w:szCs w:val="22"/>
                <w:lang w:val="fr-FR"/>
              </w:rPr>
              <w:t>De 100 mW à 1 W</w:t>
            </w:r>
          </w:p>
        </w:tc>
        <w:tc>
          <w:tcPr>
            <w:tcW w:w="2272" w:type="dxa"/>
            <w:vAlign w:val="center"/>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ajorBidi" w:hAnsiTheme="majorBidi" w:cstheme="majorBidi"/>
                <w:szCs w:val="22"/>
                <w:lang w:val="fr-FR"/>
              </w:rPr>
            </w:pPr>
            <w:r w:rsidRPr="00610AD5">
              <w:rPr>
                <w:rFonts w:asciiTheme="majorBidi" w:hAnsiTheme="majorBidi" w:cstheme="majorBidi"/>
                <w:szCs w:val="22"/>
                <w:lang w:val="fr-FR"/>
              </w:rPr>
              <w:t>400 AED</w:t>
            </w:r>
          </w:p>
        </w:tc>
      </w:tr>
    </w:tbl>
    <w:p w:rsidR="00610AD5" w:rsidRPr="00610AD5" w:rsidRDefault="00610AD5" w:rsidP="008347A9">
      <w:pPr>
        <w:pStyle w:val="FigureSource"/>
      </w:pPr>
    </w:p>
    <w:p w:rsidR="00610AD5" w:rsidRPr="00610AD5" w:rsidRDefault="00610AD5" w:rsidP="00610AD5">
      <w:pPr>
        <w:spacing w:before="80"/>
        <w:ind w:left="794" w:hanging="794"/>
        <w:rPr>
          <w:rFonts w:asciiTheme="majorBidi" w:hAnsiTheme="majorBidi" w:cstheme="majorBidi"/>
          <w:szCs w:val="22"/>
        </w:rPr>
      </w:pPr>
    </w:p>
    <w:p w:rsidR="00610AD5" w:rsidRPr="00610AD5" w:rsidRDefault="00610AD5" w:rsidP="00AB490D">
      <w:pPr>
        <w:pStyle w:val="Arttitle"/>
      </w:pPr>
      <w:bookmarkStart w:id="560" w:name="_Toc280262385"/>
      <w:bookmarkStart w:id="561" w:name="_Toc280272779"/>
      <w:bookmarkStart w:id="562" w:name="_Toc280272958"/>
      <w:r w:rsidRPr="00610AD5">
        <w:t>Article 28</w:t>
      </w:r>
      <w:r w:rsidRPr="00610AD5">
        <w:br/>
      </w:r>
      <w:r w:rsidRPr="00610AD5">
        <w:br/>
      </w:r>
      <w:bookmarkStart w:id="563" w:name="_Toc225739858"/>
      <w:r w:rsidRPr="00610AD5">
        <w:t>Fréquences à utiliser en cas d'urgence et de catastrophe</w:t>
      </w:r>
      <w:bookmarkEnd w:id="560"/>
      <w:bookmarkEnd w:id="561"/>
      <w:bookmarkEnd w:id="562"/>
      <w:bookmarkEnd w:id="563"/>
    </w:p>
    <w:p w:rsidR="00610AD5" w:rsidRPr="00610AD5" w:rsidRDefault="00610AD5" w:rsidP="00610AD5">
      <w:pPr>
        <w:rPr>
          <w:lang w:val="fr-FR"/>
        </w:rPr>
      </w:pPr>
      <w:r w:rsidRPr="00610AD5">
        <w:rPr>
          <w:lang w:val="fr-FR"/>
        </w:rPr>
        <w:t xml:space="preserve">L'utilisation de toutes les fréquences identifiées dans le Plan national des fréquences et dans le Tableau national d'attribution des bandes de fréquences comme utilisées pour les secours d'urgence, les appels de détresse et la sécurité de la vie humaine est exempte de droits. Tous les équipements de transmission sans fil fabriqués exclusivement pour assurer la sécurité de la vie humaine et agréés par le </w:t>
      </w:r>
      <w:r w:rsidRPr="00610AD5">
        <w:rPr>
          <w:szCs w:val="24"/>
          <w:lang w:val="fr-FR"/>
        </w:rPr>
        <w:t>Directeur</w:t>
      </w:r>
      <w:r w:rsidRPr="00610AD5">
        <w:rPr>
          <w:lang w:val="fr-FR"/>
        </w:rPr>
        <w:t xml:space="preserve"> général de la TRA comme relevant de cette catégorie sont exempts de droits. </w:t>
      </w:r>
    </w:p>
    <w:p w:rsidR="00610AD5" w:rsidRPr="00610AD5" w:rsidRDefault="00610AD5" w:rsidP="00AB490D">
      <w:pPr>
        <w:pStyle w:val="Arttitle"/>
      </w:pPr>
      <w:bookmarkStart w:id="564" w:name="_Toc225739514"/>
      <w:bookmarkStart w:id="565" w:name="_Toc225739859"/>
      <w:bookmarkStart w:id="566" w:name="_Toc280262386"/>
      <w:bookmarkStart w:id="567" w:name="_Toc280272780"/>
      <w:bookmarkStart w:id="568" w:name="_Toc280272959"/>
      <w:r w:rsidRPr="00610AD5">
        <w:lastRenderedPageBreak/>
        <w:t>Article 29</w:t>
      </w:r>
      <w:bookmarkEnd w:id="564"/>
      <w:bookmarkEnd w:id="565"/>
      <w:r w:rsidRPr="00610AD5">
        <w:br/>
      </w:r>
      <w:r w:rsidRPr="00610AD5">
        <w:br/>
      </w:r>
      <w:bookmarkStart w:id="569" w:name="_Toc225739515"/>
      <w:bookmarkStart w:id="570" w:name="_Toc225739860"/>
      <w:r w:rsidRPr="00610AD5">
        <w:t>Autorisation temporaire</w:t>
      </w:r>
      <w:bookmarkEnd w:id="566"/>
      <w:bookmarkEnd w:id="567"/>
      <w:bookmarkEnd w:id="568"/>
      <w:bookmarkEnd w:id="569"/>
      <w:bookmarkEnd w:id="570"/>
    </w:p>
    <w:p w:rsidR="00610AD5" w:rsidRPr="00610AD5" w:rsidRDefault="00610AD5" w:rsidP="00610AD5">
      <w:pPr>
        <w:rPr>
          <w:lang w:val="fr-FR"/>
        </w:rPr>
      </w:pPr>
      <w:r w:rsidRPr="00610AD5">
        <w:rPr>
          <w:lang w:val="fr-FR"/>
        </w:rPr>
        <w:t xml:space="preserve">Le montant des droits pour une autorisation temporaire est calculé au prorata du montant des droits annuels perçus pour les services de radiocommunication. Néanmoins, un montant minimal de 100 AED est perçu dans tous les cas. Les droits d'utilisation temporaire des fréquences radioélectriques s'ajoutent aux droits de traitement des demandes. </w:t>
      </w:r>
    </w:p>
    <w:p w:rsidR="00610AD5" w:rsidRPr="00610AD5" w:rsidRDefault="00610AD5" w:rsidP="00AB490D">
      <w:pPr>
        <w:pStyle w:val="Arttitle"/>
      </w:pPr>
      <w:bookmarkStart w:id="571" w:name="_Toc225739516"/>
      <w:bookmarkStart w:id="572" w:name="_Toc225739861"/>
      <w:bookmarkStart w:id="573" w:name="_Toc280262387"/>
      <w:bookmarkStart w:id="574" w:name="_Toc280272781"/>
      <w:bookmarkStart w:id="575" w:name="_Toc280272960"/>
      <w:r w:rsidRPr="00610AD5">
        <w:t>Article 30</w:t>
      </w:r>
      <w:bookmarkEnd w:id="571"/>
      <w:bookmarkEnd w:id="572"/>
      <w:r w:rsidRPr="00610AD5">
        <w:br/>
      </w:r>
      <w:r w:rsidRPr="00610AD5">
        <w:br/>
      </w:r>
      <w:bookmarkStart w:id="576" w:name="_Toc225739517"/>
      <w:bookmarkStart w:id="577" w:name="_Toc225739862"/>
      <w:r w:rsidRPr="00610AD5">
        <w:t>Autres services de radiocommunication</w:t>
      </w:r>
      <w:bookmarkEnd w:id="573"/>
      <w:bookmarkEnd w:id="574"/>
      <w:bookmarkEnd w:id="575"/>
      <w:bookmarkEnd w:id="576"/>
      <w:bookmarkEnd w:id="577"/>
    </w:p>
    <w:p w:rsidR="00610AD5" w:rsidRPr="00610AD5" w:rsidRDefault="00610AD5" w:rsidP="00610AD5">
      <w:r w:rsidRPr="00610AD5">
        <w:t>Le montant annuel des droits à acquitter pour l'autorisation d'utiliser d'autres services de radiocommunication non mentionnés ci</w:t>
      </w:r>
      <w:r w:rsidRPr="00610AD5">
        <w:noBreakHyphen/>
        <w:t xml:space="preserve">dessus est déterminé par la TRA et son application prend effet dès approbation du Directeur général, avant même que soit publiée une version révisée de la présente directive. </w:t>
      </w:r>
    </w:p>
    <w:p w:rsidR="00610AD5" w:rsidRPr="00610AD5" w:rsidRDefault="00610AD5" w:rsidP="00AB490D">
      <w:pPr>
        <w:pStyle w:val="Arttitle"/>
      </w:pPr>
      <w:bookmarkStart w:id="578" w:name="_Toc225739518"/>
      <w:bookmarkStart w:id="579" w:name="_Toc225739863"/>
      <w:bookmarkStart w:id="580" w:name="_Toc280262388"/>
      <w:bookmarkStart w:id="581" w:name="_Toc280272782"/>
      <w:bookmarkStart w:id="582" w:name="_Toc280272961"/>
      <w:r w:rsidRPr="00610AD5">
        <w:t>Article 31</w:t>
      </w:r>
      <w:bookmarkEnd w:id="578"/>
      <w:bookmarkEnd w:id="579"/>
      <w:r w:rsidRPr="00610AD5">
        <w:br/>
      </w:r>
      <w:r w:rsidRPr="00610AD5">
        <w:br/>
      </w:r>
      <w:bookmarkStart w:id="583" w:name="_Toc225739519"/>
      <w:bookmarkStart w:id="584" w:name="_Toc225739864"/>
      <w:r w:rsidRPr="00610AD5">
        <w:t>Traitement des plaintes pour brouillages et droits applicables</w:t>
      </w:r>
      <w:bookmarkEnd w:id="580"/>
      <w:bookmarkEnd w:id="581"/>
      <w:bookmarkEnd w:id="582"/>
      <w:bookmarkEnd w:id="583"/>
      <w:bookmarkEnd w:id="584"/>
    </w:p>
    <w:p w:rsidR="00610AD5" w:rsidRPr="00610AD5" w:rsidRDefault="00610AD5" w:rsidP="00610AD5">
      <w:r w:rsidRPr="00610AD5">
        <w:t>La TRA détermine le montant des droits à acquitter en cas de plainte pour brouillages ainsi que le montant des droits applicables au cas par cas, sous réserve de l'approbation du Directeur général.</w:t>
      </w:r>
    </w:p>
    <w:p w:rsidR="00610AD5" w:rsidRPr="00610AD5" w:rsidRDefault="00610AD5" w:rsidP="00AB490D">
      <w:pPr>
        <w:pStyle w:val="Arttitle"/>
      </w:pPr>
      <w:bookmarkStart w:id="585" w:name="_Toc225739520"/>
      <w:bookmarkStart w:id="586" w:name="_Toc225739865"/>
      <w:bookmarkStart w:id="587" w:name="_Toc280262389"/>
      <w:bookmarkStart w:id="588" w:name="_Toc280272783"/>
      <w:bookmarkStart w:id="589" w:name="_Toc280272962"/>
      <w:r w:rsidRPr="00610AD5">
        <w:t>Article 32</w:t>
      </w:r>
      <w:bookmarkEnd w:id="585"/>
      <w:bookmarkEnd w:id="586"/>
      <w:r w:rsidRPr="00610AD5">
        <w:br/>
      </w:r>
      <w:r w:rsidRPr="00610AD5">
        <w:br/>
      </w:r>
      <w:bookmarkStart w:id="590" w:name="_Toc225739521"/>
      <w:bookmarkStart w:id="591" w:name="_Toc225739866"/>
      <w:r w:rsidRPr="00610AD5">
        <w:t xml:space="preserve">Droits à acquitter par les ambassades et consulats de pays étrangers </w:t>
      </w:r>
      <w:r w:rsidRPr="00610AD5">
        <w:br/>
        <w:t>et par les missions diplomatiques</w:t>
      </w:r>
      <w:bookmarkEnd w:id="587"/>
      <w:bookmarkEnd w:id="588"/>
      <w:bookmarkEnd w:id="589"/>
      <w:bookmarkEnd w:id="590"/>
      <w:bookmarkEnd w:id="591"/>
    </w:p>
    <w:p w:rsidR="00610AD5" w:rsidRPr="00610AD5" w:rsidRDefault="00610AD5" w:rsidP="00610AD5">
      <w:r w:rsidRPr="00610AD5">
        <w:t>Les ambassades et consulats de pays étrangers ainsi que les missions diplomatiques et les visites d'Etat de hautes personnalités sont exemptés du paiement des droits d'utilisation du spectre, pour autant que la même exemption s'applique aux ambassades, consulats et missions des Emirats arabes unis dans le pays d'origine. Cette exemption s'applique également à la correspondance officielle qui relève de la Convention de Vienne sur les relations diplomatiques et qui passe par le Ministère des affaires étrangères des Emirats arabes unis.</w:t>
      </w:r>
    </w:p>
    <w:p w:rsidR="00610AD5" w:rsidRPr="00610AD5" w:rsidRDefault="00610AD5" w:rsidP="00AB490D">
      <w:pPr>
        <w:pStyle w:val="Arttitle"/>
      </w:pPr>
      <w:bookmarkStart w:id="592" w:name="_Toc225739522"/>
      <w:bookmarkStart w:id="593" w:name="_Toc225739867"/>
      <w:bookmarkStart w:id="594" w:name="_Toc280262390"/>
      <w:bookmarkStart w:id="595" w:name="_Toc280272784"/>
      <w:bookmarkStart w:id="596" w:name="_Toc280272963"/>
      <w:r w:rsidRPr="00610AD5">
        <w:t>Article 33</w:t>
      </w:r>
      <w:bookmarkEnd w:id="592"/>
      <w:bookmarkEnd w:id="593"/>
      <w:r w:rsidRPr="00610AD5">
        <w:br/>
      </w:r>
      <w:r w:rsidRPr="00610AD5">
        <w:br/>
      </w:r>
      <w:bookmarkStart w:id="597" w:name="_Toc225739523"/>
      <w:bookmarkStart w:id="598" w:name="_Toc225739868"/>
      <w:r w:rsidRPr="00610AD5">
        <w:t>Droits à acquitter pour la visite des emplacements</w:t>
      </w:r>
      <w:bookmarkEnd w:id="594"/>
      <w:bookmarkEnd w:id="595"/>
      <w:bookmarkEnd w:id="596"/>
      <w:bookmarkEnd w:id="597"/>
      <w:bookmarkEnd w:id="598"/>
    </w:p>
    <w:p w:rsidR="00610AD5" w:rsidRPr="00610AD5" w:rsidRDefault="00610AD5" w:rsidP="00610AD5">
      <w:r w:rsidRPr="00610AD5">
        <w:t>Les droits suivants sont à acquitter pour la visite des emplacements sous la conduite de l'Autorité responsable, à la demande de l'utilisateur agréé et à des fins d'assistance technique:</w:t>
      </w:r>
    </w:p>
    <w:p w:rsidR="00610AD5" w:rsidRPr="00610AD5" w:rsidRDefault="00610AD5" w:rsidP="00610AD5">
      <w:pPr>
        <w:tabs>
          <w:tab w:val="left" w:pos="567"/>
        </w:tabs>
        <w:ind w:left="1191" w:hanging="1191"/>
        <w:rPr>
          <w:lang w:val="fr-FR"/>
        </w:rPr>
      </w:pPr>
      <w:r w:rsidRPr="00610AD5">
        <w:rPr>
          <w:lang w:val="fr-FR"/>
        </w:rPr>
        <w:t xml:space="preserve">Droits à acquitter pour la visite des emplacements = 5 000 AED par jour et par visite </w:t>
      </w:r>
    </w:p>
    <w:p w:rsidR="00610AD5" w:rsidRPr="00610AD5" w:rsidRDefault="00610AD5" w:rsidP="00AB490D">
      <w:pPr>
        <w:pStyle w:val="Arttitle"/>
      </w:pPr>
      <w:bookmarkStart w:id="599" w:name="_Toc225739524"/>
      <w:bookmarkStart w:id="600" w:name="_Toc225739869"/>
      <w:bookmarkStart w:id="601" w:name="_Toc280262391"/>
      <w:bookmarkStart w:id="602" w:name="_Toc280272785"/>
      <w:bookmarkStart w:id="603" w:name="_Toc280272964"/>
      <w:r w:rsidRPr="00610AD5">
        <w:t>Article 34</w:t>
      </w:r>
      <w:bookmarkEnd w:id="599"/>
      <w:bookmarkEnd w:id="600"/>
      <w:r w:rsidRPr="00610AD5">
        <w:br/>
      </w:r>
      <w:r w:rsidRPr="00610AD5">
        <w:br/>
      </w:r>
      <w:bookmarkStart w:id="604" w:name="_Toc225739525"/>
      <w:bookmarkStart w:id="605" w:name="_Toc225739870"/>
      <w:r w:rsidRPr="00610AD5">
        <w:t>Obligation de paiement</w:t>
      </w:r>
      <w:bookmarkEnd w:id="601"/>
      <w:bookmarkEnd w:id="602"/>
      <w:bookmarkEnd w:id="603"/>
      <w:bookmarkEnd w:id="604"/>
      <w:bookmarkEnd w:id="605"/>
    </w:p>
    <w:p w:rsidR="00610AD5" w:rsidRPr="00610AD5" w:rsidRDefault="00610AD5" w:rsidP="00610AD5">
      <w:r w:rsidRPr="00610AD5">
        <w:t xml:space="preserve">Les droits à acquitter pour l'utilisation du spectre sont payables à l'avance, par tous, sans exception, sauf indication contraire dans la présente directive. Ces droits ne sont pas considérés comme constituant une taxe fédérale ou locale mais comme une redevance perçue pour l'utilisation d'une ressource nationale limitée. Les utilisateurs agréés doivent s'acquitter de la totalité des droits dans les délais impartis, même dans les cas où ils contestent le montant, en totalité ou en partie. En cas de contestation du montant et si un remboursement </w:t>
      </w:r>
      <w:r w:rsidRPr="00610AD5">
        <w:lastRenderedPageBreak/>
        <w:t xml:space="preserve">est dû à l'utilisateur agréé, la somme est versée par la TRA dans un délai d'un mois après règlement du différend. </w:t>
      </w:r>
    </w:p>
    <w:p w:rsidR="00610AD5" w:rsidRPr="00610AD5" w:rsidRDefault="00610AD5" w:rsidP="00AB490D">
      <w:pPr>
        <w:pStyle w:val="Arttitle"/>
      </w:pPr>
      <w:bookmarkStart w:id="606" w:name="_Toc280262392"/>
      <w:bookmarkStart w:id="607" w:name="_Toc280272786"/>
      <w:bookmarkStart w:id="608" w:name="_Toc280272965"/>
      <w:r w:rsidRPr="00610AD5">
        <w:t>Article 35</w:t>
      </w:r>
      <w:r w:rsidRPr="00610AD5">
        <w:br/>
      </w:r>
      <w:r w:rsidRPr="00610AD5">
        <w:br/>
      </w:r>
      <w:bookmarkStart w:id="609" w:name="_Toc225739871"/>
      <w:r w:rsidRPr="00610AD5">
        <w:t>Méthodes de paiement</w:t>
      </w:r>
      <w:bookmarkEnd w:id="606"/>
      <w:bookmarkEnd w:id="607"/>
      <w:bookmarkEnd w:id="608"/>
      <w:bookmarkEnd w:id="609"/>
    </w:p>
    <w:p w:rsidR="00610AD5" w:rsidRPr="00610AD5" w:rsidRDefault="00610AD5" w:rsidP="00610AD5">
      <w:r w:rsidRPr="00610AD5">
        <w:t xml:space="preserve">La TRA ne peut accepter de paiements en espèces et les droits à acquitter pour l'utilisation du spectre et autres droits associés sont payables selon l'une des méthodes suivantes: </w:t>
      </w:r>
    </w:p>
    <w:p w:rsidR="00610AD5" w:rsidRPr="00610AD5" w:rsidRDefault="00610AD5" w:rsidP="00867C40">
      <w:pPr>
        <w:pStyle w:val="enumlev1"/>
        <w:rPr>
          <w:lang w:val="fr-FR"/>
        </w:rPr>
      </w:pPr>
      <w:r w:rsidRPr="00610AD5">
        <w:rPr>
          <w:lang w:val="fr-FR"/>
        </w:rPr>
        <w:t>–</w:t>
      </w:r>
      <w:r w:rsidRPr="00610AD5">
        <w:rPr>
          <w:lang w:val="fr-FR"/>
        </w:rPr>
        <w:tab/>
        <w:t xml:space="preserve">Paiement électronique </w:t>
      </w:r>
    </w:p>
    <w:p w:rsidR="00610AD5" w:rsidRPr="00610AD5" w:rsidRDefault="00610AD5" w:rsidP="00867C40">
      <w:pPr>
        <w:pStyle w:val="enumlev1"/>
        <w:rPr>
          <w:lang w:val="fr-FR"/>
        </w:rPr>
      </w:pPr>
      <w:r w:rsidRPr="00610AD5">
        <w:rPr>
          <w:lang w:val="fr-FR"/>
        </w:rPr>
        <w:t>–</w:t>
      </w:r>
      <w:r w:rsidRPr="00610AD5">
        <w:rPr>
          <w:lang w:val="fr-FR"/>
        </w:rPr>
        <w:tab/>
        <w:t>Chèque</w:t>
      </w:r>
    </w:p>
    <w:p w:rsidR="00610AD5" w:rsidRPr="00610AD5" w:rsidRDefault="00610AD5" w:rsidP="00867C40">
      <w:pPr>
        <w:pStyle w:val="enumlev1"/>
        <w:rPr>
          <w:lang w:val="fr-FR"/>
        </w:rPr>
      </w:pPr>
      <w:r w:rsidRPr="00610AD5">
        <w:rPr>
          <w:lang w:val="fr-FR"/>
        </w:rPr>
        <w:t>–</w:t>
      </w:r>
      <w:r w:rsidRPr="00610AD5">
        <w:rPr>
          <w:lang w:val="fr-FR"/>
        </w:rPr>
        <w:tab/>
        <w:t xml:space="preserve">Virement sur le compte bancaire de la TRA </w:t>
      </w:r>
    </w:p>
    <w:p w:rsidR="00610AD5" w:rsidRPr="00610AD5" w:rsidRDefault="00610AD5" w:rsidP="00AB490D">
      <w:pPr>
        <w:pStyle w:val="Arttitle"/>
      </w:pPr>
      <w:bookmarkStart w:id="610" w:name="_Toc225739526"/>
      <w:bookmarkStart w:id="611" w:name="_Toc225739872"/>
      <w:bookmarkStart w:id="612" w:name="_Toc280262393"/>
      <w:bookmarkStart w:id="613" w:name="_Toc280272787"/>
      <w:bookmarkStart w:id="614" w:name="_Toc280272966"/>
      <w:r w:rsidRPr="00610AD5">
        <w:t>Article 36</w:t>
      </w:r>
      <w:bookmarkEnd w:id="610"/>
      <w:bookmarkEnd w:id="611"/>
      <w:r w:rsidRPr="00610AD5">
        <w:br/>
      </w:r>
      <w:r w:rsidRPr="00610AD5">
        <w:br/>
      </w:r>
      <w:bookmarkStart w:id="615" w:name="_Toc225739527"/>
      <w:bookmarkStart w:id="616" w:name="_Toc225739873"/>
      <w:r w:rsidRPr="00610AD5">
        <w:t>Sanctions</w:t>
      </w:r>
      <w:bookmarkEnd w:id="612"/>
      <w:bookmarkEnd w:id="613"/>
      <w:bookmarkEnd w:id="614"/>
      <w:bookmarkEnd w:id="615"/>
      <w:bookmarkEnd w:id="616"/>
    </w:p>
    <w:p w:rsidR="00610AD5" w:rsidRPr="00610AD5" w:rsidRDefault="00610AD5" w:rsidP="00610AD5">
      <w:r w:rsidRPr="00610AD5">
        <w:t>La TRA est habilitée à sanctionner la non</w:t>
      </w:r>
      <w:r w:rsidRPr="00610AD5">
        <w:noBreakHyphen/>
        <w:t xml:space="preserve">observation des modalités et conditions énoncées dans la présente directive et dans tout autre instrument réglementaire qu'elle publie. Les modalités et circonstances d'exécution de cette sanction, ainsi que son montant, sont précisées dans les articles de la Loi fédérale (Décret N° 3 de 2003), telle qu'elle a été modifiée. </w:t>
      </w:r>
    </w:p>
    <w:p w:rsidR="00610AD5" w:rsidRPr="00610AD5" w:rsidRDefault="00610AD5" w:rsidP="00AB490D">
      <w:pPr>
        <w:pStyle w:val="Arttitle"/>
      </w:pPr>
      <w:bookmarkStart w:id="617" w:name="_Toc225739528"/>
      <w:bookmarkStart w:id="618" w:name="_Toc225739874"/>
      <w:bookmarkStart w:id="619" w:name="_Toc280262394"/>
      <w:bookmarkStart w:id="620" w:name="_Toc280272788"/>
      <w:bookmarkStart w:id="621" w:name="_Toc280272967"/>
      <w:r w:rsidRPr="00610AD5">
        <w:t>Article 37</w:t>
      </w:r>
      <w:bookmarkStart w:id="622" w:name="_Toc225739529"/>
      <w:bookmarkStart w:id="623" w:name="_Toc225739875"/>
      <w:bookmarkEnd w:id="617"/>
      <w:bookmarkEnd w:id="618"/>
      <w:r w:rsidRPr="00610AD5">
        <w:br/>
      </w:r>
      <w:r w:rsidRPr="00610AD5">
        <w:br/>
        <w:t>Mise en application</w:t>
      </w:r>
      <w:bookmarkEnd w:id="619"/>
      <w:bookmarkEnd w:id="620"/>
      <w:bookmarkEnd w:id="621"/>
      <w:bookmarkEnd w:id="622"/>
      <w:bookmarkEnd w:id="623"/>
    </w:p>
    <w:p w:rsidR="00610AD5" w:rsidRPr="00610AD5" w:rsidRDefault="00610AD5" w:rsidP="00610AD5">
      <w:r w:rsidRPr="00610AD5">
        <w:t>Toutes les factures portant sur la période débutant au 1</w:t>
      </w:r>
      <w:r w:rsidRPr="00610AD5">
        <w:rPr>
          <w:vertAlign w:val="superscript"/>
        </w:rPr>
        <w:t>er</w:t>
      </w:r>
      <w:r w:rsidRPr="00610AD5">
        <w:t> janvier 2009 doivent être conformes à la présente directive. Les factures portant sur une période qui débute avant le 1</w:t>
      </w:r>
      <w:r w:rsidRPr="00610AD5">
        <w:rPr>
          <w:vertAlign w:val="superscript"/>
        </w:rPr>
        <w:t>er</w:t>
      </w:r>
      <w:r w:rsidRPr="00610AD5">
        <w:t> janvier 2009 doivent être conformes à la version 1.0 de la directive sur les droits à acquitter pour l'utilisation du spectre.</w:t>
      </w:r>
    </w:p>
    <w:p w:rsidR="00610AD5" w:rsidRPr="00610AD5" w:rsidRDefault="00610AD5" w:rsidP="00610AD5">
      <w:pPr>
        <w:tabs>
          <w:tab w:val="clear" w:pos="794"/>
          <w:tab w:val="clear" w:pos="1191"/>
          <w:tab w:val="clear" w:pos="1588"/>
          <w:tab w:val="clear" w:pos="1985"/>
        </w:tabs>
        <w:overflowPunct/>
        <w:autoSpaceDE/>
        <w:autoSpaceDN/>
        <w:adjustRightInd/>
        <w:spacing w:before="0"/>
        <w:jc w:val="left"/>
        <w:textAlignment w:val="auto"/>
        <w:rPr>
          <w:b/>
        </w:rPr>
      </w:pPr>
      <w:r w:rsidRPr="00610AD5">
        <w:rPr>
          <w:b/>
        </w:rPr>
        <w:br w:type="page"/>
      </w:r>
    </w:p>
    <w:p w:rsidR="00610AD5" w:rsidRPr="00610AD5" w:rsidRDefault="00610AD5" w:rsidP="00AB490D">
      <w:pPr>
        <w:pStyle w:val="AppendixNotitle"/>
        <w:rPr>
          <w:bCs/>
        </w:rPr>
      </w:pPr>
      <w:bookmarkStart w:id="624" w:name="_Toc280260051"/>
      <w:bookmarkStart w:id="625" w:name="_Toc280260905"/>
      <w:bookmarkStart w:id="626" w:name="_Toc280272512"/>
      <w:r w:rsidRPr="00610AD5">
        <w:lastRenderedPageBreak/>
        <w:t>Appendix 2.1 (English)</w:t>
      </w:r>
      <w:r w:rsidRPr="00610AD5">
        <w:br/>
      </w:r>
      <w:r w:rsidRPr="00610AD5">
        <w:br/>
        <w:t>Switzerland</w:t>
      </w:r>
      <w:r w:rsidRPr="00610AD5">
        <w:rPr>
          <w:bCs/>
        </w:rPr>
        <w:br/>
      </w:r>
      <w:r w:rsidRPr="00610AD5">
        <w:t>Financing of spectrum management activities in Switzerland: Abstract</w:t>
      </w:r>
      <w:bookmarkEnd w:id="624"/>
      <w:bookmarkEnd w:id="625"/>
      <w:bookmarkEnd w:id="626"/>
    </w:p>
    <w:p w:rsidR="00610AD5" w:rsidRPr="00610AD5" w:rsidRDefault="00610AD5" w:rsidP="00610AD5"/>
    <w:p w:rsidR="00610AD5" w:rsidRPr="00610AD5" w:rsidRDefault="00610AD5" w:rsidP="00610AD5">
      <w:r w:rsidRPr="00610AD5">
        <w:t>The feature that probably sets apart the Swiss system for financing spectrum management from that of many other administrations is that the funding comes from mixed sources.</w:t>
      </w:r>
    </w:p>
    <w:p w:rsidR="00610AD5" w:rsidRPr="00610AD5" w:rsidRDefault="00610AD5" w:rsidP="00610AD5">
      <w:r w:rsidRPr="00610AD5">
        <w:t>The sources of financing for the state's spectrum management activity can be grouped into two main categories, namely: (i) taxes, which are set without reference to the individual benefit the taxpayer derives from the state's activities, and (ii) fees, whereby services provided to users are billed to the user on the basis of their cost.</w:t>
      </w:r>
    </w:p>
    <w:p w:rsidR="00610AD5" w:rsidRPr="00610AD5" w:rsidRDefault="00610AD5" w:rsidP="00610AD5">
      <w:smartTag w:uri="urn:schemas-microsoft-com:office:smarttags" w:element="place">
        <w:smartTag w:uri="urn:schemas-microsoft-com:office:smarttags" w:element="country-region">
          <w:r w:rsidRPr="00610AD5">
            <w:t>Switzerland</w:t>
          </w:r>
        </w:smartTag>
      </w:smartTag>
      <w:r w:rsidRPr="00610AD5">
        <w:t xml:space="preserve">'s approach to levies for spectrum management is to employ both these types of contributions to the state coffers. </w:t>
      </w:r>
    </w:p>
    <w:p w:rsidR="00610AD5" w:rsidRPr="00610AD5" w:rsidRDefault="00610AD5" w:rsidP="00610AD5">
      <w:r w:rsidRPr="00610AD5">
        <w:t>The first source, income from spectrum utilization charges (which are categorized as taxes, and not fees) is calculated so as to cover at least the balance of spectrum management costs which is not met through income from fees. This does not prevent us from using spectrum pricing as an incentive tool.</w:t>
      </w:r>
    </w:p>
    <w:p w:rsidR="00610AD5" w:rsidRPr="00610AD5" w:rsidRDefault="00610AD5" w:rsidP="00610AD5">
      <w:r w:rsidRPr="00610AD5">
        <w:t xml:space="preserve">The second source is fees. These may be one-time fees, such as, for example, for the award of radiocommunication licences, modification of licences, revocation of licences or detection of interference (costs caused by the interfering party when identified); or periodical fees levied to cover ongoing costs of spectrum management and monitoring activities which do not result from a specific action on the part of the various players but can nevertheless be clearly ascribed to them as immediate beneficiaries. </w:t>
      </w:r>
    </w:p>
    <w:p w:rsidR="00610AD5" w:rsidRPr="00610AD5" w:rsidRDefault="00610AD5" w:rsidP="00610AD5">
      <w:r w:rsidRPr="00610AD5">
        <w:t>With this mixed approach, we are able to cover all spectrum management costs equitably, in line with the law (principle of covering costs) and flexibly.</w:t>
      </w:r>
    </w:p>
    <w:p w:rsidR="00610AD5" w:rsidRPr="00610AD5" w:rsidRDefault="00610AD5" w:rsidP="00610AD5">
      <w:pPr>
        <w:tabs>
          <w:tab w:val="clear" w:pos="794"/>
          <w:tab w:val="clear" w:pos="1191"/>
          <w:tab w:val="clear" w:pos="1588"/>
          <w:tab w:val="clear" w:pos="1985"/>
        </w:tabs>
        <w:overflowPunct/>
        <w:autoSpaceDE/>
        <w:autoSpaceDN/>
        <w:adjustRightInd/>
        <w:spacing w:before="0"/>
        <w:jc w:val="left"/>
        <w:textAlignment w:val="auto"/>
      </w:pPr>
      <w:r w:rsidRPr="00610AD5">
        <w:br w:type="page"/>
      </w:r>
    </w:p>
    <w:p w:rsidR="00610AD5" w:rsidRPr="00610AD5" w:rsidRDefault="00610AD5" w:rsidP="00AB490D">
      <w:pPr>
        <w:pStyle w:val="AppendixNotitle"/>
      </w:pPr>
      <w:bookmarkStart w:id="627" w:name="_Toc280260052"/>
      <w:bookmarkStart w:id="628" w:name="_Toc280260906"/>
      <w:bookmarkStart w:id="629" w:name="_Toc280272513"/>
      <w:r w:rsidRPr="00610AD5">
        <w:lastRenderedPageBreak/>
        <w:t>Appendice 2.1 (Français)</w:t>
      </w:r>
      <w:r w:rsidRPr="00610AD5">
        <w:br/>
      </w:r>
      <w:r w:rsidRPr="00610AD5">
        <w:br/>
        <w:t>Suisse</w:t>
      </w:r>
      <w:r w:rsidRPr="00610AD5">
        <w:br/>
        <w:t>Financement des activités de gestion du spectre en Suisse: Résumé</w:t>
      </w:r>
      <w:bookmarkEnd w:id="627"/>
      <w:bookmarkEnd w:id="628"/>
      <w:bookmarkEnd w:id="629"/>
    </w:p>
    <w:p w:rsidR="00610AD5" w:rsidRPr="00610AD5" w:rsidRDefault="00610AD5" w:rsidP="00610AD5"/>
    <w:p w:rsidR="00610AD5" w:rsidRPr="00610AD5" w:rsidRDefault="00610AD5" w:rsidP="00610AD5">
      <w:pPr>
        <w:rPr>
          <w:lang w:val="fr-FR"/>
        </w:rPr>
      </w:pPr>
      <w:r w:rsidRPr="00610AD5">
        <w:rPr>
          <w:lang w:val="fr-FR"/>
        </w:rPr>
        <w:t>Le point qui distingue sans doute le système suisse de financement de la gestion du spectre de celui de beaucoup d’autres administrations est qu’il provient de sources mixtes.</w:t>
      </w:r>
    </w:p>
    <w:p w:rsidR="00610AD5" w:rsidRPr="00610AD5" w:rsidRDefault="00610AD5" w:rsidP="00610AD5">
      <w:pPr>
        <w:rPr>
          <w:lang w:val="fr-FR"/>
        </w:rPr>
      </w:pPr>
      <w:r w:rsidRPr="00610AD5">
        <w:rPr>
          <w:lang w:val="fr-FR"/>
        </w:rPr>
        <w:t>Les sources de financement de l’activité étatique peuvent être regroupées dans deux groupes principaux que sont (i) les impôts (ou taxes) dont la fixation sans rapport avec le bénéfice individuel que le contribuable retire des activités de l’Etat et (ii) les redevances où les prestations fournies aux usagers leur sont facturés à hauteur de leurs coûts.</w:t>
      </w:r>
    </w:p>
    <w:p w:rsidR="00610AD5" w:rsidRPr="00610AD5" w:rsidRDefault="00610AD5" w:rsidP="00610AD5">
      <w:pPr>
        <w:rPr>
          <w:lang w:val="fr-FR"/>
        </w:rPr>
      </w:pPr>
      <w:r w:rsidRPr="00610AD5">
        <w:rPr>
          <w:lang w:val="fr-FR"/>
        </w:rPr>
        <w:t xml:space="preserve">L’approche de la Suisse concernant les prélèvements dans le domaine de la gestion du spectre est d’avoir recours à ces deux types de contributions au profit de l’État. </w:t>
      </w:r>
    </w:p>
    <w:p w:rsidR="00610AD5" w:rsidRPr="00610AD5" w:rsidRDefault="00610AD5" w:rsidP="00610AD5">
      <w:pPr>
        <w:rPr>
          <w:lang w:val="fr-FR"/>
        </w:rPr>
      </w:pPr>
      <w:r w:rsidRPr="00610AD5">
        <w:rPr>
          <w:lang w:val="fr-FR"/>
        </w:rPr>
        <w:t>Pour une part les revenus provenant de la perception des taxes d’utilisation du spectre (ces dernières sont à qualifier d’impôt – et non de redevances) couvrent d’un point de vue calculatoire au moins le solde des coûts de la gestion du spectre qui ne sont pas couverts par les revenus provenant des redevances. Ceci n’empêche pas d’utiliser la fonction incitative des taxes d’utilisation du spectre (</w:t>
      </w:r>
      <w:r w:rsidRPr="00610AD5">
        <w:rPr>
          <w:i/>
          <w:lang w:val="fr-FR"/>
        </w:rPr>
        <w:t>spectrum pricing</w:t>
      </w:r>
      <w:r w:rsidRPr="00610AD5">
        <w:rPr>
          <w:lang w:val="fr-FR"/>
        </w:rPr>
        <w:t>).</w:t>
      </w:r>
    </w:p>
    <w:p w:rsidR="00610AD5" w:rsidRPr="00610AD5" w:rsidRDefault="00610AD5" w:rsidP="00610AD5">
      <w:pPr>
        <w:rPr>
          <w:lang w:val="fr-FR"/>
        </w:rPr>
      </w:pPr>
      <w:r w:rsidRPr="00610AD5">
        <w:rPr>
          <w:lang w:val="fr-FR"/>
        </w:rPr>
        <w:t>D’autre part sont prélevées des redevances. Certaines sont des redevances uniques, comme par exemple pour les prestations d’octroi de licences de radiocommunication, de modification de licences, de révocation de licences ou de recherche de perturbations (coûts engendrés par le perturbateur lorsqu’il est identifié). D’autres sont des redevances périodiques qui sont perçues pour couvrir les frais courants relatifs aux activités de gestion et le contrôle technique du spectre des fréquences qui ne découlent pas d'une action concrète des différents acteurs mais qui peuvent néanmoins leur être clairement imputées en tant que bénéficiaires médiats.</w:t>
      </w:r>
    </w:p>
    <w:p w:rsidR="00610AD5" w:rsidRPr="00610AD5" w:rsidRDefault="00610AD5" w:rsidP="00610AD5">
      <w:pPr>
        <w:rPr>
          <w:lang w:val="fr-FR"/>
        </w:rPr>
      </w:pPr>
      <w:r w:rsidRPr="00610AD5">
        <w:rPr>
          <w:lang w:val="fr-FR"/>
        </w:rPr>
        <w:t>Cette mixité donne la faculté de couvrir la totalité des coûts afférant à la gestion du spectre avec équité, dans le respect du droit (principe de la couverture des coûts) et avec souplesse.</w:t>
      </w:r>
    </w:p>
    <w:p w:rsidR="00610AD5" w:rsidRPr="00610AD5" w:rsidRDefault="00610AD5" w:rsidP="00610AD5">
      <w:pPr>
        <w:tabs>
          <w:tab w:val="clear" w:pos="794"/>
          <w:tab w:val="clear" w:pos="1191"/>
          <w:tab w:val="clear" w:pos="1588"/>
          <w:tab w:val="clear" w:pos="1985"/>
        </w:tabs>
        <w:overflowPunct/>
        <w:autoSpaceDE/>
        <w:autoSpaceDN/>
        <w:adjustRightInd/>
        <w:spacing w:before="0"/>
        <w:jc w:val="left"/>
        <w:textAlignment w:val="auto"/>
      </w:pPr>
      <w:r w:rsidRPr="00610AD5">
        <w:br w:type="page"/>
      </w:r>
    </w:p>
    <w:p w:rsidR="00610AD5" w:rsidRPr="00610AD5" w:rsidRDefault="00610AD5" w:rsidP="00AB490D">
      <w:pPr>
        <w:pStyle w:val="AppendixNotitle"/>
      </w:pPr>
      <w:bookmarkStart w:id="630" w:name="_Toc280260053"/>
      <w:bookmarkStart w:id="631" w:name="_Toc280260907"/>
      <w:bookmarkStart w:id="632" w:name="_Toc280272514"/>
      <w:r w:rsidRPr="00610AD5">
        <w:lastRenderedPageBreak/>
        <w:t>Appendice 2.2 (Français)</w:t>
      </w:r>
      <w:r w:rsidRPr="00610AD5">
        <w:br/>
      </w:r>
      <w:r w:rsidRPr="00610AD5">
        <w:br/>
        <w:t>Financement des activités de gestion du spectre en Suisse</w:t>
      </w:r>
      <w:bookmarkEnd w:id="630"/>
      <w:bookmarkEnd w:id="631"/>
      <w:bookmarkEnd w:id="632"/>
    </w:p>
    <w:p w:rsidR="00610AD5" w:rsidRPr="00610AD5" w:rsidRDefault="00610AD5" w:rsidP="00610AD5">
      <w:pPr>
        <w:keepNext/>
        <w:keepLines/>
        <w:spacing w:before="360"/>
        <w:ind w:left="794" w:hanging="794"/>
        <w:outlineLvl w:val="0"/>
        <w:rPr>
          <w:b/>
        </w:rPr>
      </w:pPr>
      <w:bookmarkStart w:id="633" w:name="_Toc280260054"/>
      <w:bookmarkStart w:id="634" w:name="_Toc280260908"/>
      <w:bookmarkStart w:id="635" w:name="_Toc280272515"/>
      <w:r w:rsidRPr="00610AD5">
        <w:rPr>
          <w:b/>
        </w:rPr>
        <w:t>1</w:t>
      </w:r>
      <w:r w:rsidRPr="00610AD5">
        <w:rPr>
          <w:b/>
        </w:rPr>
        <w:tab/>
        <w:t>Introduction</w:t>
      </w:r>
      <w:bookmarkEnd w:id="633"/>
      <w:bookmarkEnd w:id="634"/>
      <w:bookmarkEnd w:id="635"/>
    </w:p>
    <w:p w:rsidR="00610AD5" w:rsidRPr="00610AD5" w:rsidRDefault="00610AD5" w:rsidP="00610AD5">
      <w:pPr>
        <w:rPr>
          <w:lang w:val="fr-FR"/>
        </w:rPr>
      </w:pPr>
      <w:r w:rsidRPr="00610AD5">
        <w:rPr>
          <w:lang w:val="fr-FR"/>
        </w:rPr>
        <w:t>Assurer une gestion durable et une utilisation efficace du spectre requiert la mise à disposition de moyens financiers conséquents par l’État. En particulier, la masse salariale du personnel employé par une autorité de gestion du spectre possède une très grande importance tant par sa montant total que par la nécessité d’assurer son attractivité pour un personnel compétent et engagé par le biais des salaires offerts. En outre, les outils de planification et les équipements destinés à la surveillance du spectre nécessitent de lourds investissements. Le mode de financement des activités étatiques de gestion du spectre ainsi que la hauteur de ce financement sont donc cruciaux.</w:t>
      </w:r>
    </w:p>
    <w:p w:rsidR="00610AD5" w:rsidRPr="00610AD5" w:rsidRDefault="00610AD5" w:rsidP="00610AD5">
      <w:pPr>
        <w:rPr>
          <w:lang w:val="fr-FR"/>
        </w:rPr>
      </w:pPr>
      <w:r w:rsidRPr="00610AD5">
        <w:rPr>
          <w:lang w:val="fr-FR"/>
        </w:rPr>
        <w:t xml:space="preserve">Le présent document a pour objectif de présenter la méthodologie appliquée en Suisse afin de pourvoir aux besoins financiers de la gestion nationale du spectre. A première lecture le système présenté paraîtra complexe. Ceci est en bonne partie dû au cadre juridique très contraignant découlant du droit général des contributions publiques. Ce cadre a le but très louable d'assurer la transparence des contributions payées à l'Etat. En cas de litige le contrôle postérieur par le pouvoir judiciaire en est également facilité. Le point qui distingue sans doute le système suisse de financement de la gestion du spectre de celui de beaucoup d’autres administrations est qu’il provient de sources </w:t>
      </w:r>
      <w:r w:rsidRPr="00610AD5">
        <w:rPr>
          <w:i/>
          <w:lang w:val="fr-FR"/>
        </w:rPr>
        <w:t>mixtes</w:t>
      </w:r>
      <w:r w:rsidRPr="00610AD5">
        <w:rPr>
          <w:lang w:val="fr-FR"/>
        </w:rPr>
        <w:t>.</w:t>
      </w:r>
    </w:p>
    <w:p w:rsidR="00610AD5" w:rsidRPr="00610AD5" w:rsidRDefault="00610AD5" w:rsidP="00610AD5">
      <w:pPr>
        <w:keepNext/>
        <w:keepLines/>
        <w:spacing w:before="360"/>
        <w:ind w:left="794" w:hanging="794"/>
        <w:outlineLvl w:val="0"/>
        <w:rPr>
          <w:b/>
          <w:lang w:val="fr-FR"/>
        </w:rPr>
      </w:pPr>
      <w:bookmarkStart w:id="636" w:name="_Toc280260055"/>
      <w:bookmarkStart w:id="637" w:name="_Toc280260909"/>
      <w:bookmarkStart w:id="638" w:name="_Toc280272516"/>
      <w:r w:rsidRPr="00610AD5">
        <w:rPr>
          <w:b/>
          <w:lang w:val="fr-FR"/>
        </w:rPr>
        <w:t>2</w:t>
      </w:r>
      <w:r w:rsidRPr="00610AD5">
        <w:rPr>
          <w:b/>
          <w:lang w:val="fr-FR"/>
        </w:rPr>
        <w:tab/>
        <w:t xml:space="preserve">Considérations </w:t>
      </w:r>
      <w:r w:rsidRPr="00610AD5">
        <w:rPr>
          <w:b/>
        </w:rPr>
        <w:t>générales</w:t>
      </w:r>
      <w:r w:rsidRPr="00610AD5">
        <w:rPr>
          <w:b/>
          <w:lang w:val="fr-FR"/>
        </w:rPr>
        <w:t xml:space="preserve"> sur le mode de financement de l’activité étatique</w:t>
      </w:r>
      <w:bookmarkEnd w:id="636"/>
      <w:bookmarkEnd w:id="637"/>
      <w:bookmarkEnd w:id="638"/>
    </w:p>
    <w:p w:rsidR="00610AD5" w:rsidRPr="00610AD5" w:rsidRDefault="00610AD5" w:rsidP="00610AD5">
      <w:pPr>
        <w:rPr>
          <w:lang w:val="fr-FR"/>
        </w:rPr>
      </w:pPr>
      <w:r w:rsidRPr="00610AD5">
        <w:rPr>
          <w:lang w:val="fr-FR"/>
        </w:rPr>
        <w:t>Il existe un nombre considérable de modèles pour assurer le financement d’une activité administrative. Cependant, sur le plan de la théorie juridique les sources de financement peuvent être regroupées dans deux groupes principaux : (i) l’</w:t>
      </w:r>
      <w:r w:rsidRPr="00610AD5">
        <w:rPr>
          <w:b/>
          <w:lang w:val="fr-FR"/>
        </w:rPr>
        <w:t>impôt</w:t>
      </w:r>
      <w:r w:rsidRPr="00610AD5">
        <w:rPr>
          <w:bCs/>
          <w:position w:val="6"/>
          <w:sz w:val="16"/>
          <w:lang w:val="fr-FR"/>
        </w:rPr>
        <w:footnoteReference w:customMarkFollows="1" w:id="1"/>
        <w:t>1</w:t>
      </w:r>
      <w:r w:rsidRPr="00610AD5">
        <w:rPr>
          <w:lang w:val="fr-FR"/>
        </w:rPr>
        <w:t xml:space="preserve"> qui fait supporter le poids de la dépense à l’ensemble ou à des groupes définis de contribuables et (ii) les </w:t>
      </w:r>
      <w:r w:rsidRPr="00610AD5">
        <w:rPr>
          <w:b/>
          <w:lang w:val="fr-FR"/>
        </w:rPr>
        <w:t>redevances</w:t>
      </w:r>
      <w:r w:rsidRPr="00610AD5">
        <w:rPr>
          <w:bCs/>
          <w:position w:val="6"/>
          <w:sz w:val="16"/>
          <w:lang w:val="fr-FR"/>
        </w:rPr>
        <w:footnoteReference w:customMarkFollows="1" w:id="2"/>
        <w:t>2</w:t>
      </w:r>
      <w:r w:rsidRPr="00610AD5">
        <w:rPr>
          <w:lang w:val="fr-FR"/>
        </w:rPr>
        <w:t xml:space="preserve"> qui pèsent sur les seuls usagers d’un service de l’administration. Naturellement, ces deux instruments de financement font l’objet de nombreuses variantes dans la pratique. La qualification juridique du mode de financement par les administrés</w:t>
      </w:r>
      <w:r w:rsidRPr="00610AD5">
        <w:rPr>
          <w:position w:val="6"/>
          <w:sz w:val="16"/>
          <w:lang w:val="fr-FR"/>
        </w:rPr>
        <w:footnoteReference w:customMarkFollows="1" w:id="3"/>
        <w:t>3</w:t>
      </w:r>
      <w:r w:rsidRPr="00610AD5">
        <w:rPr>
          <w:lang w:val="fr-FR"/>
        </w:rPr>
        <w:t xml:space="preserve"> des activités étatiques peut néanmoins toujours être ramenée aux deux sources que sont l’impôt et la redevance. D’une perspective un peu différente, la qualification du financement d’une activité étatique peut être faite en déterminant le mode de transfert des coûts de cette dernière aux bénéficiaires: la gratuité totale (par exemple pour certains services publics essentiels comme la police ou l’éducation) est généralement le signe d’un financement par le biais de l’impôt alors que l’imputation individuelle des coûts (par exemple pour l’eau ou l’électricité) va de pair avec le prélèvement d’une redevance. Dans la pratique une combinaison des deux assure le financement d’une activité.</w:t>
      </w:r>
    </w:p>
    <w:p w:rsidR="00610AD5" w:rsidRPr="00610AD5" w:rsidRDefault="00610AD5" w:rsidP="00610AD5">
      <w:pPr>
        <w:keepNext/>
        <w:keepLines/>
        <w:spacing w:before="240"/>
        <w:ind w:left="794" w:hanging="794"/>
        <w:outlineLvl w:val="1"/>
        <w:rPr>
          <w:b/>
          <w:lang w:val="fr-FR"/>
        </w:rPr>
      </w:pPr>
      <w:bookmarkStart w:id="639" w:name="_Toc280260056"/>
      <w:bookmarkStart w:id="640" w:name="_Toc280272517"/>
      <w:r w:rsidRPr="00610AD5">
        <w:rPr>
          <w:b/>
          <w:lang w:val="fr-FR"/>
        </w:rPr>
        <w:t>2.1</w:t>
      </w:r>
      <w:r w:rsidRPr="00610AD5">
        <w:rPr>
          <w:b/>
          <w:lang w:val="fr-FR"/>
        </w:rPr>
        <w:tab/>
      </w:r>
      <w:r w:rsidRPr="00610AD5">
        <w:rPr>
          <w:b/>
        </w:rPr>
        <w:t>Impôt</w:t>
      </w:r>
      <w:r w:rsidRPr="00610AD5">
        <w:rPr>
          <w:b/>
          <w:lang w:val="fr-FR"/>
        </w:rPr>
        <w:t xml:space="preserve"> (ou taxe): fixation sans rapport avec le bénéfice individuel que le contribuable retire des activités de l’Etat</w:t>
      </w:r>
      <w:bookmarkEnd w:id="639"/>
      <w:bookmarkEnd w:id="640"/>
    </w:p>
    <w:p w:rsidR="00610AD5" w:rsidRPr="00610AD5" w:rsidRDefault="00610AD5" w:rsidP="00610AD5">
      <w:pPr>
        <w:rPr>
          <w:lang w:val="fr-FR"/>
        </w:rPr>
      </w:pPr>
      <w:r w:rsidRPr="00610AD5">
        <w:rPr>
          <w:snapToGrid w:val="0"/>
          <w:lang w:val="fr-FR" w:eastAsia="de-DE"/>
        </w:rPr>
        <w:t xml:space="preserve">La taxe est une contribution publique due par l’administré sans qu’il ait droit à ce titre à aucune contre-prestation spécifique. La taxe est un prélèvement pécuniaire abstrait au profit de l’Etat sans contrepartie directe pour le contribuable. </w:t>
      </w:r>
      <w:r w:rsidRPr="00610AD5">
        <w:rPr>
          <w:lang w:val="fr-FR"/>
        </w:rPr>
        <w:t xml:space="preserve">La taxe est la contribution de chacun à un projet collectif définit par les </w:t>
      </w:r>
      <w:r w:rsidRPr="00610AD5">
        <w:rPr>
          <w:lang w:val="fr-FR"/>
        </w:rPr>
        <w:lastRenderedPageBreak/>
        <w:t>institutions politiques de l’Etat. En payant, le contribuable laisse ces institutions libres de décider de l’affectation optimale pour la collectivité des ressources financières ainsi mises à leur disposition. Les taxes alimentent le budget général et sont destinées à couvrir les dépenses générales de l’Etat.</w:t>
      </w:r>
    </w:p>
    <w:p w:rsidR="00610AD5" w:rsidRPr="00610AD5" w:rsidRDefault="00610AD5" w:rsidP="00610AD5">
      <w:pPr>
        <w:rPr>
          <w:lang w:val="fr-FR"/>
        </w:rPr>
      </w:pPr>
      <w:r w:rsidRPr="00610AD5">
        <w:rPr>
          <w:lang w:val="fr-FR"/>
        </w:rPr>
        <w:t>L’instauration d’une taxe et la fixation de son régime (barème, périodicité, etc.) relèvent de la compétence et à la libre discrétion du législateur. En bref, il peut être dit que la législation fiscale est régie par des normes très strictes sur le plan formel, c’est-à-dire que les procédures d’adoption de celle-ci ne sont pas flexibles. Par contre, quant au contenu de cette législation, la liberté du pouvoir législatif est « totale », c’est-à-dire que matériellement le législateur peut agir à sa guise.</w:t>
      </w:r>
    </w:p>
    <w:p w:rsidR="00610AD5" w:rsidRPr="00610AD5" w:rsidRDefault="00610AD5" w:rsidP="00610AD5">
      <w:pPr>
        <w:keepNext/>
        <w:keepLines/>
        <w:spacing w:before="240"/>
        <w:ind w:left="794" w:hanging="794"/>
        <w:outlineLvl w:val="1"/>
        <w:rPr>
          <w:b/>
          <w:lang w:val="fr-FR"/>
        </w:rPr>
      </w:pPr>
      <w:bookmarkStart w:id="641" w:name="_Toc280260057"/>
      <w:bookmarkStart w:id="642" w:name="_Toc280272518"/>
      <w:r w:rsidRPr="00610AD5">
        <w:rPr>
          <w:b/>
          <w:lang w:val="fr-FR"/>
        </w:rPr>
        <w:t>2.2</w:t>
      </w:r>
      <w:r w:rsidRPr="00610AD5">
        <w:rPr>
          <w:b/>
          <w:lang w:val="fr-FR"/>
        </w:rPr>
        <w:tab/>
        <w:t>Redevance: tarification à l’usager de la prestation fournie à hauteur de son coût</w:t>
      </w:r>
      <w:bookmarkEnd w:id="641"/>
      <w:bookmarkEnd w:id="642"/>
    </w:p>
    <w:p w:rsidR="00610AD5" w:rsidRPr="00610AD5" w:rsidRDefault="00610AD5" w:rsidP="00610AD5">
      <w:pPr>
        <w:rPr>
          <w:lang w:val="fr-FR"/>
        </w:rPr>
      </w:pPr>
      <w:r w:rsidRPr="00610AD5">
        <w:rPr>
          <w:lang w:val="fr-FR"/>
        </w:rPr>
        <w:t>La redevance (qui est appelée "émolument" en Suisse) est due à raison d’une prestation que l’administration fournit au redevable, prestation qui a entraîné des coûts pour l’administration. La recette d’une redevance a une affectation précise, c’est-à-dire que l’administration doit en faire l’usage spécifique qui est de rendre le service requis par le redevable.</w:t>
      </w:r>
    </w:p>
    <w:p w:rsidR="00610AD5" w:rsidRPr="00610AD5" w:rsidRDefault="00610AD5" w:rsidP="00610AD5">
      <w:pPr>
        <w:rPr>
          <w:lang w:val="fr-FR"/>
        </w:rPr>
      </w:pPr>
      <w:r w:rsidRPr="00610AD5">
        <w:rPr>
          <w:lang w:val="fr-FR"/>
        </w:rPr>
        <w:t>Ce lien direct – qui découle d’une requête de l’administré ou d’une action de l’administré ayant conduit l’administration à agir – implique que le montant du prélèvement auprès d’un administré et la valeur prestation qui lui est fournie par l’Etat doivent être corrélés. Premièrement, la redevance constitue une rémunération pour services rendus par l’administration couvrant au maximum les frais correspondant au coûts directs et indirects qui peuvent être mis à la charge du demandeur. Ainsi, le montant total des recettes est au plus égal au montant total des charges afférant à l’administration dans le secteur de l’administration concerné. C’est-à-dire que la hauteur de la redevance demandée aux usagers couvre en tout (au maximum) ou en partie les charges du service dont a bénéficié l’usager</w:t>
      </w:r>
      <w:r w:rsidRPr="00610AD5">
        <w:rPr>
          <w:position w:val="6"/>
          <w:sz w:val="16"/>
          <w:lang w:val="fr-FR"/>
        </w:rPr>
        <w:footnoteReference w:customMarkFollows="1" w:id="4"/>
        <w:t>4</w:t>
      </w:r>
      <w:r w:rsidRPr="00610AD5">
        <w:rPr>
          <w:lang w:val="fr-FR"/>
        </w:rPr>
        <w:t>. Deuxièmement, la proportionnalité est exigée en matière de redevances. Ceci implique que le montant de la redevance doit être adaptée au bénéfice que le redevable retire du service obtenu de l’Etat</w:t>
      </w:r>
      <w:r w:rsidRPr="00610AD5">
        <w:rPr>
          <w:position w:val="6"/>
          <w:sz w:val="16"/>
          <w:lang w:val="fr-FR"/>
        </w:rPr>
        <w:footnoteReference w:customMarkFollows="1" w:id="5"/>
        <w:t>5</w:t>
      </w:r>
      <w:r w:rsidRPr="00610AD5">
        <w:rPr>
          <w:lang w:val="fr-FR"/>
        </w:rPr>
        <w:t>.</w:t>
      </w:r>
    </w:p>
    <w:p w:rsidR="00610AD5" w:rsidRPr="00610AD5" w:rsidRDefault="00610AD5" w:rsidP="00610AD5">
      <w:pPr>
        <w:rPr>
          <w:lang w:val="fr-FR"/>
        </w:rPr>
      </w:pPr>
      <w:r w:rsidRPr="00610AD5">
        <w:rPr>
          <w:lang w:val="fr-FR"/>
        </w:rPr>
        <w:t>La décision de financer une activité étatique partiellement ou complètement avec des redevances revient au législateur. En revanche, la fixation de la hauteur des redevances individuelles et leur mode de calcul (barème) devrait être du ressort d’instances inférieures car celles-ci sont plus informées sur les détails de leurs comptabilités. Une délégation du pouvoir réglementaire est également judicieuse du fait de la nécessité de réviser, adapter régulièrement les dispositions relatives aux redevances. Les processus d’adoption de la réglementation fixant le régime des redevances doivent donc être assez flexibles – ce qui n’est généralement pas donné au niveau parlementaire. Par contre, les principes juridiques applicables au contenu de cette réglementation forment des contraintes extrêmement strictes où l’autorité chargée de l’adopter n’a qu’une latitude très limitée (p.ex. la hauteur maximale des différentes redevances est plafonnée de par le droit).</w:t>
      </w:r>
    </w:p>
    <w:p w:rsidR="00610AD5" w:rsidRPr="00610AD5" w:rsidRDefault="00610AD5" w:rsidP="00610AD5">
      <w:pPr>
        <w:rPr>
          <w:lang w:val="fr-FR"/>
        </w:rPr>
      </w:pPr>
      <w:r w:rsidRPr="00610AD5">
        <w:rPr>
          <w:lang w:val="fr-FR"/>
        </w:rPr>
        <w:t xml:space="preserve">Le principe de la couverture des coûts requiert un recensement et une évaluation des montants financiers employés pour faire fonctionner un secteur d’activité de l’administration afin de pouvoir soutenir un contrôle juridique (en cas de litige). Ceci ne peut être accompli que grâce à une comptabilité financière suffisamment précise – et, si possible, une comptabilité analytique. </w:t>
      </w:r>
    </w:p>
    <w:p w:rsidR="00610AD5" w:rsidRPr="00610AD5" w:rsidRDefault="00610AD5" w:rsidP="00610AD5">
      <w:pPr>
        <w:keepNext/>
        <w:keepLines/>
        <w:spacing w:before="360"/>
        <w:ind w:left="794" w:hanging="794"/>
        <w:outlineLvl w:val="0"/>
        <w:rPr>
          <w:b/>
          <w:lang w:val="fr-FR"/>
        </w:rPr>
      </w:pPr>
      <w:bookmarkStart w:id="643" w:name="_Toc280260058"/>
      <w:bookmarkStart w:id="644" w:name="_Toc280260910"/>
      <w:bookmarkStart w:id="645" w:name="_Toc280272519"/>
      <w:r w:rsidRPr="00610AD5">
        <w:rPr>
          <w:b/>
          <w:lang w:val="fr-FR"/>
        </w:rPr>
        <w:lastRenderedPageBreak/>
        <w:t>3</w:t>
      </w:r>
      <w:r w:rsidRPr="00610AD5">
        <w:rPr>
          <w:b/>
          <w:lang w:val="fr-FR"/>
        </w:rPr>
        <w:tab/>
        <w:t>L’approche de la Suisse concernant les prélèvements dans le domaine de la gestion du spectre</w:t>
      </w:r>
      <w:bookmarkEnd w:id="643"/>
      <w:bookmarkEnd w:id="644"/>
      <w:bookmarkEnd w:id="645"/>
    </w:p>
    <w:p w:rsidR="00610AD5" w:rsidRPr="00610AD5" w:rsidRDefault="00610AD5" w:rsidP="00610AD5">
      <w:pPr>
        <w:keepNext/>
        <w:keepLines/>
        <w:spacing w:before="240"/>
        <w:ind w:left="794" w:hanging="794"/>
        <w:outlineLvl w:val="1"/>
        <w:rPr>
          <w:b/>
          <w:lang w:val="fr-FR"/>
        </w:rPr>
      </w:pPr>
      <w:bookmarkStart w:id="646" w:name="_Toc280260059"/>
      <w:bookmarkStart w:id="647" w:name="_Toc280272520"/>
      <w:r w:rsidRPr="00610AD5">
        <w:rPr>
          <w:b/>
          <w:lang w:val="fr-FR"/>
        </w:rPr>
        <w:t>3.1</w:t>
      </w:r>
      <w:r w:rsidRPr="00610AD5">
        <w:rPr>
          <w:b/>
          <w:lang w:val="fr-FR"/>
        </w:rPr>
        <w:tab/>
        <w:t>Recours aux deux types de contributions au profit de l’État</w:t>
      </w:r>
      <w:bookmarkEnd w:id="646"/>
      <w:bookmarkEnd w:id="647"/>
    </w:p>
    <w:p w:rsidR="00610AD5" w:rsidRPr="00610AD5" w:rsidRDefault="00610AD5" w:rsidP="00610AD5">
      <w:pPr>
        <w:rPr>
          <w:lang w:val="fr-FR"/>
        </w:rPr>
      </w:pPr>
      <w:r w:rsidRPr="00610AD5">
        <w:rPr>
          <w:lang w:val="fr-FR"/>
        </w:rPr>
        <w:t xml:space="preserve">Pour le financement de la gestion nationale du spectre, les institutions politiques suisses ont décidé de recourir à des redevances afin d’alléger la charge pour le budget général de l’État – et donc les contribuables. Dans ce domaine les bénéficiaires des prestations de l’administration peuvent en règle générale être aisément être identifiés car il s’agit des utilisateurs du spectre. Il est équitable que ceux-ci portent une bonne partie des coûts d’une activité étatique dont ils sont les bénéficiaires immédiats. Cependant, l’identification de tous les utilisateurs du spectre n’est pas possible. En outre, l’imputation de certains coûts découlant de l’exécution des tâches liées à la gestion du spectre à la charge des utilisateurs aurait été injuste, voire politiquement inopportune. Il en résulte que la totalité des coûts de la gestion du spectre des fréquences afférant à l’administration suisse n’est pas couverte par les revenus de redevances prélevées auprès des utilisateurs du spectre. Il a été décidé par lesdites institutions politiques que sur le plan calculatoire les revenus provenant des taxes d’utilisation du spectre assureraient au minimum le financement du solde. </w:t>
      </w:r>
    </w:p>
    <w:p w:rsidR="00610AD5" w:rsidRPr="00610AD5" w:rsidRDefault="00610AD5" w:rsidP="00610AD5">
      <w:pPr>
        <w:rPr>
          <w:lang w:val="fr-FR"/>
        </w:rPr>
      </w:pPr>
      <w:r w:rsidRPr="00610AD5">
        <w:rPr>
          <w:lang w:val="fr-FR"/>
        </w:rPr>
        <w:t>La voie choisie en Suisse est donc d’avoir recours aux deux types de contributions au profit de l’Etat pour financer la gestion du spectre, soit des taxes et des redevances. Ont donc été édictées, au niveau gouvernemental, l’Ordonnance</w:t>
      </w:r>
      <w:r w:rsidRPr="00610AD5">
        <w:rPr>
          <w:snapToGrid w:val="0"/>
          <w:lang w:val="fr-FR" w:eastAsia="de-DE"/>
        </w:rPr>
        <w:t xml:space="preserve"> du Conseil fédéral</w:t>
      </w:r>
      <w:r w:rsidRPr="00610AD5">
        <w:rPr>
          <w:lang w:val="fr-FR"/>
        </w:rPr>
        <w:t xml:space="preserve"> du 7 décembre 2007 sur les redevances et émoluments dans le domaine des télécommunications (OREDT)</w:t>
      </w:r>
      <w:r w:rsidRPr="00610AD5">
        <w:rPr>
          <w:position w:val="6"/>
          <w:sz w:val="16"/>
          <w:lang w:val="fr-FR"/>
        </w:rPr>
        <w:footnoteReference w:customMarkFollows="1" w:id="6"/>
        <w:t>6</w:t>
      </w:r>
      <w:r w:rsidRPr="00610AD5">
        <w:rPr>
          <w:snapToGrid w:val="0"/>
          <w:lang w:val="fr-FR" w:eastAsia="de-DE"/>
        </w:rPr>
        <w:t xml:space="preserve"> </w:t>
      </w:r>
      <w:r w:rsidRPr="00610AD5">
        <w:rPr>
          <w:lang w:val="fr-FR"/>
        </w:rPr>
        <w:t xml:space="preserve">arrêtant les taxes d’utilisation du spectre et, au niveau ministériel, l’Ordonnance du </w:t>
      </w:r>
      <w:r w:rsidRPr="00610AD5">
        <w:rPr>
          <w:snapToGrid w:val="0"/>
          <w:lang w:val="fr-FR" w:eastAsia="de-DE"/>
        </w:rPr>
        <w:t>Département fédéral de l’environnement, des transports, de l’énergie et de la communication</w:t>
      </w:r>
      <w:r w:rsidRPr="00610AD5">
        <w:rPr>
          <w:lang w:val="fr-FR"/>
        </w:rPr>
        <w:t xml:space="preserve"> du 7 décembre 2007 sur les tarifs des émoluments dans le domaine des télécommunications</w:t>
      </w:r>
      <w:r w:rsidRPr="00610AD5">
        <w:rPr>
          <w:position w:val="6"/>
          <w:sz w:val="16"/>
          <w:lang w:val="fr-FR"/>
        </w:rPr>
        <w:footnoteReference w:customMarkFollows="1" w:id="7"/>
        <w:t>7</w:t>
      </w:r>
      <w:r w:rsidRPr="00610AD5">
        <w:rPr>
          <w:lang w:val="fr-FR"/>
        </w:rPr>
        <w:t xml:space="preserve"> déterminant la hauteur des redevances pour les différentes prestations de l’autorité en charge de la gestion du spectre.</w:t>
      </w:r>
    </w:p>
    <w:p w:rsidR="00610AD5" w:rsidRPr="00610AD5" w:rsidRDefault="00610AD5" w:rsidP="00610AD5">
      <w:pPr>
        <w:keepNext/>
        <w:keepLines/>
        <w:spacing w:before="240"/>
        <w:ind w:left="794" w:hanging="794"/>
        <w:outlineLvl w:val="1"/>
        <w:rPr>
          <w:b/>
          <w:lang w:val="fr-FR"/>
        </w:rPr>
      </w:pPr>
      <w:bookmarkStart w:id="648" w:name="_Toc280260060"/>
      <w:bookmarkStart w:id="649" w:name="_Toc280272521"/>
      <w:r w:rsidRPr="00610AD5">
        <w:rPr>
          <w:b/>
          <w:lang w:val="fr-FR"/>
        </w:rPr>
        <w:t>3.2</w:t>
      </w:r>
      <w:r w:rsidRPr="00610AD5">
        <w:rPr>
          <w:b/>
          <w:lang w:val="fr-FR"/>
        </w:rPr>
        <w:tab/>
        <w:t>Les taxes d’utilisation du spectre</w:t>
      </w:r>
      <w:bookmarkEnd w:id="648"/>
      <w:bookmarkEnd w:id="649"/>
    </w:p>
    <w:p w:rsidR="00610AD5" w:rsidRPr="00610AD5" w:rsidRDefault="00610AD5" w:rsidP="00610AD5">
      <w:pPr>
        <w:keepNext/>
        <w:keepLines/>
        <w:spacing w:before="160"/>
        <w:ind w:left="794" w:hanging="794"/>
        <w:outlineLvl w:val="2"/>
        <w:rPr>
          <w:b/>
          <w:lang w:val="fr-FR"/>
        </w:rPr>
      </w:pPr>
      <w:r w:rsidRPr="00610AD5">
        <w:rPr>
          <w:b/>
          <w:lang w:val="fr-FR"/>
        </w:rPr>
        <w:t>3.2.1</w:t>
      </w:r>
      <w:r w:rsidRPr="00610AD5">
        <w:rPr>
          <w:b/>
          <w:lang w:val="fr-FR"/>
        </w:rPr>
        <w:tab/>
        <w:t>Les taxes d’utilisation du spectre sont à qualifier d’impôt (et non de redevances)</w:t>
      </w:r>
    </w:p>
    <w:p w:rsidR="00610AD5" w:rsidRPr="00610AD5" w:rsidRDefault="00610AD5" w:rsidP="00610AD5">
      <w:pPr>
        <w:rPr>
          <w:lang w:val="fr-FR"/>
        </w:rPr>
      </w:pPr>
      <w:r w:rsidRPr="00610AD5">
        <w:rPr>
          <w:snapToGrid w:val="0"/>
          <w:lang w:val="fr-FR" w:eastAsia="de-DE"/>
        </w:rPr>
        <w:t xml:space="preserve">En Suisse, les droits d’utilisation dont s’acquittent les utilisateurs du spectre sont à qualifier de taxes. En effet, ils ont les caractéristiques des taxes en ce qu’ils sont dus par l’usager du spectre sans qu’il puisse prétendre à aucune contre-prestation spécifique de la part de l’administration si ce n’est le droit d’exercer le droit régalien d’utiliser le spectre. De plus, ils ne sont pas affectés à un usage défini mais versé au budget général de l’Etat. Le Parlement a fixé les conditions-cadre pour le prélèvement de cette taxe à l’article 39 de la </w:t>
      </w:r>
      <w:r w:rsidRPr="00610AD5">
        <w:rPr>
          <w:lang w:val="fr-FR"/>
        </w:rPr>
        <w:t>Loi du 30 avril 1997 sur les télécommunications (LTC)</w:t>
      </w:r>
      <w:r w:rsidRPr="00610AD5">
        <w:rPr>
          <w:position w:val="6"/>
          <w:sz w:val="16"/>
          <w:lang w:val="fr-FR"/>
        </w:rPr>
        <w:footnoteReference w:customMarkFollows="1" w:id="8"/>
        <w:t>8</w:t>
      </w:r>
      <w:r w:rsidRPr="00610AD5">
        <w:rPr>
          <w:snapToGrid w:val="0"/>
          <w:lang w:val="fr-FR" w:eastAsia="de-DE"/>
        </w:rPr>
        <w:t>. Dans cet article il a également délégué la fixation du montant et la spécification du mode de calcul de la taxe au gouvernement</w:t>
      </w:r>
      <w:r w:rsidRPr="00610AD5">
        <w:rPr>
          <w:snapToGrid w:val="0"/>
          <w:position w:val="6"/>
          <w:sz w:val="16"/>
          <w:lang w:val="fr-FR" w:eastAsia="de-DE"/>
        </w:rPr>
        <w:footnoteReference w:customMarkFollows="1" w:id="9"/>
        <w:t>9</w:t>
      </w:r>
      <w:r w:rsidRPr="00610AD5">
        <w:rPr>
          <w:snapToGrid w:val="0"/>
          <w:lang w:val="fr-FR" w:eastAsia="de-DE"/>
        </w:rPr>
        <w:t>.</w:t>
      </w:r>
      <w:r w:rsidRPr="00610AD5">
        <w:rPr>
          <w:lang w:val="fr-FR"/>
        </w:rPr>
        <w:t xml:space="preserve"> </w:t>
      </w:r>
    </w:p>
    <w:p w:rsidR="00610AD5" w:rsidRPr="00610AD5" w:rsidRDefault="00610AD5" w:rsidP="00610AD5">
      <w:pPr>
        <w:rPr>
          <w:lang w:val="fr-FR"/>
        </w:rPr>
      </w:pPr>
      <w:r w:rsidRPr="00610AD5">
        <w:rPr>
          <w:lang w:val="fr-FR"/>
        </w:rPr>
        <w:t>Comme mentionnée ci-dessus, le montant demandé par l’Etat aux utilisateurs pour pouvoir accéder au spectre est une taxe car il n’y a pas de fourniture de prestations par l’Etat aux parties concernées par ces prélèvements. En effet, les ondes électromagnétiques sont présentes à l’état naturel, c’est-à-dire sans qu’aucun organe de l’Etat n’ait été actif dans une quelconque mesure. Ce montant est tout spécialement conforme aux particularités d’une taxe car le produit des droits d’utilisation du spectre ne fait pas l’objet d’une affectation et alimente le budget général.</w:t>
      </w:r>
    </w:p>
    <w:p w:rsidR="00610AD5" w:rsidRPr="00610AD5" w:rsidRDefault="00610AD5" w:rsidP="00610AD5">
      <w:pPr>
        <w:keepNext/>
        <w:keepLines/>
        <w:spacing w:before="160"/>
        <w:ind w:left="794" w:hanging="794"/>
        <w:outlineLvl w:val="2"/>
        <w:rPr>
          <w:b/>
          <w:lang w:val="fr-FR"/>
        </w:rPr>
      </w:pPr>
      <w:r w:rsidRPr="00610AD5">
        <w:rPr>
          <w:b/>
          <w:lang w:val="fr-FR"/>
        </w:rPr>
        <w:t>3.2.2</w:t>
      </w:r>
      <w:r w:rsidRPr="00610AD5">
        <w:rPr>
          <w:b/>
          <w:lang w:val="fr-FR"/>
        </w:rPr>
        <w:tab/>
        <w:t xml:space="preserve">Fonction incitative de </w:t>
      </w:r>
      <w:bookmarkStart w:id="650" w:name="OLE_LINK6"/>
      <w:r w:rsidRPr="00610AD5">
        <w:rPr>
          <w:b/>
          <w:lang w:val="fr-FR"/>
        </w:rPr>
        <w:t xml:space="preserve">la taxe d’utilisation du spectre </w:t>
      </w:r>
      <w:bookmarkEnd w:id="650"/>
      <w:r w:rsidRPr="00610AD5">
        <w:rPr>
          <w:b/>
          <w:lang w:val="fr-FR"/>
        </w:rPr>
        <w:t>(spectrum pricing)</w:t>
      </w:r>
    </w:p>
    <w:p w:rsidR="00610AD5" w:rsidRPr="00610AD5" w:rsidRDefault="00610AD5" w:rsidP="00610AD5">
      <w:pPr>
        <w:rPr>
          <w:lang w:val="fr-FR"/>
        </w:rPr>
      </w:pPr>
      <w:r w:rsidRPr="00610AD5">
        <w:rPr>
          <w:lang w:val="fr-FR"/>
        </w:rPr>
        <w:t xml:space="preserve">Pour les taxes d’utilisation du spectre, l’administration suisse a tenté d’appliquer certains principes découlant du </w:t>
      </w:r>
      <w:r w:rsidRPr="00610AD5">
        <w:rPr>
          <w:i/>
          <w:lang w:val="fr-FR"/>
        </w:rPr>
        <w:t>spectrum pricing</w:t>
      </w:r>
      <w:r w:rsidRPr="00610AD5">
        <w:rPr>
          <w:lang w:val="fr-FR"/>
        </w:rPr>
        <w:t xml:space="preserve">. Une telle politique ne serait juridiquement pas permissible si l’on avait été en présence de redevances. En effet, pour la fixation de la hauteur des redevances le respect des contraintes juridiques en la forme des principes de la couverture des coûts et d’équivalence est déterminant. Ces contraintes ne permettent pas à l’administration de disposer de la flexibilité qui est nécessaire pour donner un caractère </w:t>
      </w:r>
      <w:r w:rsidRPr="00610AD5">
        <w:rPr>
          <w:lang w:val="fr-FR"/>
        </w:rPr>
        <w:lastRenderedPageBreak/>
        <w:t>incitatif à une contribution. Or une taxe incitative, qui est un instrument dans l’éventail des moyens d’une politique publique cherchant à infléchir, guider les comportements des administrés, requiert justement passablement de flexibilité.</w:t>
      </w:r>
    </w:p>
    <w:p w:rsidR="00610AD5" w:rsidRPr="00610AD5" w:rsidRDefault="00610AD5" w:rsidP="00610AD5">
      <w:pPr>
        <w:rPr>
          <w:lang w:val="fr-FR"/>
        </w:rPr>
      </w:pPr>
      <w:r w:rsidRPr="00610AD5">
        <w:rPr>
          <w:lang w:val="fr-FR"/>
        </w:rPr>
        <w:t>Pour les bandes de fréquences où l'assignation se fait sur la base du principe du « premier venu, premier servi » ou par le biais de concours de beauté (en d’autres mots : l’allocation ne se fait pas par la voie d’enchères), l'administration suisse a développé un système de valorisation du spectre. Ce système se fonde sur une formule générale qui est applicable à toutes les applications de radiocommunication à condition de l'adapter aux spécificités de chacune d'entre elles.</w:t>
      </w:r>
    </w:p>
    <w:p w:rsidR="00610AD5" w:rsidRPr="00610AD5" w:rsidRDefault="00610AD5" w:rsidP="00610AD5">
      <w:pPr>
        <w:rPr>
          <w:lang w:val="fr-FR"/>
        </w:rPr>
      </w:pPr>
      <w:r w:rsidRPr="00610AD5">
        <w:rPr>
          <w:lang w:val="fr-FR"/>
        </w:rPr>
        <w:t>La formule générale de calcul des taxes d’utilisation du spectre est:</w:t>
      </w:r>
    </w:p>
    <w:p w:rsidR="00610AD5" w:rsidRPr="00610AD5" w:rsidRDefault="00610AD5" w:rsidP="00610AD5">
      <w:pPr>
        <w:pBdr>
          <w:top w:val="single" w:sz="4" w:space="1" w:color="auto"/>
          <w:left w:val="single" w:sz="4" w:space="4" w:color="auto"/>
          <w:bottom w:val="single" w:sz="4" w:space="1" w:color="auto"/>
          <w:right w:val="single" w:sz="4" w:space="4" w:color="auto"/>
        </w:pBdr>
        <w:rPr>
          <w:lang w:val="fr-FR"/>
        </w:rPr>
      </w:pPr>
      <w:r w:rsidRPr="00610AD5">
        <w:rPr>
          <w:lang w:val="fr-FR"/>
        </w:rPr>
        <w:t>Unité de compte * coefficient de largeur de bande * coefficient de réutilisation * coefficient de gamme de fréquences * coefficient d'exclusivité * coefficient de saturation/de zone * coefficient de temps</w:t>
      </w:r>
    </w:p>
    <w:p w:rsidR="00610AD5" w:rsidRPr="00610AD5" w:rsidRDefault="00610AD5" w:rsidP="00610AD5">
      <w:pPr>
        <w:rPr>
          <w:lang w:val="fr-FR"/>
        </w:rPr>
      </w:pPr>
      <w:r w:rsidRPr="00610AD5">
        <w:rPr>
          <w:lang w:val="fr-FR"/>
        </w:rPr>
        <w:t>Les différents éléments de la formule requièrent quelques explicitations:</w:t>
      </w:r>
    </w:p>
    <w:p w:rsidR="00610AD5" w:rsidRPr="00610AD5" w:rsidRDefault="00610AD5" w:rsidP="00867C40">
      <w:pPr>
        <w:pStyle w:val="enumlev1"/>
      </w:pPr>
      <w:r w:rsidRPr="00610AD5">
        <w:rPr>
          <w:lang w:val="fr-FR"/>
        </w:rPr>
        <w:t>–</w:t>
      </w:r>
      <w:r w:rsidRPr="00610AD5">
        <w:rPr>
          <w:lang w:val="fr-FR"/>
        </w:rPr>
        <w:tab/>
        <w:t>L'</w:t>
      </w:r>
      <w:r w:rsidRPr="00610AD5">
        <w:rPr>
          <w:i/>
          <w:lang w:val="fr-FR"/>
        </w:rPr>
        <w:t>unité de compte</w:t>
      </w:r>
      <w:r w:rsidRPr="00610AD5">
        <w:rPr>
          <w:lang w:val="fr-FR"/>
        </w:rPr>
        <w:t xml:space="preserve"> reflète la valorisation économique de l'utilisation de la ressource spectre par une application de radiocommunication déterminée. </w:t>
      </w:r>
      <w:r w:rsidRPr="00610AD5">
        <w:t xml:space="preserve">Naturellement, elle variera d'une application à l'autre. </w:t>
      </w:r>
    </w:p>
    <w:p w:rsidR="00610AD5" w:rsidRPr="00610AD5" w:rsidRDefault="00610AD5" w:rsidP="00867C40">
      <w:pPr>
        <w:pStyle w:val="enumlev1"/>
        <w:rPr>
          <w:lang w:val="fr-FR"/>
        </w:rPr>
      </w:pPr>
      <w:r w:rsidRPr="00610AD5">
        <w:rPr>
          <w:lang w:val="fr-FR"/>
        </w:rPr>
        <w:t>–</w:t>
      </w:r>
      <w:r w:rsidRPr="00610AD5">
        <w:rPr>
          <w:lang w:val="fr-FR"/>
        </w:rPr>
        <w:tab/>
        <w:t xml:space="preserve">Le </w:t>
      </w:r>
      <w:r w:rsidRPr="00610AD5">
        <w:rPr>
          <w:i/>
          <w:lang w:val="fr-FR"/>
        </w:rPr>
        <w:t xml:space="preserve">coefficient de largeur de bande </w:t>
      </w:r>
      <w:r w:rsidRPr="00610AD5">
        <w:rPr>
          <w:lang w:val="fr-FR"/>
        </w:rPr>
        <w:t xml:space="preserve">reflète combien d'unités de compte sont allouée du fait de la largeur de la bande assignée. Par exemple, si l'unité de compte est fixée pour 25 kHz et que la largeur de bande du système de radiocommunication est 2 MHz, alors ce coefficient de largeur de bande sera de 80. </w:t>
      </w:r>
    </w:p>
    <w:p w:rsidR="00610AD5" w:rsidRPr="00610AD5" w:rsidRDefault="00610AD5" w:rsidP="00867C40">
      <w:pPr>
        <w:pStyle w:val="enumlev1"/>
        <w:rPr>
          <w:lang w:val="fr-FR"/>
        </w:rPr>
      </w:pPr>
      <w:r w:rsidRPr="00610AD5">
        <w:rPr>
          <w:lang w:val="fr-FR"/>
        </w:rPr>
        <w:t>–</w:t>
      </w:r>
      <w:r w:rsidRPr="00610AD5">
        <w:rPr>
          <w:lang w:val="fr-FR"/>
        </w:rPr>
        <w:tab/>
        <w:t xml:space="preserve">Le </w:t>
      </w:r>
      <w:r w:rsidRPr="00610AD5">
        <w:rPr>
          <w:i/>
          <w:lang w:val="fr-FR"/>
        </w:rPr>
        <w:t>coefficient de réutilisation</w:t>
      </w:r>
      <w:r w:rsidRPr="00610AD5">
        <w:rPr>
          <w:lang w:val="fr-FR"/>
        </w:rPr>
        <w:t xml:space="preserve"> (en Suisse il a été appelé « coefficient de territoire ») reflète le nombre de fois que la fréquence en cause pourrait être réemployée dans une zone donnée ou sur le territoire du pays. </w:t>
      </w:r>
    </w:p>
    <w:p w:rsidR="00610AD5" w:rsidRPr="00610AD5" w:rsidRDefault="00610AD5" w:rsidP="00867C40">
      <w:pPr>
        <w:pStyle w:val="enumlev1"/>
        <w:rPr>
          <w:lang w:val="fr-FR"/>
        </w:rPr>
      </w:pPr>
      <w:r w:rsidRPr="00610AD5">
        <w:rPr>
          <w:lang w:val="fr-FR"/>
        </w:rPr>
        <w:t>–</w:t>
      </w:r>
      <w:r w:rsidRPr="00610AD5">
        <w:rPr>
          <w:lang w:val="fr-FR"/>
        </w:rPr>
        <w:tab/>
        <w:t xml:space="preserve">Le </w:t>
      </w:r>
      <w:r w:rsidRPr="00610AD5">
        <w:rPr>
          <w:i/>
          <w:lang w:val="fr-FR"/>
        </w:rPr>
        <w:t>coefficient de gamme de fréquences</w:t>
      </w:r>
      <w:r w:rsidRPr="00610AD5">
        <w:rPr>
          <w:lang w:val="fr-FR"/>
        </w:rPr>
        <w:t xml:space="preserve"> peut être utilisé pour les systèmes de radiocommunication qui disposent d'attributions de fréquences dans plusieurs parties du spectre des fréquences. Ce coefficient traduit les préférences de l'administration en charge de la gestion des fréquences concernant l'emploi de certaines bandes de fréquences par ces systèmes. Des tarifs préférentiels pourraient par exemple être appliqués aux bandes de fréquences élevées où la technologie est moins mûre et qui sont moins congestionnées. </w:t>
      </w:r>
    </w:p>
    <w:p w:rsidR="00610AD5" w:rsidRPr="00610AD5" w:rsidRDefault="00610AD5" w:rsidP="00867C40">
      <w:pPr>
        <w:pStyle w:val="enumlev1"/>
        <w:rPr>
          <w:lang w:val="fr-FR"/>
        </w:rPr>
      </w:pPr>
      <w:r w:rsidRPr="00610AD5">
        <w:rPr>
          <w:lang w:val="fr-FR"/>
        </w:rPr>
        <w:t>–</w:t>
      </w:r>
      <w:r w:rsidRPr="00610AD5">
        <w:rPr>
          <w:lang w:val="fr-FR"/>
        </w:rPr>
        <w:tab/>
        <w:t xml:space="preserve">Le </w:t>
      </w:r>
      <w:r w:rsidRPr="00610AD5">
        <w:rPr>
          <w:i/>
          <w:lang w:val="fr-FR"/>
        </w:rPr>
        <w:t>coefficient d'exclusivité</w:t>
      </w:r>
      <w:r w:rsidRPr="00610AD5">
        <w:rPr>
          <w:lang w:val="fr-FR"/>
        </w:rPr>
        <w:t xml:space="preserve"> reflète le degré de partage et de disponibilité du spectre : Ce coefficient est élevé pour un usage exclusif et plus bas dans le cas d’un usage partagé. On peut également imaginer un système où, dans une bande à usage partagé, le facteur applicable aux utilisateurs opérant une flotte nombreuse d'équipements de radiocommunication serait plus élevé que celui applicable aux utilisateurs n'employant qu'un faible nombre d'appareils.</w:t>
      </w:r>
    </w:p>
    <w:p w:rsidR="00610AD5" w:rsidRPr="00610AD5" w:rsidRDefault="00610AD5" w:rsidP="00867C40">
      <w:pPr>
        <w:pStyle w:val="enumlev1"/>
        <w:rPr>
          <w:lang w:val="fr-FR"/>
        </w:rPr>
      </w:pPr>
      <w:r w:rsidRPr="00610AD5">
        <w:rPr>
          <w:lang w:val="fr-FR"/>
        </w:rPr>
        <w:t>–</w:t>
      </w:r>
      <w:r w:rsidRPr="00610AD5">
        <w:rPr>
          <w:lang w:val="fr-FR"/>
        </w:rPr>
        <w:tab/>
        <w:t xml:space="preserve">Le </w:t>
      </w:r>
      <w:r w:rsidRPr="00610AD5">
        <w:rPr>
          <w:i/>
          <w:lang w:val="fr-FR"/>
        </w:rPr>
        <w:t>coefficient de saturation/de zone</w:t>
      </w:r>
      <w:r w:rsidRPr="00610AD5">
        <w:rPr>
          <w:lang w:val="fr-FR"/>
        </w:rPr>
        <w:t xml:space="preserve"> reflète la densité des utilisateurs potentiels dans différentes parties du territoire national. Il indique la pénurie de la ressource spectre, qui est généralement plus forte dans les zones urbaines que dans les zones rurales. On peut, par exemple, considérer 3 zones (grandes agglomérations, banlieues, zones rurales).</w:t>
      </w:r>
    </w:p>
    <w:p w:rsidR="00610AD5" w:rsidRPr="00610AD5" w:rsidRDefault="00610AD5" w:rsidP="00867C40">
      <w:pPr>
        <w:pStyle w:val="enumlev1"/>
        <w:rPr>
          <w:lang w:val="fr-FR"/>
        </w:rPr>
      </w:pPr>
      <w:r w:rsidRPr="00610AD5">
        <w:rPr>
          <w:lang w:val="fr-FR"/>
        </w:rPr>
        <w:t>–</w:t>
      </w:r>
      <w:r w:rsidRPr="00610AD5">
        <w:rPr>
          <w:lang w:val="fr-FR"/>
        </w:rPr>
        <w:tab/>
        <w:t xml:space="preserve">Le </w:t>
      </w:r>
      <w:r w:rsidRPr="00610AD5">
        <w:rPr>
          <w:i/>
          <w:lang w:val="fr-FR"/>
        </w:rPr>
        <w:t>coefficient de temps</w:t>
      </w:r>
      <w:r w:rsidRPr="00610AD5">
        <w:rPr>
          <w:lang w:val="fr-FR"/>
        </w:rPr>
        <w:t xml:space="preserve"> reflète le nombre total d'unités de temps (qui sont à la base de l'unité de compte, p.ex. un mois ou un an) que couvre l'autorisation d'utiliser le spectre. Le cas échéant une adaptation de ce coefficient pourrait avoir lieu entre la phase d'introduction d'une nouvelle technologie (coefficient plus bas) et la phase de maturité de la technologie (coefficient plus élevé).</w:t>
      </w:r>
    </w:p>
    <w:p w:rsidR="00610AD5" w:rsidRPr="00610AD5" w:rsidRDefault="00610AD5" w:rsidP="00610AD5">
      <w:pPr>
        <w:rPr>
          <w:lang w:val="fr-FR"/>
        </w:rPr>
      </w:pPr>
      <w:r w:rsidRPr="00610AD5">
        <w:rPr>
          <w:lang w:val="fr-FR"/>
        </w:rPr>
        <w:t>Il faut souligner que tous les coefficients ne sont pas pertinents pour toutes les applications de radiocommunication. Lorsqu’un coefficient n’est pas pertinent pour un type d'application de radiocommunication, il ne devrait pas être pris en considération pour le calcul de la taxe (ou alors toujours avoir la valeur 1 neutre dans une multiplication). De plus, la valorisation des coefficients demande des études économiques et techniques. Finalement, les proportions entre les valeurs d’un coefficient ne s'appliquent pas nécessairement de façon identique pour chacune des applications et requièrent donc également une réflexion approfondie.</w:t>
      </w:r>
    </w:p>
    <w:p w:rsidR="00610AD5" w:rsidRPr="00610AD5" w:rsidRDefault="00610AD5" w:rsidP="00610AD5">
      <w:pPr>
        <w:rPr>
          <w:lang w:val="fr-FR"/>
        </w:rPr>
      </w:pPr>
      <w:r w:rsidRPr="00610AD5">
        <w:rPr>
          <w:lang w:val="fr-FR"/>
        </w:rPr>
        <w:t xml:space="preserve">Un système de tarification du spectre basé sur la formule générale doit permettre aux utilisateurs confrontés au choix entre plusieurs solutions techniques de facilement comparer les taxes et d’identifier, lorsqu'ils </w:t>
      </w:r>
      <w:r w:rsidRPr="00610AD5">
        <w:rPr>
          <w:lang w:val="fr-FR"/>
        </w:rPr>
        <w:lastRenderedPageBreak/>
        <w:t>comparent des applications concurrentes, laquelle impliquerait le paiement de la taxe la moins lourde. Ils prendraient conscience que la ressource spectre est rare et que son prix varie selon l’efficacité spectrale des différents usages envisagés.</w:t>
      </w:r>
    </w:p>
    <w:p w:rsidR="00610AD5" w:rsidRPr="00610AD5" w:rsidRDefault="00610AD5" w:rsidP="001C78A4">
      <w:pPr>
        <w:spacing w:before="160" w:line="240" w:lineRule="exact"/>
        <w:ind w:left="794" w:hanging="794"/>
        <w:outlineLvl w:val="2"/>
        <w:rPr>
          <w:b/>
          <w:lang w:val="fr-FR"/>
        </w:rPr>
      </w:pPr>
      <w:r w:rsidRPr="00610AD5">
        <w:rPr>
          <w:b/>
          <w:lang w:val="fr-FR"/>
        </w:rPr>
        <w:t>3.2.3</w:t>
      </w:r>
      <w:r w:rsidRPr="00610AD5">
        <w:rPr>
          <w:b/>
          <w:lang w:val="fr-FR"/>
        </w:rPr>
        <w:tab/>
        <w:t>Observation concernant les adjudications publiques par voie d’enchères</w:t>
      </w:r>
    </w:p>
    <w:p w:rsidR="00610AD5" w:rsidRPr="00610AD5" w:rsidRDefault="00610AD5" w:rsidP="001C78A4">
      <w:pPr>
        <w:spacing w:line="240" w:lineRule="exact"/>
        <w:rPr>
          <w:lang w:val="fr-FR"/>
        </w:rPr>
      </w:pPr>
      <w:r w:rsidRPr="00610AD5">
        <w:rPr>
          <w:lang w:val="fr-FR"/>
        </w:rPr>
        <w:t>Dans les rares cas où les conditions pour l’emploi d’adjudications publiques par voie d’enchères comme méthode d’assignation de fréquences sont remplies (cela suppose, entre autres, qu'il y ait plus de demande pour des licences de radiocommunication que l'Etat n'a à en offrir à un moment bien spécifique), ces adjudications sont un moyen commode pour taxer l’utilisation du bien public qu’est le spectre des fréquences</w:t>
      </w:r>
      <w:r w:rsidRPr="00610AD5">
        <w:rPr>
          <w:position w:val="6"/>
          <w:sz w:val="16"/>
          <w:lang w:val="fr-FR"/>
        </w:rPr>
        <w:footnoteReference w:customMarkFollows="1" w:id="10"/>
        <w:t>10</w:t>
      </w:r>
      <w:r w:rsidRPr="00610AD5">
        <w:rPr>
          <w:lang w:val="fr-FR"/>
        </w:rPr>
        <w:t>. En effet, c’est l’usager lui-même qui fixe le prix qu’il est prêt à payer à l’Etat pour avoir cette exclusivité. Le(s) gagnant(s) des enchères aura(ont) déterminé le montant de la taxe d'utilisation du spectre (qui sera équivalente à l'offre la plus élevée). Pour les applications de radiocommunication qui permettent l’organisation d’enchères, les complexes réflexions au sein de l'administration sur un système de taxation/valorisation du spectre sont dans une certaine mesure rendues redondantes – le secteur privé s'en charge lui-même.</w:t>
      </w:r>
    </w:p>
    <w:p w:rsidR="00610AD5" w:rsidRPr="00610AD5" w:rsidRDefault="00610AD5" w:rsidP="001C78A4">
      <w:pPr>
        <w:spacing w:before="240" w:line="240" w:lineRule="exact"/>
        <w:ind w:left="794" w:hanging="794"/>
        <w:outlineLvl w:val="1"/>
        <w:rPr>
          <w:b/>
          <w:lang w:val="fr-FR"/>
        </w:rPr>
      </w:pPr>
      <w:bookmarkStart w:id="651" w:name="_Toc280260061"/>
      <w:bookmarkStart w:id="652" w:name="_Toc280272522"/>
      <w:r w:rsidRPr="00610AD5">
        <w:rPr>
          <w:b/>
          <w:lang w:val="fr-FR"/>
        </w:rPr>
        <w:t>3.3</w:t>
      </w:r>
      <w:r w:rsidRPr="00610AD5">
        <w:rPr>
          <w:b/>
          <w:lang w:val="fr-FR"/>
        </w:rPr>
        <w:tab/>
        <w:t>Les redevances</w:t>
      </w:r>
      <w:bookmarkEnd w:id="651"/>
      <w:bookmarkEnd w:id="652"/>
    </w:p>
    <w:p w:rsidR="00610AD5" w:rsidRPr="00610AD5" w:rsidRDefault="00610AD5" w:rsidP="001C78A4">
      <w:pPr>
        <w:spacing w:line="240" w:lineRule="exact"/>
        <w:rPr>
          <w:lang w:val="fr-FR"/>
        </w:rPr>
      </w:pPr>
      <w:r w:rsidRPr="00610AD5">
        <w:rPr>
          <w:lang w:val="fr-FR"/>
        </w:rPr>
        <w:t xml:space="preserve">La redevance est due à raison d’une prestation que l’administration fournit au redevable ou d’une activité occasionnée par les agissements de celui-ci. La redevance est la conséquence directe du service requis ou occasionné par l’administré. </w:t>
      </w:r>
      <w:r w:rsidRPr="00610AD5">
        <w:rPr>
          <w:snapToGrid w:val="0"/>
          <w:lang w:val="fr-FR" w:eastAsia="de-DE"/>
        </w:rPr>
        <w:t>Le parlement a fixé le principe du prélèvement de redevances à l’article 40 LTC. Il a délégué la fixation du montant des redevances à l’article 41 LTC à l’exécutif.</w:t>
      </w:r>
      <w:r w:rsidRPr="00610AD5">
        <w:rPr>
          <w:lang w:val="fr-CH"/>
        </w:rPr>
        <w:t xml:space="preserve"> Les coûts afférant dans </w:t>
      </w:r>
      <w:r w:rsidRPr="00610AD5">
        <w:rPr>
          <w:lang w:val="fr-FR"/>
        </w:rPr>
        <w:t>le cadre de poursuites pénales administratives sont mis à la charge des personnes sanctionnées sur la base de l’Ordonnance du 25 novembre 1974 sur les frais et indemnités en procédure pénale administrative</w:t>
      </w:r>
      <w:r w:rsidRPr="00610AD5">
        <w:rPr>
          <w:position w:val="6"/>
          <w:sz w:val="16"/>
          <w:lang w:val="fr-FR"/>
        </w:rPr>
        <w:footnoteReference w:customMarkFollows="1" w:id="11"/>
        <w:t>11</w:t>
      </w:r>
      <w:r w:rsidRPr="00610AD5">
        <w:rPr>
          <w:lang w:val="fr-FR"/>
        </w:rPr>
        <w:t>, et non pas des ordonnances d’exécution de la LTC.</w:t>
      </w:r>
    </w:p>
    <w:p w:rsidR="00610AD5" w:rsidRPr="00610AD5" w:rsidRDefault="00610AD5" w:rsidP="001C78A4">
      <w:pPr>
        <w:spacing w:line="240" w:lineRule="exact"/>
        <w:rPr>
          <w:lang w:val="fr-FR"/>
        </w:rPr>
      </w:pPr>
      <w:r w:rsidRPr="00610AD5">
        <w:rPr>
          <w:lang w:val="fr-FR"/>
        </w:rPr>
        <w:t>En Suisse, on distingue deux types de redevances en fonction de l’occurrence du moment du prélèvement.</w:t>
      </w:r>
    </w:p>
    <w:p w:rsidR="00610AD5" w:rsidRPr="00610AD5" w:rsidRDefault="00610AD5" w:rsidP="001C78A4">
      <w:pPr>
        <w:spacing w:before="160" w:line="240" w:lineRule="exact"/>
        <w:ind w:left="794" w:hanging="794"/>
        <w:outlineLvl w:val="2"/>
        <w:rPr>
          <w:b/>
          <w:lang w:val="fr-CH"/>
        </w:rPr>
      </w:pPr>
      <w:r w:rsidRPr="00610AD5">
        <w:rPr>
          <w:b/>
          <w:lang w:val="fr-CH"/>
        </w:rPr>
        <w:t>3.3.1</w:t>
      </w:r>
      <w:r w:rsidRPr="00610AD5">
        <w:rPr>
          <w:b/>
          <w:lang w:val="fr-CH"/>
        </w:rPr>
        <w:tab/>
        <w:t>Redevances uniques</w:t>
      </w:r>
    </w:p>
    <w:p w:rsidR="00610AD5" w:rsidRPr="00610AD5" w:rsidRDefault="00610AD5" w:rsidP="001C78A4">
      <w:pPr>
        <w:spacing w:line="240" w:lineRule="exact"/>
      </w:pPr>
      <w:r w:rsidRPr="00610AD5">
        <w:rPr>
          <w:lang w:val="fr-FR"/>
        </w:rPr>
        <w:t xml:space="preserve">Dans le domaine de la gestion du spectre des fréquences des redevance uniques peuvent être prélevées pour les prestations suivantes de l’autorité compétente et dont les utilisateurs du spectre sont les bénéficiaires immédiats. </w:t>
      </w:r>
      <w:r w:rsidRPr="00610AD5">
        <w:t>Ces redevances couvrent par exemple les prestations suivantes :</w:t>
      </w:r>
    </w:p>
    <w:p w:rsidR="00610AD5" w:rsidRPr="00610AD5" w:rsidRDefault="00610AD5" w:rsidP="001C78A4">
      <w:pPr>
        <w:spacing w:before="80" w:line="240" w:lineRule="exact"/>
        <w:ind w:left="794" w:hanging="794"/>
        <w:rPr>
          <w:lang w:val="fr-FR"/>
        </w:rPr>
      </w:pPr>
      <w:r w:rsidRPr="00610AD5">
        <w:rPr>
          <w:lang w:val="fr-FR"/>
        </w:rPr>
        <w:t>–</w:t>
      </w:r>
      <w:r w:rsidRPr="00610AD5">
        <w:rPr>
          <w:lang w:val="fr-FR"/>
        </w:rPr>
        <w:tab/>
        <w:t>Octroi de licences de radiocommunication (autorisations d’accéder au spectre)</w:t>
      </w:r>
    </w:p>
    <w:p w:rsidR="00610AD5" w:rsidRPr="00610AD5" w:rsidRDefault="00610AD5" w:rsidP="001C78A4">
      <w:pPr>
        <w:spacing w:before="80" w:line="240" w:lineRule="exact"/>
        <w:ind w:left="794" w:hanging="794"/>
      </w:pPr>
      <w:r w:rsidRPr="00610AD5">
        <w:t>–</w:t>
      </w:r>
      <w:r w:rsidRPr="00610AD5">
        <w:tab/>
        <w:t>Modification d’une licence de radiocommunication</w:t>
      </w:r>
    </w:p>
    <w:p w:rsidR="00610AD5" w:rsidRPr="00610AD5" w:rsidRDefault="00610AD5" w:rsidP="001C78A4">
      <w:pPr>
        <w:spacing w:before="80" w:line="240" w:lineRule="exact"/>
        <w:ind w:left="794" w:hanging="794"/>
        <w:rPr>
          <w:lang w:val="fr-FR"/>
        </w:rPr>
      </w:pPr>
      <w:r w:rsidRPr="00610AD5">
        <w:rPr>
          <w:lang w:val="fr-FR"/>
        </w:rPr>
        <w:t>–</w:t>
      </w:r>
      <w:r w:rsidRPr="00610AD5">
        <w:rPr>
          <w:lang w:val="fr-FR"/>
        </w:rPr>
        <w:tab/>
        <w:t>Révocation, respectivement annulation, de licence de radiocommunication</w:t>
      </w:r>
    </w:p>
    <w:p w:rsidR="00610AD5" w:rsidRPr="00610AD5" w:rsidRDefault="00610AD5" w:rsidP="001C78A4">
      <w:pPr>
        <w:spacing w:before="80" w:line="240" w:lineRule="exact"/>
        <w:ind w:left="794" w:hanging="794"/>
        <w:rPr>
          <w:lang w:val="fr-FR"/>
        </w:rPr>
      </w:pPr>
      <w:r w:rsidRPr="00610AD5">
        <w:rPr>
          <w:lang w:val="fr-FR"/>
        </w:rPr>
        <w:t>–</w:t>
      </w:r>
      <w:r w:rsidRPr="00610AD5">
        <w:rPr>
          <w:lang w:val="fr-FR"/>
        </w:rPr>
        <w:tab/>
        <w:t>Recherche de perturbations (coûts engendrés par le perturbateur lorsqu’il est identifié)</w:t>
      </w:r>
    </w:p>
    <w:p w:rsidR="00610AD5" w:rsidRPr="00610AD5" w:rsidRDefault="00610AD5" w:rsidP="001C78A4">
      <w:pPr>
        <w:spacing w:before="160" w:line="240" w:lineRule="exact"/>
        <w:ind w:left="794" w:hanging="794"/>
        <w:outlineLvl w:val="2"/>
        <w:rPr>
          <w:b/>
          <w:lang w:val="fr-CH"/>
        </w:rPr>
      </w:pPr>
      <w:r w:rsidRPr="00610AD5">
        <w:rPr>
          <w:b/>
          <w:lang w:val="fr-CH"/>
        </w:rPr>
        <w:t>3.3.2</w:t>
      </w:r>
      <w:r w:rsidRPr="00610AD5">
        <w:rPr>
          <w:b/>
          <w:lang w:val="fr-CH"/>
        </w:rPr>
        <w:tab/>
        <w:t>Redevances périodiques</w:t>
      </w:r>
    </w:p>
    <w:p w:rsidR="00610AD5" w:rsidRPr="00610AD5" w:rsidRDefault="00610AD5" w:rsidP="001C78A4">
      <w:pPr>
        <w:spacing w:line="240" w:lineRule="exact"/>
        <w:rPr>
          <w:lang w:val="fr-FR"/>
        </w:rPr>
      </w:pPr>
      <w:r w:rsidRPr="00610AD5">
        <w:rPr>
          <w:lang w:val="fr-FR"/>
        </w:rPr>
        <w:t xml:space="preserve">Cette redevance qui est appelée « émolument pour la gestion et le contrôle technique du spectre des fréquences » a un rôle central pour la couverture des coûts afférant dans le domaine de la gestion du spectre. Les utilisateurs du spectre sont appelés à participer au financement d’activités de l’autorité gérant le spectre dont ils sont les bénéficiaires médiats. </w:t>
      </w:r>
    </w:p>
    <w:p w:rsidR="00610AD5" w:rsidRPr="00610AD5" w:rsidRDefault="00610AD5" w:rsidP="001C78A4">
      <w:pPr>
        <w:spacing w:line="240" w:lineRule="exact"/>
        <w:rPr>
          <w:lang w:val="fr-FR"/>
        </w:rPr>
      </w:pPr>
      <w:r w:rsidRPr="00610AD5">
        <w:rPr>
          <w:lang w:val="fr-FR"/>
        </w:rPr>
        <w:t>Les redevances périodiques sont perçues pour couvrir les frais courants relatifs aux activités de gestion et le contrôle technique du spectre des fréquences qui ne découlent pas d'une action concrète des différents acteurs mais qui peuvent néanmoins leur être clairement imputées en tant que bénéficiaires. Les coûts de ces prestations sont répercutés sur les membres du groupe concerné sous la forme d’émoluments forfaitaires périodiques.</w:t>
      </w:r>
    </w:p>
    <w:p w:rsidR="00610AD5" w:rsidRPr="00610AD5" w:rsidRDefault="00610AD5" w:rsidP="001C78A4">
      <w:pPr>
        <w:spacing w:line="240" w:lineRule="exact"/>
        <w:rPr>
          <w:lang w:val="fr-FR"/>
        </w:rPr>
      </w:pPr>
      <w:r w:rsidRPr="00610AD5">
        <w:rPr>
          <w:lang w:val="fr-FR"/>
        </w:rPr>
        <w:t>Afin d’être légale et conforme au principe de la couverture des coûts, la mise en place d’une comptabilité analytique a été nécessaire.</w:t>
      </w:r>
    </w:p>
    <w:p w:rsidR="00610AD5" w:rsidRPr="00610AD5" w:rsidRDefault="00610AD5" w:rsidP="001C78A4">
      <w:pPr>
        <w:spacing w:before="160" w:line="240" w:lineRule="exact"/>
        <w:ind w:left="794" w:hanging="794"/>
        <w:outlineLvl w:val="2"/>
        <w:rPr>
          <w:b/>
          <w:lang w:val="fr-CH"/>
        </w:rPr>
      </w:pPr>
      <w:r w:rsidRPr="00610AD5">
        <w:rPr>
          <w:b/>
          <w:lang w:val="fr-CH"/>
        </w:rPr>
        <w:t>3.3.3</w:t>
      </w:r>
      <w:r w:rsidRPr="00610AD5">
        <w:rPr>
          <w:b/>
          <w:lang w:val="fr-CH"/>
        </w:rPr>
        <w:tab/>
        <w:t>Prestations fournies gratuitement</w:t>
      </w:r>
    </w:p>
    <w:p w:rsidR="00610AD5" w:rsidRPr="00610AD5" w:rsidRDefault="00610AD5" w:rsidP="001C78A4">
      <w:pPr>
        <w:spacing w:line="240" w:lineRule="exact"/>
        <w:rPr>
          <w:lang w:val="fr-CH"/>
        </w:rPr>
      </w:pPr>
      <w:r w:rsidRPr="00610AD5">
        <w:rPr>
          <w:lang w:val="fr-CH"/>
        </w:rPr>
        <w:lastRenderedPageBreak/>
        <w:t xml:space="preserve">Les prestations pour lesquelles il n’est pas procédé à l’encaissement d’une redevance – ou où le montant de la redevance est « soldé » – doivent explicitement figurer dans la loi ou dans l'ordonnance. </w:t>
      </w:r>
    </w:p>
    <w:p w:rsidR="00610AD5" w:rsidRPr="00610AD5" w:rsidRDefault="00610AD5" w:rsidP="001C78A4">
      <w:pPr>
        <w:spacing w:line="240" w:lineRule="exact"/>
        <w:rPr>
          <w:lang w:val="fr-FR"/>
        </w:rPr>
      </w:pPr>
      <w:r w:rsidRPr="00610AD5">
        <w:rPr>
          <w:lang w:val="fr-CH"/>
        </w:rPr>
        <w:t xml:space="preserve">Il mérite d’être relevé que </w:t>
      </w:r>
      <w:r w:rsidRPr="00610AD5">
        <w:rPr>
          <w:lang w:val="fr-FR"/>
        </w:rPr>
        <w:t>pour des raisons pratiques</w:t>
      </w:r>
      <w:r w:rsidRPr="00610AD5">
        <w:rPr>
          <w:lang w:val="fr-CH"/>
        </w:rPr>
        <w:t xml:space="preserve"> la redevance périodique pour la </w:t>
      </w:r>
      <w:r w:rsidRPr="00610AD5">
        <w:rPr>
          <w:lang w:val="fr-FR"/>
        </w:rPr>
        <w:t xml:space="preserve">gestion et contrôle technique du spectre des fréquences ne peut être prélevée auprès des utilisateurs qui sont exemptés de l’obtention d’une autorisation pour avoir accès au spectre. Comme ils ne sont pas connus individuellement de l’autorité, aucune facture ne peut leur être adressée. </w:t>
      </w:r>
    </w:p>
    <w:p w:rsidR="00610AD5" w:rsidRPr="00610AD5" w:rsidRDefault="00610AD5" w:rsidP="001C78A4">
      <w:pPr>
        <w:spacing w:before="360" w:line="240" w:lineRule="exact"/>
        <w:ind w:left="794" w:hanging="794"/>
        <w:outlineLvl w:val="0"/>
        <w:rPr>
          <w:b/>
          <w:lang w:val="fr-FR"/>
        </w:rPr>
      </w:pPr>
      <w:bookmarkStart w:id="653" w:name="_Toc280260062"/>
      <w:bookmarkStart w:id="654" w:name="_Toc280260911"/>
      <w:bookmarkStart w:id="655" w:name="_Toc280272523"/>
      <w:r w:rsidRPr="00610AD5">
        <w:rPr>
          <w:b/>
          <w:lang w:val="fr-FR"/>
        </w:rPr>
        <w:t>4</w:t>
      </w:r>
      <w:r w:rsidRPr="00610AD5">
        <w:rPr>
          <w:b/>
          <w:lang w:val="fr-FR"/>
        </w:rPr>
        <w:tab/>
        <w:t>Conclusion</w:t>
      </w:r>
      <w:bookmarkEnd w:id="653"/>
      <w:bookmarkEnd w:id="654"/>
      <w:bookmarkEnd w:id="655"/>
    </w:p>
    <w:p w:rsidR="00610AD5" w:rsidRPr="00610AD5" w:rsidRDefault="00610AD5" w:rsidP="001C78A4">
      <w:pPr>
        <w:spacing w:line="240" w:lineRule="exact"/>
        <w:rPr>
          <w:lang w:val="fr-FR"/>
        </w:rPr>
      </w:pPr>
      <w:r w:rsidRPr="00610AD5">
        <w:rPr>
          <w:lang w:val="fr-FR"/>
        </w:rPr>
        <w:t xml:space="preserve">Le système </w:t>
      </w:r>
      <w:r w:rsidRPr="00610AD5">
        <w:rPr>
          <w:i/>
          <w:lang w:val="fr-FR"/>
        </w:rPr>
        <w:t>mixte</w:t>
      </w:r>
      <w:r w:rsidRPr="00610AD5">
        <w:rPr>
          <w:lang w:val="fr-FR"/>
        </w:rPr>
        <w:t xml:space="preserve"> appliqué en Suisse permet à l’autorité de gestion des fréquences d’avoir recours aux deux types de contributions au profit de l’Etat (taxes et redevances) pour son financement. Cette combinaison donne la faculté de couvrir la totalité des coûts afférant avec équité, dans le respect du droit (principe de la couverture des coûts) et avec souplesse. </w:t>
      </w:r>
    </w:p>
    <w:p w:rsidR="00610AD5" w:rsidRPr="00610AD5" w:rsidRDefault="00610AD5" w:rsidP="001C78A4">
      <w:pPr>
        <w:spacing w:line="240" w:lineRule="exact"/>
        <w:rPr>
          <w:lang w:val="fr-FR"/>
        </w:rPr>
      </w:pPr>
      <w:r w:rsidRPr="00610AD5">
        <w:rPr>
          <w:lang w:val="fr-FR"/>
        </w:rPr>
        <w:t>Pour finir, voici un schéma décrivant l’approche mixte:</w:t>
      </w:r>
    </w:p>
    <w:p w:rsidR="00610AD5" w:rsidRPr="005D46D3" w:rsidRDefault="00610AD5" w:rsidP="00610AD5">
      <w:pPr>
        <w:tabs>
          <w:tab w:val="clear" w:pos="794"/>
          <w:tab w:val="clear" w:pos="1191"/>
          <w:tab w:val="clear" w:pos="1588"/>
          <w:tab w:val="clear" w:pos="1985"/>
        </w:tabs>
        <w:overflowPunct/>
        <w:autoSpaceDE/>
        <w:autoSpaceDN/>
        <w:adjustRightInd/>
        <w:spacing w:before="0"/>
        <w:jc w:val="left"/>
        <w:textAlignment w:val="auto"/>
        <w:rPr>
          <w:lang w:val="fr-CH"/>
        </w:rPr>
      </w:pPr>
    </w:p>
    <w:p w:rsidR="005D46D3" w:rsidRPr="00190938" w:rsidRDefault="005D46D3" w:rsidP="005D46D3">
      <w:pPr>
        <w:rPr>
          <w:lang w:val="fr-FR"/>
        </w:rPr>
      </w:pPr>
    </w:p>
    <w:p w:rsidR="005D46D3" w:rsidRPr="00B97E80" w:rsidRDefault="005D46D3" w:rsidP="005D46D3">
      <w:pPr>
        <w:tabs>
          <w:tab w:val="clear" w:pos="794"/>
          <w:tab w:val="clear" w:pos="1191"/>
          <w:tab w:val="clear" w:pos="1588"/>
          <w:tab w:val="clear" w:pos="1985"/>
        </w:tabs>
        <w:overflowPunct/>
        <w:autoSpaceDE/>
        <w:autoSpaceDN/>
        <w:adjustRightInd/>
        <w:spacing w:before="0"/>
        <w:jc w:val="left"/>
        <w:textAlignment w:val="auto"/>
        <w:rPr>
          <w:lang w:val="fr-CH"/>
        </w:rPr>
      </w:pPr>
      <w:r w:rsidRPr="00C14B03">
        <w:rPr>
          <w:highlight w:val="yellow"/>
          <w:lang w:val="fr-FR"/>
        </w:rPr>
      </w:r>
      <w:r w:rsidRPr="00C14B03">
        <w:rPr>
          <w:highlight w:val="yellow"/>
          <w:lang w:val="fr-FR"/>
        </w:rPr>
        <w:pict>
          <v:group id="_x0000_s1110" editas="canvas" style="width:491.35pt;height:253.2pt;mso-position-horizontal-relative:char;mso-position-vertical-relative:line" coordorigin="1345,7776" coordsize="9827,5064">
            <o:lock v:ext="edit" aspectratio="t"/>
            <v:shape id="_x0000_s1111" type="#_x0000_t75" style="position:absolute;left:1345;top:7776;width:9827;height:5064" o:preferrelative="f">
              <v:fill o:detectmouseclick="t"/>
              <v:path o:extrusionok="t" o:connecttype="none"/>
              <o:lock v:ext="edit" text="t"/>
            </v:shape>
            <v:rect id="_x0000_s1112" style="position:absolute;left:7510;top:10502;width:3491;height:1543;mso-wrap-style:none;v-text-anchor:middle" fillcolor="silver" stroked="f">
              <v:fill r:id="rId27" o:title="Diagonal weit nach oben" type="pattern"/>
            </v:rect>
            <v:rect id="_x0000_s1113" style="position:absolute;left:3931;top:8958;width:3579;height:1544;mso-wrap-style:none;v-text-anchor:middle" fillcolor="silver" stroked="f">
              <v:fill r:id="rId27" o:title="Diagonal weit nach oben" type="pattern"/>
            </v:rect>
            <v:line id="_x0000_s1114" style="position:absolute;mso-wrap-style:none;v-text-anchor:middle" from="1461,10502" to="10991,10503"/>
            <v:line id="_x0000_s1115" style="position:absolute;mso-wrap-style:none;v-text-anchor:middle" from="1461,8958" to="10991,8959"/>
            <v:line id="_x0000_s1116" style="position:absolute;mso-wrap-style:none;v-text-anchor:middle" from="1521,12038" to="11001,12045"/>
            <v:line id="_x0000_s1117" style="position:absolute;flip:y;mso-wrap-style:none;v-text-anchor:middle" from="3931,7826" to="3932,12045"/>
            <v:line id="_x0000_s1118" style="position:absolute;flip:y;mso-wrap-style:none;v-text-anchor:middle" from="11001,7826" to="11002,12045"/>
            <v:line id="_x0000_s1119" style="position:absolute;flip:y;mso-wrap-style:none;v-text-anchor:middle" from="7510,8186" to="7511,12045"/>
            <v:shapetype id="_x0000_t202" coordsize="21600,21600" o:spt="202" path="m,l,21600r21600,l21600,xe">
              <v:stroke joinstyle="miter"/>
              <v:path gradientshapeok="t" o:connecttype="rect"/>
            </v:shapetype>
            <v:shape id="_x0000_s1120" type="#_x0000_t202" style="position:absolute;left:1499;top:9228;width:2302;height:770" filled="f" fillcolor="silver" stroked="f">
              <v:textbox style="mso-next-textbox:#_x0000_s1120;mso-fit-shape-to-text:t">
                <w:txbxContent>
                  <w:p w:rsidR="005D46D3" w:rsidRPr="008D5FB5" w:rsidRDefault="005D46D3" w:rsidP="005D46D3">
                    <w:pPr>
                      <w:jc w:val="left"/>
                      <w:rPr>
                        <w:bCs/>
                        <w:color w:val="000000"/>
                      </w:rPr>
                    </w:pPr>
                    <w:r w:rsidRPr="00671F66">
                      <w:rPr>
                        <w:b/>
                        <w:bCs/>
                        <w:color w:val="000000"/>
                      </w:rPr>
                      <w:t>Redevances</w:t>
                    </w:r>
                    <w:r w:rsidRPr="008D5FB5">
                      <w:rPr>
                        <w:bCs/>
                        <w:color w:val="000000"/>
                      </w:rPr>
                      <w:t xml:space="preserve"> – pleine couverture des coûts</w:t>
                    </w:r>
                  </w:p>
                </w:txbxContent>
              </v:textbox>
            </v:shape>
            <v:shape id="_x0000_s1121" type="#_x0000_t202" style="position:absolute;left:1461;top:10706;width:2385;height:821" filled="f" fillcolor="#bbe0e3" stroked="f">
              <v:textbox style="mso-next-textbox:#_x0000_s1121">
                <w:txbxContent>
                  <w:p w:rsidR="005D46D3" w:rsidRPr="00573358" w:rsidRDefault="005D46D3" w:rsidP="005D46D3">
                    <w:pPr>
                      <w:jc w:val="left"/>
                      <w:rPr>
                        <w:bCs/>
                        <w:color w:val="000000"/>
                      </w:rPr>
                    </w:pPr>
                    <w:r w:rsidRPr="00573358">
                      <w:rPr>
                        <w:bCs/>
                        <w:color w:val="000000"/>
                      </w:rPr>
                      <w:t>Budget général de l’État</w:t>
                    </w:r>
                    <w:r>
                      <w:rPr>
                        <w:bCs/>
                        <w:color w:val="000000"/>
                      </w:rPr>
                      <w:t xml:space="preserve"> </w:t>
                    </w:r>
                    <w:r w:rsidRPr="00573358">
                      <w:rPr>
                        <w:bCs/>
                        <w:color w:val="000000"/>
                      </w:rPr>
                      <w:t>*</w:t>
                    </w:r>
                  </w:p>
                </w:txbxContent>
              </v:textbox>
            </v:shape>
            <v:line id="_x0000_s1122" style="position:absolute;mso-wrap-style:none;v-text-anchor:middle" from="3931,8185" to="11001,8186"/>
            <v:shape id="_x0000_s1123" type="#_x0000_t202" style="position:absolute;left:5781;top:7776;width:3954;height:408" filled="f" fillcolor="#bbe0e3" stroked="f">
              <v:textbox style="mso-next-textbox:#_x0000_s1123">
                <w:txbxContent>
                  <w:p w:rsidR="005D46D3" w:rsidRPr="00C912C1" w:rsidRDefault="005D46D3" w:rsidP="005D46D3">
                    <w:pPr>
                      <w:spacing w:before="0"/>
                      <w:rPr>
                        <w:color w:val="000000"/>
                        <w:lang w:val="fr-CH"/>
                      </w:rPr>
                    </w:pPr>
                    <w:r w:rsidRPr="00C912C1">
                      <w:rPr>
                        <w:color w:val="000000"/>
                        <w:lang w:val="fr-CH"/>
                      </w:rPr>
                      <w:t>Nature du récipiendaire du “service”</w:t>
                    </w:r>
                  </w:p>
                </w:txbxContent>
              </v:textbox>
            </v:shape>
            <v:shape id="_x0000_s1124" type="#_x0000_t202" style="position:absolute;left:7476;top:8313;width:3505;height:823" filled="f" fillcolor="#bbe0e3" stroked="f">
              <v:textbox style="mso-next-textbox:#_x0000_s1124">
                <w:txbxContent>
                  <w:p w:rsidR="005D46D3" w:rsidRPr="00190938" w:rsidRDefault="005D46D3" w:rsidP="005D46D3">
                    <w:pPr>
                      <w:spacing w:before="0"/>
                      <w:jc w:val="center"/>
                      <w:rPr>
                        <w:bCs/>
                        <w:color w:val="000000"/>
                        <w:lang w:val="fr-FR"/>
                      </w:rPr>
                    </w:pPr>
                    <w:r w:rsidRPr="00190938">
                      <w:rPr>
                        <w:bCs/>
                        <w:color w:val="000000"/>
                        <w:lang w:val="fr-FR"/>
                      </w:rPr>
                      <w:t>Parlement, gouvernement, autres entités de l’administration</w:t>
                    </w:r>
                  </w:p>
                </w:txbxContent>
              </v:textbox>
            </v:shape>
            <v:shape id="_x0000_s1125" type="#_x0000_t202" style="position:absolute;left:4506;top:8368;width:2535;height:598" filled="f" fillcolor="#bbe0e3" stroked="f">
              <v:textbox style="mso-next-textbox:#_x0000_s1125">
                <w:txbxContent>
                  <w:p w:rsidR="005D46D3" w:rsidRPr="00573358" w:rsidRDefault="005D46D3" w:rsidP="005D46D3">
                    <w:pPr>
                      <w:spacing w:before="0"/>
                      <w:rPr>
                        <w:bCs/>
                        <w:color w:val="000000"/>
                      </w:rPr>
                    </w:pPr>
                    <w:r w:rsidRPr="00573358">
                      <w:rPr>
                        <w:bCs/>
                        <w:color w:val="000000"/>
                      </w:rPr>
                      <w:t>Partie tierce privée</w:t>
                    </w:r>
                  </w:p>
                </w:txbxContent>
              </v:textbox>
            </v:shape>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126" type="#_x0000_t172" style="position:absolute;left:4701;top:9266;width:2115;height:892" adj="7802" fillcolor="black">
              <v:shadow color="#868686"/>
              <v:textpath style="font-family:&quot;Verdana&quot;;font-size:12pt;v-text-kern:t" trim="t" fitpath="t" string="Précepte pour financer &#10;les &quot;services&quot;"/>
            </v:shape>
            <v:shape id="_x0000_s1127" type="#_x0000_t172" style="position:absolute;left:8166;top:10886;width:2115;height:892" adj="7802" fillcolor="black">
              <v:shadow color="#868686"/>
              <v:textpath style="font-family:&quot;Verdana&quot;;font-size:12pt;v-text-kern:t" trim="t" fitpath="t" string="Précepte pour financer &#10;les &quot;services&quot;"/>
            </v:shape>
            <v:shape id="_x0000_s1128" type="#_x0000_t202" style="position:absolute;left:7849;top:9086;width:2896;height:1080" filled="f" fillcolor="#bbe0e3" stroked="f">
              <v:textbox style="mso-next-textbox:#_x0000_s1128">
                <w:txbxContent>
                  <w:p w:rsidR="005D46D3" w:rsidRPr="00190938" w:rsidRDefault="005D46D3" w:rsidP="005D46D3">
                    <w:pPr>
                      <w:spacing w:before="0"/>
                      <w:rPr>
                        <w:bCs/>
                        <w:color w:val="000000"/>
                        <w:lang w:val="fr-FR"/>
                      </w:rPr>
                    </w:pPr>
                    <w:r w:rsidRPr="00190938">
                      <w:rPr>
                        <w:bCs/>
                        <w:color w:val="000000"/>
                        <w:lang w:val="fr-FR"/>
                      </w:rPr>
                      <w:t>Lorsque le récipiendaire peut être considéré comme une partie tierce privée</w:t>
                    </w:r>
                  </w:p>
                </w:txbxContent>
              </v:textbox>
            </v:shape>
            <v:shape id="_x0000_s1129" type="#_x0000_t202" style="position:absolute;left:4016;top:10706;width:3408;height:899" filled="f" fillcolor="#bbe0e3" stroked="f">
              <v:textbox style="mso-next-textbox:#_x0000_s1129">
                <w:txbxContent>
                  <w:p w:rsidR="005D46D3" w:rsidRPr="00190938" w:rsidRDefault="005D46D3" w:rsidP="005D46D3">
                    <w:pPr>
                      <w:jc w:val="center"/>
                      <w:rPr>
                        <w:bCs/>
                        <w:color w:val="000000"/>
                        <w:lang w:val="fr-FR"/>
                      </w:rPr>
                    </w:pPr>
                    <w:r w:rsidRPr="00190938">
                      <w:rPr>
                        <w:bCs/>
                        <w:color w:val="000000"/>
                        <w:lang w:val="fr-FR"/>
                      </w:rPr>
                      <w:t>Lorsque la loi prévoit qu’une facturation n’a pas lieu</w:t>
                    </w:r>
                  </w:p>
                </w:txbxContent>
              </v:textbox>
            </v:shape>
            <v:shape id="_x0000_s1130" type="#_x0000_t202" style="position:absolute;left:1812;top:12026;width:9360;height:814" filled="f" stroked="f">
              <v:textbox style="mso-next-textbox:#_x0000_s1130">
                <w:txbxContent>
                  <w:p w:rsidR="005D46D3" w:rsidRPr="006012EE" w:rsidRDefault="005D46D3" w:rsidP="005D46D3">
                    <w:pPr>
                      <w:pStyle w:val="CEORevision2"/>
                      <w:tabs>
                        <w:tab w:val="left" w:pos="-5245"/>
                        <w:tab w:val="left" w:pos="284"/>
                      </w:tabs>
                      <w:ind w:left="284" w:hanging="284"/>
                      <w:rPr>
                        <w:lang w:val="fr-FR"/>
                      </w:rPr>
                    </w:pPr>
                    <w:r w:rsidRPr="006012EE">
                      <w:rPr>
                        <w:lang w:val="fr-FR"/>
                      </w:rPr>
                      <w:t>*</w:t>
                    </w:r>
                    <w:r w:rsidRPr="006012EE">
                      <w:rPr>
                        <w:lang w:val="fr-FR"/>
                      </w:rPr>
                      <w:tab/>
                      <w:t xml:space="preserve">En Suisse, la part requise du budget général est couverte d’un point de vue calculatoire par les revenus totaux provenant de la perception des </w:t>
                    </w:r>
                    <w:r w:rsidRPr="006012EE">
                      <w:rPr>
                        <w:b/>
                        <w:lang w:val="fr-FR"/>
                      </w:rPr>
                      <w:t>taxes d’utilisation du spectre</w:t>
                    </w:r>
                  </w:p>
                </w:txbxContent>
              </v:textbox>
            </v:shape>
            <w10:wrap type="none"/>
            <w10:anchorlock/>
          </v:group>
        </w:pict>
      </w:r>
    </w:p>
    <w:p w:rsidR="005D46D3" w:rsidRDefault="005D46D3" w:rsidP="005D46D3">
      <w:pPr>
        <w:tabs>
          <w:tab w:val="clear" w:pos="794"/>
          <w:tab w:val="clear" w:pos="1191"/>
          <w:tab w:val="clear" w:pos="1588"/>
          <w:tab w:val="clear" w:pos="1985"/>
        </w:tabs>
        <w:overflowPunct/>
        <w:autoSpaceDE/>
        <w:autoSpaceDN/>
        <w:adjustRightInd/>
        <w:spacing w:before="0"/>
        <w:jc w:val="left"/>
        <w:textAlignment w:val="auto"/>
        <w:rPr>
          <w:lang w:val="fr-CH"/>
        </w:rPr>
      </w:pPr>
    </w:p>
    <w:p w:rsidR="005D46D3" w:rsidRPr="00B97E80" w:rsidRDefault="005D46D3" w:rsidP="005D46D3">
      <w:pPr>
        <w:tabs>
          <w:tab w:val="clear" w:pos="794"/>
          <w:tab w:val="clear" w:pos="1191"/>
          <w:tab w:val="clear" w:pos="1588"/>
          <w:tab w:val="clear" w:pos="1985"/>
        </w:tabs>
        <w:overflowPunct/>
        <w:autoSpaceDE/>
        <w:autoSpaceDN/>
        <w:adjustRightInd/>
        <w:spacing w:before="0"/>
        <w:jc w:val="left"/>
        <w:textAlignment w:val="auto"/>
        <w:rPr>
          <w:lang w:val="fr-CH"/>
        </w:rPr>
      </w:pPr>
    </w:p>
    <w:p w:rsidR="005D46D3" w:rsidRDefault="005D46D3" w:rsidP="00610AD5">
      <w:pPr>
        <w:tabs>
          <w:tab w:val="clear" w:pos="794"/>
          <w:tab w:val="clear" w:pos="1191"/>
          <w:tab w:val="clear" w:pos="1588"/>
          <w:tab w:val="clear" w:pos="1985"/>
        </w:tabs>
        <w:overflowPunct/>
        <w:autoSpaceDE/>
        <w:autoSpaceDN/>
        <w:adjustRightInd/>
        <w:spacing w:before="0"/>
        <w:jc w:val="left"/>
        <w:textAlignment w:val="auto"/>
        <w:rPr>
          <w:lang w:val="fr-CH"/>
        </w:rPr>
      </w:pPr>
    </w:p>
    <w:p w:rsidR="005D46D3" w:rsidRPr="005D46D3" w:rsidRDefault="005D46D3" w:rsidP="00610AD5">
      <w:pPr>
        <w:tabs>
          <w:tab w:val="clear" w:pos="794"/>
          <w:tab w:val="clear" w:pos="1191"/>
          <w:tab w:val="clear" w:pos="1588"/>
          <w:tab w:val="clear" w:pos="1985"/>
        </w:tabs>
        <w:overflowPunct/>
        <w:autoSpaceDE/>
        <w:autoSpaceDN/>
        <w:adjustRightInd/>
        <w:spacing w:before="0"/>
        <w:jc w:val="left"/>
        <w:textAlignment w:val="auto"/>
        <w:rPr>
          <w:lang w:val="fr-CH"/>
        </w:rPr>
      </w:pPr>
    </w:p>
    <w:p w:rsidR="00610AD5" w:rsidRPr="005D46D3" w:rsidRDefault="00610AD5" w:rsidP="00610AD5">
      <w:pPr>
        <w:tabs>
          <w:tab w:val="clear" w:pos="794"/>
          <w:tab w:val="clear" w:pos="1191"/>
          <w:tab w:val="clear" w:pos="1588"/>
          <w:tab w:val="clear" w:pos="1985"/>
        </w:tabs>
        <w:overflowPunct/>
        <w:autoSpaceDE/>
        <w:autoSpaceDN/>
        <w:adjustRightInd/>
        <w:spacing w:before="0"/>
        <w:jc w:val="left"/>
        <w:textAlignment w:val="auto"/>
        <w:rPr>
          <w:lang w:val="fr-CH"/>
        </w:rPr>
      </w:pPr>
      <w:r w:rsidRPr="005D46D3">
        <w:rPr>
          <w:lang w:val="fr-CH"/>
        </w:rPr>
        <w:br w:type="page"/>
      </w:r>
    </w:p>
    <w:p w:rsidR="00610AD5" w:rsidRPr="00610AD5" w:rsidRDefault="00610AD5" w:rsidP="00AB490D">
      <w:pPr>
        <w:pStyle w:val="AppendixNotitle"/>
      </w:pPr>
      <w:bookmarkStart w:id="656" w:name="_Toc280260063"/>
      <w:bookmarkStart w:id="657" w:name="_Toc280260912"/>
      <w:bookmarkStart w:id="658" w:name="_Toc280272524"/>
      <w:r w:rsidRPr="00610AD5">
        <w:lastRenderedPageBreak/>
        <w:t>Appendix 3.1 (English)</w:t>
      </w:r>
      <w:r w:rsidRPr="00610AD5">
        <w:br/>
      </w:r>
      <w:r w:rsidRPr="00610AD5">
        <w:br/>
        <w:t xml:space="preserve">Example of fee system for frequency utilization in </w:t>
      </w:r>
      <w:smartTag w:uri="urn:schemas-microsoft-com:office:smarttags" w:element="place">
        <w:smartTag w:uri="urn:schemas-microsoft-com:office:smarttags" w:element="country-region">
          <w:r w:rsidRPr="00610AD5">
            <w:t>Côte d'Ivoire</w:t>
          </w:r>
        </w:smartTag>
      </w:smartTag>
      <w:bookmarkEnd w:id="656"/>
      <w:bookmarkEnd w:id="657"/>
      <w:bookmarkEnd w:id="658"/>
    </w:p>
    <w:p w:rsidR="00610AD5" w:rsidRPr="00610AD5" w:rsidRDefault="00610AD5" w:rsidP="00610AD5"/>
    <w:p w:rsidR="00610AD5" w:rsidRPr="00610AD5" w:rsidRDefault="00610AD5" w:rsidP="00610AD5">
      <w:pPr>
        <w:keepNext/>
        <w:keepLines/>
        <w:spacing w:before="360"/>
        <w:ind w:left="794" w:hanging="794"/>
        <w:outlineLvl w:val="0"/>
        <w:rPr>
          <w:b/>
        </w:rPr>
      </w:pPr>
      <w:bookmarkStart w:id="659" w:name="_Toc280260064"/>
      <w:bookmarkStart w:id="660" w:name="_Toc280260913"/>
      <w:bookmarkStart w:id="661" w:name="_Toc280272525"/>
      <w:r w:rsidRPr="00610AD5">
        <w:rPr>
          <w:b/>
        </w:rPr>
        <w:t>I</w:t>
      </w:r>
      <w:r w:rsidRPr="00610AD5">
        <w:rPr>
          <w:b/>
          <w:i/>
          <w:iCs/>
        </w:rPr>
        <w:tab/>
      </w:r>
      <w:r w:rsidRPr="00610AD5">
        <w:rPr>
          <w:b/>
        </w:rPr>
        <w:t>INTRODUCTION</w:t>
      </w:r>
      <w:bookmarkEnd w:id="659"/>
      <w:bookmarkEnd w:id="660"/>
      <w:bookmarkEnd w:id="661"/>
    </w:p>
    <w:p w:rsidR="00610AD5" w:rsidRPr="00610AD5" w:rsidRDefault="00610AD5" w:rsidP="00610AD5">
      <w:pPr>
        <w:rPr>
          <w:lang w:val="en-US"/>
        </w:rPr>
      </w:pPr>
      <w:r w:rsidRPr="00610AD5">
        <w:rPr>
          <w:lang w:val="en-US"/>
        </w:rPr>
        <w:t xml:space="preserve">It is important for the administration to identify how to ensure that it receives sufficient income to cover the costs of an effective spectrum management programme. The sound financing of spectrum management may prove decisive in the successful introduction of new spectrum-using services, and their harmful interference-free operation. </w:t>
      </w:r>
    </w:p>
    <w:p w:rsidR="00610AD5" w:rsidRPr="00610AD5" w:rsidRDefault="00610AD5" w:rsidP="00610AD5">
      <w:pPr>
        <w:rPr>
          <w:lang w:val="en-US"/>
        </w:rPr>
      </w:pPr>
      <w:r w:rsidRPr="00610AD5">
        <w:rPr>
          <w:lang w:val="en-US"/>
        </w:rPr>
        <w:t>In addition, a properly financed national spectrum management programme offers opportunities to service providers and equipment manufacturers, thus greatly contributing to economic growth.</w:t>
      </w:r>
    </w:p>
    <w:p w:rsidR="00610AD5" w:rsidRPr="00610AD5" w:rsidRDefault="00610AD5" w:rsidP="00610AD5">
      <w:pPr>
        <w:rPr>
          <w:lang w:val="en-US"/>
        </w:rPr>
      </w:pPr>
      <w:r w:rsidRPr="00610AD5">
        <w:rPr>
          <w:lang w:val="en-US"/>
        </w:rPr>
        <w:t>On the contrary, poor financing can mean the failure or delayed implementation of important radiocommunication services.</w:t>
      </w:r>
    </w:p>
    <w:p w:rsidR="00610AD5" w:rsidRPr="00610AD5" w:rsidRDefault="00610AD5" w:rsidP="00610AD5">
      <w:pPr>
        <w:rPr>
          <w:lang w:val="en-US"/>
        </w:rPr>
      </w:pPr>
      <w:r w:rsidRPr="00610AD5">
        <w:rPr>
          <w:lang w:val="en-US"/>
        </w:rPr>
        <w:t>To provide for this financing, charges and fees for licences are charged to spectrum users. The amount charged depends on the extent of spectrum utilization and the economic advantage deriving therefrom.</w:t>
      </w:r>
    </w:p>
    <w:p w:rsidR="00610AD5" w:rsidRPr="00610AD5" w:rsidRDefault="00610AD5" w:rsidP="00610AD5">
      <w:pPr>
        <w:keepNext/>
        <w:keepLines/>
        <w:spacing w:before="360"/>
        <w:ind w:left="794" w:hanging="794"/>
        <w:outlineLvl w:val="0"/>
        <w:rPr>
          <w:b/>
        </w:rPr>
      </w:pPr>
      <w:bookmarkStart w:id="662" w:name="_Toc280260065"/>
      <w:bookmarkStart w:id="663" w:name="_Toc280260914"/>
      <w:bookmarkStart w:id="664" w:name="_Toc280272526"/>
      <w:r w:rsidRPr="00610AD5">
        <w:rPr>
          <w:b/>
        </w:rPr>
        <w:t>II</w:t>
      </w:r>
      <w:r w:rsidRPr="00610AD5">
        <w:rPr>
          <w:b/>
        </w:rPr>
        <w:tab/>
        <w:t>RADIO NETWORK INVOICING SYSTEM</w:t>
      </w:r>
      <w:bookmarkEnd w:id="662"/>
      <w:bookmarkEnd w:id="663"/>
      <w:bookmarkEnd w:id="664"/>
    </w:p>
    <w:p w:rsidR="00610AD5" w:rsidRPr="00610AD5" w:rsidRDefault="00610AD5" w:rsidP="00610AD5">
      <w:pPr>
        <w:rPr>
          <w:lang w:val="en-US"/>
        </w:rPr>
      </w:pPr>
      <w:r w:rsidRPr="00610AD5">
        <w:rPr>
          <w:lang w:val="en-US"/>
        </w:rPr>
        <w:t>Charging in Côte d'Ivoire is based on the following:</w:t>
      </w:r>
    </w:p>
    <w:p w:rsidR="00610AD5" w:rsidRPr="00610AD5" w:rsidRDefault="00610AD5" w:rsidP="00867C40">
      <w:pPr>
        <w:pStyle w:val="enumlev1"/>
      </w:pPr>
      <w:r w:rsidRPr="00610AD5">
        <w:t>a)</w:t>
      </w:r>
      <w:r w:rsidRPr="00610AD5">
        <w:tab/>
        <w:t>the radio frequency;</w:t>
      </w:r>
    </w:p>
    <w:p w:rsidR="00610AD5" w:rsidRPr="00610AD5" w:rsidRDefault="00610AD5" w:rsidP="00867C40">
      <w:pPr>
        <w:pStyle w:val="enumlev1"/>
      </w:pPr>
      <w:r w:rsidRPr="00610AD5">
        <w:t>b)</w:t>
      </w:r>
      <w:r w:rsidRPr="00610AD5">
        <w:tab/>
        <w:t>the amount of spectrum assigned, e.g. bandwidth;</w:t>
      </w:r>
    </w:p>
    <w:p w:rsidR="00610AD5" w:rsidRPr="00610AD5" w:rsidRDefault="00610AD5" w:rsidP="00867C40">
      <w:pPr>
        <w:pStyle w:val="enumlev1"/>
      </w:pPr>
      <w:r w:rsidRPr="00610AD5">
        <w:t>c)</w:t>
      </w:r>
      <w:r w:rsidRPr="00610AD5">
        <w:tab/>
        <w:t>the channels or links;</w:t>
      </w:r>
    </w:p>
    <w:p w:rsidR="00610AD5" w:rsidRPr="00610AD5" w:rsidRDefault="00610AD5" w:rsidP="00867C40">
      <w:pPr>
        <w:pStyle w:val="enumlev1"/>
      </w:pPr>
      <w:r w:rsidRPr="00610AD5">
        <w:t>d)</w:t>
      </w:r>
      <w:r w:rsidRPr="00610AD5">
        <w:tab/>
        <w:t>the load level of the channels (or links) (bit rate, capacity);</w:t>
      </w:r>
    </w:p>
    <w:p w:rsidR="00610AD5" w:rsidRPr="00610AD5" w:rsidRDefault="00610AD5" w:rsidP="00867C40">
      <w:pPr>
        <w:pStyle w:val="enumlev1"/>
      </w:pPr>
      <w:r w:rsidRPr="00610AD5">
        <w:t>e)</w:t>
      </w:r>
      <w:r w:rsidRPr="00610AD5">
        <w:tab/>
        <w:t>the spectrum efficiency of equipment used;</w:t>
      </w:r>
    </w:p>
    <w:p w:rsidR="00610AD5" w:rsidRPr="00610AD5" w:rsidRDefault="00610AD5" w:rsidP="00867C40">
      <w:pPr>
        <w:pStyle w:val="enumlev1"/>
      </w:pPr>
      <w:r w:rsidRPr="00610AD5">
        <w:t>f)</w:t>
      </w:r>
      <w:r w:rsidRPr="00610AD5">
        <w:tab/>
        <w:t>power and coverage area;</w:t>
      </w:r>
    </w:p>
    <w:p w:rsidR="00610AD5" w:rsidRPr="00610AD5" w:rsidRDefault="00610AD5" w:rsidP="00867C40">
      <w:pPr>
        <w:pStyle w:val="enumlev1"/>
      </w:pPr>
      <w:r w:rsidRPr="00610AD5">
        <w:t>g)</w:t>
      </w:r>
      <w:r w:rsidRPr="00610AD5">
        <w:tab/>
        <w:t>nature of frequency utilization (private or commercial);</w:t>
      </w:r>
    </w:p>
    <w:p w:rsidR="00610AD5" w:rsidRPr="00610AD5" w:rsidRDefault="00610AD5" w:rsidP="00867C40">
      <w:pPr>
        <w:pStyle w:val="enumlev1"/>
      </w:pPr>
      <w:r w:rsidRPr="00610AD5">
        <w:t>h)</w:t>
      </w:r>
      <w:r w:rsidRPr="00610AD5">
        <w:tab/>
        <w:t>geographical location.</w:t>
      </w:r>
    </w:p>
    <w:p w:rsidR="00610AD5" w:rsidRPr="00610AD5" w:rsidRDefault="00610AD5" w:rsidP="00610AD5">
      <w:pPr>
        <w:tabs>
          <w:tab w:val="clear" w:pos="794"/>
          <w:tab w:val="clear" w:pos="1191"/>
          <w:tab w:val="clear" w:pos="1588"/>
          <w:tab w:val="clear" w:pos="1985"/>
        </w:tabs>
        <w:overflowPunct/>
        <w:autoSpaceDE/>
        <w:autoSpaceDN/>
        <w:adjustRightInd/>
        <w:jc w:val="left"/>
        <w:textAlignment w:val="auto"/>
        <w:rPr>
          <w:rFonts w:asciiTheme="majorBidi" w:eastAsia="SimSun" w:hAnsiTheme="majorBidi" w:cstheme="majorBidi"/>
          <w:szCs w:val="22"/>
          <w:lang w:val="en-US"/>
        </w:rPr>
      </w:pPr>
      <w:r w:rsidRPr="00610AD5">
        <w:rPr>
          <w:rFonts w:asciiTheme="majorBidi" w:eastAsia="SimSun" w:hAnsiTheme="majorBidi" w:cstheme="majorBidi"/>
          <w:szCs w:val="22"/>
          <w:lang w:val="en-US"/>
        </w:rPr>
        <w:t>Given the complexity of the frequency assignment operations, fees are calculated for each type of licence.</w:t>
      </w:r>
    </w:p>
    <w:p w:rsidR="00610AD5" w:rsidRPr="00610AD5" w:rsidRDefault="00610AD5" w:rsidP="00610AD5">
      <w:pPr>
        <w:tabs>
          <w:tab w:val="clear" w:pos="794"/>
          <w:tab w:val="clear" w:pos="1191"/>
          <w:tab w:val="clear" w:pos="1588"/>
          <w:tab w:val="clear" w:pos="1985"/>
        </w:tabs>
        <w:overflowPunct/>
        <w:autoSpaceDE/>
        <w:autoSpaceDN/>
        <w:adjustRightInd/>
        <w:jc w:val="left"/>
        <w:textAlignment w:val="auto"/>
        <w:rPr>
          <w:rFonts w:asciiTheme="majorBidi" w:eastAsia="SimSun" w:hAnsiTheme="majorBidi" w:cstheme="majorBidi"/>
          <w:szCs w:val="22"/>
          <w:lang w:val="en-US"/>
        </w:rPr>
      </w:pPr>
      <w:r w:rsidRPr="00610AD5">
        <w:rPr>
          <w:rFonts w:asciiTheme="majorBidi" w:eastAsia="SimSun" w:hAnsiTheme="majorBidi" w:cstheme="majorBidi"/>
          <w:szCs w:val="22"/>
          <w:lang w:val="en-US"/>
        </w:rPr>
        <w:t>Côte d'Ivoire legislation (decree 97-173 of 19 March 1997) thus establishes five (05) items for invoicing the various different networks, as follows:</w:t>
      </w:r>
    </w:p>
    <w:p w:rsidR="00610AD5" w:rsidRPr="00610AD5" w:rsidRDefault="00610AD5" w:rsidP="00867C40">
      <w:pPr>
        <w:pStyle w:val="enumlev1"/>
      </w:pPr>
      <w:r w:rsidRPr="00610AD5">
        <w:t>–</w:t>
      </w:r>
      <w:r w:rsidRPr="00610AD5">
        <w:tab/>
        <w:t>file fee;</w:t>
      </w:r>
    </w:p>
    <w:p w:rsidR="00610AD5" w:rsidRPr="00610AD5" w:rsidRDefault="00610AD5" w:rsidP="00867C40">
      <w:pPr>
        <w:pStyle w:val="enumlev1"/>
      </w:pPr>
      <w:r w:rsidRPr="00610AD5">
        <w:t>–</w:t>
      </w:r>
      <w:r w:rsidRPr="00610AD5">
        <w:tab/>
        <w:t>radio station control fee;</w:t>
      </w:r>
    </w:p>
    <w:p w:rsidR="00610AD5" w:rsidRPr="00610AD5" w:rsidRDefault="00610AD5" w:rsidP="00867C40">
      <w:pPr>
        <w:pStyle w:val="enumlev1"/>
        <w:rPr>
          <w:lang w:val="en-US"/>
        </w:rPr>
      </w:pPr>
      <w:r w:rsidRPr="00610AD5">
        <w:rPr>
          <w:lang w:val="en-US"/>
        </w:rPr>
        <w:t>–</w:t>
      </w:r>
      <w:r w:rsidRPr="00610AD5">
        <w:rPr>
          <w:lang w:val="en-US"/>
        </w:rPr>
        <w:tab/>
        <w:t>contribution to offsetting management costs;</w:t>
      </w:r>
    </w:p>
    <w:p w:rsidR="00610AD5" w:rsidRPr="00610AD5" w:rsidRDefault="00610AD5" w:rsidP="00867C40">
      <w:pPr>
        <w:pStyle w:val="enumlev1"/>
      </w:pPr>
      <w:r w:rsidRPr="00610AD5">
        <w:t>–</w:t>
      </w:r>
      <w:r w:rsidRPr="00610AD5">
        <w:tab/>
        <w:t>radio frequency utilization fee;</w:t>
      </w:r>
    </w:p>
    <w:p w:rsidR="00610AD5" w:rsidRPr="00610AD5" w:rsidRDefault="00610AD5" w:rsidP="00867C40">
      <w:pPr>
        <w:pStyle w:val="enumlev1"/>
      </w:pPr>
      <w:r w:rsidRPr="00610AD5">
        <w:t>–</w:t>
      </w:r>
      <w:r w:rsidRPr="00610AD5">
        <w:tab/>
        <w:t>sticker fee.</w:t>
      </w:r>
    </w:p>
    <w:p w:rsidR="00610AD5" w:rsidRPr="00610AD5" w:rsidRDefault="00610AD5" w:rsidP="00610AD5">
      <w:pPr>
        <w:rPr>
          <w:lang w:val="en-US"/>
        </w:rPr>
      </w:pPr>
      <w:r w:rsidRPr="00610AD5">
        <w:rPr>
          <w:lang w:val="en-US"/>
        </w:rPr>
        <w:t>All the amounts are established on a lump-sum basis.</w:t>
      </w:r>
    </w:p>
    <w:p w:rsidR="00610AD5" w:rsidRPr="00610AD5" w:rsidRDefault="00610AD5" w:rsidP="00610AD5">
      <w:pPr>
        <w:rPr>
          <w:b/>
          <w:bCs/>
        </w:rPr>
      </w:pPr>
      <w:r w:rsidRPr="00610AD5">
        <w:rPr>
          <w:b/>
          <w:bCs/>
        </w:rPr>
        <w:t>File fee</w:t>
      </w:r>
    </w:p>
    <w:p w:rsidR="00610AD5" w:rsidRPr="00610AD5" w:rsidRDefault="00610AD5" w:rsidP="00610AD5">
      <w:pPr>
        <w:rPr>
          <w:lang w:val="en-US"/>
        </w:rPr>
      </w:pPr>
      <w:r w:rsidRPr="00610AD5">
        <w:rPr>
          <w:lang w:val="en-US"/>
        </w:rPr>
        <w:t>The file fee covers the costs of studying and opening a file.</w:t>
      </w:r>
    </w:p>
    <w:p w:rsidR="00610AD5" w:rsidRPr="00610AD5" w:rsidRDefault="00610AD5" w:rsidP="00610AD5">
      <w:pPr>
        <w:rPr>
          <w:lang w:val="en-US"/>
        </w:rPr>
      </w:pPr>
      <w:r w:rsidRPr="00610AD5">
        <w:rPr>
          <w:lang w:val="en-US"/>
        </w:rPr>
        <w:t>It is payable once only when files are submitted and is not refundable.</w:t>
      </w:r>
    </w:p>
    <w:p w:rsidR="00610AD5" w:rsidRPr="00610AD5" w:rsidRDefault="00610AD5" w:rsidP="00610AD5">
      <w:pPr>
        <w:rPr>
          <w:b/>
          <w:bCs/>
        </w:rPr>
      </w:pPr>
      <w:r w:rsidRPr="00610AD5">
        <w:rPr>
          <w:b/>
          <w:bCs/>
        </w:rPr>
        <w:t>Control fee</w:t>
      </w:r>
    </w:p>
    <w:p w:rsidR="00610AD5" w:rsidRPr="00610AD5" w:rsidRDefault="00610AD5" w:rsidP="00610AD5">
      <w:pPr>
        <w:rPr>
          <w:lang w:val="en-US"/>
        </w:rPr>
      </w:pPr>
      <w:r w:rsidRPr="00610AD5">
        <w:rPr>
          <w:lang w:val="en-US"/>
        </w:rPr>
        <w:t>The control fee represents the cost of controlling the operator's or licensees' equipment.</w:t>
      </w:r>
    </w:p>
    <w:p w:rsidR="00610AD5" w:rsidRPr="00610AD5" w:rsidRDefault="00610AD5" w:rsidP="00610AD5">
      <w:pPr>
        <w:rPr>
          <w:lang w:val="en-US"/>
        </w:rPr>
      </w:pPr>
      <w:r w:rsidRPr="00610AD5">
        <w:rPr>
          <w:lang w:val="en-US"/>
        </w:rPr>
        <w:lastRenderedPageBreak/>
        <w:t>It takes account of transmitter power or station type (relay or terminal). It is payable for the entire year, regardless of the date of bringing into service of network.</w:t>
      </w:r>
    </w:p>
    <w:p w:rsidR="00610AD5" w:rsidRPr="00610AD5" w:rsidRDefault="00610AD5" w:rsidP="00610AD5">
      <w:pPr>
        <w:rPr>
          <w:b/>
          <w:bCs/>
        </w:rPr>
      </w:pPr>
      <w:r w:rsidRPr="00610AD5">
        <w:rPr>
          <w:b/>
          <w:bCs/>
        </w:rPr>
        <w:t>Contribution to offsetting management costs</w:t>
      </w:r>
    </w:p>
    <w:p w:rsidR="00610AD5" w:rsidRPr="00610AD5" w:rsidRDefault="00610AD5" w:rsidP="00610AD5">
      <w:pPr>
        <w:rPr>
          <w:lang w:val="en-US"/>
        </w:rPr>
      </w:pPr>
      <w:r w:rsidRPr="00610AD5">
        <w:rPr>
          <w:lang w:val="en-US"/>
        </w:rPr>
        <w:t>The contribution to offsetting management costs represents the fees related to management of the licence or network, for example in the case of settlement of disputes between operators or between operators and the public, and licence renewal.</w:t>
      </w:r>
    </w:p>
    <w:p w:rsidR="00610AD5" w:rsidRPr="00610AD5" w:rsidRDefault="00610AD5" w:rsidP="00610AD5">
      <w:pPr>
        <w:rPr>
          <w:lang w:val="en-US"/>
        </w:rPr>
      </w:pPr>
      <w:r w:rsidRPr="00610AD5">
        <w:rPr>
          <w:lang w:val="en-US"/>
        </w:rPr>
        <w:t>It is payable for the entire year regardless of the date on which the network is established. It is not refundable, and is calculated based on network size and coverage area (local, regional or national).</w:t>
      </w:r>
    </w:p>
    <w:p w:rsidR="00610AD5" w:rsidRPr="00610AD5" w:rsidRDefault="00610AD5" w:rsidP="00610AD5">
      <w:pPr>
        <w:rPr>
          <w:b/>
          <w:bCs/>
        </w:rPr>
      </w:pPr>
      <w:r w:rsidRPr="00610AD5">
        <w:rPr>
          <w:b/>
          <w:bCs/>
        </w:rPr>
        <w:t>Radio frequency utilization fee</w:t>
      </w:r>
    </w:p>
    <w:p w:rsidR="00610AD5" w:rsidRPr="00610AD5" w:rsidRDefault="00610AD5" w:rsidP="00610AD5">
      <w:pPr>
        <w:rPr>
          <w:lang w:val="en-US"/>
        </w:rPr>
      </w:pPr>
      <w:r w:rsidRPr="00610AD5">
        <w:rPr>
          <w:lang w:val="en-US"/>
        </w:rPr>
        <w:t>This depends:</w:t>
      </w:r>
    </w:p>
    <w:p w:rsidR="00610AD5" w:rsidRPr="00610AD5" w:rsidRDefault="00610AD5" w:rsidP="00867C40">
      <w:pPr>
        <w:pStyle w:val="enumlev1"/>
      </w:pPr>
      <w:r w:rsidRPr="00610AD5">
        <w:rPr>
          <w:rFonts w:eastAsia="SimSun"/>
        </w:rPr>
        <w:t>–</w:t>
      </w:r>
      <w:r w:rsidRPr="00610AD5">
        <w:rPr>
          <w:rFonts w:eastAsia="SimSun"/>
        </w:rPr>
        <w:tab/>
        <w:t>on the number of links establishable in the network or the network size, as for example in the</w:t>
      </w:r>
      <w:r w:rsidRPr="00610AD5">
        <w:t xml:space="preserve"> case of conventional networks, or</w:t>
      </w:r>
    </w:p>
    <w:p w:rsidR="00610AD5" w:rsidRPr="00610AD5" w:rsidRDefault="00610AD5" w:rsidP="00867C40">
      <w:pPr>
        <w:pStyle w:val="enumlev1"/>
      </w:pPr>
      <w:r w:rsidRPr="00610AD5">
        <w:t>–</w:t>
      </w:r>
      <w:r w:rsidRPr="00610AD5">
        <w:tab/>
        <w:t>on the coverage area of the network, amount of spectrum allocated, number of channels, capacity or rate of the link, or</w:t>
      </w:r>
    </w:p>
    <w:p w:rsidR="00610AD5" w:rsidRPr="00610AD5" w:rsidRDefault="00610AD5" w:rsidP="00867C40">
      <w:pPr>
        <w:pStyle w:val="enumlev1"/>
      </w:pPr>
      <w:r w:rsidRPr="00610AD5">
        <w:t>–</w:t>
      </w:r>
      <w:r w:rsidRPr="00610AD5">
        <w:tab/>
        <w:t>on tonnage in the case of fishing vessels.</w:t>
      </w:r>
    </w:p>
    <w:p w:rsidR="00610AD5" w:rsidRPr="00610AD5" w:rsidRDefault="00610AD5" w:rsidP="00610AD5">
      <w:pPr>
        <w:rPr>
          <w:b/>
          <w:bCs/>
        </w:rPr>
      </w:pPr>
      <w:r w:rsidRPr="00610AD5">
        <w:rPr>
          <w:b/>
          <w:bCs/>
        </w:rPr>
        <w:t>Radio sticker</w:t>
      </w:r>
    </w:p>
    <w:p w:rsidR="00610AD5" w:rsidRPr="00610AD5" w:rsidRDefault="00610AD5" w:rsidP="00610AD5">
      <w:pPr>
        <w:rPr>
          <w:lang w:val="en-US"/>
        </w:rPr>
      </w:pPr>
      <w:r w:rsidRPr="00610AD5">
        <w:rPr>
          <w:lang w:val="en-US"/>
        </w:rPr>
        <w:t>The sticker is a label affixed to radio equipment to identify stations authorized following controls.</w:t>
      </w:r>
    </w:p>
    <w:p w:rsidR="00610AD5" w:rsidRPr="00610AD5" w:rsidRDefault="00610AD5" w:rsidP="00610AD5">
      <w:pPr>
        <w:rPr>
          <w:lang w:val="en-US"/>
        </w:rPr>
      </w:pPr>
      <w:r w:rsidRPr="00610AD5">
        <w:rPr>
          <w:lang w:val="en-US"/>
        </w:rPr>
        <w:t>The cost of the sticker depends on the type of station (fixed, mobile, transportable).</w:t>
      </w:r>
    </w:p>
    <w:p w:rsidR="00610AD5" w:rsidRPr="00610AD5" w:rsidRDefault="00610AD5" w:rsidP="00610AD5">
      <w:pPr>
        <w:keepNext/>
        <w:keepLines/>
        <w:spacing w:before="360"/>
        <w:ind w:left="794" w:hanging="794"/>
        <w:outlineLvl w:val="0"/>
        <w:rPr>
          <w:b/>
        </w:rPr>
      </w:pPr>
      <w:bookmarkStart w:id="665" w:name="_Toc280260066"/>
      <w:bookmarkStart w:id="666" w:name="_Toc280260915"/>
      <w:bookmarkStart w:id="667" w:name="_Toc280272527"/>
      <w:r w:rsidRPr="00610AD5">
        <w:rPr>
          <w:b/>
        </w:rPr>
        <w:t>III</w:t>
      </w:r>
      <w:r w:rsidRPr="00610AD5">
        <w:rPr>
          <w:b/>
        </w:rPr>
        <w:tab/>
        <w:t>OTHER RADIO TAXES</w:t>
      </w:r>
      <w:bookmarkEnd w:id="665"/>
      <w:bookmarkEnd w:id="666"/>
      <w:bookmarkEnd w:id="667"/>
    </w:p>
    <w:p w:rsidR="00610AD5" w:rsidRPr="00610AD5" w:rsidRDefault="00610AD5" w:rsidP="00610AD5">
      <w:pPr>
        <w:rPr>
          <w:lang w:val="en-US"/>
        </w:rPr>
      </w:pPr>
      <w:r w:rsidRPr="00610AD5">
        <w:rPr>
          <w:lang w:val="en-US"/>
        </w:rPr>
        <w:t>Over and above the radio fees charged every two months, the following charges are also levied:</w:t>
      </w:r>
    </w:p>
    <w:p w:rsidR="00610AD5" w:rsidRPr="00610AD5" w:rsidRDefault="00610AD5" w:rsidP="00610AD5">
      <w:pPr>
        <w:rPr>
          <w:b/>
          <w:bCs/>
        </w:rPr>
      </w:pPr>
      <w:r w:rsidRPr="00610AD5">
        <w:rPr>
          <w:b/>
          <w:bCs/>
        </w:rPr>
        <w:t>Type approval or authorization fees</w:t>
      </w:r>
    </w:p>
    <w:p w:rsidR="00610AD5" w:rsidRPr="00610AD5" w:rsidRDefault="00610AD5" w:rsidP="00610AD5">
      <w:pPr>
        <w:rPr>
          <w:lang w:val="en-US"/>
        </w:rPr>
      </w:pPr>
      <w:r w:rsidRPr="00610AD5">
        <w:rPr>
          <w:lang w:val="en-US"/>
        </w:rPr>
        <w:t>This is a fee charged when radio equipment is tested for conformity. Authorizations issued to radio equipment installers constitute proof of their competence to install radio equipment.</w:t>
      </w:r>
    </w:p>
    <w:p w:rsidR="00610AD5" w:rsidRPr="00610AD5" w:rsidRDefault="00610AD5" w:rsidP="00610AD5">
      <w:pPr>
        <w:rPr>
          <w:lang w:val="en-US"/>
        </w:rPr>
      </w:pPr>
      <w:r w:rsidRPr="00610AD5">
        <w:rPr>
          <w:lang w:val="en-US"/>
        </w:rPr>
        <w:t>Terminal equipment authorization and the approval of radio equipment installers give rise to payment of the following lump-sum, non-refundable fees:</w:t>
      </w:r>
    </w:p>
    <w:p w:rsidR="00610AD5" w:rsidRPr="00610AD5" w:rsidRDefault="00610AD5" w:rsidP="00867C40">
      <w:pPr>
        <w:pStyle w:val="enumlev1"/>
      </w:pPr>
      <w:r w:rsidRPr="00610AD5">
        <w:t>1)</w:t>
      </w:r>
      <w:r w:rsidRPr="00610AD5">
        <w:tab/>
        <w:t>For equipment: a file fee and technical control fee per item of equipment.</w:t>
      </w:r>
    </w:p>
    <w:p w:rsidR="00610AD5" w:rsidRPr="00610AD5" w:rsidRDefault="00610AD5" w:rsidP="00867C40">
      <w:pPr>
        <w:pStyle w:val="enumlev1"/>
      </w:pPr>
      <w:r w:rsidRPr="00610AD5">
        <w:t>2)</w:t>
      </w:r>
      <w:r w:rsidRPr="00610AD5">
        <w:tab/>
        <w:t>For installers: a file fee and authorization fee are charged when the authorization is delivered or renewed</w:t>
      </w:r>
    </w:p>
    <w:p w:rsidR="00610AD5" w:rsidRPr="00610AD5" w:rsidRDefault="00610AD5" w:rsidP="00610AD5">
      <w:pPr>
        <w:rPr>
          <w:b/>
          <w:bCs/>
        </w:rPr>
      </w:pPr>
      <w:r w:rsidRPr="00610AD5">
        <w:rPr>
          <w:b/>
          <w:bCs/>
        </w:rPr>
        <w:t>Fee for handling complaints of interference</w:t>
      </w:r>
    </w:p>
    <w:p w:rsidR="00610AD5" w:rsidRPr="00610AD5" w:rsidRDefault="00610AD5" w:rsidP="00610AD5">
      <w:pPr>
        <w:rPr>
          <w:lang w:val="en-US"/>
        </w:rPr>
      </w:pPr>
      <w:r w:rsidRPr="00610AD5">
        <w:rPr>
          <w:lang w:val="en-US"/>
        </w:rPr>
        <w:t>This fee is charged to and paid by the licensees or concession holders at fault, and covers administrative costs or costs related to the interventions effected by the Agency's staff.</w:t>
      </w:r>
    </w:p>
    <w:p w:rsidR="00610AD5" w:rsidRPr="00610AD5" w:rsidRDefault="00610AD5" w:rsidP="00610AD5">
      <w:pPr>
        <w:rPr>
          <w:b/>
          <w:bCs/>
        </w:rPr>
      </w:pPr>
      <w:r w:rsidRPr="00610AD5">
        <w:rPr>
          <w:b/>
          <w:bCs/>
        </w:rPr>
        <w:t>Examination fees</w:t>
      </w:r>
    </w:p>
    <w:p w:rsidR="00610AD5" w:rsidRPr="00610AD5" w:rsidRDefault="00610AD5" w:rsidP="00610AD5">
      <w:pPr>
        <w:rPr>
          <w:lang w:val="en-US"/>
        </w:rPr>
      </w:pPr>
      <w:r w:rsidRPr="00610AD5">
        <w:rPr>
          <w:lang w:val="en-US"/>
        </w:rPr>
        <w:t>For the delivery of a radiotelegraph operator's certificate, radiotelephone operator's certificate or dual operator's certificate, examination fees are charged before the tests commence. Fees for the same amount are payable for the delivery of the certificate(s) to military operators.</w:t>
      </w:r>
    </w:p>
    <w:p w:rsidR="00610AD5" w:rsidRPr="00610AD5" w:rsidRDefault="00610AD5" w:rsidP="00610AD5">
      <w:pPr>
        <w:rPr>
          <w:lang w:val="en-US"/>
        </w:rPr>
      </w:pPr>
      <w:r w:rsidRPr="00610AD5">
        <w:rPr>
          <w:lang w:val="en-US"/>
        </w:rPr>
        <w:t xml:space="preserve">For the delivery, renewal or issue of a duplicate of an amateur, aircraft or ship station licence, and that of an operator's certificate, a lump-sum, non-refundable fee is charged. </w:t>
      </w:r>
    </w:p>
    <w:p w:rsidR="00610AD5" w:rsidRPr="00610AD5" w:rsidRDefault="00610AD5" w:rsidP="00610AD5">
      <w:pPr>
        <w:rPr>
          <w:b/>
          <w:bCs/>
        </w:rPr>
      </w:pPr>
      <w:r w:rsidRPr="00610AD5">
        <w:rPr>
          <w:b/>
          <w:bCs/>
        </w:rPr>
        <w:t>Intervention fees</w:t>
      </w:r>
    </w:p>
    <w:p w:rsidR="00610AD5" w:rsidRPr="00610AD5" w:rsidRDefault="00610AD5" w:rsidP="00610AD5">
      <w:pPr>
        <w:rPr>
          <w:lang w:val="en-US"/>
        </w:rPr>
      </w:pPr>
      <w:r w:rsidRPr="00610AD5">
        <w:rPr>
          <w:lang w:val="en-US"/>
        </w:rPr>
        <w:t>Exceptional fees incurred for the investigating interference caused to a regularly used radio frequency or due to the non-conformity of installations give rise to the payment of a lump-sum fee per intervention. This fee is payable by the owner of the station causing interference or of the non-complying installations.</w:t>
      </w:r>
    </w:p>
    <w:p w:rsidR="00610AD5" w:rsidRPr="00610AD5" w:rsidRDefault="00610AD5" w:rsidP="00610AD5">
      <w:pPr>
        <w:tabs>
          <w:tab w:val="clear" w:pos="794"/>
          <w:tab w:val="clear" w:pos="1191"/>
          <w:tab w:val="clear" w:pos="1588"/>
          <w:tab w:val="clear" w:pos="1985"/>
        </w:tabs>
        <w:overflowPunct/>
        <w:autoSpaceDE/>
        <w:autoSpaceDN/>
        <w:adjustRightInd/>
        <w:spacing w:before="0"/>
        <w:jc w:val="left"/>
        <w:textAlignment w:val="auto"/>
      </w:pPr>
      <w:r w:rsidRPr="00610AD5">
        <w:br w:type="page"/>
      </w:r>
    </w:p>
    <w:p w:rsidR="00610AD5" w:rsidRPr="005D46D3" w:rsidRDefault="00610AD5" w:rsidP="00AB490D">
      <w:pPr>
        <w:pStyle w:val="AppendixNotitle"/>
        <w:rPr>
          <w:lang w:val="fr-CH"/>
        </w:rPr>
      </w:pPr>
      <w:bookmarkStart w:id="668" w:name="_Toc280260916"/>
      <w:bookmarkStart w:id="669" w:name="_Toc280272528"/>
      <w:r w:rsidRPr="005D46D3">
        <w:rPr>
          <w:lang w:val="fr-CH"/>
        </w:rPr>
        <w:lastRenderedPageBreak/>
        <w:t>Appendice 3.1 (Français)</w:t>
      </w:r>
      <w:r w:rsidRPr="005D46D3">
        <w:rPr>
          <w:lang w:val="fr-CH"/>
        </w:rPr>
        <w:br/>
      </w:r>
      <w:r w:rsidRPr="005D46D3">
        <w:rPr>
          <w:lang w:val="fr-CH"/>
        </w:rPr>
        <w:br/>
        <w:t>Exemple de système de redevances liées à l'utilisation</w:t>
      </w:r>
      <w:r w:rsidRPr="005D46D3">
        <w:rPr>
          <w:lang w:val="fr-CH"/>
        </w:rPr>
        <w:br/>
        <w:t>des fréquences en Côte d'Ivoire</w:t>
      </w:r>
      <w:bookmarkEnd w:id="668"/>
      <w:bookmarkEnd w:id="669"/>
    </w:p>
    <w:p w:rsidR="00610AD5" w:rsidRPr="00610AD5" w:rsidRDefault="00610AD5" w:rsidP="00610AD5">
      <w:pPr>
        <w:keepNext/>
        <w:keepLines/>
        <w:spacing w:before="360"/>
        <w:ind w:left="794" w:hanging="794"/>
        <w:outlineLvl w:val="0"/>
        <w:rPr>
          <w:b/>
          <w:lang w:val="fr-FR"/>
        </w:rPr>
      </w:pPr>
      <w:bookmarkStart w:id="670" w:name="_Toc280260917"/>
      <w:bookmarkStart w:id="671" w:name="_Toc280272529"/>
      <w:r w:rsidRPr="00610AD5">
        <w:rPr>
          <w:b/>
          <w:lang w:val="fr-FR"/>
        </w:rPr>
        <w:t>I</w:t>
      </w:r>
      <w:r w:rsidRPr="00610AD5">
        <w:rPr>
          <w:b/>
          <w:lang w:val="fr-FR"/>
        </w:rPr>
        <w:tab/>
        <w:t>INTRODUCTION</w:t>
      </w:r>
      <w:bookmarkEnd w:id="670"/>
      <w:bookmarkEnd w:id="671"/>
    </w:p>
    <w:p w:rsidR="00610AD5" w:rsidRPr="005D46D3" w:rsidRDefault="00610AD5" w:rsidP="00610AD5">
      <w:pPr>
        <w:rPr>
          <w:lang w:val="fr-CH"/>
        </w:rPr>
      </w:pPr>
      <w:r w:rsidRPr="005D46D3">
        <w:rPr>
          <w:lang w:val="fr-CH"/>
        </w:rPr>
        <w:t>Il importe que l’administration trouve le moyen de garantir l’obtention de recettes suffisantes pour couvrir les coûts d’un programme effectif de gestion du spectre. Un financement judicieux de la gestion du spectre peut s’avérer décisif pour le succès de la mise en œuvre de nouveaux services utilisateurs du spectre, comme pour leur exploitation en l’absence d’un niveau de brouillage préjudiciable.</w:t>
      </w:r>
    </w:p>
    <w:p w:rsidR="00610AD5" w:rsidRPr="005D46D3" w:rsidRDefault="00610AD5" w:rsidP="00610AD5">
      <w:pPr>
        <w:rPr>
          <w:lang w:val="fr-CH"/>
        </w:rPr>
      </w:pPr>
      <w:r w:rsidRPr="005D46D3">
        <w:rPr>
          <w:lang w:val="fr-CH"/>
        </w:rPr>
        <w:t>De plus, un programme de gestion nationale du spectre correctement financé, offre des possibilités aux fournisseurs de services et aux constructeurs d’équipements, contribuant ainsi largement à la croissance de l’économie.</w:t>
      </w:r>
    </w:p>
    <w:p w:rsidR="00610AD5" w:rsidRPr="005D46D3" w:rsidRDefault="00610AD5" w:rsidP="00610AD5">
      <w:pPr>
        <w:rPr>
          <w:lang w:val="fr-CH"/>
        </w:rPr>
      </w:pPr>
      <w:r w:rsidRPr="005D46D3">
        <w:rPr>
          <w:lang w:val="fr-CH"/>
        </w:rPr>
        <w:t>En revanche, un financement inadéquat risque de faire échouer ou de retarder la mise en œuvre de précieux services de radiocommunications.</w:t>
      </w:r>
    </w:p>
    <w:p w:rsidR="00610AD5" w:rsidRPr="005D46D3" w:rsidRDefault="00610AD5" w:rsidP="00610AD5">
      <w:pPr>
        <w:rPr>
          <w:lang w:val="fr-CH"/>
        </w:rPr>
      </w:pPr>
      <w:r w:rsidRPr="005D46D3">
        <w:rPr>
          <w:lang w:val="fr-CH"/>
        </w:rPr>
        <w:t>Pour faire face à ce financement, des taxes et des redevances au titre des licences sont prélevées auprès des utilisateurs du spectre. Elles sont fonction du degré d’utilisation du spectre et de l’avantage économique retiré de cette utilisation.</w:t>
      </w:r>
    </w:p>
    <w:p w:rsidR="00610AD5" w:rsidRPr="00610AD5" w:rsidRDefault="00610AD5" w:rsidP="00610AD5">
      <w:pPr>
        <w:keepNext/>
        <w:keepLines/>
        <w:spacing w:before="360"/>
        <w:ind w:left="794" w:hanging="794"/>
        <w:outlineLvl w:val="0"/>
        <w:rPr>
          <w:b/>
          <w:lang w:val="fr-FR"/>
        </w:rPr>
      </w:pPr>
      <w:bookmarkStart w:id="672" w:name="_Toc280260918"/>
      <w:bookmarkStart w:id="673" w:name="_Toc280272530"/>
      <w:r w:rsidRPr="00610AD5">
        <w:rPr>
          <w:b/>
          <w:lang w:val="fr-FR"/>
        </w:rPr>
        <w:t>II</w:t>
      </w:r>
      <w:r w:rsidRPr="00610AD5">
        <w:rPr>
          <w:b/>
          <w:lang w:val="fr-FR"/>
        </w:rPr>
        <w:tab/>
        <w:t>SYSTEME DE FACTURATION DES RESEAUX RADIOELCTRIQUES</w:t>
      </w:r>
      <w:bookmarkEnd w:id="672"/>
      <w:bookmarkEnd w:id="673"/>
    </w:p>
    <w:p w:rsidR="00610AD5" w:rsidRPr="005D46D3" w:rsidRDefault="00610AD5" w:rsidP="00610AD5">
      <w:pPr>
        <w:rPr>
          <w:lang w:val="fr-CH"/>
        </w:rPr>
      </w:pPr>
      <w:r w:rsidRPr="005D46D3">
        <w:rPr>
          <w:lang w:val="fr-CH"/>
        </w:rPr>
        <w:t>La taxation en Côte d’Ivoire est fonction des éléments suivants:</w:t>
      </w:r>
    </w:p>
    <w:p w:rsidR="00610AD5" w:rsidRPr="005D46D3" w:rsidRDefault="00610AD5" w:rsidP="00867C40">
      <w:pPr>
        <w:pStyle w:val="enumlev1"/>
        <w:rPr>
          <w:lang w:val="fr-CH"/>
        </w:rPr>
      </w:pPr>
      <w:r w:rsidRPr="005D46D3">
        <w:rPr>
          <w:lang w:val="fr-CH"/>
        </w:rPr>
        <w:t>a)</w:t>
      </w:r>
      <w:r w:rsidRPr="005D46D3">
        <w:rPr>
          <w:lang w:val="fr-CH"/>
        </w:rPr>
        <w:tab/>
        <w:t>la fréquence radioélectrique;</w:t>
      </w:r>
    </w:p>
    <w:p w:rsidR="00610AD5" w:rsidRPr="00610AD5" w:rsidRDefault="00610AD5" w:rsidP="00867C40">
      <w:pPr>
        <w:pStyle w:val="enumlev1"/>
        <w:rPr>
          <w:lang w:val="fr-FR"/>
        </w:rPr>
      </w:pPr>
      <w:r w:rsidRPr="00610AD5">
        <w:rPr>
          <w:lang w:val="fr-FR"/>
        </w:rPr>
        <w:t>b)</w:t>
      </w:r>
      <w:r w:rsidRPr="00610AD5">
        <w:rPr>
          <w:lang w:val="fr-FR"/>
        </w:rPr>
        <w:tab/>
        <w:t>la quantité du spectre assignée, par exemple la largeur de bande;</w:t>
      </w:r>
    </w:p>
    <w:p w:rsidR="00610AD5" w:rsidRPr="00610AD5" w:rsidRDefault="00610AD5" w:rsidP="00867C40">
      <w:pPr>
        <w:pStyle w:val="enumlev1"/>
        <w:rPr>
          <w:lang w:val="fr-FR"/>
        </w:rPr>
      </w:pPr>
      <w:r w:rsidRPr="00610AD5">
        <w:rPr>
          <w:lang w:val="fr-FR"/>
        </w:rPr>
        <w:t>c)</w:t>
      </w:r>
      <w:r w:rsidRPr="00610AD5">
        <w:rPr>
          <w:lang w:val="fr-FR"/>
        </w:rPr>
        <w:tab/>
        <w:t>les canaux ou les liaisons;</w:t>
      </w:r>
    </w:p>
    <w:p w:rsidR="00610AD5" w:rsidRPr="00610AD5" w:rsidRDefault="00610AD5" w:rsidP="00867C40">
      <w:pPr>
        <w:pStyle w:val="enumlev1"/>
        <w:rPr>
          <w:lang w:val="fr-FR"/>
        </w:rPr>
      </w:pPr>
      <w:r w:rsidRPr="00610AD5">
        <w:rPr>
          <w:lang w:val="fr-FR"/>
        </w:rPr>
        <w:t>d)</w:t>
      </w:r>
      <w:r w:rsidRPr="00610AD5">
        <w:rPr>
          <w:lang w:val="fr-FR"/>
        </w:rPr>
        <w:tab/>
        <w:t>le niveau de charge des canaux (ou des liaisons), (débit binaire, capacité);</w:t>
      </w:r>
    </w:p>
    <w:p w:rsidR="00610AD5" w:rsidRPr="00610AD5" w:rsidRDefault="00610AD5" w:rsidP="00867C40">
      <w:pPr>
        <w:pStyle w:val="enumlev1"/>
        <w:rPr>
          <w:lang w:val="fr-FR"/>
        </w:rPr>
      </w:pPr>
      <w:r w:rsidRPr="00610AD5">
        <w:rPr>
          <w:lang w:val="fr-FR"/>
        </w:rPr>
        <w:t>e)</w:t>
      </w:r>
      <w:r w:rsidRPr="00610AD5">
        <w:rPr>
          <w:lang w:val="fr-FR"/>
        </w:rPr>
        <w:tab/>
        <w:t>l’efficacité spectrale des équipements utilisés;</w:t>
      </w:r>
    </w:p>
    <w:p w:rsidR="00610AD5" w:rsidRPr="00610AD5" w:rsidRDefault="00610AD5" w:rsidP="00867C40">
      <w:pPr>
        <w:pStyle w:val="enumlev1"/>
        <w:rPr>
          <w:lang w:val="fr-FR"/>
        </w:rPr>
      </w:pPr>
      <w:r w:rsidRPr="00610AD5">
        <w:rPr>
          <w:lang w:val="fr-FR"/>
        </w:rPr>
        <w:t>f)</w:t>
      </w:r>
      <w:r w:rsidRPr="00610AD5">
        <w:rPr>
          <w:lang w:val="fr-FR"/>
        </w:rPr>
        <w:tab/>
        <w:t>la puissance et la zone de couverture;</w:t>
      </w:r>
    </w:p>
    <w:p w:rsidR="00610AD5" w:rsidRPr="00610AD5" w:rsidRDefault="00610AD5" w:rsidP="00867C40">
      <w:pPr>
        <w:pStyle w:val="enumlev1"/>
        <w:rPr>
          <w:lang w:val="fr-FR"/>
        </w:rPr>
      </w:pPr>
      <w:r w:rsidRPr="00610AD5">
        <w:rPr>
          <w:lang w:val="fr-FR"/>
        </w:rPr>
        <w:t>g)</w:t>
      </w:r>
      <w:r w:rsidRPr="00610AD5">
        <w:rPr>
          <w:lang w:val="fr-FR"/>
        </w:rPr>
        <w:tab/>
        <w:t>la nature de l’utilisation des fréquences (usage privé ou à des fins commerciales);</w:t>
      </w:r>
    </w:p>
    <w:p w:rsidR="00610AD5" w:rsidRPr="005D46D3" w:rsidRDefault="00610AD5" w:rsidP="00867C40">
      <w:pPr>
        <w:pStyle w:val="enumlev1"/>
        <w:rPr>
          <w:lang w:val="fr-CH"/>
        </w:rPr>
      </w:pPr>
      <w:r w:rsidRPr="005D46D3">
        <w:rPr>
          <w:lang w:val="fr-CH"/>
        </w:rPr>
        <w:t>h)</w:t>
      </w:r>
      <w:r w:rsidRPr="005D46D3">
        <w:rPr>
          <w:lang w:val="fr-CH"/>
        </w:rPr>
        <w:tab/>
        <w:t>l’emplacement géographique.</w:t>
      </w:r>
    </w:p>
    <w:p w:rsidR="00610AD5" w:rsidRPr="005D46D3" w:rsidRDefault="00610AD5" w:rsidP="00610AD5">
      <w:pPr>
        <w:rPr>
          <w:lang w:val="fr-CH"/>
        </w:rPr>
      </w:pPr>
      <w:r w:rsidRPr="005D46D3">
        <w:rPr>
          <w:lang w:val="fr-CH"/>
        </w:rPr>
        <w:t>Pour tenir compte de la complexité des opérations d’assignation des fréquences, les redevances sont calculées pour chaque type de licences.</w:t>
      </w:r>
    </w:p>
    <w:p w:rsidR="00610AD5" w:rsidRPr="005D46D3" w:rsidRDefault="00610AD5" w:rsidP="00610AD5">
      <w:pPr>
        <w:rPr>
          <w:lang w:val="fr-CH"/>
        </w:rPr>
      </w:pPr>
      <w:r w:rsidRPr="005D46D3">
        <w:rPr>
          <w:lang w:val="fr-CH"/>
        </w:rPr>
        <w:t>Ainsi, la réglementation en Côte d’Ivoire (ordonnance 97-173 du 19 mars 1997) prévoit cinq (05) rubriques de facturation des différents réseaux radioélectriques qui sont:</w:t>
      </w:r>
    </w:p>
    <w:p w:rsidR="00610AD5" w:rsidRPr="005D46D3" w:rsidRDefault="00610AD5" w:rsidP="00867C40">
      <w:pPr>
        <w:pStyle w:val="enumlev1"/>
        <w:rPr>
          <w:lang w:val="fr-CH"/>
        </w:rPr>
      </w:pPr>
      <w:r w:rsidRPr="005D46D3">
        <w:rPr>
          <w:lang w:val="fr-CH"/>
        </w:rPr>
        <w:t>–</w:t>
      </w:r>
      <w:r w:rsidRPr="005D46D3">
        <w:rPr>
          <w:lang w:val="fr-CH"/>
        </w:rPr>
        <w:tab/>
        <w:t>la taxe de constitution de dossier;</w:t>
      </w:r>
    </w:p>
    <w:p w:rsidR="00610AD5" w:rsidRPr="005D46D3" w:rsidRDefault="00610AD5" w:rsidP="00867C40">
      <w:pPr>
        <w:pStyle w:val="enumlev1"/>
        <w:rPr>
          <w:lang w:val="fr-CH"/>
        </w:rPr>
      </w:pPr>
      <w:r w:rsidRPr="005D46D3">
        <w:rPr>
          <w:lang w:val="fr-CH"/>
        </w:rPr>
        <w:t>–</w:t>
      </w:r>
      <w:r w:rsidRPr="005D46D3">
        <w:rPr>
          <w:lang w:val="fr-CH"/>
        </w:rPr>
        <w:tab/>
        <w:t>la taxe de contrôle des stations radioélectriques;</w:t>
      </w:r>
    </w:p>
    <w:p w:rsidR="00610AD5" w:rsidRPr="005D46D3" w:rsidRDefault="00610AD5" w:rsidP="00867C40">
      <w:pPr>
        <w:pStyle w:val="enumlev1"/>
        <w:rPr>
          <w:lang w:val="fr-CH"/>
        </w:rPr>
      </w:pPr>
      <w:r w:rsidRPr="005D46D3">
        <w:rPr>
          <w:lang w:val="fr-CH"/>
        </w:rPr>
        <w:t>–</w:t>
      </w:r>
      <w:r w:rsidRPr="005D46D3">
        <w:rPr>
          <w:lang w:val="fr-CH"/>
        </w:rPr>
        <w:tab/>
        <w:t>la contribution pour frais de gestion;</w:t>
      </w:r>
    </w:p>
    <w:p w:rsidR="00610AD5" w:rsidRPr="005D46D3" w:rsidRDefault="00610AD5" w:rsidP="00867C40">
      <w:pPr>
        <w:pStyle w:val="enumlev1"/>
        <w:rPr>
          <w:lang w:val="fr-CH"/>
        </w:rPr>
      </w:pPr>
      <w:r w:rsidRPr="005D46D3">
        <w:rPr>
          <w:lang w:val="fr-CH"/>
        </w:rPr>
        <w:t>–</w:t>
      </w:r>
      <w:r w:rsidRPr="005D46D3">
        <w:rPr>
          <w:lang w:val="fr-CH"/>
        </w:rPr>
        <w:tab/>
        <w:t>la redevance due pour l'utilisation de fréquences radioélectriques ;</w:t>
      </w:r>
    </w:p>
    <w:p w:rsidR="00610AD5" w:rsidRPr="005D46D3" w:rsidRDefault="00610AD5" w:rsidP="00867C40">
      <w:pPr>
        <w:pStyle w:val="enumlev1"/>
        <w:rPr>
          <w:lang w:val="fr-CH"/>
        </w:rPr>
      </w:pPr>
      <w:r w:rsidRPr="005D46D3">
        <w:rPr>
          <w:lang w:val="fr-CH"/>
        </w:rPr>
        <w:t>–</w:t>
      </w:r>
      <w:r w:rsidRPr="005D46D3">
        <w:rPr>
          <w:lang w:val="fr-CH"/>
        </w:rPr>
        <w:tab/>
        <w:t>la taxe de vignette.</w:t>
      </w:r>
    </w:p>
    <w:p w:rsidR="00610AD5" w:rsidRPr="005D46D3" w:rsidRDefault="00610AD5" w:rsidP="00610AD5">
      <w:pPr>
        <w:rPr>
          <w:lang w:val="fr-CH"/>
        </w:rPr>
      </w:pPr>
      <w:r w:rsidRPr="005D46D3">
        <w:rPr>
          <w:lang w:val="fr-CH"/>
        </w:rPr>
        <w:t>Tous les montants  sont fixés de façon forfaitaire.</w:t>
      </w:r>
    </w:p>
    <w:p w:rsidR="00610AD5" w:rsidRPr="00610AD5" w:rsidRDefault="00610AD5" w:rsidP="00610AD5">
      <w:pPr>
        <w:rPr>
          <w:b/>
          <w:bCs/>
          <w:lang w:val="fr-FR"/>
        </w:rPr>
      </w:pPr>
      <w:r w:rsidRPr="00610AD5">
        <w:rPr>
          <w:b/>
          <w:bCs/>
          <w:lang w:val="fr-FR"/>
        </w:rPr>
        <w:t>La taxe de constitution de dossier</w:t>
      </w:r>
    </w:p>
    <w:p w:rsidR="00610AD5" w:rsidRPr="005D46D3" w:rsidRDefault="00610AD5" w:rsidP="00610AD5">
      <w:pPr>
        <w:rPr>
          <w:lang w:val="fr-CH"/>
        </w:rPr>
      </w:pPr>
      <w:r w:rsidRPr="005D46D3">
        <w:rPr>
          <w:lang w:val="fr-CH"/>
        </w:rPr>
        <w:t>La taxe de constitution constitue les frais d’études d’un dossier ou d’ouverture de dossier.</w:t>
      </w:r>
    </w:p>
    <w:p w:rsidR="00610AD5" w:rsidRPr="005D46D3" w:rsidRDefault="00610AD5" w:rsidP="00610AD5">
      <w:pPr>
        <w:rPr>
          <w:lang w:val="fr-CH"/>
        </w:rPr>
      </w:pPr>
      <w:r w:rsidRPr="005D46D3">
        <w:rPr>
          <w:lang w:val="fr-CH"/>
        </w:rPr>
        <w:t>Elle est payable une seule fois lors du dépôt des dossiers et est non remboursable.</w:t>
      </w:r>
    </w:p>
    <w:p w:rsidR="00610AD5" w:rsidRPr="00610AD5" w:rsidRDefault="00610AD5" w:rsidP="00610AD5">
      <w:pPr>
        <w:tabs>
          <w:tab w:val="clear" w:pos="794"/>
          <w:tab w:val="clear" w:pos="1191"/>
          <w:tab w:val="clear" w:pos="1588"/>
          <w:tab w:val="clear" w:pos="1985"/>
        </w:tabs>
        <w:overflowPunct/>
        <w:autoSpaceDE/>
        <w:autoSpaceDN/>
        <w:adjustRightInd/>
        <w:spacing w:before="0"/>
        <w:jc w:val="left"/>
        <w:textAlignment w:val="auto"/>
        <w:rPr>
          <w:b/>
          <w:bCs/>
          <w:lang w:val="fr-FR"/>
        </w:rPr>
      </w:pPr>
      <w:r w:rsidRPr="00610AD5">
        <w:rPr>
          <w:b/>
          <w:bCs/>
          <w:lang w:val="fr-FR"/>
        </w:rPr>
        <w:br w:type="page"/>
      </w:r>
    </w:p>
    <w:p w:rsidR="00610AD5" w:rsidRPr="00610AD5" w:rsidRDefault="00610AD5" w:rsidP="00610AD5">
      <w:pPr>
        <w:rPr>
          <w:b/>
          <w:bCs/>
          <w:lang w:val="fr-FR"/>
        </w:rPr>
      </w:pPr>
      <w:r w:rsidRPr="00610AD5">
        <w:rPr>
          <w:b/>
          <w:bCs/>
          <w:lang w:val="fr-FR"/>
        </w:rPr>
        <w:lastRenderedPageBreak/>
        <w:t>La taxe de contrôle</w:t>
      </w:r>
    </w:p>
    <w:p w:rsidR="00610AD5" w:rsidRPr="005D46D3" w:rsidRDefault="00610AD5" w:rsidP="00610AD5">
      <w:pPr>
        <w:rPr>
          <w:lang w:val="fr-CH"/>
        </w:rPr>
      </w:pPr>
      <w:r w:rsidRPr="005D46D3">
        <w:rPr>
          <w:lang w:val="fr-CH"/>
        </w:rPr>
        <w:t>La taxe de contrôle représente les frais de contrôle des équipements de l’opérateur ou des permissionnaires.</w:t>
      </w:r>
    </w:p>
    <w:p w:rsidR="00610AD5" w:rsidRPr="005D46D3" w:rsidRDefault="00610AD5" w:rsidP="00610AD5">
      <w:pPr>
        <w:rPr>
          <w:lang w:val="fr-CH"/>
        </w:rPr>
      </w:pPr>
      <w:r w:rsidRPr="005D46D3">
        <w:rPr>
          <w:lang w:val="fr-CH"/>
        </w:rPr>
        <w:t>Elle tient compte de la puissance de l’émetteur ou du type de station (relais ou terminale). Elle est due pour l’année entière, quelque soit la date de mise en service du réseau.</w:t>
      </w:r>
    </w:p>
    <w:p w:rsidR="00610AD5" w:rsidRPr="00610AD5" w:rsidRDefault="00610AD5" w:rsidP="00610AD5">
      <w:pPr>
        <w:rPr>
          <w:b/>
          <w:bCs/>
          <w:lang w:val="fr-FR"/>
        </w:rPr>
      </w:pPr>
      <w:r w:rsidRPr="00610AD5">
        <w:rPr>
          <w:b/>
          <w:bCs/>
          <w:lang w:val="fr-FR"/>
        </w:rPr>
        <w:t>La contribution pour frais de gestion</w:t>
      </w:r>
    </w:p>
    <w:p w:rsidR="00610AD5" w:rsidRPr="005D46D3" w:rsidRDefault="00610AD5" w:rsidP="00610AD5">
      <w:pPr>
        <w:rPr>
          <w:lang w:val="fr-CH"/>
        </w:rPr>
      </w:pPr>
      <w:r w:rsidRPr="005D46D3">
        <w:rPr>
          <w:lang w:val="fr-CH"/>
        </w:rPr>
        <w:t>La contribution pour frais de gestion représente les redevances liées à la gestion de la licence ou du réseau tels que le règlement des litiges entre operateurs ou entre opérateurs et  population, et le renouvellement de la licence.</w:t>
      </w:r>
    </w:p>
    <w:p w:rsidR="00610AD5" w:rsidRPr="005D46D3" w:rsidRDefault="00610AD5" w:rsidP="00610AD5">
      <w:pPr>
        <w:rPr>
          <w:lang w:val="fr-CH"/>
        </w:rPr>
      </w:pPr>
      <w:r w:rsidRPr="005D46D3">
        <w:rPr>
          <w:lang w:val="fr-CH"/>
        </w:rPr>
        <w:t>Elle est due pour l’année entière quelque soit la date d’établissement du réseau. Elle est non remboursable et calculée en fonction de la taille du réseau et de la zone de couverture (locale, régionale ou nationale).</w:t>
      </w:r>
    </w:p>
    <w:p w:rsidR="00610AD5" w:rsidRPr="00610AD5" w:rsidRDefault="00610AD5" w:rsidP="00610AD5">
      <w:pPr>
        <w:rPr>
          <w:b/>
          <w:bCs/>
          <w:lang w:val="fr-FR"/>
        </w:rPr>
      </w:pPr>
      <w:r w:rsidRPr="00610AD5">
        <w:rPr>
          <w:b/>
          <w:bCs/>
          <w:lang w:val="fr-FR"/>
        </w:rPr>
        <w:t>La redevance due pour l’utilisation de fréquences radioélectriques</w:t>
      </w:r>
    </w:p>
    <w:p w:rsidR="00610AD5" w:rsidRPr="005D46D3" w:rsidRDefault="00610AD5" w:rsidP="00610AD5">
      <w:pPr>
        <w:rPr>
          <w:lang w:val="fr-CH"/>
        </w:rPr>
      </w:pPr>
      <w:r w:rsidRPr="005D46D3">
        <w:rPr>
          <w:lang w:val="fr-CH"/>
        </w:rPr>
        <w:t>Elle dépend:</w:t>
      </w:r>
    </w:p>
    <w:p w:rsidR="00610AD5" w:rsidRPr="00610AD5" w:rsidRDefault="00610AD5" w:rsidP="00867C40">
      <w:pPr>
        <w:pStyle w:val="enumlev1"/>
        <w:rPr>
          <w:lang w:val="fr-FR"/>
        </w:rPr>
      </w:pPr>
      <w:r w:rsidRPr="00610AD5">
        <w:rPr>
          <w:lang w:val="fr-FR"/>
        </w:rPr>
        <w:t>–</w:t>
      </w:r>
      <w:r w:rsidRPr="00610AD5">
        <w:rPr>
          <w:lang w:val="fr-FR"/>
        </w:rPr>
        <w:tab/>
        <w:t>soit du nombre de liaisons pouvant être établies dans le réseau ou de la taille du réseau, c’est le cas par exemple des réseaux conventionnels,</w:t>
      </w:r>
    </w:p>
    <w:p w:rsidR="00610AD5" w:rsidRPr="00610AD5" w:rsidRDefault="00610AD5" w:rsidP="00867C40">
      <w:pPr>
        <w:pStyle w:val="enumlev1"/>
        <w:rPr>
          <w:lang w:val="fr-FR"/>
        </w:rPr>
      </w:pPr>
      <w:r w:rsidRPr="00610AD5">
        <w:rPr>
          <w:lang w:val="fr-FR"/>
        </w:rPr>
        <w:t>–</w:t>
      </w:r>
      <w:r w:rsidRPr="00610AD5">
        <w:rPr>
          <w:lang w:val="fr-FR"/>
        </w:rPr>
        <w:tab/>
        <w:t>soit de la zone de  couverture du réseau, de la quantité de spectre allouée ou du nombre de canaux ou de la capacité ou du débit de la liaison,</w:t>
      </w:r>
    </w:p>
    <w:p w:rsidR="00610AD5" w:rsidRPr="00610AD5" w:rsidRDefault="00610AD5" w:rsidP="00867C40">
      <w:pPr>
        <w:pStyle w:val="enumlev1"/>
        <w:rPr>
          <w:lang w:val="fr-FR"/>
        </w:rPr>
      </w:pPr>
      <w:r w:rsidRPr="00610AD5">
        <w:rPr>
          <w:lang w:val="fr-FR"/>
        </w:rPr>
        <w:t>–</w:t>
      </w:r>
      <w:r w:rsidRPr="00610AD5">
        <w:rPr>
          <w:lang w:val="fr-FR"/>
        </w:rPr>
        <w:tab/>
        <w:t>soit du tonnage pour les navires de pêche.</w:t>
      </w:r>
    </w:p>
    <w:p w:rsidR="00610AD5" w:rsidRPr="00610AD5" w:rsidRDefault="00610AD5" w:rsidP="00610AD5">
      <w:pPr>
        <w:rPr>
          <w:b/>
          <w:bCs/>
          <w:lang w:val="fr-FR"/>
        </w:rPr>
      </w:pPr>
      <w:r w:rsidRPr="00610AD5">
        <w:rPr>
          <w:b/>
          <w:bCs/>
          <w:lang w:val="fr-FR"/>
        </w:rPr>
        <w:t xml:space="preserve">La vignette radioélectrique </w:t>
      </w:r>
    </w:p>
    <w:p w:rsidR="00610AD5" w:rsidRPr="005D46D3" w:rsidRDefault="00610AD5" w:rsidP="00610AD5">
      <w:pPr>
        <w:rPr>
          <w:lang w:val="fr-CH"/>
        </w:rPr>
      </w:pPr>
      <w:r w:rsidRPr="005D46D3">
        <w:rPr>
          <w:lang w:val="fr-CH"/>
        </w:rPr>
        <w:t>La vignette est un macaron apposé sur les équipements radio, qui a pour objet d’identifier les stations autorisées lors des contrôles.</w:t>
      </w:r>
    </w:p>
    <w:p w:rsidR="00610AD5" w:rsidRPr="005D46D3" w:rsidRDefault="00610AD5" w:rsidP="00610AD5">
      <w:pPr>
        <w:rPr>
          <w:lang w:val="fr-CH"/>
        </w:rPr>
      </w:pPr>
      <w:r w:rsidRPr="005D46D3">
        <w:rPr>
          <w:lang w:val="fr-CH"/>
        </w:rPr>
        <w:t>Le montant de cette vignette varie en fonction du type de stations (postes fixes, mobiles ou portatifs).</w:t>
      </w:r>
    </w:p>
    <w:p w:rsidR="00610AD5" w:rsidRPr="00610AD5" w:rsidRDefault="00610AD5" w:rsidP="00610AD5">
      <w:pPr>
        <w:keepNext/>
        <w:keepLines/>
        <w:spacing w:before="360"/>
        <w:ind w:left="794" w:hanging="794"/>
        <w:outlineLvl w:val="0"/>
        <w:rPr>
          <w:b/>
          <w:lang w:val="fr-FR"/>
        </w:rPr>
      </w:pPr>
      <w:bookmarkStart w:id="674" w:name="_Toc280260919"/>
      <w:bookmarkStart w:id="675" w:name="_Toc280272531"/>
      <w:r w:rsidRPr="00610AD5">
        <w:rPr>
          <w:b/>
          <w:lang w:val="fr-FR"/>
        </w:rPr>
        <w:t>III</w:t>
      </w:r>
      <w:r w:rsidRPr="00610AD5">
        <w:rPr>
          <w:b/>
          <w:lang w:val="fr-FR"/>
        </w:rPr>
        <w:tab/>
        <w:t>Autres taxes radioélectriques</w:t>
      </w:r>
      <w:bookmarkEnd w:id="674"/>
      <w:bookmarkEnd w:id="675"/>
    </w:p>
    <w:p w:rsidR="00610AD5" w:rsidRPr="005D46D3" w:rsidRDefault="00610AD5" w:rsidP="00610AD5">
      <w:pPr>
        <w:rPr>
          <w:lang w:val="fr-CH"/>
        </w:rPr>
      </w:pPr>
      <w:r w:rsidRPr="005D46D3">
        <w:rPr>
          <w:lang w:val="fr-CH"/>
        </w:rPr>
        <w:t>Outres les taxes radioélectriques perçues par bimestres, les impositions suivantes sont demandées:</w:t>
      </w:r>
    </w:p>
    <w:p w:rsidR="00610AD5" w:rsidRPr="00610AD5" w:rsidRDefault="00610AD5" w:rsidP="00610AD5">
      <w:pPr>
        <w:rPr>
          <w:b/>
          <w:bCs/>
          <w:lang w:val="fr-CH"/>
        </w:rPr>
      </w:pPr>
      <w:r w:rsidRPr="00610AD5">
        <w:rPr>
          <w:b/>
          <w:bCs/>
          <w:lang w:val="fr-CH"/>
        </w:rPr>
        <w:t>Taxes</w:t>
      </w:r>
      <w:r w:rsidRPr="00610AD5">
        <w:rPr>
          <w:b/>
          <w:bCs/>
          <w:lang w:val="fr-FR"/>
        </w:rPr>
        <w:t xml:space="preserve"> d’homologation</w:t>
      </w:r>
      <w:r w:rsidRPr="00610AD5">
        <w:rPr>
          <w:b/>
          <w:bCs/>
          <w:lang w:val="fr-CH"/>
        </w:rPr>
        <w:t xml:space="preserve"> ou d’agreement</w:t>
      </w:r>
    </w:p>
    <w:p w:rsidR="00610AD5" w:rsidRPr="005D46D3" w:rsidRDefault="00610AD5" w:rsidP="00610AD5">
      <w:pPr>
        <w:rPr>
          <w:lang w:val="fr-CH"/>
        </w:rPr>
      </w:pPr>
      <w:r w:rsidRPr="005D46D3">
        <w:rPr>
          <w:lang w:val="fr-CH"/>
        </w:rPr>
        <w:t xml:space="preserve">Il s’agit d’une taxe perçue lors des tests effectués sur les équipements  radioélectriques afin de s’assurer de leur conformité. L’agrément délivré aux installateurs radioélectriques est une preuve de leur capacité à installer des équipements radioélectriques. </w:t>
      </w:r>
    </w:p>
    <w:p w:rsidR="00610AD5" w:rsidRPr="005D46D3" w:rsidRDefault="00610AD5" w:rsidP="00610AD5">
      <w:pPr>
        <w:rPr>
          <w:lang w:val="fr-CH"/>
        </w:rPr>
      </w:pPr>
      <w:r w:rsidRPr="005D46D3">
        <w:rPr>
          <w:lang w:val="fr-CH"/>
        </w:rPr>
        <w:t>L'agrément des équipements terminaux et l'admission des installateurs en radiocommunications donnent lieu à la perception des taxes forfaitaires et non remboursables suivantes:</w:t>
      </w:r>
    </w:p>
    <w:p w:rsidR="00610AD5" w:rsidRPr="00610AD5" w:rsidRDefault="00610AD5" w:rsidP="00867C40">
      <w:pPr>
        <w:pStyle w:val="enumlev1"/>
        <w:rPr>
          <w:lang w:val="fr-FR"/>
        </w:rPr>
      </w:pPr>
      <w:r w:rsidRPr="00610AD5">
        <w:rPr>
          <w:lang w:val="fr-FR"/>
        </w:rPr>
        <w:t>1)</w:t>
      </w:r>
      <w:r w:rsidRPr="00610AD5">
        <w:rPr>
          <w:lang w:val="fr-FR"/>
        </w:rPr>
        <w:tab/>
        <w:t>Pour les équipements: une taxe de constitution de dossier et une taxe de contrôle technique par équipement.</w:t>
      </w:r>
    </w:p>
    <w:p w:rsidR="00610AD5" w:rsidRPr="00610AD5" w:rsidRDefault="00610AD5" w:rsidP="00867C40">
      <w:pPr>
        <w:pStyle w:val="enumlev1"/>
        <w:rPr>
          <w:lang w:val="fr-FR"/>
        </w:rPr>
      </w:pPr>
      <w:r w:rsidRPr="00610AD5">
        <w:rPr>
          <w:lang w:val="fr-FR"/>
        </w:rPr>
        <w:t>2)</w:t>
      </w:r>
      <w:r w:rsidRPr="00610AD5">
        <w:rPr>
          <w:lang w:val="fr-FR"/>
        </w:rPr>
        <w:tab/>
        <w:t>Pour les installateurs: une taxe de constitution de dossier et une taxe d'agrément sont perçues à la délivrance ou au renouvellement de l'autorisation.</w:t>
      </w:r>
    </w:p>
    <w:p w:rsidR="00610AD5" w:rsidRPr="00610AD5" w:rsidRDefault="00610AD5" w:rsidP="00610AD5">
      <w:pPr>
        <w:rPr>
          <w:b/>
          <w:bCs/>
          <w:lang w:val="fr-FR"/>
        </w:rPr>
      </w:pPr>
      <w:r w:rsidRPr="00610AD5">
        <w:rPr>
          <w:b/>
          <w:bCs/>
          <w:lang w:val="fr-FR"/>
        </w:rPr>
        <w:t>Taxe de traitement des plaintes pour brouillages</w:t>
      </w:r>
    </w:p>
    <w:p w:rsidR="00610AD5" w:rsidRPr="005D46D3" w:rsidRDefault="00610AD5" w:rsidP="00610AD5">
      <w:pPr>
        <w:rPr>
          <w:lang w:val="fr-CH"/>
        </w:rPr>
      </w:pPr>
      <w:r w:rsidRPr="005D46D3">
        <w:rPr>
          <w:lang w:val="fr-CH"/>
        </w:rPr>
        <w:t xml:space="preserve">Il s’agit d’une taxe perçue et payée par les permissionnaires ou concessionnaires fautifs, qui couvre les frais administratifs ou liés au déplacement des agents de l’Agence. </w:t>
      </w:r>
    </w:p>
    <w:p w:rsidR="00610AD5" w:rsidRPr="00610AD5" w:rsidRDefault="00610AD5" w:rsidP="00610AD5">
      <w:pPr>
        <w:rPr>
          <w:b/>
          <w:bCs/>
          <w:lang w:val="fr-FR"/>
        </w:rPr>
      </w:pPr>
      <w:r w:rsidRPr="00610AD5">
        <w:rPr>
          <w:b/>
          <w:bCs/>
          <w:lang w:val="fr-FR"/>
        </w:rPr>
        <w:t>Droits d'examen</w:t>
      </w:r>
    </w:p>
    <w:p w:rsidR="00610AD5" w:rsidRPr="005D46D3" w:rsidRDefault="00610AD5" w:rsidP="00610AD5">
      <w:pPr>
        <w:rPr>
          <w:lang w:val="fr-CH"/>
        </w:rPr>
      </w:pPr>
      <w:r w:rsidRPr="005D46D3">
        <w:rPr>
          <w:lang w:val="fr-CH"/>
        </w:rPr>
        <w:t>Pour l'obtention du certificat d'opérateur radiotélégraphiste, du certificat d'opérateur radiotéléphoniste ou du certificat comportant la double mention, des droits d'examen sont perçus avant le début des épreuves. Des droits de même montant sont dus pour la délivrance du ou desdits certificats aux titulaires d'une attestation militaire de capacité d'opérateur.</w:t>
      </w:r>
    </w:p>
    <w:p w:rsidR="00610AD5" w:rsidRPr="005D46D3" w:rsidRDefault="00610AD5" w:rsidP="00610AD5">
      <w:pPr>
        <w:rPr>
          <w:lang w:val="fr-CH"/>
        </w:rPr>
      </w:pPr>
      <w:r w:rsidRPr="005D46D3">
        <w:rPr>
          <w:lang w:val="fr-CH"/>
        </w:rPr>
        <w:t>Lors de la délivrance, du renouvellement ou de l'établissement d'un duplicata de licence de station d'amateur, d'aéronef ou de navire, et d'un certificat d'opérateur, il est perçu une taxe forfaitaire et non remboursable.</w:t>
      </w:r>
    </w:p>
    <w:p w:rsidR="00610AD5" w:rsidRPr="00610AD5" w:rsidRDefault="00610AD5" w:rsidP="00610AD5">
      <w:pPr>
        <w:rPr>
          <w:b/>
          <w:bCs/>
          <w:lang w:val="fr-FR"/>
        </w:rPr>
      </w:pPr>
      <w:r w:rsidRPr="00610AD5">
        <w:rPr>
          <w:b/>
          <w:bCs/>
          <w:lang w:val="fr-FR"/>
        </w:rPr>
        <w:lastRenderedPageBreak/>
        <w:t>Taxes d'intervention</w:t>
      </w:r>
    </w:p>
    <w:p w:rsidR="00610AD5" w:rsidRPr="005D46D3" w:rsidRDefault="00610AD5" w:rsidP="00610AD5">
      <w:pPr>
        <w:rPr>
          <w:lang w:val="fr-CH"/>
        </w:rPr>
      </w:pPr>
      <w:r w:rsidRPr="005D46D3">
        <w:rPr>
          <w:lang w:val="fr-CH"/>
        </w:rPr>
        <w:t>Les frais exceptionnels occasionnés pour le relevement du brouillage d'une fréquence radioélectrique régulièrement utilisée ou par la non conformité des installations donnent lieu au paiement d'une taxe forfaitaire par intervention. Cette taxe est due par le propriétaire de la station brouilleuse ou des Installations non conformes.</w:t>
      </w:r>
    </w:p>
    <w:p w:rsidR="00610AD5" w:rsidRPr="005D46D3" w:rsidRDefault="00610AD5" w:rsidP="00610AD5">
      <w:pPr>
        <w:tabs>
          <w:tab w:val="clear" w:pos="794"/>
          <w:tab w:val="clear" w:pos="1191"/>
          <w:tab w:val="clear" w:pos="1588"/>
          <w:tab w:val="clear" w:pos="1985"/>
        </w:tabs>
        <w:overflowPunct/>
        <w:autoSpaceDE/>
        <w:autoSpaceDN/>
        <w:adjustRightInd/>
        <w:spacing w:before="0"/>
        <w:jc w:val="left"/>
        <w:textAlignment w:val="auto"/>
        <w:rPr>
          <w:lang w:val="fr-CH"/>
        </w:rPr>
      </w:pPr>
      <w:r w:rsidRPr="005D46D3">
        <w:rPr>
          <w:lang w:val="fr-CH"/>
        </w:rPr>
        <w:br w:type="page"/>
      </w:r>
    </w:p>
    <w:p w:rsidR="00610AD5" w:rsidRPr="005D46D3" w:rsidRDefault="00610AD5" w:rsidP="00AB490D">
      <w:pPr>
        <w:pStyle w:val="AppendixNotitle"/>
        <w:rPr>
          <w:lang w:val="fr-CH"/>
        </w:rPr>
      </w:pPr>
      <w:bookmarkStart w:id="676" w:name="_Toc280260067"/>
      <w:bookmarkStart w:id="677" w:name="_Toc280260920"/>
      <w:bookmarkStart w:id="678" w:name="_Toc280272532"/>
      <w:r w:rsidRPr="005D46D3">
        <w:rPr>
          <w:lang w:val="fr-CH"/>
        </w:rPr>
        <w:lastRenderedPageBreak/>
        <w:t>Appendix 3.2</w:t>
      </w:r>
      <w:bookmarkEnd w:id="676"/>
      <w:bookmarkEnd w:id="677"/>
      <w:bookmarkEnd w:id="678"/>
    </w:p>
    <w:p w:rsidR="00610AD5" w:rsidRPr="005D46D3" w:rsidRDefault="00610AD5" w:rsidP="00610AD5">
      <w:pPr>
        <w:spacing w:before="360"/>
        <w:rPr>
          <w:lang w:val="fr-CH"/>
        </w:rPr>
      </w:pPr>
    </w:p>
    <w:p w:rsidR="00610AD5" w:rsidRPr="00610AD5" w:rsidRDefault="00610AD5" w:rsidP="00610AD5">
      <w:pPr>
        <w:rPr>
          <w:lang w:val="fr-CH"/>
        </w:rPr>
      </w:pPr>
      <w:r w:rsidRPr="00610AD5">
        <w:rPr>
          <w:lang w:val="fr-CH"/>
        </w:rPr>
        <w:t xml:space="preserve">ORDONNANCE N° 97/173 du 19 mars 1997 </w:t>
      </w:r>
    </w:p>
    <w:p w:rsidR="00610AD5" w:rsidRPr="00610AD5" w:rsidRDefault="00610AD5" w:rsidP="00610AD5">
      <w:pPr>
        <w:rPr>
          <w:lang w:val="fr-CH"/>
        </w:rPr>
      </w:pPr>
    </w:p>
    <w:p w:rsidR="00610AD5" w:rsidRPr="00610AD5" w:rsidRDefault="00610AD5" w:rsidP="00610AD5">
      <w:pPr>
        <w:rPr>
          <w:lang w:val="fr-CH"/>
        </w:rPr>
      </w:pPr>
      <w:r w:rsidRPr="00610AD5">
        <w:rPr>
          <w:lang w:val="fr-CH"/>
        </w:rPr>
        <w:t xml:space="preserve">Relative aux Droits, Taxe et Redevances Sur les Radiocommunications </w:t>
      </w:r>
    </w:p>
    <w:p w:rsidR="00610AD5" w:rsidRPr="00610AD5" w:rsidRDefault="00610AD5" w:rsidP="00610AD5">
      <w:pPr>
        <w:rPr>
          <w:lang w:val="fr-CH"/>
        </w:rPr>
      </w:pPr>
    </w:p>
    <w:p w:rsidR="00610AD5" w:rsidRPr="00610AD5" w:rsidRDefault="00610AD5" w:rsidP="00610AD5">
      <w:pPr>
        <w:widowControl w:val="0"/>
        <w:tabs>
          <w:tab w:val="clear" w:pos="794"/>
          <w:tab w:val="clear" w:pos="1191"/>
          <w:tab w:val="clear" w:pos="1588"/>
          <w:tab w:val="clear" w:pos="1985"/>
        </w:tabs>
        <w:overflowPunct/>
        <w:spacing w:before="0" w:after="300" w:line="303" w:lineRule="atLeast"/>
        <w:textAlignment w:val="auto"/>
        <w:rPr>
          <w:rFonts w:asciiTheme="majorBidi" w:eastAsiaTheme="minorEastAsia" w:hAnsiTheme="majorBidi" w:cstheme="majorBidi"/>
          <w:color w:val="000000"/>
          <w:sz w:val="24"/>
          <w:szCs w:val="24"/>
          <w:lang w:val="fr-CH" w:eastAsia="zh-CN"/>
        </w:rPr>
      </w:pPr>
      <w:r w:rsidRPr="00610AD5">
        <w:rPr>
          <w:rFonts w:asciiTheme="majorBidi" w:eastAsiaTheme="minorEastAsia" w:hAnsiTheme="majorBidi" w:cstheme="majorBidi"/>
          <w:b/>
          <w:bCs/>
          <w:color w:val="000000"/>
          <w:sz w:val="24"/>
          <w:szCs w:val="24"/>
          <w:lang w:val="fr-CH" w:eastAsia="zh-CN"/>
        </w:rPr>
        <w:t xml:space="preserve">LE PRESIDENT DE LA REPUBLIQUE </w:t>
      </w:r>
    </w:p>
    <w:p w:rsidR="00610AD5" w:rsidRPr="00610AD5" w:rsidRDefault="00610AD5" w:rsidP="00610AD5">
      <w:pPr>
        <w:rPr>
          <w:lang w:val="fr-CH"/>
        </w:rPr>
      </w:pPr>
      <w:r w:rsidRPr="00610AD5">
        <w:rPr>
          <w:lang w:val="fr-CH"/>
        </w:rPr>
        <w:t xml:space="preserve">Sur rapport conjoint du Ministre de L’ Economie et des Finances et du Ministre des Infrastructures Economiques ; </w:t>
      </w:r>
    </w:p>
    <w:p w:rsidR="00610AD5" w:rsidRPr="00610AD5" w:rsidRDefault="00610AD5" w:rsidP="00610AD5">
      <w:pPr>
        <w:rPr>
          <w:lang w:val="fr-CH"/>
        </w:rPr>
      </w:pPr>
      <w:r w:rsidRPr="00610AD5">
        <w:rPr>
          <w:lang w:val="fr-CH"/>
        </w:rPr>
        <w:t xml:space="preserve">Vu la constitution </w:t>
      </w:r>
    </w:p>
    <w:p w:rsidR="00610AD5" w:rsidRPr="00610AD5" w:rsidRDefault="00610AD5" w:rsidP="00610AD5">
      <w:pPr>
        <w:rPr>
          <w:lang w:val="fr-CH"/>
        </w:rPr>
      </w:pPr>
      <w:r w:rsidRPr="00610AD5">
        <w:rPr>
          <w:lang w:val="fr-CH"/>
        </w:rPr>
        <w:t xml:space="preserve">Vu la loi n° 95-526 du7 juillet 1995 portant Code des Télécommunications : </w:t>
      </w:r>
    </w:p>
    <w:p w:rsidR="00610AD5" w:rsidRPr="00610AD5" w:rsidRDefault="00610AD5" w:rsidP="00610AD5">
      <w:pPr>
        <w:rPr>
          <w:lang w:val="fr-CH"/>
        </w:rPr>
      </w:pPr>
      <w:r w:rsidRPr="00610AD5">
        <w:rPr>
          <w:lang w:val="fr-CH"/>
        </w:rPr>
        <w:t xml:space="preserve">Vu le Décret n° 85-1089 du 16 Octobre 1985 portant réglementation de la Radioélectricité Privée en Côte d’Ivoire ; </w:t>
      </w:r>
    </w:p>
    <w:p w:rsidR="00610AD5" w:rsidRPr="00610AD5" w:rsidRDefault="00610AD5" w:rsidP="00610AD5">
      <w:pPr>
        <w:rPr>
          <w:lang w:val="fr-CH"/>
        </w:rPr>
      </w:pPr>
      <w:r w:rsidRPr="00610AD5">
        <w:rPr>
          <w:lang w:val="fr-CH"/>
        </w:rPr>
        <w:t xml:space="preserve">Vu le Décret n° 95-554 du 19 juillet 1995 portant organisation et fonctionnement de l’Etablissement Public de catégorie particulière dénommé Agence des Télécommunications de côte d’Ivoire ; </w:t>
      </w:r>
    </w:p>
    <w:p w:rsidR="00610AD5" w:rsidRPr="00610AD5" w:rsidRDefault="00610AD5" w:rsidP="00610AD5">
      <w:pPr>
        <w:rPr>
          <w:lang w:val="fr-CH"/>
        </w:rPr>
      </w:pPr>
      <w:r w:rsidRPr="00610AD5">
        <w:rPr>
          <w:lang w:val="fr-CH"/>
        </w:rPr>
        <w:t xml:space="preserve">Vu le Décret n° 96-PR/002 du 26 janvier portant nomination des membres du Gouvernement ; tel que modifié par le décret n° 96-PR/10 du 10 Août 1996 ; </w:t>
      </w:r>
    </w:p>
    <w:p w:rsidR="00610AD5" w:rsidRPr="00610AD5" w:rsidRDefault="00610AD5" w:rsidP="00610AD5">
      <w:pPr>
        <w:rPr>
          <w:lang w:val="fr-CH"/>
        </w:rPr>
      </w:pPr>
      <w:r w:rsidRPr="00610AD5">
        <w:rPr>
          <w:lang w:val="fr-CH"/>
        </w:rPr>
        <w:t>Vu le Décret n° 96-179 du 1</w:t>
      </w:r>
      <w:r w:rsidRPr="00610AD5">
        <w:rPr>
          <w:vertAlign w:val="superscript"/>
          <w:lang w:val="fr-CH"/>
        </w:rPr>
        <w:t>er</w:t>
      </w:r>
      <w:r w:rsidRPr="00610AD5">
        <w:rPr>
          <w:lang w:val="fr-CH"/>
        </w:rPr>
        <w:t xml:space="preserve"> Mars 1996 portant attributions des membres du Gouvernement ; </w:t>
      </w:r>
    </w:p>
    <w:p w:rsidR="00610AD5" w:rsidRPr="006A2D8D" w:rsidRDefault="00610AD5" w:rsidP="00610AD5">
      <w:pPr>
        <w:keepLines/>
        <w:tabs>
          <w:tab w:val="clear" w:pos="1191"/>
          <w:tab w:val="clear" w:pos="1588"/>
          <w:tab w:val="clear" w:pos="1985"/>
          <w:tab w:val="left" w:pos="2127"/>
          <w:tab w:val="left" w:pos="2410"/>
          <w:tab w:val="left" w:pos="2921"/>
          <w:tab w:val="left" w:pos="3261"/>
        </w:tabs>
        <w:spacing w:before="1080" w:after="480" w:line="288" w:lineRule="auto"/>
        <w:ind w:left="360" w:hanging="360"/>
        <w:jc w:val="center"/>
        <w:rPr>
          <w:rFonts w:asciiTheme="majorBidi" w:hAnsiTheme="majorBidi" w:cstheme="majorBidi"/>
          <w:b/>
          <w:caps/>
          <w:sz w:val="28"/>
          <w:lang w:val="fr-CH"/>
        </w:rPr>
      </w:pPr>
      <w:r w:rsidRPr="006A2D8D">
        <w:rPr>
          <w:rFonts w:asciiTheme="majorBidi" w:hAnsiTheme="majorBidi" w:cstheme="majorBidi"/>
          <w:b/>
          <w:caps/>
          <w:sz w:val="28"/>
          <w:lang w:val="fr-CH"/>
        </w:rPr>
        <w:t xml:space="preserve">LE CONSEIL DES MINISTRES ENTENDU ORDONNE </w:t>
      </w:r>
    </w:p>
    <w:p w:rsidR="00610AD5" w:rsidRPr="00610AD5" w:rsidRDefault="00610AD5" w:rsidP="00AB490D">
      <w:pPr>
        <w:pStyle w:val="Chaptitle"/>
        <w:rPr>
          <w:lang w:val="fr-CH"/>
        </w:rPr>
      </w:pPr>
      <w:bookmarkStart w:id="679" w:name="_Toc280261074"/>
      <w:r w:rsidRPr="00610AD5">
        <w:rPr>
          <w:lang w:val="fr-CH"/>
        </w:rPr>
        <w:t>CHAPITRE 1</w:t>
      </w:r>
      <w:r w:rsidRPr="00610AD5">
        <w:rPr>
          <w:lang w:val="fr-CH"/>
        </w:rPr>
        <w:br/>
      </w:r>
      <w:r w:rsidRPr="00610AD5">
        <w:rPr>
          <w:lang w:val="fr-CH"/>
        </w:rPr>
        <w:br/>
        <w:t>DISPOSITIONS GENERALES:</w:t>
      </w:r>
      <w:r w:rsidRPr="00610AD5">
        <w:rPr>
          <w:lang w:val="fr-CH"/>
        </w:rPr>
        <w:br/>
        <w:t>CHAMP D’APPLICATION</w:t>
      </w:r>
      <w:bookmarkEnd w:id="679"/>
      <w:r w:rsidRPr="00610AD5">
        <w:rPr>
          <w:lang w:val="fr-CH"/>
        </w:rPr>
        <w:t xml:space="preserve"> </w:t>
      </w:r>
    </w:p>
    <w:p w:rsidR="00610AD5" w:rsidRPr="00610AD5" w:rsidRDefault="00610AD5" w:rsidP="00610AD5">
      <w:pPr>
        <w:rPr>
          <w:lang w:val="fr-CH"/>
        </w:rPr>
      </w:pPr>
      <w:r w:rsidRPr="00610AD5">
        <w:rPr>
          <w:b/>
          <w:bCs/>
          <w:u w:val="single"/>
          <w:lang w:val="fr-CH"/>
        </w:rPr>
        <w:t>Article 1</w:t>
      </w:r>
      <w:r w:rsidRPr="00610AD5">
        <w:rPr>
          <w:b/>
          <w:bCs/>
          <w:u w:val="single"/>
          <w:vertAlign w:val="superscript"/>
          <w:lang w:val="fr-CH"/>
        </w:rPr>
        <w:t>er</w:t>
      </w:r>
      <w:r w:rsidRPr="00610AD5">
        <w:rPr>
          <w:b/>
          <w:bCs/>
          <w:u w:val="single"/>
          <w:lang w:val="fr-CH"/>
        </w:rPr>
        <w:t>:</w:t>
      </w:r>
      <w:r w:rsidRPr="00610AD5">
        <w:rPr>
          <w:b/>
          <w:bCs/>
          <w:lang w:val="fr-CH"/>
        </w:rPr>
        <w:t xml:space="preserve"> </w:t>
      </w:r>
      <w:r w:rsidRPr="00610AD5">
        <w:rPr>
          <w:lang w:val="fr-CH"/>
        </w:rPr>
        <w:t xml:space="preserve">Les dispositions qui vont suivre définissent les droits, taxes, redevances et contributions perçu par l’Agence des Télécommunications de Côte d’Ivoire(ATCI) et en fixent les montants. </w:t>
      </w:r>
    </w:p>
    <w:p w:rsidR="00610AD5" w:rsidRPr="00610AD5" w:rsidRDefault="00610AD5" w:rsidP="00867C40">
      <w:pPr>
        <w:pStyle w:val="ChapNo"/>
        <w:rPr>
          <w:lang w:val="fr-CH"/>
        </w:rPr>
      </w:pPr>
      <w:bookmarkStart w:id="680" w:name="_Toc280261075"/>
      <w:r w:rsidRPr="00610AD5">
        <w:rPr>
          <w:lang w:val="fr-CH"/>
        </w:rPr>
        <w:lastRenderedPageBreak/>
        <w:t>CHAPITRE II</w:t>
      </w:r>
      <w:bookmarkEnd w:id="680"/>
    </w:p>
    <w:p w:rsidR="00610AD5" w:rsidRPr="00610AD5" w:rsidRDefault="00610AD5" w:rsidP="00AB490D">
      <w:pPr>
        <w:pStyle w:val="Chaptitle"/>
        <w:rPr>
          <w:lang w:val="fr-CH"/>
        </w:rPr>
      </w:pPr>
      <w:r w:rsidRPr="00610AD5">
        <w:rPr>
          <w:lang w:val="fr-CH"/>
        </w:rPr>
        <w:t xml:space="preserve">TAXES REDEVANCES ET CONTRIBUTIONS APPLICABLE AUX RESEAUX ET STATIONS RADIOELECTRIQUES </w:t>
      </w:r>
    </w:p>
    <w:p w:rsidR="00610AD5" w:rsidRPr="001A36CC" w:rsidRDefault="00610AD5" w:rsidP="001A36CC">
      <w:pPr>
        <w:pStyle w:val="SectionNo"/>
        <w:rPr>
          <w:b/>
          <w:bCs/>
          <w:lang w:val="fr-CH"/>
        </w:rPr>
      </w:pPr>
      <w:bookmarkStart w:id="681" w:name="_Toc280261076"/>
      <w:r w:rsidRPr="00610AD5">
        <w:rPr>
          <w:lang w:val="fr-CH"/>
        </w:rPr>
        <w:t>SECTION 1</w:t>
      </w:r>
      <w:r w:rsidRPr="00610AD5">
        <w:rPr>
          <w:lang w:val="fr-CH"/>
        </w:rPr>
        <w:br/>
      </w:r>
      <w:r w:rsidRPr="00610AD5">
        <w:rPr>
          <w:lang w:val="fr-CH"/>
        </w:rPr>
        <w:br/>
      </w:r>
      <w:r w:rsidR="001A36CC" w:rsidRPr="001A36CC">
        <w:rPr>
          <w:b/>
          <w:bCs/>
          <w:caps w:val="0"/>
          <w:lang w:val="fr-CH"/>
        </w:rPr>
        <w:t>Réseaux radioélectriques des services fixes et mobiles, réseaux et stations terriennes des services fixes par satellite et mobile par satellite</w:t>
      </w:r>
      <w:bookmarkEnd w:id="681"/>
    </w:p>
    <w:p w:rsidR="00610AD5" w:rsidRPr="00610AD5" w:rsidRDefault="00610AD5" w:rsidP="00610AD5">
      <w:pPr>
        <w:rPr>
          <w:lang w:val="fr-CH"/>
        </w:rPr>
      </w:pPr>
      <w:r w:rsidRPr="00610AD5">
        <w:rPr>
          <w:b/>
          <w:bCs/>
          <w:u w:val="single"/>
          <w:lang w:val="fr-CH"/>
        </w:rPr>
        <w:t>Art.2</w:t>
      </w:r>
      <w:r w:rsidRPr="00610AD5">
        <w:rPr>
          <w:lang w:val="fr-CH"/>
        </w:rPr>
        <w:t>: Les demandes ou les titulaires d’autorisation relatives à des réseaux radioélectriques des services fixes et mobiles de terre, ainsi qu’à des réseaux et stations terriennes des services fixes par satellite et mobiles par satellites sont assujettis au paiement des taxes, redevances et contributions Ci-après:</w:t>
      </w:r>
    </w:p>
    <w:p w:rsidR="00610AD5" w:rsidRPr="00610AD5" w:rsidRDefault="00610AD5" w:rsidP="00867C40">
      <w:pPr>
        <w:pStyle w:val="enumlev1"/>
        <w:rPr>
          <w:lang w:val="fr-CH"/>
        </w:rPr>
      </w:pPr>
      <w:r w:rsidRPr="00610AD5">
        <w:rPr>
          <w:lang w:val="fr-CH"/>
        </w:rPr>
        <w:t>–</w:t>
      </w:r>
      <w:r w:rsidRPr="00610AD5">
        <w:rPr>
          <w:lang w:val="fr-CH"/>
        </w:rPr>
        <w:tab/>
        <w:t xml:space="preserve">La taxe de contribution de dossier </w:t>
      </w:r>
    </w:p>
    <w:p w:rsidR="00610AD5" w:rsidRPr="00610AD5" w:rsidRDefault="00610AD5" w:rsidP="00867C40">
      <w:pPr>
        <w:pStyle w:val="enumlev1"/>
        <w:rPr>
          <w:lang w:val="fr-CH"/>
        </w:rPr>
      </w:pPr>
      <w:r w:rsidRPr="00610AD5">
        <w:rPr>
          <w:lang w:val="fr-CH"/>
        </w:rPr>
        <w:t>–</w:t>
      </w:r>
      <w:r w:rsidRPr="00610AD5">
        <w:rPr>
          <w:lang w:val="fr-CH"/>
        </w:rPr>
        <w:tab/>
        <w:t xml:space="preserve">La taxe de contrôle des stations radioélectriques ; </w:t>
      </w:r>
    </w:p>
    <w:p w:rsidR="00610AD5" w:rsidRPr="00610AD5" w:rsidRDefault="00610AD5" w:rsidP="00867C40">
      <w:pPr>
        <w:pStyle w:val="enumlev1"/>
        <w:rPr>
          <w:lang w:val="fr-CH"/>
        </w:rPr>
      </w:pPr>
      <w:r w:rsidRPr="00610AD5">
        <w:rPr>
          <w:lang w:val="fr-CH"/>
        </w:rPr>
        <w:t>–</w:t>
      </w:r>
      <w:r w:rsidRPr="00610AD5">
        <w:rPr>
          <w:lang w:val="fr-CH"/>
        </w:rPr>
        <w:tab/>
        <w:t xml:space="preserve">La contribution par frais de gestion </w:t>
      </w:r>
    </w:p>
    <w:p w:rsidR="00610AD5" w:rsidRPr="00610AD5" w:rsidRDefault="00610AD5" w:rsidP="00867C40">
      <w:pPr>
        <w:pStyle w:val="enumlev1"/>
        <w:rPr>
          <w:lang w:val="fr-CH"/>
        </w:rPr>
      </w:pPr>
      <w:r w:rsidRPr="00610AD5">
        <w:rPr>
          <w:lang w:val="fr-CH"/>
        </w:rPr>
        <w:t>–</w:t>
      </w:r>
      <w:r w:rsidRPr="00610AD5">
        <w:rPr>
          <w:lang w:val="fr-CH"/>
        </w:rPr>
        <w:tab/>
        <w:t xml:space="preserve">La redevance due pour l’utilisation de fréquences radioélectriques </w:t>
      </w:r>
    </w:p>
    <w:p w:rsidR="00610AD5" w:rsidRPr="00610AD5" w:rsidRDefault="00610AD5" w:rsidP="00610AD5">
      <w:pPr>
        <w:keepNext/>
        <w:keepLines/>
        <w:spacing w:before="480" w:after="80"/>
        <w:jc w:val="center"/>
        <w:rPr>
          <w:caps/>
          <w:sz w:val="28"/>
          <w:lang w:val="fr-CH"/>
        </w:rPr>
      </w:pPr>
      <w:bookmarkStart w:id="682" w:name="_Toc280261077"/>
      <w:r w:rsidRPr="00610AD5">
        <w:rPr>
          <w:caps/>
          <w:sz w:val="28"/>
          <w:lang w:val="fr-CH"/>
        </w:rPr>
        <w:t>SECTION II</w:t>
      </w:r>
      <w:r w:rsidRPr="00610AD5">
        <w:rPr>
          <w:caps/>
          <w:sz w:val="28"/>
          <w:lang w:val="fr-CH"/>
        </w:rPr>
        <w:br/>
      </w:r>
      <w:r w:rsidRPr="00610AD5">
        <w:rPr>
          <w:caps/>
          <w:sz w:val="28"/>
          <w:lang w:val="fr-CH"/>
        </w:rPr>
        <w:br/>
      </w:r>
      <w:r w:rsidRPr="00610AD5">
        <w:rPr>
          <w:b/>
          <w:bCs/>
          <w:sz w:val="28"/>
          <w:lang w:val="fr-CH"/>
        </w:rPr>
        <w:t>Sstations terriennes de réception communautaire</w:t>
      </w:r>
      <w:bookmarkEnd w:id="682"/>
    </w:p>
    <w:p w:rsidR="00610AD5" w:rsidRPr="00610AD5" w:rsidRDefault="00610AD5" w:rsidP="00610AD5">
      <w:pPr>
        <w:rPr>
          <w:lang w:val="fr-CH"/>
        </w:rPr>
      </w:pPr>
      <w:r w:rsidRPr="00610AD5">
        <w:rPr>
          <w:b/>
          <w:bCs/>
          <w:u w:val="single"/>
          <w:lang w:val="fr-CH"/>
        </w:rPr>
        <w:t>Art.3</w:t>
      </w:r>
      <w:r w:rsidRPr="00610AD5">
        <w:rPr>
          <w:lang w:val="fr-CH"/>
        </w:rPr>
        <w:t>: Les demandeurs ou les titulaires d’autorisations relatives à des installations de radiodiffusion pour la réception collective ou de réception aux fins de redistribution conformément à l’article 20 de la loi n° 95-526 du 07 Juillet 1995 portant Code des Télécommunications, sont soumis au paiement des taxes, redevances et contributions prévues à l’article 2 ci-dessus.</w:t>
      </w:r>
    </w:p>
    <w:p w:rsidR="00610AD5" w:rsidRPr="00610AD5" w:rsidRDefault="00610AD5" w:rsidP="001A36CC">
      <w:pPr>
        <w:pStyle w:val="SectionNo"/>
        <w:rPr>
          <w:b/>
          <w:bCs/>
          <w:lang w:val="fr-CH"/>
        </w:rPr>
      </w:pPr>
      <w:bookmarkStart w:id="683" w:name="_Toc280261078"/>
      <w:r w:rsidRPr="00610AD5">
        <w:rPr>
          <w:lang w:val="fr-CH"/>
        </w:rPr>
        <w:t>SECTION III</w:t>
      </w:r>
      <w:r w:rsidRPr="00610AD5">
        <w:rPr>
          <w:lang w:val="fr-CH"/>
        </w:rPr>
        <w:br/>
      </w:r>
      <w:r w:rsidRPr="00610AD5">
        <w:rPr>
          <w:lang w:val="fr-CH"/>
        </w:rPr>
        <w:br/>
      </w:r>
      <w:r w:rsidR="001A36CC" w:rsidRPr="00610AD5">
        <w:rPr>
          <w:b/>
          <w:bCs/>
          <w:caps w:val="0"/>
          <w:lang w:val="fr-CH"/>
        </w:rPr>
        <w:t>Station d’animateur</w:t>
      </w:r>
      <w:bookmarkEnd w:id="683"/>
    </w:p>
    <w:p w:rsidR="00610AD5" w:rsidRPr="00610AD5" w:rsidRDefault="00610AD5" w:rsidP="00610AD5">
      <w:pPr>
        <w:rPr>
          <w:lang w:val="fr-CH"/>
        </w:rPr>
      </w:pPr>
      <w:r w:rsidRPr="00610AD5">
        <w:rPr>
          <w:b/>
          <w:bCs/>
          <w:u w:val="single"/>
          <w:lang w:val="fr-CH"/>
        </w:rPr>
        <w:t>Art 4:</w:t>
      </w:r>
      <w:r w:rsidRPr="00610AD5">
        <w:rPr>
          <w:b/>
          <w:bCs/>
          <w:lang w:val="fr-CH"/>
        </w:rPr>
        <w:t xml:space="preserve"> </w:t>
      </w:r>
      <w:r w:rsidRPr="00610AD5">
        <w:rPr>
          <w:lang w:val="fr-CH"/>
        </w:rPr>
        <w:t xml:space="preserve">Les demandeurs ou les titulaires d’autorisation relatives à des stations d’animateurs sont soumis au paiement des taxes ci-après : </w:t>
      </w:r>
    </w:p>
    <w:p w:rsidR="00610AD5" w:rsidRPr="00610AD5" w:rsidRDefault="00610AD5" w:rsidP="00867C40">
      <w:pPr>
        <w:pStyle w:val="enumlev1"/>
        <w:rPr>
          <w:lang w:val="fr-CH"/>
        </w:rPr>
      </w:pPr>
      <w:r w:rsidRPr="00610AD5">
        <w:rPr>
          <w:lang w:val="fr-CH"/>
        </w:rPr>
        <w:t>–</w:t>
      </w:r>
      <w:r w:rsidRPr="00610AD5">
        <w:rPr>
          <w:lang w:val="fr-CH"/>
        </w:rPr>
        <w:tab/>
        <w:t>la taxe de constitution des dossiers,</w:t>
      </w:r>
    </w:p>
    <w:p w:rsidR="00610AD5" w:rsidRPr="00610AD5" w:rsidRDefault="00610AD5" w:rsidP="00867C40">
      <w:pPr>
        <w:pStyle w:val="enumlev1"/>
        <w:rPr>
          <w:lang w:val="fr-CH"/>
        </w:rPr>
      </w:pPr>
      <w:r w:rsidRPr="00610AD5">
        <w:rPr>
          <w:lang w:val="fr-CH"/>
        </w:rPr>
        <w:t>–</w:t>
      </w:r>
      <w:r w:rsidRPr="00610AD5">
        <w:rPr>
          <w:lang w:val="fr-CH"/>
        </w:rPr>
        <w:tab/>
        <w:t xml:space="preserve">la taxe de visite et de contrôle des stations </w:t>
      </w:r>
    </w:p>
    <w:p w:rsidR="00610AD5" w:rsidRPr="00610AD5" w:rsidRDefault="00610AD5" w:rsidP="001A36CC">
      <w:pPr>
        <w:pStyle w:val="SectionNo"/>
        <w:rPr>
          <w:lang w:val="fr-CH"/>
        </w:rPr>
      </w:pPr>
      <w:bookmarkStart w:id="684" w:name="_Toc280261079"/>
      <w:r w:rsidRPr="00610AD5">
        <w:rPr>
          <w:lang w:val="fr-CH"/>
        </w:rPr>
        <w:t>SECTION IV</w:t>
      </w:r>
      <w:bookmarkEnd w:id="684"/>
    </w:p>
    <w:p w:rsidR="00610AD5" w:rsidRPr="00610AD5" w:rsidRDefault="00610AD5" w:rsidP="00610AD5">
      <w:pPr>
        <w:rPr>
          <w:lang w:val="fr-CH"/>
        </w:rPr>
      </w:pPr>
      <w:r w:rsidRPr="00610AD5">
        <w:rPr>
          <w:lang w:val="fr-CH"/>
        </w:rPr>
        <w:t xml:space="preserve">Utilisation radioélectrique des services de terre, ainsi que les relations terriennes des services spatiaux, temporairement utilisées, donnent lieu à la perception des taxes redevances et contribution ci-après : </w:t>
      </w:r>
    </w:p>
    <w:p w:rsidR="00610AD5" w:rsidRPr="00610AD5" w:rsidRDefault="00610AD5" w:rsidP="001A36CC">
      <w:pPr>
        <w:pStyle w:val="SectionNo"/>
        <w:rPr>
          <w:lang w:val="fr-CH"/>
        </w:rPr>
      </w:pPr>
      <w:bookmarkStart w:id="685" w:name="_Toc280261080"/>
      <w:r w:rsidRPr="00610AD5">
        <w:rPr>
          <w:lang w:val="fr-CH"/>
        </w:rPr>
        <w:lastRenderedPageBreak/>
        <w:t>SECTION V</w:t>
      </w:r>
      <w:r w:rsidRPr="00610AD5">
        <w:rPr>
          <w:lang w:val="fr-CH"/>
        </w:rPr>
        <w:br/>
      </w:r>
      <w:r w:rsidRPr="00610AD5">
        <w:rPr>
          <w:lang w:val="fr-CH"/>
        </w:rPr>
        <w:br/>
      </w:r>
      <w:r w:rsidR="001A36CC" w:rsidRPr="00610AD5">
        <w:rPr>
          <w:b/>
          <w:bCs/>
          <w:caps w:val="0"/>
          <w:lang w:val="fr-CH"/>
        </w:rPr>
        <w:t xml:space="preserve">Emetteur-récepteur de faible puissance ou postes </w:t>
      </w:r>
      <w:r w:rsidRPr="00610AD5">
        <w:rPr>
          <w:b/>
          <w:bCs/>
          <w:lang w:val="fr-CH"/>
        </w:rPr>
        <w:t>«CB»</w:t>
      </w:r>
      <w:bookmarkEnd w:id="685"/>
    </w:p>
    <w:p w:rsidR="00610AD5" w:rsidRPr="00610AD5" w:rsidRDefault="00610AD5" w:rsidP="00610AD5">
      <w:pPr>
        <w:rPr>
          <w:lang w:val="fr-CH"/>
        </w:rPr>
      </w:pPr>
      <w:r w:rsidRPr="00610AD5">
        <w:rPr>
          <w:b/>
          <w:bCs/>
          <w:u w:val="single"/>
          <w:lang w:val="fr-CH"/>
        </w:rPr>
        <w:t>Art. 6:</w:t>
      </w:r>
      <w:r w:rsidRPr="00610AD5">
        <w:rPr>
          <w:b/>
          <w:bCs/>
          <w:lang w:val="fr-CH"/>
        </w:rPr>
        <w:t xml:space="preserve"> </w:t>
      </w:r>
      <w:r w:rsidRPr="00610AD5">
        <w:rPr>
          <w:lang w:val="fr-CH"/>
        </w:rPr>
        <w:t xml:space="preserve">L’utilisation de poste émetteur-récepteur fonctionnant sur les canaux banalisés, dits postes CH, est soumise au paiement d’une redevance forfaitaire, non remboursable au moment de la délivrance de l’autorisation. </w:t>
      </w:r>
    </w:p>
    <w:p w:rsidR="00610AD5" w:rsidRPr="00610AD5" w:rsidRDefault="00610AD5" w:rsidP="00610AD5">
      <w:pPr>
        <w:widowControl w:val="0"/>
        <w:tabs>
          <w:tab w:val="clear" w:pos="794"/>
          <w:tab w:val="clear" w:pos="1191"/>
          <w:tab w:val="clear" w:pos="1588"/>
          <w:tab w:val="clear" w:pos="1985"/>
        </w:tabs>
        <w:overflowPunct/>
        <w:spacing w:before="0" w:after="300" w:line="303" w:lineRule="atLeast"/>
        <w:textAlignment w:val="auto"/>
        <w:rPr>
          <w:rFonts w:asciiTheme="majorBidi" w:eastAsiaTheme="minorEastAsia" w:hAnsiTheme="majorBidi" w:cstheme="majorBidi"/>
          <w:sz w:val="24"/>
          <w:szCs w:val="24"/>
          <w:lang w:val="fr-CH" w:eastAsia="zh-CN"/>
        </w:rPr>
      </w:pPr>
      <w:r w:rsidRPr="00610AD5">
        <w:rPr>
          <w:rFonts w:asciiTheme="majorBidi" w:eastAsiaTheme="minorEastAsia" w:hAnsiTheme="majorBidi" w:cstheme="majorBidi"/>
          <w:sz w:val="24"/>
          <w:szCs w:val="24"/>
          <w:lang w:val="fr-CH" w:eastAsia="zh-CN"/>
        </w:rPr>
        <w:t xml:space="preserve">Ne sont pas assujettis à cette redevance, les postes CH ayant au maximum 40 canaux fonctionnant exclusivement en modulation angulaire avec une puissance en crête de modulation de 4 watts maxima. </w:t>
      </w:r>
    </w:p>
    <w:p w:rsidR="00610AD5" w:rsidRPr="00610AD5" w:rsidRDefault="00610AD5" w:rsidP="001A36CC">
      <w:pPr>
        <w:pStyle w:val="SectionNo"/>
        <w:rPr>
          <w:lang w:val="fr-CH"/>
        </w:rPr>
      </w:pPr>
      <w:bookmarkStart w:id="686" w:name="_Toc280261081"/>
      <w:r w:rsidRPr="00610AD5">
        <w:rPr>
          <w:lang w:val="fr-CH"/>
        </w:rPr>
        <w:t>SECTION VI</w:t>
      </w:r>
      <w:r w:rsidRPr="00610AD5">
        <w:rPr>
          <w:lang w:val="fr-CH"/>
        </w:rPr>
        <w:br/>
      </w:r>
      <w:r w:rsidRPr="00610AD5">
        <w:rPr>
          <w:lang w:val="fr-CH"/>
        </w:rPr>
        <w:br/>
      </w:r>
      <w:r w:rsidR="001A36CC" w:rsidRPr="001A36CC">
        <w:rPr>
          <w:b/>
          <w:bCs/>
          <w:caps w:val="0"/>
          <w:lang w:val="fr-CH"/>
        </w:rPr>
        <w:t>Installation de radiocommunications de modèles réduits</w:t>
      </w:r>
      <w:bookmarkEnd w:id="686"/>
    </w:p>
    <w:p w:rsidR="00610AD5" w:rsidRPr="00610AD5" w:rsidRDefault="00610AD5" w:rsidP="00610AD5">
      <w:pPr>
        <w:rPr>
          <w:lang w:val="fr-CH"/>
        </w:rPr>
      </w:pPr>
      <w:r w:rsidRPr="00610AD5">
        <w:rPr>
          <w:b/>
          <w:bCs/>
          <w:u w:val="single"/>
          <w:lang w:val="fr-CH"/>
        </w:rPr>
        <w:t>Art. 7:</w:t>
      </w:r>
      <w:r w:rsidRPr="00610AD5">
        <w:rPr>
          <w:b/>
          <w:bCs/>
          <w:lang w:val="fr-CH"/>
        </w:rPr>
        <w:t xml:space="preserve"> </w:t>
      </w:r>
      <w:r w:rsidRPr="00610AD5">
        <w:rPr>
          <w:lang w:val="fr-CH"/>
        </w:rPr>
        <w:t xml:space="preserve">L’utilisation de postes émetteurs de modèles réduits et d’une puissance n’excédant pas cinq (5) watts, destinés à la radiocommande, à l’exception de deux autorisés de plein droit, est soumise au paiement d’une redevance et non remboursable </w:t>
      </w:r>
    </w:p>
    <w:p w:rsidR="00610AD5" w:rsidRPr="00610AD5" w:rsidRDefault="00610AD5" w:rsidP="001A36CC">
      <w:pPr>
        <w:pStyle w:val="SectionNo"/>
        <w:rPr>
          <w:lang w:val="fr-CH"/>
        </w:rPr>
      </w:pPr>
      <w:bookmarkStart w:id="687" w:name="_Toc280261082"/>
      <w:r w:rsidRPr="00610AD5">
        <w:rPr>
          <w:lang w:val="fr-CH"/>
        </w:rPr>
        <w:t>SECTION VII</w:t>
      </w:r>
      <w:r w:rsidRPr="00610AD5">
        <w:rPr>
          <w:lang w:val="fr-CH"/>
        </w:rPr>
        <w:br/>
      </w:r>
      <w:r w:rsidRPr="00610AD5">
        <w:rPr>
          <w:lang w:val="fr-CH"/>
        </w:rPr>
        <w:br/>
      </w:r>
      <w:r w:rsidR="001A36CC" w:rsidRPr="00610AD5">
        <w:rPr>
          <w:rFonts w:asciiTheme="majorBidi" w:hAnsiTheme="majorBidi" w:cstheme="majorBidi"/>
          <w:b/>
          <w:bCs/>
          <w:caps w:val="0"/>
          <w:lang w:val="fr-CH"/>
        </w:rPr>
        <w:t>Taux et modalités de paiement des droits, taxes et redevances radioélectriques</w:t>
      </w:r>
      <w:bookmarkEnd w:id="687"/>
    </w:p>
    <w:p w:rsidR="00610AD5" w:rsidRPr="00610AD5" w:rsidRDefault="00610AD5" w:rsidP="00610AD5">
      <w:pPr>
        <w:rPr>
          <w:lang w:val="fr-CH"/>
        </w:rPr>
      </w:pPr>
      <w:r w:rsidRPr="00610AD5">
        <w:rPr>
          <w:b/>
          <w:bCs/>
          <w:u w:val="single"/>
          <w:lang w:val="fr-CH"/>
        </w:rPr>
        <w:t xml:space="preserve">Art. 8: </w:t>
      </w:r>
      <w:r w:rsidRPr="00610AD5">
        <w:rPr>
          <w:lang w:val="fr-CH"/>
        </w:rPr>
        <w:t xml:space="preserve">Les modalités de paiement des droits, taxes, redevances et contributions fixés dans les sections I à IV ci-dessus, sont les suivantes : </w:t>
      </w:r>
    </w:p>
    <w:p w:rsidR="00610AD5" w:rsidRPr="00610AD5" w:rsidRDefault="00610AD5" w:rsidP="00867C40">
      <w:pPr>
        <w:pStyle w:val="enumlev1"/>
        <w:rPr>
          <w:lang w:val="fr-CH"/>
        </w:rPr>
      </w:pPr>
      <w:r w:rsidRPr="00610AD5">
        <w:rPr>
          <w:lang w:val="fr-CH"/>
        </w:rPr>
        <w:t>–</w:t>
      </w:r>
      <w:r w:rsidRPr="00610AD5">
        <w:rPr>
          <w:lang w:val="fr-CH"/>
        </w:rPr>
        <w:tab/>
        <w:t xml:space="preserve">la taxe de constitution de dossier, forfaitaire et non remboursable est due avant la délivrance de l’autorisation </w:t>
      </w:r>
    </w:p>
    <w:p w:rsidR="00610AD5" w:rsidRPr="00610AD5" w:rsidRDefault="00610AD5" w:rsidP="00867C40">
      <w:pPr>
        <w:pStyle w:val="enumlev1"/>
        <w:rPr>
          <w:lang w:val="fr-CH"/>
        </w:rPr>
      </w:pPr>
      <w:r w:rsidRPr="00610AD5">
        <w:rPr>
          <w:lang w:val="fr-CH"/>
        </w:rPr>
        <w:t>–</w:t>
      </w:r>
      <w:r w:rsidRPr="00610AD5">
        <w:rPr>
          <w:lang w:val="fr-CH"/>
        </w:rPr>
        <w:tab/>
        <w:t xml:space="preserve">la taxe de contrôle des stations et la contribution pour frais de gestion, perçues d’avance, sont dues pour l’année en cours et ne sont pas remboursables. </w:t>
      </w:r>
    </w:p>
    <w:p w:rsidR="00610AD5" w:rsidRPr="00610AD5" w:rsidRDefault="00610AD5" w:rsidP="00867C40">
      <w:pPr>
        <w:pStyle w:val="enumlev1"/>
        <w:rPr>
          <w:lang w:val="fr-CH"/>
        </w:rPr>
      </w:pPr>
      <w:r w:rsidRPr="00610AD5">
        <w:rPr>
          <w:lang w:val="fr-CH"/>
        </w:rPr>
        <w:t>–</w:t>
      </w:r>
      <w:r w:rsidRPr="00610AD5">
        <w:rPr>
          <w:lang w:val="fr-CH"/>
        </w:rPr>
        <w:tab/>
        <w:t>La redevance due pour l’utilisation de fréquence radioélectrique est annuelle ; la première année à partir de la date de mise en service des stations, et les années suivantes à partir du 1</w:t>
      </w:r>
      <w:r w:rsidRPr="00610AD5">
        <w:rPr>
          <w:vertAlign w:val="superscript"/>
          <w:lang w:val="fr-CH"/>
        </w:rPr>
        <w:t>er</w:t>
      </w:r>
      <w:r w:rsidRPr="00610AD5">
        <w:rPr>
          <w:position w:val="12"/>
          <w:vertAlign w:val="superscript"/>
          <w:lang w:val="fr-CH"/>
        </w:rPr>
        <w:t xml:space="preserve"> </w:t>
      </w:r>
      <w:r w:rsidRPr="00610AD5">
        <w:rPr>
          <w:lang w:val="fr-CH"/>
        </w:rPr>
        <w:t xml:space="preserve">janvier </w:t>
      </w:r>
    </w:p>
    <w:p w:rsidR="00610AD5" w:rsidRPr="00610AD5" w:rsidRDefault="00610AD5" w:rsidP="00610AD5">
      <w:pPr>
        <w:rPr>
          <w:lang w:val="fr-CH"/>
        </w:rPr>
      </w:pPr>
      <w:r w:rsidRPr="00610AD5">
        <w:rPr>
          <w:b/>
          <w:bCs/>
          <w:u w:val="single"/>
          <w:lang w:val="fr-CH"/>
        </w:rPr>
        <w:t xml:space="preserve">Art. 9: </w:t>
      </w:r>
      <w:r w:rsidRPr="00610AD5">
        <w:rPr>
          <w:lang w:val="fr-CH"/>
        </w:rPr>
        <w:t xml:space="preserve">-Le paiement des taxes et redevances est constaté par la délivrance de vignettes obligatoirement apposés sur les appareils, les véhicules et les navires de plaisance dans le cas des stations mobiles. </w:t>
      </w:r>
    </w:p>
    <w:p w:rsidR="00610AD5" w:rsidRPr="00610AD5" w:rsidRDefault="00610AD5" w:rsidP="00867C40">
      <w:pPr>
        <w:pStyle w:val="ChapNo"/>
        <w:rPr>
          <w:lang w:val="fr-CH"/>
        </w:rPr>
      </w:pPr>
      <w:bookmarkStart w:id="688" w:name="_Toc280261083"/>
      <w:r w:rsidRPr="00610AD5">
        <w:rPr>
          <w:lang w:val="fr-CH"/>
        </w:rPr>
        <w:t>CHAPITRE III</w:t>
      </w:r>
      <w:r w:rsidRPr="00610AD5">
        <w:rPr>
          <w:lang w:val="fr-CH"/>
        </w:rPr>
        <w:br/>
      </w:r>
      <w:r w:rsidRPr="00610AD5">
        <w:rPr>
          <w:lang w:val="fr-CH"/>
        </w:rPr>
        <w:br/>
        <w:t>DROITS ET TAXES DIVERS</w:t>
      </w:r>
      <w:bookmarkEnd w:id="688"/>
      <w:r w:rsidRPr="00610AD5">
        <w:rPr>
          <w:lang w:val="fr-CH"/>
        </w:rPr>
        <w:t xml:space="preserve"> </w:t>
      </w:r>
    </w:p>
    <w:p w:rsidR="00610AD5" w:rsidRPr="001A36CC" w:rsidRDefault="00610AD5" w:rsidP="001A36CC">
      <w:pPr>
        <w:pStyle w:val="SectionNo"/>
        <w:rPr>
          <w:rFonts w:asciiTheme="majorBidi" w:hAnsiTheme="majorBidi" w:cstheme="majorBidi"/>
          <w:b/>
          <w:bCs/>
          <w:lang w:val="fr-CH"/>
        </w:rPr>
      </w:pPr>
      <w:bookmarkStart w:id="689" w:name="_Toc280261084"/>
      <w:r w:rsidRPr="00610AD5">
        <w:rPr>
          <w:lang w:val="fr-CH"/>
        </w:rPr>
        <w:t>SECTION I</w:t>
      </w:r>
      <w:r w:rsidRPr="00610AD5">
        <w:rPr>
          <w:lang w:val="fr-CH"/>
        </w:rPr>
        <w:br/>
      </w:r>
      <w:r w:rsidRPr="00610AD5">
        <w:rPr>
          <w:lang w:val="fr-CH"/>
        </w:rPr>
        <w:br/>
      </w:r>
      <w:r w:rsidR="001A36CC" w:rsidRPr="001A36CC">
        <w:rPr>
          <w:b/>
          <w:bCs/>
          <w:caps w:val="0"/>
          <w:lang w:val="fr-CH"/>
        </w:rPr>
        <w:t>Droits d’examen</w:t>
      </w:r>
      <w:bookmarkEnd w:id="689"/>
    </w:p>
    <w:p w:rsidR="00610AD5" w:rsidRPr="00610AD5" w:rsidRDefault="00610AD5" w:rsidP="00610AD5">
      <w:pPr>
        <w:rPr>
          <w:lang w:val="fr-CH"/>
        </w:rPr>
      </w:pPr>
      <w:r w:rsidRPr="00610AD5">
        <w:rPr>
          <w:b/>
          <w:bCs/>
          <w:u w:val="single"/>
          <w:lang w:val="fr-CH"/>
        </w:rPr>
        <w:t>Art. 10</w:t>
      </w:r>
      <w:r w:rsidRPr="00610AD5">
        <w:rPr>
          <w:lang w:val="fr-CH"/>
        </w:rPr>
        <w:t xml:space="preserve">: -Pour l’obtention du certificat d’opérateur radiotélégraphiste, du certificat d’opérateur radiotéléphonique ou du certificat comportant la double mention, des droits d’examen sont perçus avant le début des épreuves. Des droits de même montant sont dus pour la délivrance du ou desdits certificats aux titulaires d’une attestation militaire de capacité d’opérateur. </w:t>
      </w:r>
    </w:p>
    <w:p w:rsidR="00610AD5" w:rsidRPr="00610AD5" w:rsidRDefault="00610AD5" w:rsidP="00610AD5">
      <w:pPr>
        <w:rPr>
          <w:lang w:val="fr-CH"/>
        </w:rPr>
      </w:pPr>
      <w:r w:rsidRPr="00610AD5">
        <w:rPr>
          <w:b/>
          <w:bCs/>
          <w:u w:val="single"/>
          <w:lang w:val="fr-CH"/>
        </w:rPr>
        <w:lastRenderedPageBreak/>
        <w:t>Art. 11</w:t>
      </w:r>
      <w:r w:rsidRPr="00610AD5">
        <w:rPr>
          <w:lang w:val="fr-CH"/>
        </w:rPr>
        <w:t xml:space="preserve">: Lors de délivrance, du renouvellement ou de l’établissement d’un duplicata de licence de station d’amateur, d’aéronef ou de navire, et d’un certificat d’opérateur, il est perçu un droit forfaitaire et non remboursable. </w:t>
      </w:r>
    </w:p>
    <w:p w:rsidR="00610AD5" w:rsidRPr="00BC495B" w:rsidRDefault="00610AD5" w:rsidP="00BC495B">
      <w:pPr>
        <w:pStyle w:val="SectionNo"/>
        <w:rPr>
          <w:b/>
          <w:bCs/>
          <w:lang w:val="fr-CH"/>
        </w:rPr>
      </w:pPr>
      <w:bookmarkStart w:id="690" w:name="_Toc280261085"/>
      <w:r w:rsidRPr="00610AD5">
        <w:rPr>
          <w:lang w:val="fr-CH"/>
        </w:rPr>
        <w:t>SECTION II</w:t>
      </w:r>
      <w:r w:rsidRPr="00610AD5">
        <w:rPr>
          <w:lang w:val="fr-CH"/>
        </w:rPr>
        <w:br/>
      </w:r>
      <w:r w:rsidRPr="00610AD5">
        <w:rPr>
          <w:lang w:val="fr-CH"/>
        </w:rPr>
        <w:br/>
      </w:r>
      <w:r w:rsidR="00BC495B" w:rsidRPr="00BC495B">
        <w:rPr>
          <w:b/>
          <w:bCs/>
          <w:caps w:val="0"/>
          <w:lang w:val="fr-CH"/>
        </w:rPr>
        <w:t>Taxe d’intervention</w:t>
      </w:r>
      <w:bookmarkEnd w:id="690"/>
      <w:r w:rsidR="00BC495B" w:rsidRPr="00BC495B">
        <w:rPr>
          <w:b/>
          <w:bCs/>
          <w:caps w:val="0"/>
          <w:lang w:val="fr-CH"/>
        </w:rPr>
        <w:t xml:space="preserve"> </w:t>
      </w:r>
    </w:p>
    <w:p w:rsidR="00610AD5" w:rsidRPr="00610AD5" w:rsidRDefault="00610AD5" w:rsidP="00610AD5">
      <w:pPr>
        <w:rPr>
          <w:lang w:val="fr-CH"/>
        </w:rPr>
      </w:pPr>
      <w:r w:rsidRPr="00610AD5">
        <w:rPr>
          <w:b/>
          <w:bCs/>
          <w:u w:val="single"/>
          <w:lang w:val="fr-CH"/>
        </w:rPr>
        <w:t>Art. 12:</w:t>
      </w:r>
      <w:r w:rsidRPr="00610AD5">
        <w:rPr>
          <w:b/>
          <w:bCs/>
          <w:lang w:val="fr-CH"/>
        </w:rPr>
        <w:t xml:space="preserve"> </w:t>
      </w:r>
      <w:r w:rsidRPr="00610AD5">
        <w:rPr>
          <w:lang w:val="fr-CH"/>
        </w:rPr>
        <w:t xml:space="preserve">Les frais exceptionnels occasionnés par le brouillage d’une fréquence radioélectrique régulièrement utilisée ou par la non-conformité des installations visées au chapitre II ci-dessus donnent lieu au paiement d’une contribution forfaitaire par intervention. Cette contribution est due par le propriétaire de la station brouille use ou des installations non conformes. </w:t>
      </w:r>
    </w:p>
    <w:p w:rsidR="00610AD5" w:rsidRPr="00BC495B" w:rsidRDefault="00610AD5" w:rsidP="00BC495B">
      <w:pPr>
        <w:pStyle w:val="SectionNo"/>
        <w:rPr>
          <w:b/>
          <w:bCs/>
          <w:lang w:val="fr-CH"/>
        </w:rPr>
      </w:pPr>
      <w:bookmarkStart w:id="691" w:name="_Toc280261086"/>
      <w:r w:rsidRPr="00610AD5">
        <w:rPr>
          <w:lang w:val="fr-CH"/>
        </w:rPr>
        <w:t xml:space="preserve">SECTION III </w:t>
      </w:r>
      <w:r w:rsidRPr="00610AD5">
        <w:rPr>
          <w:lang w:val="fr-CH"/>
        </w:rPr>
        <w:br/>
      </w:r>
      <w:r w:rsidRPr="00610AD5">
        <w:rPr>
          <w:lang w:val="fr-CH"/>
        </w:rPr>
        <w:br/>
      </w:r>
      <w:r w:rsidR="00BC495B" w:rsidRPr="00BC495B">
        <w:rPr>
          <w:b/>
          <w:bCs/>
          <w:caps w:val="0"/>
          <w:lang w:val="fr-CH"/>
        </w:rPr>
        <w:t>Taxe d’agrément</w:t>
      </w:r>
      <w:bookmarkEnd w:id="691"/>
      <w:r w:rsidR="00BC495B" w:rsidRPr="00BC495B">
        <w:rPr>
          <w:b/>
          <w:bCs/>
          <w:caps w:val="0"/>
          <w:lang w:val="fr-CH"/>
        </w:rPr>
        <w:t xml:space="preserve"> </w:t>
      </w:r>
    </w:p>
    <w:p w:rsidR="00610AD5" w:rsidRPr="00610AD5" w:rsidRDefault="00610AD5" w:rsidP="00610AD5">
      <w:pPr>
        <w:rPr>
          <w:lang w:val="fr-CH"/>
        </w:rPr>
      </w:pPr>
      <w:r w:rsidRPr="00610AD5">
        <w:rPr>
          <w:b/>
          <w:bCs/>
          <w:u w:val="single"/>
          <w:lang w:val="fr-CH"/>
        </w:rPr>
        <w:t>Art. 13</w:t>
      </w:r>
      <w:r w:rsidRPr="00610AD5">
        <w:rPr>
          <w:lang w:val="fr-CH"/>
        </w:rPr>
        <w:t xml:space="preserve">: L’agrément des équipements terminaux et l’admission des installateurs en radiocommunications donnent lieu à le perception des redevances forfaitaires et non remboursables suivantes: </w:t>
      </w:r>
    </w:p>
    <w:p w:rsidR="00610AD5" w:rsidRPr="00610AD5" w:rsidRDefault="00610AD5" w:rsidP="00867C40">
      <w:pPr>
        <w:pStyle w:val="enumlev1"/>
        <w:rPr>
          <w:lang w:val="fr-CH"/>
        </w:rPr>
      </w:pPr>
      <w:r w:rsidRPr="00610AD5">
        <w:rPr>
          <w:lang w:val="fr-CH"/>
        </w:rPr>
        <w:t>1)</w:t>
      </w:r>
      <w:r w:rsidRPr="00610AD5">
        <w:rPr>
          <w:lang w:val="fr-CH"/>
        </w:rPr>
        <w:tab/>
      </w:r>
      <w:r w:rsidRPr="00610AD5">
        <w:rPr>
          <w:b/>
          <w:bCs/>
          <w:lang w:val="fr-CH"/>
        </w:rPr>
        <w:t xml:space="preserve">Pour les équipements </w:t>
      </w:r>
      <w:r w:rsidRPr="00610AD5">
        <w:rPr>
          <w:lang w:val="fr-CH"/>
        </w:rPr>
        <w:t xml:space="preserve">: une taxe de contribution de dossier et une taxe de dossier et une taxe contrôle technique par équipement. </w:t>
      </w:r>
    </w:p>
    <w:p w:rsidR="00610AD5" w:rsidRPr="00610AD5" w:rsidRDefault="00610AD5" w:rsidP="00867C40">
      <w:pPr>
        <w:pStyle w:val="enumlev1"/>
        <w:rPr>
          <w:lang w:val="fr-CH"/>
        </w:rPr>
      </w:pPr>
      <w:r w:rsidRPr="00610AD5">
        <w:rPr>
          <w:lang w:val="fr-CH"/>
        </w:rPr>
        <w:t>2)</w:t>
      </w:r>
      <w:r w:rsidRPr="00610AD5">
        <w:rPr>
          <w:lang w:val="fr-CH"/>
        </w:rPr>
        <w:tab/>
      </w:r>
      <w:r w:rsidRPr="00610AD5">
        <w:rPr>
          <w:b/>
          <w:bCs/>
          <w:lang w:val="fr-CH"/>
        </w:rPr>
        <w:t xml:space="preserve">Pour les installateurs </w:t>
      </w:r>
      <w:r w:rsidRPr="00610AD5">
        <w:rPr>
          <w:lang w:val="fr-CH"/>
        </w:rPr>
        <w:t xml:space="preserve">: une taxe de constitution de dossier et une taxe d’agrément perçu à la délivrance ou au renouvellement de l’autorisation. </w:t>
      </w:r>
    </w:p>
    <w:p w:rsidR="00610AD5" w:rsidRPr="00610AD5" w:rsidRDefault="00610AD5" w:rsidP="00610AD5">
      <w:pPr>
        <w:tabs>
          <w:tab w:val="clear" w:pos="794"/>
          <w:tab w:val="clear" w:pos="1191"/>
          <w:tab w:val="clear" w:pos="1588"/>
          <w:tab w:val="clear" w:pos="1985"/>
        </w:tabs>
        <w:overflowPunct/>
        <w:autoSpaceDE/>
        <w:autoSpaceDN/>
        <w:adjustRightInd/>
        <w:spacing w:before="0"/>
        <w:jc w:val="left"/>
        <w:textAlignment w:val="auto"/>
        <w:rPr>
          <w:b/>
          <w:caps/>
          <w:sz w:val="28"/>
          <w:lang w:val="fr-CH"/>
        </w:rPr>
      </w:pPr>
      <w:r w:rsidRPr="00610AD5">
        <w:rPr>
          <w:lang w:val="fr-CH"/>
        </w:rPr>
        <w:br w:type="page"/>
      </w:r>
    </w:p>
    <w:p w:rsidR="00610AD5" w:rsidRPr="00610AD5" w:rsidRDefault="00610AD5" w:rsidP="00867C40">
      <w:pPr>
        <w:pStyle w:val="ChapNo"/>
        <w:rPr>
          <w:lang w:val="fr-CH"/>
        </w:rPr>
      </w:pPr>
      <w:bookmarkStart w:id="692" w:name="_Toc280261087"/>
      <w:r w:rsidRPr="00610AD5">
        <w:rPr>
          <w:lang w:val="fr-CH"/>
        </w:rPr>
        <w:lastRenderedPageBreak/>
        <w:t>CHAPITRE IV</w:t>
      </w:r>
      <w:bookmarkEnd w:id="692"/>
    </w:p>
    <w:p w:rsidR="00610AD5" w:rsidRPr="00610AD5" w:rsidRDefault="00610AD5" w:rsidP="00610AD5">
      <w:pPr>
        <w:rPr>
          <w:lang w:val="fr-CH"/>
        </w:rPr>
      </w:pPr>
      <w:r w:rsidRPr="00610AD5">
        <w:rPr>
          <w:b/>
          <w:bCs/>
          <w:u w:val="single"/>
          <w:lang w:val="fr-CH"/>
        </w:rPr>
        <w:t>Art. 14:</w:t>
      </w:r>
      <w:r w:rsidRPr="00610AD5">
        <w:rPr>
          <w:b/>
          <w:bCs/>
          <w:lang w:val="fr-CH"/>
        </w:rPr>
        <w:t xml:space="preserve"> </w:t>
      </w:r>
      <w:r w:rsidRPr="00610AD5">
        <w:rPr>
          <w:lang w:val="fr-CH"/>
        </w:rPr>
        <w:t>Les montants des droits, taxes, redevances et contributions sont fixés comme suit :</w:t>
      </w:r>
    </w:p>
    <w:p w:rsidR="00610AD5" w:rsidRPr="00610AD5" w:rsidRDefault="00610AD5" w:rsidP="00610AD5">
      <w:pPr>
        <w:widowControl w:val="0"/>
        <w:tabs>
          <w:tab w:val="clear" w:pos="794"/>
          <w:tab w:val="clear" w:pos="1191"/>
          <w:tab w:val="clear" w:pos="1588"/>
          <w:tab w:val="clear" w:pos="1985"/>
        </w:tabs>
        <w:overflowPunct/>
        <w:spacing w:before="0"/>
        <w:jc w:val="left"/>
        <w:textAlignment w:val="auto"/>
        <w:rPr>
          <w:rFonts w:asciiTheme="majorBidi" w:eastAsia="SimSun" w:hAnsiTheme="majorBidi" w:cstheme="majorBidi"/>
          <w:color w:val="000000"/>
          <w:sz w:val="24"/>
          <w:szCs w:val="24"/>
          <w:lang w:val="fr-CH" w:eastAsia="zh-C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36"/>
        <w:gridCol w:w="1230"/>
        <w:gridCol w:w="1134"/>
        <w:gridCol w:w="1276"/>
        <w:gridCol w:w="1264"/>
      </w:tblGrid>
      <w:tr w:rsidR="00610AD5" w:rsidRPr="00610AD5" w:rsidTr="00610AD5">
        <w:trPr>
          <w:jc w:val="center"/>
        </w:trPr>
        <w:tc>
          <w:tcPr>
            <w:tcW w:w="4536" w:type="dxa"/>
          </w:tcPr>
          <w:p w:rsidR="00610AD5" w:rsidRPr="00610AD5" w:rsidRDefault="00610AD5" w:rsidP="00610AD5">
            <w:pPr>
              <w:widowControl w:val="0"/>
              <w:tabs>
                <w:tab w:val="clear" w:pos="794"/>
                <w:tab w:val="clear" w:pos="1191"/>
                <w:tab w:val="clear" w:pos="1588"/>
                <w:tab w:val="clear" w:pos="1985"/>
              </w:tabs>
              <w:overflowPunct/>
              <w:spacing w:before="60" w:after="60"/>
              <w:jc w:val="left"/>
              <w:textAlignment w:val="auto"/>
              <w:rPr>
                <w:rFonts w:asciiTheme="majorBidi" w:eastAsia="SimSun" w:hAnsiTheme="majorBidi" w:cstheme="majorBidi"/>
                <w:color w:val="000000"/>
                <w:sz w:val="24"/>
                <w:szCs w:val="24"/>
                <w:lang w:val="fr-CH" w:eastAsia="zh-CN"/>
              </w:rPr>
            </w:pPr>
            <w:r w:rsidRPr="00610AD5">
              <w:rPr>
                <w:rFonts w:asciiTheme="majorBidi" w:eastAsia="SimSun" w:hAnsiTheme="majorBidi" w:cstheme="majorBidi"/>
                <w:color w:val="000000"/>
                <w:sz w:val="24"/>
                <w:szCs w:val="24"/>
                <w:lang w:val="fr-CH" w:eastAsia="zh-CN"/>
              </w:rPr>
              <w:t>B1. régional (moyenne de 100km)</w:t>
            </w:r>
          </w:p>
          <w:p w:rsidR="00610AD5" w:rsidRPr="00610AD5" w:rsidRDefault="00610AD5" w:rsidP="00610AD5">
            <w:pPr>
              <w:widowControl w:val="0"/>
              <w:tabs>
                <w:tab w:val="clear" w:pos="794"/>
                <w:tab w:val="clear" w:pos="1191"/>
                <w:tab w:val="clear" w:pos="1588"/>
                <w:tab w:val="clear" w:pos="1985"/>
              </w:tabs>
              <w:overflowPunct/>
              <w:spacing w:before="60" w:after="60"/>
              <w:jc w:val="left"/>
              <w:textAlignment w:val="auto"/>
              <w:rPr>
                <w:rFonts w:asciiTheme="majorBidi" w:eastAsia="SimSun" w:hAnsiTheme="majorBidi" w:cstheme="majorBidi"/>
                <w:color w:val="000000"/>
                <w:sz w:val="24"/>
                <w:szCs w:val="24"/>
                <w:lang w:val="fr-CH" w:eastAsia="zh-CN"/>
              </w:rPr>
            </w:pPr>
            <w:r w:rsidRPr="00610AD5">
              <w:rPr>
                <w:rFonts w:asciiTheme="majorBidi" w:eastAsia="SimSun" w:hAnsiTheme="majorBidi" w:cstheme="majorBidi"/>
                <w:color w:val="000000"/>
                <w:sz w:val="24"/>
                <w:szCs w:val="24"/>
                <w:lang w:val="fr-CH" w:eastAsia="zh-CN"/>
              </w:rPr>
              <w:t>B2. réseau inter-régional (moyenne</w:t>
            </w:r>
            <w:r w:rsidRPr="00610AD5">
              <w:rPr>
                <w:rFonts w:asciiTheme="majorBidi" w:eastAsia="SimSun" w:hAnsiTheme="majorBidi" w:cstheme="majorBidi"/>
                <w:color w:val="000000"/>
                <w:sz w:val="24"/>
                <w:szCs w:val="24"/>
                <w:lang w:val="fr-CH" w:eastAsia="zh-CN"/>
              </w:rPr>
              <w:br/>
              <w:t>de 250 km)</w:t>
            </w:r>
          </w:p>
          <w:p w:rsidR="00610AD5" w:rsidRPr="00610AD5" w:rsidRDefault="00610AD5" w:rsidP="00610AD5">
            <w:pPr>
              <w:widowControl w:val="0"/>
              <w:tabs>
                <w:tab w:val="clear" w:pos="794"/>
                <w:tab w:val="clear" w:pos="1191"/>
                <w:tab w:val="clear" w:pos="1588"/>
                <w:tab w:val="clear" w:pos="1985"/>
              </w:tabs>
              <w:overflowPunct/>
              <w:spacing w:before="60" w:after="60"/>
              <w:jc w:val="left"/>
              <w:textAlignment w:val="auto"/>
              <w:rPr>
                <w:rFonts w:asciiTheme="majorBidi" w:eastAsia="SimSun" w:hAnsiTheme="majorBidi" w:cstheme="majorBidi"/>
                <w:color w:val="000000"/>
                <w:sz w:val="24"/>
                <w:szCs w:val="24"/>
                <w:lang w:val="fr-CH" w:eastAsia="zh-CN"/>
              </w:rPr>
            </w:pPr>
            <w:r w:rsidRPr="00610AD5">
              <w:rPr>
                <w:rFonts w:asciiTheme="majorBidi" w:eastAsia="SimSun" w:hAnsiTheme="majorBidi" w:cstheme="majorBidi"/>
                <w:color w:val="000000"/>
                <w:sz w:val="24"/>
                <w:szCs w:val="24"/>
                <w:lang w:val="fr-CH" w:eastAsia="zh-CN"/>
              </w:rPr>
              <w:t>B3. réseau national (moyenne de 500 km)</w:t>
            </w:r>
          </w:p>
          <w:p w:rsidR="00610AD5" w:rsidRPr="00610AD5" w:rsidRDefault="00610AD5" w:rsidP="00610AD5">
            <w:pPr>
              <w:widowControl w:val="0"/>
              <w:tabs>
                <w:tab w:val="clear" w:pos="794"/>
                <w:tab w:val="clear" w:pos="1191"/>
                <w:tab w:val="clear" w:pos="1588"/>
                <w:tab w:val="clear" w:pos="1985"/>
              </w:tabs>
              <w:overflowPunct/>
              <w:spacing w:before="60" w:after="60"/>
              <w:jc w:val="left"/>
              <w:textAlignment w:val="auto"/>
              <w:rPr>
                <w:rFonts w:asciiTheme="majorBidi" w:eastAsia="SimSun" w:hAnsiTheme="majorBidi" w:cstheme="majorBidi"/>
                <w:color w:val="000000"/>
                <w:sz w:val="24"/>
                <w:szCs w:val="24"/>
                <w:lang w:val="fr-CH"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left"/>
              <w:textAlignment w:val="auto"/>
              <w:rPr>
                <w:rFonts w:asciiTheme="majorBidi" w:eastAsia="SimSun" w:hAnsiTheme="majorBidi" w:cstheme="majorBidi"/>
                <w:color w:val="000000"/>
                <w:sz w:val="24"/>
                <w:szCs w:val="24"/>
                <w:lang w:val="fr-CH" w:eastAsia="zh-CN"/>
              </w:rPr>
            </w:pPr>
            <w:r w:rsidRPr="00610AD5">
              <w:rPr>
                <w:rFonts w:asciiTheme="majorBidi" w:eastAsia="SimSun" w:hAnsiTheme="majorBidi" w:cstheme="majorBidi"/>
                <w:color w:val="000000"/>
                <w:sz w:val="24"/>
                <w:szCs w:val="24"/>
                <w:lang w:val="fr-CH" w:eastAsia="zh-CN"/>
              </w:rPr>
              <w:t>C1. réseau comportant moins de 5 stations</w:t>
            </w:r>
          </w:p>
          <w:p w:rsidR="00610AD5" w:rsidRPr="00610AD5" w:rsidRDefault="00610AD5" w:rsidP="00610AD5">
            <w:pPr>
              <w:widowControl w:val="0"/>
              <w:tabs>
                <w:tab w:val="clear" w:pos="794"/>
                <w:tab w:val="clear" w:pos="1191"/>
                <w:tab w:val="clear" w:pos="1588"/>
                <w:tab w:val="clear" w:pos="1985"/>
              </w:tabs>
              <w:overflowPunct/>
              <w:spacing w:before="60" w:after="60"/>
              <w:jc w:val="left"/>
              <w:textAlignment w:val="auto"/>
              <w:rPr>
                <w:rFonts w:asciiTheme="majorBidi" w:eastAsia="SimSun" w:hAnsiTheme="majorBidi" w:cstheme="majorBidi"/>
                <w:color w:val="000000"/>
                <w:sz w:val="24"/>
                <w:szCs w:val="24"/>
                <w:lang w:val="fr-CH" w:eastAsia="zh-CN"/>
              </w:rPr>
            </w:pPr>
            <w:r w:rsidRPr="00610AD5">
              <w:rPr>
                <w:rFonts w:asciiTheme="majorBidi" w:eastAsia="SimSun" w:hAnsiTheme="majorBidi" w:cstheme="majorBidi"/>
                <w:color w:val="000000"/>
                <w:sz w:val="24"/>
                <w:szCs w:val="24"/>
                <w:lang w:val="fr-CH" w:eastAsia="zh-CN"/>
              </w:rPr>
              <w:t>C2. réseau de 5 à 10 stations</w:t>
            </w:r>
          </w:p>
          <w:p w:rsidR="00610AD5" w:rsidRPr="00610AD5" w:rsidRDefault="00610AD5" w:rsidP="00610AD5">
            <w:pPr>
              <w:widowControl w:val="0"/>
              <w:tabs>
                <w:tab w:val="clear" w:pos="794"/>
                <w:tab w:val="clear" w:pos="1191"/>
                <w:tab w:val="clear" w:pos="1588"/>
                <w:tab w:val="clear" w:pos="1985"/>
              </w:tabs>
              <w:overflowPunct/>
              <w:spacing w:before="60" w:after="60"/>
              <w:jc w:val="left"/>
              <w:textAlignment w:val="auto"/>
              <w:rPr>
                <w:rFonts w:asciiTheme="majorBidi" w:eastAsia="SimSun" w:hAnsiTheme="majorBidi" w:cstheme="majorBidi"/>
                <w:color w:val="000000"/>
                <w:sz w:val="24"/>
                <w:szCs w:val="24"/>
                <w:lang w:val="fr-CH" w:eastAsia="zh-CN"/>
              </w:rPr>
            </w:pPr>
            <w:r w:rsidRPr="00610AD5">
              <w:rPr>
                <w:rFonts w:asciiTheme="majorBidi" w:eastAsia="SimSun" w:hAnsiTheme="majorBidi" w:cstheme="majorBidi"/>
                <w:color w:val="000000"/>
                <w:sz w:val="24"/>
                <w:szCs w:val="24"/>
                <w:lang w:val="fr-CH" w:eastAsia="zh-CN"/>
              </w:rPr>
              <w:t>C3. réseau de plus de 10 stations</w:t>
            </w:r>
          </w:p>
          <w:p w:rsidR="00610AD5" w:rsidRPr="00610AD5" w:rsidRDefault="00610AD5" w:rsidP="00610AD5">
            <w:pPr>
              <w:widowControl w:val="0"/>
              <w:tabs>
                <w:tab w:val="clear" w:pos="794"/>
                <w:tab w:val="clear" w:pos="1191"/>
                <w:tab w:val="clear" w:pos="1588"/>
                <w:tab w:val="clear" w:pos="1985"/>
              </w:tabs>
              <w:overflowPunct/>
              <w:spacing w:before="60" w:after="60"/>
              <w:jc w:val="left"/>
              <w:textAlignment w:val="auto"/>
              <w:rPr>
                <w:rFonts w:asciiTheme="majorBidi" w:eastAsia="SimSun" w:hAnsiTheme="majorBidi" w:cstheme="majorBidi"/>
                <w:color w:val="000000"/>
                <w:sz w:val="24"/>
                <w:szCs w:val="24"/>
                <w:lang w:val="fr-CH"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left"/>
              <w:textAlignment w:val="auto"/>
              <w:rPr>
                <w:rFonts w:asciiTheme="majorBidi" w:eastAsia="SimSun" w:hAnsiTheme="majorBidi" w:cstheme="majorBidi"/>
                <w:color w:val="000000"/>
                <w:sz w:val="24"/>
                <w:szCs w:val="24"/>
                <w:lang w:val="fr-CH" w:eastAsia="zh-CN"/>
              </w:rPr>
            </w:pPr>
            <w:r w:rsidRPr="00610AD5">
              <w:rPr>
                <w:rFonts w:asciiTheme="majorBidi" w:eastAsia="SimSun" w:hAnsiTheme="majorBidi" w:cstheme="majorBidi"/>
                <w:color w:val="000000"/>
                <w:sz w:val="24"/>
                <w:szCs w:val="24"/>
                <w:lang w:val="fr-CH" w:eastAsia="zh-CN"/>
              </w:rPr>
              <w:t>1.3-Réseau de radio recherche/ radiomessagerie (Paging) largeur du canal = 12,5 KHz</w:t>
            </w:r>
          </w:p>
          <w:p w:rsidR="00610AD5" w:rsidRPr="00610AD5" w:rsidRDefault="00610AD5" w:rsidP="00610AD5">
            <w:pPr>
              <w:widowControl w:val="0"/>
              <w:tabs>
                <w:tab w:val="clear" w:pos="794"/>
                <w:tab w:val="clear" w:pos="1191"/>
                <w:tab w:val="clear" w:pos="1588"/>
                <w:tab w:val="clear" w:pos="1985"/>
              </w:tabs>
              <w:overflowPunct/>
              <w:spacing w:before="60" w:after="60"/>
              <w:jc w:val="left"/>
              <w:textAlignment w:val="auto"/>
              <w:rPr>
                <w:rFonts w:asciiTheme="majorBidi" w:eastAsia="SimSun" w:hAnsiTheme="majorBidi" w:cstheme="majorBidi"/>
                <w:color w:val="000000"/>
                <w:sz w:val="24"/>
                <w:szCs w:val="24"/>
                <w:lang w:val="fr-CH"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left"/>
              <w:textAlignment w:val="auto"/>
              <w:rPr>
                <w:rFonts w:asciiTheme="majorBidi" w:eastAsia="SimSun" w:hAnsiTheme="majorBidi" w:cstheme="majorBidi"/>
                <w:color w:val="000000"/>
                <w:sz w:val="24"/>
                <w:szCs w:val="24"/>
                <w:lang w:val="fr-CH" w:eastAsia="zh-CN"/>
              </w:rPr>
            </w:pPr>
            <w:r w:rsidRPr="00610AD5">
              <w:rPr>
                <w:rFonts w:asciiTheme="majorBidi" w:eastAsia="SimSun" w:hAnsiTheme="majorBidi" w:cstheme="majorBidi"/>
                <w:color w:val="000000"/>
                <w:sz w:val="24"/>
                <w:szCs w:val="24"/>
                <w:lang w:val="fr-CH" w:eastAsia="zh-CN"/>
              </w:rPr>
              <w:t>A1. réseau local (urbain)</w:t>
            </w:r>
          </w:p>
          <w:p w:rsidR="00610AD5" w:rsidRPr="00610AD5" w:rsidRDefault="00610AD5" w:rsidP="00610AD5">
            <w:pPr>
              <w:widowControl w:val="0"/>
              <w:tabs>
                <w:tab w:val="clear" w:pos="794"/>
                <w:tab w:val="clear" w:pos="1191"/>
                <w:tab w:val="clear" w:pos="1588"/>
                <w:tab w:val="clear" w:pos="1985"/>
              </w:tabs>
              <w:overflowPunct/>
              <w:spacing w:before="60" w:after="60"/>
              <w:jc w:val="left"/>
              <w:textAlignment w:val="auto"/>
              <w:rPr>
                <w:rFonts w:asciiTheme="majorBidi" w:eastAsia="SimSun" w:hAnsiTheme="majorBidi" w:cstheme="majorBidi"/>
                <w:color w:val="000000"/>
                <w:sz w:val="24"/>
                <w:szCs w:val="24"/>
                <w:lang w:val="fr-CH" w:eastAsia="zh-CN"/>
              </w:rPr>
            </w:pPr>
            <w:r w:rsidRPr="00610AD5">
              <w:rPr>
                <w:rFonts w:asciiTheme="majorBidi" w:eastAsia="SimSun" w:hAnsiTheme="majorBidi" w:cstheme="majorBidi"/>
                <w:color w:val="000000"/>
                <w:sz w:val="24"/>
                <w:szCs w:val="24"/>
                <w:lang w:val="fr-CH" w:eastAsia="zh-CN"/>
              </w:rPr>
              <w:t>A2. réseau régional (interurbain)</w:t>
            </w:r>
          </w:p>
          <w:p w:rsidR="00610AD5" w:rsidRPr="00610AD5" w:rsidRDefault="00610AD5" w:rsidP="00610AD5">
            <w:pPr>
              <w:widowControl w:val="0"/>
              <w:tabs>
                <w:tab w:val="clear" w:pos="794"/>
                <w:tab w:val="clear" w:pos="1191"/>
                <w:tab w:val="clear" w:pos="1588"/>
                <w:tab w:val="clear" w:pos="1985"/>
              </w:tabs>
              <w:overflowPunct/>
              <w:spacing w:before="60" w:after="60"/>
              <w:jc w:val="left"/>
              <w:textAlignment w:val="auto"/>
              <w:rPr>
                <w:rFonts w:asciiTheme="majorBidi" w:eastAsia="SimSun" w:hAnsiTheme="majorBidi" w:cstheme="majorBidi"/>
                <w:color w:val="000000"/>
                <w:sz w:val="24"/>
                <w:szCs w:val="24"/>
                <w:lang w:val="fr-CH" w:eastAsia="zh-CN"/>
              </w:rPr>
            </w:pPr>
            <w:r w:rsidRPr="00610AD5">
              <w:rPr>
                <w:rFonts w:asciiTheme="majorBidi" w:eastAsia="SimSun" w:hAnsiTheme="majorBidi" w:cstheme="majorBidi"/>
                <w:color w:val="000000"/>
                <w:sz w:val="24"/>
                <w:szCs w:val="24"/>
                <w:lang w:val="fr-CH" w:eastAsia="zh-CN"/>
              </w:rPr>
              <w:t>A3. réseau national</w:t>
            </w:r>
          </w:p>
          <w:p w:rsidR="00610AD5" w:rsidRPr="00610AD5" w:rsidRDefault="00610AD5" w:rsidP="00610AD5">
            <w:pPr>
              <w:widowControl w:val="0"/>
              <w:tabs>
                <w:tab w:val="clear" w:pos="794"/>
                <w:tab w:val="clear" w:pos="1191"/>
                <w:tab w:val="clear" w:pos="1588"/>
                <w:tab w:val="clear" w:pos="1985"/>
              </w:tabs>
              <w:overflowPunct/>
              <w:spacing w:before="60" w:after="60"/>
              <w:jc w:val="left"/>
              <w:textAlignment w:val="auto"/>
              <w:rPr>
                <w:rFonts w:asciiTheme="majorBidi" w:eastAsia="SimSun" w:hAnsiTheme="majorBidi" w:cstheme="majorBidi"/>
                <w:color w:val="000000"/>
                <w:sz w:val="24"/>
                <w:szCs w:val="24"/>
                <w:lang w:val="fr-CH"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left"/>
              <w:textAlignment w:val="auto"/>
              <w:rPr>
                <w:rFonts w:asciiTheme="majorBidi" w:eastAsia="SimSun" w:hAnsiTheme="majorBidi" w:cstheme="majorBidi"/>
                <w:color w:val="000000"/>
                <w:sz w:val="24"/>
                <w:szCs w:val="24"/>
                <w:lang w:val="fr-CH" w:eastAsia="zh-CN"/>
              </w:rPr>
            </w:pPr>
            <w:r w:rsidRPr="00610AD5">
              <w:rPr>
                <w:rFonts w:asciiTheme="majorBidi" w:eastAsia="SimSun" w:hAnsiTheme="majorBidi" w:cstheme="majorBidi"/>
                <w:color w:val="000000"/>
                <w:sz w:val="24"/>
                <w:szCs w:val="24"/>
                <w:lang w:val="fr-CH" w:eastAsia="zh-CN"/>
              </w:rPr>
              <w:t>B1. Station de base</w:t>
            </w:r>
          </w:p>
          <w:p w:rsidR="00610AD5" w:rsidRPr="00610AD5" w:rsidRDefault="00610AD5" w:rsidP="00610AD5">
            <w:pPr>
              <w:widowControl w:val="0"/>
              <w:tabs>
                <w:tab w:val="clear" w:pos="794"/>
                <w:tab w:val="clear" w:pos="1191"/>
                <w:tab w:val="clear" w:pos="1588"/>
                <w:tab w:val="clear" w:pos="1985"/>
              </w:tabs>
              <w:overflowPunct/>
              <w:spacing w:before="60" w:after="60"/>
              <w:jc w:val="left"/>
              <w:textAlignment w:val="auto"/>
              <w:rPr>
                <w:rFonts w:asciiTheme="majorBidi" w:eastAsia="SimSun" w:hAnsiTheme="majorBidi" w:cstheme="majorBidi"/>
                <w:color w:val="000000"/>
                <w:sz w:val="24"/>
                <w:szCs w:val="24"/>
                <w:lang w:val="fr-CH" w:eastAsia="zh-CN"/>
              </w:rPr>
            </w:pPr>
            <w:r w:rsidRPr="00610AD5">
              <w:rPr>
                <w:rFonts w:asciiTheme="majorBidi" w:eastAsia="SimSun" w:hAnsiTheme="majorBidi" w:cstheme="majorBidi"/>
                <w:color w:val="000000"/>
                <w:sz w:val="24"/>
                <w:szCs w:val="24"/>
                <w:lang w:val="fr-CH" w:eastAsia="zh-CN"/>
              </w:rPr>
              <w:t>C1. fréquence disponible localement</w:t>
            </w:r>
          </w:p>
          <w:p w:rsidR="00610AD5" w:rsidRPr="00610AD5" w:rsidRDefault="00610AD5" w:rsidP="00610AD5">
            <w:pPr>
              <w:widowControl w:val="0"/>
              <w:tabs>
                <w:tab w:val="clear" w:pos="794"/>
                <w:tab w:val="clear" w:pos="1191"/>
                <w:tab w:val="clear" w:pos="1588"/>
                <w:tab w:val="clear" w:pos="1985"/>
              </w:tabs>
              <w:overflowPunct/>
              <w:spacing w:before="60" w:after="60"/>
              <w:jc w:val="left"/>
              <w:textAlignment w:val="auto"/>
              <w:rPr>
                <w:rFonts w:asciiTheme="majorBidi" w:eastAsia="SimSun" w:hAnsiTheme="majorBidi" w:cstheme="majorBidi"/>
                <w:color w:val="000000"/>
                <w:sz w:val="24"/>
                <w:szCs w:val="24"/>
                <w:lang w:val="fr-CH" w:eastAsia="zh-CN"/>
              </w:rPr>
            </w:pPr>
            <w:r w:rsidRPr="00610AD5">
              <w:rPr>
                <w:rFonts w:asciiTheme="majorBidi" w:eastAsia="SimSun" w:hAnsiTheme="majorBidi" w:cstheme="majorBidi"/>
                <w:color w:val="000000"/>
                <w:sz w:val="24"/>
                <w:szCs w:val="24"/>
                <w:lang w:val="fr-CH" w:eastAsia="zh-CN"/>
              </w:rPr>
              <w:t>C2. fréquence disponible au plan régional</w:t>
            </w:r>
          </w:p>
          <w:p w:rsidR="00610AD5" w:rsidRPr="00610AD5" w:rsidRDefault="00610AD5" w:rsidP="00610AD5">
            <w:pPr>
              <w:widowControl w:val="0"/>
              <w:tabs>
                <w:tab w:val="clear" w:pos="794"/>
                <w:tab w:val="clear" w:pos="1191"/>
                <w:tab w:val="clear" w:pos="1588"/>
                <w:tab w:val="clear" w:pos="1985"/>
              </w:tabs>
              <w:overflowPunct/>
              <w:spacing w:before="60" w:after="60"/>
              <w:jc w:val="left"/>
              <w:textAlignment w:val="auto"/>
              <w:rPr>
                <w:rFonts w:asciiTheme="majorBidi" w:eastAsia="SimSun" w:hAnsiTheme="majorBidi" w:cstheme="majorBidi"/>
                <w:color w:val="000000"/>
                <w:sz w:val="24"/>
                <w:szCs w:val="24"/>
                <w:lang w:val="fr-CH" w:eastAsia="zh-CN"/>
              </w:rPr>
            </w:pPr>
            <w:r w:rsidRPr="00610AD5">
              <w:rPr>
                <w:rFonts w:asciiTheme="majorBidi" w:eastAsia="SimSun" w:hAnsiTheme="majorBidi" w:cstheme="majorBidi"/>
                <w:color w:val="000000"/>
                <w:sz w:val="24"/>
                <w:szCs w:val="24"/>
                <w:lang w:val="fr-CH" w:eastAsia="zh-CN"/>
              </w:rPr>
              <w:t>C3. fréquence sur l’ensemble du territoire national</w:t>
            </w:r>
          </w:p>
          <w:p w:rsidR="00610AD5" w:rsidRPr="00610AD5" w:rsidRDefault="00610AD5" w:rsidP="00610AD5">
            <w:pPr>
              <w:widowControl w:val="0"/>
              <w:tabs>
                <w:tab w:val="clear" w:pos="794"/>
                <w:tab w:val="clear" w:pos="1191"/>
                <w:tab w:val="clear" w:pos="1588"/>
                <w:tab w:val="clear" w:pos="1985"/>
              </w:tabs>
              <w:overflowPunct/>
              <w:spacing w:before="60" w:after="60"/>
              <w:jc w:val="left"/>
              <w:textAlignment w:val="auto"/>
              <w:rPr>
                <w:rFonts w:asciiTheme="majorBidi" w:eastAsia="SimSun" w:hAnsiTheme="majorBidi" w:cstheme="majorBidi"/>
                <w:color w:val="000000"/>
                <w:sz w:val="24"/>
                <w:szCs w:val="24"/>
                <w:lang w:val="fr-CH" w:eastAsia="zh-CN"/>
              </w:rPr>
            </w:pPr>
            <w:r w:rsidRPr="00610AD5">
              <w:rPr>
                <w:rFonts w:asciiTheme="majorBidi" w:eastAsia="SimSun" w:hAnsiTheme="majorBidi" w:cstheme="majorBidi"/>
                <w:color w:val="000000"/>
                <w:sz w:val="24"/>
                <w:szCs w:val="24"/>
                <w:lang w:val="fr-CH" w:eastAsia="zh-CN"/>
              </w:rPr>
              <w:t>14. réseau à ressources partagées (Trunking)</w:t>
            </w:r>
          </w:p>
          <w:p w:rsidR="00610AD5" w:rsidRPr="005D46D3" w:rsidRDefault="00610AD5" w:rsidP="00610AD5">
            <w:pPr>
              <w:widowControl w:val="0"/>
              <w:tabs>
                <w:tab w:val="clear" w:pos="794"/>
                <w:tab w:val="clear" w:pos="1191"/>
                <w:tab w:val="clear" w:pos="1588"/>
                <w:tab w:val="clear" w:pos="1985"/>
              </w:tabs>
              <w:overflowPunct/>
              <w:spacing w:before="60" w:after="60"/>
              <w:jc w:val="left"/>
              <w:textAlignment w:val="auto"/>
              <w:rPr>
                <w:rFonts w:asciiTheme="majorBidi" w:eastAsia="SimSun" w:hAnsiTheme="majorBidi" w:cstheme="majorBidi"/>
                <w:color w:val="000000"/>
                <w:sz w:val="24"/>
                <w:szCs w:val="24"/>
                <w:lang w:val="fr-CH" w:eastAsia="zh-CN"/>
              </w:rPr>
            </w:pPr>
            <w:r w:rsidRPr="005D46D3">
              <w:rPr>
                <w:rFonts w:asciiTheme="majorBidi" w:eastAsia="SimSun" w:hAnsiTheme="majorBidi" w:cstheme="majorBidi"/>
                <w:color w:val="000000"/>
                <w:sz w:val="24"/>
                <w:szCs w:val="24"/>
                <w:lang w:val="fr-CH" w:eastAsia="zh-CN"/>
              </w:rPr>
              <w:t>(largeur du canal = 12,5 KHZ)</w:t>
            </w:r>
          </w:p>
          <w:p w:rsidR="00610AD5" w:rsidRPr="005D46D3" w:rsidRDefault="00610AD5" w:rsidP="00610AD5">
            <w:pPr>
              <w:widowControl w:val="0"/>
              <w:tabs>
                <w:tab w:val="clear" w:pos="794"/>
                <w:tab w:val="clear" w:pos="1191"/>
                <w:tab w:val="clear" w:pos="1588"/>
                <w:tab w:val="clear" w:pos="1985"/>
              </w:tabs>
              <w:overflowPunct/>
              <w:spacing w:before="60" w:after="60"/>
              <w:jc w:val="left"/>
              <w:textAlignment w:val="auto"/>
              <w:rPr>
                <w:rFonts w:asciiTheme="majorBidi" w:eastAsia="SimSun" w:hAnsiTheme="majorBidi" w:cstheme="majorBidi"/>
                <w:color w:val="000000"/>
                <w:sz w:val="24"/>
                <w:szCs w:val="24"/>
                <w:lang w:val="fr-CH" w:eastAsia="zh-CN"/>
              </w:rPr>
            </w:pPr>
          </w:p>
          <w:p w:rsidR="00610AD5" w:rsidRPr="005D46D3" w:rsidRDefault="00610AD5" w:rsidP="00610AD5">
            <w:pPr>
              <w:widowControl w:val="0"/>
              <w:tabs>
                <w:tab w:val="clear" w:pos="794"/>
                <w:tab w:val="clear" w:pos="1191"/>
                <w:tab w:val="clear" w:pos="1588"/>
                <w:tab w:val="clear" w:pos="1985"/>
              </w:tabs>
              <w:overflowPunct/>
              <w:spacing w:before="60" w:after="60"/>
              <w:jc w:val="left"/>
              <w:textAlignment w:val="auto"/>
              <w:rPr>
                <w:rFonts w:asciiTheme="majorBidi" w:eastAsia="SimSun" w:hAnsiTheme="majorBidi" w:cstheme="majorBidi"/>
                <w:color w:val="000000"/>
                <w:sz w:val="24"/>
                <w:szCs w:val="24"/>
                <w:lang w:val="fr-CH" w:eastAsia="zh-CN"/>
              </w:rPr>
            </w:pPr>
            <w:r w:rsidRPr="005D46D3">
              <w:rPr>
                <w:rFonts w:asciiTheme="majorBidi" w:eastAsia="SimSun" w:hAnsiTheme="majorBidi" w:cstheme="majorBidi"/>
                <w:color w:val="000000"/>
                <w:sz w:val="24"/>
                <w:szCs w:val="24"/>
                <w:lang w:val="fr-CH" w:eastAsia="zh-CN"/>
              </w:rPr>
              <w:t>A1. réseau local (urbain)</w:t>
            </w:r>
          </w:p>
          <w:p w:rsidR="00610AD5" w:rsidRPr="005D46D3" w:rsidRDefault="00610AD5" w:rsidP="00610AD5">
            <w:pPr>
              <w:widowControl w:val="0"/>
              <w:tabs>
                <w:tab w:val="clear" w:pos="794"/>
                <w:tab w:val="clear" w:pos="1191"/>
                <w:tab w:val="clear" w:pos="1588"/>
                <w:tab w:val="clear" w:pos="1985"/>
              </w:tabs>
              <w:overflowPunct/>
              <w:spacing w:before="60" w:after="60"/>
              <w:jc w:val="left"/>
              <w:textAlignment w:val="auto"/>
              <w:rPr>
                <w:rFonts w:asciiTheme="majorBidi" w:eastAsia="SimSun" w:hAnsiTheme="majorBidi" w:cstheme="majorBidi"/>
                <w:color w:val="000000"/>
                <w:sz w:val="24"/>
                <w:szCs w:val="24"/>
                <w:lang w:val="fr-CH" w:eastAsia="zh-CN"/>
              </w:rPr>
            </w:pPr>
            <w:r w:rsidRPr="005D46D3">
              <w:rPr>
                <w:rFonts w:asciiTheme="majorBidi" w:eastAsia="SimSun" w:hAnsiTheme="majorBidi" w:cstheme="majorBidi"/>
                <w:color w:val="000000"/>
                <w:sz w:val="24"/>
                <w:szCs w:val="24"/>
                <w:lang w:val="fr-CH" w:eastAsia="zh-CN"/>
              </w:rPr>
              <w:t>A2. réseau interurbain)</w:t>
            </w:r>
          </w:p>
          <w:p w:rsidR="00610AD5" w:rsidRPr="00610AD5" w:rsidRDefault="00610AD5" w:rsidP="00610AD5">
            <w:pPr>
              <w:widowControl w:val="0"/>
              <w:tabs>
                <w:tab w:val="clear" w:pos="794"/>
                <w:tab w:val="clear" w:pos="1191"/>
                <w:tab w:val="clear" w:pos="1588"/>
                <w:tab w:val="clear" w:pos="1985"/>
              </w:tabs>
              <w:overflowPunct/>
              <w:spacing w:before="60" w:after="60"/>
              <w:jc w:val="left"/>
              <w:textAlignment w:val="auto"/>
              <w:rPr>
                <w:rFonts w:asciiTheme="majorBidi" w:eastAsia="SimSun" w:hAnsiTheme="majorBidi" w:cstheme="majorBidi"/>
                <w:color w:val="000000"/>
                <w:sz w:val="24"/>
                <w:szCs w:val="24"/>
                <w:lang w:val="fr-CH" w:eastAsia="zh-CN"/>
              </w:rPr>
            </w:pPr>
            <w:r w:rsidRPr="00610AD5">
              <w:rPr>
                <w:rFonts w:asciiTheme="majorBidi" w:eastAsia="SimSun" w:hAnsiTheme="majorBidi" w:cstheme="majorBidi"/>
                <w:color w:val="000000"/>
                <w:sz w:val="24"/>
                <w:szCs w:val="24"/>
                <w:lang w:val="fr-CH" w:eastAsia="zh-CN"/>
              </w:rPr>
              <w:t>A3. réseau national</w:t>
            </w:r>
          </w:p>
          <w:p w:rsidR="00610AD5" w:rsidRPr="00610AD5" w:rsidRDefault="00610AD5" w:rsidP="00610AD5">
            <w:pPr>
              <w:widowControl w:val="0"/>
              <w:tabs>
                <w:tab w:val="clear" w:pos="794"/>
                <w:tab w:val="clear" w:pos="1191"/>
                <w:tab w:val="clear" w:pos="1588"/>
                <w:tab w:val="clear" w:pos="1985"/>
              </w:tabs>
              <w:overflowPunct/>
              <w:spacing w:before="60" w:after="60"/>
              <w:jc w:val="left"/>
              <w:textAlignment w:val="auto"/>
              <w:rPr>
                <w:rFonts w:asciiTheme="majorBidi" w:eastAsia="SimSun" w:hAnsiTheme="majorBidi" w:cstheme="majorBidi"/>
                <w:color w:val="000000"/>
                <w:sz w:val="24"/>
                <w:szCs w:val="24"/>
                <w:lang w:val="fr-CH"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left"/>
              <w:textAlignment w:val="auto"/>
              <w:rPr>
                <w:rFonts w:asciiTheme="majorBidi" w:eastAsia="SimSun" w:hAnsiTheme="majorBidi" w:cstheme="majorBidi"/>
                <w:color w:val="000000"/>
                <w:sz w:val="24"/>
                <w:szCs w:val="24"/>
                <w:lang w:val="fr-CH" w:eastAsia="zh-CN"/>
              </w:rPr>
            </w:pPr>
            <w:r w:rsidRPr="00610AD5">
              <w:rPr>
                <w:rFonts w:asciiTheme="majorBidi" w:eastAsia="SimSun" w:hAnsiTheme="majorBidi" w:cstheme="majorBidi"/>
                <w:color w:val="000000"/>
                <w:sz w:val="24"/>
                <w:szCs w:val="24"/>
                <w:lang w:val="fr-CH" w:eastAsia="zh-CN"/>
              </w:rPr>
              <w:t>B1. station de base</w:t>
            </w:r>
          </w:p>
          <w:p w:rsidR="00610AD5" w:rsidRPr="00610AD5" w:rsidRDefault="00610AD5" w:rsidP="00610AD5">
            <w:pPr>
              <w:widowControl w:val="0"/>
              <w:tabs>
                <w:tab w:val="clear" w:pos="794"/>
                <w:tab w:val="clear" w:pos="1191"/>
                <w:tab w:val="clear" w:pos="1588"/>
                <w:tab w:val="clear" w:pos="1985"/>
              </w:tabs>
              <w:overflowPunct/>
              <w:spacing w:before="60" w:after="60"/>
              <w:jc w:val="left"/>
              <w:textAlignment w:val="auto"/>
              <w:rPr>
                <w:rFonts w:asciiTheme="majorBidi" w:eastAsia="SimSun" w:hAnsiTheme="majorBidi" w:cstheme="majorBidi"/>
                <w:color w:val="000000"/>
                <w:sz w:val="24"/>
                <w:szCs w:val="24"/>
                <w:lang w:val="fr-CH"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left"/>
              <w:textAlignment w:val="auto"/>
              <w:rPr>
                <w:rFonts w:asciiTheme="majorBidi" w:eastAsia="SimSun" w:hAnsiTheme="majorBidi" w:cstheme="majorBidi"/>
                <w:color w:val="000000"/>
                <w:sz w:val="24"/>
                <w:szCs w:val="24"/>
                <w:lang w:val="fr-CH" w:eastAsia="zh-CN"/>
              </w:rPr>
            </w:pPr>
            <w:r w:rsidRPr="00610AD5">
              <w:rPr>
                <w:rFonts w:asciiTheme="majorBidi" w:eastAsia="SimSun" w:hAnsiTheme="majorBidi" w:cstheme="majorBidi"/>
                <w:color w:val="000000"/>
                <w:sz w:val="24"/>
                <w:szCs w:val="24"/>
                <w:lang w:val="fr-CH" w:eastAsia="zh-CN"/>
              </w:rPr>
              <w:t>C1. canal duplex disponible localement</w:t>
            </w:r>
          </w:p>
          <w:p w:rsidR="00610AD5" w:rsidRPr="00610AD5" w:rsidRDefault="00610AD5" w:rsidP="00610AD5">
            <w:pPr>
              <w:widowControl w:val="0"/>
              <w:tabs>
                <w:tab w:val="clear" w:pos="794"/>
                <w:tab w:val="clear" w:pos="1191"/>
                <w:tab w:val="clear" w:pos="1588"/>
                <w:tab w:val="clear" w:pos="1985"/>
              </w:tabs>
              <w:overflowPunct/>
              <w:spacing w:before="60" w:after="60"/>
              <w:jc w:val="left"/>
              <w:textAlignment w:val="auto"/>
              <w:rPr>
                <w:rFonts w:asciiTheme="majorBidi" w:eastAsia="SimSun" w:hAnsiTheme="majorBidi" w:cstheme="majorBidi"/>
                <w:color w:val="000000"/>
                <w:sz w:val="24"/>
                <w:szCs w:val="24"/>
                <w:lang w:val="fr-CH" w:eastAsia="zh-CN"/>
              </w:rPr>
            </w:pPr>
            <w:r w:rsidRPr="00610AD5">
              <w:rPr>
                <w:rFonts w:asciiTheme="majorBidi" w:eastAsia="SimSun" w:hAnsiTheme="majorBidi" w:cstheme="majorBidi"/>
                <w:color w:val="000000"/>
                <w:sz w:val="24"/>
                <w:szCs w:val="24"/>
                <w:lang w:val="fr-CH" w:eastAsia="zh-CN"/>
              </w:rPr>
              <w:t>C2. canal duplex disponible</w:t>
            </w:r>
          </w:p>
          <w:p w:rsidR="00610AD5" w:rsidRPr="00610AD5" w:rsidRDefault="00610AD5" w:rsidP="00610AD5">
            <w:pPr>
              <w:widowControl w:val="0"/>
              <w:tabs>
                <w:tab w:val="clear" w:pos="794"/>
                <w:tab w:val="clear" w:pos="1191"/>
                <w:tab w:val="clear" w:pos="1588"/>
                <w:tab w:val="clear" w:pos="1985"/>
              </w:tabs>
              <w:overflowPunct/>
              <w:spacing w:before="60" w:after="60"/>
              <w:jc w:val="left"/>
              <w:textAlignment w:val="auto"/>
              <w:rPr>
                <w:rFonts w:asciiTheme="majorBidi" w:eastAsia="SimSun" w:hAnsiTheme="majorBidi" w:cstheme="majorBidi"/>
                <w:color w:val="000000"/>
                <w:sz w:val="24"/>
                <w:szCs w:val="24"/>
                <w:lang w:val="fr-CH" w:eastAsia="zh-CN"/>
              </w:rPr>
            </w:pPr>
            <w:r w:rsidRPr="00610AD5">
              <w:rPr>
                <w:rFonts w:asciiTheme="majorBidi" w:eastAsia="SimSun" w:hAnsiTheme="majorBidi" w:cstheme="majorBidi"/>
                <w:color w:val="000000"/>
                <w:sz w:val="24"/>
                <w:szCs w:val="24"/>
                <w:lang w:val="fr-CH" w:eastAsia="zh-CN"/>
              </w:rPr>
              <w:t xml:space="preserve">C3. canal duplex disponible sur l’ensemble du territoire national </w:t>
            </w:r>
          </w:p>
        </w:tc>
        <w:tc>
          <w:tcPr>
            <w:tcW w:w="1230" w:type="dxa"/>
          </w:tcPr>
          <w:p w:rsidR="00610AD5" w:rsidRPr="005D46D3"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fr-CH" w:eastAsia="zh-CN"/>
              </w:rPr>
            </w:pPr>
          </w:p>
          <w:p w:rsidR="00610AD5" w:rsidRPr="005D46D3"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fr-CH" w:eastAsia="zh-CN"/>
              </w:rPr>
            </w:pPr>
            <w:r w:rsidRPr="005D46D3">
              <w:rPr>
                <w:rFonts w:asciiTheme="majorBidi" w:eastAsia="SimSun" w:hAnsiTheme="majorBidi" w:cstheme="majorBidi"/>
                <w:color w:val="000000"/>
                <w:sz w:val="24"/>
                <w:szCs w:val="24"/>
                <w:lang w:val="fr-CH" w:eastAsia="zh-CN"/>
              </w:rPr>
              <w:br/>
            </w:r>
          </w:p>
          <w:p w:rsidR="00610AD5" w:rsidRPr="005D46D3"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fr-CH" w:eastAsia="zh-CN"/>
              </w:rPr>
            </w:pPr>
          </w:p>
          <w:p w:rsidR="00610AD5" w:rsidRPr="005D46D3"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fr-CH" w:eastAsia="zh-CN"/>
              </w:rPr>
            </w:pPr>
          </w:p>
          <w:p w:rsidR="00610AD5" w:rsidRPr="005D46D3"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fr-CH" w:eastAsia="zh-CN"/>
              </w:rPr>
            </w:pPr>
          </w:p>
          <w:p w:rsidR="00610AD5" w:rsidRPr="005D46D3"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fr-CH" w:eastAsia="zh-CN"/>
              </w:rPr>
            </w:pPr>
          </w:p>
          <w:p w:rsidR="00610AD5" w:rsidRPr="005D46D3"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fr-CH" w:eastAsia="zh-CN"/>
              </w:rPr>
            </w:pPr>
          </w:p>
          <w:p w:rsidR="00610AD5" w:rsidRPr="005D46D3"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fr-CH" w:eastAsia="zh-CN"/>
              </w:rPr>
            </w:pPr>
          </w:p>
          <w:p w:rsidR="00610AD5" w:rsidRPr="005D46D3"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fr-CH" w:eastAsia="zh-CN"/>
              </w:rPr>
            </w:pPr>
            <w:r w:rsidRPr="005D46D3">
              <w:rPr>
                <w:rFonts w:asciiTheme="majorBidi" w:eastAsia="SimSun" w:hAnsiTheme="majorBidi" w:cstheme="majorBidi"/>
                <w:color w:val="000000"/>
                <w:sz w:val="24"/>
                <w:szCs w:val="24"/>
                <w:lang w:val="fr-CH" w:eastAsia="zh-CN"/>
              </w:rPr>
              <w:br/>
            </w:r>
            <w:r w:rsidRPr="005D46D3">
              <w:rPr>
                <w:rFonts w:asciiTheme="majorBidi" w:eastAsia="SimSun" w:hAnsiTheme="majorBidi" w:cstheme="majorBidi"/>
                <w:color w:val="000000"/>
                <w:sz w:val="24"/>
                <w:szCs w:val="24"/>
                <w:lang w:val="fr-CH" w:eastAsia="zh-CN"/>
              </w:rPr>
              <w:br/>
            </w:r>
          </w:p>
          <w:p w:rsidR="00610AD5" w:rsidRPr="005D46D3"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fr-CH"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116 000</w:t>
            </w: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290 000</w:t>
            </w: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580 000</w:t>
            </w: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w:t>
            </w: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w:t>
            </w: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w:t>
            </w: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116 000</w:t>
            </w: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290 000</w:t>
            </w: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sz w:val="24"/>
                <w:szCs w:val="24"/>
                <w:lang w:val="fr-CH" w:eastAsia="zh-CN"/>
              </w:rPr>
            </w:pPr>
            <w:r w:rsidRPr="00610AD5">
              <w:rPr>
                <w:rFonts w:asciiTheme="majorBidi" w:eastAsia="SimSun" w:hAnsiTheme="majorBidi" w:cstheme="majorBidi"/>
                <w:color w:val="000000"/>
                <w:sz w:val="24"/>
                <w:szCs w:val="24"/>
                <w:lang w:val="en-US" w:eastAsia="zh-CN"/>
              </w:rPr>
              <w:t>580 000</w:t>
            </w:r>
          </w:p>
        </w:tc>
        <w:tc>
          <w:tcPr>
            <w:tcW w:w="1134" w:type="dxa"/>
          </w:tcPr>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br/>
            </w: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w:t>
            </w: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w:t>
            </w: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w:t>
            </w:r>
            <w:r w:rsidRPr="00610AD5">
              <w:rPr>
                <w:rFonts w:asciiTheme="majorBidi" w:eastAsia="SimSun" w:hAnsiTheme="majorBidi" w:cstheme="majorBidi"/>
                <w:color w:val="000000"/>
                <w:sz w:val="24"/>
                <w:szCs w:val="24"/>
                <w:lang w:val="en-US" w:eastAsia="zh-CN"/>
              </w:rPr>
              <w:br/>
            </w:r>
            <w:r w:rsidRPr="00610AD5">
              <w:rPr>
                <w:rFonts w:asciiTheme="majorBidi" w:eastAsia="SimSun" w:hAnsiTheme="majorBidi" w:cstheme="majorBidi"/>
                <w:color w:val="000000"/>
                <w:sz w:val="24"/>
                <w:szCs w:val="24"/>
                <w:lang w:val="en-US" w:eastAsia="zh-CN"/>
              </w:rPr>
              <w:br/>
            </w: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34 800</w:t>
            </w: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br/>
            </w: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34 800</w:t>
            </w: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w:t>
            </w: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w:t>
            </w: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sz w:val="24"/>
                <w:szCs w:val="24"/>
                <w:lang w:val="fr-CH" w:eastAsia="zh-CN"/>
              </w:rPr>
            </w:pPr>
            <w:r w:rsidRPr="00610AD5">
              <w:rPr>
                <w:rFonts w:asciiTheme="majorBidi" w:eastAsia="SimSun" w:hAnsiTheme="majorBidi" w:cstheme="majorBidi"/>
                <w:color w:val="000000"/>
                <w:sz w:val="24"/>
                <w:szCs w:val="24"/>
                <w:lang w:val="en-US" w:eastAsia="zh-CN"/>
              </w:rPr>
              <w:t>–</w:t>
            </w:r>
          </w:p>
        </w:tc>
        <w:tc>
          <w:tcPr>
            <w:tcW w:w="1276" w:type="dxa"/>
          </w:tcPr>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br/>
            </w: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58 000</w:t>
            </w: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87 000</w:t>
            </w: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145 000</w:t>
            </w: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br/>
            </w:r>
            <w:r w:rsidRPr="00610AD5">
              <w:rPr>
                <w:rFonts w:asciiTheme="majorBidi" w:eastAsia="SimSun" w:hAnsiTheme="majorBidi" w:cstheme="majorBidi"/>
                <w:color w:val="000000"/>
                <w:sz w:val="24"/>
                <w:szCs w:val="24"/>
                <w:lang w:val="en-US" w:eastAsia="zh-CN"/>
              </w:rPr>
              <w:br/>
            </w: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580 000</w:t>
            </w: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870 000</w:t>
            </w: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1 450 000</w:t>
            </w: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580 000</w:t>
            </w: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870 000</w:t>
            </w: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1 450 000</w:t>
            </w:r>
            <w:r w:rsidRPr="00610AD5">
              <w:rPr>
                <w:rFonts w:asciiTheme="majorBidi" w:eastAsia="SimSun" w:hAnsiTheme="majorBidi" w:cstheme="majorBidi"/>
                <w:color w:val="000000"/>
                <w:sz w:val="24"/>
                <w:szCs w:val="24"/>
                <w:lang w:val="en-US" w:eastAsia="zh-CN"/>
              </w:rPr>
              <w:br/>
            </w: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w:t>
            </w: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w:t>
            </w: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sz w:val="24"/>
                <w:szCs w:val="24"/>
                <w:lang w:val="fr-CH" w:eastAsia="zh-CN"/>
              </w:rPr>
            </w:pPr>
            <w:r w:rsidRPr="00610AD5">
              <w:rPr>
                <w:rFonts w:asciiTheme="majorBidi" w:eastAsia="SimSun" w:hAnsiTheme="majorBidi" w:cstheme="majorBidi"/>
                <w:color w:val="000000"/>
                <w:sz w:val="24"/>
                <w:szCs w:val="24"/>
                <w:lang w:val="en-US" w:eastAsia="zh-CN"/>
              </w:rPr>
              <w:t>–</w:t>
            </w:r>
          </w:p>
        </w:tc>
        <w:tc>
          <w:tcPr>
            <w:tcW w:w="1264" w:type="dxa"/>
          </w:tcPr>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348 000</w:t>
            </w: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870 000</w:t>
            </w:r>
            <w:r w:rsidRPr="00610AD5">
              <w:rPr>
                <w:rFonts w:asciiTheme="majorBidi" w:eastAsia="SimSun" w:hAnsiTheme="majorBidi" w:cstheme="majorBidi"/>
                <w:color w:val="000000"/>
                <w:sz w:val="24"/>
                <w:szCs w:val="24"/>
                <w:lang w:val="en-US" w:eastAsia="zh-CN"/>
              </w:rPr>
              <w:br/>
            </w: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1 740 000</w:t>
            </w: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br/>
            </w:r>
            <w:r w:rsidRPr="00610AD5">
              <w:rPr>
                <w:rFonts w:asciiTheme="majorBidi" w:eastAsia="SimSun" w:hAnsiTheme="majorBidi" w:cstheme="majorBidi"/>
                <w:color w:val="000000"/>
                <w:sz w:val="24"/>
                <w:szCs w:val="24"/>
                <w:lang w:val="en-US" w:eastAsia="zh-CN"/>
              </w:rPr>
              <w:br/>
            </w: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1 004 000</w:t>
            </w: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3 480 000</w:t>
            </w: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5 800 000</w:t>
            </w:r>
            <w:r w:rsidRPr="00610AD5">
              <w:rPr>
                <w:rFonts w:asciiTheme="majorBidi" w:eastAsia="SimSun" w:hAnsiTheme="majorBidi" w:cstheme="majorBidi"/>
                <w:color w:val="000000"/>
                <w:sz w:val="24"/>
                <w:szCs w:val="24"/>
                <w:lang w:val="en-US" w:eastAsia="zh-CN"/>
              </w:rPr>
              <w:br/>
            </w: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 xml:space="preserve">1 740 000 </w:t>
            </w: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 xml:space="preserve">5 800 000 </w:t>
            </w:r>
          </w:p>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 xml:space="preserve">8 700 000 </w:t>
            </w:r>
          </w:p>
        </w:tc>
      </w:tr>
    </w:tbl>
    <w:p w:rsidR="00610AD5" w:rsidRPr="00610AD5" w:rsidRDefault="00610AD5" w:rsidP="00610AD5">
      <w:pPr>
        <w:rPr>
          <w:lang w:val="fr-CH"/>
        </w:rPr>
      </w:pPr>
    </w:p>
    <w:p w:rsidR="00610AD5" w:rsidRPr="00610AD5" w:rsidRDefault="00610AD5" w:rsidP="00610AD5">
      <w:pPr>
        <w:rPr>
          <w:lang w:val="fr-CH"/>
        </w:rPr>
      </w:pPr>
    </w:p>
    <w:p w:rsidR="00610AD5" w:rsidRPr="00610AD5" w:rsidRDefault="00610AD5" w:rsidP="00610AD5">
      <w:pPr>
        <w:tabs>
          <w:tab w:val="clear" w:pos="794"/>
          <w:tab w:val="clear" w:pos="1191"/>
          <w:tab w:val="clear" w:pos="1588"/>
          <w:tab w:val="clear" w:pos="1985"/>
        </w:tabs>
        <w:overflowPunct/>
        <w:autoSpaceDE/>
        <w:autoSpaceDN/>
        <w:adjustRightInd/>
        <w:spacing w:before="0"/>
        <w:jc w:val="left"/>
        <w:textAlignment w:val="auto"/>
        <w:rPr>
          <w:lang w:val="fr-CH"/>
        </w:rPr>
      </w:pPr>
      <w:r w:rsidRPr="00610AD5">
        <w:rPr>
          <w:lang w:val="fr-CH"/>
        </w:rPr>
        <w:br w:type="page"/>
      </w:r>
    </w:p>
    <w:p w:rsidR="00610AD5" w:rsidRPr="00610AD5" w:rsidRDefault="00610AD5" w:rsidP="00BC495B">
      <w:pPr>
        <w:pStyle w:val="AnnexNotitle"/>
        <w:rPr>
          <w:lang w:val="fr-CH"/>
        </w:rPr>
      </w:pPr>
      <w:bookmarkStart w:id="693" w:name="_Toc280260068"/>
      <w:bookmarkStart w:id="694" w:name="_Toc280272533"/>
      <w:r w:rsidRPr="00610AD5">
        <w:rPr>
          <w:lang w:val="fr-CH"/>
        </w:rPr>
        <w:lastRenderedPageBreak/>
        <w:t>ANNEXE</w:t>
      </w:r>
      <w:r w:rsidRPr="00610AD5">
        <w:rPr>
          <w:lang w:val="fr-CH"/>
        </w:rPr>
        <w:br/>
      </w:r>
      <w:r w:rsidRPr="00610AD5">
        <w:rPr>
          <w:lang w:val="fr-CH"/>
        </w:rPr>
        <w:br/>
        <w:t>ORDONNANCE N° 97-173 DU 19 MARS 1997 MONTANT DES DROITS, TAXES ET REDEVANCES RADIOELECTRIQUES</w:t>
      </w:r>
      <w:bookmarkEnd w:id="693"/>
      <w:bookmarkEnd w:id="694"/>
    </w:p>
    <w:p w:rsidR="00610AD5" w:rsidRPr="00610AD5" w:rsidRDefault="00610AD5" w:rsidP="00610AD5">
      <w:pPr>
        <w:keepNext/>
        <w:keepLines/>
        <w:spacing w:before="360"/>
        <w:ind w:left="794" w:hanging="794"/>
        <w:outlineLvl w:val="0"/>
        <w:rPr>
          <w:b/>
          <w:lang w:val="fr-CH"/>
        </w:rPr>
      </w:pPr>
      <w:bookmarkStart w:id="695" w:name="_Toc280260069"/>
      <w:bookmarkStart w:id="696" w:name="_Toc280260921"/>
      <w:bookmarkStart w:id="697" w:name="_Toc280272534"/>
      <w:r w:rsidRPr="00610AD5">
        <w:rPr>
          <w:b/>
          <w:lang w:val="fr-CH"/>
        </w:rPr>
        <w:t>A-SERVICES DE RADIOCOMMUNICATION DE TERRE</w:t>
      </w:r>
      <w:bookmarkEnd w:id="695"/>
      <w:bookmarkEnd w:id="696"/>
      <w:bookmarkEnd w:id="697"/>
    </w:p>
    <w:p w:rsidR="00610AD5" w:rsidRPr="00610AD5" w:rsidRDefault="00610AD5" w:rsidP="00610AD5">
      <w:pPr>
        <w:spacing w:before="0"/>
        <w:rPr>
          <w:lang w:val="fr-CH"/>
        </w:rPr>
      </w:pPr>
    </w:p>
    <w:tbl>
      <w:tblPr>
        <w:tblW w:w="0" w:type="auto"/>
        <w:jc w:val="center"/>
        <w:tblBorders>
          <w:top w:val="nil"/>
          <w:left w:val="nil"/>
          <w:bottom w:val="nil"/>
          <w:right w:val="nil"/>
        </w:tblBorders>
        <w:tblLayout w:type="fixed"/>
        <w:tblLook w:val="0000"/>
      </w:tblPr>
      <w:tblGrid>
        <w:gridCol w:w="3969"/>
        <w:gridCol w:w="1418"/>
        <w:gridCol w:w="1418"/>
        <w:gridCol w:w="1418"/>
        <w:gridCol w:w="1418"/>
      </w:tblGrid>
      <w:tr w:rsidR="00610AD5" w:rsidRPr="005D46D3"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keepNext/>
              <w:keepLines/>
              <w:spacing w:after="120"/>
              <w:jc w:val="center"/>
              <w:rPr>
                <w:b/>
                <w:sz w:val="20"/>
              </w:rPr>
            </w:pPr>
            <w:r w:rsidRPr="00610AD5">
              <w:rPr>
                <w:b/>
                <w:sz w:val="20"/>
              </w:rPr>
              <w:t>Réseaux ou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610AD5" w:rsidRPr="005D46D3" w:rsidRDefault="00610AD5" w:rsidP="00610AD5">
            <w:pPr>
              <w:keepNext/>
              <w:keepLines/>
              <w:spacing w:after="120"/>
              <w:jc w:val="center"/>
              <w:rPr>
                <w:b/>
                <w:sz w:val="20"/>
                <w:lang w:val="fr-CH"/>
              </w:rPr>
            </w:pPr>
            <w:r w:rsidRPr="005D46D3">
              <w:rPr>
                <w:b/>
                <w:sz w:val="20"/>
                <w:lang w:val="fr-CH"/>
              </w:rPr>
              <w:t>Taxe de constitution de dossier</w:t>
            </w:r>
          </w:p>
        </w:tc>
        <w:tc>
          <w:tcPr>
            <w:tcW w:w="1418"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keepNext/>
              <w:keepLines/>
              <w:spacing w:after="120"/>
              <w:jc w:val="center"/>
              <w:rPr>
                <w:b/>
                <w:sz w:val="20"/>
                <w:lang w:val="fr-CH"/>
              </w:rPr>
            </w:pPr>
            <w:r w:rsidRPr="00610AD5">
              <w:rPr>
                <w:b/>
                <w:sz w:val="20"/>
                <w:lang w:val="fr-CH"/>
              </w:rPr>
              <w:t>Taxe de visite ou de controle des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keepNext/>
              <w:keepLines/>
              <w:spacing w:after="120"/>
              <w:ind w:leftChars="-50" w:left="-110" w:rightChars="-50" w:right="-110"/>
              <w:jc w:val="center"/>
              <w:rPr>
                <w:b/>
                <w:sz w:val="20"/>
                <w:lang w:val="fr-CH"/>
              </w:rPr>
            </w:pPr>
            <w:r w:rsidRPr="00610AD5">
              <w:rPr>
                <w:b/>
                <w:sz w:val="20"/>
                <w:lang w:val="fr-CH"/>
              </w:rPr>
              <w:t xml:space="preserve">Contribution pour frais de gestion </w:t>
            </w:r>
          </w:p>
        </w:tc>
        <w:tc>
          <w:tcPr>
            <w:tcW w:w="1418"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keepNext/>
              <w:keepLines/>
              <w:spacing w:after="120"/>
              <w:ind w:leftChars="-50" w:left="-110" w:rightChars="-50" w:right="-110"/>
              <w:jc w:val="center"/>
              <w:rPr>
                <w:b/>
                <w:sz w:val="20"/>
                <w:lang w:val="fr-CH"/>
              </w:rPr>
            </w:pPr>
            <w:r w:rsidRPr="00610AD5">
              <w:rPr>
                <w:b/>
                <w:sz w:val="20"/>
                <w:lang w:val="fr-CH"/>
              </w:rPr>
              <w:t xml:space="preserve">Redevence pour l’utilisation d’une freqence ou d’un canal radioelectrique </w:t>
            </w:r>
          </w:p>
        </w:tc>
      </w:tr>
      <w:tr w:rsidR="00610AD5" w:rsidRPr="005D46D3"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jc w:val="left"/>
              <w:rPr>
                <w:sz w:val="20"/>
                <w:lang w:val="fr-CH"/>
              </w:rPr>
            </w:pPr>
            <w:r w:rsidRPr="00610AD5">
              <w:rPr>
                <w:sz w:val="20"/>
                <w:lang w:val="fr-CH"/>
              </w:rPr>
              <w:t>I</w:t>
            </w:r>
            <w:r w:rsidRPr="00610AD5">
              <w:rPr>
                <w:rFonts w:asciiTheme="majorBidi" w:hAnsiTheme="majorBidi" w:cstheme="majorBidi"/>
                <w:sz w:val="20"/>
                <w:lang w:val="fr-CH"/>
              </w:rPr>
              <w:t>–</w:t>
            </w:r>
            <w:r w:rsidRPr="00610AD5">
              <w:rPr>
                <w:sz w:val="20"/>
                <w:lang w:val="fr-CH"/>
              </w:rPr>
              <w:t xml:space="preserve">RESEAU FIXE ET MOBILES TERRESTRES INDEPENDANTS A USAGE PRIVEE (Service non commercial) </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lang w:val="fr-CH"/>
              </w:rPr>
            </w:pP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sz w:val="20"/>
                <w:lang w:val="fr-CH"/>
              </w:rPr>
            </w:pPr>
            <w:r w:rsidRPr="00610AD5">
              <w:rPr>
                <w:sz w:val="20"/>
                <w:lang w:val="fr-CH"/>
              </w:rPr>
              <w:tab/>
              <w:t>I.1</w:t>
            </w:r>
            <w:r w:rsidRPr="00610AD5">
              <w:rPr>
                <w:sz w:val="20"/>
                <w:lang w:val="fr-CH"/>
              </w:rPr>
              <w:tab/>
            </w:r>
            <w:r w:rsidRPr="00610AD5">
              <w:rPr>
                <w:sz w:val="20"/>
                <w:lang w:val="fr-CH"/>
              </w:rPr>
              <w:tab/>
              <w:t xml:space="preserve">Réseau de radiotéléphonie VHF/UHF (largeur du canal= 12,5 kHz </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r w:rsidRPr="00610AD5">
              <w:rPr>
                <w:b/>
                <w:bCs/>
                <w:sz w:val="20"/>
              </w:rPr>
              <w:t>11 600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33"/>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sz w:val="20"/>
                <w:lang w:val="fr-CH"/>
              </w:rPr>
            </w:pPr>
            <w:r w:rsidRPr="00610AD5">
              <w:rPr>
                <w:sz w:val="20"/>
                <w:lang w:val="fr-CH"/>
              </w:rPr>
              <w:tab/>
            </w:r>
            <w:r w:rsidRPr="00610AD5">
              <w:rPr>
                <w:sz w:val="20"/>
                <w:lang w:val="fr-CH"/>
              </w:rPr>
              <w:tab/>
              <w:t>A1</w:t>
            </w:r>
            <w:r w:rsidRPr="00610AD5">
              <w:rPr>
                <w:sz w:val="20"/>
                <w:lang w:val="fr-CH"/>
              </w:rPr>
              <w:tab/>
              <w:t xml:space="preserve">Puissance de l’émetteur inférieur ou égal à 10 w </w:t>
            </w:r>
          </w:p>
        </w:tc>
        <w:tc>
          <w:tcPr>
            <w:tcW w:w="1418" w:type="dxa"/>
            <w:tcBorders>
              <w:top w:val="single" w:sz="6" w:space="0" w:color="000000"/>
              <w:left w:val="single" w:sz="4" w:space="0" w:color="000000"/>
              <w:bottom w:val="single" w:sz="6" w:space="0" w:color="000000"/>
              <w:right w:val="single" w:sz="4" w:space="0" w:color="000000"/>
            </w:tcBorders>
            <w:vAlign w:val="bottom"/>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r w:rsidRPr="00610AD5">
              <w:rPr>
                <w:sz w:val="20"/>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r w:rsidRPr="00610AD5">
              <w:rPr>
                <w:b/>
                <w:bCs/>
                <w:sz w:val="20"/>
              </w:rPr>
              <w:t>8 700</w:t>
            </w:r>
          </w:p>
        </w:tc>
        <w:tc>
          <w:tcPr>
            <w:tcW w:w="1418" w:type="dxa"/>
            <w:tcBorders>
              <w:top w:val="single" w:sz="6" w:space="0" w:color="000000"/>
              <w:left w:val="single" w:sz="4" w:space="0" w:color="000000"/>
              <w:bottom w:val="single" w:sz="6" w:space="0" w:color="000000"/>
              <w:right w:val="single" w:sz="4" w:space="0" w:color="000000"/>
            </w:tcBorders>
            <w:vAlign w:val="bottom"/>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r w:rsidRPr="00610AD5">
              <w:rPr>
                <w:sz w:val="20"/>
              </w:rPr>
              <w:t>–</w:t>
            </w:r>
          </w:p>
        </w:tc>
        <w:tc>
          <w:tcPr>
            <w:tcW w:w="1418" w:type="dxa"/>
            <w:tcBorders>
              <w:top w:val="single" w:sz="6" w:space="0" w:color="000000"/>
              <w:left w:val="single" w:sz="4" w:space="0" w:color="000000"/>
              <w:bottom w:val="single" w:sz="6" w:space="0" w:color="000000"/>
              <w:right w:val="single" w:sz="4" w:space="0" w:color="000000"/>
            </w:tcBorders>
            <w:vAlign w:val="bottom"/>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r w:rsidRPr="00610AD5">
              <w:rPr>
                <w:sz w:val="20"/>
              </w:rPr>
              <w:t>–</w:t>
            </w:r>
          </w:p>
        </w:tc>
      </w:tr>
      <w:tr w:rsidR="00610AD5" w:rsidRPr="00610AD5" w:rsidTr="00610AD5">
        <w:trPr>
          <w:jc w:val="center"/>
        </w:trPr>
        <w:tc>
          <w:tcPr>
            <w:tcW w:w="3969" w:type="dxa"/>
            <w:tcBorders>
              <w:top w:val="single" w:sz="6" w:space="0" w:color="000000"/>
              <w:left w:val="single" w:sz="4" w:space="0" w:color="000000"/>
              <w:bottom w:val="single" w:sz="4"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33"/>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sz w:val="20"/>
                <w:lang w:val="fr-CH"/>
              </w:rPr>
            </w:pPr>
            <w:r w:rsidRPr="00610AD5">
              <w:rPr>
                <w:sz w:val="20"/>
                <w:lang w:val="fr-CH"/>
              </w:rPr>
              <w:tab/>
            </w:r>
            <w:r w:rsidRPr="00610AD5">
              <w:rPr>
                <w:sz w:val="20"/>
                <w:lang w:val="fr-CH"/>
              </w:rPr>
              <w:tab/>
              <w:t>A2</w:t>
            </w:r>
            <w:r w:rsidRPr="00610AD5">
              <w:rPr>
                <w:sz w:val="20"/>
                <w:lang w:val="fr-CH"/>
              </w:rPr>
              <w:tab/>
              <w:t xml:space="preserve">Puissance de l’émetteur comprise entre 10 et 25 w </w:t>
            </w:r>
          </w:p>
        </w:tc>
        <w:tc>
          <w:tcPr>
            <w:tcW w:w="1418" w:type="dxa"/>
            <w:tcBorders>
              <w:top w:val="single" w:sz="6" w:space="0" w:color="000000"/>
              <w:left w:val="single" w:sz="4" w:space="0" w:color="000000"/>
              <w:bottom w:val="single" w:sz="4"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r w:rsidRPr="00610AD5">
              <w:rPr>
                <w:sz w:val="20"/>
              </w:rPr>
              <w:t>–</w:t>
            </w:r>
          </w:p>
        </w:tc>
        <w:tc>
          <w:tcPr>
            <w:tcW w:w="1418" w:type="dxa"/>
            <w:tcBorders>
              <w:top w:val="single" w:sz="6" w:space="0" w:color="000000"/>
              <w:left w:val="single" w:sz="4" w:space="0" w:color="000000"/>
              <w:bottom w:val="single" w:sz="4"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r w:rsidRPr="00610AD5">
              <w:rPr>
                <w:b/>
                <w:bCs/>
                <w:sz w:val="20"/>
              </w:rPr>
              <w:t>145 000</w:t>
            </w:r>
          </w:p>
        </w:tc>
        <w:tc>
          <w:tcPr>
            <w:tcW w:w="1418" w:type="dxa"/>
            <w:tcBorders>
              <w:top w:val="single" w:sz="6" w:space="0" w:color="000000"/>
              <w:left w:val="single" w:sz="4" w:space="0" w:color="000000"/>
              <w:bottom w:val="single" w:sz="4"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r w:rsidRPr="00610AD5">
              <w:rPr>
                <w:sz w:val="20"/>
              </w:rPr>
              <w:t>–</w:t>
            </w:r>
          </w:p>
        </w:tc>
        <w:tc>
          <w:tcPr>
            <w:tcW w:w="1418" w:type="dxa"/>
            <w:tcBorders>
              <w:top w:val="single" w:sz="6" w:space="0" w:color="000000"/>
              <w:left w:val="single" w:sz="4" w:space="0" w:color="000000"/>
              <w:bottom w:val="single" w:sz="4"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r w:rsidRPr="00610AD5">
              <w:rPr>
                <w:sz w:val="20"/>
              </w:rPr>
              <w:t>–</w:t>
            </w:r>
          </w:p>
        </w:tc>
      </w:tr>
      <w:tr w:rsidR="00610AD5" w:rsidRPr="00610AD5" w:rsidTr="00610AD5">
        <w:trPr>
          <w:jc w:val="center"/>
        </w:trPr>
        <w:tc>
          <w:tcPr>
            <w:tcW w:w="3969" w:type="dxa"/>
            <w:tcBorders>
              <w:top w:val="single" w:sz="4"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33"/>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sz w:val="20"/>
                <w:lang w:val="fr-CH"/>
              </w:rPr>
            </w:pPr>
            <w:r w:rsidRPr="00610AD5">
              <w:rPr>
                <w:sz w:val="20"/>
                <w:lang w:val="fr-CH"/>
              </w:rPr>
              <w:tab/>
            </w:r>
            <w:r w:rsidRPr="00610AD5">
              <w:rPr>
                <w:sz w:val="20"/>
                <w:lang w:val="fr-CH"/>
              </w:rPr>
              <w:tab/>
              <w:t>A3</w:t>
            </w:r>
            <w:r w:rsidRPr="00610AD5">
              <w:rPr>
                <w:sz w:val="20"/>
                <w:lang w:val="fr-CH"/>
              </w:rPr>
              <w:tab/>
              <w:t xml:space="preserve">Puissance de l’émetteur supérieur à 25 km </w:t>
            </w:r>
          </w:p>
        </w:tc>
        <w:tc>
          <w:tcPr>
            <w:tcW w:w="1418" w:type="dxa"/>
            <w:tcBorders>
              <w:top w:val="single" w:sz="4" w:space="0" w:color="000000"/>
              <w:left w:val="single" w:sz="4" w:space="0" w:color="000000"/>
              <w:bottom w:val="single" w:sz="6" w:space="0" w:color="000000"/>
              <w:right w:val="single" w:sz="4" w:space="0" w:color="000000"/>
            </w:tcBorders>
            <w:vAlign w:val="bottom"/>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r w:rsidRPr="00610AD5">
              <w:rPr>
                <w:sz w:val="20"/>
              </w:rPr>
              <w:t>–</w:t>
            </w:r>
          </w:p>
        </w:tc>
        <w:tc>
          <w:tcPr>
            <w:tcW w:w="1418" w:type="dxa"/>
            <w:tcBorders>
              <w:top w:val="single" w:sz="4"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r w:rsidRPr="00610AD5">
              <w:rPr>
                <w:b/>
                <w:bCs/>
                <w:sz w:val="20"/>
              </w:rPr>
              <w:t>58 000</w:t>
            </w:r>
          </w:p>
        </w:tc>
        <w:tc>
          <w:tcPr>
            <w:tcW w:w="1418" w:type="dxa"/>
            <w:tcBorders>
              <w:top w:val="single" w:sz="4" w:space="0" w:color="000000"/>
              <w:left w:val="single" w:sz="4" w:space="0" w:color="000000"/>
              <w:bottom w:val="single" w:sz="6" w:space="0" w:color="000000"/>
              <w:right w:val="single" w:sz="4" w:space="0" w:color="000000"/>
            </w:tcBorders>
            <w:vAlign w:val="bottom"/>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r w:rsidRPr="00610AD5">
              <w:rPr>
                <w:sz w:val="20"/>
              </w:rPr>
              <w:t>–</w:t>
            </w:r>
          </w:p>
        </w:tc>
        <w:tc>
          <w:tcPr>
            <w:tcW w:w="1418" w:type="dxa"/>
            <w:tcBorders>
              <w:top w:val="single" w:sz="4" w:space="0" w:color="000000"/>
              <w:left w:val="single" w:sz="4" w:space="0" w:color="000000"/>
              <w:bottom w:val="single" w:sz="6" w:space="0" w:color="000000"/>
              <w:right w:val="single" w:sz="4" w:space="0" w:color="000000"/>
            </w:tcBorders>
            <w:vAlign w:val="bottom"/>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r w:rsidRPr="00610AD5">
              <w:rPr>
                <w:sz w:val="20"/>
              </w:rPr>
              <w:t>–</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33"/>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sz w:val="20"/>
                <w:lang w:val="fr-CH"/>
              </w:rPr>
            </w:pPr>
            <w:r w:rsidRPr="00610AD5">
              <w:rPr>
                <w:sz w:val="20"/>
                <w:lang w:val="fr-CH"/>
              </w:rPr>
              <w:tab/>
            </w:r>
            <w:r w:rsidRPr="00610AD5">
              <w:rPr>
                <w:sz w:val="20"/>
                <w:lang w:val="fr-CH"/>
              </w:rPr>
              <w:tab/>
              <w:t>B1</w:t>
            </w:r>
            <w:r w:rsidRPr="00610AD5">
              <w:rPr>
                <w:sz w:val="20"/>
                <w:lang w:val="fr-CH"/>
              </w:rPr>
              <w:tab/>
              <w:t xml:space="preserve">Réseau local sans relais (moyenne de 10 km) </w:t>
            </w:r>
          </w:p>
        </w:tc>
        <w:tc>
          <w:tcPr>
            <w:tcW w:w="1418" w:type="dxa"/>
            <w:tcBorders>
              <w:top w:val="single" w:sz="6" w:space="0" w:color="000000"/>
              <w:left w:val="single" w:sz="4" w:space="0" w:color="000000"/>
              <w:bottom w:val="single" w:sz="6" w:space="0" w:color="000000"/>
              <w:right w:val="single" w:sz="4" w:space="0" w:color="000000"/>
            </w:tcBorders>
            <w:vAlign w:val="bottom"/>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r w:rsidRPr="00610AD5">
              <w:rPr>
                <w:sz w:val="20"/>
              </w:rPr>
              <w:t>–</w:t>
            </w:r>
          </w:p>
        </w:tc>
        <w:tc>
          <w:tcPr>
            <w:tcW w:w="1418"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r w:rsidRPr="00610AD5">
              <w:rPr>
                <w:sz w:val="20"/>
              </w:rPr>
              <w:t>–</w:t>
            </w:r>
          </w:p>
        </w:tc>
        <w:tc>
          <w:tcPr>
            <w:tcW w:w="1418" w:type="dxa"/>
            <w:tcBorders>
              <w:top w:val="single" w:sz="6" w:space="0" w:color="000000"/>
              <w:left w:val="single" w:sz="4" w:space="0" w:color="000000"/>
              <w:bottom w:val="single" w:sz="6" w:space="0" w:color="000000"/>
              <w:right w:val="single" w:sz="4" w:space="0" w:color="000000"/>
            </w:tcBorders>
            <w:vAlign w:val="bottom"/>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r w:rsidRPr="00610AD5">
              <w:rPr>
                <w:sz w:val="20"/>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r w:rsidRPr="00610AD5">
              <w:rPr>
                <w:b/>
                <w:bCs/>
                <w:sz w:val="20"/>
              </w:rPr>
              <w:t>145 000</w:t>
            </w:r>
          </w:p>
        </w:tc>
      </w:tr>
      <w:tr w:rsidR="00610AD5" w:rsidRPr="00610AD5" w:rsidTr="00610AD5">
        <w:trPr>
          <w:jc w:val="center"/>
        </w:trPr>
        <w:tc>
          <w:tcPr>
            <w:tcW w:w="3969" w:type="dxa"/>
            <w:tcBorders>
              <w:top w:val="single" w:sz="6" w:space="0" w:color="000000"/>
              <w:left w:val="single" w:sz="4" w:space="0" w:color="000000"/>
              <w:bottom w:val="single" w:sz="4"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33"/>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sz w:val="20"/>
                <w:lang w:val="fr-CH"/>
              </w:rPr>
            </w:pPr>
            <w:r w:rsidRPr="00610AD5">
              <w:rPr>
                <w:sz w:val="20"/>
                <w:lang w:val="fr-CH"/>
              </w:rPr>
              <w:tab/>
            </w:r>
            <w:r w:rsidRPr="00610AD5">
              <w:rPr>
                <w:sz w:val="20"/>
                <w:lang w:val="fr-CH"/>
              </w:rPr>
              <w:tab/>
              <w:t>B2</w:t>
            </w:r>
            <w:r w:rsidRPr="00610AD5">
              <w:rPr>
                <w:sz w:val="20"/>
                <w:lang w:val="fr-CH"/>
              </w:rPr>
              <w:tab/>
              <w:t xml:space="preserve">Réseau local sans relais (moyenne de 25 km) </w:t>
            </w:r>
          </w:p>
        </w:tc>
        <w:tc>
          <w:tcPr>
            <w:tcW w:w="1418" w:type="dxa"/>
            <w:tcBorders>
              <w:top w:val="single" w:sz="6" w:space="0" w:color="000000"/>
              <w:left w:val="single" w:sz="4" w:space="0" w:color="000000"/>
              <w:bottom w:val="single" w:sz="4"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r w:rsidRPr="00610AD5">
              <w:rPr>
                <w:sz w:val="20"/>
              </w:rPr>
              <w:t>–</w:t>
            </w:r>
          </w:p>
        </w:tc>
        <w:tc>
          <w:tcPr>
            <w:tcW w:w="1418" w:type="dxa"/>
            <w:tcBorders>
              <w:top w:val="single" w:sz="6" w:space="0" w:color="000000"/>
              <w:left w:val="single" w:sz="4" w:space="0" w:color="000000"/>
              <w:bottom w:val="single" w:sz="4"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r w:rsidRPr="00610AD5">
              <w:rPr>
                <w:sz w:val="20"/>
              </w:rPr>
              <w:t>–</w:t>
            </w:r>
          </w:p>
        </w:tc>
        <w:tc>
          <w:tcPr>
            <w:tcW w:w="1418" w:type="dxa"/>
            <w:tcBorders>
              <w:top w:val="single" w:sz="6" w:space="0" w:color="000000"/>
              <w:left w:val="single" w:sz="4" w:space="0" w:color="000000"/>
              <w:bottom w:val="single" w:sz="4"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r w:rsidRPr="00610AD5">
              <w:rPr>
                <w:sz w:val="20"/>
              </w:rPr>
              <w:t>–</w:t>
            </w:r>
          </w:p>
        </w:tc>
        <w:tc>
          <w:tcPr>
            <w:tcW w:w="1418" w:type="dxa"/>
            <w:tcBorders>
              <w:top w:val="single" w:sz="6" w:space="0" w:color="000000"/>
              <w:left w:val="single" w:sz="4" w:space="0" w:color="000000"/>
              <w:bottom w:val="single" w:sz="4"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r w:rsidRPr="00610AD5">
              <w:rPr>
                <w:b/>
                <w:bCs/>
                <w:sz w:val="20"/>
              </w:rPr>
              <w:t>362 500</w:t>
            </w:r>
          </w:p>
        </w:tc>
      </w:tr>
      <w:tr w:rsidR="00610AD5" w:rsidRPr="005D46D3" w:rsidTr="00610AD5">
        <w:trPr>
          <w:jc w:val="center"/>
        </w:trPr>
        <w:tc>
          <w:tcPr>
            <w:tcW w:w="3969" w:type="dxa"/>
            <w:tcBorders>
              <w:top w:val="single" w:sz="4"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444"/>
                <w:tab w:val="left" w:pos="833"/>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20"/>
                <w:lang w:val="fr-CH"/>
              </w:rPr>
            </w:pPr>
            <w:r w:rsidRPr="00610AD5">
              <w:rPr>
                <w:sz w:val="20"/>
                <w:lang w:val="fr-CH"/>
              </w:rPr>
              <w:tab/>
            </w:r>
            <w:r w:rsidRPr="00610AD5">
              <w:rPr>
                <w:sz w:val="20"/>
                <w:lang w:val="fr-CH"/>
              </w:rPr>
              <w:tab/>
              <w:t>B3</w:t>
            </w:r>
            <w:r w:rsidRPr="00610AD5">
              <w:rPr>
                <w:sz w:val="20"/>
                <w:lang w:val="fr-CH"/>
              </w:rPr>
              <w:tab/>
              <w:t xml:space="preserve">Réseau local à Abidjan </w:t>
            </w:r>
          </w:p>
        </w:tc>
        <w:tc>
          <w:tcPr>
            <w:tcW w:w="1418" w:type="dxa"/>
            <w:tcBorders>
              <w:top w:val="single" w:sz="4"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r w:rsidRPr="00610AD5">
              <w:rPr>
                <w:sz w:val="20"/>
              </w:rPr>
              <w:t>–</w:t>
            </w:r>
          </w:p>
        </w:tc>
        <w:tc>
          <w:tcPr>
            <w:tcW w:w="1418" w:type="dxa"/>
            <w:tcBorders>
              <w:top w:val="single" w:sz="4"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r w:rsidRPr="00610AD5">
              <w:rPr>
                <w:sz w:val="20"/>
              </w:rPr>
              <w:t>–</w:t>
            </w:r>
          </w:p>
        </w:tc>
        <w:tc>
          <w:tcPr>
            <w:tcW w:w="1418" w:type="dxa"/>
            <w:tcBorders>
              <w:top w:val="single" w:sz="4"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r w:rsidRPr="00610AD5">
              <w:rPr>
                <w:sz w:val="20"/>
              </w:rPr>
              <w:t>–</w:t>
            </w:r>
          </w:p>
        </w:tc>
        <w:tc>
          <w:tcPr>
            <w:tcW w:w="1418" w:type="dxa"/>
            <w:tcBorders>
              <w:top w:val="single" w:sz="4"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lang w:val="fr-CH"/>
              </w:rPr>
            </w:pPr>
            <w:r w:rsidRPr="00610AD5">
              <w:rPr>
                <w:b/>
                <w:bCs/>
                <w:sz w:val="20"/>
                <w:lang w:val="fr-CH"/>
              </w:rPr>
              <w:t>Double des tarifs ci dessus</w:t>
            </w:r>
          </w:p>
        </w:tc>
      </w:tr>
      <w:tr w:rsidR="00610AD5" w:rsidRPr="00610AD5" w:rsidTr="00610AD5">
        <w:trPr>
          <w:jc w:val="center"/>
        </w:trPr>
        <w:tc>
          <w:tcPr>
            <w:tcW w:w="3969" w:type="dxa"/>
            <w:tcBorders>
              <w:top w:val="single" w:sz="6" w:space="0" w:color="000000"/>
              <w:left w:val="single" w:sz="4" w:space="0" w:color="000000"/>
              <w:bottom w:val="single" w:sz="4"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sz w:val="20"/>
                <w:lang w:val="fr-CH"/>
              </w:rPr>
            </w:pPr>
            <w:r w:rsidRPr="00610AD5">
              <w:rPr>
                <w:sz w:val="20"/>
                <w:lang w:val="fr-CH"/>
              </w:rPr>
              <w:tab/>
            </w:r>
            <w:r w:rsidRPr="00610AD5">
              <w:rPr>
                <w:sz w:val="20"/>
                <w:lang w:val="fr-CH"/>
              </w:rPr>
              <w:tab/>
              <w:t>C1</w:t>
            </w:r>
            <w:r w:rsidRPr="00610AD5">
              <w:rPr>
                <w:sz w:val="20"/>
                <w:lang w:val="fr-CH"/>
              </w:rPr>
              <w:tab/>
              <w:t xml:space="preserve">Réseau comportant moins de 10 postes à Abidjan </w:t>
            </w:r>
          </w:p>
        </w:tc>
        <w:tc>
          <w:tcPr>
            <w:tcW w:w="1418" w:type="dxa"/>
            <w:tcBorders>
              <w:top w:val="single" w:sz="6" w:space="0" w:color="000000"/>
              <w:left w:val="single" w:sz="4" w:space="0" w:color="000000"/>
              <w:bottom w:val="single" w:sz="4"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r w:rsidRPr="00610AD5">
              <w:rPr>
                <w:sz w:val="20"/>
              </w:rPr>
              <w:t>–</w:t>
            </w:r>
          </w:p>
        </w:tc>
        <w:tc>
          <w:tcPr>
            <w:tcW w:w="1418" w:type="dxa"/>
            <w:tcBorders>
              <w:top w:val="single" w:sz="6" w:space="0" w:color="000000"/>
              <w:left w:val="single" w:sz="4" w:space="0" w:color="000000"/>
              <w:bottom w:val="single" w:sz="4"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r w:rsidRPr="00610AD5">
              <w:rPr>
                <w:sz w:val="20"/>
              </w:rPr>
              <w:t>–</w:t>
            </w:r>
          </w:p>
        </w:tc>
        <w:tc>
          <w:tcPr>
            <w:tcW w:w="1418" w:type="dxa"/>
            <w:tcBorders>
              <w:top w:val="single" w:sz="6" w:space="0" w:color="000000"/>
              <w:left w:val="single" w:sz="4" w:space="0" w:color="000000"/>
              <w:bottom w:val="single" w:sz="4"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r w:rsidRPr="00610AD5">
              <w:rPr>
                <w:b/>
                <w:bCs/>
                <w:sz w:val="20"/>
              </w:rPr>
              <w:t>290 000</w:t>
            </w:r>
          </w:p>
        </w:tc>
        <w:tc>
          <w:tcPr>
            <w:tcW w:w="1418" w:type="dxa"/>
            <w:tcBorders>
              <w:top w:val="single" w:sz="6" w:space="0" w:color="000000"/>
              <w:left w:val="single" w:sz="4" w:space="0" w:color="000000"/>
              <w:bottom w:val="single" w:sz="4"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p>
        </w:tc>
      </w:tr>
      <w:tr w:rsidR="00610AD5" w:rsidRPr="00610AD5" w:rsidTr="00610AD5">
        <w:trPr>
          <w:jc w:val="center"/>
        </w:trPr>
        <w:tc>
          <w:tcPr>
            <w:tcW w:w="3969" w:type="dxa"/>
            <w:tcBorders>
              <w:top w:val="single" w:sz="4"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sz w:val="20"/>
                <w:lang w:val="fr-CH"/>
              </w:rPr>
            </w:pPr>
            <w:r w:rsidRPr="00610AD5">
              <w:rPr>
                <w:sz w:val="20"/>
                <w:lang w:val="fr-CH"/>
              </w:rPr>
              <w:tab/>
            </w:r>
            <w:r w:rsidRPr="00610AD5">
              <w:rPr>
                <w:sz w:val="20"/>
                <w:lang w:val="fr-CH"/>
              </w:rPr>
              <w:tab/>
              <w:t>C2</w:t>
            </w:r>
            <w:r w:rsidRPr="00610AD5">
              <w:rPr>
                <w:sz w:val="20"/>
                <w:lang w:val="fr-CH"/>
              </w:rPr>
              <w:tab/>
              <w:t xml:space="preserve">Réseau de 10 à 50 postes à Abidjan </w:t>
            </w:r>
          </w:p>
        </w:tc>
        <w:tc>
          <w:tcPr>
            <w:tcW w:w="1418" w:type="dxa"/>
            <w:tcBorders>
              <w:top w:val="single" w:sz="4"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r w:rsidRPr="00610AD5">
              <w:rPr>
                <w:sz w:val="20"/>
              </w:rPr>
              <w:t>–</w:t>
            </w:r>
          </w:p>
        </w:tc>
        <w:tc>
          <w:tcPr>
            <w:tcW w:w="1418" w:type="dxa"/>
            <w:tcBorders>
              <w:top w:val="single" w:sz="4"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r w:rsidRPr="00610AD5">
              <w:rPr>
                <w:sz w:val="20"/>
              </w:rPr>
              <w:t>–</w:t>
            </w:r>
          </w:p>
        </w:tc>
        <w:tc>
          <w:tcPr>
            <w:tcW w:w="1418" w:type="dxa"/>
            <w:tcBorders>
              <w:top w:val="single" w:sz="4"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r w:rsidRPr="00610AD5">
              <w:rPr>
                <w:b/>
                <w:bCs/>
                <w:sz w:val="20"/>
              </w:rPr>
              <w:t>145 000</w:t>
            </w:r>
          </w:p>
        </w:tc>
        <w:tc>
          <w:tcPr>
            <w:tcW w:w="1418" w:type="dxa"/>
            <w:tcBorders>
              <w:top w:val="single" w:sz="4"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sz w:val="20"/>
                <w:lang w:val="fr-CH"/>
              </w:rPr>
            </w:pPr>
            <w:r w:rsidRPr="00610AD5">
              <w:rPr>
                <w:sz w:val="20"/>
                <w:lang w:val="fr-CH"/>
              </w:rPr>
              <w:tab/>
            </w:r>
            <w:r w:rsidRPr="00610AD5">
              <w:rPr>
                <w:sz w:val="20"/>
                <w:lang w:val="fr-CH"/>
              </w:rPr>
              <w:tab/>
              <w:t>C3</w:t>
            </w:r>
            <w:r w:rsidRPr="00610AD5">
              <w:rPr>
                <w:sz w:val="20"/>
                <w:lang w:val="fr-CH"/>
              </w:rPr>
              <w:tab/>
              <w:t xml:space="preserve">Réseau de plus de 50 postes à Abidjan </w:t>
            </w:r>
          </w:p>
        </w:tc>
        <w:tc>
          <w:tcPr>
            <w:tcW w:w="1418"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r w:rsidRPr="00610AD5">
              <w:rPr>
                <w:sz w:val="20"/>
              </w:rPr>
              <w:t>–</w:t>
            </w:r>
          </w:p>
        </w:tc>
        <w:tc>
          <w:tcPr>
            <w:tcW w:w="1418"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r w:rsidRPr="00610AD5">
              <w:rPr>
                <w:sz w:val="20"/>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r w:rsidRPr="00610AD5">
              <w:rPr>
                <w:b/>
                <w:bCs/>
                <w:sz w:val="20"/>
              </w:rPr>
              <w:t>58 000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p>
        </w:tc>
      </w:tr>
      <w:tr w:rsidR="00610AD5" w:rsidRPr="00610AD5" w:rsidTr="00610AD5">
        <w:trPr>
          <w:jc w:val="center"/>
        </w:trPr>
        <w:tc>
          <w:tcPr>
            <w:tcW w:w="3969" w:type="dxa"/>
            <w:tcBorders>
              <w:top w:val="single" w:sz="6" w:space="0" w:color="000000"/>
              <w:left w:val="single" w:sz="4" w:space="0" w:color="000000"/>
              <w:bottom w:val="single" w:sz="4"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sz w:val="20"/>
                <w:lang w:val="fr-CH"/>
              </w:rPr>
            </w:pPr>
            <w:r w:rsidRPr="00610AD5">
              <w:rPr>
                <w:sz w:val="20"/>
                <w:lang w:val="fr-CH"/>
              </w:rPr>
              <w:tab/>
            </w:r>
            <w:r w:rsidRPr="00610AD5">
              <w:rPr>
                <w:sz w:val="20"/>
                <w:lang w:val="fr-CH"/>
              </w:rPr>
              <w:tab/>
              <w:t>C4</w:t>
            </w:r>
            <w:r w:rsidRPr="00610AD5">
              <w:rPr>
                <w:sz w:val="20"/>
                <w:lang w:val="fr-CH"/>
              </w:rPr>
              <w:tab/>
              <w:t xml:space="preserve">Réseau situé hors Abidjan </w:t>
            </w:r>
          </w:p>
        </w:tc>
        <w:tc>
          <w:tcPr>
            <w:tcW w:w="1418" w:type="dxa"/>
            <w:tcBorders>
              <w:top w:val="single" w:sz="6" w:space="0" w:color="000000"/>
              <w:left w:val="single" w:sz="4" w:space="0" w:color="000000"/>
              <w:bottom w:val="single" w:sz="4"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r w:rsidRPr="00610AD5">
              <w:rPr>
                <w:sz w:val="20"/>
              </w:rPr>
              <w:t>–</w:t>
            </w:r>
          </w:p>
        </w:tc>
        <w:tc>
          <w:tcPr>
            <w:tcW w:w="1418" w:type="dxa"/>
            <w:tcBorders>
              <w:top w:val="single" w:sz="6" w:space="0" w:color="000000"/>
              <w:left w:val="single" w:sz="4" w:space="0" w:color="000000"/>
              <w:bottom w:val="single" w:sz="4"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r w:rsidRPr="00610AD5">
              <w:rPr>
                <w:sz w:val="20"/>
              </w:rPr>
              <w:t>–</w:t>
            </w:r>
          </w:p>
        </w:tc>
        <w:tc>
          <w:tcPr>
            <w:tcW w:w="1418" w:type="dxa"/>
            <w:tcBorders>
              <w:top w:val="single" w:sz="6" w:space="0" w:color="000000"/>
              <w:left w:val="single" w:sz="4" w:space="0" w:color="000000"/>
              <w:bottom w:val="single" w:sz="4"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r w:rsidRPr="00610AD5">
              <w:rPr>
                <w:b/>
                <w:bCs/>
                <w:sz w:val="20"/>
              </w:rPr>
              <w:t>58 000</w:t>
            </w:r>
          </w:p>
        </w:tc>
        <w:tc>
          <w:tcPr>
            <w:tcW w:w="1418" w:type="dxa"/>
            <w:tcBorders>
              <w:top w:val="single" w:sz="6" w:space="0" w:color="000000"/>
              <w:left w:val="single" w:sz="4" w:space="0" w:color="000000"/>
              <w:bottom w:val="single" w:sz="4"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p>
        </w:tc>
      </w:tr>
      <w:tr w:rsidR="00610AD5" w:rsidRPr="00610AD5" w:rsidTr="00610AD5">
        <w:trPr>
          <w:jc w:val="center"/>
        </w:trPr>
        <w:tc>
          <w:tcPr>
            <w:tcW w:w="3969" w:type="dxa"/>
            <w:tcBorders>
              <w:top w:val="single" w:sz="4" w:space="0" w:color="000000"/>
              <w:left w:val="single" w:sz="4" w:space="0" w:color="000000"/>
              <w:bottom w:val="single" w:sz="4"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sz w:val="20"/>
                <w:lang w:val="fr-CH"/>
              </w:rPr>
            </w:pPr>
            <w:r w:rsidRPr="00610AD5">
              <w:rPr>
                <w:sz w:val="20"/>
                <w:lang w:val="fr-CH"/>
              </w:rPr>
              <w:tab/>
              <w:t>I.2</w:t>
            </w:r>
            <w:r w:rsidRPr="00610AD5">
              <w:rPr>
                <w:sz w:val="20"/>
                <w:lang w:val="fr-CH"/>
              </w:rPr>
              <w:tab/>
            </w:r>
            <w:r w:rsidRPr="00610AD5">
              <w:rPr>
                <w:sz w:val="20"/>
                <w:lang w:val="fr-CH"/>
              </w:rPr>
              <w:tab/>
              <w:t xml:space="preserve">Réseau de radiotéléphonie MF/HF (largeur du canal = 3 khz) </w:t>
            </w:r>
          </w:p>
        </w:tc>
        <w:tc>
          <w:tcPr>
            <w:tcW w:w="1418" w:type="dxa"/>
            <w:tcBorders>
              <w:top w:val="single" w:sz="4" w:space="0" w:color="000000"/>
              <w:left w:val="single" w:sz="4" w:space="0" w:color="000000"/>
              <w:bottom w:val="single" w:sz="4"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r w:rsidRPr="00610AD5">
              <w:rPr>
                <w:b/>
                <w:bCs/>
                <w:sz w:val="20"/>
              </w:rPr>
              <w:t>11 600</w:t>
            </w:r>
          </w:p>
        </w:tc>
        <w:tc>
          <w:tcPr>
            <w:tcW w:w="1418" w:type="dxa"/>
            <w:tcBorders>
              <w:top w:val="single" w:sz="4" w:space="0" w:color="000000"/>
              <w:left w:val="single" w:sz="4" w:space="0" w:color="000000"/>
              <w:bottom w:val="single" w:sz="4"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p>
        </w:tc>
        <w:tc>
          <w:tcPr>
            <w:tcW w:w="1418" w:type="dxa"/>
            <w:tcBorders>
              <w:top w:val="single" w:sz="4" w:space="0" w:color="000000"/>
              <w:left w:val="single" w:sz="4" w:space="0" w:color="000000"/>
              <w:bottom w:val="single" w:sz="4"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p>
        </w:tc>
        <w:tc>
          <w:tcPr>
            <w:tcW w:w="1418" w:type="dxa"/>
            <w:tcBorders>
              <w:top w:val="single" w:sz="4" w:space="0" w:color="000000"/>
              <w:left w:val="single" w:sz="4" w:space="0" w:color="000000"/>
              <w:bottom w:val="single" w:sz="4"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p>
        </w:tc>
      </w:tr>
      <w:tr w:rsidR="00610AD5" w:rsidRPr="00610AD5" w:rsidTr="00610AD5">
        <w:trPr>
          <w:jc w:val="center"/>
        </w:trPr>
        <w:tc>
          <w:tcPr>
            <w:tcW w:w="3969" w:type="dxa"/>
            <w:tcBorders>
              <w:top w:val="single" w:sz="4"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sz w:val="20"/>
                <w:lang w:val="fr-CH"/>
              </w:rPr>
            </w:pPr>
            <w:r w:rsidRPr="00610AD5">
              <w:rPr>
                <w:sz w:val="20"/>
                <w:lang w:val="fr-CH"/>
              </w:rPr>
              <w:tab/>
            </w:r>
            <w:r w:rsidRPr="00610AD5">
              <w:rPr>
                <w:sz w:val="20"/>
                <w:lang w:val="fr-CH"/>
              </w:rPr>
              <w:tab/>
              <w:t>A1</w:t>
            </w:r>
            <w:r w:rsidRPr="00610AD5">
              <w:rPr>
                <w:sz w:val="20"/>
                <w:lang w:val="fr-CH"/>
              </w:rPr>
              <w:tab/>
              <w:t xml:space="preserve">Puissance de l’émetteur inférieur à 50 w </w:t>
            </w:r>
          </w:p>
        </w:tc>
        <w:tc>
          <w:tcPr>
            <w:tcW w:w="1418" w:type="dxa"/>
            <w:tcBorders>
              <w:top w:val="single" w:sz="4"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lang w:val="fr-CH"/>
              </w:rPr>
            </w:pPr>
          </w:p>
        </w:tc>
        <w:tc>
          <w:tcPr>
            <w:tcW w:w="1418" w:type="dxa"/>
            <w:tcBorders>
              <w:top w:val="single" w:sz="4"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r w:rsidRPr="00610AD5">
              <w:rPr>
                <w:b/>
                <w:bCs/>
                <w:sz w:val="20"/>
              </w:rPr>
              <w:t>14 500</w:t>
            </w:r>
          </w:p>
        </w:tc>
        <w:tc>
          <w:tcPr>
            <w:tcW w:w="1418" w:type="dxa"/>
            <w:tcBorders>
              <w:top w:val="single" w:sz="4"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p>
        </w:tc>
        <w:tc>
          <w:tcPr>
            <w:tcW w:w="1418" w:type="dxa"/>
            <w:tcBorders>
              <w:top w:val="single" w:sz="4"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sz w:val="20"/>
                <w:lang w:val="fr-CH"/>
              </w:rPr>
            </w:pPr>
            <w:r w:rsidRPr="00610AD5">
              <w:rPr>
                <w:sz w:val="20"/>
                <w:lang w:val="fr-CH"/>
              </w:rPr>
              <w:tab/>
            </w:r>
            <w:r w:rsidRPr="00610AD5">
              <w:rPr>
                <w:sz w:val="20"/>
                <w:lang w:val="fr-CH"/>
              </w:rPr>
              <w:tab/>
              <w:t>A2</w:t>
            </w:r>
            <w:r w:rsidRPr="00610AD5">
              <w:rPr>
                <w:sz w:val="20"/>
                <w:lang w:val="fr-CH"/>
              </w:rPr>
              <w:tab/>
              <w:t xml:space="preserve">Puissance de l’émetteur comprise entre 50 et 150 w </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r w:rsidRPr="00610AD5">
              <w:rPr>
                <w:b/>
                <w:bCs/>
                <w:sz w:val="20"/>
              </w:rPr>
              <w:t>17 400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sz w:val="20"/>
                <w:lang w:val="fr-CH"/>
              </w:rPr>
            </w:pPr>
            <w:r w:rsidRPr="00610AD5">
              <w:rPr>
                <w:sz w:val="20"/>
                <w:lang w:val="fr-CH"/>
              </w:rPr>
              <w:tab/>
            </w:r>
            <w:r w:rsidRPr="00610AD5">
              <w:rPr>
                <w:sz w:val="20"/>
                <w:lang w:val="fr-CH"/>
              </w:rPr>
              <w:tab/>
              <w:t>A3</w:t>
            </w:r>
            <w:r w:rsidRPr="00610AD5">
              <w:rPr>
                <w:sz w:val="20"/>
                <w:lang w:val="fr-CH"/>
              </w:rPr>
              <w:tab/>
              <w:t xml:space="preserve">Puissance de l’émetteur supérieur à 150 w </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r w:rsidRPr="00610AD5">
              <w:rPr>
                <w:b/>
                <w:bCs/>
                <w:sz w:val="20"/>
              </w:rPr>
              <w:t>58 000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p>
        </w:tc>
      </w:tr>
      <w:tr w:rsidR="00610AD5" w:rsidRPr="005D46D3"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sz w:val="20"/>
                <w:lang w:val="fr-CH"/>
              </w:rPr>
            </w:pPr>
            <w:r w:rsidRPr="00610AD5">
              <w:rPr>
                <w:rFonts w:asciiTheme="majorBidi" w:hAnsiTheme="majorBidi" w:cstheme="majorBidi"/>
                <w:sz w:val="20"/>
                <w:lang w:val="fr-CH"/>
              </w:rPr>
              <w:tab/>
              <w:t>I.3</w:t>
            </w:r>
            <w:r w:rsidRPr="00610AD5">
              <w:rPr>
                <w:rFonts w:asciiTheme="majorBidi" w:hAnsiTheme="majorBidi" w:cstheme="majorBidi"/>
                <w:sz w:val="20"/>
                <w:lang w:val="fr-CH"/>
              </w:rPr>
              <w:tab/>
              <w:t>Faisceau Hertziens au dessus de 1 GHz</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610AD5" w:rsidRPr="005D46D3"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610AD5" w:rsidRPr="005D46D3"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610AD5" w:rsidRPr="005D46D3"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lang w:val="fr-CH"/>
              </w:rPr>
            </w:pP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sz w:val="20"/>
                <w:lang w:val="fr-CH"/>
              </w:rPr>
            </w:pPr>
            <w:r w:rsidRPr="00610AD5">
              <w:rPr>
                <w:rFonts w:asciiTheme="majorBidi" w:hAnsiTheme="majorBidi" w:cstheme="majorBidi"/>
                <w:sz w:val="20"/>
                <w:lang w:val="fr-CH"/>
              </w:rPr>
              <w:tab/>
            </w:r>
            <w:r w:rsidRPr="00610AD5">
              <w:rPr>
                <w:rFonts w:asciiTheme="majorBidi" w:hAnsiTheme="majorBidi" w:cstheme="majorBidi"/>
                <w:sz w:val="20"/>
                <w:lang w:val="fr-CH"/>
              </w:rPr>
              <w:tab/>
              <w:t>A1</w:t>
            </w:r>
            <w:r w:rsidRPr="00610AD5">
              <w:rPr>
                <w:rFonts w:asciiTheme="majorBidi" w:hAnsiTheme="majorBidi" w:cstheme="majorBidi"/>
                <w:sz w:val="20"/>
                <w:lang w:val="fr-CH"/>
              </w:rPr>
              <w:tab/>
              <w:t>Artère ou réseau local</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r w:rsidRPr="00610AD5">
              <w:rPr>
                <w:b/>
                <w:bCs/>
                <w:sz w:val="20"/>
                <w:lang w:val="fr-CH"/>
              </w:rPr>
              <w:t>116 000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580 000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keepNext/>
              <w:keepLines/>
              <w:spacing w:after="120"/>
              <w:jc w:val="center"/>
              <w:rPr>
                <w:b/>
                <w:sz w:val="20"/>
              </w:rPr>
            </w:pPr>
            <w:r w:rsidRPr="00610AD5">
              <w:rPr>
                <w:b/>
                <w:sz w:val="20"/>
              </w:rPr>
              <w:lastRenderedPageBreak/>
              <w:t>Réseaux ou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keepNext/>
              <w:keepLines/>
              <w:spacing w:after="120"/>
              <w:jc w:val="center"/>
              <w:rPr>
                <w:b/>
                <w:sz w:val="20"/>
              </w:rPr>
            </w:pPr>
            <w:r w:rsidRPr="00610AD5">
              <w:rPr>
                <w:b/>
                <w:sz w:val="20"/>
              </w:rPr>
              <w:t>Taxe de constitution de dossier</w:t>
            </w:r>
          </w:p>
        </w:tc>
        <w:tc>
          <w:tcPr>
            <w:tcW w:w="1418"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keepNext/>
              <w:keepLines/>
              <w:spacing w:after="120"/>
              <w:jc w:val="center"/>
              <w:rPr>
                <w:b/>
                <w:sz w:val="20"/>
                <w:lang w:val="fr-CH"/>
              </w:rPr>
            </w:pPr>
            <w:r w:rsidRPr="00610AD5">
              <w:rPr>
                <w:b/>
                <w:sz w:val="20"/>
                <w:lang w:val="fr-CH"/>
              </w:rPr>
              <w:t>Taxe de visite ou de controle des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keepNext/>
              <w:keepLines/>
              <w:spacing w:after="120"/>
              <w:ind w:leftChars="-50" w:left="-110" w:rightChars="-50" w:right="-110"/>
              <w:jc w:val="center"/>
              <w:rPr>
                <w:b/>
                <w:sz w:val="20"/>
                <w:lang w:val="fr-CH"/>
              </w:rPr>
            </w:pPr>
            <w:r w:rsidRPr="00610AD5">
              <w:rPr>
                <w:b/>
                <w:sz w:val="20"/>
                <w:lang w:val="fr-CH"/>
              </w:rPr>
              <w:t xml:space="preserve">Contribution pour frais de gestion </w:t>
            </w:r>
          </w:p>
        </w:tc>
        <w:tc>
          <w:tcPr>
            <w:tcW w:w="1418"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keepNext/>
              <w:keepLines/>
              <w:spacing w:after="120"/>
              <w:ind w:leftChars="-50" w:left="-110" w:rightChars="-50" w:right="-110"/>
              <w:jc w:val="center"/>
              <w:rPr>
                <w:b/>
                <w:sz w:val="20"/>
                <w:lang w:val="fr-CH"/>
              </w:rPr>
            </w:pPr>
            <w:r w:rsidRPr="00610AD5">
              <w:rPr>
                <w:b/>
                <w:sz w:val="20"/>
                <w:lang w:val="fr-CH"/>
              </w:rPr>
              <w:t xml:space="preserve">Redevence pour l’utilisation d’une freqence ou d’un canal radioelectrique </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sz w:val="20"/>
                <w:lang w:val="fr-CH"/>
              </w:rPr>
            </w:pPr>
            <w:r w:rsidRPr="00610AD5">
              <w:rPr>
                <w:rFonts w:asciiTheme="majorBidi" w:hAnsiTheme="majorBidi" w:cstheme="majorBidi"/>
                <w:sz w:val="20"/>
              </w:rPr>
              <w:tab/>
            </w:r>
            <w:r w:rsidRPr="00610AD5">
              <w:rPr>
                <w:rFonts w:asciiTheme="majorBidi" w:hAnsiTheme="majorBidi" w:cstheme="majorBidi"/>
                <w:sz w:val="20"/>
              </w:rPr>
              <w:tab/>
              <w:t>B1</w:t>
            </w:r>
            <w:r w:rsidRPr="00610AD5">
              <w:rPr>
                <w:rFonts w:asciiTheme="majorBidi" w:hAnsiTheme="majorBidi" w:cstheme="majorBidi"/>
                <w:sz w:val="20"/>
              </w:rPr>
              <w:tab/>
              <w:t>Station terminale</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r w:rsidRPr="00610AD5">
              <w:rPr>
                <w:b/>
                <w:bCs/>
                <w:sz w:val="20"/>
                <w:lang w:val="fr-CH"/>
              </w:rPr>
              <w:t>580 000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1 450 000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r w:rsidRPr="00610AD5">
              <w:rPr>
                <w:sz w:val="20"/>
              </w:rPr>
              <w:t>–</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sz w:val="20"/>
                <w:lang w:val="fr-CH"/>
              </w:rPr>
            </w:pPr>
            <w:r w:rsidRPr="00610AD5">
              <w:rPr>
                <w:rFonts w:asciiTheme="majorBidi" w:hAnsiTheme="majorBidi" w:cstheme="majorBidi"/>
                <w:sz w:val="20"/>
              </w:rPr>
              <w:tab/>
            </w:r>
            <w:r w:rsidRPr="00610AD5">
              <w:rPr>
                <w:rFonts w:asciiTheme="majorBidi" w:hAnsiTheme="majorBidi" w:cstheme="majorBidi"/>
                <w:sz w:val="20"/>
              </w:rPr>
              <w:tab/>
              <w:t>B2</w:t>
            </w:r>
            <w:r w:rsidRPr="00610AD5">
              <w:rPr>
                <w:rFonts w:asciiTheme="majorBidi" w:hAnsiTheme="majorBidi" w:cstheme="majorBidi"/>
                <w:sz w:val="20"/>
              </w:rPr>
              <w:tab/>
              <w:t>Station relais</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lang w:val="fr-CH"/>
              </w:rPr>
            </w:pPr>
            <w:r w:rsidRPr="00610AD5">
              <w:rPr>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34 800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r w:rsidRPr="00610AD5">
              <w:rPr>
                <w:sz w:val="20"/>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r w:rsidRPr="00610AD5">
              <w:rPr>
                <w:sz w:val="20"/>
              </w:rPr>
              <w:t>–</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sz w:val="20"/>
                <w:lang w:val="fr-CH"/>
              </w:rPr>
            </w:pPr>
            <w:r w:rsidRPr="00610AD5">
              <w:rPr>
                <w:rFonts w:asciiTheme="majorBidi" w:hAnsiTheme="majorBidi" w:cstheme="majorBidi"/>
                <w:sz w:val="20"/>
                <w:lang w:val="fr-CH"/>
              </w:rPr>
              <w:tab/>
            </w:r>
            <w:r w:rsidRPr="00610AD5">
              <w:rPr>
                <w:rFonts w:asciiTheme="majorBidi" w:hAnsiTheme="majorBidi" w:cstheme="majorBidi"/>
                <w:sz w:val="20"/>
                <w:lang w:val="fr-CH"/>
              </w:rPr>
              <w:tab/>
              <w:t>C1</w:t>
            </w:r>
            <w:r w:rsidRPr="00610AD5">
              <w:rPr>
                <w:rFonts w:asciiTheme="majorBidi" w:hAnsiTheme="majorBidi" w:cstheme="majorBidi"/>
                <w:sz w:val="20"/>
                <w:lang w:val="fr-CH"/>
              </w:rPr>
              <w:tab/>
              <w:t>Liaison de 1 à 24 voies téléphoniques ou 2,Mbits/S</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lang w:val="fr-CH"/>
              </w:rPr>
            </w:pPr>
            <w:r w:rsidRPr="00610AD5">
              <w:rPr>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29 000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r w:rsidRPr="00610AD5">
              <w:rPr>
                <w:sz w:val="20"/>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1 160 000</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sz w:val="20"/>
                <w:lang w:val="fr-CH"/>
              </w:rPr>
            </w:pPr>
            <w:r w:rsidRPr="00610AD5">
              <w:rPr>
                <w:rFonts w:asciiTheme="majorBidi" w:hAnsiTheme="majorBidi" w:cstheme="majorBidi"/>
                <w:sz w:val="20"/>
                <w:lang w:val="fr-CH"/>
              </w:rPr>
              <w:tab/>
            </w:r>
            <w:r w:rsidRPr="00610AD5">
              <w:rPr>
                <w:rFonts w:asciiTheme="majorBidi" w:hAnsiTheme="majorBidi" w:cstheme="majorBidi"/>
                <w:sz w:val="20"/>
                <w:lang w:val="fr-CH"/>
              </w:rPr>
              <w:tab/>
              <w:t>C2</w:t>
            </w:r>
            <w:r w:rsidRPr="00610AD5">
              <w:rPr>
                <w:rFonts w:asciiTheme="majorBidi" w:hAnsiTheme="majorBidi" w:cstheme="majorBidi"/>
                <w:sz w:val="20"/>
                <w:lang w:val="fr-CH"/>
              </w:rPr>
              <w:tab/>
              <w:t>Liaison de 25 à 120 voies téléphonique de 2,1 à 8 Mbits/S</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lang w:val="fr-CH"/>
              </w:rPr>
            </w:pPr>
            <w:r w:rsidRPr="00610AD5">
              <w:rPr>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r w:rsidRPr="00610AD5">
              <w:rPr>
                <w:sz w:val="20"/>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1 450 000</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sz w:val="20"/>
                <w:lang w:val="fr-CH"/>
              </w:rPr>
            </w:pPr>
            <w:r w:rsidRPr="00610AD5">
              <w:rPr>
                <w:rFonts w:asciiTheme="majorBidi" w:hAnsiTheme="majorBidi" w:cstheme="majorBidi"/>
                <w:sz w:val="20"/>
                <w:lang w:val="fr-CH"/>
              </w:rPr>
              <w:tab/>
            </w:r>
            <w:r w:rsidRPr="00610AD5">
              <w:rPr>
                <w:rFonts w:asciiTheme="majorBidi" w:hAnsiTheme="majorBidi" w:cstheme="majorBidi"/>
                <w:sz w:val="20"/>
                <w:lang w:val="fr-CH"/>
              </w:rPr>
              <w:tab/>
              <w:t>C3</w:t>
            </w:r>
            <w:r w:rsidRPr="00610AD5">
              <w:rPr>
                <w:rFonts w:asciiTheme="majorBidi" w:hAnsiTheme="majorBidi" w:cstheme="majorBidi"/>
                <w:sz w:val="20"/>
                <w:lang w:val="fr-CH"/>
              </w:rPr>
              <w:tab/>
              <w:t>Liaison de 121 à 600 voies téléphoniques ou 8 à 34 Mbits/S</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lang w:val="fr-CH"/>
              </w:rPr>
            </w:pPr>
            <w:r w:rsidRPr="00610AD5">
              <w:rPr>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r w:rsidRPr="00610AD5">
              <w:rPr>
                <w:sz w:val="20"/>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1 740 000</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sz w:val="20"/>
                <w:lang w:val="fr-CH"/>
              </w:rPr>
            </w:pPr>
            <w:r w:rsidRPr="00610AD5">
              <w:rPr>
                <w:rFonts w:asciiTheme="majorBidi" w:hAnsiTheme="majorBidi" w:cstheme="majorBidi"/>
                <w:sz w:val="20"/>
                <w:lang w:val="fr-CH"/>
              </w:rPr>
              <w:tab/>
            </w:r>
            <w:r w:rsidRPr="00610AD5">
              <w:rPr>
                <w:rFonts w:asciiTheme="majorBidi" w:hAnsiTheme="majorBidi" w:cstheme="majorBidi"/>
                <w:sz w:val="20"/>
                <w:lang w:val="fr-CH"/>
              </w:rPr>
              <w:tab/>
              <w:t>C4</w:t>
            </w:r>
            <w:r w:rsidRPr="00610AD5">
              <w:rPr>
                <w:rFonts w:asciiTheme="majorBidi" w:hAnsiTheme="majorBidi" w:cstheme="majorBidi"/>
                <w:sz w:val="20"/>
                <w:lang w:val="fr-CH"/>
              </w:rPr>
              <w:tab/>
              <w:t>Liaison de plus de 600 voies téléphoniques ou plus de 34 Mbits/S</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r w:rsidRPr="00610AD5">
              <w:rPr>
                <w:sz w:val="20"/>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2 900 000</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jc w:val="left"/>
              <w:rPr>
                <w:rFonts w:asciiTheme="majorBidi" w:hAnsiTheme="majorBidi" w:cstheme="majorBidi"/>
                <w:sz w:val="20"/>
                <w:lang w:val="fr-CH"/>
              </w:rPr>
            </w:pPr>
            <w:r w:rsidRPr="00610AD5">
              <w:rPr>
                <w:rFonts w:asciiTheme="majorBidi" w:hAnsiTheme="majorBidi" w:cstheme="majorBidi"/>
                <w:sz w:val="20"/>
                <w:lang w:val="fr-CH"/>
              </w:rPr>
              <w:t>II–RESEAU FIXES ET MOBILES TERRESTRE OUVERTES AU PUBLIC (service commercial)</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lang w:val="fr-CH"/>
              </w:rPr>
              <w:tab/>
              <w:t>II.1</w:t>
            </w:r>
            <w:r w:rsidRPr="00610AD5">
              <w:rPr>
                <w:rFonts w:asciiTheme="majorBidi" w:hAnsiTheme="majorBidi" w:cstheme="majorBidi"/>
                <w:sz w:val="20"/>
                <w:lang w:val="fr-CH"/>
              </w:rPr>
              <w:tab/>
              <w:t>Réseau de recherche et de messagerie (Paging)</w:t>
            </w:r>
            <w:r w:rsidRPr="00610AD5">
              <w:rPr>
                <w:rFonts w:asciiTheme="majorBidi" w:hAnsiTheme="majorBidi" w:cstheme="majorBidi"/>
                <w:sz w:val="20"/>
                <w:lang w:val="fr-CH"/>
              </w:rPr>
              <w:br/>
              <w:t>(Largeur du canal = 12,5 KHz)</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lang w:val="fr-CH"/>
              </w:rPr>
              <w:tab/>
            </w:r>
            <w:r w:rsidRPr="00610AD5">
              <w:rPr>
                <w:rFonts w:asciiTheme="majorBidi" w:hAnsiTheme="majorBidi" w:cstheme="majorBidi"/>
                <w:sz w:val="20"/>
                <w:lang w:val="fr-CH"/>
              </w:rPr>
              <w:tab/>
              <w:t>A1</w:t>
            </w:r>
            <w:r w:rsidRPr="00610AD5">
              <w:rPr>
                <w:rFonts w:asciiTheme="majorBidi" w:hAnsiTheme="majorBidi" w:cstheme="majorBidi"/>
                <w:sz w:val="20"/>
                <w:lang w:val="fr-CH"/>
              </w:rPr>
              <w:tab/>
            </w:r>
            <w:r w:rsidRPr="00610AD5">
              <w:rPr>
                <w:rFonts w:asciiTheme="majorBidi" w:hAnsiTheme="majorBidi" w:cstheme="majorBidi"/>
                <w:sz w:val="20"/>
              </w:rPr>
              <w:t>Réseau local (urbain)</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rPr>
              <w:tab/>
            </w:r>
            <w:r w:rsidRPr="00610AD5">
              <w:rPr>
                <w:rFonts w:asciiTheme="majorBidi" w:hAnsiTheme="majorBidi" w:cstheme="majorBidi"/>
                <w:sz w:val="20"/>
              </w:rPr>
              <w:tab/>
              <w:t>A2</w:t>
            </w:r>
            <w:r w:rsidRPr="00610AD5">
              <w:rPr>
                <w:rFonts w:asciiTheme="majorBidi" w:hAnsiTheme="majorBidi" w:cstheme="majorBidi"/>
                <w:sz w:val="20"/>
              </w:rPr>
              <w:tab/>
              <w:t>Réseau régional (interurbain)</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r w:rsidRPr="00610AD5">
              <w:rPr>
                <w:b/>
                <w:bCs/>
                <w:sz w:val="20"/>
                <w:lang w:val="fr-CH"/>
              </w:rPr>
              <w:t>1 160 000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5 500 000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rPr>
              <w:tab/>
            </w:r>
            <w:r w:rsidRPr="00610AD5">
              <w:rPr>
                <w:rFonts w:asciiTheme="majorBidi" w:hAnsiTheme="majorBidi" w:cstheme="majorBidi"/>
                <w:sz w:val="20"/>
              </w:rPr>
              <w:tab/>
              <w:t>A3</w:t>
            </w:r>
            <w:r w:rsidRPr="00610AD5">
              <w:rPr>
                <w:rFonts w:asciiTheme="majorBidi" w:hAnsiTheme="majorBidi" w:cstheme="majorBidi"/>
                <w:sz w:val="20"/>
              </w:rPr>
              <w:tab/>
              <w:t>Réseau national</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r w:rsidRPr="00610AD5">
              <w:rPr>
                <w:b/>
                <w:bCs/>
                <w:sz w:val="20"/>
                <w:lang w:val="fr-CH"/>
              </w:rPr>
              <w:t>1 740 000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14 500 000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rPr>
              <w:tab/>
            </w:r>
            <w:r w:rsidRPr="00610AD5">
              <w:rPr>
                <w:rFonts w:asciiTheme="majorBidi" w:hAnsiTheme="majorBidi" w:cstheme="majorBidi"/>
                <w:sz w:val="20"/>
              </w:rPr>
              <w:tab/>
              <w:t>B1</w:t>
            </w:r>
            <w:r w:rsidRPr="00610AD5">
              <w:rPr>
                <w:rFonts w:asciiTheme="majorBidi" w:hAnsiTheme="majorBidi" w:cstheme="majorBidi"/>
                <w:sz w:val="20"/>
              </w:rPr>
              <w:tab/>
              <w:t>Station de base</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r w:rsidRPr="00610AD5">
              <w:rPr>
                <w:b/>
                <w:bCs/>
                <w:sz w:val="20"/>
                <w:lang w:val="fr-CH"/>
              </w:rPr>
              <w:t>3 770 000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29 000 000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rPr>
              <w:tab/>
            </w:r>
            <w:r w:rsidRPr="00610AD5">
              <w:rPr>
                <w:rFonts w:asciiTheme="majorBidi" w:hAnsiTheme="majorBidi" w:cstheme="majorBidi"/>
                <w:sz w:val="20"/>
              </w:rPr>
              <w:tab/>
              <w:t>C1</w:t>
            </w:r>
            <w:r w:rsidRPr="00610AD5">
              <w:rPr>
                <w:rFonts w:asciiTheme="majorBidi" w:hAnsiTheme="majorBidi" w:cstheme="majorBidi"/>
                <w:sz w:val="20"/>
              </w:rPr>
              <w:tab/>
              <w:t>Fréquence disponible localement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34 800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lang w:val="fr-CH"/>
              </w:rPr>
              <w:tab/>
            </w:r>
            <w:r w:rsidRPr="00610AD5">
              <w:rPr>
                <w:rFonts w:asciiTheme="majorBidi" w:hAnsiTheme="majorBidi" w:cstheme="majorBidi"/>
                <w:sz w:val="20"/>
                <w:lang w:val="fr-CH"/>
              </w:rPr>
              <w:tab/>
              <w:t>C2</w:t>
            </w:r>
            <w:r w:rsidRPr="00610AD5">
              <w:rPr>
                <w:rFonts w:asciiTheme="majorBidi" w:hAnsiTheme="majorBidi" w:cstheme="majorBidi"/>
                <w:sz w:val="20"/>
                <w:lang w:val="fr-CH"/>
              </w:rPr>
              <w:tab/>
              <w:t>Fréquence disponible au plan régional</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3 480 000</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lang w:val="fr-CH"/>
              </w:rPr>
              <w:tab/>
            </w:r>
            <w:r w:rsidRPr="00610AD5">
              <w:rPr>
                <w:rFonts w:asciiTheme="majorBidi" w:hAnsiTheme="majorBidi" w:cstheme="majorBidi"/>
                <w:sz w:val="20"/>
                <w:lang w:val="fr-CH"/>
              </w:rPr>
              <w:tab/>
              <w:t>C3</w:t>
            </w:r>
            <w:r w:rsidRPr="00610AD5">
              <w:rPr>
                <w:rFonts w:asciiTheme="majorBidi" w:hAnsiTheme="majorBidi" w:cstheme="majorBidi"/>
                <w:sz w:val="20"/>
                <w:lang w:val="fr-CH"/>
              </w:rPr>
              <w:tab/>
              <w:t>Fréquence disponible sur l’ensemble du territoire national</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5 800 000</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lang w:val="fr-CH"/>
              </w:rPr>
              <w:tab/>
              <w:t>II.2</w:t>
            </w:r>
            <w:r w:rsidRPr="00610AD5">
              <w:rPr>
                <w:rFonts w:asciiTheme="majorBidi" w:hAnsiTheme="majorBidi" w:cstheme="majorBidi"/>
                <w:sz w:val="20"/>
                <w:lang w:val="fr-CH"/>
              </w:rPr>
              <w:tab/>
              <w:t>Réseau à ressources partagées (Trun King)</w:t>
            </w:r>
            <w:r w:rsidRPr="00610AD5">
              <w:rPr>
                <w:rFonts w:asciiTheme="majorBidi" w:hAnsiTheme="majorBidi" w:cstheme="majorBidi"/>
                <w:sz w:val="20"/>
                <w:lang w:val="fr-CH"/>
              </w:rPr>
              <w:br/>
              <w:t xml:space="preserve">(Largeur du local = 12,5 KHz) </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8 700 000</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lang w:val="fr-CH"/>
              </w:rPr>
              <w:tab/>
            </w:r>
            <w:r w:rsidRPr="00610AD5">
              <w:rPr>
                <w:rFonts w:asciiTheme="majorBidi" w:hAnsiTheme="majorBidi" w:cstheme="majorBidi"/>
                <w:sz w:val="20"/>
                <w:lang w:val="fr-CH"/>
              </w:rPr>
              <w:tab/>
              <w:t>A1</w:t>
            </w:r>
            <w:r w:rsidRPr="00610AD5">
              <w:rPr>
                <w:rFonts w:asciiTheme="majorBidi" w:hAnsiTheme="majorBidi" w:cstheme="majorBidi"/>
                <w:sz w:val="20"/>
                <w:lang w:val="fr-CH"/>
              </w:rPr>
              <w:tab/>
            </w:r>
            <w:r w:rsidRPr="00610AD5">
              <w:rPr>
                <w:rFonts w:asciiTheme="majorBidi" w:hAnsiTheme="majorBidi" w:cstheme="majorBidi"/>
                <w:sz w:val="20"/>
              </w:rPr>
              <w:t>Réseau local (urbain)</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r w:rsidRPr="00610AD5">
              <w:rPr>
                <w:b/>
                <w:bCs/>
                <w:sz w:val="20"/>
                <w:lang w:val="fr-CH"/>
              </w:rPr>
              <w:t>1 160 000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5 500 000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rPr>
              <w:tab/>
            </w:r>
            <w:r w:rsidRPr="00610AD5">
              <w:rPr>
                <w:rFonts w:asciiTheme="majorBidi" w:hAnsiTheme="majorBidi" w:cstheme="majorBidi"/>
                <w:sz w:val="20"/>
              </w:rPr>
              <w:tab/>
              <w:t>A2</w:t>
            </w:r>
            <w:r w:rsidRPr="00610AD5">
              <w:rPr>
                <w:rFonts w:asciiTheme="majorBidi" w:hAnsiTheme="majorBidi" w:cstheme="majorBidi"/>
                <w:sz w:val="20"/>
              </w:rPr>
              <w:tab/>
              <w:t>Réseau régional (interurbain)</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r w:rsidRPr="00610AD5">
              <w:rPr>
                <w:b/>
                <w:bCs/>
                <w:sz w:val="20"/>
                <w:lang w:val="fr-CH"/>
              </w:rPr>
              <w:t>1 740 000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14 500 000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rPr>
              <w:tab/>
            </w:r>
            <w:r w:rsidRPr="00610AD5">
              <w:rPr>
                <w:rFonts w:asciiTheme="majorBidi" w:hAnsiTheme="majorBidi" w:cstheme="majorBidi"/>
                <w:sz w:val="20"/>
              </w:rPr>
              <w:tab/>
              <w:t>A3</w:t>
            </w:r>
            <w:r w:rsidRPr="00610AD5">
              <w:rPr>
                <w:rFonts w:asciiTheme="majorBidi" w:hAnsiTheme="majorBidi" w:cstheme="majorBidi"/>
                <w:sz w:val="20"/>
              </w:rPr>
              <w:tab/>
              <w:t>Réseau national</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r w:rsidRPr="00610AD5">
              <w:rPr>
                <w:b/>
                <w:bCs/>
                <w:sz w:val="20"/>
                <w:lang w:val="fr-CH"/>
              </w:rPr>
              <w:t>3 770 000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29 000 000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rPr>
              <w:tab/>
            </w:r>
            <w:r w:rsidRPr="00610AD5">
              <w:rPr>
                <w:rFonts w:asciiTheme="majorBidi" w:hAnsiTheme="majorBidi" w:cstheme="majorBidi"/>
                <w:sz w:val="20"/>
              </w:rPr>
              <w:tab/>
              <w:t>B1</w:t>
            </w:r>
            <w:r w:rsidRPr="00610AD5">
              <w:rPr>
                <w:rFonts w:asciiTheme="majorBidi" w:hAnsiTheme="majorBidi" w:cstheme="majorBidi"/>
                <w:sz w:val="20"/>
              </w:rPr>
              <w:tab/>
              <w:t>Station de base</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34 800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p>
        </w:tc>
      </w:tr>
      <w:tr w:rsidR="00610AD5" w:rsidRPr="00610AD5" w:rsidTr="00610AD5">
        <w:trPr>
          <w:jc w:val="center"/>
        </w:trPr>
        <w:tc>
          <w:tcPr>
            <w:tcW w:w="3969" w:type="dxa"/>
            <w:tcBorders>
              <w:top w:val="single" w:sz="6" w:space="0" w:color="000000"/>
              <w:left w:val="single" w:sz="4" w:space="0" w:color="000000"/>
              <w:bottom w:val="single" w:sz="4"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lang w:val="fr-CH"/>
              </w:rPr>
              <w:tab/>
            </w:r>
            <w:r w:rsidRPr="00610AD5">
              <w:rPr>
                <w:rFonts w:asciiTheme="majorBidi" w:hAnsiTheme="majorBidi" w:cstheme="majorBidi"/>
                <w:sz w:val="20"/>
                <w:lang w:val="fr-CH"/>
              </w:rPr>
              <w:tab/>
              <w:t>C1</w:t>
            </w:r>
            <w:r w:rsidRPr="00610AD5">
              <w:rPr>
                <w:rFonts w:asciiTheme="majorBidi" w:hAnsiTheme="majorBidi" w:cstheme="majorBidi"/>
                <w:sz w:val="20"/>
                <w:lang w:val="fr-CH"/>
              </w:rPr>
              <w:tab/>
              <w:t>Canal duplex disponible localement</w:t>
            </w:r>
          </w:p>
        </w:tc>
        <w:tc>
          <w:tcPr>
            <w:tcW w:w="1418" w:type="dxa"/>
            <w:tcBorders>
              <w:top w:val="single" w:sz="6" w:space="0" w:color="000000"/>
              <w:left w:val="single" w:sz="4" w:space="0" w:color="000000"/>
              <w:bottom w:val="single" w:sz="4"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lang w:val="fr-CH"/>
              </w:rPr>
            </w:pPr>
          </w:p>
        </w:tc>
        <w:tc>
          <w:tcPr>
            <w:tcW w:w="1418" w:type="dxa"/>
            <w:tcBorders>
              <w:top w:val="single" w:sz="6" w:space="0" w:color="000000"/>
              <w:left w:val="single" w:sz="4" w:space="0" w:color="000000"/>
              <w:bottom w:val="single" w:sz="4"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c>
          <w:tcPr>
            <w:tcW w:w="1418" w:type="dxa"/>
            <w:tcBorders>
              <w:top w:val="single" w:sz="6" w:space="0" w:color="000000"/>
              <w:left w:val="single" w:sz="4" w:space="0" w:color="000000"/>
              <w:bottom w:val="single" w:sz="4"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p>
        </w:tc>
        <w:tc>
          <w:tcPr>
            <w:tcW w:w="1418" w:type="dxa"/>
            <w:tcBorders>
              <w:top w:val="single" w:sz="6" w:space="0" w:color="000000"/>
              <w:left w:val="single" w:sz="4" w:space="0" w:color="000000"/>
              <w:bottom w:val="single" w:sz="4"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5 800 000</w:t>
            </w:r>
          </w:p>
        </w:tc>
      </w:tr>
      <w:tr w:rsidR="00610AD5" w:rsidRPr="00610AD5" w:rsidTr="00610AD5">
        <w:trPr>
          <w:jc w:val="center"/>
        </w:trPr>
        <w:tc>
          <w:tcPr>
            <w:tcW w:w="3969" w:type="dxa"/>
            <w:tcBorders>
              <w:top w:val="single" w:sz="6" w:space="0" w:color="000000"/>
              <w:left w:val="single" w:sz="4" w:space="0" w:color="000000"/>
              <w:bottom w:val="single" w:sz="4"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lang w:val="fr-CH"/>
              </w:rPr>
              <w:tab/>
            </w:r>
            <w:r w:rsidRPr="00610AD5">
              <w:rPr>
                <w:rFonts w:asciiTheme="majorBidi" w:hAnsiTheme="majorBidi" w:cstheme="majorBidi"/>
                <w:sz w:val="20"/>
                <w:lang w:val="fr-CH"/>
              </w:rPr>
              <w:tab/>
              <w:t>C2</w:t>
            </w:r>
            <w:r w:rsidRPr="00610AD5">
              <w:rPr>
                <w:rFonts w:asciiTheme="majorBidi" w:hAnsiTheme="majorBidi" w:cstheme="majorBidi"/>
                <w:sz w:val="20"/>
                <w:lang w:val="fr-CH"/>
              </w:rPr>
              <w:tab/>
              <w:t>Canal duplex disponible au plan régional</w:t>
            </w:r>
          </w:p>
        </w:tc>
        <w:tc>
          <w:tcPr>
            <w:tcW w:w="1418" w:type="dxa"/>
            <w:tcBorders>
              <w:top w:val="single" w:sz="6" w:space="0" w:color="000000"/>
              <w:left w:val="single" w:sz="4" w:space="0" w:color="000000"/>
              <w:bottom w:val="single" w:sz="4"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lang w:val="fr-CH"/>
              </w:rPr>
            </w:pPr>
          </w:p>
        </w:tc>
        <w:tc>
          <w:tcPr>
            <w:tcW w:w="1418" w:type="dxa"/>
            <w:tcBorders>
              <w:top w:val="single" w:sz="6" w:space="0" w:color="000000"/>
              <w:left w:val="single" w:sz="4" w:space="0" w:color="000000"/>
              <w:bottom w:val="single" w:sz="4"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c>
          <w:tcPr>
            <w:tcW w:w="1418" w:type="dxa"/>
            <w:tcBorders>
              <w:top w:val="single" w:sz="6" w:space="0" w:color="000000"/>
              <w:left w:val="single" w:sz="4" w:space="0" w:color="000000"/>
              <w:bottom w:val="single" w:sz="4"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p>
        </w:tc>
        <w:tc>
          <w:tcPr>
            <w:tcW w:w="1418" w:type="dxa"/>
            <w:tcBorders>
              <w:top w:val="single" w:sz="6" w:space="0" w:color="000000"/>
              <w:left w:val="single" w:sz="4" w:space="0" w:color="000000"/>
              <w:bottom w:val="single" w:sz="4"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8 700 000</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lang w:val="fr-CH"/>
              </w:rPr>
              <w:tab/>
            </w:r>
            <w:r w:rsidRPr="00610AD5">
              <w:rPr>
                <w:rFonts w:asciiTheme="majorBidi" w:hAnsiTheme="majorBidi" w:cstheme="majorBidi"/>
                <w:sz w:val="20"/>
                <w:lang w:val="fr-CH"/>
              </w:rPr>
              <w:tab/>
              <w:t>C3</w:t>
            </w:r>
            <w:r w:rsidRPr="00610AD5">
              <w:rPr>
                <w:rFonts w:asciiTheme="majorBidi" w:hAnsiTheme="majorBidi" w:cstheme="majorBidi"/>
                <w:sz w:val="20"/>
                <w:lang w:val="fr-CH"/>
              </w:rPr>
              <w:tab/>
              <w:t>Canal duplex disponible sur l’ensemble du territoire national</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10 440 000</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rPr>
              <w:tab/>
              <w:t>II.3</w:t>
            </w:r>
            <w:r w:rsidRPr="00610AD5">
              <w:rPr>
                <w:rFonts w:asciiTheme="majorBidi" w:hAnsiTheme="majorBidi" w:cstheme="majorBidi"/>
                <w:sz w:val="20"/>
              </w:rPr>
              <w:tab/>
              <w:t>Réseau cellulaire</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rPr>
              <w:tab/>
            </w:r>
            <w:r w:rsidRPr="00610AD5">
              <w:rPr>
                <w:rFonts w:asciiTheme="majorBidi" w:hAnsiTheme="majorBidi" w:cstheme="majorBidi"/>
                <w:sz w:val="20"/>
              </w:rPr>
              <w:tab/>
              <w:t>A1</w:t>
            </w:r>
            <w:r w:rsidRPr="00610AD5">
              <w:rPr>
                <w:rFonts w:asciiTheme="majorBidi" w:hAnsiTheme="majorBidi" w:cstheme="majorBidi"/>
                <w:sz w:val="20"/>
              </w:rPr>
              <w:tab/>
              <w:t>Station de base</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r w:rsidRPr="00610AD5">
              <w:rPr>
                <w:b/>
                <w:bCs/>
                <w:sz w:val="20"/>
                <w:lang w:val="fr-CH"/>
              </w:rPr>
              <w:t>3 770 000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lang w:val="fr-CH"/>
              </w:rPr>
              <w:tab/>
            </w:r>
            <w:r w:rsidRPr="00610AD5">
              <w:rPr>
                <w:rFonts w:asciiTheme="majorBidi" w:hAnsiTheme="majorBidi" w:cstheme="majorBidi"/>
                <w:sz w:val="20"/>
                <w:lang w:val="fr-CH"/>
              </w:rPr>
              <w:tab/>
              <w:t>B1</w:t>
            </w:r>
            <w:r w:rsidRPr="00610AD5">
              <w:rPr>
                <w:rFonts w:asciiTheme="majorBidi" w:hAnsiTheme="majorBidi" w:cstheme="majorBidi"/>
                <w:sz w:val="20"/>
                <w:lang w:val="fr-CH"/>
              </w:rPr>
              <w:tab/>
              <w:t>Par canal duplexe disponible sur l’ensemble de territoire national</w:t>
            </w:r>
            <w:r w:rsidRPr="00610AD5">
              <w:rPr>
                <w:rFonts w:asciiTheme="majorBidi" w:hAnsiTheme="majorBidi" w:cstheme="majorBidi"/>
                <w:sz w:val="20"/>
                <w:lang w:val="fr-CH"/>
              </w:rPr>
              <w:br/>
              <w:t>(Largeur du canal) = 200 KHz</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34 800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10 440 000</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keepNext/>
              <w:keepLines/>
              <w:spacing w:after="120"/>
              <w:jc w:val="center"/>
              <w:rPr>
                <w:b/>
                <w:sz w:val="20"/>
              </w:rPr>
            </w:pPr>
            <w:r w:rsidRPr="00610AD5">
              <w:rPr>
                <w:b/>
                <w:sz w:val="20"/>
              </w:rPr>
              <w:lastRenderedPageBreak/>
              <w:t>Réseaux ou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keepNext/>
              <w:keepLines/>
              <w:spacing w:after="120"/>
              <w:jc w:val="center"/>
              <w:rPr>
                <w:b/>
                <w:sz w:val="20"/>
              </w:rPr>
            </w:pPr>
            <w:r w:rsidRPr="00610AD5">
              <w:rPr>
                <w:b/>
                <w:sz w:val="20"/>
              </w:rPr>
              <w:t>Taxe de constitution de dossier</w:t>
            </w:r>
          </w:p>
        </w:tc>
        <w:tc>
          <w:tcPr>
            <w:tcW w:w="1418"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keepNext/>
              <w:keepLines/>
              <w:spacing w:after="120"/>
              <w:jc w:val="center"/>
              <w:rPr>
                <w:b/>
                <w:sz w:val="20"/>
                <w:lang w:val="fr-CH"/>
              </w:rPr>
            </w:pPr>
            <w:r w:rsidRPr="00610AD5">
              <w:rPr>
                <w:b/>
                <w:sz w:val="20"/>
                <w:lang w:val="fr-CH"/>
              </w:rPr>
              <w:t>Taxe de visite ou de controle des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keepNext/>
              <w:keepLines/>
              <w:spacing w:after="120"/>
              <w:ind w:leftChars="-50" w:left="-110" w:rightChars="-50" w:right="-110"/>
              <w:jc w:val="center"/>
              <w:rPr>
                <w:b/>
                <w:sz w:val="20"/>
                <w:lang w:val="fr-CH"/>
              </w:rPr>
            </w:pPr>
            <w:r w:rsidRPr="00610AD5">
              <w:rPr>
                <w:b/>
                <w:sz w:val="20"/>
                <w:lang w:val="fr-CH"/>
              </w:rPr>
              <w:t xml:space="preserve">Contribution pour frais de gestion </w:t>
            </w:r>
          </w:p>
        </w:tc>
        <w:tc>
          <w:tcPr>
            <w:tcW w:w="1418"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keepNext/>
              <w:keepLines/>
              <w:spacing w:after="120"/>
              <w:ind w:leftChars="-50" w:left="-110" w:rightChars="-50" w:right="-110"/>
              <w:jc w:val="center"/>
              <w:rPr>
                <w:b/>
                <w:sz w:val="20"/>
                <w:lang w:val="fr-CH"/>
              </w:rPr>
            </w:pPr>
            <w:r w:rsidRPr="00610AD5">
              <w:rPr>
                <w:b/>
                <w:sz w:val="20"/>
                <w:lang w:val="fr-CH"/>
              </w:rPr>
              <w:t xml:space="preserve">Redevence pour l’utilisation d’une freqence ou d’un canal radioelectrique </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rPr>
            </w:pPr>
            <w:r w:rsidRPr="00610AD5">
              <w:rPr>
                <w:rFonts w:asciiTheme="majorBidi" w:hAnsiTheme="majorBidi" w:cstheme="majorBidi"/>
                <w:sz w:val="20"/>
              </w:rPr>
              <w:tab/>
            </w:r>
            <w:r w:rsidRPr="00610AD5">
              <w:rPr>
                <w:rFonts w:asciiTheme="majorBidi" w:hAnsiTheme="majorBidi" w:cstheme="majorBidi"/>
                <w:sz w:val="20"/>
              </w:rPr>
              <w:tab/>
              <w:t>A1</w:t>
            </w:r>
            <w:r w:rsidRPr="00610AD5">
              <w:rPr>
                <w:rFonts w:asciiTheme="majorBidi" w:hAnsiTheme="majorBidi" w:cstheme="majorBidi"/>
                <w:sz w:val="20"/>
              </w:rPr>
              <w:tab/>
              <w:t>Artère ou réseau local</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r w:rsidRPr="00610AD5">
              <w:rPr>
                <w:b/>
                <w:bCs/>
                <w:sz w:val="20"/>
                <w:lang w:val="fr-CH"/>
              </w:rPr>
              <w:t>1 160 000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5 800 000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rPr>
            </w:pPr>
            <w:r w:rsidRPr="00610AD5">
              <w:rPr>
                <w:rFonts w:asciiTheme="majorBidi" w:hAnsiTheme="majorBidi" w:cstheme="majorBidi"/>
                <w:sz w:val="20"/>
              </w:rPr>
              <w:tab/>
            </w:r>
            <w:r w:rsidRPr="00610AD5">
              <w:rPr>
                <w:rFonts w:asciiTheme="majorBidi" w:hAnsiTheme="majorBidi" w:cstheme="majorBidi"/>
                <w:sz w:val="20"/>
              </w:rPr>
              <w:tab/>
              <w:t>A2</w:t>
            </w:r>
            <w:r w:rsidRPr="00610AD5">
              <w:rPr>
                <w:rFonts w:asciiTheme="majorBidi" w:hAnsiTheme="majorBidi" w:cstheme="majorBidi"/>
                <w:sz w:val="20"/>
              </w:rPr>
              <w:tab/>
              <w:t>Artère ou réseau régional</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r w:rsidRPr="00610AD5">
              <w:rPr>
                <w:b/>
                <w:bCs/>
                <w:sz w:val="20"/>
                <w:lang w:val="fr-CH"/>
              </w:rPr>
              <w:t>1 740 000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14 500 000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rPr>
            </w:pPr>
            <w:r w:rsidRPr="00610AD5">
              <w:rPr>
                <w:rFonts w:asciiTheme="majorBidi" w:hAnsiTheme="majorBidi" w:cstheme="majorBidi"/>
                <w:sz w:val="20"/>
              </w:rPr>
              <w:tab/>
            </w:r>
            <w:r w:rsidRPr="00610AD5">
              <w:rPr>
                <w:rFonts w:asciiTheme="majorBidi" w:hAnsiTheme="majorBidi" w:cstheme="majorBidi"/>
                <w:sz w:val="20"/>
              </w:rPr>
              <w:tab/>
              <w:t>A3 Artère ou réseau national</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r w:rsidRPr="00610AD5">
              <w:rPr>
                <w:b/>
                <w:bCs/>
                <w:sz w:val="20"/>
                <w:lang w:val="fr-CH"/>
              </w:rPr>
              <w:t>3 770 000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29 000 000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rPr>
            </w:pPr>
            <w:r w:rsidRPr="00610AD5">
              <w:rPr>
                <w:rFonts w:asciiTheme="majorBidi" w:hAnsiTheme="majorBidi" w:cstheme="majorBidi"/>
                <w:sz w:val="20"/>
              </w:rPr>
              <w:tab/>
            </w:r>
            <w:r w:rsidRPr="00610AD5">
              <w:rPr>
                <w:rFonts w:asciiTheme="majorBidi" w:hAnsiTheme="majorBidi" w:cstheme="majorBidi"/>
                <w:sz w:val="20"/>
              </w:rPr>
              <w:tab/>
              <w:t>B1</w:t>
            </w:r>
            <w:r w:rsidRPr="00610AD5">
              <w:rPr>
                <w:rFonts w:asciiTheme="majorBidi" w:hAnsiTheme="majorBidi" w:cstheme="majorBidi"/>
                <w:sz w:val="20"/>
              </w:rPr>
              <w:tab/>
              <w:t>Station terminale</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34 800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rPr>
            </w:pPr>
            <w:r w:rsidRPr="00610AD5">
              <w:rPr>
                <w:rFonts w:asciiTheme="majorBidi" w:hAnsiTheme="majorBidi" w:cstheme="majorBidi"/>
                <w:sz w:val="20"/>
              </w:rPr>
              <w:tab/>
            </w:r>
            <w:r w:rsidRPr="00610AD5">
              <w:rPr>
                <w:rFonts w:asciiTheme="majorBidi" w:hAnsiTheme="majorBidi" w:cstheme="majorBidi"/>
                <w:sz w:val="20"/>
              </w:rPr>
              <w:tab/>
              <w:t>B2</w:t>
            </w:r>
            <w:r w:rsidRPr="00610AD5">
              <w:rPr>
                <w:rFonts w:asciiTheme="majorBidi" w:hAnsiTheme="majorBidi" w:cstheme="majorBidi"/>
                <w:sz w:val="20"/>
              </w:rPr>
              <w:tab/>
              <w:t>Station terminale</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29 000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lang w:val="fr-CH"/>
              </w:rPr>
              <w:tab/>
            </w:r>
            <w:r w:rsidRPr="00610AD5">
              <w:rPr>
                <w:rFonts w:asciiTheme="majorBidi" w:hAnsiTheme="majorBidi" w:cstheme="majorBidi"/>
                <w:sz w:val="20"/>
                <w:lang w:val="fr-CH"/>
              </w:rPr>
              <w:tab/>
              <w:t>C1</w:t>
            </w:r>
            <w:r w:rsidRPr="00610AD5">
              <w:rPr>
                <w:rFonts w:asciiTheme="majorBidi" w:hAnsiTheme="majorBidi" w:cstheme="majorBidi"/>
                <w:sz w:val="20"/>
                <w:lang w:val="fr-CH"/>
              </w:rPr>
              <w:tab/>
              <w:t>Liaison de 120 voies téléphoniques ou de 8 mbits/s</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5 800 000</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lang w:val="fr-CH"/>
              </w:rPr>
              <w:tab/>
            </w:r>
            <w:r w:rsidRPr="00610AD5">
              <w:rPr>
                <w:rFonts w:asciiTheme="majorBidi" w:hAnsiTheme="majorBidi" w:cstheme="majorBidi"/>
                <w:sz w:val="20"/>
                <w:lang w:val="fr-CH"/>
              </w:rPr>
              <w:tab/>
              <w:t>C2</w:t>
            </w:r>
            <w:r w:rsidRPr="00610AD5">
              <w:rPr>
                <w:rFonts w:asciiTheme="majorBidi" w:hAnsiTheme="majorBidi" w:cstheme="majorBidi"/>
                <w:sz w:val="20"/>
                <w:lang w:val="fr-CH"/>
              </w:rPr>
              <w:tab/>
              <w:t>Liaison de121 voies téléphoniques ou de 2 ,1 a 8 mbits/s</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10 440 000</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lang w:val="fr-CH"/>
              </w:rPr>
              <w:tab/>
            </w:r>
            <w:r w:rsidRPr="00610AD5">
              <w:rPr>
                <w:rFonts w:asciiTheme="majorBidi" w:hAnsiTheme="majorBidi" w:cstheme="majorBidi"/>
                <w:sz w:val="20"/>
                <w:lang w:val="fr-CH"/>
              </w:rPr>
              <w:tab/>
              <w:t>C3</w:t>
            </w:r>
            <w:r w:rsidRPr="00610AD5">
              <w:rPr>
                <w:rFonts w:asciiTheme="majorBidi" w:hAnsiTheme="majorBidi" w:cstheme="majorBidi"/>
                <w:sz w:val="20"/>
                <w:lang w:val="fr-CH"/>
              </w:rPr>
              <w:tab/>
              <w:t>Liaison de 601 a 1 200 voies téléphoniques ou de 34 a 70 mbits/s</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14 500 000</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lang w:val="fr-CH"/>
              </w:rPr>
              <w:tab/>
            </w:r>
            <w:r w:rsidRPr="00610AD5">
              <w:rPr>
                <w:rFonts w:asciiTheme="majorBidi" w:hAnsiTheme="majorBidi" w:cstheme="majorBidi"/>
                <w:sz w:val="20"/>
                <w:lang w:val="fr-CH"/>
              </w:rPr>
              <w:tab/>
              <w:t>C4</w:t>
            </w:r>
            <w:r w:rsidRPr="00610AD5">
              <w:rPr>
                <w:rFonts w:asciiTheme="majorBidi" w:hAnsiTheme="majorBidi" w:cstheme="majorBidi"/>
                <w:sz w:val="20"/>
                <w:lang w:val="fr-CH"/>
              </w:rPr>
              <w:tab/>
              <w:t>Liaison plus de 1 200 voies téléphoniques ou de plus de 70 mbits/s</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jc w:val="left"/>
              <w:rPr>
                <w:rFonts w:asciiTheme="majorBidi" w:hAnsiTheme="majorBidi" w:cstheme="majorBidi"/>
                <w:sz w:val="20"/>
                <w:lang w:val="fr-CH"/>
              </w:rPr>
            </w:pPr>
            <w:r w:rsidRPr="00610AD5">
              <w:rPr>
                <w:rFonts w:asciiTheme="majorBidi" w:hAnsiTheme="majorBidi" w:cstheme="majorBidi"/>
                <w:sz w:val="20"/>
                <w:lang w:val="fr-CH"/>
              </w:rPr>
              <w:t>III–SERVICE RADIOMARITIME TERRESTRE</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b/>
                <w:bCs/>
                <w:sz w:val="20"/>
                <w:lang w:val="fr-CH"/>
              </w:rPr>
              <w:tab/>
            </w:r>
            <w:r w:rsidRPr="00610AD5">
              <w:rPr>
                <w:rFonts w:asciiTheme="majorBidi" w:hAnsiTheme="majorBidi" w:cstheme="majorBidi"/>
                <w:sz w:val="20"/>
                <w:lang w:val="fr-CH"/>
              </w:rPr>
              <w:t>III.1</w:t>
            </w:r>
            <w:r w:rsidRPr="00610AD5">
              <w:rPr>
                <w:rFonts w:asciiTheme="majorBidi" w:hAnsiTheme="majorBidi" w:cstheme="majorBidi"/>
                <w:sz w:val="20"/>
                <w:lang w:val="fr-CH"/>
              </w:rPr>
              <w:tab/>
              <w:t xml:space="preserve">Station côtière privée (service non commercial) </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r w:rsidRPr="00610AD5">
              <w:rPr>
                <w:b/>
                <w:bCs/>
                <w:sz w:val="20"/>
                <w:lang w:val="fr-CH"/>
              </w:rPr>
              <w:t>580 000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87 000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3 480 000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lang w:val="fr-CH"/>
              </w:rPr>
              <w:tab/>
            </w:r>
            <w:r w:rsidRPr="00610AD5">
              <w:rPr>
                <w:rFonts w:asciiTheme="majorBidi" w:hAnsiTheme="majorBidi" w:cstheme="majorBidi"/>
                <w:sz w:val="20"/>
                <w:lang w:val="fr-CH"/>
              </w:rPr>
              <w:tab/>
              <w:t>A1</w:t>
            </w:r>
            <w:r w:rsidRPr="00610AD5">
              <w:rPr>
                <w:rFonts w:asciiTheme="majorBidi" w:hAnsiTheme="majorBidi" w:cstheme="majorBidi"/>
                <w:sz w:val="20"/>
                <w:lang w:val="fr-CH"/>
              </w:rPr>
              <w:tab/>
              <w:t xml:space="preserve">liaison radio téléphonique VHF (25 KHz) </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174 000</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lang w:val="fr-CH"/>
              </w:rPr>
              <w:tab/>
            </w:r>
            <w:r w:rsidRPr="00610AD5">
              <w:rPr>
                <w:rFonts w:asciiTheme="majorBidi" w:hAnsiTheme="majorBidi" w:cstheme="majorBidi"/>
                <w:sz w:val="20"/>
                <w:lang w:val="fr-CH"/>
              </w:rPr>
              <w:tab/>
              <w:t>A2</w:t>
            </w:r>
            <w:r w:rsidRPr="00610AD5">
              <w:rPr>
                <w:rFonts w:asciiTheme="majorBidi" w:hAnsiTheme="majorBidi" w:cstheme="majorBidi"/>
                <w:sz w:val="20"/>
                <w:lang w:val="fr-CH"/>
              </w:rPr>
              <w:tab/>
              <w:t xml:space="preserve">liaison radio téléphonique MF/HF (moins de 1 KHz) </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139 200</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lang w:val="fr-CH"/>
              </w:rPr>
              <w:tab/>
            </w:r>
            <w:r w:rsidRPr="00610AD5">
              <w:rPr>
                <w:rFonts w:asciiTheme="majorBidi" w:hAnsiTheme="majorBidi" w:cstheme="majorBidi"/>
                <w:sz w:val="20"/>
                <w:lang w:val="fr-CH"/>
              </w:rPr>
              <w:tab/>
              <w:t>A3</w:t>
            </w:r>
            <w:r w:rsidRPr="00610AD5">
              <w:rPr>
                <w:rFonts w:asciiTheme="majorBidi" w:hAnsiTheme="majorBidi" w:cstheme="majorBidi"/>
                <w:sz w:val="20"/>
                <w:lang w:val="fr-CH"/>
              </w:rPr>
              <w:tab/>
              <w:t>liaison radiotéléphonique MH/HF (3 KHz)</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417 600</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lang w:val="fr-CH"/>
              </w:rPr>
              <w:tab/>
              <w:t>III.2</w:t>
            </w:r>
            <w:r w:rsidRPr="00610AD5">
              <w:rPr>
                <w:rFonts w:asciiTheme="majorBidi" w:hAnsiTheme="majorBidi" w:cstheme="majorBidi"/>
                <w:sz w:val="20"/>
                <w:lang w:val="fr-CH"/>
              </w:rPr>
              <w:tab/>
              <w:t xml:space="preserve">Station côtière ouverte à la correspondance publique (service commercial) </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r w:rsidRPr="00610AD5">
              <w:rPr>
                <w:b/>
                <w:bCs/>
                <w:sz w:val="20"/>
                <w:lang w:val="fr-CH"/>
              </w:rPr>
              <w:t>1 450 000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580 000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8 700 000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lang w:val="fr-CH"/>
              </w:rPr>
              <w:tab/>
            </w:r>
            <w:r w:rsidRPr="00610AD5">
              <w:rPr>
                <w:rFonts w:asciiTheme="majorBidi" w:hAnsiTheme="majorBidi" w:cstheme="majorBidi"/>
                <w:sz w:val="20"/>
                <w:lang w:val="fr-CH"/>
              </w:rPr>
              <w:tab/>
              <w:t>A1</w:t>
            </w:r>
            <w:r w:rsidRPr="00610AD5">
              <w:rPr>
                <w:rFonts w:asciiTheme="majorBidi" w:hAnsiTheme="majorBidi" w:cstheme="majorBidi"/>
                <w:sz w:val="20"/>
                <w:lang w:val="fr-CH"/>
              </w:rPr>
              <w:tab/>
              <w:t xml:space="preserve">liaison radio téléphonique VHF (25 KHz) </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r w:rsidRPr="00610AD5">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174 000</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lang w:val="fr-CH"/>
              </w:rPr>
              <w:tab/>
            </w:r>
            <w:r w:rsidRPr="00610AD5">
              <w:rPr>
                <w:rFonts w:asciiTheme="majorBidi" w:hAnsiTheme="majorBidi" w:cstheme="majorBidi"/>
                <w:sz w:val="20"/>
                <w:lang w:val="fr-CH"/>
              </w:rPr>
              <w:tab/>
              <w:t>A2</w:t>
            </w:r>
            <w:r w:rsidRPr="00610AD5">
              <w:rPr>
                <w:rFonts w:asciiTheme="majorBidi" w:hAnsiTheme="majorBidi" w:cstheme="majorBidi"/>
                <w:sz w:val="20"/>
                <w:lang w:val="fr-CH"/>
              </w:rPr>
              <w:tab/>
              <w:t xml:space="preserve">liaison radio téléphonique MF/HF (moins de 1 KHz) </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r w:rsidRPr="00610AD5">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139 000</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lang w:val="fr-CH"/>
              </w:rPr>
              <w:tab/>
            </w:r>
            <w:r w:rsidRPr="00610AD5">
              <w:rPr>
                <w:rFonts w:asciiTheme="majorBidi" w:hAnsiTheme="majorBidi" w:cstheme="majorBidi"/>
                <w:sz w:val="20"/>
                <w:lang w:val="fr-CH"/>
              </w:rPr>
              <w:tab/>
              <w:t>A3</w:t>
            </w:r>
            <w:r w:rsidRPr="00610AD5">
              <w:rPr>
                <w:rFonts w:asciiTheme="majorBidi" w:hAnsiTheme="majorBidi" w:cstheme="majorBidi"/>
                <w:sz w:val="20"/>
                <w:lang w:val="fr-CH"/>
              </w:rPr>
              <w:tab/>
              <w:t xml:space="preserve">liaison radiotéléphonique MH/HF (3 KHz) </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r w:rsidRPr="00610AD5">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417 600</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lang w:val="fr-CH"/>
              </w:rPr>
              <w:tab/>
              <w:t>III.3</w:t>
            </w:r>
            <w:r w:rsidRPr="00610AD5">
              <w:rPr>
                <w:rFonts w:asciiTheme="majorBidi" w:hAnsiTheme="majorBidi" w:cstheme="majorBidi"/>
                <w:sz w:val="20"/>
                <w:lang w:val="fr-CH"/>
              </w:rPr>
              <w:tab/>
              <w:t xml:space="preserve">Station de navire de commerce </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r w:rsidRPr="00610AD5">
              <w:rPr>
                <w:b/>
                <w:bCs/>
                <w:sz w:val="20"/>
                <w:lang w:val="fr-CH"/>
              </w:rPr>
              <w:t>17 400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290 000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lang w:val="fr-CH"/>
              </w:rPr>
              <w:tab/>
            </w:r>
            <w:r w:rsidRPr="00610AD5">
              <w:rPr>
                <w:rFonts w:asciiTheme="majorBidi" w:hAnsiTheme="majorBidi" w:cstheme="majorBidi"/>
                <w:sz w:val="20"/>
                <w:lang w:val="fr-CH"/>
              </w:rPr>
              <w:tab/>
              <w:t>A1</w:t>
            </w:r>
            <w:r w:rsidRPr="00610AD5">
              <w:rPr>
                <w:rFonts w:asciiTheme="majorBidi" w:hAnsiTheme="majorBidi" w:cstheme="majorBidi"/>
                <w:sz w:val="20"/>
                <w:lang w:val="fr-CH"/>
              </w:rPr>
              <w:tab/>
              <w:t>Opérations portuaires</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r w:rsidRPr="00610AD5">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174 000</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lang w:val="fr-CH"/>
              </w:rPr>
              <w:tab/>
              <w:t>III.4</w:t>
            </w:r>
            <w:r w:rsidRPr="00610AD5">
              <w:rPr>
                <w:rFonts w:asciiTheme="majorBidi" w:hAnsiTheme="majorBidi" w:cstheme="majorBidi"/>
                <w:sz w:val="20"/>
                <w:lang w:val="fr-CH"/>
              </w:rPr>
              <w:tab/>
              <w:t>Station de navire de pêche</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rPr>
              <w:tab/>
            </w:r>
            <w:r w:rsidRPr="00610AD5">
              <w:rPr>
                <w:rFonts w:asciiTheme="majorBidi" w:hAnsiTheme="majorBidi" w:cstheme="majorBidi"/>
                <w:sz w:val="20"/>
              </w:rPr>
              <w:tab/>
              <w:t>A1</w:t>
            </w:r>
            <w:r w:rsidRPr="00610AD5">
              <w:rPr>
                <w:rFonts w:asciiTheme="majorBidi" w:hAnsiTheme="majorBidi" w:cstheme="majorBidi"/>
                <w:sz w:val="20"/>
              </w:rPr>
              <w:tab/>
              <w:t>Moins de 150 tonneaux</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r w:rsidRPr="00610AD5">
              <w:rPr>
                <w:b/>
                <w:bCs/>
                <w:sz w:val="20"/>
                <w:lang w:val="fr-CH"/>
              </w:rPr>
              <w:t>11 600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34 800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116 000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rPr>
              <w:tab/>
            </w:r>
            <w:r w:rsidRPr="00610AD5">
              <w:rPr>
                <w:rFonts w:asciiTheme="majorBidi" w:hAnsiTheme="majorBidi" w:cstheme="majorBidi"/>
                <w:sz w:val="20"/>
              </w:rPr>
              <w:tab/>
              <w:t>A2</w:t>
            </w:r>
            <w:r w:rsidRPr="00610AD5">
              <w:rPr>
                <w:rFonts w:asciiTheme="majorBidi" w:hAnsiTheme="majorBidi" w:cstheme="majorBidi"/>
                <w:sz w:val="20"/>
              </w:rPr>
              <w:tab/>
              <w:t>Plus de 150 tonneaux</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r w:rsidRPr="00610AD5">
              <w:rPr>
                <w:b/>
                <w:bCs/>
                <w:sz w:val="20"/>
                <w:lang w:val="fr-CH"/>
              </w:rPr>
              <w:t>11 600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34 000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174 000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rPr>
            </w:pPr>
            <w:r w:rsidRPr="00610AD5">
              <w:rPr>
                <w:rFonts w:asciiTheme="majorBidi" w:hAnsiTheme="majorBidi" w:cstheme="majorBidi"/>
                <w:sz w:val="20"/>
                <w:lang w:val="fr-CH"/>
              </w:rPr>
              <w:tab/>
            </w:r>
            <w:r w:rsidRPr="00610AD5">
              <w:rPr>
                <w:rFonts w:asciiTheme="majorBidi" w:hAnsiTheme="majorBidi" w:cstheme="majorBidi"/>
                <w:sz w:val="20"/>
                <w:lang w:val="fr-CH"/>
              </w:rPr>
              <w:tab/>
              <w:t>B1</w:t>
            </w:r>
            <w:r w:rsidRPr="00610AD5">
              <w:rPr>
                <w:rFonts w:asciiTheme="majorBidi" w:hAnsiTheme="majorBidi" w:cstheme="majorBidi"/>
                <w:sz w:val="20"/>
                <w:lang w:val="fr-CH"/>
              </w:rPr>
              <w:tab/>
              <w:t xml:space="preserve">Opérations portuaires </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r w:rsidRPr="00610AD5">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174 000</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rPr>
            </w:pPr>
            <w:r w:rsidRPr="00610AD5">
              <w:rPr>
                <w:rFonts w:asciiTheme="majorBidi" w:hAnsiTheme="majorBidi" w:cstheme="majorBidi"/>
                <w:sz w:val="20"/>
                <w:lang w:val="fr-CH"/>
              </w:rPr>
              <w:tab/>
              <w:t>III.5</w:t>
            </w:r>
            <w:r w:rsidRPr="00610AD5">
              <w:rPr>
                <w:rFonts w:asciiTheme="majorBidi" w:hAnsiTheme="majorBidi" w:cstheme="majorBidi"/>
                <w:sz w:val="20"/>
                <w:lang w:val="fr-CH"/>
              </w:rPr>
              <w:tab/>
              <w:t xml:space="preserve">Navire de plaisance </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r w:rsidRPr="00610AD5">
              <w:rPr>
                <w:b/>
                <w:bCs/>
                <w:sz w:val="20"/>
                <w:lang w:val="fr-CH"/>
              </w:rPr>
              <w:t>11 600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34 800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58 000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NEANT</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rPr>
            </w:pPr>
            <w:r w:rsidRPr="00610AD5">
              <w:rPr>
                <w:rFonts w:asciiTheme="majorBidi" w:hAnsiTheme="majorBidi" w:cstheme="majorBidi"/>
                <w:sz w:val="20"/>
                <w:lang w:val="fr-CH"/>
              </w:rPr>
              <w:tab/>
              <w:t>III.6</w:t>
            </w:r>
            <w:r w:rsidRPr="00610AD5">
              <w:rPr>
                <w:rFonts w:asciiTheme="majorBidi" w:hAnsiTheme="majorBidi" w:cstheme="majorBidi"/>
                <w:sz w:val="20"/>
                <w:lang w:val="fr-CH"/>
              </w:rPr>
              <w:tab/>
              <w:t>Emetteur-récepteur gamme marine 55 canaux</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r w:rsidRPr="00610AD5">
              <w:rPr>
                <w:b/>
                <w:bCs/>
                <w:sz w:val="20"/>
                <w:lang w:val="fr-CH"/>
              </w:rPr>
              <w:t>11 600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11 600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58 000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Forfait = 696 000</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keepNext/>
              <w:keepLines/>
              <w:spacing w:after="120"/>
              <w:jc w:val="center"/>
              <w:rPr>
                <w:b/>
                <w:sz w:val="20"/>
              </w:rPr>
            </w:pPr>
            <w:r w:rsidRPr="00610AD5">
              <w:rPr>
                <w:b/>
                <w:sz w:val="20"/>
              </w:rPr>
              <w:lastRenderedPageBreak/>
              <w:t>Réseaux ou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keepNext/>
              <w:keepLines/>
              <w:spacing w:after="120"/>
              <w:jc w:val="center"/>
              <w:rPr>
                <w:b/>
                <w:sz w:val="20"/>
              </w:rPr>
            </w:pPr>
            <w:r w:rsidRPr="00610AD5">
              <w:rPr>
                <w:b/>
                <w:sz w:val="20"/>
              </w:rPr>
              <w:t>Taxe de constitution de dossier</w:t>
            </w:r>
          </w:p>
        </w:tc>
        <w:tc>
          <w:tcPr>
            <w:tcW w:w="1418"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keepNext/>
              <w:keepLines/>
              <w:spacing w:after="120"/>
              <w:jc w:val="center"/>
              <w:rPr>
                <w:b/>
                <w:sz w:val="20"/>
                <w:lang w:val="fr-CH"/>
              </w:rPr>
            </w:pPr>
            <w:r w:rsidRPr="00610AD5">
              <w:rPr>
                <w:b/>
                <w:sz w:val="20"/>
                <w:lang w:val="fr-CH"/>
              </w:rPr>
              <w:t>Taxe de visite ou de controle des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keepNext/>
              <w:keepLines/>
              <w:spacing w:after="120"/>
              <w:ind w:leftChars="-50" w:left="-110" w:rightChars="-50" w:right="-110"/>
              <w:jc w:val="center"/>
              <w:rPr>
                <w:b/>
                <w:sz w:val="20"/>
                <w:lang w:val="fr-CH"/>
              </w:rPr>
            </w:pPr>
            <w:r w:rsidRPr="00610AD5">
              <w:rPr>
                <w:b/>
                <w:sz w:val="20"/>
                <w:lang w:val="fr-CH"/>
              </w:rPr>
              <w:t xml:space="preserve">Contribution pour frais de gestion </w:t>
            </w:r>
          </w:p>
        </w:tc>
        <w:tc>
          <w:tcPr>
            <w:tcW w:w="1418"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keepNext/>
              <w:keepLines/>
              <w:spacing w:after="120"/>
              <w:ind w:leftChars="-50" w:left="-110" w:rightChars="-50" w:right="-110"/>
              <w:jc w:val="center"/>
              <w:rPr>
                <w:b/>
                <w:sz w:val="20"/>
                <w:lang w:val="fr-CH"/>
              </w:rPr>
            </w:pPr>
            <w:r w:rsidRPr="00610AD5">
              <w:rPr>
                <w:b/>
                <w:sz w:val="20"/>
                <w:lang w:val="fr-CH"/>
              </w:rPr>
              <w:t xml:space="preserve">Redevence pour l’utilisation d’une freqence ou d’un canal radioelectrique </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rPr>
            </w:pPr>
            <w:r w:rsidRPr="00610AD5">
              <w:rPr>
                <w:rFonts w:asciiTheme="majorBidi" w:hAnsiTheme="majorBidi" w:cstheme="majorBidi"/>
                <w:sz w:val="20"/>
                <w:lang w:val="fr-CH"/>
              </w:rPr>
              <w:tab/>
              <w:t>1.</w:t>
            </w:r>
            <w:r w:rsidRPr="00610AD5">
              <w:rPr>
                <w:rFonts w:asciiTheme="majorBidi" w:hAnsiTheme="majorBidi" w:cstheme="majorBidi"/>
                <w:sz w:val="20"/>
                <w:lang w:val="fr-CH"/>
              </w:rPr>
              <w:tab/>
              <w:t>Station aéronautique privée (service non officiel)</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r w:rsidRPr="00610AD5">
              <w:rPr>
                <w:b/>
                <w:bCs/>
                <w:sz w:val="20"/>
                <w:lang w:val="fr-CH"/>
              </w:rPr>
              <w:t>116 000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87 000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580 000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116 000</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rPr>
            </w:pPr>
            <w:r w:rsidRPr="00610AD5">
              <w:rPr>
                <w:rFonts w:asciiTheme="majorBidi" w:hAnsiTheme="majorBidi" w:cstheme="majorBidi"/>
                <w:sz w:val="20"/>
                <w:lang w:val="fr-CH"/>
              </w:rPr>
              <w:tab/>
            </w:r>
            <w:r w:rsidRPr="00610AD5">
              <w:rPr>
                <w:rFonts w:asciiTheme="majorBidi" w:hAnsiTheme="majorBidi" w:cstheme="majorBidi"/>
                <w:sz w:val="20"/>
                <w:lang w:val="fr-CH"/>
              </w:rPr>
              <w:tab/>
            </w:r>
            <w:r w:rsidRPr="00610AD5">
              <w:rPr>
                <w:rFonts w:asciiTheme="majorBidi" w:hAnsiTheme="majorBidi" w:cstheme="majorBidi"/>
                <w:sz w:val="20"/>
                <w:lang w:val="fr-CH"/>
              </w:rPr>
              <w:tab/>
              <w:t>A1</w:t>
            </w:r>
            <w:r w:rsidRPr="00610AD5">
              <w:rPr>
                <w:rFonts w:asciiTheme="majorBidi" w:hAnsiTheme="majorBidi" w:cstheme="majorBidi"/>
                <w:sz w:val="20"/>
                <w:lang w:val="fr-CH"/>
              </w:rPr>
              <w:tab/>
            </w:r>
            <w:r w:rsidRPr="00610AD5">
              <w:rPr>
                <w:rFonts w:asciiTheme="majorBidi" w:hAnsiTheme="majorBidi" w:cstheme="majorBidi"/>
                <w:sz w:val="20"/>
                <w:lang w:val="fr-CH"/>
              </w:rPr>
              <w:tab/>
              <w:t>liaison sol-air</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145 000</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rPr>
            </w:pPr>
            <w:r w:rsidRPr="00610AD5">
              <w:rPr>
                <w:rFonts w:asciiTheme="majorBidi" w:hAnsiTheme="majorBidi" w:cstheme="majorBidi"/>
                <w:b/>
                <w:bCs/>
                <w:sz w:val="20"/>
                <w:lang w:val="fr-CH"/>
              </w:rPr>
              <w:tab/>
            </w:r>
            <w:r w:rsidRPr="00610AD5">
              <w:rPr>
                <w:rFonts w:asciiTheme="majorBidi" w:hAnsiTheme="majorBidi" w:cstheme="majorBidi"/>
                <w:b/>
                <w:bCs/>
                <w:sz w:val="20"/>
                <w:lang w:val="fr-CH"/>
              </w:rPr>
              <w:tab/>
            </w:r>
            <w:r w:rsidRPr="00610AD5">
              <w:rPr>
                <w:rFonts w:asciiTheme="majorBidi" w:hAnsiTheme="majorBidi" w:cstheme="majorBidi"/>
                <w:b/>
                <w:bCs/>
                <w:sz w:val="20"/>
                <w:lang w:val="fr-CH"/>
              </w:rPr>
              <w:tab/>
            </w:r>
            <w:r w:rsidRPr="00610AD5">
              <w:rPr>
                <w:rFonts w:asciiTheme="majorBidi" w:hAnsiTheme="majorBidi" w:cstheme="majorBidi"/>
                <w:sz w:val="20"/>
                <w:lang w:val="fr-CH"/>
              </w:rPr>
              <w:t>A2</w:t>
            </w:r>
            <w:r w:rsidRPr="00610AD5">
              <w:rPr>
                <w:rFonts w:asciiTheme="majorBidi" w:hAnsiTheme="majorBidi" w:cstheme="majorBidi"/>
                <w:sz w:val="20"/>
                <w:lang w:val="fr-CH"/>
              </w:rPr>
              <w:tab/>
            </w:r>
            <w:r w:rsidRPr="00610AD5">
              <w:rPr>
                <w:rFonts w:asciiTheme="majorBidi" w:hAnsiTheme="majorBidi" w:cstheme="majorBidi"/>
                <w:sz w:val="20"/>
                <w:lang w:val="fr-CH"/>
              </w:rPr>
              <w:tab/>
              <w:t xml:space="preserve">liaison sol-sol </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lang w:val="fr-CH"/>
              </w:rPr>
              <w:tab/>
              <w:t>2.</w:t>
            </w:r>
            <w:r w:rsidRPr="00610AD5">
              <w:rPr>
                <w:rFonts w:asciiTheme="majorBidi" w:hAnsiTheme="majorBidi" w:cstheme="majorBidi"/>
                <w:sz w:val="20"/>
                <w:lang w:val="fr-CH"/>
              </w:rPr>
              <w:tab/>
              <w:t>Station d’aéronef civil de transport public</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r w:rsidRPr="00610AD5">
              <w:rPr>
                <w:b/>
                <w:bCs/>
                <w:sz w:val="20"/>
                <w:lang w:val="fr-CH"/>
              </w:rPr>
              <w:t>17 400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58 000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290 000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Néant</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lang w:val="fr-CH"/>
              </w:rPr>
              <w:tab/>
              <w:t>3.</w:t>
            </w:r>
            <w:r w:rsidRPr="00610AD5">
              <w:rPr>
                <w:rFonts w:asciiTheme="majorBidi" w:hAnsiTheme="majorBidi" w:cstheme="majorBidi"/>
                <w:sz w:val="20"/>
                <w:lang w:val="fr-CH"/>
              </w:rPr>
              <w:tab/>
              <w:t>Station d’aéronef privée</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r w:rsidRPr="00610AD5">
              <w:rPr>
                <w:b/>
                <w:bCs/>
                <w:sz w:val="20"/>
                <w:lang w:val="fr-CH"/>
              </w:rPr>
              <w:t>11 600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34 800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58 000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Néant</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jc w:val="left"/>
              <w:rPr>
                <w:rFonts w:asciiTheme="majorBidi" w:hAnsiTheme="majorBidi" w:cstheme="majorBidi"/>
                <w:sz w:val="20"/>
                <w:lang w:val="fr-CH"/>
              </w:rPr>
            </w:pPr>
            <w:r w:rsidRPr="00610AD5">
              <w:rPr>
                <w:rFonts w:asciiTheme="majorBidi" w:hAnsiTheme="majorBidi" w:cstheme="majorBidi"/>
                <w:sz w:val="20"/>
                <w:lang w:val="fr-CH"/>
              </w:rPr>
              <w:t>V–STATIONS DE SERVICE AMATEUR</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Néant</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lang w:val="fr-CH"/>
              </w:rPr>
              <w:tab/>
            </w:r>
            <w:r w:rsidRPr="00610AD5">
              <w:rPr>
                <w:rFonts w:asciiTheme="majorBidi" w:hAnsiTheme="majorBidi" w:cstheme="majorBidi"/>
                <w:sz w:val="20"/>
                <w:lang w:val="fr-CH"/>
              </w:rPr>
              <w:tab/>
              <w:t>A1</w:t>
            </w:r>
            <w:r w:rsidRPr="00610AD5">
              <w:rPr>
                <w:rFonts w:asciiTheme="majorBidi" w:hAnsiTheme="majorBidi" w:cstheme="majorBidi"/>
                <w:sz w:val="20"/>
                <w:lang w:val="fr-CH"/>
              </w:rPr>
              <w:tab/>
              <w:t>Station de radiotéléphonie VHF/UMF .</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r w:rsidRPr="00610AD5">
              <w:rPr>
                <w:b/>
                <w:bCs/>
                <w:sz w:val="20"/>
                <w:lang w:val="fr-CH"/>
              </w:rPr>
              <w:t>5 800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8 700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Néant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Néant</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lang w:val="fr-CH"/>
              </w:rPr>
              <w:tab/>
            </w:r>
            <w:r w:rsidRPr="00610AD5">
              <w:rPr>
                <w:rFonts w:asciiTheme="majorBidi" w:hAnsiTheme="majorBidi" w:cstheme="majorBidi"/>
                <w:sz w:val="20"/>
                <w:lang w:val="fr-CH"/>
              </w:rPr>
              <w:tab/>
              <w:t>A2</w:t>
            </w:r>
            <w:r w:rsidRPr="00610AD5">
              <w:rPr>
                <w:rFonts w:asciiTheme="majorBidi" w:hAnsiTheme="majorBidi" w:cstheme="majorBidi"/>
                <w:sz w:val="20"/>
                <w:lang w:val="fr-CH"/>
              </w:rPr>
              <w:tab/>
              <w:t>Station de radiotéléphonie et radiotélégraphie MF/HF</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r w:rsidRPr="00610AD5">
              <w:rPr>
                <w:b/>
                <w:bCs/>
                <w:sz w:val="20"/>
                <w:lang w:val="fr-CH"/>
              </w:rPr>
              <w:t>5 800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17 400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Néant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Néant</w:t>
            </w:r>
          </w:p>
        </w:tc>
      </w:tr>
    </w:tbl>
    <w:p w:rsidR="00610AD5" w:rsidRPr="00610AD5" w:rsidRDefault="00610AD5" w:rsidP="00610AD5">
      <w:pPr>
        <w:rPr>
          <w:lang w:val="fr-CH"/>
        </w:rPr>
      </w:pPr>
    </w:p>
    <w:p w:rsidR="00610AD5" w:rsidRPr="00610AD5" w:rsidRDefault="00610AD5" w:rsidP="00610AD5">
      <w:pPr>
        <w:keepNext/>
        <w:keepLines/>
        <w:spacing w:before="360"/>
        <w:ind w:left="794" w:hanging="794"/>
        <w:outlineLvl w:val="0"/>
        <w:rPr>
          <w:b/>
          <w:lang w:val="fr-CH"/>
        </w:rPr>
      </w:pPr>
      <w:bookmarkStart w:id="698" w:name="_Toc280260070"/>
      <w:bookmarkStart w:id="699" w:name="_Toc280260922"/>
      <w:bookmarkStart w:id="700" w:name="_Toc280272535"/>
      <w:r w:rsidRPr="00610AD5">
        <w:rPr>
          <w:b/>
          <w:lang w:val="fr-CH"/>
        </w:rPr>
        <w:t>B-SERVICE DE RADIOCOMMUNICATION PAR SATELITE</w:t>
      </w:r>
      <w:bookmarkEnd w:id="698"/>
      <w:bookmarkEnd w:id="699"/>
      <w:bookmarkEnd w:id="700"/>
    </w:p>
    <w:p w:rsidR="00610AD5" w:rsidRPr="00610AD5" w:rsidRDefault="00610AD5" w:rsidP="00610AD5">
      <w:pPr>
        <w:spacing w:before="0"/>
        <w:rPr>
          <w:lang w:val="fr-CH"/>
        </w:rPr>
      </w:pPr>
    </w:p>
    <w:tbl>
      <w:tblPr>
        <w:tblW w:w="0" w:type="auto"/>
        <w:jc w:val="center"/>
        <w:tblBorders>
          <w:top w:val="nil"/>
          <w:left w:val="nil"/>
          <w:bottom w:val="nil"/>
          <w:right w:val="nil"/>
        </w:tblBorders>
        <w:tblLayout w:type="fixed"/>
        <w:tblLook w:val="0000"/>
      </w:tblPr>
      <w:tblGrid>
        <w:gridCol w:w="3969"/>
        <w:gridCol w:w="1418"/>
        <w:gridCol w:w="1418"/>
        <w:gridCol w:w="1418"/>
        <w:gridCol w:w="1418"/>
      </w:tblGrid>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keepNext/>
              <w:keepLines/>
              <w:spacing w:after="120"/>
              <w:jc w:val="center"/>
              <w:rPr>
                <w:b/>
                <w:sz w:val="20"/>
              </w:rPr>
            </w:pPr>
            <w:r w:rsidRPr="00610AD5">
              <w:rPr>
                <w:b/>
                <w:sz w:val="20"/>
              </w:rPr>
              <w:t>Réseaux ou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keepNext/>
              <w:keepLines/>
              <w:spacing w:after="120"/>
              <w:jc w:val="center"/>
              <w:rPr>
                <w:b/>
                <w:sz w:val="20"/>
              </w:rPr>
            </w:pPr>
            <w:r w:rsidRPr="00610AD5">
              <w:rPr>
                <w:b/>
                <w:sz w:val="20"/>
              </w:rPr>
              <w:t>Taxe de constitution de dossier</w:t>
            </w:r>
          </w:p>
        </w:tc>
        <w:tc>
          <w:tcPr>
            <w:tcW w:w="1418"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keepNext/>
              <w:keepLines/>
              <w:spacing w:after="120"/>
              <w:jc w:val="center"/>
              <w:rPr>
                <w:b/>
                <w:sz w:val="20"/>
              </w:rPr>
            </w:pPr>
            <w:r w:rsidRPr="00610AD5">
              <w:rPr>
                <w:b/>
                <w:sz w:val="20"/>
              </w:rPr>
              <w:t>Taxe de visite ou de controle des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keepNext/>
              <w:keepLines/>
              <w:spacing w:after="120"/>
              <w:ind w:leftChars="-50" w:left="-110" w:rightChars="-50" w:right="-110"/>
              <w:jc w:val="center"/>
              <w:rPr>
                <w:b/>
                <w:sz w:val="20"/>
              </w:rPr>
            </w:pPr>
            <w:r w:rsidRPr="00610AD5">
              <w:rPr>
                <w:b/>
                <w:sz w:val="20"/>
              </w:rPr>
              <w:t>Redeverance pour frais de gestion</w:t>
            </w:r>
          </w:p>
        </w:tc>
        <w:tc>
          <w:tcPr>
            <w:tcW w:w="1418"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keepNext/>
              <w:keepLines/>
              <w:spacing w:after="120"/>
              <w:jc w:val="center"/>
              <w:rPr>
                <w:b/>
                <w:sz w:val="20"/>
              </w:rPr>
            </w:pPr>
            <w:r w:rsidRPr="00610AD5">
              <w:rPr>
                <w:b/>
                <w:sz w:val="20"/>
              </w:rPr>
              <w:t xml:space="preserve">Redevence pour l’utilisation d’un canal radioelectrique </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jc w:val="left"/>
              <w:rPr>
                <w:rFonts w:asciiTheme="majorBidi" w:hAnsiTheme="majorBidi" w:cstheme="majorBidi"/>
                <w:sz w:val="20"/>
                <w:lang w:val="fr-CH"/>
              </w:rPr>
            </w:pPr>
            <w:r w:rsidRPr="00610AD5">
              <w:rPr>
                <w:rFonts w:asciiTheme="majorBidi" w:hAnsiTheme="majorBidi" w:cstheme="majorBidi"/>
                <w:sz w:val="20"/>
                <w:lang w:val="fr-CH"/>
              </w:rPr>
              <w:t xml:space="preserve">I–RESEAU ET STATION TERRIENNES A USAGE PRIVEE (Service non commercial) </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lang w:val="fr-CH"/>
              </w:rPr>
              <w:tab/>
              <w:t>I.1</w:t>
            </w:r>
            <w:r w:rsidRPr="00610AD5">
              <w:rPr>
                <w:rFonts w:asciiTheme="majorBidi" w:hAnsiTheme="majorBidi" w:cstheme="majorBidi"/>
                <w:sz w:val="20"/>
                <w:lang w:val="fr-CH"/>
              </w:rPr>
              <w:tab/>
              <w:t xml:space="preserve">Réseau national (fixe ou mobile) </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r w:rsidRPr="00610AD5">
              <w:rPr>
                <w:b/>
                <w:bCs/>
                <w:sz w:val="20"/>
                <w:lang w:val="fr-CH"/>
              </w:rPr>
              <w:t>1 044 000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8 700 000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lang w:val="fr-CH"/>
              </w:rPr>
              <w:tab/>
            </w:r>
            <w:r w:rsidRPr="00610AD5">
              <w:rPr>
                <w:rFonts w:asciiTheme="majorBidi" w:hAnsiTheme="majorBidi" w:cstheme="majorBidi"/>
                <w:sz w:val="20"/>
                <w:lang w:val="fr-CH"/>
              </w:rPr>
              <w:tab/>
              <w:t>A1</w:t>
            </w:r>
            <w:r w:rsidRPr="00610AD5">
              <w:rPr>
                <w:rFonts w:asciiTheme="majorBidi" w:hAnsiTheme="majorBidi" w:cstheme="majorBidi"/>
                <w:sz w:val="20"/>
                <w:lang w:val="fr-CH"/>
              </w:rPr>
              <w:tab/>
              <w:t xml:space="preserve">Station maîtresse </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r w:rsidRPr="00610AD5">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87 000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lang w:val="fr-CH"/>
              </w:rPr>
              <w:tab/>
            </w:r>
            <w:r w:rsidRPr="00610AD5">
              <w:rPr>
                <w:rFonts w:asciiTheme="majorBidi" w:hAnsiTheme="majorBidi" w:cstheme="majorBidi"/>
                <w:sz w:val="20"/>
                <w:lang w:val="fr-CH"/>
              </w:rPr>
              <w:tab/>
              <w:t>A2</w:t>
            </w:r>
            <w:r w:rsidRPr="00610AD5">
              <w:rPr>
                <w:rFonts w:asciiTheme="majorBidi" w:hAnsiTheme="majorBidi" w:cstheme="majorBidi"/>
                <w:sz w:val="20"/>
                <w:lang w:val="fr-CH"/>
              </w:rPr>
              <w:tab/>
              <w:t xml:space="preserve">Station dépendante </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r w:rsidRPr="00610AD5">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34 800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lang w:val="fr-CH"/>
              </w:rPr>
              <w:tab/>
            </w:r>
            <w:r w:rsidRPr="00610AD5">
              <w:rPr>
                <w:rFonts w:asciiTheme="majorBidi" w:hAnsiTheme="majorBidi" w:cstheme="majorBidi"/>
                <w:sz w:val="20"/>
                <w:lang w:val="fr-CH"/>
              </w:rPr>
              <w:tab/>
              <w:t>B1</w:t>
            </w:r>
            <w:r w:rsidRPr="00610AD5">
              <w:rPr>
                <w:rFonts w:asciiTheme="majorBidi" w:hAnsiTheme="majorBidi" w:cstheme="majorBidi"/>
                <w:sz w:val="20"/>
                <w:lang w:val="fr-CH"/>
              </w:rPr>
              <w:tab/>
              <w:t xml:space="preserve">Liaison de 1 à 24 voies téléphoniques ou moins de 2, 1 Mbits/s </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r w:rsidRPr="00610AD5">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1 160 000</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lang w:val="fr-CH"/>
              </w:rPr>
              <w:tab/>
            </w:r>
            <w:r w:rsidRPr="00610AD5">
              <w:rPr>
                <w:rFonts w:asciiTheme="majorBidi" w:hAnsiTheme="majorBidi" w:cstheme="majorBidi"/>
                <w:sz w:val="20"/>
                <w:lang w:val="fr-CH"/>
              </w:rPr>
              <w:tab/>
              <w:t>B2</w:t>
            </w:r>
            <w:r w:rsidRPr="00610AD5">
              <w:rPr>
                <w:rFonts w:asciiTheme="majorBidi" w:hAnsiTheme="majorBidi" w:cstheme="majorBidi"/>
                <w:sz w:val="20"/>
                <w:lang w:val="fr-CH"/>
              </w:rPr>
              <w:tab/>
              <w:t xml:space="preserve">Liaison de 25à 120 voies téléphoniques ou moins de 2,1 à 8 Mbits/s </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r w:rsidRPr="00610AD5">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1 450 000</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lang w:val="fr-CH"/>
              </w:rPr>
              <w:tab/>
            </w:r>
            <w:r w:rsidRPr="00610AD5">
              <w:rPr>
                <w:rFonts w:asciiTheme="majorBidi" w:hAnsiTheme="majorBidi" w:cstheme="majorBidi"/>
                <w:sz w:val="20"/>
                <w:lang w:val="fr-CH"/>
              </w:rPr>
              <w:tab/>
              <w:t>B3</w:t>
            </w:r>
            <w:r w:rsidRPr="00610AD5">
              <w:rPr>
                <w:rFonts w:asciiTheme="majorBidi" w:hAnsiTheme="majorBidi" w:cstheme="majorBidi"/>
                <w:sz w:val="20"/>
                <w:lang w:val="fr-CH"/>
              </w:rPr>
              <w:tab/>
              <w:t xml:space="preserve">Liaison de 121 à 600 voies téléphoniques ou moins de 8 à 34 Mbits </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r w:rsidRPr="00610AD5">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1 740 000</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lang w:val="fr-CH"/>
              </w:rPr>
              <w:tab/>
            </w:r>
            <w:r w:rsidRPr="00610AD5">
              <w:rPr>
                <w:rFonts w:asciiTheme="majorBidi" w:hAnsiTheme="majorBidi" w:cstheme="majorBidi"/>
                <w:sz w:val="20"/>
                <w:lang w:val="fr-CH"/>
              </w:rPr>
              <w:tab/>
              <w:t>B4</w:t>
            </w:r>
            <w:r w:rsidRPr="00610AD5">
              <w:rPr>
                <w:rFonts w:asciiTheme="majorBidi" w:hAnsiTheme="majorBidi" w:cstheme="majorBidi"/>
                <w:sz w:val="20"/>
                <w:lang w:val="fr-CH"/>
              </w:rPr>
              <w:tab/>
              <w:t>Liaison de plus de 600 voies téléphoniques ou de plus de 34 Mbits</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r w:rsidRPr="00610AD5">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2 900 000</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lang w:val="fr-CH"/>
              </w:rPr>
              <w:tab/>
              <w:t>I.2</w:t>
            </w:r>
            <w:r w:rsidRPr="00610AD5">
              <w:rPr>
                <w:rFonts w:asciiTheme="majorBidi" w:hAnsiTheme="majorBidi" w:cstheme="majorBidi"/>
                <w:sz w:val="20"/>
                <w:lang w:val="fr-CH"/>
              </w:rPr>
              <w:tab/>
              <w:t xml:space="preserve">d’un réseau international indépendant </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r w:rsidRPr="00610AD5">
              <w:rPr>
                <w:b/>
                <w:bCs/>
                <w:sz w:val="20"/>
                <w:lang w:val="fr-CH"/>
              </w:rPr>
              <w:t>116 000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34 800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580 000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348 000</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lang w:val="fr-CH"/>
              </w:rPr>
              <w:tab/>
              <w:t>I.3</w:t>
            </w:r>
            <w:r w:rsidRPr="00610AD5">
              <w:rPr>
                <w:rFonts w:asciiTheme="majorBidi" w:hAnsiTheme="majorBidi" w:cstheme="majorBidi"/>
                <w:sz w:val="20"/>
                <w:lang w:val="fr-CH"/>
              </w:rPr>
              <w:tab/>
              <w:t xml:space="preserve">Micro station terrienne (VSAT) internationale dépendant </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r w:rsidRPr="00610AD5">
              <w:rPr>
                <w:b/>
                <w:bCs/>
                <w:sz w:val="20"/>
                <w:lang w:val="fr-CH"/>
              </w:rPr>
              <w:t>58 000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34 800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174 000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145 000</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keepNext/>
              <w:keepLines/>
              <w:spacing w:after="120"/>
              <w:jc w:val="center"/>
              <w:rPr>
                <w:b/>
                <w:sz w:val="20"/>
              </w:rPr>
            </w:pPr>
            <w:r w:rsidRPr="00610AD5">
              <w:rPr>
                <w:b/>
                <w:sz w:val="20"/>
              </w:rPr>
              <w:lastRenderedPageBreak/>
              <w:t>Réseaux ou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keepNext/>
              <w:keepLines/>
              <w:spacing w:after="120"/>
              <w:jc w:val="center"/>
              <w:rPr>
                <w:b/>
                <w:sz w:val="20"/>
              </w:rPr>
            </w:pPr>
            <w:r w:rsidRPr="00610AD5">
              <w:rPr>
                <w:b/>
                <w:sz w:val="20"/>
              </w:rPr>
              <w:t>Taxe de constitution de dossier</w:t>
            </w:r>
          </w:p>
        </w:tc>
        <w:tc>
          <w:tcPr>
            <w:tcW w:w="1418"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keepNext/>
              <w:keepLines/>
              <w:spacing w:after="120"/>
              <w:jc w:val="center"/>
              <w:rPr>
                <w:b/>
                <w:sz w:val="20"/>
              </w:rPr>
            </w:pPr>
            <w:r w:rsidRPr="00610AD5">
              <w:rPr>
                <w:b/>
                <w:sz w:val="20"/>
              </w:rPr>
              <w:t>Taxe de visite ou de controle des stations</w:t>
            </w:r>
          </w:p>
        </w:tc>
        <w:tc>
          <w:tcPr>
            <w:tcW w:w="1418"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keepNext/>
              <w:keepLines/>
              <w:spacing w:after="120"/>
              <w:ind w:leftChars="-50" w:left="-110" w:rightChars="-50" w:right="-110"/>
              <w:jc w:val="center"/>
              <w:rPr>
                <w:b/>
                <w:sz w:val="20"/>
              </w:rPr>
            </w:pPr>
            <w:r w:rsidRPr="00610AD5">
              <w:rPr>
                <w:b/>
                <w:sz w:val="20"/>
              </w:rPr>
              <w:t>Redeverance pour frais de gestion</w:t>
            </w:r>
          </w:p>
        </w:tc>
        <w:tc>
          <w:tcPr>
            <w:tcW w:w="1418"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keepNext/>
              <w:keepLines/>
              <w:spacing w:after="120"/>
              <w:jc w:val="center"/>
              <w:rPr>
                <w:b/>
                <w:sz w:val="20"/>
              </w:rPr>
            </w:pPr>
            <w:r w:rsidRPr="00610AD5">
              <w:rPr>
                <w:b/>
                <w:sz w:val="20"/>
              </w:rPr>
              <w:t xml:space="preserve">Redevence pour l’utilisation d’un canal radioelectrique </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lang w:val="fr-CH"/>
              </w:rPr>
              <w:tab/>
              <w:t>I.4</w:t>
            </w:r>
            <w:r w:rsidRPr="00610AD5">
              <w:rPr>
                <w:rFonts w:asciiTheme="majorBidi" w:hAnsiTheme="majorBidi" w:cstheme="majorBidi"/>
                <w:sz w:val="20"/>
                <w:lang w:val="fr-CH"/>
              </w:rPr>
              <w:tab/>
              <w:t xml:space="preserve">Station terrienne portable ou mobile </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r w:rsidRPr="00610AD5">
              <w:rPr>
                <w:b/>
                <w:bCs/>
                <w:sz w:val="20"/>
                <w:lang w:val="fr-CH"/>
              </w:rPr>
              <w:t>58 000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29 000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145 000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116 000</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lang w:val="fr-CH"/>
              </w:rPr>
              <w:tab/>
              <w:t>I.5</w:t>
            </w:r>
            <w:r w:rsidRPr="00610AD5">
              <w:rPr>
                <w:rFonts w:asciiTheme="majorBidi" w:hAnsiTheme="majorBidi" w:cstheme="majorBidi"/>
                <w:sz w:val="20"/>
                <w:lang w:val="fr-CH"/>
              </w:rPr>
              <w:tab/>
              <w:t>Station terrienne de réception individuelle</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r w:rsidRPr="00610AD5">
              <w:rPr>
                <w:b/>
                <w:bCs/>
                <w:sz w:val="20"/>
                <w:lang w:val="fr-CH"/>
              </w:rPr>
              <w:t>11 600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14 500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Néant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Néant</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jc w:val="left"/>
              <w:rPr>
                <w:rFonts w:asciiTheme="majorBidi" w:hAnsiTheme="majorBidi" w:cstheme="majorBidi"/>
                <w:sz w:val="20"/>
                <w:lang w:val="fr-CH"/>
              </w:rPr>
            </w:pPr>
            <w:r w:rsidRPr="00610AD5">
              <w:rPr>
                <w:rFonts w:asciiTheme="majorBidi" w:hAnsiTheme="majorBidi" w:cstheme="majorBidi"/>
                <w:sz w:val="20"/>
                <w:lang w:val="fr-CH"/>
              </w:rPr>
              <w:t xml:space="preserve">II–RESEAU ET STATIONS TERRIENNES OUVERTS AU PUBLIC (service commercial) </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lang w:val="fr-CH"/>
              </w:rPr>
              <w:tab/>
              <w:t>II.1</w:t>
            </w:r>
            <w:r w:rsidRPr="00610AD5">
              <w:rPr>
                <w:rFonts w:asciiTheme="majorBidi" w:hAnsiTheme="majorBidi" w:cstheme="majorBidi"/>
                <w:sz w:val="20"/>
                <w:lang w:val="fr-CH"/>
              </w:rPr>
              <w:tab/>
              <w:t>Réseau national ouvert au public</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r w:rsidRPr="00610AD5">
              <w:rPr>
                <w:b/>
                <w:bCs/>
                <w:sz w:val="20"/>
                <w:lang w:val="fr-CH"/>
              </w:rPr>
              <w:t>3 770 000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29 000 000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lang w:val="fr-CH"/>
              </w:rPr>
              <w:tab/>
            </w:r>
            <w:r w:rsidRPr="00610AD5">
              <w:rPr>
                <w:rFonts w:asciiTheme="majorBidi" w:hAnsiTheme="majorBidi" w:cstheme="majorBidi"/>
                <w:sz w:val="20"/>
                <w:lang w:val="fr-CH"/>
              </w:rPr>
              <w:tab/>
              <w:t>A1</w:t>
            </w:r>
            <w:r w:rsidRPr="00610AD5">
              <w:rPr>
                <w:rFonts w:asciiTheme="majorBidi" w:hAnsiTheme="majorBidi" w:cstheme="majorBidi"/>
                <w:sz w:val="20"/>
                <w:lang w:val="fr-CH"/>
              </w:rPr>
              <w:tab/>
              <w:t xml:space="preserve">Station terrienne aéronautique côtière ou terrestre </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r w:rsidRPr="00610AD5">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lang w:val="fr-CH"/>
              </w:rPr>
              <w:tab/>
            </w:r>
            <w:r w:rsidRPr="00610AD5">
              <w:rPr>
                <w:rFonts w:asciiTheme="majorBidi" w:hAnsiTheme="majorBidi" w:cstheme="majorBidi"/>
                <w:sz w:val="20"/>
                <w:lang w:val="fr-CH"/>
              </w:rPr>
              <w:tab/>
              <w:t>A2</w:t>
            </w:r>
            <w:r w:rsidRPr="00610AD5">
              <w:rPr>
                <w:rFonts w:asciiTheme="majorBidi" w:hAnsiTheme="majorBidi" w:cstheme="majorBidi"/>
                <w:sz w:val="20"/>
                <w:lang w:val="fr-CH"/>
              </w:rPr>
              <w:tab/>
              <w:t xml:space="preserve">Station terrienne d’aéronef de navire et terrestre </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r w:rsidRPr="00610AD5">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87 000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lang w:val="fr-CH"/>
              </w:rPr>
              <w:tab/>
            </w:r>
            <w:r w:rsidRPr="00610AD5">
              <w:rPr>
                <w:rFonts w:asciiTheme="majorBidi" w:hAnsiTheme="majorBidi" w:cstheme="majorBidi"/>
                <w:sz w:val="20"/>
                <w:lang w:val="fr-CH"/>
              </w:rPr>
              <w:tab/>
              <w:t>B1</w:t>
            </w:r>
            <w:r w:rsidRPr="00610AD5">
              <w:rPr>
                <w:rFonts w:asciiTheme="majorBidi" w:hAnsiTheme="majorBidi" w:cstheme="majorBidi"/>
                <w:sz w:val="20"/>
                <w:lang w:val="fr-CH"/>
              </w:rPr>
              <w:tab/>
              <w:t xml:space="preserve">Liaison de 1 à 120 voies téléphoniques ou de 2 à 8 Mbits/s </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r w:rsidRPr="00610AD5">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58 000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lang w:val="fr-CH"/>
              </w:rPr>
              <w:tab/>
            </w:r>
            <w:r w:rsidRPr="00610AD5">
              <w:rPr>
                <w:rFonts w:asciiTheme="majorBidi" w:hAnsiTheme="majorBidi" w:cstheme="majorBidi"/>
                <w:sz w:val="20"/>
                <w:lang w:val="fr-CH"/>
              </w:rPr>
              <w:tab/>
              <w:t>B2</w:t>
            </w:r>
            <w:r w:rsidRPr="00610AD5">
              <w:rPr>
                <w:rFonts w:asciiTheme="majorBidi" w:hAnsiTheme="majorBidi" w:cstheme="majorBidi"/>
                <w:sz w:val="20"/>
                <w:lang w:val="fr-CH"/>
              </w:rPr>
              <w:tab/>
              <w:t xml:space="preserve">Liaison de 121 à 600 voies téléphoniques ou de 8 à 34 Mbits/s </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r w:rsidRPr="00610AD5">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5 800 000</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lang w:val="fr-CH"/>
              </w:rPr>
              <w:tab/>
            </w:r>
            <w:r w:rsidRPr="00610AD5">
              <w:rPr>
                <w:rFonts w:asciiTheme="majorBidi" w:hAnsiTheme="majorBidi" w:cstheme="majorBidi"/>
                <w:sz w:val="20"/>
                <w:lang w:val="fr-CH"/>
              </w:rPr>
              <w:tab/>
              <w:t>B3</w:t>
            </w:r>
            <w:r w:rsidRPr="00610AD5">
              <w:rPr>
                <w:rFonts w:asciiTheme="majorBidi" w:hAnsiTheme="majorBidi" w:cstheme="majorBidi"/>
                <w:sz w:val="20"/>
                <w:lang w:val="fr-CH"/>
              </w:rPr>
              <w:tab/>
              <w:t xml:space="preserve">Liaison de 601 à 1200 voies téléphoniques ou de 34 à 70 Mbits/s </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r w:rsidRPr="00610AD5">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10 440 000</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lang w:val="fr-CH"/>
              </w:rPr>
              <w:tab/>
            </w:r>
            <w:r w:rsidRPr="00610AD5">
              <w:rPr>
                <w:rFonts w:asciiTheme="majorBidi" w:hAnsiTheme="majorBidi" w:cstheme="majorBidi"/>
                <w:sz w:val="20"/>
                <w:lang w:val="fr-CH"/>
              </w:rPr>
              <w:tab/>
              <w:t>B4</w:t>
            </w:r>
            <w:r w:rsidRPr="00610AD5">
              <w:rPr>
                <w:rFonts w:asciiTheme="majorBidi" w:hAnsiTheme="majorBidi" w:cstheme="majorBidi"/>
                <w:sz w:val="20"/>
                <w:lang w:val="fr-CH"/>
              </w:rPr>
              <w:tab/>
              <w:t xml:space="preserve">Liaison de plus de 1 200 voies téléphoniques ou plus de 70 Mbits/s </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r w:rsidRPr="00610AD5">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14 500 000</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lang w:val="fr-CH"/>
              </w:rPr>
              <w:tab/>
              <w:t>II.2</w:t>
            </w:r>
            <w:r w:rsidRPr="00610AD5">
              <w:rPr>
                <w:rFonts w:asciiTheme="majorBidi" w:hAnsiTheme="majorBidi" w:cstheme="majorBidi"/>
                <w:sz w:val="20"/>
                <w:lang w:val="fr-CH"/>
              </w:rPr>
              <w:tab/>
              <w:t>Station terrienne reliée au réseau public international</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r w:rsidRPr="00610AD5">
              <w:rPr>
                <w:b/>
                <w:bCs/>
                <w:sz w:val="20"/>
                <w:lang w:val="fr-CH"/>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17 400 000</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lang w:val="fr-CH"/>
              </w:rPr>
              <w:tab/>
              <w:t>II.3</w:t>
            </w:r>
            <w:r w:rsidRPr="00610AD5">
              <w:rPr>
                <w:rFonts w:asciiTheme="majorBidi" w:hAnsiTheme="majorBidi" w:cstheme="majorBidi"/>
                <w:sz w:val="20"/>
                <w:lang w:val="fr-CH"/>
              </w:rPr>
              <w:tab/>
              <w:t xml:space="preserve">Station terrienne d’un réseau international indépendant </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r w:rsidRPr="00610AD5">
              <w:rPr>
                <w:b/>
                <w:bCs/>
                <w:sz w:val="20"/>
                <w:lang w:val="fr-CH"/>
              </w:rPr>
              <w:t>1 740 000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87 000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11 600 000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3 480 000</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lang w:val="fr-CH"/>
              </w:rPr>
              <w:tab/>
              <w:t>II.4</w:t>
            </w:r>
            <w:r w:rsidRPr="00610AD5">
              <w:rPr>
                <w:rFonts w:asciiTheme="majorBidi" w:hAnsiTheme="majorBidi" w:cstheme="majorBidi"/>
                <w:sz w:val="20"/>
                <w:lang w:val="fr-CH"/>
              </w:rPr>
              <w:tab/>
              <w:t xml:space="preserve">Station VSAT Internationale indépendant </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r w:rsidRPr="00610AD5">
              <w:rPr>
                <w:b/>
                <w:bCs/>
                <w:sz w:val="20"/>
                <w:lang w:val="fr-CH"/>
              </w:rPr>
              <w:t>870 000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34 800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5 800 000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1 740 000</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lang w:val="fr-CH"/>
              </w:rPr>
              <w:tab/>
              <w:t>II.5</w:t>
            </w:r>
            <w:r w:rsidRPr="00610AD5">
              <w:rPr>
                <w:rFonts w:asciiTheme="majorBidi" w:hAnsiTheme="majorBidi" w:cstheme="majorBidi"/>
                <w:sz w:val="20"/>
                <w:lang w:val="fr-CH"/>
              </w:rPr>
              <w:tab/>
              <w:t xml:space="preserve">Station terrienne de réception communautaire </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r w:rsidRPr="00610AD5">
              <w:rPr>
                <w:b/>
                <w:bCs/>
                <w:sz w:val="20"/>
                <w:lang w:val="fr-CH"/>
              </w:rPr>
              <w:t>580 000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34 000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2 900 000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580 000</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lang w:val="fr-CH"/>
              </w:rPr>
              <w:tab/>
            </w:r>
            <w:r w:rsidRPr="00610AD5">
              <w:rPr>
                <w:rFonts w:asciiTheme="majorBidi" w:hAnsiTheme="majorBidi" w:cstheme="majorBidi"/>
                <w:sz w:val="20"/>
                <w:lang w:val="fr-CH"/>
              </w:rPr>
              <w:tab/>
              <w:t>A1</w:t>
            </w:r>
            <w:r w:rsidRPr="00610AD5">
              <w:rPr>
                <w:rFonts w:asciiTheme="majorBidi" w:hAnsiTheme="majorBidi" w:cstheme="majorBidi"/>
                <w:sz w:val="20"/>
                <w:lang w:val="fr-CH"/>
              </w:rPr>
              <w:tab/>
              <w:t xml:space="preserve">Réception de moins de 5 programmes </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r w:rsidRPr="00610AD5">
              <w:rPr>
                <w:b/>
                <w:bCs/>
                <w:sz w:val="20"/>
                <w:lang w:val="fr-CH"/>
              </w:rPr>
              <w:t>29 000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14 500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290 000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1 450 000</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lang w:val="fr-CH"/>
              </w:rPr>
              <w:tab/>
            </w:r>
            <w:r w:rsidRPr="00610AD5">
              <w:rPr>
                <w:rFonts w:asciiTheme="majorBidi" w:hAnsiTheme="majorBidi" w:cstheme="majorBidi"/>
                <w:sz w:val="20"/>
                <w:lang w:val="fr-CH"/>
              </w:rPr>
              <w:tab/>
              <w:t>A2</w:t>
            </w:r>
            <w:r w:rsidRPr="00610AD5">
              <w:rPr>
                <w:rFonts w:asciiTheme="majorBidi" w:hAnsiTheme="majorBidi" w:cstheme="majorBidi"/>
                <w:sz w:val="20"/>
                <w:lang w:val="fr-CH"/>
              </w:rPr>
              <w:tab/>
              <w:t xml:space="preserve">Réception de moins de 5 à 10 programmes </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r w:rsidRPr="00610AD5">
              <w:rPr>
                <w:b/>
                <w:bCs/>
                <w:sz w:val="20"/>
                <w:lang w:val="fr-CH"/>
              </w:rPr>
              <w:t>58 000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29 000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580 000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5 800 000</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sz w:val="20"/>
                <w:lang w:val="fr-CH"/>
              </w:rPr>
            </w:pPr>
            <w:r w:rsidRPr="00610AD5">
              <w:rPr>
                <w:rFonts w:asciiTheme="majorBidi" w:hAnsiTheme="majorBidi" w:cstheme="majorBidi"/>
                <w:sz w:val="20"/>
                <w:lang w:val="fr-CH"/>
              </w:rPr>
              <w:tab/>
            </w:r>
            <w:r w:rsidRPr="00610AD5">
              <w:rPr>
                <w:rFonts w:asciiTheme="majorBidi" w:hAnsiTheme="majorBidi" w:cstheme="majorBidi"/>
                <w:sz w:val="20"/>
                <w:lang w:val="fr-CH"/>
              </w:rPr>
              <w:tab/>
              <w:t>A3</w:t>
            </w:r>
            <w:r w:rsidRPr="00610AD5">
              <w:rPr>
                <w:rFonts w:asciiTheme="majorBidi" w:hAnsiTheme="majorBidi" w:cstheme="majorBidi"/>
                <w:sz w:val="20"/>
                <w:lang w:val="fr-CH"/>
              </w:rPr>
              <w:tab/>
            </w:r>
            <w:r w:rsidRPr="00610AD5">
              <w:rPr>
                <w:rFonts w:asciiTheme="majorBidi" w:hAnsiTheme="majorBidi" w:cstheme="majorBidi"/>
                <w:sz w:val="20"/>
              </w:rPr>
              <w:t>Réception de plus de 10 programmes</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lang w:val="fr-CH"/>
              </w:rPr>
            </w:pPr>
            <w:r w:rsidRPr="00610AD5">
              <w:rPr>
                <w:b/>
                <w:bCs/>
                <w:sz w:val="20"/>
                <w:lang w:val="fr-CH"/>
              </w:rPr>
              <w:t>145 000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58 000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1 160 000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sz w:val="20"/>
              </w:rPr>
            </w:pPr>
            <w:r w:rsidRPr="00610AD5">
              <w:rPr>
                <w:b/>
                <w:bCs/>
                <w:sz w:val="20"/>
              </w:rPr>
              <w:t>11 600 000</w:t>
            </w:r>
          </w:p>
        </w:tc>
      </w:tr>
    </w:tbl>
    <w:p w:rsidR="00610AD5" w:rsidRPr="00610AD5" w:rsidRDefault="00610AD5" w:rsidP="00610AD5">
      <w:pPr>
        <w:rPr>
          <w:lang w:val="fr-CH"/>
        </w:rPr>
      </w:pPr>
    </w:p>
    <w:p w:rsidR="00610AD5" w:rsidRPr="00610AD5" w:rsidRDefault="00610AD5" w:rsidP="00610AD5">
      <w:pPr>
        <w:tabs>
          <w:tab w:val="clear" w:pos="794"/>
          <w:tab w:val="clear" w:pos="1191"/>
          <w:tab w:val="clear" w:pos="1588"/>
          <w:tab w:val="clear" w:pos="1985"/>
        </w:tabs>
        <w:overflowPunct/>
        <w:autoSpaceDE/>
        <w:autoSpaceDN/>
        <w:adjustRightInd/>
        <w:spacing w:before="0"/>
        <w:jc w:val="left"/>
        <w:textAlignment w:val="auto"/>
        <w:rPr>
          <w:b/>
          <w:lang w:val="fr-CH"/>
        </w:rPr>
      </w:pPr>
      <w:bookmarkStart w:id="701" w:name="_Toc280260071"/>
      <w:bookmarkStart w:id="702" w:name="_Toc280260923"/>
      <w:r w:rsidRPr="00610AD5">
        <w:rPr>
          <w:lang w:val="fr-CH"/>
        </w:rPr>
        <w:br w:type="page"/>
      </w:r>
    </w:p>
    <w:p w:rsidR="00610AD5" w:rsidRPr="00610AD5" w:rsidRDefault="00610AD5" w:rsidP="00610AD5">
      <w:pPr>
        <w:keepNext/>
        <w:keepLines/>
        <w:spacing w:before="360"/>
        <w:ind w:left="794" w:hanging="794"/>
        <w:outlineLvl w:val="0"/>
        <w:rPr>
          <w:b/>
          <w:lang w:val="fr-CH"/>
        </w:rPr>
      </w:pPr>
      <w:bookmarkStart w:id="703" w:name="_Toc280272536"/>
      <w:r w:rsidRPr="00610AD5">
        <w:rPr>
          <w:b/>
          <w:lang w:val="fr-CH"/>
        </w:rPr>
        <w:lastRenderedPageBreak/>
        <w:t>C-UTILISATION TEMPORAIRE DE STATIONS RADIOELESTRIQUES</w:t>
      </w:r>
      <w:bookmarkEnd w:id="701"/>
      <w:bookmarkEnd w:id="702"/>
      <w:bookmarkEnd w:id="703"/>
      <w:r w:rsidRPr="00610AD5">
        <w:rPr>
          <w:b/>
          <w:lang w:val="fr-CH"/>
        </w:rPr>
        <w:t xml:space="preserve"> </w:t>
      </w:r>
    </w:p>
    <w:p w:rsidR="00610AD5" w:rsidRPr="00610AD5" w:rsidRDefault="00610AD5" w:rsidP="00610AD5">
      <w:pPr>
        <w:spacing w:before="0"/>
        <w:rPr>
          <w:lang w:val="fr-CH"/>
        </w:rPr>
      </w:pPr>
    </w:p>
    <w:tbl>
      <w:tblPr>
        <w:tblW w:w="0" w:type="auto"/>
        <w:jc w:val="center"/>
        <w:tblBorders>
          <w:top w:val="nil"/>
          <w:left w:val="nil"/>
          <w:bottom w:val="nil"/>
          <w:right w:val="nil"/>
        </w:tblBorders>
        <w:tblLayout w:type="fixed"/>
        <w:tblLook w:val="0000"/>
      </w:tblPr>
      <w:tblGrid>
        <w:gridCol w:w="3969"/>
        <w:gridCol w:w="1418"/>
        <w:gridCol w:w="1418"/>
        <w:gridCol w:w="1418"/>
        <w:gridCol w:w="1418"/>
      </w:tblGrid>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keepNext/>
              <w:keepLines/>
              <w:spacing w:after="120"/>
              <w:jc w:val="center"/>
              <w:rPr>
                <w:b/>
              </w:rPr>
            </w:pPr>
            <w:r w:rsidRPr="00610AD5">
              <w:rPr>
                <w:b/>
              </w:rPr>
              <w:t>Réseaux ou stations</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keepNext/>
              <w:keepLines/>
              <w:spacing w:after="120"/>
              <w:jc w:val="center"/>
              <w:rPr>
                <w:b/>
              </w:rPr>
            </w:pPr>
            <w:r w:rsidRPr="00610AD5">
              <w:rPr>
                <w:b/>
              </w:rPr>
              <w:t>Taxe de constitution de dossier</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keepNext/>
              <w:keepLines/>
              <w:spacing w:after="120"/>
              <w:jc w:val="center"/>
              <w:rPr>
                <w:b/>
              </w:rPr>
            </w:pPr>
            <w:r w:rsidRPr="00610AD5">
              <w:rPr>
                <w:b/>
              </w:rPr>
              <w:t>Taxe de visite ou de controle des stations</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keepNext/>
              <w:keepLines/>
              <w:spacing w:after="120"/>
              <w:ind w:leftChars="-50" w:left="-110" w:rightChars="-50" w:right="-110"/>
              <w:jc w:val="center"/>
              <w:rPr>
                <w:b/>
              </w:rPr>
            </w:pPr>
            <w:r w:rsidRPr="00610AD5">
              <w:rPr>
                <w:b/>
              </w:rPr>
              <w:t>Redeverance pour frais de gestion</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keepNext/>
              <w:keepLines/>
              <w:spacing w:after="120"/>
              <w:jc w:val="center"/>
              <w:rPr>
                <w:b/>
              </w:rPr>
            </w:pPr>
            <w:r w:rsidRPr="00610AD5">
              <w:rPr>
                <w:b/>
              </w:rPr>
              <w:t>Redevence pour utilisation de fréquence</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jc w:val="left"/>
              <w:rPr>
                <w:rFonts w:asciiTheme="majorBidi" w:hAnsiTheme="majorBidi" w:cstheme="majorBidi"/>
                <w:lang w:val="fr-CH"/>
              </w:rPr>
            </w:pPr>
            <w:r w:rsidRPr="00610AD5">
              <w:rPr>
                <w:rFonts w:asciiTheme="majorBidi" w:hAnsiTheme="majorBidi" w:cstheme="majorBidi"/>
                <w:b/>
                <w:bCs/>
                <w:lang w:val="fr-CH"/>
              </w:rPr>
              <w:t xml:space="preserve">1 – Services de terre </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lang w:val="fr-CH"/>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rPr>
            </w:pP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lang w:val="fr-CH"/>
              </w:rPr>
            </w:pPr>
            <w:r w:rsidRPr="00610AD5">
              <w:rPr>
                <w:rFonts w:asciiTheme="majorBidi" w:hAnsiTheme="majorBidi" w:cstheme="majorBidi"/>
                <w:lang w:val="fr-CH"/>
              </w:rPr>
              <w:tab/>
            </w:r>
            <w:r w:rsidRPr="00610AD5">
              <w:rPr>
                <w:rFonts w:asciiTheme="majorBidi" w:hAnsiTheme="majorBidi" w:cstheme="majorBidi"/>
                <w:lang w:val="fr-CH"/>
              </w:rPr>
              <w:tab/>
              <w:t>A1</w:t>
            </w:r>
            <w:r w:rsidRPr="00610AD5">
              <w:rPr>
                <w:rFonts w:asciiTheme="majorBidi" w:hAnsiTheme="majorBidi" w:cstheme="majorBidi"/>
                <w:lang w:val="fr-CH"/>
              </w:rPr>
              <w:tab/>
              <w:t xml:space="preserve">Station fixe ou de base </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lang w:val="fr-CH"/>
              </w:rPr>
            </w:pPr>
            <w:r w:rsidRPr="00610AD5">
              <w:rPr>
                <w:b/>
                <w:bCs/>
                <w:lang w:val="fr-CH"/>
              </w:rPr>
              <w:t>Néant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rPr>
            </w:pPr>
            <w:r w:rsidRPr="00610AD5">
              <w:rPr>
                <w:b/>
                <w:bCs/>
              </w:rPr>
              <w:t>11 600</w:t>
            </w:r>
          </w:p>
        </w:tc>
        <w:tc>
          <w:tcPr>
            <w:tcW w:w="1418" w:type="dxa"/>
            <w:vMerge w:val="restart"/>
            <w:tcBorders>
              <w:top w:val="single" w:sz="6" w:space="0" w:color="000000"/>
              <w:left w:val="single" w:sz="4"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rPr>
            </w:pPr>
            <w:r w:rsidRPr="00610AD5">
              <w:rPr>
                <w:b/>
                <w:bCs/>
              </w:rPr>
              <w:t>Calculée au mois entier, au prorata du temps d’utilisation</w:t>
            </w:r>
          </w:p>
        </w:tc>
        <w:tc>
          <w:tcPr>
            <w:tcW w:w="1418" w:type="dxa"/>
            <w:vMerge w:val="restart"/>
            <w:tcBorders>
              <w:top w:val="single" w:sz="6" w:space="0" w:color="000000"/>
              <w:left w:val="single" w:sz="4"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rPr>
            </w:pPr>
            <w:r w:rsidRPr="00610AD5">
              <w:rPr>
                <w:b/>
                <w:bCs/>
              </w:rPr>
              <w:t>Calculée au mois entier, au prorata du temps d’utilisation</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lang w:val="fr-CH"/>
              </w:rPr>
            </w:pPr>
            <w:r w:rsidRPr="00610AD5">
              <w:rPr>
                <w:rFonts w:asciiTheme="majorBidi" w:hAnsiTheme="majorBidi" w:cstheme="majorBidi"/>
                <w:lang w:val="fr-CH"/>
              </w:rPr>
              <w:tab/>
            </w:r>
            <w:r w:rsidRPr="00610AD5">
              <w:rPr>
                <w:rFonts w:asciiTheme="majorBidi" w:hAnsiTheme="majorBidi" w:cstheme="majorBidi"/>
                <w:lang w:val="fr-CH"/>
              </w:rPr>
              <w:tab/>
              <w:t>A2</w:t>
            </w:r>
            <w:r w:rsidRPr="00610AD5">
              <w:rPr>
                <w:rFonts w:asciiTheme="majorBidi" w:hAnsiTheme="majorBidi" w:cstheme="majorBidi"/>
                <w:lang w:val="fr-CH"/>
              </w:rPr>
              <w:tab/>
              <w:t xml:space="preserve">Station mobile </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lang w:val="fr-CH"/>
              </w:rPr>
            </w:pPr>
            <w:r w:rsidRPr="00610AD5">
              <w:rPr>
                <w:b/>
                <w:bCs/>
                <w:lang w:val="fr-CH"/>
              </w:rPr>
              <w:t>Néant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rPr>
            </w:pPr>
            <w:r w:rsidRPr="00610AD5">
              <w:rPr>
                <w:b/>
                <w:bCs/>
              </w:rPr>
              <w:t>8 700</w:t>
            </w:r>
          </w:p>
        </w:tc>
        <w:tc>
          <w:tcPr>
            <w:tcW w:w="1418" w:type="dxa"/>
            <w:vMerge/>
            <w:tcBorders>
              <w:left w:val="single" w:sz="4"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rPr>
            </w:pPr>
          </w:p>
        </w:tc>
        <w:tc>
          <w:tcPr>
            <w:tcW w:w="1418" w:type="dxa"/>
            <w:vMerge/>
            <w:tcBorders>
              <w:left w:val="single" w:sz="4"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rPr>
            </w:pP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lang w:val="fr-CH"/>
              </w:rPr>
            </w:pPr>
            <w:r w:rsidRPr="00610AD5">
              <w:rPr>
                <w:rFonts w:asciiTheme="majorBidi" w:hAnsiTheme="majorBidi" w:cstheme="majorBidi"/>
                <w:lang w:val="fr-CH"/>
              </w:rPr>
              <w:tab/>
            </w:r>
            <w:r w:rsidRPr="00610AD5">
              <w:rPr>
                <w:rFonts w:asciiTheme="majorBidi" w:hAnsiTheme="majorBidi" w:cstheme="majorBidi"/>
                <w:lang w:val="fr-CH"/>
              </w:rPr>
              <w:tab/>
              <w:t>A3</w:t>
            </w:r>
            <w:r w:rsidRPr="00610AD5">
              <w:rPr>
                <w:rFonts w:asciiTheme="majorBidi" w:hAnsiTheme="majorBidi" w:cstheme="majorBidi"/>
                <w:lang w:val="fr-CH"/>
              </w:rPr>
              <w:tab/>
              <w:t>Station portable ou portative</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lang w:val="fr-CH"/>
              </w:rPr>
            </w:pPr>
            <w:r w:rsidRPr="00610AD5">
              <w:rPr>
                <w:b/>
                <w:bCs/>
                <w:lang w:val="fr-CH"/>
              </w:rPr>
              <w:t>Néant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rPr>
            </w:pPr>
            <w:r w:rsidRPr="00610AD5">
              <w:rPr>
                <w:b/>
                <w:bCs/>
              </w:rPr>
              <w:t>5 800</w:t>
            </w:r>
          </w:p>
        </w:tc>
        <w:tc>
          <w:tcPr>
            <w:tcW w:w="1418" w:type="dxa"/>
            <w:vMerge/>
            <w:tcBorders>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rPr>
            </w:pPr>
          </w:p>
        </w:tc>
        <w:tc>
          <w:tcPr>
            <w:tcW w:w="1418" w:type="dxa"/>
            <w:vMerge/>
            <w:tcBorders>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rPr>
            </w:pP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lang w:val="fr-CH"/>
              </w:rPr>
            </w:pPr>
            <w:r w:rsidRPr="00610AD5">
              <w:rPr>
                <w:rFonts w:asciiTheme="majorBidi" w:hAnsiTheme="majorBidi" w:cstheme="majorBidi"/>
                <w:b/>
                <w:bCs/>
                <w:lang w:val="fr-CH"/>
              </w:rPr>
              <w:t xml:space="preserve">2 – Service spatiaux </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lang w:val="fr-CH"/>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rPr>
            </w:pP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lang w:val="fr-CH"/>
              </w:rPr>
            </w:pPr>
            <w:r w:rsidRPr="00610AD5">
              <w:rPr>
                <w:rFonts w:asciiTheme="majorBidi" w:hAnsiTheme="majorBidi" w:cstheme="majorBidi"/>
                <w:lang w:val="fr-CH"/>
              </w:rPr>
              <w:tab/>
            </w:r>
            <w:r w:rsidRPr="00610AD5">
              <w:rPr>
                <w:rFonts w:asciiTheme="majorBidi" w:hAnsiTheme="majorBidi" w:cstheme="majorBidi"/>
                <w:lang w:val="fr-CH"/>
              </w:rPr>
              <w:tab/>
              <w:t>A1</w:t>
            </w:r>
            <w:r w:rsidRPr="00610AD5">
              <w:rPr>
                <w:rFonts w:asciiTheme="majorBidi" w:hAnsiTheme="majorBidi" w:cstheme="majorBidi"/>
                <w:lang w:val="fr-CH"/>
              </w:rPr>
              <w:tab/>
              <w:t xml:space="preserve">Station terrienne aéronautique, côtière ou terrestre </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lang w:val="fr-CH"/>
              </w:rPr>
            </w:pPr>
            <w:r w:rsidRPr="00610AD5">
              <w:rPr>
                <w:b/>
                <w:bCs/>
                <w:lang w:val="fr-CH"/>
              </w:rPr>
              <w:t>Néant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rPr>
            </w:pPr>
            <w:r w:rsidRPr="00610AD5">
              <w:rPr>
                <w:b/>
                <w:bCs/>
              </w:rPr>
              <w:t>29 000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rPr>
            </w:pP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lang w:val="fr-CH"/>
              </w:rPr>
            </w:pPr>
            <w:r w:rsidRPr="00610AD5">
              <w:rPr>
                <w:rFonts w:asciiTheme="majorBidi" w:hAnsiTheme="majorBidi" w:cstheme="majorBidi"/>
                <w:lang w:val="fr-CH"/>
              </w:rPr>
              <w:tab/>
            </w:r>
            <w:r w:rsidRPr="00610AD5">
              <w:rPr>
                <w:rFonts w:asciiTheme="majorBidi" w:hAnsiTheme="majorBidi" w:cstheme="majorBidi"/>
                <w:lang w:val="fr-CH"/>
              </w:rPr>
              <w:tab/>
              <w:t>A2</w:t>
            </w:r>
            <w:r w:rsidRPr="00610AD5">
              <w:rPr>
                <w:rFonts w:asciiTheme="majorBidi" w:hAnsiTheme="majorBidi" w:cstheme="majorBidi"/>
                <w:lang w:val="fr-CH"/>
              </w:rPr>
              <w:tab/>
              <w:t xml:space="preserve">Station terrienne mobile </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lang w:val="fr-CH"/>
              </w:rPr>
            </w:pPr>
            <w:r w:rsidRPr="00610AD5">
              <w:rPr>
                <w:b/>
                <w:bCs/>
                <w:lang w:val="fr-CH"/>
              </w:rPr>
              <w:t>Néant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rPr>
            </w:pPr>
            <w:r w:rsidRPr="00610AD5">
              <w:rPr>
                <w:b/>
                <w:bCs/>
              </w:rPr>
              <w:t>17 400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rPr>
            </w:pP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vAlign w:val="center"/>
          </w:tcPr>
          <w:p w:rsidR="00610AD5" w:rsidRPr="00610AD5" w:rsidRDefault="00610AD5" w:rsidP="00610AD5">
            <w:pPr>
              <w:tabs>
                <w:tab w:val="clear" w:pos="794"/>
                <w:tab w:val="clear" w:pos="1191"/>
                <w:tab w:val="clear" w:pos="1588"/>
                <w:tab w:val="left" w:pos="284"/>
                <w:tab w:val="left" w:pos="44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851" w:hanging="851"/>
              <w:jc w:val="left"/>
              <w:rPr>
                <w:rFonts w:asciiTheme="majorBidi" w:hAnsiTheme="majorBidi" w:cstheme="majorBidi"/>
                <w:lang w:val="fr-CH"/>
              </w:rPr>
            </w:pPr>
            <w:r w:rsidRPr="00610AD5">
              <w:rPr>
                <w:rFonts w:asciiTheme="majorBidi" w:hAnsiTheme="majorBidi" w:cstheme="majorBidi"/>
                <w:lang w:val="fr-CH"/>
              </w:rPr>
              <w:tab/>
            </w:r>
            <w:r w:rsidRPr="00610AD5">
              <w:rPr>
                <w:rFonts w:asciiTheme="majorBidi" w:hAnsiTheme="majorBidi" w:cstheme="majorBidi"/>
                <w:lang w:val="fr-CH"/>
              </w:rPr>
              <w:tab/>
              <w:t>A3</w:t>
            </w:r>
            <w:r w:rsidRPr="00610AD5">
              <w:rPr>
                <w:rFonts w:asciiTheme="majorBidi" w:hAnsiTheme="majorBidi" w:cstheme="majorBidi"/>
                <w:lang w:val="fr-CH"/>
              </w:rPr>
              <w:tab/>
            </w:r>
            <w:r w:rsidRPr="00610AD5">
              <w:rPr>
                <w:rFonts w:asciiTheme="majorBidi" w:hAnsiTheme="majorBidi" w:cstheme="majorBidi"/>
              </w:rPr>
              <w:t>Station terrienne portable ou portative</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lang w:val="fr-CH"/>
              </w:rPr>
            </w:pPr>
            <w:r w:rsidRPr="00610AD5">
              <w:rPr>
                <w:b/>
                <w:bCs/>
                <w:lang w:val="fr-CH"/>
              </w:rPr>
              <w:t>Néant</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rPr>
            </w:pPr>
            <w:r w:rsidRPr="00610AD5">
              <w:rPr>
                <w:b/>
                <w:bCs/>
              </w:rPr>
              <w:t>11 600</w:t>
            </w: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rPr>
            </w:pPr>
          </w:p>
        </w:tc>
        <w:tc>
          <w:tcPr>
            <w:tcW w:w="1418"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bCs/>
              </w:rPr>
            </w:pPr>
          </w:p>
        </w:tc>
      </w:tr>
    </w:tbl>
    <w:p w:rsidR="00610AD5" w:rsidRPr="00610AD5" w:rsidRDefault="00610AD5" w:rsidP="00610AD5">
      <w:pPr>
        <w:rPr>
          <w:lang w:val="fr-CH"/>
        </w:rPr>
      </w:pPr>
    </w:p>
    <w:p w:rsidR="00610AD5" w:rsidRPr="00610AD5" w:rsidRDefault="00610AD5" w:rsidP="00610AD5">
      <w:pPr>
        <w:keepNext/>
        <w:keepLines/>
        <w:spacing w:before="360"/>
        <w:ind w:left="794" w:hanging="794"/>
        <w:outlineLvl w:val="0"/>
        <w:rPr>
          <w:b/>
          <w:lang w:val="fr-CH"/>
        </w:rPr>
      </w:pPr>
      <w:bookmarkStart w:id="704" w:name="_Toc280260072"/>
      <w:bookmarkStart w:id="705" w:name="_Toc280260924"/>
      <w:bookmarkStart w:id="706" w:name="_Toc280272537"/>
      <w:r w:rsidRPr="00610AD5">
        <w:rPr>
          <w:b/>
          <w:lang w:val="fr-CH"/>
        </w:rPr>
        <w:t>DROITS ET TAXES DIVERS EQUIPEMENTS SPECIAUX</w:t>
      </w:r>
      <w:bookmarkEnd w:id="704"/>
      <w:bookmarkEnd w:id="705"/>
      <w:bookmarkEnd w:id="706"/>
      <w:r w:rsidRPr="00610AD5">
        <w:rPr>
          <w:b/>
          <w:lang w:val="fr-CH"/>
        </w:rPr>
        <w:t xml:space="preserve"> </w:t>
      </w:r>
    </w:p>
    <w:p w:rsidR="00610AD5" w:rsidRPr="00610AD5" w:rsidRDefault="00610AD5" w:rsidP="00867C40">
      <w:pPr>
        <w:pStyle w:val="enumlev1"/>
        <w:rPr>
          <w:lang w:val="fr-CH"/>
        </w:rPr>
      </w:pPr>
      <w:r w:rsidRPr="00610AD5">
        <w:rPr>
          <w:lang w:val="fr-CH"/>
        </w:rPr>
        <w:t>1.</w:t>
      </w:r>
      <w:r w:rsidRPr="00610AD5">
        <w:rPr>
          <w:lang w:val="fr-CH"/>
        </w:rPr>
        <w:tab/>
        <w:t xml:space="preserve">Emetteurs – Récepteur de faible puissance ou poste « CB » Taxes annuelles forfaitaires </w:t>
      </w:r>
      <w:r w:rsidRPr="00610AD5">
        <w:rPr>
          <w:b/>
          <w:bCs/>
          <w:lang w:val="fr-CH"/>
        </w:rPr>
        <w:t xml:space="preserve">23 200 F </w:t>
      </w:r>
    </w:p>
    <w:p w:rsidR="00610AD5" w:rsidRPr="00610AD5" w:rsidRDefault="00610AD5" w:rsidP="00867C40">
      <w:pPr>
        <w:pStyle w:val="enumlev1"/>
        <w:rPr>
          <w:lang w:val="fr-CH"/>
        </w:rPr>
      </w:pPr>
      <w:r w:rsidRPr="00610AD5">
        <w:rPr>
          <w:lang w:val="fr-CH"/>
        </w:rPr>
        <w:t>2.</w:t>
      </w:r>
      <w:r w:rsidRPr="00610AD5">
        <w:rPr>
          <w:lang w:val="fr-CH"/>
        </w:rPr>
        <w:tab/>
        <w:t xml:space="preserve">Installations de radiocommande de modèle réduit </w:t>
      </w:r>
    </w:p>
    <w:p w:rsidR="00610AD5" w:rsidRPr="00610AD5" w:rsidRDefault="00610AD5" w:rsidP="00610AD5">
      <w:pPr>
        <w:rPr>
          <w:lang w:val="fr-CH"/>
        </w:rPr>
      </w:pPr>
      <w:r w:rsidRPr="00610AD5">
        <w:rPr>
          <w:lang w:val="fr-CH"/>
        </w:rPr>
        <w:t xml:space="preserve">Taxes spéciale ( 5 ans ) </w:t>
      </w:r>
      <w:r w:rsidRPr="00610AD5">
        <w:rPr>
          <w:b/>
          <w:bCs/>
          <w:lang w:val="fr-CH"/>
        </w:rPr>
        <w:t>29 000 F</w:t>
      </w:r>
    </w:p>
    <w:p w:rsidR="00610AD5" w:rsidRPr="00610AD5" w:rsidRDefault="00610AD5" w:rsidP="00610AD5">
      <w:pPr>
        <w:keepNext/>
        <w:keepLines/>
        <w:spacing w:before="360"/>
        <w:ind w:left="794" w:hanging="794"/>
        <w:outlineLvl w:val="0"/>
        <w:rPr>
          <w:b/>
          <w:lang w:val="fr-CH"/>
        </w:rPr>
      </w:pPr>
      <w:bookmarkStart w:id="707" w:name="_Toc280260073"/>
      <w:bookmarkStart w:id="708" w:name="_Toc280260925"/>
      <w:bookmarkStart w:id="709" w:name="_Toc280272538"/>
      <w:r w:rsidRPr="00610AD5">
        <w:rPr>
          <w:b/>
          <w:lang w:val="fr-CH"/>
        </w:rPr>
        <w:t>II – DROIT DE LICENCE/CERTIFICAT</w:t>
      </w:r>
      <w:bookmarkEnd w:id="707"/>
      <w:bookmarkEnd w:id="708"/>
      <w:bookmarkEnd w:id="709"/>
    </w:p>
    <w:p w:rsidR="00610AD5" w:rsidRPr="00610AD5" w:rsidRDefault="00610AD5" w:rsidP="00610AD5">
      <w:pPr>
        <w:rPr>
          <w:lang w:val="fr-CH"/>
        </w:rPr>
      </w:pPr>
    </w:p>
    <w:tbl>
      <w:tblPr>
        <w:tblW w:w="0" w:type="auto"/>
        <w:jc w:val="center"/>
        <w:tblBorders>
          <w:top w:val="nil"/>
          <w:left w:val="nil"/>
          <w:bottom w:val="nil"/>
          <w:right w:val="nil"/>
        </w:tblBorders>
        <w:tblLayout w:type="fixed"/>
        <w:tblLook w:val="0000"/>
      </w:tblPr>
      <w:tblGrid>
        <w:gridCol w:w="3686"/>
        <w:gridCol w:w="1985"/>
        <w:gridCol w:w="1985"/>
        <w:gridCol w:w="1985"/>
      </w:tblGrid>
      <w:tr w:rsidR="00610AD5" w:rsidRPr="00610AD5" w:rsidTr="00610AD5">
        <w:trPr>
          <w:jc w:val="center"/>
        </w:trPr>
        <w:tc>
          <w:tcPr>
            <w:tcW w:w="3686" w:type="dxa"/>
            <w:tcBorders>
              <w:top w:val="single" w:sz="4" w:space="0" w:color="000000"/>
              <w:left w:val="single" w:sz="4" w:space="0" w:color="000000"/>
              <w:right w:val="single" w:sz="4" w:space="0" w:color="000000"/>
            </w:tcBorders>
          </w:tcPr>
          <w:p w:rsidR="00610AD5" w:rsidRPr="00610AD5" w:rsidRDefault="00610AD5" w:rsidP="00610AD5">
            <w:pPr>
              <w:keepNext/>
              <w:keepLines/>
              <w:spacing w:after="120"/>
              <w:jc w:val="center"/>
              <w:rPr>
                <w:b/>
              </w:rPr>
            </w:pPr>
          </w:p>
        </w:tc>
        <w:tc>
          <w:tcPr>
            <w:tcW w:w="1985" w:type="dxa"/>
            <w:tcBorders>
              <w:top w:val="single" w:sz="4" w:space="0" w:color="000000"/>
              <w:left w:val="single" w:sz="4" w:space="0" w:color="000000"/>
              <w:right w:val="single" w:sz="4" w:space="0" w:color="000000"/>
            </w:tcBorders>
            <w:vAlign w:val="bottom"/>
          </w:tcPr>
          <w:p w:rsidR="00610AD5" w:rsidRPr="00610AD5" w:rsidRDefault="00610AD5" w:rsidP="00610AD5">
            <w:pPr>
              <w:keepNext/>
              <w:keepLines/>
              <w:spacing w:after="120"/>
              <w:jc w:val="center"/>
              <w:rPr>
                <w:b/>
              </w:rPr>
            </w:pPr>
            <w:r w:rsidRPr="00610AD5">
              <w:rPr>
                <w:b/>
                <w:bCs/>
              </w:rPr>
              <w:t xml:space="preserve">Etablissement </w:t>
            </w:r>
          </w:p>
        </w:tc>
        <w:tc>
          <w:tcPr>
            <w:tcW w:w="1985" w:type="dxa"/>
            <w:tcBorders>
              <w:top w:val="single" w:sz="4" w:space="0" w:color="000000"/>
              <w:left w:val="single" w:sz="4" w:space="0" w:color="000000"/>
              <w:right w:val="single" w:sz="4" w:space="0" w:color="000000"/>
            </w:tcBorders>
            <w:vAlign w:val="bottom"/>
          </w:tcPr>
          <w:p w:rsidR="00610AD5" w:rsidRPr="00610AD5" w:rsidRDefault="00610AD5" w:rsidP="00610AD5">
            <w:pPr>
              <w:keepNext/>
              <w:keepLines/>
              <w:spacing w:after="120"/>
              <w:jc w:val="center"/>
              <w:rPr>
                <w:b/>
              </w:rPr>
            </w:pPr>
            <w:r w:rsidRPr="00610AD5">
              <w:rPr>
                <w:b/>
                <w:bCs/>
              </w:rPr>
              <w:t xml:space="preserve">Renouvellement </w:t>
            </w:r>
          </w:p>
        </w:tc>
        <w:tc>
          <w:tcPr>
            <w:tcW w:w="1985" w:type="dxa"/>
            <w:tcBorders>
              <w:top w:val="single" w:sz="4" w:space="0" w:color="000000"/>
              <w:left w:val="single" w:sz="4" w:space="0" w:color="000000"/>
              <w:right w:val="single" w:sz="4" w:space="0" w:color="000000"/>
            </w:tcBorders>
            <w:vAlign w:val="bottom"/>
          </w:tcPr>
          <w:p w:rsidR="00610AD5" w:rsidRPr="00610AD5" w:rsidRDefault="00610AD5" w:rsidP="00610AD5">
            <w:pPr>
              <w:keepNext/>
              <w:keepLines/>
              <w:spacing w:after="120"/>
              <w:jc w:val="center"/>
              <w:rPr>
                <w:b/>
              </w:rPr>
            </w:pPr>
            <w:r w:rsidRPr="00610AD5">
              <w:rPr>
                <w:b/>
                <w:bCs/>
              </w:rPr>
              <w:t xml:space="preserve">DUPLICATA </w:t>
            </w:r>
          </w:p>
        </w:tc>
      </w:tr>
      <w:tr w:rsidR="00610AD5" w:rsidRPr="00610AD5" w:rsidTr="00610AD5">
        <w:trPr>
          <w:jc w:val="center"/>
        </w:trPr>
        <w:tc>
          <w:tcPr>
            <w:tcW w:w="3686" w:type="dxa"/>
            <w:tcBorders>
              <w:left w:val="single" w:sz="4" w:space="0" w:color="000000"/>
              <w:right w:val="single" w:sz="4" w:space="0" w:color="000000"/>
            </w:tcBorders>
          </w:tcPr>
          <w:p w:rsidR="00610AD5" w:rsidRPr="00610AD5" w:rsidRDefault="00610AD5" w:rsidP="00610AD5">
            <w:pPr>
              <w:widowControl w:val="0"/>
              <w:tabs>
                <w:tab w:val="clear" w:pos="794"/>
                <w:tab w:val="clear" w:pos="1191"/>
                <w:tab w:val="clear" w:pos="1588"/>
                <w:tab w:val="clear" w:pos="1985"/>
                <w:tab w:val="left" w:pos="420"/>
              </w:tabs>
              <w:overflowPunct/>
              <w:spacing w:before="0"/>
              <w:ind w:left="420" w:hanging="420"/>
              <w:jc w:val="left"/>
              <w:textAlignment w:val="auto"/>
              <w:rPr>
                <w:rFonts w:asciiTheme="majorBidi" w:eastAsia="SimSun" w:hAnsiTheme="majorBidi" w:cstheme="majorBidi"/>
                <w:color w:val="000000"/>
                <w:sz w:val="24"/>
                <w:szCs w:val="24"/>
                <w:lang w:val="fr-CH" w:eastAsia="zh-CN"/>
              </w:rPr>
            </w:pPr>
            <w:r w:rsidRPr="00610AD5">
              <w:rPr>
                <w:rFonts w:asciiTheme="majorBidi" w:eastAsia="SimSun" w:hAnsiTheme="majorBidi" w:cstheme="majorBidi"/>
                <w:b/>
                <w:bCs/>
                <w:color w:val="000000"/>
                <w:sz w:val="24"/>
                <w:szCs w:val="24"/>
                <w:lang w:val="fr-CH" w:eastAsia="zh-CN"/>
              </w:rPr>
              <w:t>1</w:t>
            </w:r>
            <w:r w:rsidRPr="00610AD5">
              <w:rPr>
                <w:rFonts w:asciiTheme="majorBidi" w:eastAsia="SimSun" w:hAnsiTheme="majorBidi" w:cstheme="majorBidi"/>
                <w:b/>
                <w:bCs/>
                <w:color w:val="000000"/>
                <w:sz w:val="24"/>
                <w:szCs w:val="24"/>
                <w:lang w:val="fr-CH" w:eastAsia="zh-CN"/>
              </w:rPr>
              <w:tab/>
            </w:r>
            <w:r w:rsidRPr="00610AD5">
              <w:rPr>
                <w:rFonts w:asciiTheme="majorBidi" w:eastAsia="SimSun" w:hAnsiTheme="majorBidi" w:cstheme="majorBidi"/>
                <w:color w:val="000000"/>
                <w:sz w:val="24"/>
                <w:szCs w:val="24"/>
                <w:lang w:val="fr-CH" w:eastAsia="zh-CN"/>
              </w:rPr>
              <w:t xml:space="preserve">Station d’amateur d’aéronef ou de navire </w:t>
            </w:r>
          </w:p>
        </w:tc>
        <w:tc>
          <w:tcPr>
            <w:tcW w:w="1985" w:type="dxa"/>
            <w:tcBorders>
              <w:left w:val="single" w:sz="4" w:space="0" w:color="000000"/>
              <w:right w:val="single" w:sz="4" w:space="0" w:color="000000"/>
            </w:tcBorders>
            <w:vAlign w:val="center"/>
          </w:tcPr>
          <w:p w:rsidR="00610AD5" w:rsidRPr="00610AD5" w:rsidRDefault="00610AD5" w:rsidP="00610AD5">
            <w:pPr>
              <w:widowControl w:val="0"/>
              <w:tabs>
                <w:tab w:val="clear" w:pos="794"/>
                <w:tab w:val="clear" w:pos="1191"/>
                <w:tab w:val="clear" w:pos="1588"/>
                <w:tab w:val="clear" w:pos="1985"/>
              </w:tabs>
              <w:overflowPunct/>
              <w:spacing w:before="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5 800</w:t>
            </w:r>
          </w:p>
        </w:tc>
        <w:tc>
          <w:tcPr>
            <w:tcW w:w="1985" w:type="dxa"/>
            <w:tcBorders>
              <w:left w:val="single" w:sz="4" w:space="0" w:color="000000"/>
              <w:right w:val="single" w:sz="4" w:space="0" w:color="000000"/>
            </w:tcBorders>
            <w:vAlign w:val="center"/>
          </w:tcPr>
          <w:p w:rsidR="00610AD5" w:rsidRPr="00610AD5" w:rsidRDefault="00610AD5" w:rsidP="00610AD5">
            <w:pPr>
              <w:widowControl w:val="0"/>
              <w:tabs>
                <w:tab w:val="clear" w:pos="794"/>
                <w:tab w:val="clear" w:pos="1191"/>
                <w:tab w:val="clear" w:pos="1588"/>
                <w:tab w:val="clear" w:pos="1985"/>
              </w:tabs>
              <w:overflowPunct/>
              <w:spacing w:before="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5 800</w:t>
            </w:r>
          </w:p>
        </w:tc>
        <w:tc>
          <w:tcPr>
            <w:tcW w:w="1985" w:type="dxa"/>
            <w:tcBorders>
              <w:left w:val="single" w:sz="4" w:space="0" w:color="000000"/>
              <w:right w:val="single" w:sz="4" w:space="0" w:color="000000"/>
            </w:tcBorders>
            <w:vAlign w:val="center"/>
          </w:tcPr>
          <w:p w:rsidR="00610AD5" w:rsidRPr="00610AD5" w:rsidRDefault="00610AD5" w:rsidP="00610AD5">
            <w:pPr>
              <w:widowControl w:val="0"/>
              <w:tabs>
                <w:tab w:val="clear" w:pos="794"/>
                <w:tab w:val="clear" w:pos="1191"/>
                <w:tab w:val="clear" w:pos="1588"/>
                <w:tab w:val="clear" w:pos="1985"/>
              </w:tabs>
              <w:overflowPunct/>
              <w:spacing w:before="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11 600</w:t>
            </w:r>
          </w:p>
        </w:tc>
      </w:tr>
      <w:tr w:rsidR="00610AD5" w:rsidRPr="00610AD5" w:rsidTr="00610AD5">
        <w:trPr>
          <w:jc w:val="center"/>
        </w:trPr>
        <w:tc>
          <w:tcPr>
            <w:tcW w:w="3686" w:type="dxa"/>
            <w:tcBorders>
              <w:left w:val="single" w:sz="4" w:space="0" w:color="000000"/>
              <w:right w:val="single" w:sz="4" w:space="0" w:color="000000"/>
            </w:tcBorders>
          </w:tcPr>
          <w:p w:rsidR="00610AD5" w:rsidRPr="00610AD5" w:rsidRDefault="00610AD5" w:rsidP="00610AD5">
            <w:pPr>
              <w:widowControl w:val="0"/>
              <w:tabs>
                <w:tab w:val="clear" w:pos="794"/>
                <w:tab w:val="clear" w:pos="1191"/>
                <w:tab w:val="clear" w:pos="1588"/>
                <w:tab w:val="clear" w:pos="1985"/>
                <w:tab w:val="left" w:pos="420"/>
              </w:tabs>
              <w:overflowPunct/>
              <w:spacing w:before="0"/>
              <w:ind w:left="420" w:hanging="420"/>
              <w:jc w:val="left"/>
              <w:textAlignment w:val="auto"/>
              <w:rPr>
                <w:rFonts w:asciiTheme="majorBidi" w:eastAsia="SimSun" w:hAnsiTheme="majorBidi" w:cstheme="majorBidi"/>
                <w:color w:val="000000"/>
                <w:sz w:val="24"/>
                <w:szCs w:val="24"/>
                <w:lang w:val="fr-CH" w:eastAsia="zh-CN"/>
              </w:rPr>
            </w:pPr>
            <w:r w:rsidRPr="00610AD5">
              <w:rPr>
                <w:rFonts w:asciiTheme="majorBidi" w:eastAsia="SimSun" w:hAnsiTheme="majorBidi" w:cstheme="majorBidi"/>
                <w:color w:val="000000"/>
                <w:sz w:val="24"/>
                <w:szCs w:val="24"/>
                <w:lang w:val="fr-CH" w:eastAsia="zh-CN"/>
              </w:rPr>
              <w:t>2</w:t>
            </w:r>
            <w:r w:rsidRPr="00610AD5">
              <w:rPr>
                <w:rFonts w:asciiTheme="majorBidi" w:eastAsia="SimSun" w:hAnsiTheme="majorBidi" w:cstheme="majorBidi"/>
                <w:color w:val="000000"/>
                <w:sz w:val="24"/>
                <w:szCs w:val="24"/>
                <w:lang w:val="fr-CH" w:eastAsia="zh-CN"/>
              </w:rPr>
              <w:tab/>
              <w:t xml:space="preserve">Station terrienne d’amateur, d’aéronef ou de navire </w:t>
            </w:r>
          </w:p>
        </w:tc>
        <w:tc>
          <w:tcPr>
            <w:tcW w:w="1985" w:type="dxa"/>
            <w:tcBorders>
              <w:left w:val="single" w:sz="4" w:space="0" w:color="000000"/>
              <w:right w:val="single" w:sz="4" w:space="0" w:color="000000"/>
            </w:tcBorders>
            <w:vAlign w:val="center"/>
          </w:tcPr>
          <w:p w:rsidR="00610AD5" w:rsidRPr="00610AD5" w:rsidRDefault="00610AD5" w:rsidP="00610AD5">
            <w:pPr>
              <w:widowControl w:val="0"/>
              <w:tabs>
                <w:tab w:val="clear" w:pos="794"/>
                <w:tab w:val="clear" w:pos="1191"/>
                <w:tab w:val="clear" w:pos="1588"/>
                <w:tab w:val="clear" w:pos="1985"/>
              </w:tabs>
              <w:overflowPunct/>
              <w:spacing w:before="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11 600</w:t>
            </w:r>
          </w:p>
        </w:tc>
        <w:tc>
          <w:tcPr>
            <w:tcW w:w="1985" w:type="dxa"/>
            <w:tcBorders>
              <w:left w:val="single" w:sz="4" w:space="0" w:color="000000"/>
              <w:right w:val="single" w:sz="4" w:space="0" w:color="000000"/>
            </w:tcBorders>
            <w:vAlign w:val="center"/>
          </w:tcPr>
          <w:p w:rsidR="00610AD5" w:rsidRPr="00610AD5" w:rsidRDefault="00610AD5" w:rsidP="00610AD5">
            <w:pPr>
              <w:widowControl w:val="0"/>
              <w:tabs>
                <w:tab w:val="clear" w:pos="794"/>
                <w:tab w:val="clear" w:pos="1191"/>
                <w:tab w:val="clear" w:pos="1588"/>
                <w:tab w:val="clear" w:pos="1985"/>
              </w:tabs>
              <w:overflowPunct/>
              <w:spacing w:before="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11 600</w:t>
            </w:r>
          </w:p>
        </w:tc>
        <w:tc>
          <w:tcPr>
            <w:tcW w:w="1985" w:type="dxa"/>
            <w:tcBorders>
              <w:left w:val="single" w:sz="4" w:space="0" w:color="000000"/>
              <w:right w:val="single" w:sz="4" w:space="0" w:color="000000"/>
            </w:tcBorders>
            <w:vAlign w:val="center"/>
          </w:tcPr>
          <w:p w:rsidR="00610AD5" w:rsidRPr="00610AD5" w:rsidRDefault="00610AD5" w:rsidP="00610AD5">
            <w:pPr>
              <w:widowControl w:val="0"/>
              <w:tabs>
                <w:tab w:val="clear" w:pos="794"/>
                <w:tab w:val="clear" w:pos="1191"/>
                <w:tab w:val="clear" w:pos="1588"/>
                <w:tab w:val="clear" w:pos="1985"/>
              </w:tabs>
              <w:overflowPunct/>
              <w:spacing w:before="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23 200</w:t>
            </w:r>
          </w:p>
        </w:tc>
      </w:tr>
      <w:tr w:rsidR="00610AD5" w:rsidRPr="00610AD5" w:rsidTr="00610AD5">
        <w:trPr>
          <w:jc w:val="center"/>
        </w:trPr>
        <w:tc>
          <w:tcPr>
            <w:tcW w:w="3686" w:type="dxa"/>
            <w:tcBorders>
              <w:left w:val="single" w:sz="4" w:space="0" w:color="000000"/>
              <w:bottom w:val="single" w:sz="6" w:space="0" w:color="000000"/>
              <w:right w:val="single" w:sz="4" w:space="0" w:color="000000"/>
            </w:tcBorders>
          </w:tcPr>
          <w:p w:rsidR="00610AD5" w:rsidRPr="00610AD5" w:rsidRDefault="00610AD5" w:rsidP="00610AD5">
            <w:pPr>
              <w:widowControl w:val="0"/>
              <w:tabs>
                <w:tab w:val="clear" w:pos="794"/>
                <w:tab w:val="clear" w:pos="1191"/>
                <w:tab w:val="clear" w:pos="1588"/>
                <w:tab w:val="clear" w:pos="1985"/>
                <w:tab w:val="left" w:pos="420"/>
              </w:tabs>
              <w:overflowPunct/>
              <w:spacing w:before="0" w:after="60"/>
              <w:ind w:left="420" w:hanging="420"/>
              <w:jc w:val="left"/>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3</w:t>
            </w:r>
            <w:r w:rsidRPr="00610AD5">
              <w:rPr>
                <w:rFonts w:asciiTheme="majorBidi" w:eastAsia="SimSun" w:hAnsiTheme="majorBidi" w:cstheme="majorBidi"/>
                <w:color w:val="000000"/>
                <w:sz w:val="24"/>
                <w:szCs w:val="24"/>
                <w:lang w:val="en-US" w:eastAsia="zh-CN"/>
              </w:rPr>
              <w:tab/>
              <w:t xml:space="preserve">Certificat d’opérateur </w:t>
            </w:r>
          </w:p>
        </w:tc>
        <w:tc>
          <w:tcPr>
            <w:tcW w:w="1985" w:type="dxa"/>
            <w:tcBorders>
              <w:left w:val="single" w:sz="4" w:space="0" w:color="000000"/>
              <w:bottom w:val="single" w:sz="6" w:space="0" w:color="000000"/>
              <w:right w:val="single" w:sz="4" w:space="0" w:color="000000"/>
            </w:tcBorders>
          </w:tcPr>
          <w:p w:rsidR="00610AD5" w:rsidRPr="00610AD5" w:rsidRDefault="00610AD5" w:rsidP="00610AD5">
            <w:pPr>
              <w:widowControl w:val="0"/>
              <w:tabs>
                <w:tab w:val="clear" w:pos="794"/>
                <w:tab w:val="clear" w:pos="1191"/>
                <w:tab w:val="clear" w:pos="1588"/>
                <w:tab w:val="clear" w:pos="1985"/>
              </w:tabs>
              <w:overflowPunct/>
              <w:spacing w:before="0" w:after="6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5 800</w:t>
            </w:r>
          </w:p>
        </w:tc>
        <w:tc>
          <w:tcPr>
            <w:tcW w:w="1985" w:type="dxa"/>
            <w:tcBorders>
              <w:left w:val="single" w:sz="4" w:space="0" w:color="000000"/>
              <w:bottom w:val="single" w:sz="6" w:space="0" w:color="000000"/>
              <w:right w:val="single" w:sz="4" w:space="0" w:color="000000"/>
            </w:tcBorders>
          </w:tcPr>
          <w:p w:rsidR="00610AD5" w:rsidRPr="00610AD5" w:rsidRDefault="00610AD5" w:rsidP="00610AD5">
            <w:pPr>
              <w:widowControl w:val="0"/>
              <w:tabs>
                <w:tab w:val="clear" w:pos="794"/>
                <w:tab w:val="clear" w:pos="1191"/>
                <w:tab w:val="clear" w:pos="1588"/>
                <w:tab w:val="clear" w:pos="1985"/>
              </w:tabs>
              <w:overflowPunct/>
              <w:spacing w:before="0" w:after="60"/>
              <w:jc w:val="center"/>
              <w:textAlignment w:val="auto"/>
              <w:rPr>
                <w:rFonts w:asciiTheme="majorBidi" w:eastAsia="SimSun" w:hAnsiTheme="majorBidi" w:cstheme="majorBidi"/>
                <w:sz w:val="24"/>
                <w:szCs w:val="24"/>
                <w:lang w:val="en-US" w:eastAsia="zh-CN"/>
              </w:rPr>
            </w:pPr>
          </w:p>
        </w:tc>
        <w:tc>
          <w:tcPr>
            <w:tcW w:w="1985" w:type="dxa"/>
            <w:tcBorders>
              <w:left w:val="single" w:sz="4" w:space="0" w:color="000000"/>
              <w:bottom w:val="single" w:sz="6" w:space="0" w:color="000000"/>
              <w:right w:val="single" w:sz="4" w:space="0" w:color="000000"/>
            </w:tcBorders>
          </w:tcPr>
          <w:p w:rsidR="00610AD5" w:rsidRPr="00610AD5" w:rsidRDefault="00610AD5" w:rsidP="00610AD5">
            <w:pPr>
              <w:widowControl w:val="0"/>
              <w:tabs>
                <w:tab w:val="clear" w:pos="794"/>
                <w:tab w:val="clear" w:pos="1191"/>
                <w:tab w:val="clear" w:pos="1588"/>
                <w:tab w:val="clear" w:pos="1985"/>
              </w:tabs>
              <w:overflowPunct/>
              <w:spacing w:before="0" w:after="6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11 600</w:t>
            </w:r>
          </w:p>
        </w:tc>
      </w:tr>
    </w:tbl>
    <w:p w:rsidR="00610AD5" w:rsidRPr="00610AD5" w:rsidRDefault="00610AD5" w:rsidP="00610AD5">
      <w:pPr>
        <w:rPr>
          <w:lang w:val="fr-CH"/>
        </w:rPr>
      </w:pPr>
    </w:p>
    <w:tbl>
      <w:tblPr>
        <w:tblW w:w="0" w:type="auto"/>
        <w:jc w:val="center"/>
        <w:tblBorders>
          <w:top w:val="nil"/>
          <w:left w:val="nil"/>
          <w:bottom w:val="nil"/>
          <w:right w:val="nil"/>
        </w:tblBorders>
        <w:tblLayout w:type="fixed"/>
        <w:tblLook w:val="0000"/>
      </w:tblPr>
      <w:tblGrid>
        <w:gridCol w:w="5670"/>
        <w:gridCol w:w="3969"/>
      </w:tblGrid>
      <w:tr w:rsidR="00610AD5" w:rsidRPr="00610AD5" w:rsidTr="00610AD5">
        <w:trPr>
          <w:jc w:val="center"/>
        </w:trPr>
        <w:tc>
          <w:tcPr>
            <w:tcW w:w="5670" w:type="dxa"/>
            <w:tcBorders>
              <w:top w:val="single" w:sz="4" w:space="0" w:color="000000"/>
              <w:left w:val="single" w:sz="4" w:space="0" w:color="000000"/>
              <w:bottom w:val="single" w:sz="6" w:space="0" w:color="000000"/>
              <w:right w:val="single" w:sz="4" w:space="0" w:color="000000"/>
            </w:tcBorders>
          </w:tcPr>
          <w:p w:rsidR="00610AD5" w:rsidRPr="00610AD5" w:rsidRDefault="00610AD5" w:rsidP="00610AD5">
            <w:pPr>
              <w:widowControl w:val="0"/>
              <w:tabs>
                <w:tab w:val="clear" w:pos="794"/>
                <w:tab w:val="clear" w:pos="1191"/>
                <w:tab w:val="clear" w:pos="1588"/>
                <w:tab w:val="clear" w:pos="1985"/>
                <w:tab w:val="left" w:pos="390"/>
              </w:tabs>
              <w:overflowPunct/>
              <w:spacing w:before="60" w:after="60"/>
              <w:jc w:val="left"/>
              <w:textAlignment w:val="auto"/>
              <w:rPr>
                <w:rFonts w:asciiTheme="majorBidi" w:eastAsia="SimSun" w:hAnsiTheme="majorBidi" w:cstheme="majorBidi"/>
                <w:b/>
                <w:bCs/>
                <w:color w:val="000000"/>
                <w:sz w:val="24"/>
                <w:szCs w:val="24"/>
                <w:lang w:val="fr-CH" w:eastAsia="zh-CN"/>
              </w:rPr>
            </w:pPr>
            <w:r w:rsidRPr="00610AD5">
              <w:rPr>
                <w:rFonts w:asciiTheme="majorBidi" w:eastAsia="SimSun" w:hAnsiTheme="majorBidi" w:cstheme="majorBidi"/>
                <w:b/>
                <w:bCs/>
                <w:color w:val="000000"/>
                <w:sz w:val="24"/>
                <w:szCs w:val="24"/>
                <w:lang w:val="en-US" w:eastAsia="zh-CN"/>
              </w:rPr>
              <w:t>1</w:t>
            </w:r>
            <w:r w:rsidRPr="00610AD5">
              <w:rPr>
                <w:rFonts w:asciiTheme="majorBidi" w:eastAsia="SimSun" w:hAnsiTheme="majorBidi" w:cstheme="majorBidi"/>
                <w:b/>
                <w:bCs/>
                <w:color w:val="000000"/>
                <w:sz w:val="24"/>
                <w:szCs w:val="24"/>
                <w:lang w:val="en-US" w:eastAsia="zh-CN"/>
              </w:rPr>
              <w:tab/>
              <w:t>Cert</w:t>
            </w:r>
            <w:r w:rsidRPr="00610AD5">
              <w:rPr>
                <w:rFonts w:asciiTheme="majorBidi" w:eastAsia="SimSun" w:hAnsiTheme="majorBidi" w:cstheme="majorBidi"/>
                <w:b/>
                <w:bCs/>
                <w:color w:val="000000"/>
                <w:sz w:val="24"/>
                <w:szCs w:val="24"/>
                <w:lang w:val="fr-CH" w:eastAsia="zh-CN"/>
              </w:rPr>
              <w:t>ificat d’opérateur radiotélégraphique de station de navire</w:t>
            </w:r>
          </w:p>
          <w:p w:rsidR="00610AD5" w:rsidRPr="00610AD5" w:rsidRDefault="00610AD5" w:rsidP="00610AD5">
            <w:pPr>
              <w:widowControl w:val="0"/>
              <w:tabs>
                <w:tab w:val="clear" w:pos="794"/>
                <w:tab w:val="clear" w:pos="1191"/>
                <w:tab w:val="clear" w:pos="1588"/>
                <w:tab w:val="clear" w:pos="1985"/>
                <w:tab w:val="left" w:pos="390"/>
              </w:tabs>
              <w:overflowPunct/>
              <w:spacing w:before="0"/>
              <w:ind w:left="720" w:hanging="720"/>
              <w:jc w:val="left"/>
              <w:textAlignment w:val="auto"/>
              <w:rPr>
                <w:rFonts w:asciiTheme="majorBidi" w:eastAsia="SimSun" w:hAnsiTheme="majorBidi" w:cstheme="majorBidi"/>
                <w:color w:val="000000"/>
                <w:sz w:val="24"/>
                <w:szCs w:val="24"/>
                <w:lang w:val="fr-CH" w:eastAsia="zh-CN"/>
              </w:rPr>
            </w:pPr>
            <w:r w:rsidRPr="00610AD5">
              <w:rPr>
                <w:rFonts w:asciiTheme="majorBidi" w:eastAsia="SimSun" w:hAnsiTheme="majorBidi" w:cstheme="majorBidi"/>
                <w:color w:val="000000"/>
                <w:sz w:val="24"/>
                <w:szCs w:val="24"/>
                <w:lang w:val="fr-CH" w:eastAsia="zh-CN"/>
              </w:rPr>
              <w:tab/>
              <w:t>a.</w:t>
            </w:r>
            <w:r w:rsidRPr="00610AD5">
              <w:rPr>
                <w:rFonts w:asciiTheme="majorBidi" w:eastAsia="SimSun" w:hAnsiTheme="majorBidi" w:cstheme="majorBidi"/>
                <w:color w:val="000000"/>
                <w:sz w:val="24"/>
                <w:szCs w:val="24"/>
                <w:lang w:val="fr-CH" w:eastAsia="zh-CN"/>
              </w:rPr>
              <w:tab/>
              <w:t>Certificat général d’opérateur des radiocommunications</w:t>
            </w:r>
          </w:p>
          <w:p w:rsidR="00610AD5" w:rsidRPr="00610AD5" w:rsidRDefault="00610AD5" w:rsidP="00610AD5">
            <w:pPr>
              <w:widowControl w:val="0"/>
              <w:tabs>
                <w:tab w:val="clear" w:pos="794"/>
                <w:tab w:val="clear" w:pos="1191"/>
                <w:tab w:val="clear" w:pos="1588"/>
                <w:tab w:val="clear" w:pos="1985"/>
                <w:tab w:val="left" w:pos="390"/>
              </w:tabs>
              <w:overflowPunct/>
              <w:spacing w:before="0"/>
              <w:ind w:left="720" w:hanging="720"/>
              <w:jc w:val="left"/>
              <w:textAlignment w:val="auto"/>
              <w:rPr>
                <w:rFonts w:asciiTheme="majorBidi" w:eastAsia="SimSun" w:hAnsiTheme="majorBidi" w:cstheme="majorBidi"/>
                <w:color w:val="000000"/>
                <w:sz w:val="24"/>
                <w:szCs w:val="24"/>
                <w:lang w:val="fr-CH" w:eastAsia="zh-CN"/>
              </w:rPr>
            </w:pPr>
            <w:r w:rsidRPr="00610AD5">
              <w:rPr>
                <w:rFonts w:asciiTheme="majorBidi" w:eastAsia="SimSun" w:hAnsiTheme="majorBidi" w:cstheme="majorBidi"/>
                <w:color w:val="000000"/>
                <w:sz w:val="24"/>
                <w:szCs w:val="24"/>
                <w:lang w:val="fr-CH" w:eastAsia="zh-CN"/>
              </w:rPr>
              <w:tab/>
              <w:t>b.</w:t>
            </w:r>
            <w:r w:rsidRPr="00610AD5">
              <w:rPr>
                <w:rFonts w:asciiTheme="majorBidi" w:eastAsia="SimSun" w:hAnsiTheme="majorBidi" w:cstheme="majorBidi"/>
                <w:color w:val="000000"/>
                <w:sz w:val="24"/>
                <w:szCs w:val="24"/>
                <w:lang w:val="fr-CH" w:eastAsia="zh-CN"/>
              </w:rPr>
              <w:tab/>
              <w:t>Certificat d’opérateur radiotélégraphiste de première classe</w:t>
            </w:r>
          </w:p>
          <w:p w:rsidR="00610AD5" w:rsidRPr="00610AD5" w:rsidRDefault="00610AD5" w:rsidP="00610AD5">
            <w:pPr>
              <w:widowControl w:val="0"/>
              <w:tabs>
                <w:tab w:val="clear" w:pos="794"/>
                <w:tab w:val="clear" w:pos="1191"/>
                <w:tab w:val="clear" w:pos="1588"/>
                <w:tab w:val="clear" w:pos="1985"/>
                <w:tab w:val="left" w:pos="390"/>
              </w:tabs>
              <w:overflowPunct/>
              <w:spacing w:before="0"/>
              <w:ind w:left="720" w:hanging="720"/>
              <w:jc w:val="left"/>
              <w:textAlignment w:val="auto"/>
              <w:rPr>
                <w:rFonts w:asciiTheme="majorBidi" w:eastAsia="SimSun" w:hAnsiTheme="majorBidi" w:cstheme="majorBidi"/>
                <w:color w:val="000000"/>
                <w:sz w:val="24"/>
                <w:szCs w:val="24"/>
                <w:lang w:val="fr-CH" w:eastAsia="zh-CN"/>
              </w:rPr>
            </w:pPr>
            <w:r w:rsidRPr="00610AD5">
              <w:rPr>
                <w:rFonts w:asciiTheme="majorBidi" w:eastAsia="SimSun" w:hAnsiTheme="majorBidi" w:cstheme="majorBidi"/>
                <w:color w:val="000000"/>
                <w:sz w:val="24"/>
                <w:szCs w:val="24"/>
                <w:lang w:val="fr-CH" w:eastAsia="zh-CN"/>
              </w:rPr>
              <w:tab/>
              <w:t>c.</w:t>
            </w:r>
            <w:r w:rsidRPr="00610AD5">
              <w:rPr>
                <w:rFonts w:asciiTheme="majorBidi" w:eastAsia="SimSun" w:hAnsiTheme="majorBidi" w:cstheme="majorBidi"/>
                <w:color w:val="000000"/>
                <w:sz w:val="24"/>
                <w:szCs w:val="24"/>
                <w:lang w:val="fr-CH" w:eastAsia="zh-CN"/>
              </w:rPr>
              <w:tab/>
              <w:t>Certificat d’opérateur radiotélégraphiste de deuxième classe</w:t>
            </w:r>
          </w:p>
          <w:p w:rsidR="00610AD5" w:rsidRPr="00610AD5" w:rsidRDefault="00610AD5" w:rsidP="00610AD5">
            <w:pPr>
              <w:widowControl w:val="0"/>
              <w:tabs>
                <w:tab w:val="clear" w:pos="794"/>
                <w:tab w:val="clear" w:pos="1191"/>
                <w:tab w:val="clear" w:pos="1588"/>
                <w:tab w:val="clear" w:pos="1985"/>
                <w:tab w:val="left" w:pos="390"/>
              </w:tabs>
              <w:overflowPunct/>
              <w:spacing w:before="0" w:after="60"/>
              <w:jc w:val="left"/>
              <w:textAlignment w:val="auto"/>
              <w:rPr>
                <w:rFonts w:asciiTheme="majorBidi" w:eastAsia="SimSun" w:hAnsiTheme="majorBidi" w:cstheme="majorBidi"/>
                <w:color w:val="000000"/>
                <w:sz w:val="24"/>
                <w:szCs w:val="24"/>
                <w:lang w:val="fr-CH" w:eastAsia="zh-CN"/>
              </w:rPr>
            </w:pPr>
            <w:r w:rsidRPr="00610AD5">
              <w:rPr>
                <w:rFonts w:asciiTheme="majorBidi" w:eastAsia="SimSun" w:hAnsiTheme="majorBidi" w:cstheme="majorBidi"/>
                <w:color w:val="000000"/>
                <w:sz w:val="24"/>
                <w:szCs w:val="24"/>
                <w:lang w:val="fr-CH" w:eastAsia="zh-CN"/>
              </w:rPr>
              <w:tab/>
              <w:t>d.</w:t>
            </w:r>
            <w:r w:rsidRPr="00610AD5">
              <w:rPr>
                <w:rFonts w:asciiTheme="majorBidi" w:eastAsia="SimSun" w:hAnsiTheme="majorBidi" w:cstheme="majorBidi"/>
                <w:color w:val="000000"/>
                <w:sz w:val="24"/>
                <w:szCs w:val="24"/>
                <w:lang w:val="fr-CH" w:eastAsia="zh-CN"/>
              </w:rPr>
              <w:tab/>
              <w:t xml:space="preserve">Certificat spécial d’opérateur radiotélégraphiste </w:t>
            </w:r>
          </w:p>
        </w:tc>
        <w:tc>
          <w:tcPr>
            <w:tcW w:w="3969" w:type="dxa"/>
            <w:tcBorders>
              <w:top w:val="single" w:sz="4" w:space="0" w:color="000000"/>
              <w:left w:val="single" w:sz="4" w:space="0" w:color="000000"/>
              <w:bottom w:val="single" w:sz="6" w:space="0" w:color="000000"/>
              <w:right w:val="single" w:sz="4" w:space="0" w:color="000000"/>
            </w:tcBorders>
          </w:tcPr>
          <w:p w:rsidR="00610AD5" w:rsidRPr="00610AD5" w:rsidRDefault="00610AD5" w:rsidP="00610AD5">
            <w:pPr>
              <w:widowControl w:val="0"/>
              <w:tabs>
                <w:tab w:val="clear" w:pos="794"/>
                <w:tab w:val="clear" w:pos="1191"/>
                <w:tab w:val="clear" w:pos="1588"/>
                <w:tab w:val="clear" w:pos="1985"/>
              </w:tabs>
              <w:overflowPunct/>
              <w:spacing w:before="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br/>
            </w:r>
          </w:p>
          <w:p w:rsidR="00610AD5" w:rsidRPr="00610AD5" w:rsidRDefault="00610AD5" w:rsidP="00610AD5">
            <w:pPr>
              <w:widowControl w:val="0"/>
              <w:tabs>
                <w:tab w:val="clear" w:pos="794"/>
                <w:tab w:val="clear" w:pos="1191"/>
                <w:tab w:val="clear" w:pos="1588"/>
                <w:tab w:val="clear" w:pos="1985"/>
              </w:tabs>
              <w:overflowPunct/>
              <w:spacing w:before="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58 000 F</w:t>
            </w:r>
          </w:p>
          <w:p w:rsidR="00610AD5" w:rsidRPr="00610AD5" w:rsidRDefault="00610AD5" w:rsidP="00610AD5">
            <w:pPr>
              <w:widowControl w:val="0"/>
              <w:tabs>
                <w:tab w:val="clear" w:pos="794"/>
                <w:tab w:val="clear" w:pos="1191"/>
                <w:tab w:val="clear" w:pos="1588"/>
                <w:tab w:val="clear" w:pos="1985"/>
              </w:tabs>
              <w:overflowPunct/>
              <w:spacing w:before="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br/>
              <w:t>29 000 F</w:t>
            </w:r>
          </w:p>
          <w:p w:rsidR="00610AD5" w:rsidRPr="00610AD5" w:rsidRDefault="00610AD5" w:rsidP="00610AD5">
            <w:pPr>
              <w:widowControl w:val="0"/>
              <w:tabs>
                <w:tab w:val="clear" w:pos="794"/>
                <w:tab w:val="clear" w:pos="1191"/>
                <w:tab w:val="clear" w:pos="1588"/>
                <w:tab w:val="clear" w:pos="1985"/>
              </w:tabs>
              <w:overflowPunct/>
              <w:spacing w:before="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br/>
              <w:t>29 000 F</w:t>
            </w:r>
          </w:p>
          <w:p w:rsidR="00610AD5" w:rsidRPr="00610AD5" w:rsidRDefault="00610AD5" w:rsidP="00610AD5">
            <w:pPr>
              <w:widowControl w:val="0"/>
              <w:tabs>
                <w:tab w:val="clear" w:pos="794"/>
                <w:tab w:val="clear" w:pos="1191"/>
                <w:tab w:val="clear" w:pos="1588"/>
                <w:tab w:val="clear" w:pos="1985"/>
              </w:tabs>
              <w:overflowPunct/>
              <w:spacing w:before="0" w:after="6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br/>
              <w:t>29 000 F</w:t>
            </w:r>
          </w:p>
        </w:tc>
      </w:tr>
      <w:tr w:rsidR="00610AD5" w:rsidRPr="00610AD5" w:rsidTr="00610AD5">
        <w:trPr>
          <w:jc w:val="center"/>
        </w:trPr>
        <w:tc>
          <w:tcPr>
            <w:tcW w:w="5670"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widowControl w:val="0"/>
              <w:tabs>
                <w:tab w:val="clear" w:pos="794"/>
                <w:tab w:val="clear" w:pos="1191"/>
                <w:tab w:val="clear" w:pos="1588"/>
                <w:tab w:val="clear" w:pos="1985"/>
                <w:tab w:val="left" w:pos="390"/>
              </w:tabs>
              <w:overflowPunct/>
              <w:spacing w:before="60" w:after="60"/>
              <w:jc w:val="left"/>
              <w:textAlignment w:val="auto"/>
              <w:rPr>
                <w:rFonts w:asciiTheme="majorBidi" w:eastAsia="SimSun" w:hAnsiTheme="majorBidi" w:cstheme="majorBidi"/>
                <w:b/>
                <w:bCs/>
                <w:color w:val="000000"/>
                <w:sz w:val="24"/>
                <w:szCs w:val="24"/>
                <w:lang w:val="fr-CH" w:eastAsia="zh-CN"/>
              </w:rPr>
            </w:pPr>
            <w:r w:rsidRPr="00610AD5">
              <w:rPr>
                <w:rFonts w:asciiTheme="majorBidi" w:eastAsia="SimSun" w:hAnsiTheme="majorBidi" w:cstheme="majorBidi"/>
                <w:b/>
                <w:bCs/>
                <w:color w:val="000000"/>
                <w:sz w:val="24"/>
                <w:szCs w:val="24"/>
                <w:lang w:val="fr-CH" w:eastAsia="zh-CN"/>
              </w:rPr>
              <w:lastRenderedPageBreak/>
              <w:t>2</w:t>
            </w:r>
            <w:r w:rsidRPr="00610AD5">
              <w:rPr>
                <w:rFonts w:asciiTheme="majorBidi" w:eastAsia="SimSun" w:hAnsiTheme="majorBidi" w:cstheme="majorBidi"/>
                <w:b/>
                <w:bCs/>
                <w:color w:val="000000"/>
                <w:sz w:val="24"/>
                <w:szCs w:val="24"/>
                <w:lang w:val="fr-CH" w:eastAsia="zh-CN"/>
              </w:rPr>
              <w:tab/>
              <w:t>Certificat d’opérateur radiotélégraphiste de station d’aéronef ou de navire</w:t>
            </w:r>
          </w:p>
          <w:p w:rsidR="00610AD5" w:rsidRPr="00610AD5" w:rsidRDefault="00610AD5" w:rsidP="00610AD5">
            <w:pPr>
              <w:widowControl w:val="0"/>
              <w:tabs>
                <w:tab w:val="clear" w:pos="794"/>
                <w:tab w:val="clear" w:pos="1191"/>
                <w:tab w:val="clear" w:pos="1588"/>
                <w:tab w:val="clear" w:pos="1985"/>
                <w:tab w:val="left" w:pos="390"/>
              </w:tabs>
              <w:overflowPunct/>
              <w:spacing w:before="0"/>
              <w:ind w:left="720" w:hanging="720"/>
              <w:jc w:val="left"/>
              <w:textAlignment w:val="auto"/>
              <w:rPr>
                <w:rFonts w:asciiTheme="majorBidi" w:eastAsia="SimSun" w:hAnsiTheme="majorBidi" w:cstheme="majorBidi"/>
                <w:color w:val="000000"/>
                <w:sz w:val="24"/>
                <w:szCs w:val="24"/>
                <w:lang w:val="fr-CH" w:eastAsia="zh-CN"/>
              </w:rPr>
            </w:pPr>
            <w:r w:rsidRPr="00610AD5">
              <w:rPr>
                <w:rFonts w:asciiTheme="majorBidi" w:eastAsia="SimSun" w:hAnsiTheme="majorBidi" w:cstheme="majorBidi"/>
                <w:color w:val="000000"/>
                <w:sz w:val="24"/>
                <w:szCs w:val="24"/>
                <w:lang w:val="fr-CH" w:eastAsia="zh-CN"/>
              </w:rPr>
              <w:tab/>
              <w:t>a.</w:t>
            </w:r>
            <w:r w:rsidRPr="00610AD5">
              <w:rPr>
                <w:rFonts w:asciiTheme="majorBidi" w:eastAsia="SimSun" w:hAnsiTheme="majorBidi" w:cstheme="majorBidi"/>
                <w:color w:val="000000"/>
                <w:sz w:val="24"/>
                <w:szCs w:val="24"/>
                <w:lang w:val="fr-CH" w:eastAsia="zh-CN"/>
              </w:rPr>
              <w:tab/>
              <w:t>Certificat général</w:t>
            </w:r>
          </w:p>
          <w:p w:rsidR="00610AD5" w:rsidRPr="00610AD5" w:rsidRDefault="00610AD5" w:rsidP="00610AD5">
            <w:pPr>
              <w:widowControl w:val="0"/>
              <w:tabs>
                <w:tab w:val="clear" w:pos="794"/>
                <w:tab w:val="clear" w:pos="1191"/>
                <w:tab w:val="clear" w:pos="1588"/>
                <w:tab w:val="clear" w:pos="1985"/>
                <w:tab w:val="left" w:pos="390"/>
              </w:tabs>
              <w:overflowPunct/>
              <w:spacing w:before="0" w:after="60"/>
              <w:ind w:left="720" w:hanging="720"/>
              <w:jc w:val="left"/>
              <w:textAlignment w:val="auto"/>
              <w:rPr>
                <w:rFonts w:asciiTheme="majorBidi" w:eastAsia="SimSun" w:hAnsiTheme="majorBidi" w:cstheme="majorBidi"/>
                <w:b/>
                <w:bCs/>
                <w:color w:val="000000"/>
                <w:sz w:val="24"/>
                <w:szCs w:val="24"/>
                <w:lang w:val="fr-CH" w:eastAsia="zh-CN"/>
              </w:rPr>
            </w:pPr>
            <w:r w:rsidRPr="00610AD5">
              <w:rPr>
                <w:rFonts w:asciiTheme="majorBidi" w:eastAsia="SimSun" w:hAnsiTheme="majorBidi" w:cstheme="majorBidi"/>
                <w:color w:val="000000"/>
                <w:sz w:val="24"/>
                <w:szCs w:val="24"/>
                <w:lang w:val="fr-CH" w:eastAsia="zh-CN"/>
              </w:rPr>
              <w:tab/>
              <w:t>b.</w:t>
            </w:r>
            <w:r w:rsidRPr="00610AD5">
              <w:rPr>
                <w:rFonts w:asciiTheme="majorBidi" w:eastAsia="SimSun" w:hAnsiTheme="majorBidi" w:cstheme="majorBidi"/>
                <w:color w:val="000000"/>
                <w:sz w:val="24"/>
                <w:szCs w:val="24"/>
                <w:lang w:val="fr-CH" w:eastAsia="zh-CN"/>
              </w:rPr>
              <w:tab/>
              <w:t>Certificat restreint</w:t>
            </w:r>
          </w:p>
        </w:tc>
        <w:tc>
          <w:tcPr>
            <w:tcW w:w="3969" w:type="dxa"/>
            <w:tcBorders>
              <w:top w:val="single" w:sz="6" w:space="0" w:color="000000"/>
              <w:left w:val="single" w:sz="4" w:space="0" w:color="000000"/>
              <w:bottom w:val="single" w:sz="6" w:space="0" w:color="000000"/>
              <w:right w:val="single" w:sz="4" w:space="0" w:color="000000"/>
            </w:tcBorders>
            <w:vAlign w:val="bottom"/>
          </w:tcPr>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br/>
            </w:r>
          </w:p>
          <w:p w:rsidR="00610AD5" w:rsidRPr="00610AD5" w:rsidRDefault="00610AD5" w:rsidP="00610AD5">
            <w:pPr>
              <w:widowControl w:val="0"/>
              <w:tabs>
                <w:tab w:val="clear" w:pos="794"/>
                <w:tab w:val="clear" w:pos="1191"/>
                <w:tab w:val="clear" w:pos="1588"/>
                <w:tab w:val="clear" w:pos="1985"/>
              </w:tabs>
              <w:overflowPunct/>
              <w:spacing w:before="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14 500 F</w:t>
            </w:r>
          </w:p>
          <w:p w:rsidR="00610AD5" w:rsidRPr="00610AD5" w:rsidRDefault="00610AD5" w:rsidP="00610AD5">
            <w:pPr>
              <w:widowControl w:val="0"/>
              <w:tabs>
                <w:tab w:val="clear" w:pos="794"/>
                <w:tab w:val="clear" w:pos="1191"/>
                <w:tab w:val="clear" w:pos="1588"/>
                <w:tab w:val="clear" w:pos="1985"/>
              </w:tabs>
              <w:overflowPunct/>
              <w:spacing w:before="0" w:after="6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14 500 F</w:t>
            </w:r>
          </w:p>
        </w:tc>
      </w:tr>
      <w:tr w:rsidR="00610AD5" w:rsidRPr="00610AD5" w:rsidTr="00610AD5">
        <w:trPr>
          <w:jc w:val="center"/>
        </w:trPr>
        <w:tc>
          <w:tcPr>
            <w:tcW w:w="5670" w:type="dxa"/>
            <w:tcBorders>
              <w:top w:val="single" w:sz="6" w:space="0" w:color="000000"/>
              <w:left w:val="single" w:sz="4" w:space="0" w:color="000000"/>
              <w:bottom w:val="single" w:sz="4" w:space="0" w:color="000000"/>
              <w:right w:val="single" w:sz="4" w:space="0" w:color="000000"/>
            </w:tcBorders>
          </w:tcPr>
          <w:p w:rsidR="00610AD5" w:rsidRPr="00610AD5" w:rsidRDefault="00610AD5" w:rsidP="00610AD5">
            <w:pPr>
              <w:widowControl w:val="0"/>
              <w:tabs>
                <w:tab w:val="clear" w:pos="794"/>
                <w:tab w:val="clear" w:pos="1191"/>
                <w:tab w:val="clear" w:pos="1588"/>
                <w:tab w:val="clear" w:pos="1985"/>
                <w:tab w:val="left" w:pos="390"/>
              </w:tabs>
              <w:overflowPunct/>
              <w:spacing w:before="60" w:after="60"/>
              <w:jc w:val="left"/>
              <w:textAlignment w:val="auto"/>
              <w:rPr>
                <w:rFonts w:asciiTheme="majorBidi" w:eastAsia="SimSun" w:hAnsiTheme="majorBidi" w:cstheme="majorBidi"/>
                <w:b/>
                <w:bCs/>
                <w:color w:val="000000"/>
                <w:sz w:val="24"/>
                <w:szCs w:val="24"/>
                <w:lang w:val="fr-CH" w:eastAsia="zh-CN"/>
              </w:rPr>
            </w:pPr>
            <w:r w:rsidRPr="00610AD5">
              <w:rPr>
                <w:rFonts w:asciiTheme="majorBidi" w:eastAsia="SimSun" w:hAnsiTheme="majorBidi" w:cstheme="majorBidi"/>
                <w:b/>
                <w:bCs/>
                <w:color w:val="000000"/>
                <w:sz w:val="24"/>
                <w:szCs w:val="24"/>
                <w:lang w:val="fr-CH" w:eastAsia="zh-CN"/>
              </w:rPr>
              <w:t>3</w:t>
            </w:r>
            <w:r w:rsidRPr="00610AD5">
              <w:rPr>
                <w:rFonts w:asciiTheme="majorBidi" w:eastAsia="SimSun" w:hAnsiTheme="majorBidi" w:cstheme="majorBidi"/>
                <w:b/>
                <w:bCs/>
                <w:color w:val="000000"/>
                <w:sz w:val="24"/>
                <w:szCs w:val="24"/>
                <w:lang w:val="fr-CH" w:eastAsia="zh-CN"/>
              </w:rPr>
              <w:tab/>
              <w:t>Certificat d’opérateur de station d’amateur</w:t>
            </w:r>
          </w:p>
          <w:p w:rsidR="00610AD5" w:rsidRPr="00610AD5" w:rsidRDefault="00610AD5" w:rsidP="00610AD5">
            <w:pPr>
              <w:widowControl w:val="0"/>
              <w:tabs>
                <w:tab w:val="clear" w:pos="794"/>
                <w:tab w:val="clear" w:pos="1191"/>
                <w:tab w:val="clear" w:pos="1588"/>
                <w:tab w:val="clear" w:pos="1985"/>
                <w:tab w:val="left" w:pos="390"/>
              </w:tabs>
              <w:overflowPunct/>
              <w:spacing w:before="0"/>
              <w:ind w:left="720" w:hanging="720"/>
              <w:jc w:val="left"/>
              <w:textAlignment w:val="auto"/>
              <w:rPr>
                <w:rFonts w:asciiTheme="majorBidi" w:eastAsia="SimSun" w:hAnsiTheme="majorBidi" w:cstheme="majorBidi"/>
                <w:color w:val="000000"/>
                <w:sz w:val="24"/>
                <w:szCs w:val="24"/>
                <w:lang w:val="fr-CH" w:eastAsia="zh-CN"/>
              </w:rPr>
            </w:pPr>
            <w:r w:rsidRPr="00610AD5">
              <w:rPr>
                <w:rFonts w:asciiTheme="majorBidi" w:eastAsia="SimSun" w:hAnsiTheme="majorBidi" w:cstheme="majorBidi"/>
                <w:color w:val="000000"/>
                <w:sz w:val="24"/>
                <w:szCs w:val="24"/>
                <w:lang w:val="fr-CH" w:eastAsia="zh-CN"/>
              </w:rPr>
              <w:tab/>
              <w:t>a.</w:t>
            </w:r>
            <w:r w:rsidRPr="00610AD5">
              <w:rPr>
                <w:rFonts w:asciiTheme="majorBidi" w:eastAsia="SimSun" w:hAnsiTheme="majorBidi" w:cstheme="majorBidi"/>
                <w:color w:val="000000"/>
                <w:sz w:val="24"/>
                <w:szCs w:val="24"/>
                <w:lang w:val="fr-CH" w:eastAsia="zh-CN"/>
              </w:rPr>
              <w:tab/>
              <w:t>Radiotélégraphiste</w:t>
            </w:r>
          </w:p>
          <w:p w:rsidR="00610AD5" w:rsidRPr="00610AD5" w:rsidRDefault="00610AD5" w:rsidP="00610AD5">
            <w:pPr>
              <w:widowControl w:val="0"/>
              <w:tabs>
                <w:tab w:val="clear" w:pos="794"/>
                <w:tab w:val="clear" w:pos="1191"/>
                <w:tab w:val="clear" w:pos="1588"/>
                <w:tab w:val="clear" w:pos="1985"/>
                <w:tab w:val="left" w:pos="390"/>
              </w:tabs>
              <w:overflowPunct/>
              <w:spacing w:before="0" w:after="60"/>
              <w:ind w:left="720" w:hanging="720"/>
              <w:jc w:val="left"/>
              <w:textAlignment w:val="auto"/>
              <w:rPr>
                <w:rFonts w:asciiTheme="majorBidi" w:eastAsia="SimSun" w:hAnsiTheme="majorBidi" w:cstheme="majorBidi"/>
                <w:b/>
                <w:bCs/>
                <w:color w:val="000000"/>
                <w:sz w:val="24"/>
                <w:szCs w:val="24"/>
                <w:lang w:val="fr-CH" w:eastAsia="zh-CN"/>
              </w:rPr>
            </w:pPr>
            <w:r w:rsidRPr="00610AD5">
              <w:rPr>
                <w:rFonts w:asciiTheme="majorBidi" w:eastAsia="SimSun" w:hAnsiTheme="majorBidi" w:cstheme="majorBidi"/>
                <w:color w:val="000000"/>
                <w:sz w:val="24"/>
                <w:szCs w:val="24"/>
                <w:lang w:val="fr-CH" w:eastAsia="zh-CN"/>
              </w:rPr>
              <w:tab/>
              <w:t>b.</w:t>
            </w:r>
            <w:r w:rsidRPr="00610AD5">
              <w:rPr>
                <w:rFonts w:asciiTheme="majorBidi" w:eastAsia="SimSun" w:hAnsiTheme="majorBidi" w:cstheme="majorBidi"/>
                <w:color w:val="000000"/>
                <w:sz w:val="24"/>
                <w:szCs w:val="24"/>
                <w:lang w:val="fr-CH" w:eastAsia="zh-CN"/>
              </w:rPr>
              <w:tab/>
              <w:t xml:space="preserve">Radiotélégraphiste </w:t>
            </w:r>
          </w:p>
        </w:tc>
        <w:tc>
          <w:tcPr>
            <w:tcW w:w="3969" w:type="dxa"/>
            <w:tcBorders>
              <w:top w:val="single" w:sz="6" w:space="0" w:color="000000"/>
              <w:left w:val="single" w:sz="4" w:space="0" w:color="000000"/>
              <w:bottom w:val="single" w:sz="4" w:space="0" w:color="000000"/>
              <w:right w:val="single" w:sz="4" w:space="0" w:color="000000"/>
            </w:tcBorders>
          </w:tcPr>
          <w:p w:rsidR="00610AD5" w:rsidRPr="00610AD5" w:rsidRDefault="00610AD5" w:rsidP="00610AD5">
            <w:pPr>
              <w:widowControl w:val="0"/>
              <w:tabs>
                <w:tab w:val="clear" w:pos="794"/>
                <w:tab w:val="clear" w:pos="1191"/>
                <w:tab w:val="clear" w:pos="1588"/>
                <w:tab w:val="clear" w:pos="1985"/>
              </w:tabs>
              <w:overflowPunct/>
              <w:spacing w:before="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14 500 F</w:t>
            </w:r>
          </w:p>
          <w:p w:rsidR="00610AD5" w:rsidRPr="00610AD5" w:rsidRDefault="00610AD5" w:rsidP="00610AD5">
            <w:pPr>
              <w:widowControl w:val="0"/>
              <w:tabs>
                <w:tab w:val="clear" w:pos="794"/>
                <w:tab w:val="clear" w:pos="1191"/>
                <w:tab w:val="clear" w:pos="1588"/>
                <w:tab w:val="clear" w:pos="1985"/>
              </w:tabs>
              <w:overflowPunct/>
              <w:spacing w:before="0" w:after="6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14 500 F</w:t>
            </w:r>
          </w:p>
        </w:tc>
      </w:tr>
    </w:tbl>
    <w:p w:rsidR="00610AD5" w:rsidRPr="00610AD5" w:rsidRDefault="00610AD5" w:rsidP="00610AD5">
      <w:pPr>
        <w:widowControl w:val="0"/>
        <w:tabs>
          <w:tab w:val="clear" w:pos="794"/>
          <w:tab w:val="clear" w:pos="1191"/>
          <w:tab w:val="clear" w:pos="1588"/>
          <w:tab w:val="clear" w:pos="1985"/>
        </w:tabs>
        <w:overflowPunct/>
        <w:spacing w:before="0"/>
        <w:jc w:val="left"/>
        <w:textAlignment w:val="auto"/>
        <w:rPr>
          <w:rFonts w:asciiTheme="majorBidi" w:eastAsia="SimSun" w:hAnsiTheme="majorBidi" w:cstheme="majorBidi"/>
          <w:sz w:val="24"/>
          <w:szCs w:val="24"/>
          <w:lang w:val="fr-CH" w:eastAsia="zh-CN"/>
        </w:rPr>
      </w:pPr>
    </w:p>
    <w:p w:rsidR="00610AD5" w:rsidRPr="00610AD5" w:rsidRDefault="00610AD5" w:rsidP="00610AD5">
      <w:pPr>
        <w:keepNext/>
        <w:keepLines/>
        <w:spacing w:before="360"/>
        <w:ind w:left="794" w:hanging="794"/>
        <w:outlineLvl w:val="0"/>
        <w:rPr>
          <w:b/>
          <w:lang w:val="fr-CH"/>
        </w:rPr>
      </w:pPr>
      <w:bookmarkStart w:id="710" w:name="_Toc280260074"/>
      <w:bookmarkStart w:id="711" w:name="_Toc280260926"/>
      <w:bookmarkStart w:id="712" w:name="_Toc280272539"/>
      <w:r w:rsidRPr="00610AD5">
        <w:rPr>
          <w:b/>
          <w:lang w:val="fr-CH"/>
        </w:rPr>
        <w:t>IV – DROIT DE DELIVRANCE DES AGREMENTS</w:t>
      </w:r>
      <w:bookmarkEnd w:id="710"/>
      <w:bookmarkEnd w:id="711"/>
      <w:bookmarkEnd w:id="712"/>
    </w:p>
    <w:p w:rsidR="00610AD5" w:rsidRPr="00610AD5" w:rsidRDefault="00610AD5" w:rsidP="00610AD5">
      <w:pPr>
        <w:spacing w:before="0"/>
        <w:rPr>
          <w:b/>
          <w:bCs/>
          <w:lang w:val="fr-CH"/>
        </w:rPr>
      </w:pPr>
    </w:p>
    <w:tbl>
      <w:tblPr>
        <w:tblW w:w="0" w:type="auto"/>
        <w:jc w:val="center"/>
        <w:tblBorders>
          <w:top w:val="nil"/>
          <w:left w:val="nil"/>
          <w:bottom w:val="nil"/>
          <w:right w:val="nil"/>
        </w:tblBorders>
        <w:tblLayout w:type="fixed"/>
        <w:tblLook w:val="0000"/>
      </w:tblPr>
      <w:tblGrid>
        <w:gridCol w:w="3969"/>
        <w:gridCol w:w="2835"/>
        <w:gridCol w:w="2835"/>
      </w:tblGrid>
      <w:tr w:rsidR="00610AD5" w:rsidRPr="00610AD5" w:rsidTr="00610AD5">
        <w:trPr>
          <w:jc w:val="center"/>
        </w:trPr>
        <w:tc>
          <w:tcPr>
            <w:tcW w:w="3969" w:type="dxa"/>
            <w:gridSpan w:val="2"/>
            <w:tcBorders>
              <w:top w:val="single" w:sz="4" w:space="0" w:color="000000"/>
              <w:left w:val="single" w:sz="4" w:space="0" w:color="000000"/>
              <w:bottom w:val="single" w:sz="6" w:space="0" w:color="000000"/>
              <w:right w:val="single" w:sz="4" w:space="0" w:color="000000"/>
            </w:tcBorders>
          </w:tcPr>
          <w:p w:rsidR="00610AD5" w:rsidRPr="00610AD5" w:rsidRDefault="00610AD5" w:rsidP="00610AD5">
            <w:pPr>
              <w:keepNext/>
              <w:keepLines/>
              <w:spacing w:after="120"/>
              <w:jc w:val="center"/>
              <w:rPr>
                <w:b/>
                <w:lang w:val="fr-CH"/>
              </w:rPr>
            </w:pPr>
            <w:r w:rsidRPr="00610AD5">
              <w:rPr>
                <w:b/>
                <w:lang w:val="fr-CH"/>
              </w:rPr>
              <w:t xml:space="preserve">Taxe de constitution de dossier </w:t>
            </w:r>
          </w:p>
        </w:tc>
        <w:tc>
          <w:tcPr>
            <w:tcW w:w="2835" w:type="dxa"/>
            <w:tcBorders>
              <w:top w:val="single" w:sz="4" w:space="0" w:color="000000"/>
              <w:left w:val="single" w:sz="4" w:space="0" w:color="000000"/>
              <w:bottom w:val="single" w:sz="6" w:space="0" w:color="000000"/>
              <w:right w:val="single" w:sz="4" w:space="0" w:color="000000"/>
            </w:tcBorders>
          </w:tcPr>
          <w:p w:rsidR="00610AD5" w:rsidRPr="00610AD5" w:rsidRDefault="00610AD5" w:rsidP="00610AD5">
            <w:pPr>
              <w:keepNext/>
              <w:keepLines/>
              <w:spacing w:after="120"/>
              <w:jc w:val="center"/>
              <w:rPr>
                <w:b/>
              </w:rPr>
            </w:pPr>
            <w:r w:rsidRPr="00610AD5">
              <w:rPr>
                <w:b/>
              </w:rPr>
              <w:t xml:space="preserve">Agrément </w:t>
            </w:r>
          </w:p>
        </w:tc>
      </w:tr>
      <w:tr w:rsidR="00610AD5" w:rsidRPr="00610AD5" w:rsidTr="00610AD5">
        <w:trPr>
          <w:jc w:val="center"/>
        </w:trPr>
        <w:tc>
          <w:tcPr>
            <w:tcW w:w="3969"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widowControl w:val="0"/>
              <w:tabs>
                <w:tab w:val="clear" w:pos="794"/>
                <w:tab w:val="clear" w:pos="1191"/>
                <w:tab w:val="clear" w:pos="1588"/>
                <w:tab w:val="clear" w:pos="1985"/>
              </w:tabs>
              <w:overflowPunct/>
              <w:spacing w:before="60"/>
              <w:jc w:val="left"/>
              <w:textAlignment w:val="auto"/>
              <w:rPr>
                <w:rFonts w:asciiTheme="majorBidi" w:eastAsia="SimSun" w:hAnsiTheme="majorBidi" w:cstheme="majorBidi"/>
                <w:color w:val="000000"/>
                <w:sz w:val="24"/>
                <w:szCs w:val="24"/>
                <w:lang w:val="fr-CH" w:eastAsia="zh-CN"/>
              </w:rPr>
            </w:pPr>
            <w:r w:rsidRPr="00610AD5">
              <w:rPr>
                <w:rFonts w:asciiTheme="majorBidi" w:eastAsia="SimSun" w:hAnsiTheme="majorBidi" w:cstheme="majorBidi"/>
                <w:color w:val="000000"/>
                <w:sz w:val="24"/>
                <w:szCs w:val="24"/>
                <w:lang w:val="fr-CH" w:eastAsia="zh-CN"/>
              </w:rPr>
              <w:t>1 – Installateur</w:t>
            </w:r>
          </w:p>
          <w:p w:rsidR="00610AD5" w:rsidRPr="00610AD5" w:rsidRDefault="00610AD5" w:rsidP="00610AD5">
            <w:pPr>
              <w:widowControl w:val="0"/>
              <w:tabs>
                <w:tab w:val="clear" w:pos="794"/>
                <w:tab w:val="clear" w:pos="1191"/>
                <w:tab w:val="clear" w:pos="1588"/>
                <w:tab w:val="clear" w:pos="1985"/>
              </w:tabs>
              <w:overflowPunct/>
              <w:spacing w:before="0"/>
              <w:jc w:val="left"/>
              <w:textAlignment w:val="auto"/>
              <w:rPr>
                <w:rFonts w:asciiTheme="majorBidi" w:eastAsia="SimSun" w:hAnsiTheme="majorBidi" w:cstheme="majorBidi"/>
                <w:color w:val="000000"/>
                <w:sz w:val="24"/>
                <w:szCs w:val="24"/>
                <w:lang w:val="fr-CH" w:eastAsia="zh-CN"/>
              </w:rPr>
            </w:pPr>
            <w:r w:rsidRPr="00610AD5">
              <w:rPr>
                <w:rFonts w:asciiTheme="majorBidi" w:eastAsia="SimSun" w:hAnsiTheme="majorBidi" w:cstheme="majorBidi"/>
                <w:color w:val="000000"/>
                <w:sz w:val="24"/>
                <w:szCs w:val="24"/>
                <w:lang w:val="fr-CH" w:eastAsia="zh-CN"/>
              </w:rPr>
              <w:t>2 – Vendeur</w:t>
            </w:r>
          </w:p>
          <w:p w:rsidR="00610AD5" w:rsidRPr="00610AD5" w:rsidRDefault="00610AD5" w:rsidP="00610AD5">
            <w:pPr>
              <w:widowControl w:val="0"/>
              <w:tabs>
                <w:tab w:val="clear" w:pos="794"/>
                <w:tab w:val="clear" w:pos="1191"/>
                <w:tab w:val="clear" w:pos="1588"/>
                <w:tab w:val="clear" w:pos="1985"/>
              </w:tabs>
              <w:overflowPunct/>
              <w:spacing w:before="0"/>
              <w:jc w:val="left"/>
              <w:textAlignment w:val="auto"/>
              <w:rPr>
                <w:rFonts w:asciiTheme="majorBidi" w:eastAsia="SimSun" w:hAnsiTheme="majorBidi" w:cstheme="majorBidi"/>
                <w:color w:val="000000"/>
                <w:sz w:val="24"/>
                <w:szCs w:val="24"/>
                <w:lang w:val="fr-CH" w:eastAsia="zh-CN"/>
              </w:rPr>
            </w:pPr>
            <w:r w:rsidRPr="00610AD5">
              <w:rPr>
                <w:rFonts w:asciiTheme="majorBidi" w:eastAsia="SimSun" w:hAnsiTheme="majorBidi" w:cstheme="majorBidi"/>
                <w:color w:val="000000"/>
                <w:sz w:val="24"/>
                <w:szCs w:val="24"/>
                <w:lang w:val="fr-CH" w:eastAsia="zh-CN"/>
              </w:rPr>
              <w:t>3 – Equipement terminal simple</w:t>
            </w:r>
          </w:p>
          <w:p w:rsidR="00610AD5" w:rsidRPr="00610AD5" w:rsidRDefault="00610AD5" w:rsidP="00610AD5">
            <w:pPr>
              <w:widowControl w:val="0"/>
              <w:tabs>
                <w:tab w:val="clear" w:pos="794"/>
                <w:tab w:val="clear" w:pos="1191"/>
                <w:tab w:val="clear" w:pos="1588"/>
                <w:tab w:val="clear" w:pos="1985"/>
              </w:tabs>
              <w:overflowPunct/>
              <w:spacing w:before="0" w:after="60"/>
              <w:jc w:val="left"/>
              <w:textAlignment w:val="auto"/>
              <w:rPr>
                <w:rFonts w:asciiTheme="majorBidi" w:eastAsia="SimSun" w:hAnsiTheme="majorBidi" w:cstheme="majorBidi"/>
                <w:color w:val="000000"/>
                <w:sz w:val="24"/>
                <w:szCs w:val="24"/>
                <w:lang w:val="fr-CH" w:eastAsia="zh-CN"/>
              </w:rPr>
            </w:pPr>
            <w:r w:rsidRPr="00610AD5">
              <w:rPr>
                <w:rFonts w:asciiTheme="majorBidi" w:eastAsia="SimSun" w:hAnsiTheme="majorBidi" w:cstheme="majorBidi"/>
                <w:color w:val="000000"/>
                <w:sz w:val="24"/>
                <w:szCs w:val="24"/>
                <w:lang w:val="fr-CH" w:eastAsia="zh-CN"/>
              </w:rPr>
              <w:t xml:space="preserve">4 – Equipement terminal complexe </w:t>
            </w:r>
          </w:p>
        </w:tc>
        <w:tc>
          <w:tcPr>
            <w:tcW w:w="2835" w:type="dxa"/>
            <w:tcBorders>
              <w:top w:val="single" w:sz="6" w:space="0" w:color="000000"/>
              <w:left w:val="single" w:sz="4" w:space="0" w:color="000000"/>
              <w:bottom w:val="single" w:sz="6" w:space="0" w:color="000000"/>
              <w:right w:val="single" w:sz="4" w:space="0" w:color="000000"/>
            </w:tcBorders>
          </w:tcPr>
          <w:p w:rsidR="00610AD5" w:rsidRPr="00610AD5" w:rsidRDefault="00610AD5" w:rsidP="00610AD5">
            <w:pPr>
              <w:widowControl w:val="0"/>
              <w:tabs>
                <w:tab w:val="clear" w:pos="794"/>
                <w:tab w:val="clear" w:pos="1191"/>
                <w:tab w:val="clear" w:pos="1588"/>
                <w:tab w:val="clear" w:pos="1985"/>
              </w:tabs>
              <w:overflowPunct/>
              <w:spacing w:before="6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58 000</w:t>
            </w:r>
          </w:p>
          <w:p w:rsidR="00610AD5" w:rsidRPr="00610AD5" w:rsidRDefault="00610AD5" w:rsidP="00610AD5">
            <w:pPr>
              <w:widowControl w:val="0"/>
              <w:tabs>
                <w:tab w:val="clear" w:pos="794"/>
                <w:tab w:val="clear" w:pos="1191"/>
                <w:tab w:val="clear" w:pos="1588"/>
                <w:tab w:val="clear" w:pos="1985"/>
              </w:tabs>
              <w:overflowPunct/>
              <w:spacing w:before="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58 000</w:t>
            </w:r>
          </w:p>
          <w:p w:rsidR="00610AD5" w:rsidRPr="00610AD5" w:rsidRDefault="00610AD5" w:rsidP="00610AD5">
            <w:pPr>
              <w:widowControl w:val="0"/>
              <w:tabs>
                <w:tab w:val="clear" w:pos="794"/>
                <w:tab w:val="clear" w:pos="1191"/>
                <w:tab w:val="clear" w:pos="1588"/>
                <w:tab w:val="clear" w:pos="1985"/>
              </w:tabs>
              <w:overflowPunct/>
              <w:spacing w:before="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5 800</w:t>
            </w:r>
          </w:p>
          <w:p w:rsidR="00610AD5" w:rsidRPr="00610AD5" w:rsidRDefault="00610AD5" w:rsidP="00610AD5">
            <w:pPr>
              <w:widowControl w:val="0"/>
              <w:tabs>
                <w:tab w:val="clear" w:pos="794"/>
                <w:tab w:val="clear" w:pos="1191"/>
                <w:tab w:val="clear" w:pos="1588"/>
                <w:tab w:val="clear" w:pos="1985"/>
              </w:tabs>
              <w:overflowPunct/>
              <w:spacing w:before="0" w:after="6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11 600</w:t>
            </w:r>
          </w:p>
        </w:tc>
        <w:tc>
          <w:tcPr>
            <w:tcW w:w="2835" w:type="dxa"/>
            <w:tcBorders>
              <w:top w:val="single" w:sz="6" w:space="0" w:color="000000"/>
              <w:left w:val="single" w:sz="4" w:space="0" w:color="000000"/>
              <w:bottom w:val="single" w:sz="4" w:space="0" w:color="000000"/>
              <w:right w:val="single" w:sz="4" w:space="0" w:color="000000"/>
            </w:tcBorders>
          </w:tcPr>
          <w:p w:rsidR="00610AD5" w:rsidRPr="00610AD5" w:rsidRDefault="00610AD5" w:rsidP="00610AD5">
            <w:pPr>
              <w:widowControl w:val="0"/>
              <w:tabs>
                <w:tab w:val="clear" w:pos="794"/>
                <w:tab w:val="clear" w:pos="1191"/>
                <w:tab w:val="clear" w:pos="1588"/>
                <w:tab w:val="clear" w:pos="1985"/>
              </w:tabs>
              <w:overflowPunct/>
              <w:spacing w:before="6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348 000 F</w:t>
            </w:r>
          </w:p>
          <w:p w:rsidR="00610AD5" w:rsidRPr="00610AD5" w:rsidRDefault="00610AD5" w:rsidP="00610AD5">
            <w:pPr>
              <w:widowControl w:val="0"/>
              <w:tabs>
                <w:tab w:val="clear" w:pos="794"/>
                <w:tab w:val="clear" w:pos="1191"/>
                <w:tab w:val="clear" w:pos="1588"/>
                <w:tab w:val="clear" w:pos="1985"/>
              </w:tabs>
              <w:overflowPunct/>
              <w:spacing w:before="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145 000 F</w:t>
            </w:r>
          </w:p>
          <w:p w:rsidR="00610AD5" w:rsidRPr="00610AD5" w:rsidRDefault="00610AD5" w:rsidP="00610AD5">
            <w:pPr>
              <w:widowControl w:val="0"/>
              <w:tabs>
                <w:tab w:val="clear" w:pos="794"/>
                <w:tab w:val="clear" w:pos="1191"/>
                <w:tab w:val="clear" w:pos="1588"/>
                <w:tab w:val="clear" w:pos="1985"/>
              </w:tabs>
              <w:overflowPunct/>
              <w:spacing w:before="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58 500 F</w:t>
            </w:r>
          </w:p>
          <w:p w:rsidR="00610AD5" w:rsidRPr="00610AD5" w:rsidRDefault="00610AD5" w:rsidP="00610AD5">
            <w:pPr>
              <w:widowControl w:val="0"/>
              <w:tabs>
                <w:tab w:val="clear" w:pos="794"/>
                <w:tab w:val="clear" w:pos="1191"/>
                <w:tab w:val="clear" w:pos="1588"/>
                <w:tab w:val="clear" w:pos="1985"/>
              </w:tabs>
              <w:overflowPunct/>
              <w:spacing w:before="0" w:after="6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116 000 F</w:t>
            </w:r>
          </w:p>
        </w:tc>
      </w:tr>
      <w:tr w:rsidR="00610AD5" w:rsidRPr="00610AD5" w:rsidTr="00610AD5">
        <w:trPr>
          <w:jc w:val="center"/>
        </w:trPr>
        <w:tc>
          <w:tcPr>
            <w:tcW w:w="3969" w:type="dxa"/>
            <w:tcBorders>
              <w:top w:val="single" w:sz="6" w:space="0" w:color="000000"/>
              <w:left w:val="single" w:sz="4" w:space="0" w:color="000000"/>
              <w:bottom w:val="single" w:sz="4" w:space="0" w:color="000000"/>
              <w:right w:val="single" w:sz="4" w:space="0" w:color="000000"/>
            </w:tcBorders>
          </w:tcPr>
          <w:p w:rsidR="00610AD5" w:rsidRPr="00610AD5" w:rsidRDefault="00610AD5" w:rsidP="00610AD5">
            <w:pPr>
              <w:widowControl w:val="0"/>
              <w:tabs>
                <w:tab w:val="clear" w:pos="794"/>
                <w:tab w:val="clear" w:pos="1191"/>
                <w:tab w:val="clear" w:pos="1588"/>
                <w:tab w:val="clear" w:pos="1985"/>
              </w:tabs>
              <w:overflowPunct/>
              <w:spacing w:before="60" w:after="60"/>
              <w:jc w:val="left"/>
              <w:textAlignment w:val="auto"/>
              <w:rPr>
                <w:rFonts w:asciiTheme="majorBidi" w:eastAsia="SimSun" w:hAnsiTheme="majorBidi" w:cstheme="majorBidi"/>
                <w:b/>
                <w:bCs/>
                <w:color w:val="000000"/>
                <w:sz w:val="24"/>
                <w:szCs w:val="24"/>
                <w:lang w:val="fr-CH" w:eastAsia="zh-CN"/>
              </w:rPr>
            </w:pPr>
            <w:r w:rsidRPr="00610AD5">
              <w:rPr>
                <w:rFonts w:asciiTheme="majorBidi" w:eastAsia="SimSun" w:hAnsiTheme="majorBidi" w:cstheme="majorBidi"/>
                <w:b/>
                <w:bCs/>
                <w:color w:val="000000"/>
                <w:sz w:val="24"/>
                <w:szCs w:val="24"/>
                <w:lang w:val="fr-CH" w:eastAsia="zh-CN"/>
              </w:rPr>
              <w:t>V – TAXES D’INTERVENTIONS</w:t>
            </w:r>
          </w:p>
          <w:p w:rsidR="00610AD5" w:rsidRPr="00610AD5" w:rsidRDefault="00610AD5" w:rsidP="00610AD5">
            <w:pPr>
              <w:widowControl w:val="0"/>
              <w:tabs>
                <w:tab w:val="clear" w:pos="794"/>
                <w:tab w:val="clear" w:pos="1191"/>
                <w:tab w:val="clear" w:pos="1588"/>
                <w:tab w:val="clear" w:pos="1985"/>
              </w:tabs>
              <w:overflowPunct/>
              <w:spacing w:before="60"/>
              <w:jc w:val="left"/>
              <w:textAlignment w:val="auto"/>
              <w:rPr>
                <w:rFonts w:asciiTheme="majorBidi" w:eastAsia="SimSun" w:hAnsiTheme="majorBidi" w:cstheme="majorBidi"/>
                <w:color w:val="000000"/>
                <w:sz w:val="24"/>
                <w:szCs w:val="24"/>
                <w:lang w:val="fr-CH" w:eastAsia="zh-CN"/>
              </w:rPr>
            </w:pPr>
            <w:r w:rsidRPr="00610AD5">
              <w:rPr>
                <w:rFonts w:asciiTheme="majorBidi" w:eastAsia="SimSun" w:hAnsiTheme="majorBidi" w:cstheme="majorBidi"/>
                <w:color w:val="000000"/>
                <w:sz w:val="24"/>
                <w:szCs w:val="24"/>
                <w:lang w:val="fr-CH" w:eastAsia="zh-CN"/>
              </w:rPr>
              <w:t>1 – Cas de brouillages</w:t>
            </w:r>
          </w:p>
          <w:p w:rsidR="00610AD5" w:rsidRPr="00610AD5" w:rsidRDefault="00610AD5" w:rsidP="00610AD5">
            <w:pPr>
              <w:widowControl w:val="0"/>
              <w:tabs>
                <w:tab w:val="clear" w:pos="794"/>
                <w:tab w:val="clear" w:pos="1191"/>
                <w:tab w:val="clear" w:pos="1588"/>
                <w:tab w:val="clear" w:pos="1985"/>
              </w:tabs>
              <w:overflowPunct/>
              <w:spacing w:before="0"/>
              <w:jc w:val="left"/>
              <w:textAlignment w:val="auto"/>
              <w:rPr>
                <w:rFonts w:asciiTheme="majorBidi" w:eastAsia="SimSun" w:hAnsiTheme="majorBidi" w:cstheme="majorBidi"/>
                <w:color w:val="000000"/>
                <w:sz w:val="24"/>
                <w:szCs w:val="24"/>
                <w:lang w:val="fr-CH" w:eastAsia="zh-CN"/>
              </w:rPr>
            </w:pPr>
            <w:r w:rsidRPr="00610AD5">
              <w:rPr>
                <w:rFonts w:asciiTheme="majorBidi" w:eastAsia="SimSun" w:hAnsiTheme="majorBidi" w:cstheme="majorBidi"/>
                <w:color w:val="000000"/>
                <w:sz w:val="24"/>
                <w:szCs w:val="24"/>
                <w:lang w:val="fr-CH" w:eastAsia="zh-CN"/>
              </w:rPr>
              <w:t>2 – Cas de non-conformité des installations</w:t>
            </w:r>
          </w:p>
          <w:p w:rsidR="00610AD5" w:rsidRPr="00610AD5" w:rsidRDefault="00610AD5" w:rsidP="00610AD5">
            <w:pPr>
              <w:widowControl w:val="0"/>
              <w:tabs>
                <w:tab w:val="clear" w:pos="794"/>
                <w:tab w:val="clear" w:pos="1191"/>
                <w:tab w:val="clear" w:pos="1588"/>
                <w:tab w:val="clear" w:pos="1985"/>
              </w:tabs>
              <w:overflowPunct/>
              <w:spacing w:before="0" w:after="60"/>
              <w:jc w:val="left"/>
              <w:textAlignment w:val="auto"/>
              <w:rPr>
                <w:rFonts w:asciiTheme="majorBidi" w:eastAsia="SimSun" w:hAnsiTheme="majorBidi" w:cstheme="majorBidi"/>
                <w:color w:val="000000"/>
                <w:sz w:val="24"/>
                <w:szCs w:val="24"/>
                <w:lang w:val="fr-CH" w:eastAsia="zh-CN"/>
              </w:rPr>
            </w:pPr>
            <w:r w:rsidRPr="00610AD5">
              <w:rPr>
                <w:rFonts w:asciiTheme="majorBidi" w:eastAsia="SimSun" w:hAnsiTheme="majorBidi" w:cstheme="majorBidi"/>
                <w:color w:val="000000"/>
                <w:sz w:val="24"/>
                <w:szCs w:val="24"/>
                <w:lang w:val="fr-CH" w:eastAsia="zh-CN"/>
              </w:rPr>
              <w:t>3 – Divers</w:t>
            </w:r>
          </w:p>
        </w:tc>
        <w:tc>
          <w:tcPr>
            <w:tcW w:w="2835" w:type="dxa"/>
            <w:tcBorders>
              <w:top w:val="single" w:sz="6" w:space="0" w:color="000000"/>
              <w:left w:val="single" w:sz="4" w:space="0" w:color="000000"/>
              <w:bottom w:val="single" w:sz="4" w:space="0" w:color="000000"/>
              <w:right w:val="single" w:sz="4" w:space="0" w:color="000000"/>
            </w:tcBorders>
          </w:tcPr>
          <w:p w:rsidR="00610AD5" w:rsidRPr="00610AD5" w:rsidRDefault="00610AD5" w:rsidP="00610AD5">
            <w:pPr>
              <w:widowControl w:val="0"/>
              <w:tabs>
                <w:tab w:val="clear" w:pos="794"/>
                <w:tab w:val="clear" w:pos="1191"/>
                <w:tab w:val="clear" w:pos="1588"/>
                <w:tab w:val="clear" w:pos="1985"/>
              </w:tabs>
              <w:overflowPunct/>
              <w:spacing w:before="0"/>
              <w:jc w:val="center"/>
              <w:textAlignment w:val="auto"/>
              <w:rPr>
                <w:rFonts w:asciiTheme="majorBidi" w:eastAsia="SimSun" w:hAnsiTheme="majorBidi" w:cstheme="majorBidi"/>
                <w:sz w:val="24"/>
                <w:szCs w:val="24"/>
                <w:lang w:val="fr-CH" w:eastAsia="zh-CN"/>
              </w:rPr>
            </w:pPr>
          </w:p>
        </w:tc>
        <w:tc>
          <w:tcPr>
            <w:tcW w:w="2835" w:type="dxa"/>
            <w:tcBorders>
              <w:top w:val="single" w:sz="4" w:space="0" w:color="000000"/>
              <w:left w:val="single" w:sz="4" w:space="0" w:color="000000"/>
              <w:bottom w:val="single" w:sz="4" w:space="0" w:color="000000"/>
              <w:right w:val="single" w:sz="4" w:space="0" w:color="000000"/>
            </w:tcBorders>
          </w:tcPr>
          <w:p w:rsidR="00610AD5" w:rsidRPr="00610AD5" w:rsidRDefault="00610AD5" w:rsidP="00610AD5">
            <w:pPr>
              <w:widowControl w:val="0"/>
              <w:tabs>
                <w:tab w:val="clear" w:pos="794"/>
                <w:tab w:val="clear" w:pos="1191"/>
                <w:tab w:val="clear" w:pos="1588"/>
                <w:tab w:val="clear" w:pos="1985"/>
              </w:tabs>
              <w:overflowPunct/>
              <w:spacing w:before="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116 000 F</w:t>
            </w:r>
          </w:p>
          <w:p w:rsidR="00610AD5" w:rsidRPr="00610AD5" w:rsidRDefault="00610AD5" w:rsidP="00610AD5">
            <w:pPr>
              <w:widowControl w:val="0"/>
              <w:tabs>
                <w:tab w:val="clear" w:pos="794"/>
                <w:tab w:val="clear" w:pos="1191"/>
                <w:tab w:val="clear" w:pos="1588"/>
                <w:tab w:val="clear" w:pos="1985"/>
              </w:tabs>
              <w:overflowPunct/>
              <w:spacing w:before="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145 000 F</w:t>
            </w:r>
          </w:p>
          <w:p w:rsidR="00610AD5" w:rsidRPr="00610AD5" w:rsidRDefault="00610AD5" w:rsidP="00610AD5">
            <w:pPr>
              <w:widowControl w:val="0"/>
              <w:tabs>
                <w:tab w:val="clear" w:pos="794"/>
                <w:tab w:val="clear" w:pos="1191"/>
                <w:tab w:val="clear" w:pos="1588"/>
                <w:tab w:val="clear" w:pos="1985"/>
              </w:tabs>
              <w:overflowPunct/>
              <w:spacing w:before="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br/>
              <w:t>58 000 F</w:t>
            </w:r>
          </w:p>
        </w:tc>
      </w:tr>
      <w:tr w:rsidR="00610AD5" w:rsidRPr="00610AD5" w:rsidTr="00610AD5">
        <w:trPr>
          <w:jc w:val="center"/>
        </w:trPr>
        <w:tc>
          <w:tcPr>
            <w:tcW w:w="3969" w:type="dxa"/>
            <w:tcBorders>
              <w:top w:val="single" w:sz="4" w:space="0" w:color="000000"/>
              <w:left w:val="single" w:sz="4" w:space="0" w:color="000000"/>
              <w:bottom w:val="single" w:sz="4" w:space="0" w:color="000000"/>
              <w:right w:val="single" w:sz="4" w:space="0" w:color="000000"/>
            </w:tcBorders>
            <w:vAlign w:val="bottom"/>
          </w:tcPr>
          <w:p w:rsidR="00610AD5" w:rsidRPr="00610AD5" w:rsidRDefault="00610AD5" w:rsidP="00610AD5">
            <w:pPr>
              <w:widowControl w:val="0"/>
              <w:tabs>
                <w:tab w:val="clear" w:pos="794"/>
                <w:tab w:val="clear" w:pos="1191"/>
                <w:tab w:val="clear" w:pos="1588"/>
                <w:tab w:val="clear" w:pos="1985"/>
              </w:tabs>
              <w:overflowPunct/>
              <w:spacing w:before="60" w:after="60"/>
              <w:jc w:val="left"/>
              <w:textAlignment w:val="auto"/>
              <w:rPr>
                <w:rFonts w:asciiTheme="majorBidi" w:eastAsia="SimSun" w:hAnsiTheme="majorBidi" w:cstheme="majorBidi"/>
                <w:b/>
                <w:bCs/>
                <w:color w:val="000000"/>
                <w:sz w:val="24"/>
                <w:szCs w:val="24"/>
                <w:lang w:val="fr-CH" w:eastAsia="zh-CN"/>
              </w:rPr>
            </w:pPr>
            <w:r w:rsidRPr="00610AD5">
              <w:rPr>
                <w:rFonts w:asciiTheme="majorBidi" w:eastAsia="SimSun" w:hAnsiTheme="majorBidi" w:cstheme="majorBidi"/>
                <w:b/>
                <w:bCs/>
                <w:color w:val="000000"/>
                <w:sz w:val="24"/>
                <w:szCs w:val="24"/>
                <w:lang w:val="fr-CH" w:eastAsia="zh-CN"/>
              </w:rPr>
              <w:t>VI – VIGNETTES</w:t>
            </w:r>
          </w:p>
          <w:p w:rsidR="00610AD5" w:rsidRPr="00610AD5" w:rsidRDefault="00610AD5" w:rsidP="00610AD5">
            <w:pPr>
              <w:widowControl w:val="0"/>
              <w:tabs>
                <w:tab w:val="clear" w:pos="794"/>
                <w:tab w:val="clear" w:pos="1191"/>
                <w:tab w:val="clear" w:pos="1588"/>
                <w:tab w:val="clear" w:pos="1985"/>
              </w:tabs>
              <w:overflowPunct/>
              <w:spacing w:before="60"/>
              <w:jc w:val="left"/>
              <w:textAlignment w:val="auto"/>
              <w:rPr>
                <w:rFonts w:asciiTheme="majorBidi" w:eastAsia="SimSun" w:hAnsiTheme="majorBidi" w:cstheme="majorBidi"/>
                <w:color w:val="000000"/>
                <w:sz w:val="24"/>
                <w:szCs w:val="24"/>
                <w:lang w:val="fr-CH" w:eastAsia="zh-CN"/>
              </w:rPr>
            </w:pPr>
            <w:r w:rsidRPr="00610AD5">
              <w:rPr>
                <w:rFonts w:asciiTheme="majorBidi" w:eastAsia="SimSun" w:hAnsiTheme="majorBidi" w:cstheme="majorBidi"/>
                <w:color w:val="000000"/>
                <w:sz w:val="24"/>
                <w:szCs w:val="24"/>
                <w:lang w:val="fr-CH" w:eastAsia="zh-CN"/>
              </w:rPr>
              <w:t>1 – Poste fixe</w:t>
            </w:r>
          </w:p>
          <w:p w:rsidR="00610AD5" w:rsidRPr="00610AD5" w:rsidRDefault="00610AD5" w:rsidP="00610AD5">
            <w:pPr>
              <w:widowControl w:val="0"/>
              <w:tabs>
                <w:tab w:val="clear" w:pos="794"/>
                <w:tab w:val="clear" w:pos="1191"/>
                <w:tab w:val="clear" w:pos="1588"/>
                <w:tab w:val="clear" w:pos="1985"/>
              </w:tabs>
              <w:overflowPunct/>
              <w:spacing w:before="0"/>
              <w:jc w:val="left"/>
              <w:textAlignment w:val="auto"/>
              <w:rPr>
                <w:rFonts w:asciiTheme="majorBidi" w:eastAsia="SimSun" w:hAnsiTheme="majorBidi" w:cstheme="majorBidi"/>
                <w:color w:val="000000"/>
                <w:sz w:val="24"/>
                <w:szCs w:val="24"/>
                <w:lang w:val="fr-CH" w:eastAsia="zh-CN"/>
              </w:rPr>
            </w:pPr>
            <w:r w:rsidRPr="00610AD5">
              <w:rPr>
                <w:rFonts w:asciiTheme="majorBidi" w:eastAsia="SimSun" w:hAnsiTheme="majorBidi" w:cstheme="majorBidi"/>
                <w:color w:val="000000"/>
                <w:sz w:val="24"/>
                <w:szCs w:val="24"/>
                <w:lang w:val="fr-CH" w:eastAsia="zh-CN"/>
              </w:rPr>
              <w:t>2 – Poste mobile</w:t>
            </w:r>
          </w:p>
          <w:p w:rsidR="00610AD5" w:rsidRPr="00610AD5" w:rsidRDefault="00610AD5" w:rsidP="00610AD5">
            <w:pPr>
              <w:widowControl w:val="0"/>
              <w:tabs>
                <w:tab w:val="clear" w:pos="794"/>
                <w:tab w:val="clear" w:pos="1191"/>
                <w:tab w:val="clear" w:pos="1588"/>
                <w:tab w:val="clear" w:pos="1985"/>
              </w:tabs>
              <w:overflowPunct/>
              <w:spacing w:before="0" w:after="60"/>
              <w:jc w:val="left"/>
              <w:textAlignment w:val="auto"/>
              <w:rPr>
                <w:rFonts w:asciiTheme="majorBidi" w:eastAsia="SimSun" w:hAnsiTheme="majorBidi" w:cstheme="majorBidi"/>
                <w:color w:val="000000"/>
                <w:sz w:val="24"/>
                <w:szCs w:val="24"/>
                <w:lang w:val="fr-CH" w:eastAsia="zh-CN"/>
              </w:rPr>
            </w:pPr>
            <w:r w:rsidRPr="00610AD5">
              <w:rPr>
                <w:rFonts w:asciiTheme="majorBidi" w:eastAsia="SimSun" w:hAnsiTheme="majorBidi" w:cstheme="majorBidi"/>
                <w:color w:val="000000"/>
                <w:sz w:val="24"/>
                <w:szCs w:val="24"/>
                <w:lang w:val="fr-CH" w:eastAsia="zh-CN"/>
              </w:rPr>
              <w:t xml:space="preserve">3 – Portatif </w:t>
            </w:r>
          </w:p>
        </w:tc>
        <w:tc>
          <w:tcPr>
            <w:tcW w:w="2835" w:type="dxa"/>
            <w:tcBorders>
              <w:top w:val="single" w:sz="4" w:space="0" w:color="000000"/>
              <w:left w:val="single" w:sz="4" w:space="0" w:color="000000"/>
              <w:bottom w:val="single" w:sz="4" w:space="0" w:color="000000"/>
              <w:right w:val="single" w:sz="4" w:space="0" w:color="000000"/>
            </w:tcBorders>
          </w:tcPr>
          <w:p w:rsidR="00610AD5" w:rsidRPr="00610AD5" w:rsidRDefault="00610AD5" w:rsidP="00610AD5">
            <w:pPr>
              <w:widowControl w:val="0"/>
              <w:tabs>
                <w:tab w:val="clear" w:pos="794"/>
                <w:tab w:val="clear" w:pos="1191"/>
                <w:tab w:val="clear" w:pos="1588"/>
                <w:tab w:val="clear" w:pos="1985"/>
              </w:tabs>
              <w:overflowPunct/>
              <w:spacing w:before="0"/>
              <w:jc w:val="center"/>
              <w:textAlignment w:val="auto"/>
              <w:rPr>
                <w:rFonts w:asciiTheme="majorBidi" w:eastAsia="SimSun" w:hAnsiTheme="majorBidi" w:cstheme="majorBidi"/>
                <w:sz w:val="24"/>
                <w:szCs w:val="24"/>
                <w:lang w:val="fr-CH" w:eastAsia="zh-CN"/>
              </w:rPr>
            </w:pPr>
          </w:p>
        </w:tc>
        <w:tc>
          <w:tcPr>
            <w:tcW w:w="2835" w:type="dxa"/>
            <w:tcBorders>
              <w:top w:val="single" w:sz="4" w:space="0" w:color="000000"/>
              <w:left w:val="single" w:sz="4" w:space="0" w:color="000000"/>
              <w:bottom w:val="single" w:sz="4" w:space="0" w:color="000000"/>
              <w:right w:val="single" w:sz="4" w:space="0" w:color="000000"/>
            </w:tcBorders>
          </w:tcPr>
          <w:p w:rsidR="00610AD5" w:rsidRPr="00610AD5" w:rsidRDefault="00610AD5" w:rsidP="00610AD5">
            <w:pPr>
              <w:widowControl w:val="0"/>
              <w:tabs>
                <w:tab w:val="clear" w:pos="794"/>
                <w:tab w:val="clear" w:pos="1191"/>
                <w:tab w:val="clear" w:pos="1588"/>
                <w:tab w:val="clear" w:pos="1985"/>
              </w:tabs>
              <w:overflowPunct/>
              <w:spacing w:before="60" w:after="60"/>
              <w:jc w:val="center"/>
              <w:textAlignment w:val="auto"/>
              <w:rPr>
                <w:rFonts w:asciiTheme="majorBidi" w:eastAsia="SimSun" w:hAnsiTheme="majorBidi" w:cstheme="majorBidi"/>
                <w:color w:val="000000"/>
                <w:sz w:val="24"/>
                <w:szCs w:val="24"/>
                <w:lang w:val="en-US" w:eastAsia="zh-CN"/>
              </w:rPr>
            </w:pPr>
          </w:p>
          <w:p w:rsidR="00610AD5" w:rsidRPr="00610AD5" w:rsidRDefault="00610AD5" w:rsidP="00610AD5">
            <w:pPr>
              <w:widowControl w:val="0"/>
              <w:tabs>
                <w:tab w:val="clear" w:pos="794"/>
                <w:tab w:val="clear" w:pos="1191"/>
                <w:tab w:val="clear" w:pos="1588"/>
                <w:tab w:val="clear" w:pos="1985"/>
              </w:tabs>
              <w:overflowPunct/>
              <w:spacing w:before="6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2 900 F</w:t>
            </w:r>
          </w:p>
          <w:p w:rsidR="00610AD5" w:rsidRPr="00610AD5" w:rsidRDefault="00610AD5" w:rsidP="00610AD5">
            <w:pPr>
              <w:widowControl w:val="0"/>
              <w:tabs>
                <w:tab w:val="clear" w:pos="794"/>
                <w:tab w:val="clear" w:pos="1191"/>
                <w:tab w:val="clear" w:pos="1588"/>
                <w:tab w:val="clear" w:pos="1985"/>
              </w:tabs>
              <w:overflowPunct/>
              <w:spacing w:before="0"/>
              <w:jc w:val="center"/>
              <w:textAlignment w:val="auto"/>
              <w:rPr>
                <w:rFonts w:asciiTheme="majorBidi" w:eastAsia="SimSun" w:hAnsiTheme="majorBidi" w:cstheme="majorBidi"/>
                <w:color w:val="000000"/>
                <w:sz w:val="24"/>
                <w:szCs w:val="24"/>
                <w:lang w:val="en-US" w:eastAsia="zh-CN"/>
              </w:rPr>
            </w:pPr>
            <w:r w:rsidRPr="00610AD5">
              <w:rPr>
                <w:rFonts w:asciiTheme="majorBidi" w:eastAsia="SimSun" w:hAnsiTheme="majorBidi" w:cstheme="majorBidi"/>
                <w:color w:val="000000"/>
                <w:sz w:val="24"/>
                <w:szCs w:val="24"/>
                <w:lang w:val="en-US" w:eastAsia="zh-CN"/>
              </w:rPr>
              <w:t>1 740 F</w:t>
            </w:r>
          </w:p>
          <w:p w:rsidR="00610AD5" w:rsidRPr="00610AD5" w:rsidRDefault="00610AD5" w:rsidP="00610AD5">
            <w:pPr>
              <w:widowControl w:val="0"/>
              <w:tabs>
                <w:tab w:val="clear" w:pos="794"/>
                <w:tab w:val="clear" w:pos="1191"/>
                <w:tab w:val="clear" w:pos="1588"/>
                <w:tab w:val="clear" w:pos="1985"/>
              </w:tabs>
              <w:overflowPunct/>
              <w:spacing w:before="0" w:after="60"/>
              <w:jc w:val="center"/>
              <w:textAlignment w:val="auto"/>
              <w:rPr>
                <w:rFonts w:asciiTheme="majorBidi" w:eastAsia="SimSun" w:hAnsiTheme="majorBidi" w:cstheme="majorBidi"/>
                <w:sz w:val="24"/>
                <w:szCs w:val="24"/>
                <w:lang w:val="en-US" w:eastAsia="zh-CN"/>
              </w:rPr>
            </w:pPr>
            <w:r w:rsidRPr="00610AD5">
              <w:rPr>
                <w:rFonts w:asciiTheme="majorBidi" w:eastAsia="SimSun" w:hAnsiTheme="majorBidi" w:cstheme="majorBidi"/>
                <w:color w:val="000000"/>
                <w:sz w:val="24"/>
                <w:szCs w:val="24"/>
                <w:lang w:val="en-US" w:eastAsia="zh-CN"/>
              </w:rPr>
              <w:t>1 160 F</w:t>
            </w:r>
          </w:p>
        </w:tc>
      </w:tr>
    </w:tbl>
    <w:p w:rsidR="00610AD5" w:rsidRPr="00610AD5" w:rsidRDefault="00610AD5" w:rsidP="00610AD5">
      <w:pPr>
        <w:rPr>
          <w:lang w:val="fr-CH"/>
        </w:rPr>
      </w:pPr>
    </w:p>
    <w:p w:rsidR="00610AD5" w:rsidRPr="00610AD5" w:rsidRDefault="00610AD5" w:rsidP="00867C40">
      <w:pPr>
        <w:pStyle w:val="ChapNo"/>
        <w:rPr>
          <w:lang w:val="fr-CH"/>
        </w:rPr>
      </w:pPr>
      <w:bookmarkStart w:id="713" w:name="_Toc280261088"/>
      <w:r w:rsidRPr="00610AD5">
        <w:rPr>
          <w:lang w:val="fr-CH"/>
        </w:rPr>
        <w:t>CHAPITRE V</w:t>
      </w:r>
      <w:r w:rsidRPr="00610AD5">
        <w:rPr>
          <w:lang w:val="fr-CH"/>
        </w:rPr>
        <w:br/>
      </w:r>
      <w:r w:rsidRPr="00610AD5">
        <w:rPr>
          <w:lang w:val="fr-CH"/>
        </w:rPr>
        <w:br/>
        <w:t>DISPOSITION PENALES</w:t>
      </w:r>
      <w:bookmarkEnd w:id="713"/>
    </w:p>
    <w:p w:rsidR="00610AD5" w:rsidRPr="00610AD5" w:rsidRDefault="00610AD5" w:rsidP="00610AD5">
      <w:pPr>
        <w:rPr>
          <w:rFonts w:asciiTheme="majorBidi" w:hAnsiTheme="majorBidi" w:cstheme="majorBidi"/>
          <w:color w:val="000000"/>
          <w:lang w:val="fr-CH"/>
        </w:rPr>
      </w:pPr>
      <w:r w:rsidRPr="00610AD5">
        <w:rPr>
          <w:rFonts w:asciiTheme="majorBidi" w:hAnsiTheme="majorBidi" w:cstheme="majorBidi"/>
          <w:b/>
          <w:bCs/>
          <w:color w:val="000000"/>
          <w:u w:val="single"/>
          <w:lang w:val="fr-CH"/>
        </w:rPr>
        <w:t>Art. 15</w:t>
      </w:r>
      <w:r w:rsidRPr="00610AD5">
        <w:rPr>
          <w:rFonts w:asciiTheme="majorBidi" w:hAnsiTheme="majorBidi" w:cstheme="majorBidi"/>
          <w:color w:val="000000"/>
          <w:lang w:val="fr-CH"/>
        </w:rPr>
        <w:t xml:space="preserve">: Les </w:t>
      </w:r>
      <w:r w:rsidRPr="00610AD5">
        <w:rPr>
          <w:lang w:val="fr-CH"/>
        </w:rPr>
        <w:t>infractions</w:t>
      </w:r>
      <w:r w:rsidRPr="00610AD5">
        <w:rPr>
          <w:rFonts w:asciiTheme="majorBidi" w:hAnsiTheme="majorBidi" w:cstheme="majorBidi"/>
          <w:color w:val="000000"/>
          <w:lang w:val="fr-CH"/>
        </w:rPr>
        <w:t xml:space="preserve"> aux dispositions de la présente ordonnance sont sanctionnées par les articles 14 et 35de la loi </w:t>
      </w:r>
    </w:p>
    <w:p w:rsidR="00610AD5" w:rsidRPr="00610AD5" w:rsidRDefault="00610AD5" w:rsidP="00610AD5">
      <w:pPr>
        <w:rPr>
          <w:rFonts w:asciiTheme="majorBidi" w:hAnsiTheme="majorBidi" w:cstheme="majorBidi"/>
          <w:color w:val="000000"/>
          <w:lang w:val="fr-CH"/>
        </w:rPr>
      </w:pPr>
      <w:r w:rsidRPr="00610AD5">
        <w:rPr>
          <w:rFonts w:asciiTheme="majorBidi" w:hAnsiTheme="majorBidi" w:cstheme="majorBidi"/>
          <w:color w:val="000000"/>
          <w:lang w:val="fr-CH"/>
        </w:rPr>
        <w:t>N°95-526 du 7 juillet 1995, portant code des télécommunications.</w:t>
      </w:r>
    </w:p>
    <w:p w:rsidR="00610AD5" w:rsidRPr="00610AD5" w:rsidRDefault="00610AD5" w:rsidP="00610AD5">
      <w:pPr>
        <w:rPr>
          <w:rFonts w:asciiTheme="majorBidi" w:hAnsiTheme="majorBidi" w:cstheme="majorBidi"/>
          <w:color w:val="000000"/>
          <w:lang w:val="fr-CH"/>
        </w:rPr>
      </w:pPr>
      <w:r w:rsidRPr="00610AD5">
        <w:rPr>
          <w:rFonts w:asciiTheme="majorBidi" w:hAnsiTheme="majorBidi" w:cstheme="majorBidi"/>
          <w:b/>
          <w:bCs/>
          <w:color w:val="000000"/>
          <w:u w:val="single"/>
          <w:lang w:val="fr-CH"/>
        </w:rPr>
        <w:t>Art. 16</w:t>
      </w:r>
      <w:r w:rsidRPr="00610AD5">
        <w:rPr>
          <w:rFonts w:asciiTheme="majorBidi" w:hAnsiTheme="majorBidi" w:cstheme="majorBidi"/>
          <w:color w:val="000000"/>
          <w:lang w:val="fr-CH"/>
        </w:rPr>
        <w:t xml:space="preserve">: en outre, le non-paiement des taxes, redevances et contributions entraîne la suspension des autorisation et la </w:t>
      </w:r>
    </w:p>
    <w:p w:rsidR="00610AD5" w:rsidRPr="00610AD5" w:rsidRDefault="00610AD5" w:rsidP="00610AD5">
      <w:pPr>
        <w:rPr>
          <w:rFonts w:asciiTheme="majorBidi" w:hAnsiTheme="majorBidi" w:cstheme="majorBidi"/>
          <w:color w:val="000000"/>
          <w:lang w:val="fr-CH"/>
        </w:rPr>
      </w:pPr>
      <w:r w:rsidRPr="00610AD5">
        <w:rPr>
          <w:rFonts w:asciiTheme="majorBidi" w:hAnsiTheme="majorBidi" w:cstheme="majorBidi"/>
          <w:color w:val="000000"/>
          <w:lang w:val="fr-CH"/>
        </w:rPr>
        <w:t xml:space="preserve">Mise sous scellés du matériel radioélectrique. </w:t>
      </w:r>
    </w:p>
    <w:p w:rsidR="00610AD5" w:rsidRPr="00610AD5" w:rsidRDefault="00610AD5" w:rsidP="00867C40">
      <w:pPr>
        <w:pStyle w:val="ChapNo"/>
        <w:rPr>
          <w:lang w:val="fr-CH"/>
        </w:rPr>
      </w:pPr>
      <w:bookmarkStart w:id="714" w:name="_Toc280261089"/>
      <w:r w:rsidRPr="00610AD5">
        <w:rPr>
          <w:lang w:val="fr-CH"/>
        </w:rPr>
        <w:t>CHAPITRE VI</w:t>
      </w:r>
      <w:r w:rsidRPr="00610AD5">
        <w:rPr>
          <w:lang w:val="fr-CH"/>
        </w:rPr>
        <w:br/>
      </w:r>
      <w:r w:rsidRPr="00610AD5">
        <w:rPr>
          <w:lang w:val="fr-CH"/>
        </w:rPr>
        <w:br/>
        <w:t>DISPOSITION FINALES</w:t>
      </w:r>
      <w:bookmarkEnd w:id="714"/>
      <w:r w:rsidRPr="00610AD5">
        <w:rPr>
          <w:lang w:val="fr-CH"/>
        </w:rPr>
        <w:t xml:space="preserve"> </w:t>
      </w:r>
    </w:p>
    <w:p w:rsidR="00610AD5" w:rsidRPr="00610AD5" w:rsidRDefault="00610AD5" w:rsidP="00610AD5">
      <w:pPr>
        <w:rPr>
          <w:rFonts w:asciiTheme="majorBidi" w:hAnsiTheme="majorBidi" w:cstheme="majorBidi"/>
          <w:lang w:val="fr-CH"/>
        </w:rPr>
      </w:pPr>
      <w:r w:rsidRPr="00610AD5">
        <w:rPr>
          <w:rFonts w:asciiTheme="majorBidi" w:hAnsiTheme="majorBidi" w:cstheme="majorBidi"/>
          <w:b/>
          <w:bCs/>
          <w:u w:val="single"/>
          <w:lang w:val="fr-CH"/>
        </w:rPr>
        <w:t>Art. 17</w:t>
      </w:r>
      <w:r w:rsidRPr="00610AD5">
        <w:rPr>
          <w:rFonts w:asciiTheme="majorBidi" w:hAnsiTheme="majorBidi" w:cstheme="majorBidi"/>
          <w:lang w:val="fr-CH"/>
        </w:rPr>
        <w:t xml:space="preserve">: </w:t>
      </w:r>
      <w:r w:rsidRPr="00610AD5">
        <w:rPr>
          <w:rFonts w:asciiTheme="majorBidi" w:hAnsiTheme="majorBidi" w:cstheme="majorBidi"/>
          <w:color w:val="000000"/>
          <w:lang w:val="fr-CH"/>
        </w:rPr>
        <w:t>sont</w:t>
      </w:r>
      <w:r w:rsidRPr="00610AD5">
        <w:rPr>
          <w:rFonts w:asciiTheme="majorBidi" w:hAnsiTheme="majorBidi" w:cstheme="majorBidi"/>
          <w:lang w:val="fr-CH"/>
        </w:rPr>
        <w:t xml:space="preserve"> abrogées toutes les dispositions antérieures contraires a celles de la présente ordonnance </w:t>
      </w:r>
    </w:p>
    <w:p w:rsidR="00610AD5" w:rsidRPr="00610AD5" w:rsidRDefault="00610AD5" w:rsidP="00610AD5">
      <w:pPr>
        <w:rPr>
          <w:rFonts w:asciiTheme="majorBidi" w:hAnsiTheme="majorBidi" w:cstheme="majorBidi"/>
          <w:lang w:val="fr-CH"/>
        </w:rPr>
      </w:pPr>
      <w:r w:rsidRPr="00610AD5">
        <w:rPr>
          <w:rFonts w:asciiTheme="majorBidi" w:hAnsiTheme="majorBidi" w:cstheme="majorBidi"/>
          <w:b/>
          <w:bCs/>
          <w:u w:val="single"/>
          <w:lang w:val="fr-CH"/>
        </w:rPr>
        <w:lastRenderedPageBreak/>
        <w:t>Art.18</w:t>
      </w:r>
      <w:r w:rsidRPr="00610AD5">
        <w:rPr>
          <w:rFonts w:asciiTheme="majorBidi" w:hAnsiTheme="majorBidi" w:cstheme="majorBidi"/>
          <w:lang w:val="fr-CH"/>
        </w:rPr>
        <w:t xml:space="preserve">: le ministre de l’Economie et des Finances et le Ministre des infrastructures Economiques </w:t>
      </w:r>
      <w:r w:rsidRPr="00610AD5">
        <w:rPr>
          <w:rFonts w:asciiTheme="majorBidi" w:hAnsiTheme="majorBidi" w:cstheme="majorBidi"/>
          <w:color w:val="000000"/>
          <w:lang w:val="fr-CH"/>
        </w:rPr>
        <w:t>sont</w:t>
      </w:r>
      <w:r w:rsidRPr="00610AD5">
        <w:rPr>
          <w:rFonts w:asciiTheme="majorBidi" w:hAnsiTheme="majorBidi" w:cstheme="majorBidi"/>
          <w:lang w:val="fr-CH"/>
        </w:rPr>
        <w:t xml:space="preserve"> chargés, en ce qui le concerne, de l’application de la présente ordonnance qui sera exécutée comme loi de l’Etat, publiée selon la procédure d’urgence et au journal Officiel de la République de Côte d’Ivoire. </w:t>
      </w:r>
    </w:p>
    <w:p w:rsidR="00610AD5" w:rsidRPr="00610AD5" w:rsidRDefault="00610AD5" w:rsidP="00610AD5">
      <w:pPr>
        <w:rPr>
          <w:lang w:val="fr-CH"/>
        </w:rPr>
      </w:pPr>
    </w:p>
    <w:p w:rsidR="00610AD5" w:rsidRPr="00610AD5" w:rsidRDefault="00610AD5" w:rsidP="00610AD5">
      <w:pPr>
        <w:rPr>
          <w:lang w:val="fr-CH"/>
        </w:rPr>
      </w:pPr>
    </w:p>
    <w:p w:rsidR="00610AD5" w:rsidRPr="00610AD5" w:rsidRDefault="00610AD5" w:rsidP="00610AD5">
      <w:pPr>
        <w:widowControl w:val="0"/>
        <w:tabs>
          <w:tab w:val="clear" w:pos="794"/>
          <w:tab w:val="clear" w:pos="1191"/>
          <w:tab w:val="clear" w:pos="1588"/>
          <w:tab w:val="clear" w:pos="1985"/>
        </w:tabs>
        <w:overflowPunct/>
        <w:spacing w:before="0" w:line="303" w:lineRule="atLeast"/>
        <w:ind w:left="5367"/>
        <w:textAlignment w:val="auto"/>
        <w:rPr>
          <w:rFonts w:asciiTheme="majorBidi" w:eastAsia="SimSun" w:hAnsiTheme="majorBidi" w:cstheme="majorBidi"/>
          <w:color w:val="000000"/>
          <w:sz w:val="24"/>
          <w:szCs w:val="24"/>
          <w:lang w:val="fr-CH" w:eastAsia="zh-CN"/>
        </w:rPr>
      </w:pPr>
      <w:r w:rsidRPr="00610AD5">
        <w:rPr>
          <w:rFonts w:asciiTheme="majorBidi" w:eastAsia="SimSun" w:hAnsiTheme="majorBidi" w:cstheme="majorBidi"/>
          <w:sz w:val="24"/>
          <w:szCs w:val="24"/>
          <w:lang w:val="fr-CH" w:eastAsia="zh-CN"/>
        </w:rPr>
        <w:t xml:space="preserve">Fait à Abidjan, le 19 mars 1997 </w:t>
      </w:r>
    </w:p>
    <w:p w:rsidR="002455FC" w:rsidRPr="00AA60B6" w:rsidRDefault="002455FC" w:rsidP="00610AD5">
      <w:pPr>
        <w:pStyle w:val="AppendixNotitle"/>
        <w:rPr>
          <w:rFonts w:asciiTheme="majorBidi" w:hAnsiTheme="majorBidi" w:cstheme="majorBidi"/>
          <w:b w:val="0"/>
          <w:sz w:val="20"/>
          <w:lang w:val="ru-RU"/>
        </w:rPr>
      </w:pPr>
    </w:p>
    <w:sectPr w:rsidR="002455FC" w:rsidRPr="00AA60B6" w:rsidSect="008C59D1">
      <w:headerReference w:type="even" r:id="rId28"/>
      <w:headerReference w:type="default" r:id="rId29"/>
      <w:headerReference w:type="first" r:id="rId30"/>
      <w:footnotePr>
        <w:numStart w:val="4"/>
      </w:footnotePr>
      <w:type w:val="oddPage"/>
      <w:pgSz w:w="11907" w:h="16834" w:code="9"/>
      <w:pgMar w:top="1418" w:right="1134" w:bottom="1418" w:left="1134" w:header="720" w:footer="720"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5BB" w:rsidRDefault="005E55BB">
      <w:r>
        <w:separator/>
      </w:r>
    </w:p>
  </w:endnote>
  <w:endnote w:type="continuationSeparator" w:id="0">
    <w:p w:rsidR="005E55BB" w:rsidRDefault="005E55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Aldine401 BT">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SimHei">
    <w:altName w:val="黑体"/>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StarSymbol">
    <w:altName w:val="MS Mincho"/>
    <w:charset w:val="8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00"/>
    <w:family w:val="swiss"/>
    <w:pitch w:val="variable"/>
    <w:sig w:usb0="00000287" w:usb1="00000000" w:usb2="00000000" w:usb3="00000000" w:csb0="0000009F" w:csb1="00000000"/>
  </w:font>
  <w:font w:name="Futura Lt BT">
    <w:panose1 w:val="020B0402020204020303"/>
    <w:charset w:val="00"/>
    <w:family w:val="swiss"/>
    <w:pitch w:val="variable"/>
    <w:sig w:usb0="00000087" w:usb1="00000000" w:usb2="00000000" w:usb3="00000000" w:csb0="0000001B" w:csb1="00000000"/>
  </w:font>
  <w:font w:name="Zurich Ex BT">
    <w:panose1 w:val="020B0505020202020204"/>
    <w:charset w:val="00"/>
    <w:family w:val="swiss"/>
    <w:pitch w:val="variable"/>
    <w:sig w:usb0="00000087" w:usb1="00000000" w:usb2="00000000" w:usb3="00000000" w:csb0="0000001B" w:csb1="00000000"/>
  </w:font>
  <w:font w:name="Univers Extended">
    <w:panose1 w:val="00000000000000000000"/>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0" w:usb1="00000000" w:usb2="00000000" w:usb3="00000000" w:csb0="00000000" w:csb1="00000000"/>
  </w:font>
  <w:font w:name="宋体">
    <w:altName w:val="Times New Roman"/>
    <w:panose1 w:val="00000000000000000000"/>
    <w:charset w:val="4D"/>
    <w:family w:val="roman"/>
    <w:notTrueType/>
    <w:pitch w:val="default"/>
    <w:sig w:usb0="00000000" w:usb1="0A02889C" w:usb2="00000015" w:usb3="0D07859C" w:csb0="3D78AF95" w:csb1="0D078620"/>
  </w:font>
  <w:font w:name="Univers BoldExt">
    <w:panose1 w:val="02000807060000020003"/>
    <w:charset w:val="00"/>
    <w:family w:val="auto"/>
    <w:pitch w:val="variable"/>
    <w:sig w:usb0="80000027"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BB" w:rsidRDefault="005E55BB" w:rsidP="00115571">
    <w:pPr>
      <w:pStyle w:val="Footer"/>
      <w:jc w:val="right"/>
    </w:pPr>
    <w:r>
      <w:rPr>
        <w:lang w:val="en-US" w:eastAsia="zh-CN"/>
      </w:rPr>
      <w:drawing>
        <wp:inline distT="0" distB="0" distL="0" distR="0">
          <wp:extent cx="714375" cy="805185"/>
          <wp:effectExtent l="19050" t="0" r="9525" b="0"/>
          <wp:docPr id="3"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
                  <a:stretch>
                    <a:fillRect/>
                  </a:stretch>
                </pic:blipFill>
                <pic:spPr>
                  <a:xfrm>
                    <a:off x="0" y="0"/>
                    <a:ext cx="714671" cy="805519"/>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BB" w:rsidRDefault="005E55BB">
    <w:pPr>
      <w:tabs>
        <w:tab w:val="clear" w:pos="794"/>
        <w:tab w:val="clear" w:pos="1191"/>
        <w:tab w:val="clear" w:pos="1588"/>
        <w:tab w:val="clear" w:pos="1985"/>
        <w:tab w:val="left" w:pos="1276"/>
        <w:tab w:val="left" w:pos="5954"/>
        <w:tab w:val="right" w:pos="9356"/>
      </w:tabs>
      <w:spacing w:before="0"/>
      <w:ind w:right="141"/>
      <w:rPr>
        <w:caps/>
        <w:sz w:val="16"/>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BB" w:rsidRDefault="005E55BB" w:rsidP="00115571">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BB" w:rsidRPr="00B15B8E" w:rsidRDefault="005E55BB" w:rsidP="00B15B8E">
    <w:pPr>
      <w:pStyle w:val="Footer"/>
      <w:rPr>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BB" w:rsidRPr="00B15B8E" w:rsidRDefault="005E55BB" w:rsidP="00B15B8E">
    <w:pPr>
      <w:pStyle w:val="Footer"/>
      <w:rPr>
        <w:szCs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BB" w:rsidRPr="008C59D1" w:rsidRDefault="005E55BB" w:rsidP="008C59D1">
    <w:pPr>
      <w:pStyle w:val="Footer"/>
      <w:rPr>
        <w:szCs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BB" w:rsidRPr="00610AD5" w:rsidRDefault="005E55BB" w:rsidP="00610AD5">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5BB" w:rsidRDefault="005E55BB">
      <w:r>
        <w:t>____________________</w:t>
      </w:r>
    </w:p>
  </w:footnote>
  <w:footnote w:type="continuationSeparator" w:id="0">
    <w:p w:rsidR="005E55BB" w:rsidRDefault="005E55BB">
      <w:r>
        <w:continuationSeparator/>
      </w:r>
    </w:p>
  </w:footnote>
  <w:footnote w:id="1">
    <w:p w:rsidR="005E55BB" w:rsidRDefault="005E55BB" w:rsidP="00610AD5">
      <w:pPr>
        <w:pStyle w:val="FootnoteText"/>
      </w:pPr>
      <w:r>
        <w:rPr>
          <w:rStyle w:val="FootnoteReference"/>
        </w:rPr>
        <w:t>1</w:t>
      </w:r>
      <w:r>
        <w:tab/>
      </w:r>
      <w:r w:rsidRPr="001C4644">
        <w:rPr>
          <w:lang w:val="fr-FR"/>
        </w:rPr>
        <w:t xml:space="preserve">Le terme de « taxe » (ou « impôt ») employé dans ce document est à comprendre dans le sens en usage dans la lange </w:t>
      </w:r>
      <w:r w:rsidRPr="001C4644">
        <w:rPr>
          <w:i/>
          <w:lang w:val="fr-FR"/>
        </w:rPr>
        <w:t>juridique</w:t>
      </w:r>
      <w:r w:rsidRPr="001C4644">
        <w:rPr>
          <w:lang w:val="fr-FR"/>
        </w:rPr>
        <w:t xml:space="preserve"> française. Voir également Chapitre 2.1 ci-dessous. Le Rapport UIT-R SM.2012-1 sur les aspects économiques de la gestion du spectre emploie le terme « taxes d’utilisation du spectre » (Chapitre 2.2.1.2).</w:t>
      </w:r>
    </w:p>
  </w:footnote>
  <w:footnote w:id="2">
    <w:p w:rsidR="005E55BB" w:rsidRDefault="005E55BB" w:rsidP="00610AD5">
      <w:pPr>
        <w:pStyle w:val="FootnoteText"/>
      </w:pPr>
      <w:r>
        <w:rPr>
          <w:rStyle w:val="FootnoteReference"/>
        </w:rPr>
        <w:t>2</w:t>
      </w:r>
      <w:r>
        <w:tab/>
      </w:r>
      <w:r w:rsidRPr="001C4644">
        <w:rPr>
          <w:lang w:val="fr-FR"/>
        </w:rPr>
        <w:t xml:space="preserve">Le terme de « redevance » employé dans ce document est à comprendre dans le sens en usage dans la lange </w:t>
      </w:r>
      <w:r w:rsidRPr="001C4644">
        <w:rPr>
          <w:i/>
          <w:lang w:val="fr-FR"/>
        </w:rPr>
        <w:t>juridique</w:t>
      </w:r>
      <w:r w:rsidRPr="001C4644">
        <w:rPr>
          <w:lang w:val="fr-FR"/>
        </w:rPr>
        <w:t xml:space="preserve"> française. Voir également Chapitre 2.2 ci-dessous. Le terme employé dans le Rapport UIT-R SM.2012-1 sur les aspects économiques de la gestion du spectre est « taxes calculées en fonction des coûts de gestion du spectre » (Chapitre 2.3.4.1).</w:t>
      </w:r>
    </w:p>
  </w:footnote>
  <w:footnote w:id="3">
    <w:p w:rsidR="005E55BB" w:rsidRDefault="005E55BB" w:rsidP="00610AD5">
      <w:pPr>
        <w:pStyle w:val="FootnoteText"/>
      </w:pPr>
      <w:r>
        <w:rPr>
          <w:rStyle w:val="FootnoteReference"/>
        </w:rPr>
        <w:t>3</w:t>
      </w:r>
      <w:r>
        <w:tab/>
      </w:r>
      <w:r w:rsidRPr="001C4644">
        <w:rPr>
          <w:lang w:val="fr-FR"/>
        </w:rPr>
        <w:t>L’administré est défini comme toute personne physique ou morale (société) qui est dans un rapport de dépendance vis-à-vis de l’administration.</w:t>
      </w:r>
    </w:p>
  </w:footnote>
  <w:footnote w:id="4">
    <w:p w:rsidR="005E55BB" w:rsidRDefault="005E55BB" w:rsidP="00610AD5">
      <w:pPr>
        <w:pStyle w:val="FootnoteText"/>
      </w:pPr>
      <w:r>
        <w:rPr>
          <w:rStyle w:val="FootnoteReference"/>
        </w:rPr>
        <w:t>4</w:t>
      </w:r>
      <w:r>
        <w:tab/>
      </w:r>
      <w:r w:rsidRPr="001C4644">
        <w:rPr>
          <w:lang w:val="fr-FR"/>
        </w:rPr>
        <w:t xml:space="preserve">Principe appelé dans le jargon juridique </w:t>
      </w:r>
      <w:r w:rsidRPr="001C4644">
        <w:rPr>
          <w:i/>
          <w:lang w:val="fr-FR"/>
        </w:rPr>
        <w:t>principe de la couverture des coûts</w:t>
      </w:r>
      <w:r w:rsidRPr="001C4644">
        <w:rPr>
          <w:lang w:val="fr-FR"/>
        </w:rPr>
        <w:t>. Celui-ci arrête que le produit total des redevances ne doit pas dépasser la charge financière de la branche de l’administration concernée. Dans le cas où l’usager ne supporte qu’une partie des coûts, le reste est pris en charge par les budgets publics financés par les impôts ou d’autres revenus de l’État. Même si une participation est demandée pour le service obtenu, la part que supporte en fin de compte l’usager ne couvre pas nécessairement l’ensemble des coûts engendrés.</w:t>
      </w:r>
    </w:p>
  </w:footnote>
  <w:footnote w:id="5">
    <w:p w:rsidR="005E55BB" w:rsidRDefault="005E55BB" w:rsidP="00610AD5">
      <w:pPr>
        <w:pStyle w:val="FootnoteText"/>
      </w:pPr>
      <w:r>
        <w:rPr>
          <w:rStyle w:val="FootnoteReference"/>
        </w:rPr>
        <w:t>5</w:t>
      </w:r>
      <w:r>
        <w:tab/>
      </w:r>
      <w:r w:rsidRPr="001C4644">
        <w:rPr>
          <w:lang w:val="fr-FR"/>
        </w:rPr>
        <w:t xml:space="preserve">Appelé dans le jargon juridique le </w:t>
      </w:r>
      <w:r w:rsidRPr="001C4644">
        <w:rPr>
          <w:i/>
          <w:lang w:val="fr-FR"/>
        </w:rPr>
        <w:t>principe de l’équivalence</w:t>
      </w:r>
      <w:r w:rsidRPr="001C4644">
        <w:rPr>
          <w:lang w:val="fr-FR"/>
        </w:rPr>
        <w:t>. Celui-ci dispose que le montant d’une redevance ne doit pas être en disproportion manifeste avec la valeur objective de la prestation. Cette valeur peut se déterminer par référence à l’utilité qu’en retire l’administré.</w:t>
      </w:r>
    </w:p>
  </w:footnote>
  <w:footnote w:id="6">
    <w:p w:rsidR="005E55BB" w:rsidRDefault="005E55BB" w:rsidP="00610AD5">
      <w:pPr>
        <w:pStyle w:val="FootnoteText"/>
      </w:pPr>
      <w:r>
        <w:rPr>
          <w:rStyle w:val="FootnoteReference"/>
        </w:rPr>
        <w:t>6</w:t>
      </w:r>
      <w:r>
        <w:tab/>
      </w:r>
      <w:r w:rsidRPr="00BD6343">
        <w:rPr>
          <w:lang w:val="fr-FR"/>
        </w:rPr>
        <w:t>V</w:t>
      </w:r>
      <w:r w:rsidRPr="00BD6343">
        <w:rPr>
          <w:snapToGrid w:val="0"/>
          <w:lang w:val="fr-FR" w:eastAsia="de-DE"/>
        </w:rPr>
        <w:t>oir</w:t>
      </w:r>
      <w:r w:rsidRPr="00BD6343">
        <w:rPr>
          <w:lang w:val="fr-FR"/>
        </w:rPr>
        <w:t xml:space="preserve"> </w:t>
      </w:r>
      <w:hyperlink r:id="rId1" w:history="1">
        <w:r w:rsidRPr="00190938">
          <w:rPr>
            <w:rStyle w:val="Hyperlink"/>
            <w:lang w:val="fr-FR"/>
          </w:rPr>
          <w:t>http://www.admin.ch/ch/f/rs/7/784.106.fr.pdf</w:t>
        </w:r>
      </w:hyperlink>
    </w:p>
  </w:footnote>
  <w:footnote w:id="7">
    <w:p w:rsidR="005E55BB" w:rsidRDefault="005E55BB" w:rsidP="00610AD5">
      <w:pPr>
        <w:pStyle w:val="FootnoteText"/>
      </w:pPr>
      <w:r>
        <w:rPr>
          <w:rStyle w:val="FootnoteReference"/>
        </w:rPr>
        <w:t>7</w:t>
      </w:r>
      <w:r>
        <w:tab/>
      </w:r>
      <w:r w:rsidRPr="00BD6343">
        <w:rPr>
          <w:lang w:val="fr-FR"/>
        </w:rPr>
        <w:t xml:space="preserve">Voir </w:t>
      </w:r>
      <w:hyperlink r:id="rId2" w:history="1">
        <w:r w:rsidRPr="00190938">
          <w:rPr>
            <w:rStyle w:val="Hyperlink"/>
            <w:lang w:val="fr-FR"/>
          </w:rPr>
          <w:t>http://www.admin.ch/ch/f/rs/7/784.106.12.fr.pdf</w:t>
        </w:r>
      </w:hyperlink>
    </w:p>
  </w:footnote>
  <w:footnote w:id="8">
    <w:p w:rsidR="005E55BB" w:rsidRDefault="005E55BB" w:rsidP="00610AD5">
      <w:pPr>
        <w:pStyle w:val="FootnoteText"/>
      </w:pPr>
      <w:r>
        <w:rPr>
          <w:rStyle w:val="FootnoteReference"/>
        </w:rPr>
        <w:t>8</w:t>
      </w:r>
      <w:r>
        <w:tab/>
      </w:r>
      <w:r w:rsidRPr="001C4644">
        <w:rPr>
          <w:lang w:val="fr-FR"/>
        </w:rPr>
        <w:t xml:space="preserve">Voir </w:t>
      </w:r>
      <w:hyperlink r:id="rId3" w:history="1">
        <w:r w:rsidRPr="00190938">
          <w:rPr>
            <w:rStyle w:val="Hyperlink"/>
            <w:lang w:val="fr-FR"/>
          </w:rPr>
          <w:t>http://www.admin.ch/ch/f/rs/7/784.10.fr.pdf</w:t>
        </w:r>
      </w:hyperlink>
    </w:p>
  </w:footnote>
  <w:footnote w:id="9">
    <w:p w:rsidR="005E55BB" w:rsidRDefault="005E55BB" w:rsidP="00610AD5">
      <w:pPr>
        <w:pStyle w:val="FootnoteText"/>
      </w:pPr>
      <w:r>
        <w:rPr>
          <w:rStyle w:val="FootnoteReference"/>
        </w:rPr>
        <w:t>9</w:t>
      </w:r>
      <w:r>
        <w:tab/>
      </w:r>
      <w:r w:rsidRPr="001C4644">
        <w:rPr>
          <w:lang w:val="fr-FR"/>
        </w:rPr>
        <w:t>En Suisse le gouvernement porte le nom de Conseil fédéral. Sur la base de ce pouvoir réglementaire, il a édicté l’OREDT mentionnée ci-dessus.</w:t>
      </w:r>
    </w:p>
  </w:footnote>
  <w:footnote w:id="10">
    <w:p w:rsidR="005E55BB" w:rsidRDefault="005E55BB" w:rsidP="00610AD5">
      <w:pPr>
        <w:pStyle w:val="FootnoteText"/>
      </w:pPr>
      <w:r>
        <w:rPr>
          <w:rStyle w:val="FootnoteReference"/>
        </w:rPr>
        <w:t>10</w:t>
      </w:r>
      <w:r>
        <w:tab/>
      </w:r>
      <w:r w:rsidRPr="001C4644">
        <w:rPr>
          <w:lang w:val="fr-FR"/>
        </w:rPr>
        <w:t>Voir également le Chapitre 2.2.1.3 du Rapport UIT-R SM.2012-1 sur les aspects économiques de la gestion du spectre.</w:t>
      </w:r>
    </w:p>
  </w:footnote>
  <w:footnote w:id="11">
    <w:p w:rsidR="005E55BB" w:rsidRDefault="005E55BB" w:rsidP="00610AD5">
      <w:pPr>
        <w:pStyle w:val="FootnoteText"/>
      </w:pPr>
      <w:r>
        <w:rPr>
          <w:rStyle w:val="FootnoteReference"/>
        </w:rPr>
        <w:t>11</w:t>
      </w:r>
      <w:r>
        <w:tab/>
      </w:r>
      <w:r w:rsidRPr="00190938">
        <w:rPr>
          <w:rStyle w:val="FooterChar"/>
          <w:lang w:val="fr-FR"/>
        </w:rPr>
        <w:t>V</w:t>
      </w:r>
      <w:r w:rsidRPr="001C4644">
        <w:rPr>
          <w:lang w:val="fr-FR"/>
        </w:rPr>
        <w:t>oir</w:t>
      </w:r>
      <w:r w:rsidRPr="00190938">
        <w:rPr>
          <w:rStyle w:val="FooterChar"/>
          <w:lang w:val="fr-FR"/>
        </w:rPr>
        <w:t xml:space="preserve"> </w:t>
      </w:r>
      <w:hyperlink r:id="rId4" w:history="1">
        <w:r w:rsidRPr="00FD744E">
          <w:rPr>
            <w:rStyle w:val="Hyperlink"/>
            <w:lang w:val="fr-FR"/>
          </w:rPr>
          <w:t>http://www.admin.ch/ch/f/rs/3/313.32.fr.pd</w:t>
        </w:r>
        <w:r w:rsidRPr="00BD6343">
          <w:rPr>
            <w:rStyle w:val="Hyperlink"/>
            <w:lang w:val="fr-FR"/>
          </w:rPr>
          <w:t>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BB" w:rsidRPr="0002731C" w:rsidRDefault="005D1F2F" w:rsidP="0002731C">
    <w:pPr>
      <w:pStyle w:val="Header"/>
      <w:tabs>
        <w:tab w:val="left" w:pos="1122"/>
      </w:tabs>
      <w:jc w:val="left"/>
      <w:rPr>
        <w:lang w:val="ru-RU"/>
      </w:rPr>
    </w:pPr>
    <w:r>
      <w:rPr>
        <w:rStyle w:val="PageNumber"/>
      </w:rPr>
      <w:fldChar w:fldCharType="begin"/>
    </w:r>
    <w:r w:rsidR="005E55BB">
      <w:rPr>
        <w:rStyle w:val="PageNumber"/>
      </w:rPr>
      <w:instrText xml:space="preserve"> PAGE </w:instrText>
    </w:r>
    <w:r>
      <w:rPr>
        <w:rStyle w:val="PageNumber"/>
      </w:rPr>
      <w:fldChar w:fldCharType="separate"/>
    </w:r>
    <w:r w:rsidR="005E55BB">
      <w:rPr>
        <w:rStyle w:val="PageNumber"/>
        <w:noProof/>
      </w:rPr>
      <w:t>ii</w:t>
    </w:r>
    <w:r>
      <w:rPr>
        <w:rStyle w:val="PageNumber"/>
      </w:rPr>
      <w:fldChar w:fldCharType="end"/>
    </w:r>
    <w:r w:rsidR="005E55BB">
      <w:rPr>
        <w:rStyle w:val="PageNumber"/>
        <w:lang w:val="fr-CH"/>
      </w:rPr>
      <w:tab/>
    </w:r>
    <w:r w:rsidR="005E55BB">
      <w:rPr>
        <w:rStyle w:val="PageNumber"/>
        <w:lang w:val="fr-CH"/>
      </w:rPr>
      <w:tab/>
    </w:r>
    <w:r w:rsidR="005E55BB" w:rsidRPr="0002731C">
      <w:rPr>
        <w:rStyle w:val="PageNumber"/>
        <w:lang w:val="ru-RU"/>
      </w:rPr>
      <w:t>Вопрос</w:t>
    </w:r>
    <w:r w:rsidR="005E55BB" w:rsidRPr="0002731C">
      <w:rPr>
        <w:szCs w:val="22"/>
        <w:lang w:val="fr-CH"/>
      </w:rPr>
      <w:t xml:space="preserve"> </w:t>
    </w:r>
    <w:r w:rsidR="005E55BB" w:rsidRPr="0002731C">
      <w:rPr>
        <w:szCs w:val="22"/>
        <w:lang w:val="ru-RU"/>
      </w:rPr>
      <w:t>18-1</w:t>
    </w:r>
    <w:r w:rsidR="005E55BB" w:rsidRPr="0002731C">
      <w:rPr>
        <w:szCs w:val="22"/>
        <w:lang w:val="fr-CH"/>
      </w:rPr>
      <w:t>/</w:t>
    </w:r>
    <w:r w:rsidR="005E55BB" w:rsidRPr="0002731C">
      <w:rPr>
        <w:szCs w:val="22"/>
        <w:lang w:val="ru-RU"/>
      </w:rPr>
      <w:t>1</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BB" w:rsidRPr="00F86DA5" w:rsidRDefault="005E55BB" w:rsidP="008C59D1">
    <w:pPr>
      <w:pStyle w:val="Header"/>
    </w:pPr>
    <w:r>
      <w:rPr>
        <w:rStyle w:val="PageNumber"/>
        <w:lang w:val="fr-CH"/>
      </w:rPr>
      <w:tab/>
    </w:r>
    <w:r>
      <w:rPr>
        <w:rStyle w:val="PageNumber"/>
        <w:lang w:val="ru-RU"/>
      </w:rPr>
      <w:t>Резолюция</w:t>
    </w:r>
    <w:r>
      <w:rPr>
        <w:b w:val="0"/>
        <w:bCs/>
        <w:szCs w:val="22"/>
        <w:lang w:val="fr-CH"/>
      </w:rPr>
      <w:t xml:space="preserve"> </w:t>
    </w:r>
    <w:r w:rsidRPr="00A562C1">
      <w:rPr>
        <w:szCs w:val="22"/>
        <w:lang w:val="fr-CH"/>
      </w:rPr>
      <w:t>9</w:t>
    </w:r>
    <w:r>
      <w:rPr>
        <w:szCs w:val="22"/>
        <w:lang w:val="fr-CH"/>
      </w:rPr>
      <w:t xml:space="preserve"> – </w:t>
    </w:r>
    <w:r>
      <w:rPr>
        <w:szCs w:val="22"/>
        <w:lang w:val="ru-RU"/>
      </w:rPr>
      <w:t>Руководящие принципы</w:t>
    </w:r>
    <w:r>
      <w:rPr>
        <w:bCs/>
        <w:szCs w:val="22"/>
        <w:lang w:val="fr-CH"/>
      </w:rPr>
      <w:tab/>
    </w:r>
    <w:r w:rsidR="005D1F2F">
      <w:rPr>
        <w:rStyle w:val="PageNumber"/>
      </w:rPr>
      <w:fldChar w:fldCharType="begin"/>
    </w:r>
    <w:r>
      <w:rPr>
        <w:rStyle w:val="PageNumber"/>
      </w:rPr>
      <w:instrText xml:space="preserve"> PAGE </w:instrText>
    </w:r>
    <w:r w:rsidR="005D1F2F">
      <w:rPr>
        <w:rStyle w:val="PageNumber"/>
      </w:rPr>
      <w:fldChar w:fldCharType="separate"/>
    </w:r>
    <w:r>
      <w:rPr>
        <w:rStyle w:val="PageNumber"/>
        <w:noProof/>
      </w:rPr>
      <w:t>17</w:t>
    </w:r>
    <w:r w:rsidR="005D1F2F">
      <w:rPr>
        <w:rStyle w:val="PageNumber"/>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BB" w:rsidRPr="00F86DA5" w:rsidRDefault="005E55BB" w:rsidP="008C59D1">
    <w:pPr>
      <w:pStyle w:val="Header"/>
    </w:pPr>
    <w:r>
      <w:rPr>
        <w:rStyle w:val="PageNumber"/>
        <w:lang w:val="fr-CH"/>
      </w:rPr>
      <w:tab/>
    </w:r>
    <w:r>
      <w:rPr>
        <w:rStyle w:val="PageNumber"/>
        <w:lang w:val="ru-RU"/>
      </w:rPr>
      <w:t>Резолюция</w:t>
    </w:r>
    <w:r>
      <w:rPr>
        <w:b w:val="0"/>
        <w:bCs/>
        <w:szCs w:val="22"/>
        <w:lang w:val="fr-CH"/>
      </w:rPr>
      <w:t xml:space="preserve"> </w:t>
    </w:r>
    <w:r w:rsidRPr="00A562C1">
      <w:rPr>
        <w:szCs w:val="22"/>
        <w:lang w:val="fr-CH"/>
      </w:rPr>
      <w:t>9</w:t>
    </w:r>
    <w:r>
      <w:rPr>
        <w:szCs w:val="22"/>
        <w:lang w:val="fr-CH"/>
      </w:rPr>
      <w:t xml:space="preserve"> – </w:t>
    </w:r>
    <w:r>
      <w:rPr>
        <w:szCs w:val="22"/>
        <w:lang w:val="ru-RU"/>
      </w:rPr>
      <w:t>Руководящие принципы</w:t>
    </w:r>
    <w:r>
      <w:rPr>
        <w:bCs/>
        <w:szCs w:val="22"/>
        <w:lang w:val="fr-CH"/>
      </w:rPr>
      <w:tab/>
    </w:r>
    <w:r w:rsidR="005D1F2F">
      <w:rPr>
        <w:rStyle w:val="PageNumber"/>
      </w:rPr>
      <w:fldChar w:fldCharType="begin"/>
    </w:r>
    <w:r>
      <w:rPr>
        <w:rStyle w:val="PageNumber"/>
      </w:rPr>
      <w:instrText xml:space="preserve"> PAGE </w:instrText>
    </w:r>
    <w:r w:rsidR="005D1F2F">
      <w:rPr>
        <w:rStyle w:val="PageNumber"/>
      </w:rPr>
      <w:fldChar w:fldCharType="separate"/>
    </w:r>
    <w:r w:rsidR="005D46D3">
      <w:rPr>
        <w:rStyle w:val="PageNumber"/>
        <w:noProof/>
      </w:rPr>
      <w:t>17</w:t>
    </w:r>
    <w:r w:rsidR="005D1F2F">
      <w:rPr>
        <w:rStyle w:val="PageNumber"/>
      </w:rPr>
      <w:fldChar w:fldCharType="end"/>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BB" w:rsidRPr="006D3536" w:rsidRDefault="005D1F2F" w:rsidP="008C59D1">
    <w:pPr>
      <w:pStyle w:val="Header"/>
      <w:tabs>
        <w:tab w:val="left" w:pos="1122"/>
      </w:tabs>
      <w:jc w:val="left"/>
      <w:rPr>
        <w:lang w:val="ru-RU"/>
      </w:rPr>
    </w:pPr>
    <w:r>
      <w:rPr>
        <w:rStyle w:val="PageNumber"/>
      </w:rPr>
      <w:fldChar w:fldCharType="begin"/>
    </w:r>
    <w:r w:rsidR="005E55BB">
      <w:rPr>
        <w:rStyle w:val="PageNumber"/>
      </w:rPr>
      <w:instrText xml:space="preserve"> PAGE </w:instrText>
    </w:r>
    <w:r>
      <w:rPr>
        <w:rStyle w:val="PageNumber"/>
      </w:rPr>
      <w:fldChar w:fldCharType="separate"/>
    </w:r>
    <w:r w:rsidR="005D46D3">
      <w:rPr>
        <w:rStyle w:val="PageNumber"/>
        <w:noProof/>
      </w:rPr>
      <w:t>86</w:t>
    </w:r>
    <w:r>
      <w:rPr>
        <w:rStyle w:val="PageNumber"/>
      </w:rPr>
      <w:fldChar w:fldCharType="end"/>
    </w:r>
    <w:r w:rsidR="005E55BB">
      <w:rPr>
        <w:rStyle w:val="PageNumber"/>
        <w:lang w:val="fr-CH"/>
      </w:rPr>
      <w:tab/>
    </w:r>
    <w:r w:rsidR="005E55BB">
      <w:rPr>
        <w:rStyle w:val="PageNumber"/>
        <w:lang w:val="fr-CH"/>
      </w:rPr>
      <w:tab/>
    </w:r>
    <w:r w:rsidR="005E55BB">
      <w:rPr>
        <w:rStyle w:val="PageNumber"/>
        <w:lang w:val="ru-RU"/>
      </w:rPr>
      <w:t>Резолюция</w:t>
    </w:r>
    <w:r w:rsidR="005E55BB">
      <w:rPr>
        <w:b w:val="0"/>
        <w:bCs/>
        <w:szCs w:val="22"/>
        <w:lang w:val="fr-CH"/>
      </w:rPr>
      <w:t xml:space="preserve"> </w:t>
    </w:r>
    <w:r w:rsidR="005E55BB" w:rsidRPr="00A562C1">
      <w:rPr>
        <w:szCs w:val="22"/>
        <w:lang w:val="fr-CH"/>
      </w:rPr>
      <w:t>9</w:t>
    </w:r>
    <w:r w:rsidR="005E55BB">
      <w:rPr>
        <w:szCs w:val="22"/>
        <w:lang w:val="fr-CH"/>
      </w:rPr>
      <w:t xml:space="preserve"> – </w:t>
    </w:r>
    <w:r w:rsidR="005E55BB">
      <w:rPr>
        <w:szCs w:val="22"/>
        <w:lang w:val="ru-RU"/>
      </w:rPr>
      <w:t>Руководящие принципы</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BB" w:rsidRPr="00F86DA5" w:rsidRDefault="005E55BB" w:rsidP="008C59D1">
    <w:pPr>
      <w:pStyle w:val="Header"/>
    </w:pPr>
    <w:r>
      <w:rPr>
        <w:rStyle w:val="PageNumber"/>
        <w:lang w:val="fr-CH"/>
      </w:rPr>
      <w:tab/>
    </w:r>
    <w:r>
      <w:rPr>
        <w:rStyle w:val="PageNumber"/>
        <w:lang w:val="ru-RU"/>
      </w:rPr>
      <w:t>Резолюция</w:t>
    </w:r>
    <w:r>
      <w:rPr>
        <w:b w:val="0"/>
        <w:bCs/>
        <w:szCs w:val="22"/>
        <w:lang w:val="fr-CH"/>
      </w:rPr>
      <w:t xml:space="preserve"> </w:t>
    </w:r>
    <w:r w:rsidRPr="00A562C1">
      <w:rPr>
        <w:szCs w:val="22"/>
        <w:lang w:val="fr-CH"/>
      </w:rPr>
      <w:t>9</w:t>
    </w:r>
    <w:r>
      <w:rPr>
        <w:szCs w:val="22"/>
        <w:lang w:val="fr-CH"/>
      </w:rPr>
      <w:t xml:space="preserve"> – </w:t>
    </w:r>
    <w:r>
      <w:rPr>
        <w:szCs w:val="22"/>
        <w:lang w:val="ru-RU"/>
      </w:rPr>
      <w:t>Руководящие принципы</w:t>
    </w:r>
    <w:r>
      <w:rPr>
        <w:bCs/>
        <w:szCs w:val="22"/>
        <w:lang w:val="fr-CH"/>
      </w:rPr>
      <w:tab/>
    </w:r>
    <w:r w:rsidR="005D1F2F">
      <w:rPr>
        <w:rStyle w:val="PageNumber"/>
      </w:rPr>
      <w:fldChar w:fldCharType="begin"/>
    </w:r>
    <w:r>
      <w:rPr>
        <w:rStyle w:val="PageNumber"/>
      </w:rPr>
      <w:instrText xml:space="preserve"> PAGE </w:instrText>
    </w:r>
    <w:r w:rsidR="005D1F2F">
      <w:rPr>
        <w:rStyle w:val="PageNumber"/>
      </w:rPr>
      <w:fldChar w:fldCharType="separate"/>
    </w:r>
    <w:r w:rsidR="005D46D3">
      <w:rPr>
        <w:rStyle w:val="PageNumber"/>
        <w:noProof/>
      </w:rPr>
      <w:t>69</w:t>
    </w:r>
    <w:r w:rsidR="005D1F2F">
      <w:rPr>
        <w:rStyle w:val="PageNumber"/>
      </w:rPr>
      <w:fldChar w:fldCharType="end"/>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BB" w:rsidRPr="00761109" w:rsidRDefault="005D1F2F" w:rsidP="00C17344">
    <w:pPr>
      <w:pStyle w:val="Header"/>
    </w:pPr>
    <w:r>
      <w:rPr>
        <w:noProof/>
        <w:lang w:val="en-US" w:eastAsia="zh-CN"/>
      </w:rPr>
      <w:pict>
        <v:shapetype id="_x0000_t202" coordsize="21600,21600" o:spt="202" path="m,l,21600r21600,l21600,xe">
          <v:stroke joinstyle="miter"/>
          <v:path gradientshapeok="t" o:connecttype="rect"/>
        </v:shapetype>
        <v:shape id="_x0000_s59400" type="#_x0000_t202" style="position:absolute;left:0;text-align:left;margin-left:727.1pt;margin-top:20.25pt;width:30pt;height:495.75pt;z-index:251654656" stroked="f">
          <v:textbox style="layout-flow:vertical;mso-next-textbox:#_x0000_s59400">
            <w:txbxContent>
              <w:p w:rsidR="005E55BB" w:rsidRPr="00761109" w:rsidRDefault="005E55BB" w:rsidP="005F62A6">
                <w:pPr>
                  <w:spacing w:before="0"/>
                  <w:rPr>
                    <w:b/>
                    <w:bCs/>
                  </w:rPr>
                </w:pPr>
                <w:r w:rsidRPr="00761109">
                  <w:rPr>
                    <w:rStyle w:val="PageNumber"/>
                    <w:b/>
                    <w:bCs/>
                    <w:lang w:val="fr-CH"/>
                  </w:rPr>
                  <w:tab/>
                </w:r>
                <w:r w:rsidRPr="00761109">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sidRPr="005F62A6">
                  <w:rPr>
                    <w:rStyle w:val="PageNumber"/>
                    <w:b/>
                    <w:bCs/>
                    <w:lang w:val="ru-RU"/>
                  </w:rPr>
                  <w:t>Отчет по Резолюции 9</w:t>
                </w:r>
                <w:r w:rsidRPr="005F62A6">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sidR="005D1F2F" w:rsidRPr="00761109">
                  <w:rPr>
                    <w:rStyle w:val="PageNumber"/>
                    <w:b/>
                    <w:bCs/>
                  </w:rPr>
                  <w:fldChar w:fldCharType="begin"/>
                </w:r>
                <w:r w:rsidRPr="00761109">
                  <w:rPr>
                    <w:rStyle w:val="PageNumber"/>
                    <w:b/>
                    <w:bCs/>
                  </w:rPr>
                  <w:instrText xml:space="preserve"> PAGE </w:instrText>
                </w:r>
                <w:r w:rsidR="005D1F2F" w:rsidRPr="00761109">
                  <w:rPr>
                    <w:rStyle w:val="PageNumber"/>
                    <w:b/>
                    <w:bCs/>
                  </w:rPr>
                  <w:fldChar w:fldCharType="separate"/>
                </w:r>
                <w:r>
                  <w:rPr>
                    <w:rStyle w:val="PageNumber"/>
                    <w:b/>
                    <w:bCs/>
                    <w:noProof/>
                  </w:rPr>
                  <w:t>95</w:t>
                </w:r>
                <w:r w:rsidR="005D1F2F" w:rsidRPr="00761109">
                  <w:rPr>
                    <w:rStyle w:val="PageNumber"/>
                    <w:b/>
                    <w:bCs/>
                  </w:rPr>
                  <w:fldChar w:fldCharType="end"/>
                </w:r>
                <w:r>
                  <w:rPr>
                    <w:rStyle w:val="PageNumber"/>
                    <w:b/>
                    <w:bCs/>
                    <w:lang w:val="fr-CH"/>
                  </w:rPr>
                  <w:tab/>
                </w:r>
                <w:r>
                  <w:rPr>
                    <w:rStyle w:val="PageNumber"/>
                    <w:b/>
                    <w:bCs/>
                    <w:lang w:val="fr-CH"/>
                  </w:rPr>
                  <w:tab/>
                </w:r>
                <w:r>
                  <w:rPr>
                    <w:rStyle w:val="PageNumber"/>
                    <w:b/>
                    <w:bCs/>
                    <w:lang w:val="fr-CH"/>
                  </w:rPr>
                  <w:tab/>
                </w:r>
                <w:r>
                  <w:rPr>
                    <w:rStyle w:val="PageNumber"/>
                    <w:b/>
                    <w:bCs/>
                    <w:lang w:val="fr-CH"/>
                  </w:rPr>
                  <w:tab/>
                </w:r>
                <w:r>
                  <w:rPr>
                    <w:rStyle w:val="PageNumber"/>
                    <w:b/>
                    <w:bCs/>
                    <w:lang w:val="fr-CH"/>
                  </w:rPr>
                  <w:tab/>
                </w:r>
                <w:r w:rsidR="005D1F2F" w:rsidRPr="00761109">
                  <w:rPr>
                    <w:rStyle w:val="PageNumber"/>
                    <w:b/>
                    <w:bCs/>
                  </w:rPr>
                  <w:fldChar w:fldCharType="begin"/>
                </w:r>
                <w:r w:rsidRPr="00761109">
                  <w:rPr>
                    <w:rStyle w:val="PageNumber"/>
                    <w:b/>
                    <w:bCs/>
                  </w:rPr>
                  <w:instrText xml:space="preserve"> PAGE </w:instrText>
                </w:r>
                <w:r w:rsidR="005D1F2F" w:rsidRPr="00761109">
                  <w:rPr>
                    <w:rStyle w:val="PageNumber"/>
                    <w:b/>
                    <w:bCs/>
                  </w:rPr>
                  <w:fldChar w:fldCharType="separate"/>
                </w:r>
                <w:r>
                  <w:rPr>
                    <w:rStyle w:val="PageNumber"/>
                    <w:b/>
                    <w:bCs/>
                    <w:noProof/>
                  </w:rPr>
                  <w:t>95</w:t>
                </w:r>
                <w:r w:rsidR="005D1F2F" w:rsidRPr="00761109">
                  <w:rPr>
                    <w:rStyle w:val="PageNumber"/>
                    <w:b/>
                    <w:bCs/>
                  </w:rPr>
                  <w:fldChar w:fldCharType="end"/>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BB" w:rsidRPr="00B04C99" w:rsidRDefault="005E55BB" w:rsidP="00CD30E0">
    <w:pPr>
      <w:pStyle w:val="Header"/>
      <w:tabs>
        <w:tab w:val="clear" w:pos="4820"/>
        <w:tab w:val="clear" w:pos="9639"/>
        <w:tab w:val="left" w:pos="907"/>
        <w:tab w:val="center" w:pos="4849"/>
        <w:tab w:val="right" w:pos="8789"/>
        <w:tab w:val="right" w:pos="9730"/>
      </w:tabs>
      <w:spacing w:before="240"/>
      <w:ind w:left="284" w:right="-1134"/>
      <w:jc w:val="both"/>
      <w:rPr>
        <w:rFonts w:ascii="Arial" w:hAnsi="Arial" w:cs="Arial"/>
        <w:color w:val="C0C0C0"/>
        <w:spacing w:val="154"/>
        <w:sz w:val="26"/>
        <w:szCs w:val="26"/>
        <w:lang w:val="ru-RU"/>
      </w:rPr>
    </w:pPr>
    <w:r w:rsidRPr="00B04C99">
      <w:rPr>
        <w:rFonts w:ascii="Arial" w:hAnsi="Arial" w:cs="Arial"/>
        <w:color w:val="C0C0C0"/>
        <w:spacing w:val="154"/>
        <w:sz w:val="26"/>
        <w:szCs w:val="26"/>
        <w:lang w:val="ru-RU"/>
      </w:rPr>
      <w:t>Международный союз электросвязи</w:t>
    </w:r>
  </w:p>
  <w:p w:rsidR="005E55BB" w:rsidRPr="0062594A" w:rsidRDefault="005E55BB" w:rsidP="00AA5FB6">
    <w:pPr>
      <w:pStyle w:val="Header"/>
      <w:tabs>
        <w:tab w:val="clear" w:pos="4820"/>
        <w:tab w:val="clear" w:pos="9639"/>
        <w:tab w:val="left" w:pos="907"/>
        <w:tab w:val="center" w:pos="4849"/>
        <w:tab w:val="right" w:pos="8789"/>
        <w:tab w:val="right" w:pos="9730"/>
      </w:tabs>
      <w:spacing w:before="240"/>
      <w:ind w:left="284" w:right="-1134"/>
      <w:jc w:val="both"/>
      <w:rPr>
        <w:rFonts w:ascii="Univers BoldExt" w:hAnsi="Univers BoldExt"/>
        <w:b w:val="0"/>
        <w:bCs/>
        <w:color w:val="999999"/>
        <w:spacing w:val="74"/>
        <w:sz w:val="24"/>
        <w:szCs w:val="18"/>
        <w:lang w:val="fr-CH"/>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BB" w:rsidRDefault="005D1F2F" w:rsidP="00F86DA5">
    <w:pPr>
      <w:pStyle w:val="Header"/>
      <w:tabs>
        <w:tab w:val="left" w:pos="1122"/>
      </w:tabs>
      <w:jc w:val="left"/>
      <w:rPr>
        <w:lang w:val="fr-CH"/>
      </w:rPr>
    </w:pPr>
    <w:r>
      <w:rPr>
        <w:rStyle w:val="PageNumber"/>
      </w:rPr>
      <w:fldChar w:fldCharType="begin"/>
    </w:r>
    <w:r w:rsidR="005E55BB">
      <w:rPr>
        <w:rStyle w:val="PageNumber"/>
      </w:rPr>
      <w:instrText xml:space="preserve"> PAGE </w:instrText>
    </w:r>
    <w:r>
      <w:rPr>
        <w:rStyle w:val="PageNumber"/>
      </w:rPr>
      <w:fldChar w:fldCharType="separate"/>
    </w:r>
    <w:r w:rsidR="005E55BB">
      <w:rPr>
        <w:rStyle w:val="PageNumber"/>
        <w:noProof/>
      </w:rPr>
      <w:t>5</w:t>
    </w:r>
    <w:r>
      <w:rPr>
        <w:rStyle w:val="PageNumber"/>
      </w:rPr>
      <w:fldChar w:fldCharType="end"/>
    </w:r>
    <w:r w:rsidR="005E55BB">
      <w:rPr>
        <w:rStyle w:val="PageNumber"/>
        <w:lang w:val="fr-CH"/>
      </w:rPr>
      <w:tab/>
    </w:r>
    <w:r w:rsidR="005E55BB">
      <w:rPr>
        <w:rStyle w:val="PageNumber"/>
        <w:lang w:val="fr-CH"/>
      </w:rPr>
      <w:tab/>
      <w:t xml:space="preserve">Resolution </w:t>
    </w:r>
    <w:r w:rsidR="005E55BB">
      <w:rPr>
        <w:bCs/>
        <w:szCs w:val="22"/>
        <w:lang w:val="fr-CH"/>
      </w:rPr>
      <w:t>9</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BB" w:rsidRPr="0093317B" w:rsidRDefault="005E55BB" w:rsidP="0093317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BB" w:rsidRPr="006D3536" w:rsidRDefault="005D1F2F" w:rsidP="00F86DA5">
    <w:pPr>
      <w:pStyle w:val="Header"/>
      <w:tabs>
        <w:tab w:val="left" w:pos="1122"/>
      </w:tabs>
      <w:jc w:val="left"/>
      <w:rPr>
        <w:lang w:val="ru-RU"/>
      </w:rPr>
    </w:pPr>
    <w:r>
      <w:rPr>
        <w:rStyle w:val="PageNumber"/>
      </w:rPr>
      <w:fldChar w:fldCharType="begin"/>
    </w:r>
    <w:r w:rsidR="005E55BB">
      <w:rPr>
        <w:rStyle w:val="PageNumber"/>
      </w:rPr>
      <w:instrText xml:space="preserve"> PAGE </w:instrText>
    </w:r>
    <w:r>
      <w:rPr>
        <w:rStyle w:val="PageNumber"/>
      </w:rPr>
      <w:fldChar w:fldCharType="separate"/>
    </w:r>
    <w:r w:rsidR="005D46D3">
      <w:rPr>
        <w:rStyle w:val="PageNumber"/>
        <w:noProof/>
      </w:rPr>
      <w:t>ii</w:t>
    </w:r>
    <w:r>
      <w:rPr>
        <w:rStyle w:val="PageNumber"/>
      </w:rPr>
      <w:fldChar w:fldCharType="end"/>
    </w:r>
    <w:r w:rsidR="005E55BB">
      <w:rPr>
        <w:rStyle w:val="PageNumber"/>
        <w:lang w:val="fr-CH"/>
      </w:rPr>
      <w:tab/>
    </w:r>
    <w:r w:rsidR="005E55BB">
      <w:rPr>
        <w:rStyle w:val="PageNumber"/>
        <w:lang w:val="fr-CH"/>
      </w:rPr>
      <w:tab/>
    </w:r>
    <w:r w:rsidR="005E55BB">
      <w:rPr>
        <w:rStyle w:val="PageNumber"/>
        <w:lang w:val="ru-RU"/>
      </w:rPr>
      <w:t>Резолюция</w:t>
    </w:r>
    <w:r w:rsidR="005E55BB">
      <w:rPr>
        <w:b w:val="0"/>
        <w:bCs/>
        <w:szCs w:val="22"/>
        <w:lang w:val="fr-CH"/>
      </w:rPr>
      <w:t xml:space="preserve"> </w:t>
    </w:r>
    <w:r w:rsidR="005E55BB" w:rsidRPr="00A562C1">
      <w:rPr>
        <w:szCs w:val="22"/>
        <w:lang w:val="fr-CH"/>
      </w:rPr>
      <w:t>9</w:t>
    </w:r>
    <w:r w:rsidR="005E55BB">
      <w:rPr>
        <w:szCs w:val="22"/>
        <w:lang w:val="fr-CH"/>
      </w:rPr>
      <w:t xml:space="preserve"> – </w:t>
    </w:r>
    <w:r w:rsidR="005E55BB">
      <w:rPr>
        <w:szCs w:val="22"/>
        <w:lang w:val="ru-RU"/>
      </w:rPr>
      <w:t>Руководящие принципы</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BB" w:rsidRDefault="005E55BB" w:rsidP="00F86DA5">
    <w:pPr>
      <w:pStyle w:val="Header"/>
      <w:tabs>
        <w:tab w:val="left" w:pos="1122"/>
      </w:tabs>
      <w:jc w:val="left"/>
      <w:rPr>
        <w:lang w:val="fr-CH"/>
      </w:rPr>
    </w:pPr>
    <w:r>
      <w:rPr>
        <w:rStyle w:val="PageNumber"/>
        <w:lang w:val="fr-CH"/>
      </w:rPr>
      <w:tab/>
    </w:r>
    <w:r>
      <w:rPr>
        <w:rStyle w:val="PageNumber"/>
        <w:lang w:val="fr-CH"/>
      </w:rPr>
      <w:tab/>
    </w:r>
    <w:r>
      <w:rPr>
        <w:rStyle w:val="PageNumber"/>
        <w:lang w:val="ru-RU"/>
      </w:rPr>
      <w:t>Резолюция</w:t>
    </w:r>
    <w:r>
      <w:rPr>
        <w:b w:val="0"/>
        <w:bCs/>
        <w:szCs w:val="22"/>
        <w:lang w:val="fr-CH"/>
      </w:rPr>
      <w:t xml:space="preserve"> </w:t>
    </w:r>
    <w:r w:rsidRPr="00A562C1">
      <w:rPr>
        <w:szCs w:val="22"/>
        <w:lang w:val="fr-CH"/>
      </w:rPr>
      <w:t>9</w:t>
    </w:r>
    <w:r>
      <w:rPr>
        <w:szCs w:val="22"/>
        <w:lang w:val="fr-CH"/>
      </w:rPr>
      <w:t xml:space="preserve"> – </w:t>
    </w:r>
    <w:r>
      <w:rPr>
        <w:szCs w:val="22"/>
        <w:lang w:val="ru-RU"/>
      </w:rPr>
      <w:t>Руководящие принципы</w:t>
    </w:r>
    <w:r>
      <w:rPr>
        <w:bCs/>
        <w:szCs w:val="22"/>
        <w:lang w:val="fr-CH"/>
      </w:rPr>
      <w:tab/>
    </w:r>
    <w:r w:rsidR="005D1F2F">
      <w:rPr>
        <w:rStyle w:val="PageNumber"/>
      </w:rPr>
      <w:fldChar w:fldCharType="begin"/>
    </w:r>
    <w:r>
      <w:rPr>
        <w:rStyle w:val="PageNumber"/>
      </w:rPr>
      <w:instrText xml:space="preserve"> PAGE </w:instrText>
    </w:r>
    <w:r w:rsidR="005D1F2F">
      <w:rPr>
        <w:rStyle w:val="PageNumber"/>
      </w:rPr>
      <w:fldChar w:fldCharType="separate"/>
    </w:r>
    <w:r w:rsidR="005D46D3">
      <w:rPr>
        <w:rStyle w:val="PageNumber"/>
        <w:noProof/>
      </w:rPr>
      <w:t>i</w:t>
    </w:r>
    <w:r w:rsidR="005D1F2F">
      <w:rPr>
        <w:rStyle w:val="PageNumber"/>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BB" w:rsidRPr="006D3536" w:rsidRDefault="005D1F2F" w:rsidP="00F86DA5">
    <w:pPr>
      <w:pStyle w:val="Header"/>
      <w:tabs>
        <w:tab w:val="left" w:pos="1122"/>
      </w:tabs>
      <w:jc w:val="left"/>
      <w:rPr>
        <w:lang w:val="ru-RU"/>
      </w:rPr>
    </w:pPr>
    <w:r>
      <w:rPr>
        <w:rStyle w:val="PageNumber"/>
      </w:rPr>
      <w:fldChar w:fldCharType="begin"/>
    </w:r>
    <w:r w:rsidR="005E55BB">
      <w:rPr>
        <w:rStyle w:val="PageNumber"/>
      </w:rPr>
      <w:instrText xml:space="preserve"> PAGE </w:instrText>
    </w:r>
    <w:r>
      <w:rPr>
        <w:rStyle w:val="PageNumber"/>
      </w:rPr>
      <w:fldChar w:fldCharType="separate"/>
    </w:r>
    <w:r w:rsidR="005D46D3">
      <w:rPr>
        <w:rStyle w:val="PageNumber"/>
        <w:noProof/>
      </w:rPr>
      <w:t>18</w:t>
    </w:r>
    <w:r>
      <w:rPr>
        <w:rStyle w:val="PageNumber"/>
      </w:rPr>
      <w:fldChar w:fldCharType="end"/>
    </w:r>
    <w:r w:rsidR="005E55BB">
      <w:rPr>
        <w:rStyle w:val="PageNumber"/>
        <w:lang w:val="fr-CH"/>
      </w:rPr>
      <w:tab/>
    </w:r>
    <w:r w:rsidR="005E55BB">
      <w:rPr>
        <w:rStyle w:val="PageNumber"/>
        <w:lang w:val="fr-CH"/>
      </w:rPr>
      <w:tab/>
    </w:r>
    <w:r w:rsidR="005E55BB">
      <w:rPr>
        <w:rStyle w:val="PageNumber"/>
        <w:lang w:val="ru-RU"/>
      </w:rPr>
      <w:t>Резолюция</w:t>
    </w:r>
    <w:r w:rsidR="005E55BB">
      <w:rPr>
        <w:b w:val="0"/>
        <w:bCs/>
        <w:szCs w:val="22"/>
        <w:lang w:val="fr-CH"/>
      </w:rPr>
      <w:t xml:space="preserve"> </w:t>
    </w:r>
    <w:r w:rsidR="005E55BB" w:rsidRPr="00A562C1">
      <w:rPr>
        <w:szCs w:val="22"/>
        <w:lang w:val="fr-CH"/>
      </w:rPr>
      <w:t>9</w:t>
    </w:r>
    <w:r w:rsidR="005E55BB">
      <w:rPr>
        <w:szCs w:val="22"/>
        <w:lang w:val="fr-CH"/>
      </w:rPr>
      <w:t xml:space="preserve"> – </w:t>
    </w:r>
    <w:r w:rsidR="005E55BB">
      <w:rPr>
        <w:szCs w:val="22"/>
        <w:lang w:val="ru-RU"/>
      </w:rPr>
      <w:t>Руководящие принципы</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BB" w:rsidRPr="00F86DA5" w:rsidRDefault="005E55BB" w:rsidP="008C51B8">
    <w:pPr>
      <w:pStyle w:val="Header"/>
    </w:pPr>
    <w:r>
      <w:rPr>
        <w:rStyle w:val="PageNumber"/>
        <w:lang w:val="fr-CH"/>
      </w:rPr>
      <w:tab/>
    </w:r>
    <w:r>
      <w:rPr>
        <w:rStyle w:val="PageNumber"/>
        <w:lang w:val="ru-RU"/>
      </w:rPr>
      <w:t>Резолюция</w:t>
    </w:r>
    <w:r>
      <w:rPr>
        <w:b w:val="0"/>
        <w:bCs/>
        <w:szCs w:val="22"/>
        <w:lang w:val="fr-CH"/>
      </w:rPr>
      <w:t xml:space="preserve"> </w:t>
    </w:r>
    <w:r w:rsidRPr="00A562C1">
      <w:rPr>
        <w:szCs w:val="22"/>
        <w:lang w:val="fr-CH"/>
      </w:rPr>
      <w:t>9</w:t>
    </w:r>
    <w:r>
      <w:rPr>
        <w:szCs w:val="22"/>
        <w:lang w:val="fr-CH"/>
      </w:rPr>
      <w:t xml:space="preserve"> – </w:t>
    </w:r>
    <w:r>
      <w:rPr>
        <w:szCs w:val="22"/>
        <w:lang w:val="ru-RU"/>
      </w:rPr>
      <w:t>Руководящие принципы</w:t>
    </w:r>
    <w:r>
      <w:rPr>
        <w:bCs/>
        <w:szCs w:val="22"/>
        <w:lang w:val="fr-CH"/>
      </w:rPr>
      <w:tab/>
    </w:r>
    <w:r w:rsidR="005D1F2F">
      <w:rPr>
        <w:rStyle w:val="PageNumber"/>
      </w:rPr>
      <w:fldChar w:fldCharType="begin"/>
    </w:r>
    <w:r>
      <w:rPr>
        <w:rStyle w:val="PageNumber"/>
      </w:rPr>
      <w:instrText xml:space="preserve"> PAGE </w:instrText>
    </w:r>
    <w:r w:rsidR="005D1F2F">
      <w:rPr>
        <w:rStyle w:val="PageNumber"/>
      </w:rPr>
      <w:fldChar w:fldCharType="separate"/>
    </w:r>
    <w:r w:rsidR="005D46D3">
      <w:rPr>
        <w:rStyle w:val="PageNumber"/>
        <w:noProof/>
      </w:rPr>
      <w:t>15</w:t>
    </w:r>
    <w:r w:rsidR="005D1F2F">
      <w:rPr>
        <w:rStyle w:val="PageNumber"/>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BB" w:rsidRPr="00F86DA5" w:rsidRDefault="005E55BB" w:rsidP="00F86DA5">
    <w:pPr>
      <w:pStyle w:val="Header"/>
    </w:pPr>
    <w:r>
      <w:rPr>
        <w:rStyle w:val="PageNumber"/>
        <w:lang w:val="fr-CH"/>
      </w:rPr>
      <w:tab/>
    </w:r>
    <w:r>
      <w:rPr>
        <w:rStyle w:val="PageNumber"/>
        <w:lang w:val="ru-RU"/>
      </w:rPr>
      <w:t>Резолюция</w:t>
    </w:r>
    <w:r>
      <w:rPr>
        <w:b w:val="0"/>
        <w:bCs/>
        <w:szCs w:val="22"/>
        <w:lang w:val="fr-CH"/>
      </w:rPr>
      <w:t xml:space="preserve"> </w:t>
    </w:r>
    <w:r w:rsidRPr="00A562C1">
      <w:rPr>
        <w:szCs w:val="22"/>
        <w:lang w:val="fr-CH"/>
      </w:rPr>
      <w:t>9</w:t>
    </w:r>
    <w:r>
      <w:rPr>
        <w:szCs w:val="22"/>
        <w:lang w:val="fr-CH"/>
      </w:rPr>
      <w:t xml:space="preserve"> – </w:t>
    </w:r>
    <w:r>
      <w:rPr>
        <w:szCs w:val="22"/>
        <w:lang w:val="ru-RU"/>
      </w:rPr>
      <w:t>Руководящие принципы</w:t>
    </w:r>
    <w:r>
      <w:rPr>
        <w:bCs/>
        <w:szCs w:val="22"/>
        <w:lang w:val="fr-CH"/>
      </w:rPr>
      <w:tab/>
    </w:r>
    <w:r w:rsidR="005D1F2F">
      <w:rPr>
        <w:rStyle w:val="PageNumber"/>
      </w:rPr>
      <w:fldChar w:fldCharType="begin"/>
    </w:r>
    <w:r>
      <w:rPr>
        <w:rStyle w:val="PageNumber"/>
      </w:rPr>
      <w:instrText xml:space="preserve"> PAGE </w:instrText>
    </w:r>
    <w:r w:rsidR="005D1F2F">
      <w:rPr>
        <w:rStyle w:val="PageNumber"/>
      </w:rPr>
      <w:fldChar w:fldCharType="separate"/>
    </w:r>
    <w:r w:rsidR="005D46D3">
      <w:rPr>
        <w:rStyle w:val="PageNumber"/>
        <w:noProof/>
      </w:rPr>
      <w:t>1</w:t>
    </w:r>
    <w:r w:rsidR="005D1F2F">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75pt;height:8.75pt" o:bullet="t">
        <v:imagedata r:id="rId1" o:title="BD10267_"/>
      </v:shape>
    </w:pict>
  </w:numPicBullet>
  <w:abstractNum w:abstractNumId="0">
    <w:nsid w:val="FFFFFF7C"/>
    <w:multiLevelType w:val="singleLevel"/>
    <w:tmpl w:val="482C4804"/>
    <w:lvl w:ilvl="0">
      <w:start w:val="1"/>
      <w:numFmt w:val="decimal"/>
      <w:lvlText w:val="%1."/>
      <w:lvlJc w:val="left"/>
      <w:pPr>
        <w:tabs>
          <w:tab w:val="num" w:pos="1492"/>
        </w:tabs>
        <w:ind w:left="1492" w:hanging="360"/>
      </w:pPr>
    </w:lvl>
  </w:abstractNum>
  <w:abstractNum w:abstractNumId="1">
    <w:nsid w:val="FFFFFF7D"/>
    <w:multiLevelType w:val="singleLevel"/>
    <w:tmpl w:val="013CAB18"/>
    <w:lvl w:ilvl="0">
      <w:start w:val="1"/>
      <w:numFmt w:val="decimal"/>
      <w:lvlText w:val="%1."/>
      <w:lvlJc w:val="left"/>
      <w:pPr>
        <w:tabs>
          <w:tab w:val="num" w:pos="1209"/>
        </w:tabs>
        <w:ind w:left="1209" w:hanging="360"/>
      </w:pPr>
    </w:lvl>
  </w:abstractNum>
  <w:abstractNum w:abstractNumId="2">
    <w:nsid w:val="FFFFFF7E"/>
    <w:multiLevelType w:val="singleLevel"/>
    <w:tmpl w:val="4796BFDC"/>
    <w:lvl w:ilvl="0">
      <w:start w:val="1"/>
      <w:numFmt w:val="decimal"/>
      <w:lvlText w:val="%1."/>
      <w:lvlJc w:val="left"/>
      <w:pPr>
        <w:tabs>
          <w:tab w:val="num" w:pos="926"/>
        </w:tabs>
        <w:ind w:left="926" w:hanging="360"/>
      </w:pPr>
    </w:lvl>
  </w:abstractNum>
  <w:abstractNum w:abstractNumId="3">
    <w:nsid w:val="FFFFFF80"/>
    <w:multiLevelType w:val="singleLevel"/>
    <w:tmpl w:val="CF2C8A12"/>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BA3ABE02"/>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7A2695E4"/>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787E0156"/>
    <w:lvl w:ilvl="0">
      <w:start w:val="1"/>
      <w:numFmt w:val="bullet"/>
      <w:lvlText w:val=""/>
      <w:lvlJc w:val="left"/>
      <w:pPr>
        <w:tabs>
          <w:tab w:val="num" w:pos="643"/>
        </w:tabs>
        <w:ind w:left="643" w:hanging="360"/>
      </w:pPr>
      <w:rPr>
        <w:rFonts w:ascii="Symbol" w:hAnsi="Symbol" w:hint="default"/>
      </w:rPr>
    </w:lvl>
  </w:abstractNum>
  <w:abstractNum w:abstractNumId="7">
    <w:nsid w:val="00000001"/>
    <w:multiLevelType w:val="multilevel"/>
    <w:tmpl w:val="00000001"/>
    <w:lvl w:ilvl="0">
      <w:start w:val="1"/>
      <w:numFmt w:val="none"/>
      <w:pStyle w:val="CEOHeader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49271E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0BAD2384"/>
    <w:multiLevelType w:val="hybridMultilevel"/>
    <w:tmpl w:val="3228AFFC"/>
    <w:lvl w:ilvl="0" w:tplc="6EAACB44">
      <w:start w:val="1"/>
      <w:numFmt w:val="bullet"/>
      <w:pStyle w:val="CEOIndent-bulletsBlueSquare"/>
      <w:lvlText w:val=""/>
      <w:lvlPicBulletId w:val="0"/>
      <w:lvlJc w:val="left"/>
      <w:pPr>
        <w:tabs>
          <w:tab w:val="num" w:pos="927"/>
        </w:tabs>
        <w:ind w:left="927" w:hanging="360"/>
      </w:pPr>
      <w:rPr>
        <w:rFonts w:ascii="Symbol" w:hAnsi="Symbol" w:hint="default"/>
        <w:color w:val="auto"/>
      </w:rPr>
    </w:lvl>
    <w:lvl w:ilvl="1" w:tplc="78721850" w:tentative="1">
      <w:start w:val="1"/>
      <w:numFmt w:val="bullet"/>
      <w:lvlText w:val="o"/>
      <w:lvlJc w:val="left"/>
      <w:pPr>
        <w:tabs>
          <w:tab w:val="num" w:pos="2007"/>
        </w:tabs>
        <w:ind w:left="2007" w:hanging="360"/>
      </w:pPr>
      <w:rPr>
        <w:rFonts w:ascii="Courier New" w:hAnsi="Courier New" w:cs="Courier New" w:hint="default"/>
      </w:rPr>
    </w:lvl>
    <w:lvl w:ilvl="2" w:tplc="0F5A3AB2" w:tentative="1">
      <w:start w:val="1"/>
      <w:numFmt w:val="bullet"/>
      <w:lvlText w:val=""/>
      <w:lvlJc w:val="left"/>
      <w:pPr>
        <w:tabs>
          <w:tab w:val="num" w:pos="2727"/>
        </w:tabs>
        <w:ind w:left="2727" w:hanging="360"/>
      </w:pPr>
      <w:rPr>
        <w:rFonts w:ascii="Wingdings" w:hAnsi="Wingdings" w:hint="default"/>
      </w:rPr>
    </w:lvl>
    <w:lvl w:ilvl="3" w:tplc="2B084992" w:tentative="1">
      <w:start w:val="1"/>
      <w:numFmt w:val="bullet"/>
      <w:lvlText w:val=""/>
      <w:lvlJc w:val="left"/>
      <w:pPr>
        <w:tabs>
          <w:tab w:val="num" w:pos="3447"/>
        </w:tabs>
        <w:ind w:left="3447" w:hanging="360"/>
      </w:pPr>
      <w:rPr>
        <w:rFonts w:ascii="Symbol" w:hAnsi="Symbol" w:hint="default"/>
      </w:rPr>
    </w:lvl>
    <w:lvl w:ilvl="4" w:tplc="C2748158" w:tentative="1">
      <w:start w:val="1"/>
      <w:numFmt w:val="bullet"/>
      <w:lvlText w:val="o"/>
      <w:lvlJc w:val="left"/>
      <w:pPr>
        <w:tabs>
          <w:tab w:val="num" w:pos="4167"/>
        </w:tabs>
        <w:ind w:left="4167" w:hanging="360"/>
      </w:pPr>
      <w:rPr>
        <w:rFonts w:ascii="Courier New" w:hAnsi="Courier New" w:cs="Courier New" w:hint="default"/>
      </w:rPr>
    </w:lvl>
    <w:lvl w:ilvl="5" w:tplc="7958A8BE" w:tentative="1">
      <w:start w:val="1"/>
      <w:numFmt w:val="bullet"/>
      <w:lvlText w:val=""/>
      <w:lvlJc w:val="left"/>
      <w:pPr>
        <w:tabs>
          <w:tab w:val="num" w:pos="4887"/>
        </w:tabs>
        <w:ind w:left="4887" w:hanging="360"/>
      </w:pPr>
      <w:rPr>
        <w:rFonts w:ascii="Wingdings" w:hAnsi="Wingdings" w:hint="default"/>
      </w:rPr>
    </w:lvl>
    <w:lvl w:ilvl="6" w:tplc="03ECE76C" w:tentative="1">
      <w:start w:val="1"/>
      <w:numFmt w:val="bullet"/>
      <w:lvlText w:val=""/>
      <w:lvlJc w:val="left"/>
      <w:pPr>
        <w:tabs>
          <w:tab w:val="num" w:pos="5607"/>
        </w:tabs>
        <w:ind w:left="5607" w:hanging="360"/>
      </w:pPr>
      <w:rPr>
        <w:rFonts w:ascii="Symbol" w:hAnsi="Symbol" w:hint="default"/>
      </w:rPr>
    </w:lvl>
    <w:lvl w:ilvl="7" w:tplc="A4060778" w:tentative="1">
      <w:start w:val="1"/>
      <w:numFmt w:val="bullet"/>
      <w:lvlText w:val="o"/>
      <w:lvlJc w:val="left"/>
      <w:pPr>
        <w:tabs>
          <w:tab w:val="num" w:pos="6327"/>
        </w:tabs>
        <w:ind w:left="6327" w:hanging="360"/>
      </w:pPr>
      <w:rPr>
        <w:rFonts w:ascii="Courier New" w:hAnsi="Courier New" w:cs="Courier New" w:hint="default"/>
      </w:rPr>
    </w:lvl>
    <w:lvl w:ilvl="8" w:tplc="09C89BBA" w:tentative="1">
      <w:start w:val="1"/>
      <w:numFmt w:val="bullet"/>
      <w:lvlText w:val=""/>
      <w:lvlJc w:val="left"/>
      <w:pPr>
        <w:tabs>
          <w:tab w:val="num" w:pos="7047"/>
        </w:tabs>
        <w:ind w:left="7047" w:hanging="360"/>
      </w:pPr>
      <w:rPr>
        <w:rFonts w:ascii="Wingdings" w:hAnsi="Wingdings" w:hint="default"/>
      </w:rPr>
    </w:lvl>
  </w:abstractNum>
  <w:abstractNum w:abstractNumId="10">
    <w:nsid w:val="28FF7C6E"/>
    <w:multiLevelType w:val="hybridMultilevel"/>
    <w:tmpl w:val="D1DA13B6"/>
    <w:lvl w:ilvl="0" w:tplc="040C0017">
      <w:start w:val="1"/>
      <w:numFmt w:val="decimal"/>
      <w:pStyle w:val="CEOHeading1-Numbered"/>
      <w:lvlText w:val="%1."/>
      <w:lvlJc w:val="left"/>
      <w:pPr>
        <w:tabs>
          <w:tab w:val="num" w:pos="360"/>
        </w:tabs>
        <w:ind w:left="360" w:hanging="360"/>
      </w:pPr>
      <w:rPr>
        <w:rFonts w:hint="default"/>
      </w:rPr>
    </w:lvl>
    <w:lvl w:ilvl="1" w:tplc="59F2FC24" w:tentative="1">
      <w:start w:val="1"/>
      <w:numFmt w:val="lowerLetter"/>
      <w:lvlText w:val="%2."/>
      <w:lvlJc w:val="left"/>
      <w:pPr>
        <w:tabs>
          <w:tab w:val="num" w:pos="1440"/>
        </w:tabs>
        <w:ind w:left="1440" w:hanging="360"/>
      </w:pPr>
    </w:lvl>
    <w:lvl w:ilvl="2" w:tplc="040C0011" w:tentative="1">
      <w:start w:val="1"/>
      <w:numFmt w:val="lowerRoman"/>
      <w:lvlText w:val="%3."/>
      <w:lvlJc w:val="right"/>
      <w:pPr>
        <w:tabs>
          <w:tab w:val="num" w:pos="2160"/>
        </w:tabs>
        <w:ind w:left="2160" w:hanging="180"/>
      </w:pPr>
    </w:lvl>
    <w:lvl w:ilvl="3" w:tplc="8EA6E6F2" w:tentative="1">
      <w:start w:val="1"/>
      <w:numFmt w:val="decimal"/>
      <w:lvlText w:val="%4."/>
      <w:lvlJc w:val="left"/>
      <w:pPr>
        <w:tabs>
          <w:tab w:val="num" w:pos="2880"/>
        </w:tabs>
        <w:ind w:left="2880" w:hanging="360"/>
      </w:pPr>
    </w:lvl>
    <w:lvl w:ilvl="4" w:tplc="850A5CD4"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5D1554C"/>
    <w:multiLevelType w:val="hybridMultilevel"/>
    <w:tmpl w:val="F62469F4"/>
    <w:lvl w:ilvl="0" w:tplc="FE9C63CA">
      <w:start w:val="1"/>
      <w:numFmt w:val="bullet"/>
      <w:pStyle w:val="CEOindent-endash"/>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2">
    <w:nsid w:val="37ED3CC0"/>
    <w:multiLevelType w:val="hybridMultilevel"/>
    <w:tmpl w:val="1A881D94"/>
    <w:lvl w:ilvl="0" w:tplc="3ACAC056">
      <w:start w:val="1"/>
      <w:numFmt w:val="bullet"/>
      <w:pStyle w:val="CEOEndashListNoIndent"/>
      <w:lvlText w:val="–"/>
      <w:lvlJc w:val="left"/>
      <w:pPr>
        <w:tabs>
          <w:tab w:val="num" w:pos="2237"/>
        </w:tabs>
        <w:ind w:left="2237" w:hanging="360"/>
      </w:pPr>
      <w:rPr>
        <w:rFonts w:ascii="Verdana" w:hAnsi="Verdana" w:hint="default"/>
        <w:color w:val="auto"/>
      </w:rPr>
    </w:lvl>
    <w:lvl w:ilvl="1" w:tplc="52283970" w:tentative="1">
      <w:start w:val="1"/>
      <w:numFmt w:val="bullet"/>
      <w:lvlText w:val="o"/>
      <w:lvlJc w:val="left"/>
      <w:pPr>
        <w:tabs>
          <w:tab w:val="num" w:pos="1440"/>
        </w:tabs>
        <w:ind w:left="1440" w:hanging="360"/>
      </w:pPr>
      <w:rPr>
        <w:rFonts w:ascii="Courier New" w:hAnsi="Courier New" w:cs="Courier New" w:hint="default"/>
      </w:rPr>
    </w:lvl>
    <w:lvl w:ilvl="2" w:tplc="00620814" w:tentative="1">
      <w:start w:val="1"/>
      <w:numFmt w:val="bullet"/>
      <w:lvlText w:val=""/>
      <w:lvlJc w:val="left"/>
      <w:pPr>
        <w:tabs>
          <w:tab w:val="num" w:pos="2160"/>
        </w:tabs>
        <w:ind w:left="2160" w:hanging="360"/>
      </w:pPr>
      <w:rPr>
        <w:rFonts w:ascii="Wingdings" w:hAnsi="Wingdings" w:hint="default"/>
      </w:rPr>
    </w:lvl>
    <w:lvl w:ilvl="3" w:tplc="3E78D39A" w:tentative="1">
      <w:start w:val="1"/>
      <w:numFmt w:val="bullet"/>
      <w:lvlText w:val=""/>
      <w:lvlJc w:val="left"/>
      <w:pPr>
        <w:tabs>
          <w:tab w:val="num" w:pos="2880"/>
        </w:tabs>
        <w:ind w:left="2880" w:hanging="360"/>
      </w:pPr>
      <w:rPr>
        <w:rFonts w:ascii="Symbol" w:hAnsi="Symbol" w:hint="default"/>
      </w:rPr>
    </w:lvl>
    <w:lvl w:ilvl="4" w:tplc="3DB0F638" w:tentative="1">
      <w:start w:val="1"/>
      <w:numFmt w:val="bullet"/>
      <w:lvlText w:val="o"/>
      <w:lvlJc w:val="left"/>
      <w:pPr>
        <w:tabs>
          <w:tab w:val="num" w:pos="3600"/>
        </w:tabs>
        <w:ind w:left="3600" w:hanging="360"/>
      </w:pPr>
      <w:rPr>
        <w:rFonts w:ascii="Courier New" w:hAnsi="Courier New" w:cs="Courier New" w:hint="default"/>
      </w:rPr>
    </w:lvl>
    <w:lvl w:ilvl="5" w:tplc="8222BD0A" w:tentative="1">
      <w:start w:val="1"/>
      <w:numFmt w:val="bullet"/>
      <w:lvlText w:val=""/>
      <w:lvlJc w:val="left"/>
      <w:pPr>
        <w:tabs>
          <w:tab w:val="num" w:pos="4320"/>
        </w:tabs>
        <w:ind w:left="4320" w:hanging="360"/>
      </w:pPr>
      <w:rPr>
        <w:rFonts w:ascii="Wingdings" w:hAnsi="Wingdings" w:hint="default"/>
      </w:rPr>
    </w:lvl>
    <w:lvl w:ilvl="6" w:tplc="D0F0FFF8" w:tentative="1">
      <w:start w:val="1"/>
      <w:numFmt w:val="bullet"/>
      <w:lvlText w:val=""/>
      <w:lvlJc w:val="left"/>
      <w:pPr>
        <w:tabs>
          <w:tab w:val="num" w:pos="5040"/>
        </w:tabs>
        <w:ind w:left="5040" w:hanging="360"/>
      </w:pPr>
      <w:rPr>
        <w:rFonts w:ascii="Symbol" w:hAnsi="Symbol" w:hint="default"/>
      </w:rPr>
    </w:lvl>
    <w:lvl w:ilvl="7" w:tplc="80E07A88" w:tentative="1">
      <w:start w:val="1"/>
      <w:numFmt w:val="bullet"/>
      <w:lvlText w:val="o"/>
      <w:lvlJc w:val="left"/>
      <w:pPr>
        <w:tabs>
          <w:tab w:val="num" w:pos="5760"/>
        </w:tabs>
        <w:ind w:left="5760" w:hanging="360"/>
      </w:pPr>
      <w:rPr>
        <w:rFonts w:ascii="Courier New" w:hAnsi="Courier New" w:cs="Courier New" w:hint="default"/>
      </w:rPr>
    </w:lvl>
    <w:lvl w:ilvl="8" w:tplc="499A2144" w:tentative="1">
      <w:start w:val="1"/>
      <w:numFmt w:val="bullet"/>
      <w:lvlText w:val=""/>
      <w:lvlJc w:val="left"/>
      <w:pPr>
        <w:tabs>
          <w:tab w:val="num" w:pos="6480"/>
        </w:tabs>
        <w:ind w:left="6480" w:hanging="360"/>
      </w:pPr>
      <w:rPr>
        <w:rFonts w:ascii="Wingdings" w:hAnsi="Wingdings" w:hint="default"/>
      </w:rPr>
    </w:lvl>
  </w:abstractNum>
  <w:abstractNum w:abstractNumId="13">
    <w:nsid w:val="66D96243"/>
    <w:multiLevelType w:val="hybridMultilevel"/>
    <w:tmpl w:val="68D4E2BE"/>
    <w:lvl w:ilvl="0" w:tplc="ED405FDA">
      <w:start w:val="1"/>
      <w:numFmt w:val="lowerLetter"/>
      <w:pStyle w:val="CEOIndent1-abc"/>
      <w:lvlText w:val="%1."/>
      <w:lvlJc w:val="left"/>
      <w:pPr>
        <w:tabs>
          <w:tab w:val="num" w:pos="1494"/>
        </w:tabs>
        <w:ind w:left="1494" w:hanging="360"/>
      </w:pPr>
      <w:rPr>
        <w:rFonts w:ascii="Verdana" w:hAnsi="Verdana" w:hint="default"/>
        <w:b w:val="0"/>
        <w:i w:val="0"/>
        <w:sz w:val="18"/>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nsid w:val="730D028F"/>
    <w:multiLevelType w:val="multilevel"/>
    <w:tmpl w:val="85E41DA4"/>
    <w:name w:val="SEQ1"/>
    <w:lvl w:ilvl="0">
      <w:start w:val="5"/>
      <w:numFmt w:val="decimal"/>
      <w:suff w:val="nothing"/>
      <w:lvlText w:val="ARTICLE %1 - "/>
      <w:lvlJc w:val="center"/>
      <w:pPr>
        <w:ind w:left="4320" w:hanging="4320"/>
      </w:pPr>
      <w:rPr>
        <w:rFonts w:ascii="Times New Roman Bold" w:hAnsi="Times New Roman Bold" w:hint="default"/>
        <w:b/>
        <w:i w:val="0"/>
        <w:caps/>
        <w:sz w:val="24"/>
        <w:szCs w:val="24"/>
        <w:u w:val="none"/>
      </w:rPr>
    </w:lvl>
    <w:lvl w:ilvl="1">
      <w:start w:val="1"/>
      <w:numFmt w:val="decimal"/>
      <w:pStyle w:val="MTLN1"/>
      <w:isLgl/>
      <w:lvlText w:val="%1.%2"/>
      <w:lvlJc w:val="left"/>
      <w:pPr>
        <w:tabs>
          <w:tab w:val="num" w:pos="1008"/>
        </w:tabs>
        <w:ind w:left="1008" w:hanging="1008"/>
      </w:pPr>
      <w:rPr>
        <w:rFonts w:ascii="Times New Roman Bold" w:hAnsi="Times New Roman Bold" w:hint="default"/>
        <w:b/>
        <w:i w:val="0"/>
        <w:sz w:val="24"/>
        <w:szCs w:val="24"/>
        <w:u w:val="none"/>
      </w:rPr>
    </w:lvl>
    <w:lvl w:ilvl="2">
      <w:start w:val="1"/>
      <w:numFmt w:val="decimal"/>
      <w:pStyle w:val="MTLN2"/>
      <w:lvlText w:val="%1.%2.%3."/>
      <w:lvlJc w:val="left"/>
      <w:pPr>
        <w:tabs>
          <w:tab w:val="num" w:pos="1008"/>
        </w:tabs>
        <w:ind w:left="1008" w:hanging="1008"/>
      </w:pPr>
      <w:rPr>
        <w:rFonts w:ascii="Times New Roman" w:hAnsi="Times New Roman" w:hint="default"/>
        <w:b w:val="0"/>
        <w:i w:val="0"/>
        <w:sz w:val="24"/>
        <w:szCs w:val="24"/>
        <w:u w:val="none"/>
      </w:rPr>
    </w:lvl>
    <w:lvl w:ilvl="3">
      <w:start w:val="1"/>
      <w:numFmt w:val="lowerLetter"/>
      <w:pStyle w:val="MTLN3"/>
      <w:lvlText w:val="(%4)"/>
      <w:lvlJc w:val="left"/>
      <w:pPr>
        <w:tabs>
          <w:tab w:val="num" w:pos="1728"/>
        </w:tabs>
        <w:ind w:left="1728" w:hanging="720"/>
      </w:pPr>
      <w:rPr>
        <w:rFonts w:ascii="Times New Roman" w:hAnsi="Times New Roman" w:hint="default"/>
        <w:b w:val="0"/>
        <w:i w:val="0"/>
        <w:sz w:val="24"/>
        <w:szCs w:val="24"/>
        <w:u w:val="none"/>
      </w:rPr>
    </w:lvl>
    <w:lvl w:ilvl="4">
      <w:start w:val="1"/>
      <w:numFmt w:val="lowerRoman"/>
      <w:lvlText w:val="(%5)"/>
      <w:lvlJc w:val="left"/>
      <w:pPr>
        <w:tabs>
          <w:tab w:val="num" w:pos="2448"/>
        </w:tabs>
        <w:ind w:left="2448" w:hanging="720"/>
      </w:pPr>
      <w:rPr>
        <w:rFonts w:ascii="Times New Roman" w:hAnsi="Times New Roman" w:hint="default"/>
        <w:b w:val="0"/>
        <w:i w:val="0"/>
        <w:sz w:val="24"/>
        <w:szCs w:val="24"/>
        <w:u w:val="none"/>
      </w:rPr>
    </w:lvl>
    <w:lvl w:ilvl="5">
      <w:start w:val="1"/>
      <w:numFmt w:val="decimal"/>
      <w:pStyle w:val="MTLN6"/>
      <w:lvlText w:val="(%6)"/>
      <w:lvlJc w:val="left"/>
      <w:pPr>
        <w:tabs>
          <w:tab w:val="num" w:pos="3600"/>
        </w:tabs>
        <w:ind w:left="3600" w:hanging="720"/>
      </w:pPr>
      <w:rPr>
        <w:rFonts w:hint="default"/>
      </w:rPr>
    </w:lvl>
    <w:lvl w:ilvl="6">
      <w:start w:val="1"/>
      <w:numFmt w:val="lowerLetter"/>
      <w:pStyle w:val="MTLN7"/>
      <w:lvlText w:val="%7)"/>
      <w:lvlJc w:val="left"/>
      <w:pPr>
        <w:tabs>
          <w:tab w:val="num" w:pos="4320"/>
        </w:tabs>
        <w:ind w:left="4320" w:hanging="720"/>
      </w:pPr>
      <w:rPr>
        <w:rFonts w:hint="default"/>
      </w:rPr>
    </w:lvl>
    <w:lvl w:ilvl="7">
      <w:start w:val="1"/>
      <w:numFmt w:val="lowerRoman"/>
      <w:pStyle w:val="MTLN8"/>
      <w:lvlText w:val="%8)"/>
      <w:lvlJc w:val="left"/>
      <w:pPr>
        <w:tabs>
          <w:tab w:val="num" w:pos="4320"/>
        </w:tabs>
        <w:ind w:left="4320" w:hanging="720"/>
      </w:pPr>
      <w:rPr>
        <w:rFonts w:hint="default"/>
      </w:rPr>
    </w:lvl>
    <w:lvl w:ilvl="8">
      <w:start w:val="1"/>
      <w:numFmt w:val="upperLetter"/>
      <w:pStyle w:val="MTLN9"/>
      <w:lvlText w:val="%9)"/>
      <w:lvlJc w:val="left"/>
      <w:pPr>
        <w:tabs>
          <w:tab w:val="num" w:pos="4320"/>
        </w:tabs>
        <w:ind w:left="4320" w:hanging="720"/>
      </w:pPr>
      <w:rPr>
        <w:rFonts w:hint="default"/>
      </w:rPr>
    </w:lvl>
  </w:abstractNum>
  <w:abstractNum w:abstractNumId="15">
    <w:nsid w:val="797F57B2"/>
    <w:multiLevelType w:val="multilevel"/>
    <w:tmpl w:val="1996DA9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pStyle w:val="Style2"/>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7B803F8C"/>
    <w:multiLevelType w:val="hybridMultilevel"/>
    <w:tmpl w:val="29843874"/>
    <w:lvl w:ilvl="0" w:tplc="3A0A1CD6">
      <w:start w:val="1"/>
      <w:numFmt w:val="lowerLetter"/>
      <w:lvlText w:val="%1."/>
      <w:lvlJc w:val="left"/>
      <w:pPr>
        <w:tabs>
          <w:tab w:val="num" w:pos="1440"/>
        </w:tabs>
        <w:ind w:left="1440" w:hanging="360"/>
      </w:pPr>
      <w:rPr>
        <w:rFonts w:hint="default"/>
      </w:rPr>
    </w:lvl>
    <w:lvl w:ilvl="1" w:tplc="805E2778">
      <w:start w:val="1"/>
      <w:numFmt w:val="lowerLetter"/>
      <w:pStyle w:val="CEOindent-abc"/>
      <w:lvlText w:val="%2."/>
      <w:lvlJc w:val="left"/>
      <w:pPr>
        <w:tabs>
          <w:tab w:val="num" w:pos="1440"/>
        </w:tabs>
        <w:ind w:left="1440" w:hanging="360"/>
      </w:pPr>
      <w:rPr>
        <w:rFonts w:hint="default"/>
      </w:rPr>
    </w:lvl>
    <w:lvl w:ilvl="2" w:tplc="AC802B1C" w:tentative="1">
      <w:start w:val="1"/>
      <w:numFmt w:val="lowerRoman"/>
      <w:lvlText w:val="%3."/>
      <w:lvlJc w:val="right"/>
      <w:pPr>
        <w:tabs>
          <w:tab w:val="num" w:pos="2160"/>
        </w:tabs>
        <w:ind w:left="2160" w:hanging="180"/>
      </w:pPr>
    </w:lvl>
    <w:lvl w:ilvl="3" w:tplc="4BE62FEA" w:tentative="1">
      <w:start w:val="1"/>
      <w:numFmt w:val="decimal"/>
      <w:lvlText w:val="%4."/>
      <w:lvlJc w:val="left"/>
      <w:pPr>
        <w:tabs>
          <w:tab w:val="num" w:pos="2880"/>
        </w:tabs>
        <w:ind w:left="2880" w:hanging="360"/>
      </w:pPr>
    </w:lvl>
    <w:lvl w:ilvl="4" w:tplc="9058E9C8" w:tentative="1">
      <w:start w:val="1"/>
      <w:numFmt w:val="lowerLetter"/>
      <w:lvlText w:val="%5."/>
      <w:lvlJc w:val="left"/>
      <w:pPr>
        <w:tabs>
          <w:tab w:val="num" w:pos="3600"/>
        </w:tabs>
        <w:ind w:left="3600" w:hanging="360"/>
      </w:pPr>
    </w:lvl>
    <w:lvl w:ilvl="5" w:tplc="27623692" w:tentative="1">
      <w:start w:val="1"/>
      <w:numFmt w:val="lowerRoman"/>
      <w:lvlText w:val="%6."/>
      <w:lvlJc w:val="right"/>
      <w:pPr>
        <w:tabs>
          <w:tab w:val="num" w:pos="4320"/>
        </w:tabs>
        <w:ind w:left="4320" w:hanging="180"/>
      </w:pPr>
    </w:lvl>
    <w:lvl w:ilvl="6" w:tplc="FE9434D6" w:tentative="1">
      <w:start w:val="1"/>
      <w:numFmt w:val="decimal"/>
      <w:lvlText w:val="%7."/>
      <w:lvlJc w:val="left"/>
      <w:pPr>
        <w:tabs>
          <w:tab w:val="num" w:pos="5040"/>
        </w:tabs>
        <w:ind w:left="5040" w:hanging="360"/>
      </w:pPr>
    </w:lvl>
    <w:lvl w:ilvl="7" w:tplc="52A2A5C2" w:tentative="1">
      <w:start w:val="1"/>
      <w:numFmt w:val="lowerLetter"/>
      <w:lvlText w:val="%8."/>
      <w:lvlJc w:val="left"/>
      <w:pPr>
        <w:tabs>
          <w:tab w:val="num" w:pos="5760"/>
        </w:tabs>
        <w:ind w:left="5760" w:hanging="360"/>
      </w:pPr>
    </w:lvl>
    <w:lvl w:ilvl="8" w:tplc="7FA66FC0"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13"/>
  </w:num>
  <w:num w:numId="4">
    <w:abstractNumId w:val="16"/>
  </w:num>
  <w:num w:numId="5">
    <w:abstractNumId w:val="9"/>
  </w:num>
  <w:num w:numId="6">
    <w:abstractNumId w:val="11"/>
  </w:num>
  <w:num w:numId="7">
    <w:abstractNumId w:val="7"/>
  </w:num>
  <w:num w:numId="8">
    <w:abstractNumId w:val="8"/>
  </w:num>
  <w:num w:numId="9">
    <w:abstractNumId w:val="15"/>
  </w:num>
  <w:num w:numId="10">
    <w:abstractNumId w:val="14"/>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es-ES" w:vendorID="64" w:dllVersion="131078" w:nlCheck="1" w:checkStyle="1"/>
  <w:attachedTemplate r:id="rId1"/>
  <w:stylePaneFormatFilter w:val="3001"/>
  <w:defaultTabStop w:val="720"/>
  <w:hyphenationZone w:val="357"/>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9402"/>
    <o:shapelayout v:ext="edit">
      <o:idmap v:ext="edit" data="58"/>
    </o:shapelayout>
  </w:hdrShapeDefaults>
  <w:footnotePr>
    <w:footnote w:id="-1"/>
    <w:footnote w:id="0"/>
  </w:footnotePr>
  <w:endnotePr>
    <w:endnote w:id="-1"/>
    <w:endnote w:id="0"/>
  </w:endnotePr>
  <w:compat/>
  <w:rsids>
    <w:rsidRoot w:val="00F97148"/>
    <w:rsid w:val="00000A4F"/>
    <w:rsid w:val="000032CF"/>
    <w:rsid w:val="0000365F"/>
    <w:rsid w:val="000038A5"/>
    <w:rsid w:val="000065C0"/>
    <w:rsid w:val="00010B79"/>
    <w:rsid w:val="00010FE6"/>
    <w:rsid w:val="00011887"/>
    <w:rsid w:val="000131DE"/>
    <w:rsid w:val="00013DC1"/>
    <w:rsid w:val="00015535"/>
    <w:rsid w:val="0001651E"/>
    <w:rsid w:val="00016903"/>
    <w:rsid w:val="00016BF5"/>
    <w:rsid w:val="000231E5"/>
    <w:rsid w:val="0002641B"/>
    <w:rsid w:val="0002731C"/>
    <w:rsid w:val="0003039B"/>
    <w:rsid w:val="00030629"/>
    <w:rsid w:val="00032CDA"/>
    <w:rsid w:val="0003433B"/>
    <w:rsid w:val="000343B3"/>
    <w:rsid w:val="00034D56"/>
    <w:rsid w:val="00035700"/>
    <w:rsid w:val="00035C19"/>
    <w:rsid w:val="00036303"/>
    <w:rsid w:val="0003633E"/>
    <w:rsid w:val="00037684"/>
    <w:rsid w:val="00041985"/>
    <w:rsid w:val="000438AD"/>
    <w:rsid w:val="00043E67"/>
    <w:rsid w:val="0004485F"/>
    <w:rsid w:val="00047026"/>
    <w:rsid w:val="0004791C"/>
    <w:rsid w:val="00050135"/>
    <w:rsid w:val="00052702"/>
    <w:rsid w:val="00055C69"/>
    <w:rsid w:val="000571F4"/>
    <w:rsid w:val="00060EC6"/>
    <w:rsid w:val="00061064"/>
    <w:rsid w:val="000615C2"/>
    <w:rsid w:val="0006325B"/>
    <w:rsid w:val="00065262"/>
    <w:rsid w:val="00065683"/>
    <w:rsid w:val="0006684C"/>
    <w:rsid w:val="00067022"/>
    <w:rsid w:val="00070BBB"/>
    <w:rsid w:val="0007242C"/>
    <w:rsid w:val="00073A0C"/>
    <w:rsid w:val="00077691"/>
    <w:rsid w:val="00077D5D"/>
    <w:rsid w:val="00080501"/>
    <w:rsid w:val="00080564"/>
    <w:rsid w:val="00080641"/>
    <w:rsid w:val="00080B99"/>
    <w:rsid w:val="00081F9F"/>
    <w:rsid w:val="0008342F"/>
    <w:rsid w:val="000845FD"/>
    <w:rsid w:val="00084875"/>
    <w:rsid w:val="00084C48"/>
    <w:rsid w:val="00086956"/>
    <w:rsid w:val="000915D1"/>
    <w:rsid w:val="000921F8"/>
    <w:rsid w:val="000968A9"/>
    <w:rsid w:val="00096FCD"/>
    <w:rsid w:val="000A068B"/>
    <w:rsid w:val="000A0BAE"/>
    <w:rsid w:val="000A1C7E"/>
    <w:rsid w:val="000A1CB8"/>
    <w:rsid w:val="000A2861"/>
    <w:rsid w:val="000A596D"/>
    <w:rsid w:val="000A6EEF"/>
    <w:rsid w:val="000B085F"/>
    <w:rsid w:val="000B146C"/>
    <w:rsid w:val="000B1E86"/>
    <w:rsid w:val="000B3024"/>
    <w:rsid w:val="000B30AE"/>
    <w:rsid w:val="000B33D5"/>
    <w:rsid w:val="000B403C"/>
    <w:rsid w:val="000B54BE"/>
    <w:rsid w:val="000B5C27"/>
    <w:rsid w:val="000B736B"/>
    <w:rsid w:val="000C0DA9"/>
    <w:rsid w:val="000C1194"/>
    <w:rsid w:val="000C1A79"/>
    <w:rsid w:val="000C27FD"/>
    <w:rsid w:val="000C523A"/>
    <w:rsid w:val="000C5CBD"/>
    <w:rsid w:val="000C6E3D"/>
    <w:rsid w:val="000C7F20"/>
    <w:rsid w:val="000D1657"/>
    <w:rsid w:val="000D1B79"/>
    <w:rsid w:val="000D476E"/>
    <w:rsid w:val="000D4A85"/>
    <w:rsid w:val="000D5603"/>
    <w:rsid w:val="000D5C10"/>
    <w:rsid w:val="000D7851"/>
    <w:rsid w:val="000E2E20"/>
    <w:rsid w:val="000E36DD"/>
    <w:rsid w:val="000E405B"/>
    <w:rsid w:val="000E4A59"/>
    <w:rsid w:val="000E6C26"/>
    <w:rsid w:val="000E7C4A"/>
    <w:rsid w:val="000F00FF"/>
    <w:rsid w:val="000F0928"/>
    <w:rsid w:val="000F126E"/>
    <w:rsid w:val="000F375A"/>
    <w:rsid w:val="000F6A2A"/>
    <w:rsid w:val="000F6C59"/>
    <w:rsid w:val="00100D20"/>
    <w:rsid w:val="0010310F"/>
    <w:rsid w:val="001035E3"/>
    <w:rsid w:val="0010386F"/>
    <w:rsid w:val="0010499F"/>
    <w:rsid w:val="00105CFB"/>
    <w:rsid w:val="00107C59"/>
    <w:rsid w:val="00112903"/>
    <w:rsid w:val="001134F9"/>
    <w:rsid w:val="0011440A"/>
    <w:rsid w:val="00114AA7"/>
    <w:rsid w:val="00115571"/>
    <w:rsid w:val="00115E2D"/>
    <w:rsid w:val="001162EB"/>
    <w:rsid w:val="0011668D"/>
    <w:rsid w:val="001229D0"/>
    <w:rsid w:val="00124DAD"/>
    <w:rsid w:val="00126ED1"/>
    <w:rsid w:val="0012717E"/>
    <w:rsid w:val="00131575"/>
    <w:rsid w:val="00131F4D"/>
    <w:rsid w:val="00132FDF"/>
    <w:rsid w:val="00136260"/>
    <w:rsid w:val="00137E5A"/>
    <w:rsid w:val="00141100"/>
    <w:rsid w:val="00141723"/>
    <w:rsid w:val="001426A7"/>
    <w:rsid w:val="001447BC"/>
    <w:rsid w:val="001454D4"/>
    <w:rsid w:val="0014691A"/>
    <w:rsid w:val="001476E5"/>
    <w:rsid w:val="0014787C"/>
    <w:rsid w:val="00147E69"/>
    <w:rsid w:val="0015035A"/>
    <w:rsid w:val="00153922"/>
    <w:rsid w:val="00155A67"/>
    <w:rsid w:val="001560F3"/>
    <w:rsid w:val="0015627E"/>
    <w:rsid w:val="00156988"/>
    <w:rsid w:val="00156DA9"/>
    <w:rsid w:val="00163F7E"/>
    <w:rsid w:val="00166053"/>
    <w:rsid w:val="0016627B"/>
    <w:rsid w:val="00166431"/>
    <w:rsid w:val="00170FE4"/>
    <w:rsid w:val="0017110E"/>
    <w:rsid w:val="00171170"/>
    <w:rsid w:val="001719C0"/>
    <w:rsid w:val="00171B83"/>
    <w:rsid w:val="00172018"/>
    <w:rsid w:val="00173A63"/>
    <w:rsid w:val="00173ED0"/>
    <w:rsid w:val="001744CA"/>
    <w:rsid w:val="001757A8"/>
    <w:rsid w:val="0017672F"/>
    <w:rsid w:val="00180BBF"/>
    <w:rsid w:val="00181882"/>
    <w:rsid w:val="00182A43"/>
    <w:rsid w:val="00182BD2"/>
    <w:rsid w:val="001836BF"/>
    <w:rsid w:val="00183F01"/>
    <w:rsid w:val="001906BB"/>
    <w:rsid w:val="00190F06"/>
    <w:rsid w:val="00191E9B"/>
    <w:rsid w:val="001927C0"/>
    <w:rsid w:val="00192AD0"/>
    <w:rsid w:val="0019314C"/>
    <w:rsid w:val="00193254"/>
    <w:rsid w:val="00193445"/>
    <w:rsid w:val="00193CCB"/>
    <w:rsid w:val="0019421A"/>
    <w:rsid w:val="0019694A"/>
    <w:rsid w:val="001A0156"/>
    <w:rsid w:val="001A1806"/>
    <w:rsid w:val="001A1EBB"/>
    <w:rsid w:val="001A30C0"/>
    <w:rsid w:val="001A36CC"/>
    <w:rsid w:val="001A3E3C"/>
    <w:rsid w:val="001A4124"/>
    <w:rsid w:val="001A648C"/>
    <w:rsid w:val="001A66B9"/>
    <w:rsid w:val="001A6CBC"/>
    <w:rsid w:val="001A72E3"/>
    <w:rsid w:val="001B112E"/>
    <w:rsid w:val="001B1BC3"/>
    <w:rsid w:val="001B1CCF"/>
    <w:rsid w:val="001B4837"/>
    <w:rsid w:val="001B6C2B"/>
    <w:rsid w:val="001B7013"/>
    <w:rsid w:val="001B7231"/>
    <w:rsid w:val="001C02E3"/>
    <w:rsid w:val="001C0860"/>
    <w:rsid w:val="001C10F0"/>
    <w:rsid w:val="001C147D"/>
    <w:rsid w:val="001C1E0B"/>
    <w:rsid w:val="001C2FE5"/>
    <w:rsid w:val="001C450B"/>
    <w:rsid w:val="001C4BA3"/>
    <w:rsid w:val="001C621D"/>
    <w:rsid w:val="001C78A4"/>
    <w:rsid w:val="001D0543"/>
    <w:rsid w:val="001D1509"/>
    <w:rsid w:val="001D1739"/>
    <w:rsid w:val="001D1B00"/>
    <w:rsid w:val="001D3015"/>
    <w:rsid w:val="001D40DC"/>
    <w:rsid w:val="001D40F5"/>
    <w:rsid w:val="001D411E"/>
    <w:rsid w:val="001D5FC5"/>
    <w:rsid w:val="001D622B"/>
    <w:rsid w:val="001D62B2"/>
    <w:rsid w:val="001D7091"/>
    <w:rsid w:val="001D7B29"/>
    <w:rsid w:val="001D7EB3"/>
    <w:rsid w:val="001E1987"/>
    <w:rsid w:val="001E2C63"/>
    <w:rsid w:val="001E35F8"/>
    <w:rsid w:val="001E393C"/>
    <w:rsid w:val="001E3E82"/>
    <w:rsid w:val="001E4EFC"/>
    <w:rsid w:val="001E6B63"/>
    <w:rsid w:val="001E7CAC"/>
    <w:rsid w:val="001F05BD"/>
    <w:rsid w:val="001F05EE"/>
    <w:rsid w:val="001F1011"/>
    <w:rsid w:val="001F2F83"/>
    <w:rsid w:val="001F3325"/>
    <w:rsid w:val="001F3BFE"/>
    <w:rsid w:val="001F632A"/>
    <w:rsid w:val="002001C0"/>
    <w:rsid w:val="002009F0"/>
    <w:rsid w:val="00200D16"/>
    <w:rsid w:val="00202194"/>
    <w:rsid w:val="002024CF"/>
    <w:rsid w:val="00203870"/>
    <w:rsid w:val="00206C31"/>
    <w:rsid w:val="00206DD5"/>
    <w:rsid w:val="0020761F"/>
    <w:rsid w:val="002107F4"/>
    <w:rsid w:val="00210C72"/>
    <w:rsid w:val="00211946"/>
    <w:rsid w:val="00212FC3"/>
    <w:rsid w:val="00214A67"/>
    <w:rsid w:val="00215528"/>
    <w:rsid w:val="00215C08"/>
    <w:rsid w:val="00217E9F"/>
    <w:rsid w:val="00222646"/>
    <w:rsid w:val="002237E4"/>
    <w:rsid w:val="00224924"/>
    <w:rsid w:val="002249A8"/>
    <w:rsid w:val="0022778B"/>
    <w:rsid w:val="00227800"/>
    <w:rsid w:val="00230232"/>
    <w:rsid w:val="002314C9"/>
    <w:rsid w:val="0023295F"/>
    <w:rsid w:val="002336B5"/>
    <w:rsid w:val="00234059"/>
    <w:rsid w:val="00235E81"/>
    <w:rsid w:val="002369FD"/>
    <w:rsid w:val="0023765F"/>
    <w:rsid w:val="00240C1C"/>
    <w:rsid w:val="00240EA5"/>
    <w:rsid w:val="0024122F"/>
    <w:rsid w:val="00242DAE"/>
    <w:rsid w:val="00244064"/>
    <w:rsid w:val="00244D9A"/>
    <w:rsid w:val="00244EF3"/>
    <w:rsid w:val="002455FC"/>
    <w:rsid w:val="00245C7B"/>
    <w:rsid w:val="002460E4"/>
    <w:rsid w:val="00246A28"/>
    <w:rsid w:val="00246ABA"/>
    <w:rsid w:val="00247AA5"/>
    <w:rsid w:val="00251C1C"/>
    <w:rsid w:val="002524B5"/>
    <w:rsid w:val="00254364"/>
    <w:rsid w:val="00256C4F"/>
    <w:rsid w:val="00260AAB"/>
    <w:rsid w:val="00260F99"/>
    <w:rsid w:val="0026248C"/>
    <w:rsid w:val="002634F5"/>
    <w:rsid w:val="00264224"/>
    <w:rsid w:val="002647F0"/>
    <w:rsid w:val="0026535F"/>
    <w:rsid w:val="00267C8A"/>
    <w:rsid w:val="00267ED8"/>
    <w:rsid w:val="002714E0"/>
    <w:rsid w:val="00274628"/>
    <w:rsid w:val="0027589D"/>
    <w:rsid w:val="00277B65"/>
    <w:rsid w:val="00280AEE"/>
    <w:rsid w:val="00281436"/>
    <w:rsid w:val="002823CD"/>
    <w:rsid w:val="00282BE9"/>
    <w:rsid w:val="00284032"/>
    <w:rsid w:val="00286ADB"/>
    <w:rsid w:val="00287100"/>
    <w:rsid w:val="00290099"/>
    <w:rsid w:val="00291A4D"/>
    <w:rsid w:val="00291B8E"/>
    <w:rsid w:val="00291FEB"/>
    <w:rsid w:val="002949F9"/>
    <w:rsid w:val="00294C26"/>
    <w:rsid w:val="00294C44"/>
    <w:rsid w:val="00295870"/>
    <w:rsid w:val="00296DBD"/>
    <w:rsid w:val="00296EDF"/>
    <w:rsid w:val="002975C5"/>
    <w:rsid w:val="0029787C"/>
    <w:rsid w:val="002A1026"/>
    <w:rsid w:val="002A1617"/>
    <w:rsid w:val="002A27D0"/>
    <w:rsid w:val="002A33A2"/>
    <w:rsid w:val="002A4500"/>
    <w:rsid w:val="002A4BFD"/>
    <w:rsid w:val="002A62A0"/>
    <w:rsid w:val="002A6A17"/>
    <w:rsid w:val="002B0E45"/>
    <w:rsid w:val="002B2BA5"/>
    <w:rsid w:val="002B347C"/>
    <w:rsid w:val="002B53E2"/>
    <w:rsid w:val="002B62CE"/>
    <w:rsid w:val="002C37A9"/>
    <w:rsid w:val="002C403B"/>
    <w:rsid w:val="002C5F86"/>
    <w:rsid w:val="002C67D1"/>
    <w:rsid w:val="002D0D9A"/>
    <w:rsid w:val="002D122B"/>
    <w:rsid w:val="002D15B4"/>
    <w:rsid w:val="002D18B8"/>
    <w:rsid w:val="002D1A9C"/>
    <w:rsid w:val="002D2358"/>
    <w:rsid w:val="002D3849"/>
    <w:rsid w:val="002D39E6"/>
    <w:rsid w:val="002D4A26"/>
    <w:rsid w:val="002D4FCA"/>
    <w:rsid w:val="002D5285"/>
    <w:rsid w:val="002D528E"/>
    <w:rsid w:val="002D5CEB"/>
    <w:rsid w:val="002D6197"/>
    <w:rsid w:val="002D766F"/>
    <w:rsid w:val="002D7756"/>
    <w:rsid w:val="002E060D"/>
    <w:rsid w:val="002E22B6"/>
    <w:rsid w:val="002E2FC7"/>
    <w:rsid w:val="002E410D"/>
    <w:rsid w:val="002E6A8B"/>
    <w:rsid w:val="002E714F"/>
    <w:rsid w:val="002F29A6"/>
    <w:rsid w:val="002F30F0"/>
    <w:rsid w:val="002F31A2"/>
    <w:rsid w:val="002F49C3"/>
    <w:rsid w:val="002F68AC"/>
    <w:rsid w:val="002F68B0"/>
    <w:rsid w:val="002F7B74"/>
    <w:rsid w:val="002F7CBE"/>
    <w:rsid w:val="002F7CE1"/>
    <w:rsid w:val="00300AAB"/>
    <w:rsid w:val="00300CCC"/>
    <w:rsid w:val="00301B3B"/>
    <w:rsid w:val="00303268"/>
    <w:rsid w:val="0030342E"/>
    <w:rsid w:val="003036CC"/>
    <w:rsid w:val="003072AC"/>
    <w:rsid w:val="00310994"/>
    <w:rsid w:val="00311A96"/>
    <w:rsid w:val="00311D5D"/>
    <w:rsid w:val="0031285A"/>
    <w:rsid w:val="003136AD"/>
    <w:rsid w:val="00315567"/>
    <w:rsid w:val="003156AF"/>
    <w:rsid w:val="003160B6"/>
    <w:rsid w:val="00316FFD"/>
    <w:rsid w:val="00320D72"/>
    <w:rsid w:val="00323C86"/>
    <w:rsid w:val="00324665"/>
    <w:rsid w:val="0032559F"/>
    <w:rsid w:val="003266BD"/>
    <w:rsid w:val="00330221"/>
    <w:rsid w:val="00331292"/>
    <w:rsid w:val="00337712"/>
    <w:rsid w:val="00340618"/>
    <w:rsid w:val="003419AB"/>
    <w:rsid w:val="00343171"/>
    <w:rsid w:val="003437E9"/>
    <w:rsid w:val="00343D7F"/>
    <w:rsid w:val="003450D3"/>
    <w:rsid w:val="003479E0"/>
    <w:rsid w:val="00350544"/>
    <w:rsid w:val="00355278"/>
    <w:rsid w:val="00355785"/>
    <w:rsid w:val="00355E77"/>
    <w:rsid w:val="00356049"/>
    <w:rsid w:val="00356CC2"/>
    <w:rsid w:val="003603B5"/>
    <w:rsid w:val="003618C0"/>
    <w:rsid w:val="00364137"/>
    <w:rsid w:val="0036541D"/>
    <w:rsid w:val="00366375"/>
    <w:rsid w:val="003664EA"/>
    <w:rsid w:val="00370725"/>
    <w:rsid w:val="00370C9A"/>
    <w:rsid w:val="00372DEF"/>
    <w:rsid w:val="00373F64"/>
    <w:rsid w:val="00376745"/>
    <w:rsid w:val="00377B49"/>
    <w:rsid w:val="0038021B"/>
    <w:rsid w:val="00381342"/>
    <w:rsid w:val="00381F3F"/>
    <w:rsid w:val="00382983"/>
    <w:rsid w:val="003829E6"/>
    <w:rsid w:val="00383F84"/>
    <w:rsid w:val="00387213"/>
    <w:rsid w:val="00387DF1"/>
    <w:rsid w:val="00390223"/>
    <w:rsid w:val="003907FB"/>
    <w:rsid w:val="003940FE"/>
    <w:rsid w:val="003946E7"/>
    <w:rsid w:val="00394791"/>
    <w:rsid w:val="0039616F"/>
    <w:rsid w:val="00396F81"/>
    <w:rsid w:val="003A04EA"/>
    <w:rsid w:val="003A5E56"/>
    <w:rsid w:val="003A717A"/>
    <w:rsid w:val="003B0EFD"/>
    <w:rsid w:val="003B1017"/>
    <w:rsid w:val="003B1AFC"/>
    <w:rsid w:val="003B1CC2"/>
    <w:rsid w:val="003B6263"/>
    <w:rsid w:val="003B765D"/>
    <w:rsid w:val="003C0BF7"/>
    <w:rsid w:val="003C138C"/>
    <w:rsid w:val="003C39F0"/>
    <w:rsid w:val="003C4615"/>
    <w:rsid w:val="003C4A4C"/>
    <w:rsid w:val="003C60F1"/>
    <w:rsid w:val="003C617B"/>
    <w:rsid w:val="003C6CA8"/>
    <w:rsid w:val="003C6CAF"/>
    <w:rsid w:val="003C6D0A"/>
    <w:rsid w:val="003C78B2"/>
    <w:rsid w:val="003C7BF7"/>
    <w:rsid w:val="003D0AF3"/>
    <w:rsid w:val="003D1E70"/>
    <w:rsid w:val="003D21C5"/>
    <w:rsid w:val="003D2732"/>
    <w:rsid w:val="003D28C4"/>
    <w:rsid w:val="003D2DBE"/>
    <w:rsid w:val="003E0EB8"/>
    <w:rsid w:val="003E26DC"/>
    <w:rsid w:val="003E2E93"/>
    <w:rsid w:val="003E4192"/>
    <w:rsid w:val="003E41BF"/>
    <w:rsid w:val="003E4C34"/>
    <w:rsid w:val="003E54F3"/>
    <w:rsid w:val="003E6203"/>
    <w:rsid w:val="003E656B"/>
    <w:rsid w:val="003E6C90"/>
    <w:rsid w:val="003E7053"/>
    <w:rsid w:val="003E712A"/>
    <w:rsid w:val="003F268C"/>
    <w:rsid w:val="003F28CA"/>
    <w:rsid w:val="003F4B00"/>
    <w:rsid w:val="003F5B1B"/>
    <w:rsid w:val="003F64C1"/>
    <w:rsid w:val="004022EE"/>
    <w:rsid w:val="004022F0"/>
    <w:rsid w:val="004027AB"/>
    <w:rsid w:val="00402CCF"/>
    <w:rsid w:val="00402E74"/>
    <w:rsid w:val="00404F1D"/>
    <w:rsid w:val="00407187"/>
    <w:rsid w:val="004109A1"/>
    <w:rsid w:val="00412409"/>
    <w:rsid w:val="0041291B"/>
    <w:rsid w:val="0041414F"/>
    <w:rsid w:val="00416CAB"/>
    <w:rsid w:val="004179BC"/>
    <w:rsid w:val="004204B9"/>
    <w:rsid w:val="00420F48"/>
    <w:rsid w:val="004226B0"/>
    <w:rsid w:val="00422957"/>
    <w:rsid w:val="00423203"/>
    <w:rsid w:val="00425EEA"/>
    <w:rsid w:val="00425F5D"/>
    <w:rsid w:val="004325CD"/>
    <w:rsid w:val="00432EAD"/>
    <w:rsid w:val="00433B27"/>
    <w:rsid w:val="00433D6A"/>
    <w:rsid w:val="00435C38"/>
    <w:rsid w:val="0043625B"/>
    <w:rsid w:val="004400F8"/>
    <w:rsid w:val="0044119B"/>
    <w:rsid w:val="00442FC0"/>
    <w:rsid w:val="00443F05"/>
    <w:rsid w:val="00444069"/>
    <w:rsid w:val="004452B8"/>
    <w:rsid w:val="00445B0E"/>
    <w:rsid w:val="004461A0"/>
    <w:rsid w:val="00450F5E"/>
    <w:rsid w:val="00451F70"/>
    <w:rsid w:val="00457D8E"/>
    <w:rsid w:val="0046306C"/>
    <w:rsid w:val="004632F7"/>
    <w:rsid w:val="00463770"/>
    <w:rsid w:val="00470244"/>
    <w:rsid w:val="0047229C"/>
    <w:rsid w:val="00473765"/>
    <w:rsid w:val="00473899"/>
    <w:rsid w:val="00473947"/>
    <w:rsid w:val="0047660C"/>
    <w:rsid w:val="004772F3"/>
    <w:rsid w:val="00480196"/>
    <w:rsid w:val="00480D3F"/>
    <w:rsid w:val="004833C0"/>
    <w:rsid w:val="004848FD"/>
    <w:rsid w:val="00486AE5"/>
    <w:rsid w:val="00486E6B"/>
    <w:rsid w:val="00486F07"/>
    <w:rsid w:val="00487898"/>
    <w:rsid w:val="0048795F"/>
    <w:rsid w:val="00487FEE"/>
    <w:rsid w:val="00490187"/>
    <w:rsid w:val="00491CD2"/>
    <w:rsid w:val="00492459"/>
    <w:rsid w:val="00493A5F"/>
    <w:rsid w:val="0049418E"/>
    <w:rsid w:val="00494537"/>
    <w:rsid w:val="004958C8"/>
    <w:rsid w:val="004A212F"/>
    <w:rsid w:val="004A2D49"/>
    <w:rsid w:val="004A3104"/>
    <w:rsid w:val="004A3D71"/>
    <w:rsid w:val="004A4C07"/>
    <w:rsid w:val="004A5275"/>
    <w:rsid w:val="004A5C70"/>
    <w:rsid w:val="004A6AA4"/>
    <w:rsid w:val="004A6ECB"/>
    <w:rsid w:val="004A73A1"/>
    <w:rsid w:val="004A7428"/>
    <w:rsid w:val="004B0781"/>
    <w:rsid w:val="004B1877"/>
    <w:rsid w:val="004B30C2"/>
    <w:rsid w:val="004B428C"/>
    <w:rsid w:val="004B4949"/>
    <w:rsid w:val="004B531A"/>
    <w:rsid w:val="004B6CDD"/>
    <w:rsid w:val="004B6F23"/>
    <w:rsid w:val="004B7BDA"/>
    <w:rsid w:val="004B7DC2"/>
    <w:rsid w:val="004C0320"/>
    <w:rsid w:val="004C09E4"/>
    <w:rsid w:val="004C1E49"/>
    <w:rsid w:val="004C1FBA"/>
    <w:rsid w:val="004C228C"/>
    <w:rsid w:val="004C2B34"/>
    <w:rsid w:val="004C3771"/>
    <w:rsid w:val="004D01B3"/>
    <w:rsid w:val="004D0A60"/>
    <w:rsid w:val="004D0D2B"/>
    <w:rsid w:val="004D1CDB"/>
    <w:rsid w:val="004D360D"/>
    <w:rsid w:val="004D4DC7"/>
    <w:rsid w:val="004D5545"/>
    <w:rsid w:val="004D70BA"/>
    <w:rsid w:val="004E0D03"/>
    <w:rsid w:val="004E18ED"/>
    <w:rsid w:val="004E1A7F"/>
    <w:rsid w:val="004E3BB4"/>
    <w:rsid w:val="004E46AA"/>
    <w:rsid w:val="004E48B6"/>
    <w:rsid w:val="004E5BAF"/>
    <w:rsid w:val="004E6529"/>
    <w:rsid w:val="004F0C31"/>
    <w:rsid w:val="004F1055"/>
    <w:rsid w:val="004F1504"/>
    <w:rsid w:val="004F22F1"/>
    <w:rsid w:val="004F2BFB"/>
    <w:rsid w:val="004F3149"/>
    <w:rsid w:val="004F4634"/>
    <w:rsid w:val="004F50C6"/>
    <w:rsid w:val="004F52FD"/>
    <w:rsid w:val="004F6C95"/>
    <w:rsid w:val="004F6E8F"/>
    <w:rsid w:val="00500D45"/>
    <w:rsid w:val="00502CC5"/>
    <w:rsid w:val="005035A3"/>
    <w:rsid w:val="005054DD"/>
    <w:rsid w:val="0050673A"/>
    <w:rsid w:val="00506A23"/>
    <w:rsid w:val="005072C0"/>
    <w:rsid w:val="00510183"/>
    <w:rsid w:val="005126F0"/>
    <w:rsid w:val="00512CC8"/>
    <w:rsid w:val="005133C3"/>
    <w:rsid w:val="00513D5B"/>
    <w:rsid w:val="0051402C"/>
    <w:rsid w:val="00514B41"/>
    <w:rsid w:val="0052016F"/>
    <w:rsid w:val="00520894"/>
    <w:rsid w:val="00522241"/>
    <w:rsid w:val="00526EBB"/>
    <w:rsid w:val="00527073"/>
    <w:rsid w:val="00527D4F"/>
    <w:rsid w:val="00530357"/>
    <w:rsid w:val="00534CBB"/>
    <w:rsid w:val="00535489"/>
    <w:rsid w:val="00535C30"/>
    <w:rsid w:val="00536338"/>
    <w:rsid w:val="00537B1C"/>
    <w:rsid w:val="0054008F"/>
    <w:rsid w:val="00541026"/>
    <w:rsid w:val="005422CE"/>
    <w:rsid w:val="00543384"/>
    <w:rsid w:val="005449F9"/>
    <w:rsid w:val="00545855"/>
    <w:rsid w:val="00546E3D"/>
    <w:rsid w:val="005506F8"/>
    <w:rsid w:val="00551EC8"/>
    <w:rsid w:val="00553392"/>
    <w:rsid w:val="00553859"/>
    <w:rsid w:val="00553871"/>
    <w:rsid w:val="00553D5A"/>
    <w:rsid w:val="0055479F"/>
    <w:rsid w:val="00554C4E"/>
    <w:rsid w:val="005554F2"/>
    <w:rsid w:val="0055641B"/>
    <w:rsid w:val="0055685F"/>
    <w:rsid w:val="00556883"/>
    <w:rsid w:val="00556D78"/>
    <w:rsid w:val="00560BC4"/>
    <w:rsid w:val="00560DB3"/>
    <w:rsid w:val="0056101E"/>
    <w:rsid w:val="00561B1E"/>
    <w:rsid w:val="00561E3D"/>
    <w:rsid w:val="0056350A"/>
    <w:rsid w:val="00566A7D"/>
    <w:rsid w:val="00566AA8"/>
    <w:rsid w:val="00567410"/>
    <w:rsid w:val="005706F9"/>
    <w:rsid w:val="00571538"/>
    <w:rsid w:val="00575EC2"/>
    <w:rsid w:val="00576909"/>
    <w:rsid w:val="00576A3C"/>
    <w:rsid w:val="00577838"/>
    <w:rsid w:val="00577ED5"/>
    <w:rsid w:val="005825D6"/>
    <w:rsid w:val="005829F9"/>
    <w:rsid w:val="0058329C"/>
    <w:rsid w:val="00583470"/>
    <w:rsid w:val="005836FD"/>
    <w:rsid w:val="00583865"/>
    <w:rsid w:val="00583B0F"/>
    <w:rsid w:val="005848AA"/>
    <w:rsid w:val="00584E09"/>
    <w:rsid w:val="00585801"/>
    <w:rsid w:val="00585974"/>
    <w:rsid w:val="005919E5"/>
    <w:rsid w:val="00594F8D"/>
    <w:rsid w:val="00597D24"/>
    <w:rsid w:val="00597EF4"/>
    <w:rsid w:val="005A01F6"/>
    <w:rsid w:val="005A131C"/>
    <w:rsid w:val="005A3678"/>
    <w:rsid w:val="005A396A"/>
    <w:rsid w:val="005A3B2B"/>
    <w:rsid w:val="005A4F79"/>
    <w:rsid w:val="005A76EF"/>
    <w:rsid w:val="005B0547"/>
    <w:rsid w:val="005B2B96"/>
    <w:rsid w:val="005B3037"/>
    <w:rsid w:val="005B333D"/>
    <w:rsid w:val="005B38B5"/>
    <w:rsid w:val="005B6841"/>
    <w:rsid w:val="005C656B"/>
    <w:rsid w:val="005C6D5B"/>
    <w:rsid w:val="005C7389"/>
    <w:rsid w:val="005D129C"/>
    <w:rsid w:val="005D1F2F"/>
    <w:rsid w:val="005D3B1E"/>
    <w:rsid w:val="005D46D3"/>
    <w:rsid w:val="005D4B12"/>
    <w:rsid w:val="005D5873"/>
    <w:rsid w:val="005D5A95"/>
    <w:rsid w:val="005D6BCF"/>
    <w:rsid w:val="005D6F84"/>
    <w:rsid w:val="005E007E"/>
    <w:rsid w:val="005E073F"/>
    <w:rsid w:val="005E0A51"/>
    <w:rsid w:val="005E108E"/>
    <w:rsid w:val="005E19BA"/>
    <w:rsid w:val="005E3627"/>
    <w:rsid w:val="005E3C36"/>
    <w:rsid w:val="005E5408"/>
    <w:rsid w:val="005E55BB"/>
    <w:rsid w:val="005E69D5"/>
    <w:rsid w:val="005E702A"/>
    <w:rsid w:val="005F195A"/>
    <w:rsid w:val="005F25E8"/>
    <w:rsid w:val="005F2E88"/>
    <w:rsid w:val="005F300D"/>
    <w:rsid w:val="005F3A1A"/>
    <w:rsid w:val="005F3BA5"/>
    <w:rsid w:val="005F3C1E"/>
    <w:rsid w:val="005F3ED5"/>
    <w:rsid w:val="005F44F6"/>
    <w:rsid w:val="005F62A6"/>
    <w:rsid w:val="005F6887"/>
    <w:rsid w:val="005F6B21"/>
    <w:rsid w:val="00600310"/>
    <w:rsid w:val="00600376"/>
    <w:rsid w:val="00601903"/>
    <w:rsid w:val="00601B7B"/>
    <w:rsid w:val="00601FDD"/>
    <w:rsid w:val="0060238B"/>
    <w:rsid w:val="00604A68"/>
    <w:rsid w:val="006059B6"/>
    <w:rsid w:val="006060ED"/>
    <w:rsid w:val="0060625E"/>
    <w:rsid w:val="00606A25"/>
    <w:rsid w:val="006070F7"/>
    <w:rsid w:val="00607BF2"/>
    <w:rsid w:val="00610AD5"/>
    <w:rsid w:val="00610B9B"/>
    <w:rsid w:val="0061125E"/>
    <w:rsid w:val="006139CD"/>
    <w:rsid w:val="00614008"/>
    <w:rsid w:val="0061625A"/>
    <w:rsid w:val="00616940"/>
    <w:rsid w:val="006169FC"/>
    <w:rsid w:val="00617448"/>
    <w:rsid w:val="0061753B"/>
    <w:rsid w:val="0061763D"/>
    <w:rsid w:val="00622F67"/>
    <w:rsid w:val="00625367"/>
    <w:rsid w:val="0062683D"/>
    <w:rsid w:val="006311D9"/>
    <w:rsid w:val="006336DA"/>
    <w:rsid w:val="006345D0"/>
    <w:rsid w:val="00634AB7"/>
    <w:rsid w:val="00640F60"/>
    <w:rsid w:val="00641555"/>
    <w:rsid w:val="00641684"/>
    <w:rsid w:val="0064349B"/>
    <w:rsid w:val="00643C57"/>
    <w:rsid w:val="006445FF"/>
    <w:rsid w:val="0064488D"/>
    <w:rsid w:val="006451FC"/>
    <w:rsid w:val="00645D4F"/>
    <w:rsid w:val="00646C11"/>
    <w:rsid w:val="00651328"/>
    <w:rsid w:val="00651A6E"/>
    <w:rsid w:val="00655CB5"/>
    <w:rsid w:val="00655FB7"/>
    <w:rsid w:val="00656718"/>
    <w:rsid w:val="00656CE4"/>
    <w:rsid w:val="0065734F"/>
    <w:rsid w:val="00660205"/>
    <w:rsid w:val="00660F9B"/>
    <w:rsid w:val="00661AA1"/>
    <w:rsid w:val="00663AA4"/>
    <w:rsid w:val="0066436F"/>
    <w:rsid w:val="00665A91"/>
    <w:rsid w:val="0066600F"/>
    <w:rsid w:val="00666B6F"/>
    <w:rsid w:val="00667648"/>
    <w:rsid w:val="0067047A"/>
    <w:rsid w:val="0067293B"/>
    <w:rsid w:val="00675D99"/>
    <w:rsid w:val="00675E66"/>
    <w:rsid w:val="00676486"/>
    <w:rsid w:val="0067693F"/>
    <w:rsid w:val="00680F50"/>
    <w:rsid w:val="00680FE6"/>
    <w:rsid w:val="0068155E"/>
    <w:rsid w:val="0068212E"/>
    <w:rsid w:val="0068303D"/>
    <w:rsid w:val="0068342E"/>
    <w:rsid w:val="006835FA"/>
    <w:rsid w:val="00684CA0"/>
    <w:rsid w:val="0068542F"/>
    <w:rsid w:val="006868D8"/>
    <w:rsid w:val="0068732E"/>
    <w:rsid w:val="006917E8"/>
    <w:rsid w:val="006918C7"/>
    <w:rsid w:val="006921F3"/>
    <w:rsid w:val="0069247E"/>
    <w:rsid w:val="0069283E"/>
    <w:rsid w:val="0069290C"/>
    <w:rsid w:val="006930F0"/>
    <w:rsid w:val="00694BE3"/>
    <w:rsid w:val="006955EB"/>
    <w:rsid w:val="006959E2"/>
    <w:rsid w:val="006975D9"/>
    <w:rsid w:val="00697728"/>
    <w:rsid w:val="006A0132"/>
    <w:rsid w:val="006A1399"/>
    <w:rsid w:val="006A29C4"/>
    <w:rsid w:val="006A2D8D"/>
    <w:rsid w:val="006A53AF"/>
    <w:rsid w:val="006A593A"/>
    <w:rsid w:val="006B0B7B"/>
    <w:rsid w:val="006B0FA8"/>
    <w:rsid w:val="006B18DC"/>
    <w:rsid w:val="006B2211"/>
    <w:rsid w:val="006B709C"/>
    <w:rsid w:val="006B7241"/>
    <w:rsid w:val="006C0726"/>
    <w:rsid w:val="006C1CC5"/>
    <w:rsid w:val="006C3C3B"/>
    <w:rsid w:val="006C4BA5"/>
    <w:rsid w:val="006C5093"/>
    <w:rsid w:val="006C59DF"/>
    <w:rsid w:val="006C60C5"/>
    <w:rsid w:val="006C664F"/>
    <w:rsid w:val="006C69A9"/>
    <w:rsid w:val="006C6AF7"/>
    <w:rsid w:val="006C755C"/>
    <w:rsid w:val="006D09FA"/>
    <w:rsid w:val="006D1AA6"/>
    <w:rsid w:val="006D30B1"/>
    <w:rsid w:val="006D31D9"/>
    <w:rsid w:val="006D3536"/>
    <w:rsid w:val="006D482F"/>
    <w:rsid w:val="006D7B54"/>
    <w:rsid w:val="006E0CF1"/>
    <w:rsid w:val="006E244C"/>
    <w:rsid w:val="006E55FD"/>
    <w:rsid w:val="006E5CF2"/>
    <w:rsid w:val="006E713D"/>
    <w:rsid w:val="006F01A1"/>
    <w:rsid w:val="006F0B3D"/>
    <w:rsid w:val="006F2B58"/>
    <w:rsid w:val="006F3DCF"/>
    <w:rsid w:val="006F46EE"/>
    <w:rsid w:val="006F4A36"/>
    <w:rsid w:val="006F5226"/>
    <w:rsid w:val="006F73AE"/>
    <w:rsid w:val="006F7432"/>
    <w:rsid w:val="006F7B0E"/>
    <w:rsid w:val="00700B57"/>
    <w:rsid w:val="00702D47"/>
    <w:rsid w:val="00703141"/>
    <w:rsid w:val="00710223"/>
    <w:rsid w:val="007104E8"/>
    <w:rsid w:val="007107E9"/>
    <w:rsid w:val="00711687"/>
    <w:rsid w:val="007119F7"/>
    <w:rsid w:val="00713822"/>
    <w:rsid w:val="00715574"/>
    <w:rsid w:val="00715937"/>
    <w:rsid w:val="00715A2A"/>
    <w:rsid w:val="00716600"/>
    <w:rsid w:val="00716936"/>
    <w:rsid w:val="00716F37"/>
    <w:rsid w:val="00716F96"/>
    <w:rsid w:val="00717DD7"/>
    <w:rsid w:val="00721D95"/>
    <w:rsid w:val="0072230F"/>
    <w:rsid w:val="0072267D"/>
    <w:rsid w:val="00723136"/>
    <w:rsid w:val="0072359E"/>
    <w:rsid w:val="00724153"/>
    <w:rsid w:val="00725F11"/>
    <w:rsid w:val="00727A55"/>
    <w:rsid w:val="00732EF0"/>
    <w:rsid w:val="00733044"/>
    <w:rsid w:val="007333AC"/>
    <w:rsid w:val="00733534"/>
    <w:rsid w:val="00734720"/>
    <w:rsid w:val="00734A3E"/>
    <w:rsid w:val="00736BF4"/>
    <w:rsid w:val="007373B1"/>
    <w:rsid w:val="00737413"/>
    <w:rsid w:val="00737ED3"/>
    <w:rsid w:val="00740179"/>
    <w:rsid w:val="00740289"/>
    <w:rsid w:val="007412AC"/>
    <w:rsid w:val="0074140E"/>
    <w:rsid w:val="0074387F"/>
    <w:rsid w:val="00747593"/>
    <w:rsid w:val="00747FBC"/>
    <w:rsid w:val="00750BDA"/>
    <w:rsid w:val="007533EC"/>
    <w:rsid w:val="007549AD"/>
    <w:rsid w:val="00756221"/>
    <w:rsid w:val="00757F2E"/>
    <w:rsid w:val="00760788"/>
    <w:rsid w:val="00761BB2"/>
    <w:rsid w:val="00764248"/>
    <w:rsid w:val="007642BF"/>
    <w:rsid w:val="00766F72"/>
    <w:rsid w:val="00771441"/>
    <w:rsid w:val="00773401"/>
    <w:rsid w:val="00773BFD"/>
    <w:rsid w:val="0077508D"/>
    <w:rsid w:val="00780862"/>
    <w:rsid w:val="00780AC2"/>
    <w:rsid w:val="00782520"/>
    <w:rsid w:val="007830E0"/>
    <w:rsid w:val="00783A1F"/>
    <w:rsid w:val="00784C35"/>
    <w:rsid w:val="00786D7F"/>
    <w:rsid w:val="00790393"/>
    <w:rsid w:val="00791592"/>
    <w:rsid w:val="00791968"/>
    <w:rsid w:val="00791A07"/>
    <w:rsid w:val="0079310F"/>
    <w:rsid w:val="0079380D"/>
    <w:rsid w:val="007938C9"/>
    <w:rsid w:val="00795C4D"/>
    <w:rsid w:val="007A06FA"/>
    <w:rsid w:val="007A3BF5"/>
    <w:rsid w:val="007A3E22"/>
    <w:rsid w:val="007A76F4"/>
    <w:rsid w:val="007B023A"/>
    <w:rsid w:val="007B04D0"/>
    <w:rsid w:val="007B31FD"/>
    <w:rsid w:val="007B3296"/>
    <w:rsid w:val="007B3444"/>
    <w:rsid w:val="007B3A02"/>
    <w:rsid w:val="007B4B2E"/>
    <w:rsid w:val="007B5989"/>
    <w:rsid w:val="007B7267"/>
    <w:rsid w:val="007C05DE"/>
    <w:rsid w:val="007C16B3"/>
    <w:rsid w:val="007C22BE"/>
    <w:rsid w:val="007C35E3"/>
    <w:rsid w:val="007C5683"/>
    <w:rsid w:val="007C56A1"/>
    <w:rsid w:val="007C776B"/>
    <w:rsid w:val="007C7A5C"/>
    <w:rsid w:val="007D0CE4"/>
    <w:rsid w:val="007D1D68"/>
    <w:rsid w:val="007D2301"/>
    <w:rsid w:val="007D4666"/>
    <w:rsid w:val="007D752C"/>
    <w:rsid w:val="007D77AC"/>
    <w:rsid w:val="007D7FF4"/>
    <w:rsid w:val="007E0742"/>
    <w:rsid w:val="007E1F25"/>
    <w:rsid w:val="007E5853"/>
    <w:rsid w:val="007E5DB8"/>
    <w:rsid w:val="007E7358"/>
    <w:rsid w:val="007F0553"/>
    <w:rsid w:val="007F0B17"/>
    <w:rsid w:val="007F22CA"/>
    <w:rsid w:val="007F2806"/>
    <w:rsid w:val="007F39F1"/>
    <w:rsid w:val="007F3AC1"/>
    <w:rsid w:val="007F3CF6"/>
    <w:rsid w:val="007F3FEB"/>
    <w:rsid w:val="007F473A"/>
    <w:rsid w:val="007F5944"/>
    <w:rsid w:val="007F603B"/>
    <w:rsid w:val="007F7E15"/>
    <w:rsid w:val="008033A9"/>
    <w:rsid w:val="00805BBB"/>
    <w:rsid w:val="0080634C"/>
    <w:rsid w:val="00811065"/>
    <w:rsid w:val="008129C6"/>
    <w:rsid w:val="008154A5"/>
    <w:rsid w:val="00817191"/>
    <w:rsid w:val="00821B86"/>
    <w:rsid w:val="00822963"/>
    <w:rsid w:val="00822ACE"/>
    <w:rsid w:val="00822D58"/>
    <w:rsid w:val="00822F0A"/>
    <w:rsid w:val="00830310"/>
    <w:rsid w:val="008310B3"/>
    <w:rsid w:val="00833443"/>
    <w:rsid w:val="008346BA"/>
    <w:rsid w:val="008347A9"/>
    <w:rsid w:val="00834AC8"/>
    <w:rsid w:val="00835EAD"/>
    <w:rsid w:val="0084160D"/>
    <w:rsid w:val="008426A3"/>
    <w:rsid w:val="00842CEB"/>
    <w:rsid w:val="00844F2A"/>
    <w:rsid w:val="00846F1C"/>
    <w:rsid w:val="0084713C"/>
    <w:rsid w:val="00847206"/>
    <w:rsid w:val="00853C04"/>
    <w:rsid w:val="00854680"/>
    <w:rsid w:val="00854C25"/>
    <w:rsid w:val="00854E60"/>
    <w:rsid w:val="00856579"/>
    <w:rsid w:val="00857BFD"/>
    <w:rsid w:val="00860D01"/>
    <w:rsid w:val="0086134E"/>
    <w:rsid w:val="00862904"/>
    <w:rsid w:val="008635B9"/>
    <w:rsid w:val="00863A4D"/>
    <w:rsid w:val="00864BBD"/>
    <w:rsid w:val="00865758"/>
    <w:rsid w:val="0086580C"/>
    <w:rsid w:val="00867C40"/>
    <w:rsid w:val="00867F5D"/>
    <w:rsid w:val="00870B0C"/>
    <w:rsid w:val="00871F70"/>
    <w:rsid w:val="008726A5"/>
    <w:rsid w:val="00873754"/>
    <w:rsid w:val="0087488B"/>
    <w:rsid w:val="008752C9"/>
    <w:rsid w:val="0087551E"/>
    <w:rsid w:val="00877E09"/>
    <w:rsid w:val="00880FB6"/>
    <w:rsid w:val="008811ED"/>
    <w:rsid w:val="0088702E"/>
    <w:rsid w:val="008871DE"/>
    <w:rsid w:val="00890458"/>
    <w:rsid w:val="008908E6"/>
    <w:rsid w:val="00891D36"/>
    <w:rsid w:val="00891F35"/>
    <w:rsid w:val="00893B43"/>
    <w:rsid w:val="008946E2"/>
    <w:rsid w:val="00895962"/>
    <w:rsid w:val="00895B40"/>
    <w:rsid w:val="00895E9F"/>
    <w:rsid w:val="00896B55"/>
    <w:rsid w:val="008A0296"/>
    <w:rsid w:val="008A07E9"/>
    <w:rsid w:val="008A0BB2"/>
    <w:rsid w:val="008A14C2"/>
    <w:rsid w:val="008A4658"/>
    <w:rsid w:val="008A49AF"/>
    <w:rsid w:val="008A4AAC"/>
    <w:rsid w:val="008B019B"/>
    <w:rsid w:val="008B0890"/>
    <w:rsid w:val="008B11E8"/>
    <w:rsid w:val="008B280C"/>
    <w:rsid w:val="008B369F"/>
    <w:rsid w:val="008B5832"/>
    <w:rsid w:val="008B6BEE"/>
    <w:rsid w:val="008B7030"/>
    <w:rsid w:val="008B7A12"/>
    <w:rsid w:val="008C0414"/>
    <w:rsid w:val="008C3330"/>
    <w:rsid w:val="008C3A4E"/>
    <w:rsid w:val="008C406A"/>
    <w:rsid w:val="008C433C"/>
    <w:rsid w:val="008C45C3"/>
    <w:rsid w:val="008C51B8"/>
    <w:rsid w:val="008C59D1"/>
    <w:rsid w:val="008C6180"/>
    <w:rsid w:val="008C6232"/>
    <w:rsid w:val="008C6A31"/>
    <w:rsid w:val="008D1DF2"/>
    <w:rsid w:val="008D2484"/>
    <w:rsid w:val="008D3746"/>
    <w:rsid w:val="008D3C05"/>
    <w:rsid w:val="008D4586"/>
    <w:rsid w:val="008D65AC"/>
    <w:rsid w:val="008D6FE0"/>
    <w:rsid w:val="008D730D"/>
    <w:rsid w:val="008D7320"/>
    <w:rsid w:val="008E0586"/>
    <w:rsid w:val="008E1058"/>
    <w:rsid w:val="008E1065"/>
    <w:rsid w:val="008E414E"/>
    <w:rsid w:val="008E4A16"/>
    <w:rsid w:val="008E4C99"/>
    <w:rsid w:val="008E4E33"/>
    <w:rsid w:val="008E674B"/>
    <w:rsid w:val="008E6D15"/>
    <w:rsid w:val="008F01E6"/>
    <w:rsid w:val="008F1AEE"/>
    <w:rsid w:val="008F29FE"/>
    <w:rsid w:val="008F3858"/>
    <w:rsid w:val="008F3D4D"/>
    <w:rsid w:val="008F414A"/>
    <w:rsid w:val="008F43E8"/>
    <w:rsid w:val="008F459F"/>
    <w:rsid w:val="008F63E5"/>
    <w:rsid w:val="008F667F"/>
    <w:rsid w:val="008F6D7F"/>
    <w:rsid w:val="008F7400"/>
    <w:rsid w:val="009009C3"/>
    <w:rsid w:val="00901955"/>
    <w:rsid w:val="00902981"/>
    <w:rsid w:val="00903797"/>
    <w:rsid w:val="00903B2C"/>
    <w:rsid w:val="00903FF2"/>
    <w:rsid w:val="00904765"/>
    <w:rsid w:val="0090533E"/>
    <w:rsid w:val="0090766A"/>
    <w:rsid w:val="00911D79"/>
    <w:rsid w:val="00912549"/>
    <w:rsid w:val="00913113"/>
    <w:rsid w:val="00913193"/>
    <w:rsid w:val="0091546F"/>
    <w:rsid w:val="0091625B"/>
    <w:rsid w:val="009205FA"/>
    <w:rsid w:val="0092228F"/>
    <w:rsid w:val="0092386B"/>
    <w:rsid w:val="009240F9"/>
    <w:rsid w:val="0092517D"/>
    <w:rsid w:val="00927349"/>
    <w:rsid w:val="0092741A"/>
    <w:rsid w:val="00927755"/>
    <w:rsid w:val="009322C0"/>
    <w:rsid w:val="0093317B"/>
    <w:rsid w:val="00933216"/>
    <w:rsid w:val="00934942"/>
    <w:rsid w:val="00934FC0"/>
    <w:rsid w:val="0094311D"/>
    <w:rsid w:val="0094362C"/>
    <w:rsid w:val="0094369E"/>
    <w:rsid w:val="009439CD"/>
    <w:rsid w:val="009446CB"/>
    <w:rsid w:val="0094485D"/>
    <w:rsid w:val="00944972"/>
    <w:rsid w:val="00944BD3"/>
    <w:rsid w:val="00944DD7"/>
    <w:rsid w:val="00944ECE"/>
    <w:rsid w:val="009451BA"/>
    <w:rsid w:val="00945242"/>
    <w:rsid w:val="009507DA"/>
    <w:rsid w:val="009509C1"/>
    <w:rsid w:val="00951607"/>
    <w:rsid w:val="009523CD"/>
    <w:rsid w:val="0095312C"/>
    <w:rsid w:val="00953B9C"/>
    <w:rsid w:val="009546BE"/>
    <w:rsid w:val="0095653B"/>
    <w:rsid w:val="00956920"/>
    <w:rsid w:val="00956C8C"/>
    <w:rsid w:val="009575B0"/>
    <w:rsid w:val="00957D65"/>
    <w:rsid w:val="009612AF"/>
    <w:rsid w:val="00961AB8"/>
    <w:rsid w:val="0096232E"/>
    <w:rsid w:val="0096269D"/>
    <w:rsid w:val="00964050"/>
    <w:rsid w:val="00964347"/>
    <w:rsid w:val="00964627"/>
    <w:rsid w:val="00966FFE"/>
    <w:rsid w:val="00967ED9"/>
    <w:rsid w:val="009701B5"/>
    <w:rsid w:val="00970688"/>
    <w:rsid w:val="00973CF6"/>
    <w:rsid w:val="00974F1C"/>
    <w:rsid w:val="00975CD6"/>
    <w:rsid w:val="009772EE"/>
    <w:rsid w:val="00977C1B"/>
    <w:rsid w:val="00981C40"/>
    <w:rsid w:val="00986821"/>
    <w:rsid w:val="00990A24"/>
    <w:rsid w:val="00990C57"/>
    <w:rsid w:val="0099149A"/>
    <w:rsid w:val="00991D8E"/>
    <w:rsid w:val="00993733"/>
    <w:rsid w:val="0099384E"/>
    <w:rsid w:val="00993B48"/>
    <w:rsid w:val="00994A02"/>
    <w:rsid w:val="0099520D"/>
    <w:rsid w:val="00996152"/>
    <w:rsid w:val="00996406"/>
    <w:rsid w:val="00996528"/>
    <w:rsid w:val="00996598"/>
    <w:rsid w:val="009965E2"/>
    <w:rsid w:val="00996CC1"/>
    <w:rsid w:val="0099714F"/>
    <w:rsid w:val="00997574"/>
    <w:rsid w:val="00997694"/>
    <w:rsid w:val="009979EC"/>
    <w:rsid w:val="009A041C"/>
    <w:rsid w:val="009A0AD0"/>
    <w:rsid w:val="009A4344"/>
    <w:rsid w:val="009A479E"/>
    <w:rsid w:val="009A4B27"/>
    <w:rsid w:val="009A4F6B"/>
    <w:rsid w:val="009A5BA9"/>
    <w:rsid w:val="009A735B"/>
    <w:rsid w:val="009A7C5E"/>
    <w:rsid w:val="009A7C74"/>
    <w:rsid w:val="009A7EE9"/>
    <w:rsid w:val="009B0561"/>
    <w:rsid w:val="009B0737"/>
    <w:rsid w:val="009B32E4"/>
    <w:rsid w:val="009B3CDA"/>
    <w:rsid w:val="009B73D5"/>
    <w:rsid w:val="009B7F27"/>
    <w:rsid w:val="009C01D9"/>
    <w:rsid w:val="009C27B3"/>
    <w:rsid w:val="009C5764"/>
    <w:rsid w:val="009C61C4"/>
    <w:rsid w:val="009D04B3"/>
    <w:rsid w:val="009D09D6"/>
    <w:rsid w:val="009D270D"/>
    <w:rsid w:val="009D30D7"/>
    <w:rsid w:val="009D575B"/>
    <w:rsid w:val="009D58B3"/>
    <w:rsid w:val="009D75A3"/>
    <w:rsid w:val="009D76D7"/>
    <w:rsid w:val="009E11F3"/>
    <w:rsid w:val="009E22EF"/>
    <w:rsid w:val="009E28F7"/>
    <w:rsid w:val="009E3002"/>
    <w:rsid w:val="009E3483"/>
    <w:rsid w:val="009E43F0"/>
    <w:rsid w:val="009E53A2"/>
    <w:rsid w:val="009E584C"/>
    <w:rsid w:val="009E7F03"/>
    <w:rsid w:val="009F2655"/>
    <w:rsid w:val="009F33BE"/>
    <w:rsid w:val="009F4C28"/>
    <w:rsid w:val="009F5668"/>
    <w:rsid w:val="009F6FA8"/>
    <w:rsid w:val="009F71C2"/>
    <w:rsid w:val="009F726D"/>
    <w:rsid w:val="00A00E0A"/>
    <w:rsid w:val="00A013AC"/>
    <w:rsid w:val="00A04746"/>
    <w:rsid w:val="00A04BF1"/>
    <w:rsid w:val="00A066A4"/>
    <w:rsid w:val="00A06E48"/>
    <w:rsid w:val="00A105A4"/>
    <w:rsid w:val="00A10FE5"/>
    <w:rsid w:val="00A11A3F"/>
    <w:rsid w:val="00A11ACD"/>
    <w:rsid w:val="00A123F8"/>
    <w:rsid w:val="00A13C39"/>
    <w:rsid w:val="00A15B9B"/>
    <w:rsid w:val="00A172EC"/>
    <w:rsid w:val="00A1756D"/>
    <w:rsid w:val="00A20E1B"/>
    <w:rsid w:val="00A20FD1"/>
    <w:rsid w:val="00A2202A"/>
    <w:rsid w:val="00A22F3C"/>
    <w:rsid w:val="00A23520"/>
    <w:rsid w:val="00A24231"/>
    <w:rsid w:val="00A25D6A"/>
    <w:rsid w:val="00A2636B"/>
    <w:rsid w:val="00A26F26"/>
    <w:rsid w:val="00A27640"/>
    <w:rsid w:val="00A27A83"/>
    <w:rsid w:val="00A27D7A"/>
    <w:rsid w:val="00A30B04"/>
    <w:rsid w:val="00A30B66"/>
    <w:rsid w:val="00A313C6"/>
    <w:rsid w:val="00A35350"/>
    <w:rsid w:val="00A40346"/>
    <w:rsid w:val="00A407D4"/>
    <w:rsid w:val="00A40A64"/>
    <w:rsid w:val="00A41211"/>
    <w:rsid w:val="00A43685"/>
    <w:rsid w:val="00A436E0"/>
    <w:rsid w:val="00A43F14"/>
    <w:rsid w:val="00A44643"/>
    <w:rsid w:val="00A449B8"/>
    <w:rsid w:val="00A45FE8"/>
    <w:rsid w:val="00A524FF"/>
    <w:rsid w:val="00A52738"/>
    <w:rsid w:val="00A566B0"/>
    <w:rsid w:val="00A608C2"/>
    <w:rsid w:val="00A60DD9"/>
    <w:rsid w:val="00A61351"/>
    <w:rsid w:val="00A61D95"/>
    <w:rsid w:val="00A62793"/>
    <w:rsid w:val="00A62833"/>
    <w:rsid w:val="00A64D82"/>
    <w:rsid w:val="00A66033"/>
    <w:rsid w:val="00A666D7"/>
    <w:rsid w:val="00A67D91"/>
    <w:rsid w:val="00A7120D"/>
    <w:rsid w:val="00A72060"/>
    <w:rsid w:val="00A729DE"/>
    <w:rsid w:val="00A771E0"/>
    <w:rsid w:val="00A77AE4"/>
    <w:rsid w:val="00A810F6"/>
    <w:rsid w:val="00A82838"/>
    <w:rsid w:val="00A82E57"/>
    <w:rsid w:val="00A83924"/>
    <w:rsid w:val="00A83EAF"/>
    <w:rsid w:val="00A851EB"/>
    <w:rsid w:val="00A85D08"/>
    <w:rsid w:val="00A92040"/>
    <w:rsid w:val="00A947EF"/>
    <w:rsid w:val="00A9553B"/>
    <w:rsid w:val="00A96242"/>
    <w:rsid w:val="00AA1B34"/>
    <w:rsid w:val="00AA2AAC"/>
    <w:rsid w:val="00AA2F70"/>
    <w:rsid w:val="00AA36C8"/>
    <w:rsid w:val="00AA499D"/>
    <w:rsid w:val="00AA5FB6"/>
    <w:rsid w:val="00AA60B6"/>
    <w:rsid w:val="00AA7D06"/>
    <w:rsid w:val="00AA7DDE"/>
    <w:rsid w:val="00AB0398"/>
    <w:rsid w:val="00AB15EE"/>
    <w:rsid w:val="00AB26CE"/>
    <w:rsid w:val="00AB2B48"/>
    <w:rsid w:val="00AB490D"/>
    <w:rsid w:val="00AB6A36"/>
    <w:rsid w:val="00AB7D47"/>
    <w:rsid w:val="00AB7F47"/>
    <w:rsid w:val="00AC11A6"/>
    <w:rsid w:val="00AC188E"/>
    <w:rsid w:val="00AC263E"/>
    <w:rsid w:val="00AC29B1"/>
    <w:rsid w:val="00AC581B"/>
    <w:rsid w:val="00AC651A"/>
    <w:rsid w:val="00AC6795"/>
    <w:rsid w:val="00AC67B9"/>
    <w:rsid w:val="00AC7272"/>
    <w:rsid w:val="00AD0443"/>
    <w:rsid w:val="00AD0555"/>
    <w:rsid w:val="00AD089F"/>
    <w:rsid w:val="00AD0CF1"/>
    <w:rsid w:val="00AD10BA"/>
    <w:rsid w:val="00AD2612"/>
    <w:rsid w:val="00AD3557"/>
    <w:rsid w:val="00AD4FF9"/>
    <w:rsid w:val="00AD552B"/>
    <w:rsid w:val="00AD75D0"/>
    <w:rsid w:val="00AD7C8A"/>
    <w:rsid w:val="00AE0334"/>
    <w:rsid w:val="00AE3FE4"/>
    <w:rsid w:val="00AE7855"/>
    <w:rsid w:val="00AF197F"/>
    <w:rsid w:val="00AF2001"/>
    <w:rsid w:val="00AF21B0"/>
    <w:rsid w:val="00AF2564"/>
    <w:rsid w:val="00AF3CFF"/>
    <w:rsid w:val="00AF4EC8"/>
    <w:rsid w:val="00AF5696"/>
    <w:rsid w:val="00AF7024"/>
    <w:rsid w:val="00AF712B"/>
    <w:rsid w:val="00B005E6"/>
    <w:rsid w:val="00B01199"/>
    <w:rsid w:val="00B02614"/>
    <w:rsid w:val="00B0278B"/>
    <w:rsid w:val="00B032EC"/>
    <w:rsid w:val="00B03ECA"/>
    <w:rsid w:val="00B04761"/>
    <w:rsid w:val="00B04C99"/>
    <w:rsid w:val="00B05935"/>
    <w:rsid w:val="00B073D8"/>
    <w:rsid w:val="00B11073"/>
    <w:rsid w:val="00B111A9"/>
    <w:rsid w:val="00B11208"/>
    <w:rsid w:val="00B1244B"/>
    <w:rsid w:val="00B12A0A"/>
    <w:rsid w:val="00B131D6"/>
    <w:rsid w:val="00B13FBC"/>
    <w:rsid w:val="00B14EA7"/>
    <w:rsid w:val="00B15B8E"/>
    <w:rsid w:val="00B173AC"/>
    <w:rsid w:val="00B2195E"/>
    <w:rsid w:val="00B2236D"/>
    <w:rsid w:val="00B22BE0"/>
    <w:rsid w:val="00B239FC"/>
    <w:rsid w:val="00B25DE6"/>
    <w:rsid w:val="00B27BCC"/>
    <w:rsid w:val="00B31680"/>
    <w:rsid w:val="00B31B23"/>
    <w:rsid w:val="00B32A4C"/>
    <w:rsid w:val="00B347F3"/>
    <w:rsid w:val="00B37EBC"/>
    <w:rsid w:val="00B409B6"/>
    <w:rsid w:val="00B4331E"/>
    <w:rsid w:val="00B4669D"/>
    <w:rsid w:val="00B469DD"/>
    <w:rsid w:val="00B47BE1"/>
    <w:rsid w:val="00B5122F"/>
    <w:rsid w:val="00B519B3"/>
    <w:rsid w:val="00B51E98"/>
    <w:rsid w:val="00B5372A"/>
    <w:rsid w:val="00B54343"/>
    <w:rsid w:val="00B5568B"/>
    <w:rsid w:val="00B60BCC"/>
    <w:rsid w:val="00B60C0E"/>
    <w:rsid w:val="00B60D26"/>
    <w:rsid w:val="00B626EB"/>
    <w:rsid w:val="00B6310B"/>
    <w:rsid w:val="00B633F9"/>
    <w:rsid w:val="00B647D7"/>
    <w:rsid w:val="00B6562D"/>
    <w:rsid w:val="00B670DD"/>
    <w:rsid w:val="00B74397"/>
    <w:rsid w:val="00B7767D"/>
    <w:rsid w:val="00B77CB7"/>
    <w:rsid w:val="00B802A8"/>
    <w:rsid w:val="00B81098"/>
    <w:rsid w:val="00B81703"/>
    <w:rsid w:val="00B81D10"/>
    <w:rsid w:val="00B84631"/>
    <w:rsid w:val="00B85053"/>
    <w:rsid w:val="00B8559F"/>
    <w:rsid w:val="00B85AB6"/>
    <w:rsid w:val="00B8708E"/>
    <w:rsid w:val="00B87D86"/>
    <w:rsid w:val="00B909D3"/>
    <w:rsid w:val="00B91A2E"/>
    <w:rsid w:val="00B925DA"/>
    <w:rsid w:val="00B92E48"/>
    <w:rsid w:val="00B93C69"/>
    <w:rsid w:val="00B942BA"/>
    <w:rsid w:val="00B9436B"/>
    <w:rsid w:val="00B943A2"/>
    <w:rsid w:val="00B95843"/>
    <w:rsid w:val="00B96501"/>
    <w:rsid w:val="00BA1418"/>
    <w:rsid w:val="00BA2076"/>
    <w:rsid w:val="00BA238E"/>
    <w:rsid w:val="00BA35FC"/>
    <w:rsid w:val="00BA4F76"/>
    <w:rsid w:val="00BB0293"/>
    <w:rsid w:val="00BB0A0C"/>
    <w:rsid w:val="00BB67B0"/>
    <w:rsid w:val="00BB6AA5"/>
    <w:rsid w:val="00BB6C9C"/>
    <w:rsid w:val="00BC3498"/>
    <w:rsid w:val="00BC3EB4"/>
    <w:rsid w:val="00BC4400"/>
    <w:rsid w:val="00BC495B"/>
    <w:rsid w:val="00BC6371"/>
    <w:rsid w:val="00BC72B7"/>
    <w:rsid w:val="00BC7867"/>
    <w:rsid w:val="00BD0968"/>
    <w:rsid w:val="00BD119D"/>
    <w:rsid w:val="00BD26E7"/>
    <w:rsid w:val="00BD55BA"/>
    <w:rsid w:val="00BD5621"/>
    <w:rsid w:val="00BD6494"/>
    <w:rsid w:val="00BE0875"/>
    <w:rsid w:val="00BE79B0"/>
    <w:rsid w:val="00BF40B4"/>
    <w:rsid w:val="00BF57C1"/>
    <w:rsid w:val="00BF7D99"/>
    <w:rsid w:val="00BF7EF8"/>
    <w:rsid w:val="00C004F9"/>
    <w:rsid w:val="00C00D9C"/>
    <w:rsid w:val="00C023B2"/>
    <w:rsid w:val="00C02A9A"/>
    <w:rsid w:val="00C02D3D"/>
    <w:rsid w:val="00C068E1"/>
    <w:rsid w:val="00C06F9E"/>
    <w:rsid w:val="00C07308"/>
    <w:rsid w:val="00C07E1D"/>
    <w:rsid w:val="00C11A0F"/>
    <w:rsid w:val="00C11A62"/>
    <w:rsid w:val="00C13461"/>
    <w:rsid w:val="00C1358F"/>
    <w:rsid w:val="00C14C21"/>
    <w:rsid w:val="00C15390"/>
    <w:rsid w:val="00C15EB2"/>
    <w:rsid w:val="00C161A6"/>
    <w:rsid w:val="00C17344"/>
    <w:rsid w:val="00C20E45"/>
    <w:rsid w:val="00C259BF"/>
    <w:rsid w:val="00C27917"/>
    <w:rsid w:val="00C303D6"/>
    <w:rsid w:val="00C307E8"/>
    <w:rsid w:val="00C3104A"/>
    <w:rsid w:val="00C32159"/>
    <w:rsid w:val="00C33340"/>
    <w:rsid w:val="00C35F4F"/>
    <w:rsid w:val="00C36D0B"/>
    <w:rsid w:val="00C37CC8"/>
    <w:rsid w:val="00C37E45"/>
    <w:rsid w:val="00C40171"/>
    <w:rsid w:val="00C41194"/>
    <w:rsid w:val="00C41792"/>
    <w:rsid w:val="00C44206"/>
    <w:rsid w:val="00C454C2"/>
    <w:rsid w:val="00C45DCA"/>
    <w:rsid w:val="00C51015"/>
    <w:rsid w:val="00C51F71"/>
    <w:rsid w:val="00C532D9"/>
    <w:rsid w:val="00C535A3"/>
    <w:rsid w:val="00C56C28"/>
    <w:rsid w:val="00C608EC"/>
    <w:rsid w:val="00C61637"/>
    <w:rsid w:val="00C62BE4"/>
    <w:rsid w:val="00C63D35"/>
    <w:rsid w:val="00C6437B"/>
    <w:rsid w:val="00C64741"/>
    <w:rsid w:val="00C6597A"/>
    <w:rsid w:val="00C65D0A"/>
    <w:rsid w:val="00C65DAF"/>
    <w:rsid w:val="00C67536"/>
    <w:rsid w:val="00C7066C"/>
    <w:rsid w:val="00C72CAC"/>
    <w:rsid w:val="00C74AAD"/>
    <w:rsid w:val="00C75CD6"/>
    <w:rsid w:val="00C761AE"/>
    <w:rsid w:val="00C76ADD"/>
    <w:rsid w:val="00C76B98"/>
    <w:rsid w:val="00C76DB3"/>
    <w:rsid w:val="00C7703C"/>
    <w:rsid w:val="00C77DBB"/>
    <w:rsid w:val="00C842F9"/>
    <w:rsid w:val="00C84D06"/>
    <w:rsid w:val="00C84EE1"/>
    <w:rsid w:val="00C861B4"/>
    <w:rsid w:val="00C876B3"/>
    <w:rsid w:val="00C904CF"/>
    <w:rsid w:val="00C9068A"/>
    <w:rsid w:val="00C92A36"/>
    <w:rsid w:val="00C930D0"/>
    <w:rsid w:val="00C93737"/>
    <w:rsid w:val="00C94987"/>
    <w:rsid w:val="00C974DB"/>
    <w:rsid w:val="00C97CEE"/>
    <w:rsid w:val="00CA32B4"/>
    <w:rsid w:val="00CA3629"/>
    <w:rsid w:val="00CA4D1F"/>
    <w:rsid w:val="00CA615C"/>
    <w:rsid w:val="00CA6FB1"/>
    <w:rsid w:val="00CA7989"/>
    <w:rsid w:val="00CB158C"/>
    <w:rsid w:val="00CB1F4E"/>
    <w:rsid w:val="00CB3DCB"/>
    <w:rsid w:val="00CB40E7"/>
    <w:rsid w:val="00CB740C"/>
    <w:rsid w:val="00CC10ED"/>
    <w:rsid w:val="00CC4FA6"/>
    <w:rsid w:val="00CC51F8"/>
    <w:rsid w:val="00CC59E0"/>
    <w:rsid w:val="00CC68B2"/>
    <w:rsid w:val="00CC76FA"/>
    <w:rsid w:val="00CC79EB"/>
    <w:rsid w:val="00CD08A5"/>
    <w:rsid w:val="00CD16D3"/>
    <w:rsid w:val="00CD2BA9"/>
    <w:rsid w:val="00CD30E0"/>
    <w:rsid w:val="00CD43FE"/>
    <w:rsid w:val="00CD4694"/>
    <w:rsid w:val="00CD4A3A"/>
    <w:rsid w:val="00CD5BBC"/>
    <w:rsid w:val="00CE11A4"/>
    <w:rsid w:val="00CE1F20"/>
    <w:rsid w:val="00CE57F6"/>
    <w:rsid w:val="00CE69CA"/>
    <w:rsid w:val="00CE72B1"/>
    <w:rsid w:val="00CF0028"/>
    <w:rsid w:val="00CF1ADE"/>
    <w:rsid w:val="00CF1C82"/>
    <w:rsid w:val="00CF28B6"/>
    <w:rsid w:val="00CF31EF"/>
    <w:rsid w:val="00CF3E45"/>
    <w:rsid w:val="00CF469A"/>
    <w:rsid w:val="00CF5859"/>
    <w:rsid w:val="00CF76B1"/>
    <w:rsid w:val="00CF789C"/>
    <w:rsid w:val="00CF7BA6"/>
    <w:rsid w:val="00D007A1"/>
    <w:rsid w:val="00D01A01"/>
    <w:rsid w:val="00D01BB3"/>
    <w:rsid w:val="00D05376"/>
    <w:rsid w:val="00D05415"/>
    <w:rsid w:val="00D06597"/>
    <w:rsid w:val="00D06E34"/>
    <w:rsid w:val="00D07F2F"/>
    <w:rsid w:val="00D105D9"/>
    <w:rsid w:val="00D10DAA"/>
    <w:rsid w:val="00D13A3A"/>
    <w:rsid w:val="00D13C3F"/>
    <w:rsid w:val="00D13D51"/>
    <w:rsid w:val="00D16363"/>
    <w:rsid w:val="00D17663"/>
    <w:rsid w:val="00D17BFF"/>
    <w:rsid w:val="00D20936"/>
    <w:rsid w:val="00D2298B"/>
    <w:rsid w:val="00D2501B"/>
    <w:rsid w:val="00D278DE"/>
    <w:rsid w:val="00D308F2"/>
    <w:rsid w:val="00D3099D"/>
    <w:rsid w:val="00D33699"/>
    <w:rsid w:val="00D35862"/>
    <w:rsid w:val="00D400DF"/>
    <w:rsid w:val="00D403F8"/>
    <w:rsid w:val="00D41ADA"/>
    <w:rsid w:val="00D41D56"/>
    <w:rsid w:val="00D42148"/>
    <w:rsid w:val="00D434BF"/>
    <w:rsid w:val="00D44E5B"/>
    <w:rsid w:val="00D538B2"/>
    <w:rsid w:val="00D5490C"/>
    <w:rsid w:val="00D565EC"/>
    <w:rsid w:val="00D57A43"/>
    <w:rsid w:val="00D60711"/>
    <w:rsid w:val="00D609EE"/>
    <w:rsid w:val="00D61858"/>
    <w:rsid w:val="00D61F71"/>
    <w:rsid w:val="00D62356"/>
    <w:rsid w:val="00D629DE"/>
    <w:rsid w:val="00D630F1"/>
    <w:rsid w:val="00D64D12"/>
    <w:rsid w:val="00D64E25"/>
    <w:rsid w:val="00D653D6"/>
    <w:rsid w:val="00D66604"/>
    <w:rsid w:val="00D72438"/>
    <w:rsid w:val="00D72DF5"/>
    <w:rsid w:val="00D73E1B"/>
    <w:rsid w:val="00D75BF0"/>
    <w:rsid w:val="00D76966"/>
    <w:rsid w:val="00D80177"/>
    <w:rsid w:val="00D80DFF"/>
    <w:rsid w:val="00D81BCA"/>
    <w:rsid w:val="00D81C45"/>
    <w:rsid w:val="00D82754"/>
    <w:rsid w:val="00D84416"/>
    <w:rsid w:val="00D85358"/>
    <w:rsid w:val="00D85EEA"/>
    <w:rsid w:val="00D86694"/>
    <w:rsid w:val="00D86934"/>
    <w:rsid w:val="00D86B2F"/>
    <w:rsid w:val="00D908B4"/>
    <w:rsid w:val="00D9131A"/>
    <w:rsid w:val="00D9325E"/>
    <w:rsid w:val="00D9362D"/>
    <w:rsid w:val="00D95D8B"/>
    <w:rsid w:val="00D9684E"/>
    <w:rsid w:val="00D96A94"/>
    <w:rsid w:val="00DA13B1"/>
    <w:rsid w:val="00DA209B"/>
    <w:rsid w:val="00DA31C2"/>
    <w:rsid w:val="00DA3317"/>
    <w:rsid w:val="00DA482A"/>
    <w:rsid w:val="00DA6802"/>
    <w:rsid w:val="00DB09F2"/>
    <w:rsid w:val="00DB146F"/>
    <w:rsid w:val="00DB2266"/>
    <w:rsid w:val="00DB3B90"/>
    <w:rsid w:val="00DB4559"/>
    <w:rsid w:val="00DB6D85"/>
    <w:rsid w:val="00DC01EF"/>
    <w:rsid w:val="00DC08AC"/>
    <w:rsid w:val="00DC0F14"/>
    <w:rsid w:val="00DC0F30"/>
    <w:rsid w:val="00DC1677"/>
    <w:rsid w:val="00DC18F2"/>
    <w:rsid w:val="00DC51E7"/>
    <w:rsid w:val="00DC5376"/>
    <w:rsid w:val="00DC5ECF"/>
    <w:rsid w:val="00DC657E"/>
    <w:rsid w:val="00DC6637"/>
    <w:rsid w:val="00DC759C"/>
    <w:rsid w:val="00DD11CC"/>
    <w:rsid w:val="00DD132D"/>
    <w:rsid w:val="00DD227B"/>
    <w:rsid w:val="00DD2AEC"/>
    <w:rsid w:val="00DD2D08"/>
    <w:rsid w:val="00DD34EE"/>
    <w:rsid w:val="00DD35EE"/>
    <w:rsid w:val="00DD44DC"/>
    <w:rsid w:val="00DD50E9"/>
    <w:rsid w:val="00DD79FB"/>
    <w:rsid w:val="00DD7E26"/>
    <w:rsid w:val="00DE0146"/>
    <w:rsid w:val="00DE14E0"/>
    <w:rsid w:val="00DE1E30"/>
    <w:rsid w:val="00DE3322"/>
    <w:rsid w:val="00DE3339"/>
    <w:rsid w:val="00DE34A7"/>
    <w:rsid w:val="00DE5826"/>
    <w:rsid w:val="00DF0344"/>
    <w:rsid w:val="00DF1207"/>
    <w:rsid w:val="00DF69AC"/>
    <w:rsid w:val="00DF7464"/>
    <w:rsid w:val="00E032B0"/>
    <w:rsid w:val="00E03724"/>
    <w:rsid w:val="00E03A5B"/>
    <w:rsid w:val="00E0411B"/>
    <w:rsid w:val="00E12076"/>
    <w:rsid w:val="00E20004"/>
    <w:rsid w:val="00E2047A"/>
    <w:rsid w:val="00E213DE"/>
    <w:rsid w:val="00E21765"/>
    <w:rsid w:val="00E217F3"/>
    <w:rsid w:val="00E240BE"/>
    <w:rsid w:val="00E24B71"/>
    <w:rsid w:val="00E2565B"/>
    <w:rsid w:val="00E26B06"/>
    <w:rsid w:val="00E31DD7"/>
    <w:rsid w:val="00E341DF"/>
    <w:rsid w:val="00E346BE"/>
    <w:rsid w:val="00E34AAE"/>
    <w:rsid w:val="00E352E0"/>
    <w:rsid w:val="00E35483"/>
    <w:rsid w:val="00E364FE"/>
    <w:rsid w:val="00E3651B"/>
    <w:rsid w:val="00E36DC2"/>
    <w:rsid w:val="00E37388"/>
    <w:rsid w:val="00E4064E"/>
    <w:rsid w:val="00E428A5"/>
    <w:rsid w:val="00E42BE3"/>
    <w:rsid w:val="00E43DBA"/>
    <w:rsid w:val="00E44717"/>
    <w:rsid w:val="00E4479A"/>
    <w:rsid w:val="00E4520D"/>
    <w:rsid w:val="00E46AE5"/>
    <w:rsid w:val="00E46DA8"/>
    <w:rsid w:val="00E508E2"/>
    <w:rsid w:val="00E529B8"/>
    <w:rsid w:val="00E54640"/>
    <w:rsid w:val="00E5487F"/>
    <w:rsid w:val="00E54D9F"/>
    <w:rsid w:val="00E54F7F"/>
    <w:rsid w:val="00E62058"/>
    <w:rsid w:val="00E6310F"/>
    <w:rsid w:val="00E63419"/>
    <w:rsid w:val="00E65F7A"/>
    <w:rsid w:val="00E66291"/>
    <w:rsid w:val="00E67C5F"/>
    <w:rsid w:val="00E70FF1"/>
    <w:rsid w:val="00E71594"/>
    <w:rsid w:val="00E74FA6"/>
    <w:rsid w:val="00E77688"/>
    <w:rsid w:val="00E819AD"/>
    <w:rsid w:val="00E82462"/>
    <w:rsid w:val="00E83110"/>
    <w:rsid w:val="00E83FA2"/>
    <w:rsid w:val="00E8483B"/>
    <w:rsid w:val="00E850FE"/>
    <w:rsid w:val="00E878CA"/>
    <w:rsid w:val="00E879FE"/>
    <w:rsid w:val="00E87C8C"/>
    <w:rsid w:val="00E905FA"/>
    <w:rsid w:val="00E906D1"/>
    <w:rsid w:val="00E90B71"/>
    <w:rsid w:val="00E90DA7"/>
    <w:rsid w:val="00E92403"/>
    <w:rsid w:val="00E92BBC"/>
    <w:rsid w:val="00E93006"/>
    <w:rsid w:val="00E95469"/>
    <w:rsid w:val="00E978B3"/>
    <w:rsid w:val="00EA07D0"/>
    <w:rsid w:val="00EA0DF8"/>
    <w:rsid w:val="00EA1DE4"/>
    <w:rsid w:val="00EA38B0"/>
    <w:rsid w:val="00EA5863"/>
    <w:rsid w:val="00EA5D14"/>
    <w:rsid w:val="00EA6DDD"/>
    <w:rsid w:val="00EA7773"/>
    <w:rsid w:val="00EB0657"/>
    <w:rsid w:val="00EB19A3"/>
    <w:rsid w:val="00EB33C8"/>
    <w:rsid w:val="00EB3DAF"/>
    <w:rsid w:val="00EB403F"/>
    <w:rsid w:val="00EB6601"/>
    <w:rsid w:val="00EB68AF"/>
    <w:rsid w:val="00EB6A81"/>
    <w:rsid w:val="00EB6E23"/>
    <w:rsid w:val="00EC232C"/>
    <w:rsid w:val="00EC275F"/>
    <w:rsid w:val="00EC2A2B"/>
    <w:rsid w:val="00EC4D30"/>
    <w:rsid w:val="00EC54FF"/>
    <w:rsid w:val="00EC6564"/>
    <w:rsid w:val="00ED024A"/>
    <w:rsid w:val="00ED05AF"/>
    <w:rsid w:val="00ED0AD0"/>
    <w:rsid w:val="00ED16F0"/>
    <w:rsid w:val="00ED1A7A"/>
    <w:rsid w:val="00ED1CC2"/>
    <w:rsid w:val="00ED2E8C"/>
    <w:rsid w:val="00ED3767"/>
    <w:rsid w:val="00ED3A4E"/>
    <w:rsid w:val="00ED3D19"/>
    <w:rsid w:val="00ED6921"/>
    <w:rsid w:val="00EE0B9B"/>
    <w:rsid w:val="00EE3439"/>
    <w:rsid w:val="00EE63AF"/>
    <w:rsid w:val="00EE72C6"/>
    <w:rsid w:val="00EE76B9"/>
    <w:rsid w:val="00EF1608"/>
    <w:rsid w:val="00EF16FF"/>
    <w:rsid w:val="00EF330B"/>
    <w:rsid w:val="00EF39E8"/>
    <w:rsid w:val="00EF5A1B"/>
    <w:rsid w:val="00F0028B"/>
    <w:rsid w:val="00F00D44"/>
    <w:rsid w:val="00F01822"/>
    <w:rsid w:val="00F022EF"/>
    <w:rsid w:val="00F02C39"/>
    <w:rsid w:val="00F03BD7"/>
    <w:rsid w:val="00F03C37"/>
    <w:rsid w:val="00F06B09"/>
    <w:rsid w:val="00F06EC5"/>
    <w:rsid w:val="00F06FBF"/>
    <w:rsid w:val="00F07019"/>
    <w:rsid w:val="00F072AA"/>
    <w:rsid w:val="00F1086F"/>
    <w:rsid w:val="00F10AB9"/>
    <w:rsid w:val="00F10F4D"/>
    <w:rsid w:val="00F11B71"/>
    <w:rsid w:val="00F1255A"/>
    <w:rsid w:val="00F133CD"/>
    <w:rsid w:val="00F137DD"/>
    <w:rsid w:val="00F145D8"/>
    <w:rsid w:val="00F14855"/>
    <w:rsid w:val="00F152A2"/>
    <w:rsid w:val="00F15354"/>
    <w:rsid w:val="00F1747D"/>
    <w:rsid w:val="00F17D7A"/>
    <w:rsid w:val="00F21571"/>
    <w:rsid w:val="00F21DDF"/>
    <w:rsid w:val="00F230ED"/>
    <w:rsid w:val="00F24B62"/>
    <w:rsid w:val="00F25101"/>
    <w:rsid w:val="00F258EF"/>
    <w:rsid w:val="00F26143"/>
    <w:rsid w:val="00F261C5"/>
    <w:rsid w:val="00F316E1"/>
    <w:rsid w:val="00F328BF"/>
    <w:rsid w:val="00F329C9"/>
    <w:rsid w:val="00F329F8"/>
    <w:rsid w:val="00F33588"/>
    <w:rsid w:val="00F34C15"/>
    <w:rsid w:val="00F3573E"/>
    <w:rsid w:val="00F36EF4"/>
    <w:rsid w:val="00F370F8"/>
    <w:rsid w:val="00F375BD"/>
    <w:rsid w:val="00F37F01"/>
    <w:rsid w:val="00F42D6C"/>
    <w:rsid w:val="00F42E9B"/>
    <w:rsid w:val="00F43450"/>
    <w:rsid w:val="00F44F8F"/>
    <w:rsid w:val="00F456A5"/>
    <w:rsid w:val="00F503A8"/>
    <w:rsid w:val="00F5175A"/>
    <w:rsid w:val="00F5260C"/>
    <w:rsid w:val="00F539F9"/>
    <w:rsid w:val="00F540D0"/>
    <w:rsid w:val="00F546A5"/>
    <w:rsid w:val="00F54B93"/>
    <w:rsid w:val="00F55D33"/>
    <w:rsid w:val="00F55FFA"/>
    <w:rsid w:val="00F566EC"/>
    <w:rsid w:val="00F61542"/>
    <w:rsid w:val="00F61786"/>
    <w:rsid w:val="00F61A6F"/>
    <w:rsid w:val="00F6208C"/>
    <w:rsid w:val="00F620FA"/>
    <w:rsid w:val="00F629C5"/>
    <w:rsid w:val="00F65231"/>
    <w:rsid w:val="00F65236"/>
    <w:rsid w:val="00F70BEF"/>
    <w:rsid w:val="00F72398"/>
    <w:rsid w:val="00F73B8A"/>
    <w:rsid w:val="00F756E6"/>
    <w:rsid w:val="00F7586C"/>
    <w:rsid w:val="00F75D55"/>
    <w:rsid w:val="00F76227"/>
    <w:rsid w:val="00F76A3A"/>
    <w:rsid w:val="00F76A5F"/>
    <w:rsid w:val="00F77EB2"/>
    <w:rsid w:val="00F804BD"/>
    <w:rsid w:val="00F816EB"/>
    <w:rsid w:val="00F81A7E"/>
    <w:rsid w:val="00F81C67"/>
    <w:rsid w:val="00F8278A"/>
    <w:rsid w:val="00F8454D"/>
    <w:rsid w:val="00F84E32"/>
    <w:rsid w:val="00F8571A"/>
    <w:rsid w:val="00F86DA5"/>
    <w:rsid w:val="00F90C02"/>
    <w:rsid w:val="00F90C4B"/>
    <w:rsid w:val="00F90F52"/>
    <w:rsid w:val="00F92889"/>
    <w:rsid w:val="00F92E00"/>
    <w:rsid w:val="00F932E9"/>
    <w:rsid w:val="00F9393D"/>
    <w:rsid w:val="00F93B7C"/>
    <w:rsid w:val="00F93C65"/>
    <w:rsid w:val="00F93CBA"/>
    <w:rsid w:val="00F944CE"/>
    <w:rsid w:val="00F95985"/>
    <w:rsid w:val="00F96FB6"/>
    <w:rsid w:val="00F97148"/>
    <w:rsid w:val="00FA074B"/>
    <w:rsid w:val="00FA0D23"/>
    <w:rsid w:val="00FA2BA6"/>
    <w:rsid w:val="00FA3F6F"/>
    <w:rsid w:val="00FA46B7"/>
    <w:rsid w:val="00FA49A6"/>
    <w:rsid w:val="00FA55B5"/>
    <w:rsid w:val="00FA5E76"/>
    <w:rsid w:val="00FA6AE7"/>
    <w:rsid w:val="00FA7E5C"/>
    <w:rsid w:val="00FB18DD"/>
    <w:rsid w:val="00FB38A9"/>
    <w:rsid w:val="00FB4EFF"/>
    <w:rsid w:val="00FB582D"/>
    <w:rsid w:val="00FB5F1E"/>
    <w:rsid w:val="00FC29B6"/>
    <w:rsid w:val="00FC3AFD"/>
    <w:rsid w:val="00FC4117"/>
    <w:rsid w:val="00FC794C"/>
    <w:rsid w:val="00FC7A06"/>
    <w:rsid w:val="00FD1D12"/>
    <w:rsid w:val="00FD4840"/>
    <w:rsid w:val="00FD4D4D"/>
    <w:rsid w:val="00FD5074"/>
    <w:rsid w:val="00FE08CF"/>
    <w:rsid w:val="00FE2A8D"/>
    <w:rsid w:val="00FE5F08"/>
    <w:rsid w:val="00FE6326"/>
    <w:rsid w:val="00FE7C82"/>
    <w:rsid w:val="00FF1492"/>
    <w:rsid w:val="00FF1C2F"/>
    <w:rsid w:val="00FF1D49"/>
    <w:rsid w:val="00FF2483"/>
    <w:rsid w:val="00FF56D1"/>
    <w:rsid w:val="00FF67E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5940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42F"/>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link w:val="Heading1Char"/>
    <w:qFormat/>
    <w:rsid w:val="00E4064E"/>
    <w:pPr>
      <w:keepNext/>
      <w:keepLines/>
      <w:spacing w:before="240"/>
      <w:ind w:left="794" w:hanging="794"/>
      <w:outlineLvl w:val="0"/>
    </w:pPr>
    <w:rPr>
      <w:b/>
    </w:rPr>
  </w:style>
  <w:style w:type="paragraph" w:styleId="Heading2">
    <w:name w:val="heading 2"/>
    <w:basedOn w:val="Heading1"/>
    <w:next w:val="Normal"/>
    <w:link w:val="Heading2Char"/>
    <w:qFormat/>
    <w:rsid w:val="00016BF5"/>
    <w:pPr>
      <w:outlineLvl w:val="1"/>
    </w:pPr>
  </w:style>
  <w:style w:type="paragraph" w:styleId="Heading3">
    <w:name w:val="heading 3"/>
    <w:aliases w:val="h3"/>
    <w:basedOn w:val="Heading1"/>
    <w:next w:val="Normal"/>
    <w:link w:val="Heading3Char"/>
    <w:qFormat/>
    <w:rsid w:val="00016BF5"/>
    <w:pPr>
      <w:spacing w:before="160"/>
      <w:outlineLvl w:val="2"/>
    </w:pPr>
  </w:style>
  <w:style w:type="paragraph" w:styleId="Heading4">
    <w:name w:val="heading 4"/>
    <w:aliases w:val="h4"/>
    <w:basedOn w:val="Heading3"/>
    <w:next w:val="Normal"/>
    <w:link w:val="Heading4Char"/>
    <w:qFormat/>
    <w:rsid w:val="00016BF5"/>
    <w:pPr>
      <w:tabs>
        <w:tab w:val="clear" w:pos="794"/>
        <w:tab w:val="left" w:pos="1021"/>
      </w:tabs>
      <w:ind w:left="1021" w:hanging="1021"/>
      <w:outlineLvl w:val="3"/>
    </w:pPr>
  </w:style>
  <w:style w:type="paragraph" w:styleId="Heading5">
    <w:name w:val="heading 5"/>
    <w:aliases w:val="h5,5"/>
    <w:basedOn w:val="Heading4"/>
    <w:next w:val="Normal"/>
    <w:link w:val="Heading5Char"/>
    <w:qFormat/>
    <w:rsid w:val="00016BF5"/>
    <w:pPr>
      <w:outlineLvl w:val="4"/>
    </w:pPr>
  </w:style>
  <w:style w:type="paragraph" w:styleId="Heading6">
    <w:name w:val="heading 6"/>
    <w:basedOn w:val="Heading4"/>
    <w:next w:val="Normal"/>
    <w:link w:val="Heading6Char"/>
    <w:qFormat/>
    <w:rsid w:val="00016BF5"/>
    <w:pPr>
      <w:tabs>
        <w:tab w:val="clear" w:pos="1021"/>
        <w:tab w:val="clear" w:pos="1191"/>
      </w:tabs>
      <w:ind w:left="1588" w:hanging="1588"/>
      <w:outlineLvl w:val="5"/>
    </w:pPr>
  </w:style>
  <w:style w:type="paragraph" w:styleId="Heading7">
    <w:name w:val="heading 7"/>
    <w:basedOn w:val="Heading6"/>
    <w:next w:val="Normal"/>
    <w:link w:val="Heading7Char"/>
    <w:qFormat/>
    <w:rsid w:val="00016BF5"/>
    <w:pPr>
      <w:outlineLvl w:val="6"/>
    </w:pPr>
  </w:style>
  <w:style w:type="paragraph" w:styleId="Heading8">
    <w:name w:val="heading 8"/>
    <w:basedOn w:val="Heading6"/>
    <w:next w:val="Normal"/>
    <w:link w:val="Heading8Char"/>
    <w:qFormat/>
    <w:rsid w:val="00016BF5"/>
    <w:pPr>
      <w:outlineLvl w:val="7"/>
    </w:pPr>
  </w:style>
  <w:style w:type="paragraph" w:styleId="Heading9">
    <w:name w:val="heading 9"/>
    <w:basedOn w:val="Heading6"/>
    <w:next w:val="Normal"/>
    <w:link w:val="Heading9Char"/>
    <w:qFormat/>
    <w:rsid w:val="00016B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BC495B"/>
    <w:pPr>
      <w:keepNext/>
      <w:keepLines/>
      <w:spacing w:before="480"/>
      <w:jc w:val="center"/>
    </w:pPr>
    <w:rPr>
      <w:b/>
      <w:sz w:val="28"/>
    </w:rPr>
  </w:style>
  <w:style w:type="paragraph" w:customStyle="1" w:styleId="Normalaftertitle">
    <w:name w:val="Normal_after_title"/>
    <w:basedOn w:val="Normal"/>
    <w:next w:val="Normal"/>
    <w:rsid w:val="0008342F"/>
    <w:pPr>
      <w:spacing w:before="360"/>
    </w:pPr>
  </w:style>
  <w:style w:type="character" w:customStyle="1" w:styleId="Appdef">
    <w:name w:val="App_def"/>
    <w:basedOn w:val="DefaultParagraphFont"/>
    <w:rsid w:val="0008342F"/>
    <w:rPr>
      <w:rFonts w:ascii="Times New Roman" w:hAnsi="Times New Roman"/>
      <w:b/>
    </w:rPr>
  </w:style>
  <w:style w:type="character" w:customStyle="1" w:styleId="Appref">
    <w:name w:val="App_ref"/>
    <w:basedOn w:val="DefaultParagraphFont"/>
    <w:rsid w:val="0008342F"/>
  </w:style>
  <w:style w:type="paragraph" w:customStyle="1" w:styleId="AppendixNotitle">
    <w:name w:val="Appendix_No &amp; title"/>
    <w:basedOn w:val="AnnexNotitle"/>
    <w:next w:val="Normalaftertitle"/>
    <w:rsid w:val="00AB490D"/>
  </w:style>
  <w:style w:type="character" w:customStyle="1" w:styleId="Artdef">
    <w:name w:val="Art_def"/>
    <w:basedOn w:val="DefaultParagraphFont"/>
    <w:rsid w:val="0008342F"/>
    <w:rPr>
      <w:rFonts w:ascii="Times New Roman" w:hAnsi="Times New Roman"/>
      <w:b/>
    </w:rPr>
  </w:style>
  <w:style w:type="paragraph" w:customStyle="1" w:styleId="Artheading">
    <w:name w:val="Art_heading"/>
    <w:basedOn w:val="Normal"/>
    <w:next w:val="Normalaftertitle"/>
    <w:rsid w:val="00D9131A"/>
    <w:pPr>
      <w:spacing w:before="480"/>
      <w:jc w:val="center"/>
    </w:pPr>
    <w:rPr>
      <w:b/>
      <w:sz w:val="26"/>
    </w:rPr>
  </w:style>
  <w:style w:type="paragraph" w:customStyle="1" w:styleId="ArtNo">
    <w:name w:val="Art_No"/>
    <w:basedOn w:val="Normal"/>
    <w:next w:val="Arttitle"/>
    <w:rsid w:val="0008342F"/>
    <w:pPr>
      <w:keepNext/>
      <w:keepLines/>
      <w:spacing w:before="480"/>
      <w:jc w:val="center"/>
    </w:pPr>
    <w:rPr>
      <w:caps/>
      <w:sz w:val="28"/>
    </w:rPr>
  </w:style>
  <w:style w:type="paragraph" w:customStyle="1" w:styleId="Arttitle">
    <w:name w:val="Art_title"/>
    <w:basedOn w:val="Normal"/>
    <w:next w:val="Normalaftertitle"/>
    <w:rsid w:val="0008342F"/>
    <w:pPr>
      <w:keepNext/>
      <w:keepLines/>
      <w:spacing w:before="240"/>
      <w:jc w:val="center"/>
    </w:pPr>
    <w:rPr>
      <w:b/>
      <w:sz w:val="28"/>
    </w:rPr>
  </w:style>
  <w:style w:type="character" w:customStyle="1" w:styleId="Artref">
    <w:name w:val="Art_ref"/>
    <w:basedOn w:val="DefaultParagraphFont"/>
    <w:rsid w:val="0008342F"/>
  </w:style>
  <w:style w:type="paragraph" w:customStyle="1" w:styleId="ASN1">
    <w:name w:val="ASN.1"/>
    <w:basedOn w:val="Normal"/>
    <w:rsid w:val="0008342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08342F"/>
    <w:pPr>
      <w:keepNext/>
      <w:keepLines/>
      <w:spacing w:before="160"/>
      <w:ind w:left="794"/>
    </w:pPr>
    <w:rPr>
      <w:i/>
    </w:rPr>
  </w:style>
  <w:style w:type="paragraph" w:customStyle="1" w:styleId="ChapNo">
    <w:name w:val="Chap_No"/>
    <w:basedOn w:val="Normal"/>
    <w:next w:val="Chaptitle"/>
    <w:rsid w:val="0008342F"/>
    <w:pPr>
      <w:keepNext/>
      <w:keepLines/>
      <w:spacing w:before="480"/>
      <w:jc w:val="center"/>
    </w:pPr>
    <w:rPr>
      <w:b/>
      <w:caps/>
      <w:sz w:val="28"/>
    </w:rPr>
  </w:style>
  <w:style w:type="paragraph" w:customStyle="1" w:styleId="Chaptitle">
    <w:name w:val="Chap_title"/>
    <w:basedOn w:val="Normal"/>
    <w:next w:val="Normalaftertitle"/>
    <w:rsid w:val="0008342F"/>
    <w:pPr>
      <w:keepNext/>
      <w:keepLines/>
      <w:spacing w:before="240"/>
      <w:jc w:val="center"/>
    </w:pPr>
    <w:rPr>
      <w:b/>
      <w:sz w:val="28"/>
    </w:rPr>
  </w:style>
  <w:style w:type="character" w:styleId="EndnoteReference">
    <w:name w:val="endnote reference"/>
    <w:basedOn w:val="DefaultParagraphFont"/>
    <w:rsid w:val="0008342F"/>
    <w:rPr>
      <w:vertAlign w:val="superscript"/>
    </w:rPr>
  </w:style>
  <w:style w:type="paragraph" w:customStyle="1" w:styleId="enumlev1">
    <w:name w:val="enumlev1"/>
    <w:basedOn w:val="Normal"/>
    <w:link w:val="enumlev1Char"/>
    <w:qFormat/>
    <w:rsid w:val="0008342F"/>
    <w:pPr>
      <w:spacing w:before="80"/>
      <w:ind w:left="794" w:hanging="794"/>
    </w:pPr>
  </w:style>
  <w:style w:type="paragraph" w:customStyle="1" w:styleId="enumlev2">
    <w:name w:val="enumlev2"/>
    <w:basedOn w:val="enumlev1"/>
    <w:rsid w:val="0008342F"/>
    <w:pPr>
      <w:spacing w:before="20"/>
      <w:ind w:left="1191" w:hanging="397"/>
    </w:pPr>
  </w:style>
  <w:style w:type="paragraph" w:customStyle="1" w:styleId="enumlev3">
    <w:name w:val="enumlev3"/>
    <w:basedOn w:val="enumlev2"/>
    <w:rsid w:val="0008342F"/>
    <w:pPr>
      <w:ind w:left="1588"/>
    </w:pPr>
  </w:style>
  <w:style w:type="paragraph" w:customStyle="1" w:styleId="Equation">
    <w:name w:val="Equation"/>
    <w:basedOn w:val="Normal"/>
    <w:rsid w:val="0008342F"/>
    <w:pPr>
      <w:tabs>
        <w:tab w:val="clear" w:pos="1191"/>
        <w:tab w:val="clear" w:pos="1588"/>
        <w:tab w:val="clear" w:pos="1985"/>
        <w:tab w:val="center" w:pos="4820"/>
        <w:tab w:val="right" w:pos="9639"/>
      </w:tabs>
    </w:pPr>
  </w:style>
  <w:style w:type="paragraph" w:customStyle="1" w:styleId="Equationlegend">
    <w:name w:val="Equation_legend"/>
    <w:basedOn w:val="Normal"/>
    <w:rsid w:val="0008342F"/>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rsid w:val="0008342F"/>
    <w:pPr>
      <w:keepNext/>
      <w:keepLines/>
      <w:spacing w:before="240" w:after="120"/>
      <w:jc w:val="center"/>
    </w:pPr>
  </w:style>
  <w:style w:type="paragraph" w:customStyle="1" w:styleId="FigureNotitle">
    <w:name w:val="Figure_No &amp; title"/>
    <w:basedOn w:val="Normal"/>
    <w:next w:val="Normalaftertitle"/>
    <w:rsid w:val="0008342F"/>
    <w:pPr>
      <w:keepLines/>
      <w:spacing w:before="240" w:after="120"/>
      <w:jc w:val="center"/>
    </w:pPr>
    <w:rPr>
      <w:b/>
    </w:rPr>
  </w:style>
  <w:style w:type="paragraph" w:customStyle="1" w:styleId="Figurelegend">
    <w:name w:val="Figure_legend"/>
    <w:basedOn w:val="Normal"/>
    <w:rsid w:val="0008342F"/>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rsid w:val="0008342F"/>
    <w:pPr>
      <w:keepLines/>
      <w:spacing w:before="240" w:after="120"/>
      <w:jc w:val="center"/>
    </w:pPr>
  </w:style>
  <w:style w:type="paragraph" w:styleId="Footer">
    <w:name w:val="footer"/>
    <w:basedOn w:val="Normal"/>
    <w:link w:val="FooterChar"/>
    <w:rsid w:val="0008342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08342F"/>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08342F"/>
    <w:pPr>
      <w:tabs>
        <w:tab w:val="clear" w:pos="794"/>
        <w:tab w:val="clear" w:pos="1191"/>
        <w:tab w:val="clear" w:pos="1588"/>
        <w:tab w:val="clear" w:pos="1985"/>
        <w:tab w:val="left" w:pos="907"/>
        <w:tab w:val="right" w:pos="8789"/>
        <w:tab w:val="right" w:pos="9639"/>
      </w:tabs>
      <w:spacing w:before="0"/>
    </w:pPr>
    <w:rPr>
      <w:b/>
    </w:rPr>
  </w:style>
  <w:style w:type="character" w:styleId="FootnoteReference">
    <w:name w:val="footnote reference"/>
    <w:aliases w:val="Appel note de bas de p,Footnote Reference/"/>
    <w:basedOn w:val="DefaultParagraphFont"/>
    <w:rsid w:val="0008342F"/>
    <w:rPr>
      <w:position w:val="6"/>
      <w:sz w:val="16"/>
    </w:rPr>
  </w:style>
  <w:style w:type="paragraph" w:customStyle="1" w:styleId="Note">
    <w:name w:val="Note"/>
    <w:basedOn w:val="Normal"/>
    <w:rsid w:val="0008342F"/>
    <w:pPr>
      <w:spacing w:before="80"/>
    </w:p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rsid w:val="00107C59"/>
    <w:pPr>
      <w:keepLines/>
      <w:tabs>
        <w:tab w:val="left" w:pos="312"/>
      </w:tabs>
      <w:ind w:left="312" w:hanging="312"/>
    </w:pPr>
    <w:rPr>
      <w:sz w:val="20"/>
      <w:lang w:val="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107C59"/>
    <w:rPr>
      <w:rFonts w:ascii="Times New Roman" w:hAnsi="Times New Roman"/>
      <w:lang w:eastAsia="en-US"/>
    </w:rPr>
  </w:style>
  <w:style w:type="paragraph" w:customStyle="1" w:styleId="Formal">
    <w:name w:val="Formal"/>
    <w:basedOn w:val="ASN1"/>
    <w:rsid w:val="0008342F"/>
    <w:rPr>
      <w:b w:val="0"/>
    </w:rPr>
  </w:style>
  <w:style w:type="paragraph" w:styleId="Header">
    <w:name w:val="header"/>
    <w:basedOn w:val="Normal"/>
    <w:link w:val="HeaderChar"/>
    <w:rsid w:val="00016BF5"/>
    <w:pPr>
      <w:tabs>
        <w:tab w:val="clear" w:pos="794"/>
        <w:tab w:val="clear" w:pos="1191"/>
        <w:tab w:val="clear" w:pos="1588"/>
        <w:tab w:val="clear" w:pos="1985"/>
        <w:tab w:val="center" w:pos="4820"/>
        <w:tab w:val="right" w:pos="9639"/>
      </w:tabs>
      <w:spacing w:before="0"/>
      <w:jc w:val="center"/>
    </w:pPr>
    <w:rPr>
      <w:b/>
    </w:rPr>
  </w:style>
  <w:style w:type="paragraph" w:customStyle="1" w:styleId="Headingb">
    <w:name w:val="Heading_b"/>
    <w:basedOn w:val="Normal"/>
    <w:next w:val="Normal"/>
    <w:rsid w:val="00016BF5"/>
    <w:pPr>
      <w:keepNext/>
      <w:spacing w:before="160"/>
    </w:pPr>
    <w:rPr>
      <w:b/>
    </w:rPr>
  </w:style>
  <w:style w:type="paragraph" w:customStyle="1" w:styleId="Headingi">
    <w:name w:val="Heading_i"/>
    <w:basedOn w:val="Normal"/>
    <w:next w:val="Normal"/>
    <w:qFormat/>
    <w:rsid w:val="00016BF5"/>
    <w:pPr>
      <w:keepNext/>
      <w:spacing w:before="160"/>
    </w:pPr>
    <w:rPr>
      <w:i/>
    </w:rPr>
  </w:style>
  <w:style w:type="paragraph" w:styleId="Index1">
    <w:name w:val="index 1"/>
    <w:basedOn w:val="Normal"/>
    <w:next w:val="Normal"/>
    <w:rsid w:val="0008342F"/>
  </w:style>
  <w:style w:type="paragraph" w:styleId="Index2">
    <w:name w:val="index 2"/>
    <w:basedOn w:val="Normal"/>
    <w:next w:val="Normal"/>
    <w:rsid w:val="0008342F"/>
    <w:pPr>
      <w:ind w:left="283"/>
    </w:pPr>
  </w:style>
  <w:style w:type="paragraph" w:styleId="Index3">
    <w:name w:val="index 3"/>
    <w:basedOn w:val="Normal"/>
    <w:next w:val="Normal"/>
    <w:rsid w:val="0008342F"/>
    <w:pPr>
      <w:ind w:left="566"/>
    </w:pPr>
  </w:style>
  <w:style w:type="character" w:styleId="PageNumber">
    <w:name w:val="page number"/>
    <w:basedOn w:val="DefaultParagraphFont"/>
    <w:rsid w:val="0008342F"/>
  </w:style>
  <w:style w:type="paragraph" w:customStyle="1" w:styleId="PartNo">
    <w:name w:val="Part_No"/>
    <w:basedOn w:val="Normal"/>
    <w:next w:val="Partref"/>
    <w:rsid w:val="0008342F"/>
    <w:pPr>
      <w:keepNext/>
      <w:keepLines/>
      <w:spacing w:before="480" w:after="80"/>
      <w:jc w:val="center"/>
    </w:pPr>
    <w:rPr>
      <w:caps/>
      <w:sz w:val="28"/>
    </w:rPr>
  </w:style>
  <w:style w:type="paragraph" w:customStyle="1" w:styleId="Partref">
    <w:name w:val="Part_ref"/>
    <w:basedOn w:val="Normal"/>
    <w:next w:val="Parttitle"/>
    <w:rsid w:val="0008342F"/>
    <w:pPr>
      <w:keepNext/>
      <w:keepLines/>
      <w:spacing w:before="280"/>
      <w:jc w:val="center"/>
    </w:pPr>
  </w:style>
  <w:style w:type="paragraph" w:customStyle="1" w:styleId="Parttitle">
    <w:name w:val="Part_title"/>
    <w:basedOn w:val="Normal"/>
    <w:next w:val="Normalaftertitle"/>
    <w:rsid w:val="0016627B"/>
    <w:pPr>
      <w:keepNext/>
      <w:keepLines/>
      <w:spacing w:before="240" w:after="280"/>
      <w:jc w:val="center"/>
    </w:pPr>
    <w:rPr>
      <w:b/>
      <w:sz w:val="26"/>
    </w:rPr>
  </w:style>
  <w:style w:type="paragraph" w:customStyle="1" w:styleId="Recdate">
    <w:name w:val="Rec_date"/>
    <w:basedOn w:val="Normal"/>
    <w:next w:val="Normalaftertitle"/>
    <w:rsid w:val="0008342F"/>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342F"/>
  </w:style>
  <w:style w:type="paragraph" w:customStyle="1" w:styleId="RecNo">
    <w:name w:val="Rec_No"/>
    <w:basedOn w:val="Normal"/>
    <w:next w:val="Rectitle"/>
    <w:rsid w:val="0008342F"/>
    <w:pPr>
      <w:keepNext/>
      <w:keepLines/>
      <w:spacing w:before="0"/>
    </w:pPr>
    <w:rPr>
      <w:b/>
      <w:sz w:val="28"/>
    </w:rPr>
  </w:style>
  <w:style w:type="paragraph" w:customStyle="1" w:styleId="Rectitle">
    <w:name w:val="Rec_title"/>
    <w:basedOn w:val="Normal"/>
    <w:next w:val="Normalaftertitle"/>
    <w:rsid w:val="0008342F"/>
    <w:pPr>
      <w:keepNext/>
      <w:keepLines/>
      <w:spacing w:before="360"/>
      <w:jc w:val="center"/>
    </w:pPr>
    <w:rPr>
      <w:b/>
      <w:sz w:val="28"/>
    </w:rPr>
  </w:style>
  <w:style w:type="paragraph" w:customStyle="1" w:styleId="QuestionNo">
    <w:name w:val="Question_No"/>
    <w:basedOn w:val="RecNo"/>
    <w:next w:val="Questiontitle"/>
    <w:rsid w:val="0008342F"/>
  </w:style>
  <w:style w:type="paragraph" w:customStyle="1" w:styleId="Questiontitle">
    <w:name w:val="Question_title"/>
    <w:basedOn w:val="Rectitle"/>
    <w:next w:val="Questionref"/>
    <w:rsid w:val="0008342F"/>
  </w:style>
  <w:style w:type="paragraph" w:customStyle="1" w:styleId="Questionref">
    <w:name w:val="Question_ref"/>
    <w:basedOn w:val="Recref"/>
    <w:next w:val="Questiondate"/>
    <w:rsid w:val="0008342F"/>
  </w:style>
  <w:style w:type="paragraph" w:customStyle="1" w:styleId="Recref">
    <w:name w:val="Rec_ref"/>
    <w:basedOn w:val="Normal"/>
    <w:next w:val="Recdate"/>
    <w:rsid w:val="0008342F"/>
    <w:pPr>
      <w:keepNext/>
      <w:keepLines/>
      <w:tabs>
        <w:tab w:val="clear" w:pos="794"/>
        <w:tab w:val="clear" w:pos="1191"/>
        <w:tab w:val="clear" w:pos="1588"/>
        <w:tab w:val="clear" w:pos="1985"/>
      </w:tabs>
      <w:jc w:val="center"/>
    </w:pPr>
    <w:rPr>
      <w:i/>
    </w:rPr>
  </w:style>
  <w:style w:type="paragraph" w:customStyle="1" w:styleId="RecNoBR">
    <w:name w:val="Rec_No_BR"/>
    <w:basedOn w:val="Normal"/>
    <w:next w:val="Rectitle"/>
    <w:rsid w:val="0008342F"/>
    <w:pPr>
      <w:keepNext/>
      <w:keepLines/>
      <w:spacing w:before="480"/>
      <w:jc w:val="center"/>
    </w:pPr>
    <w:rPr>
      <w:caps/>
      <w:sz w:val="28"/>
    </w:rPr>
  </w:style>
  <w:style w:type="paragraph" w:customStyle="1" w:styleId="QuestionNoBR">
    <w:name w:val="Question_No_BR"/>
    <w:basedOn w:val="RecNoBR"/>
    <w:next w:val="Questiontitle"/>
    <w:rsid w:val="0008342F"/>
  </w:style>
  <w:style w:type="character" w:customStyle="1" w:styleId="Recdef">
    <w:name w:val="Rec_def"/>
    <w:basedOn w:val="DefaultParagraphFont"/>
    <w:rsid w:val="0008342F"/>
    <w:rPr>
      <w:b/>
    </w:rPr>
  </w:style>
  <w:style w:type="paragraph" w:customStyle="1" w:styleId="Reftext">
    <w:name w:val="Ref_text"/>
    <w:basedOn w:val="Normal"/>
    <w:rsid w:val="0008342F"/>
    <w:pPr>
      <w:ind w:left="794" w:hanging="794"/>
    </w:pPr>
  </w:style>
  <w:style w:type="paragraph" w:customStyle="1" w:styleId="Reftitle">
    <w:name w:val="Ref_title"/>
    <w:basedOn w:val="Normal"/>
    <w:next w:val="Reftext"/>
    <w:rsid w:val="0008342F"/>
    <w:pPr>
      <w:spacing w:before="480"/>
      <w:jc w:val="center"/>
    </w:pPr>
    <w:rPr>
      <w:b/>
    </w:rPr>
  </w:style>
  <w:style w:type="paragraph" w:customStyle="1" w:styleId="Repdate">
    <w:name w:val="Rep_date"/>
    <w:basedOn w:val="Recdate"/>
    <w:next w:val="Normalaftertitle"/>
    <w:rsid w:val="0008342F"/>
  </w:style>
  <w:style w:type="paragraph" w:customStyle="1" w:styleId="RepNo">
    <w:name w:val="Rep_No"/>
    <w:basedOn w:val="RecNo"/>
    <w:next w:val="Reptitle"/>
    <w:rsid w:val="0008342F"/>
  </w:style>
  <w:style w:type="paragraph" w:customStyle="1" w:styleId="Reptitle">
    <w:name w:val="Rep_title"/>
    <w:basedOn w:val="Rectitle"/>
    <w:next w:val="Repref"/>
    <w:rsid w:val="0008342F"/>
  </w:style>
  <w:style w:type="paragraph" w:customStyle="1" w:styleId="Repref">
    <w:name w:val="Rep_ref"/>
    <w:basedOn w:val="Recref"/>
    <w:next w:val="Repdate"/>
    <w:rsid w:val="0008342F"/>
  </w:style>
  <w:style w:type="paragraph" w:customStyle="1" w:styleId="RepNoBR">
    <w:name w:val="Rep_No_BR"/>
    <w:basedOn w:val="RecNoBR"/>
    <w:next w:val="Reptitle"/>
    <w:rsid w:val="0008342F"/>
  </w:style>
  <w:style w:type="paragraph" w:customStyle="1" w:styleId="Resdate">
    <w:name w:val="Res_date"/>
    <w:basedOn w:val="Recdate"/>
    <w:next w:val="Normalaftertitle"/>
    <w:rsid w:val="0008342F"/>
  </w:style>
  <w:style w:type="character" w:customStyle="1" w:styleId="Resdef">
    <w:name w:val="Res_def"/>
    <w:basedOn w:val="DefaultParagraphFont"/>
    <w:rsid w:val="0008342F"/>
    <w:rPr>
      <w:rFonts w:ascii="Times New Roman" w:hAnsi="Times New Roman"/>
      <w:b/>
    </w:rPr>
  </w:style>
  <w:style w:type="paragraph" w:customStyle="1" w:styleId="ResNo">
    <w:name w:val="Res_No"/>
    <w:basedOn w:val="RecNo"/>
    <w:next w:val="Restitle"/>
    <w:rsid w:val="0008342F"/>
  </w:style>
  <w:style w:type="paragraph" w:customStyle="1" w:styleId="Restitle">
    <w:name w:val="Res_title"/>
    <w:basedOn w:val="Rectitle"/>
    <w:next w:val="Resref"/>
    <w:link w:val="RestitleChar"/>
    <w:rsid w:val="0008342F"/>
  </w:style>
  <w:style w:type="paragraph" w:customStyle="1" w:styleId="Resref">
    <w:name w:val="Res_ref"/>
    <w:basedOn w:val="Recref"/>
    <w:next w:val="Resdate"/>
    <w:rsid w:val="0008342F"/>
  </w:style>
  <w:style w:type="paragraph" w:customStyle="1" w:styleId="ResNoBR">
    <w:name w:val="Res_No_BR"/>
    <w:basedOn w:val="RecNoBR"/>
    <w:next w:val="Restitle"/>
    <w:rsid w:val="0008342F"/>
  </w:style>
  <w:style w:type="paragraph" w:customStyle="1" w:styleId="Section1">
    <w:name w:val="Section_1"/>
    <w:basedOn w:val="Normal"/>
    <w:next w:val="Normal"/>
    <w:rsid w:val="0008342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8342F"/>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08342F"/>
    <w:pPr>
      <w:keepNext/>
      <w:keepLines/>
      <w:spacing w:before="480" w:after="80"/>
      <w:jc w:val="center"/>
    </w:pPr>
    <w:rPr>
      <w:caps/>
      <w:sz w:val="28"/>
    </w:rPr>
  </w:style>
  <w:style w:type="paragraph" w:customStyle="1" w:styleId="Sectiontitle">
    <w:name w:val="Section_title"/>
    <w:basedOn w:val="Normal"/>
    <w:next w:val="Normalaftertitle"/>
    <w:rsid w:val="0008342F"/>
    <w:pPr>
      <w:keepNext/>
      <w:keepLines/>
      <w:spacing w:before="480" w:after="280"/>
      <w:jc w:val="center"/>
    </w:pPr>
    <w:rPr>
      <w:b/>
      <w:sz w:val="28"/>
    </w:rPr>
  </w:style>
  <w:style w:type="paragraph" w:customStyle="1" w:styleId="Source">
    <w:name w:val="Source"/>
    <w:basedOn w:val="Normal"/>
    <w:next w:val="Normalaftertitle"/>
    <w:rsid w:val="0008342F"/>
    <w:pPr>
      <w:spacing w:before="840" w:after="200"/>
      <w:jc w:val="center"/>
    </w:pPr>
    <w:rPr>
      <w:b/>
      <w:sz w:val="28"/>
    </w:rPr>
  </w:style>
  <w:style w:type="paragraph" w:customStyle="1" w:styleId="SpecialFooter">
    <w:name w:val="Special Footer"/>
    <w:basedOn w:val="Footer"/>
    <w:rsid w:val="0008342F"/>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08342F"/>
    <w:rPr>
      <w:b/>
      <w:color w:val="auto"/>
    </w:rPr>
  </w:style>
  <w:style w:type="paragraph" w:customStyle="1" w:styleId="Tablehead">
    <w:name w:val="Table_head"/>
    <w:basedOn w:val="Normal"/>
    <w:next w:val="Tabletext"/>
    <w:rsid w:val="008A14C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legend">
    <w:name w:val="Table_legend"/>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
    <w:link w:val="TableNotitleChar"/>
    <w:rsid w:val="0008342F"/>
    <w:pPr>
      <w:keepNext/>
      <w:keepLines/>
      <w:spacing w:before="360" w:after="120"/>
      <w:jc w:val="center"/>
    </w:pPr>
    <w:rPr>
      <w:b/>
    </w:rPr>
  </w:style>
  <w:style w:type="paragraph" w:customStyle="1" w:styleId="TableNoBR">
    <w:name w:val="Table_No_BR"/>
    <w:basedOn w:val="Normal"/>
    <w:next w:val="TabletitleBR"/>
    <w:rsid w:val="0008342F"/>
    <w:pPr>
      <w:keepNext/>
      <w:spacing w:before="560" w:after="120"/>
      <w:jc w:val="center"/>
    </w:pPr>
    <w:rPr>
      <w:caps/>
    </w:rPr>
  </w:style>
  <w:style w:type="paragraph" w:customStyle="1" w:styleId="TabletitleBR">
    <w:name w:val="Table_title_BR"/>
    <w:basedOn w:val="Normal"/>
    <w:next w:val="Tablehead"/>
    <w:rsid w:val="0008342F"/>
    <w:pPr>
      <w:keepNext/>
      <w:keepLines/>
      <w:spacing w:before="0" w:after="120"/>
      <w:jc w:val="center"/>
    </w:pPr>
    <w:rPr>
      <w:b/>
    </w:rPr>
  </w:style>
  <w:style w:type="paragraph" w:customStyle="1" w:styleId="Tableref">
    <w:name w:val="Table_ref"/>
    <w:basedOn w:val="Normal"/>
    <w:next w:val="TabletitleBR"/>
    <w:rsid w:val="0008342F"/>
    <w:pPr>
      <w:keepNext/>
      <w:spacing w:before="0" w:after="120"/>
      <w:jc w:val="center"/>
    </w:pPr>
  </w:style>
  <w:style w:type="paragraph" w:customStyle="1" w:styleId="Title1">
    <w:name w:val="Title 1"/>
    <w:basedOn w:val="Source"/>
    <w:next w:val="Title2"/>
    <w:rsid w:val="0008342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342F"/>
  </w:style>
  <w:style w:type="paragraph" w:customStyle="1" w:styleId="Title3">
    <w:name w:val="Title 3"/>
    <w:basedOn w:val="Title2"/>
    <w:next w:val="Title4"/>
    <w:rsid w:val="0008342F"/>
    <w:rPr>
      <w:caps w:val="0"/>
    </w:rPr>
  </w:style>
  <w:style w:type="paragraph" w:customStyle="1" w:styleId="Title4">
    <w:name w:val="Title 4"/>
    <w:basedOn w:val="Title3"/>
    <w:next w:val="Heading1"/>
    <w:rsid w:val="0008342F"/>
    <w:rPr>
      <w:b/>
    </w:rPr>
  </w:style>
  <w:style w:type="paragraph" w:customStyle="1" w:styleId="toc0">
    <w:name w:val="toc 0"/>
    <w:basedOn w:val="Normal"/>
    <w:next w:val="TOC1"/>
    <w:rsid w:val="0008342F"/>
    <w:pPr>
      <w:tabs>
        <w:tab w:val="clear" w:pos="794"/>
        <w:tab w:val="clear" w:pos="1191"/>
        <w:tab w:val="clear" w:pos="1588"/>
        <w:tab w:val="clear" w:pos="1985"/>
        <w:tab w:val="right" w:pos="9639"/>
      </w:tabs>
    </w:pPr>
    <w:rPr>
      <w:b/>
    </w:rPr>
  </w:style>
  <w:style w:type="paragraph" w:styleId="TOC1">
    <w:name w:val="toc 1"/>
    <w:basedOn w:val="Normal"/>
    <w:uiPriority w:val="39"/>
    <w:rsid w:val="0008342F"/>
    <w:pPr>
      <w:keepLines/>
      <w:tabs>
        <w:tab w:val="clear" w:pos="794"/>
        <w:tab w:val="clear" w:pos="1191"/>
        <w:tab w:val="clear" w:pos="1588"/>
        <w:tab w:val="clear" w:pos="1985"/>
        <w:tab w:val="left" w:pos="964"/>
        <w:tab w:val="left" w:leader="dot" w:pos="8789"/>
        <w:tab w:val="right" w:pos="9214"/>
      </w:tabs>
      <w:spacing w:before="240"/>
      <w:ind w:left="567" w:right="851" w:hanging="567"/>
    </w:pPr>
    <w:rPr>
      <w:szCs w:val="24"/>
      <w:lang w:val="en-US"/>
    </w:rPr>
  </w:style>
  <w:style w:type="paragraph" w:styleId="TOC2">
    <w:name w:val="toc 2"/>
    <w:basedOn w:val="TOC1"/>
    <w:uiPriority w:val="39"/>
    <w:rsid w:val="0008342F"/>
    <w:pPr>
      <w:tabs>
        <w:tab w:val="clear" w:pos="964"/>
        <w:tab w:val="left" w:pos="1985"/>
      </w:tabs>
      <w:spacing w:before="80"/>
      <w:ind w:left="1134"/>
    </w:pPr>
  </w:style>
  <w:style w:type="paragraph" w:styleId="TOC3">
    <w:name w:val="toc 3"/>
    <w:basedOn w:val="TOC2"/>
    <w:uiPriority w:val="39"/>
    <w:rsid w:val="0008342F"/>
    <w:pPr>
      <w:tabs>
        <w:tab w:val="clear" w:pos="1985"/>
        <w:tab w:val="left" w:pos="1843"/>
      </w:tabs>
      <w:ind w:left="1701"/>
    </w:pPr>
  </w:style>
  <w:style w:type="paragraph" w:styleId="TOC4">
    <w:name w:val="toc 4"/>
    <w:basedOn w:val="TOC3"/>
    <w:uiPriority w:val="39"/>
    <w:rsid w:val="0008342F"/>
  </w:style>
  <w:style w:type="paragraph" w:styleId="TOC5">
    <w:name w:val="toc 5"/>
    <w:basedOn w:val="TOC4"/>
    <w:uiPriority w:val="39"/>
    <w:rsid w:val="0008342F"/>
  </w:style>
  <w:style w:type="paragraph" w:styleId="TOC6">
    <w:name w:val="toc 6"/>
    <w:basedOn w:val="TOC4"/>
    <w:uiPriority w:val="39"/>
    <w:rsid w:val="0008342F"/>
  </w:style>
  <w:style w:type="paragraph" w:styleId="TOC7">
    <w:name w:val="toc 7"/>
    <w:basedOn w:val="TOC4"/>
    <w:uiPriority w:val="39"/>
    <w:rsid w:val="0008342F"/>
  </w:style>
  <w:style w:type="paragraph" w:styleId="TOC8">
    <w:name w:val="toc 8"/>
    <w:basedOn w:val="TOC4"/>
    <w:uiPriority w:val="39"/>
    <w:rsid w:val="0008342F"/>
  </w:style>
  <w:style w:type="paragraph" w:customStyle="1" w:styleId="FiguretitleBR">
    <w:name w:val="Figure_title_BR"/>
    <w:basedOn w:val="TabletitleBR"/>
    <w:next w:val="Figurewithouttitle"/>
    <w:rsid w:val="0008342F"/>
    <w:pPr>
      <w:keepNext w:val="0"/>
      <w:spacing w:after="480"/>
    </w:pPr>
  </w:style>
  <w:style w:type="paragraph" w:customStyle="1" w:styleId="FigureNoBR">
    <w:name w:val="Figure_No_BR"/>
    <w:basedOn w:val="Normal"/>
    <w:next w:val="FiguretitleBR"/>
    <w:rsid w:val="0008342F"/>
    <w:pPr>
      <w:keepNext/>
      <w:keepLines/>
      <w:spacing w:before="480" w:after="120"/>
      <w:jc w:val="center"/>
    </w:pPr>
    <w:rPr>
      <w:caps/>
    </w:rPr>
  </w:style>
  <w:style w:type="paragraph" w:customStyle="1" w:styleId="RecTitle0">
    <w:name w:val="Rec_Title"/>
    <w:basedOn w:val="Normal"/>
    <w:rsid w:val="0008342F"/>
    <w:pPr>
      <w:keepNext/>
      <w:keepLines/>
      <w:spacing w:before="240"/>
      <w:jc w:val="center"/>
      <w:textAlignment w:val="auto"/>
    </w:pPr>
    <w:rPr>
      <w:b/>
      <w:caps/>
    </w:rPr>
  </w:style>
  <w:style w:type="paragraph" w:customStyle="1" w:styleId="Figure0">
    <w:name w:val="Figure_#"/>
    <w:basedOn w:val="Normal"/>
    <w:next w:val="Normal"/>
    <w:rsid w:val="0008342F"/>
    <w:pPr>
      <w:keepNext/>
      <w:spacing w:before="480" w:after="120"/>
      <w:jc w:val="center"/>
      <w:textAlignment w:val="auto"/>
    </w:pPr>
    <w:rPr>
      <w:caps/>
    </w:rPr>
  </w:style>
  <w:style w:type="character" w:styleId="Hyperlink">
    <w:name w:val="Hyperlink"/>
    <w:aliases w:val="CEO_Hyperlink"/>
    <w:basedOn w:val="DefaultParagraphFont"/>
    <w:uiPriority w:val="99"/>
    <w:rsid w:val="0008342F"/>
    <w:rPr>
      <w:color w:val="0000FF"/>
      <w:u w:val="single"/>
    </w:rPr>
  </w:style>
  <w:style w:type="paragraph" w:customStyle="1" w:styleId="headingb0">
    <w:name w:val="heading_b"/>
    <w:basedOn w:val="Heading3"/>
    <w:next w:val="Normal"/>
    <w:rsid w:val="00016BF5"/>
    <w:pPr>
      <w:tabs>
        <w:tab w:val="clear" w:pos="1191"/>
        <w:tab w:val="clear" w:pos="1588"/>
        <w:tab w:val="clear" w:pos="1985"/>
        <w:tab w:val="left" w:pos="2127"/>
        <w:tab w:val="left" w:pos="2410"/>
        <w:tab w:val="left" w:pos="2921"/>
        <w:tab w:val="left" w:pos="3261"/>
      </w:tabs>
      <w:ind w:left="0" w:firstLine="0"/>
      <w:outlineLvl w:val="9"/>
    </w:pPr>
  </w:style>
  <w:style w:type="paragraph" w:styleId="BodyText3">
    <w:name w:val="Body Text 3"/>
    <w:basedOn w:val="Normal"/>
    <w:rsid w:val="0008342F"/>
    <w:pPr>
      <w:pBdr>
        <w:top w:val="double" w:sz="4" w:space="1" w:color="auto"/>
        <w:left w:val="double" w:sz="4" w:space="4" w:color="auto"/>
        <w:bottom w:val="double" w:sz="4" w:space="1" w:color="auto"/>
        <w:right w:val="double" w:sz="4" w:space="4" w:color="auto"/>
      </w:pBdr>
      <w:shd w:val="pct12" w:color="auto" w:fill="auto"/>
      <w:tabs>
        <w:tab w:val="clear" w:pos="794"/>
        <w:tab w:val="clear" w:pos="1191"/>
        <w:tab w:val="clear" w:pos="1588"/>
        <w:tab w:val="clear" w:pos="1985"/>
      </w:tabs>
      <w:overflowPunct/>
      <w:autoSpaceDE/>
      <w:autoSpaceDN/>
      <w:adjustRightInd/>
      <w:spacing w:before="0"/>
      <w:textAlignment w:val="auto"/>
    </w:pPr>
    <w:rPr>
      <w:szCs w:val="24"/>
      <w:lang w:val="en-US"/>
    </w:rPr>
  </w:style>
  <w:style w:type="paragraph" w:styleId="EndnoteText">
    <w:name w:val="endnote text"/>
    <w:basedOn w:val="Normal"/>
    <w:semiHidden/>
    <w:rsid w:val="0008342F"/>
    <w:pPr>
      <w:tabs>
        <w:tab w:val="clear" w:pos="794"/>
        <w:tab w:val="clear" w:pos="1191"/>
        <w:tab w:val="clear" w:pos="1588"/>
        <w:tab w:val="clear" w:pos="1985"/>
      </w:tabs>
      <w:overflowPunct/>
      <w:autoSpaceDE/>
      <w:autoSpaceDN/>
      <w:adjustRightInd/>
      <w:spacing w:before="0"/>
      <w:textAlignment w:val="auto"/>
    </w:pPr>
    <w:rPr>
      <w:rFonts w:ascii="Arial" w:hAnsi="Arial"/>
      <w:sz w:val="20"/>
      <w:lang w:val="en-US"/>
    </w:rPr>
  </w:style>
  <w:style w:type="character" w:styleId="FollowedHyperlink">
    <w:name w:val="FollowedHyperlink"/>
    <w:aliases w:val="CEO_FollowedHyperlink"/>
    <w:basedOn w:val="DefaultParagraphFont"/>
    <w:rsid w:val="0008342F"/>
    <w:rPr>
      <w:color w:val="800080"/>
      <w:u w:val="single"/>
    </w:rPr>
  </w:style>
  <w:style w:type="paragraph" w:customStyle="1" w:styleId="heading0">
    <w:name w:val="heading 0"/>
    <w:basedOn w:val="Heading1"/>
    <w:next w:val="Normal"/>
    <w:rsid w:val="00016BF5"/>
    <w:pPr>
      <w:keepNext w:val="0"/>
      <w:tabs>
        <w:tab w:val="clear" w:pos="1191"/>
        <w:tab w:val="clear" w:pos="1588"/>
        <w:tab w:val="clear" w:pos="1985"/>
        <w:tab w:val="left" w:pos="2127"/>
        <w:tab w:val="left" w:pos="2410"/>
        <w:tab w:val="left" w:pos="2921"/>
        <w:tab w:val="left" w:pos="3261"/>
      </w:tabs>
      <w:spacing w:before="1080" w:after="480" w:line="288" w:lineRule="auto"/>
      <w:ind w:left="360" w:hanging="360"/>
      <w:jc w:val="center"/>
      <w:outlineLvl w:val="9"/>
    </w:pPr>
    <w:rPr>
      <w:rFonts w:ascii="Times" w:hAnsi="Times"/>
      <w:caps/>
      <w:sz w:val="28"/>
    </w:rPr>
  </w:style>
  <w:style w:type="paragraph" w:styleId="TOC9">
    <w:name w:val="toc 9"/>
    <w:basedOn w:val="Normal"/>
    <w:next w:val="Normal"/>
    <w:autoRedefine/>
    <w:uiPriority w:val="39"/>
    <w:rsid w:val="0008342F"/>
    <w:pPr>
      <w:tabs>
        <w:tab w:val="clear" w:pos="794"/>
        <w:tab w:val="clear" w:pos="1191"/>
        <w:tab w:val="clear" w:pos="1588"/>
        <w:tab w:val="clear" w:pos="1985"/>
      </w:tabs>
      <w:ind w:left="1920"/>
    </w:pPr>
  </w:style>
  <w:style w:type="paragraph" w:styleId="ListBullet">
    <w:name w:val="List Bullet"/>
    <w:basedOn w:val="Normal"/>
    <w:autoRedefine/>
    <w:rsid w:val="0008342F"/>
    <w:pPr>
      <w:tabs>
        <w:tab w:val="num" w:pos="360"/>
      </w:tabs>
      <w:ind w:left="360" w:hanging="360"/>
    </w:pPr>
  </w:style>
  <w:style w:type="paragraph" w:customStyle="1" w:styleId="Normalaftertitle0">
    <w:name w:val="Normal after title"/>
    <w:basedOn w:val="Normal"/>
    <w:next w:val="Normal"/>
    <w:rsid w:val="0008342F"/>
    <w:pPr>
      <w:spacing w:before="280"/>
    </w:pPr>
  </w:style>
  <w:style w:type="paragraph" w:customStyle="1" w:styleId="FigureTitle">
    <w:name w:val="Figure Title"/>
    <w:basedOn w:val="Normal"/>
    <w:next w:val="Normal"/>
    <w:rsid w:val="009E7F03"/>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textAlignment w:val="auto"/>
    </w:pPr>
    <w:rPr>
      <w:rFonts w:ascii="Times" w:hAnsi="Times"/>
      <w:b/>
      <w:lang w:val="en-US"/>
    </w:rPr>
  </w:style>
  <w:style w:type="paragraph" w:customStyle="1" w:styleId="FigureSource">
    <w:name w:val="Figure Source"/>
    <w:basedOn w:val="Normal"/>
    <w:next w:val="Normal"/>
    <w:rsid w:val="009E7F03"/>
    <w:pPr>
      <w:keepNext/>
      <w:pBdr>
        <w:bottom w:val="single" w:sz="18" w:space="10" w:color="auto"/>
      </w:pBdr>
      <w:shd w:val="clear" w:color="00FFFF" w:fill="auto"/>
      <w:tabs>
        <w:tab w:val="clear" w:pos="794"/>
        <w:tab w:val="clear" w:pos="1191"/>
        <w:tab w:val="clear" w:pos="1588"/>
        <w:tab w:val="clear" w:pos="1985"/>
        <w:tab w:val="left" w:pos="567"/>
      </w:tabs>
      <w:overflowPunct/>
      <w:autoSpaceDE/>
      <w:autoSpaceDN/>
      <w:adjustRightInd/>
      <w:spacing w:before="0"/>
      <w:ind w:left="568" w:hanging="568"/>
      <w:textAlignment w:val="auto"/>
    </w:pPr>
    <w:rPr>
      <w:rFonts w:ascii="Times" w:hAnsi="Times"/>
      <w:sz w:val="16"/>
      <w:lang w:val="en-US"/>
    </w:rPr>
  </w:style>
  <w:style w:type="paragraph" w:styleId="NormalWeb">
    <w:name w:val="Normal (Web)"/>
    <w:basedOn w:val="Normal"/>
    <w:link w:val="NormalWebChar"/>
    <w:rsid w:val="0008342F"/>
    <w:pPr>
      <w:tabs>
        <w:tab w:val="clear" w:pos="794"/>
        <w:tab w:val="clear" w:pos="1191"/>
        <w:tab w:val="clear" w:pos="1588"/>
        <w:tab w:val="clear" w:pos="1985"/>
      </w:tabs>
      <w:overflowPunct/>
      <w:autoSpaceDE/>
      <w:autoSpaceDN/>
      <w:adjustRightInd/>
      <w:spacing w:before="100" w:beforeAutospacing="1" w:after="100" w:afterAutospacing="1"/>
      <w:textAlignment w:val="auto"/>
    </w:pPr>
    <w:rPr>
      <w:color w:val="000000"/>
      <w:szCs w:val="24"/>
      <w:lang w:val="en-AU"/>
    </w:rPr>
  </w:style>
  <w:style w:type="character" w:customStyle="1" w:styleId="NormalWebChar">
    <w:name w:val="Normal (Web) Char"/>
    <w:basedOn w:val="DefaultParagraphFont"/>
    <w:link w:val="NormalWeb"/>
    <w:rsid w:val="001836BF"/>
    <w:rPr>
      <w:rFonts w:ascii="Times New Roman" w:hAnsi="Times New Roman"/>
      <w:color w:val="000000"/>
      <w:sz w:val="22"/>
      <w:szCs w:val="24"/>
      <w:lang w:val="en-AU" w:eastAsia="en-US"/>
    </w:rPr>
  </w:style>
  <w:style w:type="paragraph" w:styleId="Caption">
    <w:name w:val="caption"/>
    <w:basedOn w:val="Normal"/>
    <w:next w:val="Normal"/>
    <w:qFormat/>
    <w:rsid w:val="0008342F"/>
    <w:pPr>
      <w:tabs>
        <w:tab w:val="clear" w:pos="794"/>
        <w:tab w:val="clear" w:pos="1191"/>
        <w:tab w:val="clear" w:pos="1588"/>
        <w:tab w:val="clear" w:pos="1985"/>
      </w:tabs>
      <w:overflowPunct/>
      <w:autoSpaceDE/>
      <w:autoSpaceDN/>
      <w:adjustRightInd/>
      <w:spacing w:after="120"/>
      <w:textAlignment w:val="auto"/>
    </w:pPr>
    <w:rPr>
      <w:rFonts w:ascii="Arial" w:hAnsi="Arial"/>
      <w:b/>
      <w:bCs/>
      <w:sz w:val="20"/>
      <w:lang w:val="en-US"/>
    </w:rPr>
  </w:style>
  <w:style w:type="paragraph" w:customStyle="1" w:styleId="Boulet1">
    <w:name w:val="Boulet1"/>
    <w:basedOn w:val="Normal"/>
    <w:rsid w:val="0008342F"/>
    <w:pPr>
      <w:widowControl w:val="0"/>
      <w:tabs>
        <w:tab w:val="clear" w:pos="794"/>
        <w:tab w:val="clear" w:pos="1191"/>
        <w:tab w:val="clear" w:pos="1588"/>
        <w:tab w:val="clear" w:pos="1985"/>
        <w:tab w:val="left" w:pos="360"/>
      </w:tabs>
      <w:spacing w:before="60" w:line="240" w:lineRule="atLeast"/>
      <w:ind w:left="360" w:hanging="360"/>
    </w:pPr>
    <w:rPr>
      <w:rFonts w:ascii="Aldine401 BT" w:hAnsi="Aldine401 BT"/>
      <w:color w:val="000000"/>
      <w:sz w:val="20"/>
      <w:lang w:val="fr-FR"/>
    </w:rPr>
  </w:style>
  <w:style w:type="paragraph" w:customStyle="1" w:styleId="TableSource">
    <w:name w:val="Table Source"/>
    <w:basedOn w:val="Normal"/>
    <w:next w:val="Normal"/>
    <w:rsid w:val="0008342F"/>
    <w:pPr>
      <w:keepNext/>
      <w:tabs>
        <w:tab w:val="clear" w:pos="794"/>
        <w:tab w:val="clear" w:pos="1191"/>
        <w:tab w:val="clear" w:pos="1588"/>
        <w:tab w:val="clear" w:pos="1985"/>
        <w:tab w:val="left" w:pos="851"/>
      </w:tabs>
      <w:spacing w:before="80"/>
    </w:pPr>
    <w:rPr>
      <w:sz w:val="16"/>
      <w:lang w:val="en-US"/>
    </w:rPr>
  </w:style>
  <w:style w:type="paragraph" w:styleId="Title">
    <w:name w:val="Title"/>
    <w:basedOn w:val="Normal"/>
    <w:link w:val="TitleChar"/>
    <w:qFormat/>
    <w:rsid w:val="0008342F"/>
    <w:pPr>
      <w:tabs>
        <w:tab w:val="clear" w:pos="794"/>
        <w:tab w:val="clear" w:pos="1191"/>
        <w:tab w:val="clear" w:pos="1588"/>
        <w:tab w:val="clear" w:pos="1985"/>
      </w:tabs>
      <w:overflowPunct/>
      <w:autoSpaceDE/>
      <w:autoSpaceDN/>
      <w:adjustRightInd/>
      <w:spacing w:before="0"/>
      <w:jc w:val="center"/>
      <w:textAlignment w:val="auto"/>
    </w:pPr>
    <w:rPr>
      <w:b/>
      <w:sz w:val="32"/>
      <w:szCs w:val="24"/>
      <w:lang w:val="en-US"/>
    </w:rPr>
  </w:style>
  <w:style w:type="paragraph" w:styleId="BodyTextIndent">
    <w:name w:val="Body Text Indent"/>
    <w:basedOn w:val="Normal"/>
    <w:link w:val="BodyTextIndentChar1"/>
    <w:rsid w:val="0008342F"/>
    <w:pPr>
      <w:tabs>
        <w:tab w:val="clear" w:pos="794"/>
        <w:tab w:val="clear" w:pos="1191"/>
        <w:tab w:val="clear" w:pos="1588"/>
        <w:tab w:val="clear" w:pos="1985"/>
      </w:tabs>
      <w:overflowPunct/>
      <w:autoSpaceDE/>
      <w:autoSpaceDN/>
      <w:adjustRightInd/>
      <w:spacing w:before="0"/>
      <w:jc w:val="center"/>
      <w:textAlignment w:val="auto"/>
    </w:pPr>
    <w:rPr>
      <w:rFonts w:ascii="Arial" w:hAnsi="Arial" w:cs="Arial"/>
      <w:b/>
      <w:bCs/>
      <w:i/>
      <w:iCs/>
      <w:sz w:val="16"/>
      <w:szCs w:val="16"/>
      <w:lang w:val="es-ES"/>
    </w:rPr>
  </w:style>
  <w:style w:type="paragraph" w:customStyle="1" w:styleId="headfoot">
    <w:name w:val="head_foot"/>
    <w:basedOn w:val="Normal"/>
    <w:next w:val="Normal"/>
    <w:rsid w:val="0008342F"/>
    <w:pPr>
      <w:tabs>
        <w:tab w:val="clear" w:pos="794"/>
        <w:tab w:val="clear" w:pos="1191"/>
        <w:tab w:val="clear" w:pos="1588"/>
        <w:tab w:val="clear" w:pos="1985"/>
      </w:tabs>
      <w:spacing w:before="0"/>
    </w:pPr>
    <w:rPr>
      <w:color w:val="FF0000"/>
      <w:sz w:val="8"/>
      <w:lang w:val="en-US"/>
    </w:rPr>
  </w:style>
  <w:style w:type="paragraph" w:styleId="TableofFigures">
    <w:name w:val="table of figures"/>
    <w:basedOn w:val="Normal"/>
    <w:next w:val="Normal"/>
    <w:semiHidden/>
    <w:rsid w:val="0008342F"/>
    <w:pPr>
      <w:tabs>
        <w:tab w:val="clear" w:pos="794"/>
        <w:tab w:val="clear" w:pos="1191"/>
        <w:tab w:val="clear" w:pos="1588"/>
        <w:tab w:val="clear" w:pos="1985"/>
        <w:tab w:val="left" w:pos="1560"/>
        <w:tab w:val="left" w:leader="dot" w:pos="8789"/>
        <w:tab w:val="right" w:pos="9214"/>
      </w:tabs>
      <w:ind w:left="440" w:right="1275" w:hanging="440"/>
    </w:pPr>
    <w:rPr>
      <w:lang w:val="en-US"/>
    </w:rPr>
  </w:style>
  <w:style w:type="paragraph" w:styleId="BodyText">
    <w:name w:val="Body Text"/>
    <w:basedOn w:val="Normal"/>
    <w:link w:val="BodyTextChar"/>
    <w:rsid w:val="0008342F"/>
    <w:pPr>
      <w:spacing w:before="0"/>
    </w:pPr>
    <w:rPr>
      <w:bCs/>
      <w:lang w:val="en-US"/>
    </w:rPr>
  </w:style>
  <w:style w:type="paragraph" w:styleId="BodyText2">
    <w:name w:val="Body Text 2"/>
    <w:basedOn w:val="Normal"/>
    <w:link w:val="BodyText2Char"/>
    <w:rsid w:val="0008342F"/>
    <w:pPr>
      <w:spacing w:before="0"/>
    </w:pPr>
    <w:rPr>
      <w:b/>
      <w:sz w:val="16"/>
    </w:rPr>
  </w:style>
  <w:style w:type="character" w:customStyle="1" w:styleId="BodyText2Char">
    <w:name w:val="Body Text 2 Char"/>
    <w:basedOn w:val="DefaultParagraphFont"/>
    <w:link w:val="BodyText2"/>
    <w:rsid w:val="00737ED3"/>
    <w:rPr>
      <w:rFonts w:ascii="Times New Roman" w:hAnsi="Times New Roman"/>
      <w:b/>
      <w:sz w:val="16"/>
      <w:lang w:val="en-GB" w:eastAsia="en-US"/>
    </w:rPr>
  </w:style>
  <w:style w:type="paragraph" w:customStyle="1" w:styleId="Band">
    <w:name w:val="Band"/>
    <w:basedOn w:val="Normal"/>
    <w:rsid w:val="00016BF5"/>
    <w:pPr>
      <w:tabs>
        <w:tab w:val="clear" w:pos="794"/>
        <w:tab w:val="clear" w:pos="1191"/>
        <w:tab w:val="clear" w:pos="1588"/>
        <w:tab w:val="clear" w:pos="1985"/>
        <w:tab w:val="left" w:pos="1113"/>
        <w:tab w:val="left" w:pos="3381"/>
        <w:tab w:val="left" w:pos="5701"/>
        <w:tab w:val="left" w:pos="8167"/>
        <w:tab w:val="left" w:pos="9618"/>
      </w:tabs>
      <w:suppressAutoHyphens/>
      <w:overflowPunct/>
      <w:autoSpaceDE/>
      <w:autoSpaceDN/>
      <w:adjustRightInd/>
      <w:spacing w:before="60" w:after="40"/>
      <w:ind w:left="-23"/>
      <w:jc w:val="left"/>
      <w:textAlignment w:val="auto"/>
    </w:pPr>
    <w:rPr>
      <w:rFonts w:ascii="Arial" w:hAnsi="Arial"/>
      <w:spacing w:val="-2"/>
      <w:sz w:val="20"/>
      <w:lang w:val="en-US"/>
    </w:rPr>
  </w:style>
  <w:style w:type="paragraph" w:customStyle="1" w:styleId="heading">
    <w:name w:val="heading"/>
    <w:basedOn w:val="Normal"/>
    <w:rsid w:val="00F97148"/>
    <w:pPr>
      <w:tabs>
        <w:tab w:val="clear" w:pos="794"/>
        <w:tab w:val="clear" w:pos="1191"/>
        <w:tab w:val="clear" w:pos="1588"/>
        <w:tab w:val="clear" w:pos="1985"/>
      </w:tabs>
      <w:overflowPunct/>
      <w:autoSpaceDE/>
      <w:autoSpaceDN/>
      <w:adjustRightInd/>
      <w:spacing w:after="120"/>
      <w:jc w:val="left"/>
      <w:textAlignment w:val="auto"/>
    </w:pPr>
    <w:rPr>
      <w:rFonts w:ascii="Univers (W1)" w:hAnsi="Univers (W1)"/>
      <w:b/>
      <w:sz w:val="20"/>
      <w:lang w:val="en-US"/>
    </w:rPr>
  </w:style>
  <w:style w:type="character" w:styleId="CommentReference">
    <w:name w:val="annotation reference"/>
    <w:basedOn w:val="DefaultParagraphFont"/>
    <w:rsid w:val="00902981"/>
    <w:rPr>
      <w:sz w:val="16"/>
      <w:szCs w:val="16"/>
    </w:rPr>
  </w:style>
  <w:style w:type="paragraph" w:styleId="CommentText">
    <w:name w:val="annotation text"/>
    <w:basedOn w:val="Normal"/>
    <w:link w:val="CommentTextChar"/>
    <w:rsid w:val="00902981"/>
    <w:rPr>
      <w:sz w:val="20"/>
    </w:rPr>
  </w:style>
  <w:style w:type="paragraph" w:styleId="CommentSubject">
    <w:name w:val="annotation subject"/>
    <w:basedOn w:val="CommentText"/>
    <w:next w:val="CommentText"/>
    <w:link w:val="CommentSubjectChar"/>
    <w:rsid w:val="00902981"/>
    <w:rPr>
      <w:b/>
      <w:bCs/>
    </w:rPr>
  </w:style>
  <w:style w:type="character" w:customStyle="1" w:styleId="Alloc">
    <w:name w:val="Alloc"/>
    <w:basedOn w:val="DefaultParagraphFont"/>
    <w:rsid w:val="00013DC1"/>
    <w:rPr>
      <w:rFonts w:ascii="Arial" w:hAnsi="Arial"/>
      <w:sz w:val="16"/>
    </w:rPr>
  </w:style>
  <w:style w:type="character" w:customStyle="1" w:styleId="Notes">
    <w:name w:val="Notes"/>
    <w:basedOn w:val="DefaultParagraphFont"/>
    <w:rsid w:val="00013DC1"/>
    <w:rPr>
      <w:rFonts w:ascii="Arial" w:hAnsi="Arial"/>
      <w:sz w:val="16"/>
    </w:rPr>
  </w:style>
  <w:style w:type="character" w:customStyle="1" w:styleId="Remarks">
    <w:name w:val="Remarks"/>
    <w:basedOn w:val="DefaultParagraphFont"/>
    <w:rsid w:val="003C39F0"/>
    <w:rPr>
      <w:sz w:val="24"/>
    </w:rPr>
  </w:style>
  <w:style w:type="paragraph" w:customStyle="1" w:styleId="TableHead0">
    <w:name w:val="Table_Head"/>
    <w:basedOn w:val="Tabletext"/>
    <w:rsid w:val="002C67D1"/>
    <w:pPr>
      <w:keepNext/>
      <w:spacing w:before="80" w:after="80"/>
      <w:jc w:val="center"/>
    </w:pPr>
    <w:rPr>
      <w:b/>
    </w:rPr>
  </w:style>
  <w:style w:type="paragraph" w:customStyle="1" w:styleId="TableText0">
    <w:name w:val="Table_Text"/>
    <w:basedOn w:val="Normal"/>
    <w:rsid w:val="002C67D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FigureLegend0">
    <w:name w:val="Figure_Legend"/>
    <w:basedOn w:val="Normal"/>
    <w:next w:val="Normal"/>
    <w:rsid w:val="009E7F03"/>
    <w:pPr>
      <w:keepNext/>
      <w:spacing w:before="113"/>
      <w:jc w:val="left"/>
    </w:pPr>
    <w:rPr>
      <w:sz w:val="18"/>
      <w:lang w:val="en-US"/>
    </w:rPr>
  </w:style>
  <w:style w:type="character" w:styleId="Emphasis">
    <w:name w:val="Emphasis"/>
    <w:basedOn w:val="DefaultParagraphFont"/>
    <w:qFormat/>
    <w:rsid w:val="006B709C"/>
    <w:rPr>
      <w:i/>
      <w:iCs/>
    </w:rPr>
  </w:style>
  <w:style w:type="table" w:styleId="TableGrid">
    <w:name w:val="Table Grid"/>
    <w:basedOn w:val="TableNormal"/>
    <w:rsid w:val="00D5490C"/>
    <w:pPr>
      <w:tabs>
        <w:tab w:val="left" w:pos="794"/>
        <w:tab w:val="left" w:pos="1191"/>
        <w:tab w:val="left" w:pos="1588"/>
        <w:tab w:val="left" w:pos="1985"/>
      </w:tabs>
      <w:overflowPunct w:val="0"/>
      <w:autoSpaceDE w:val="0"/>
      <w:autoSpaceDN w:val="0"/>
      <w:adjustRightInd w:val="0"/>
      <w:snapToGrid w:val="0"/>
      <w:spacing w:before="16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3C39"/>
    <w:pPr>
      <w:widowControl w:val="0"/>
      <w:autoSpaceDE w:val="0"/>
      <w:autoSpaceDN w:val="0"/>
      <w:adjustRightInd w:val="0"/>
    </w:pPr>
    <w:rPr>
      <w:rFonts w:ascii="Times New Roman" w:eastAsia="SimSun" w:hAnsi="Times New Roman"/>
      <w:color w:val="000000"/>
      <w:sz w:val="24"/>
      <w:szCs w:val="24"/>
    </w:rPr>
  </w:style>
  <w:style w:type="paragraph" w:styleId="BalloonText">
    <w:name w:val="Balloon Text"/>
    <w:basedOn w:val="Normal"/>
    <w:link w:val="BalloonTextChar"/>
    <w:rsid w:val="00D400DF"/>
    <w:pPr>
      <w:spacing w:before="0"/>
    </w:pPr>
    <w:rPr>
      <w:rFonts w:ascii="Tahoma" w:hAnsi="Tahoma" w:cs="Tahoma"/>
      <w:sz w:val="16"/>
      <w:szCs w:val="16"/>
    </w:rPr>
  </w:style>
  <w:style w:type="character" w:customStyle="1" w:styleId="BalloonTextChar">
    <w:name w:val="Balloon Text Char"/>
    <w:basedOn w:val="DefaultParagraphFont"/>
    <w:link w:val="BalloonText"/>
    <w:rsid w:val="00D400DF"/>
    <w:rPr>
      <w:rFonts w:ascii="Tahoma" w:hAnsi="Tahoma" w:cs="Tahoma"/>
      <w:sz w:val="16"/>
      <w:szCs w:val="16"/>
      <w:lang w:val="en-GB" w:eastAsia="en-US"/>
    </w:rPr>
  </w:style>
  <w:style w:type="paragraph" w:styleId="EnvelopeAddress">
    <w:name w:val="envelope address"/>
    <w:basedOn w:val="Normal"/>
    <w:next w:val="Normal"/>
    <w:rsid w:val="006060ED"/>
    <w:pPr>
      <w:framePr w:w="7920" w:h="1980" w:hRule="exact" w:hSpace="180" w:wrap="auto" w:hAnchor="page" w:xAlign="center" w:yAlign="bottom"/>
      <w:tabs>
        <w:tab w:val="clear" w:pos="794"/>
        <w:tab w:val="clear" w:pos="1191"/>
        <w:tab w:val="clear" w:pos="1588"/>
        <w:tab w:val="clear" w:pos="1985"/>
      </w:tabs>
      <w:overflowPunct/>
      <w:autoSpaceDE/>
      <w:autoSpaceDN/>
      <w:adjustRightInd/>
      <w:spacing w:after="120"/>
      <w:ind w:left="2880"/>
      <w:jc w:val="left"/>
      <w:textAlignment w:val="auto"/>
    </w:pPr>
    <w:rPr>
      <w:rFonts w:ascii="Verdana" w:eastAsia="SimSun" w:hAnsi="Verdana" w:cs="Arial"/>
      <w:sz w:val="24"/>
      <w:szCs w:val="24"/>
    </w:rPr>
  </w:style>
  <w:style w:type="paragraph" w:customStyle="1" w:styleId="MOS-Normal">
    <w:name w:val="MOS-Normal"/>
    <w:link w:val="MOS-NormalChar"/>
    <w:rsid w:val="0002731C"/>
    <w:pPr>
      <w:spacing w:before="120" w:after="120"/>
    </w:pPr>
    <w:rPr>
      <w:rFonts w:ascii="Verdana" w:eastAsia="SimSun" w:hAnsi="Verdana" w:cs="Traditional Arabic"/>
      <w:sz w:val="18"/>
      <w:szCs w:val="28"/>
      <w:lang w:val="en-GB" w:eastAsia="en-US"/>
    </w:rPr>
  </w:style>
  <w:style w:type="character" w:customStyle="1" w:styleId="MOS-NormalChar">
    <w:name w:val="MOS-Normal Char"/>
    <w:basedOn w:val="DefaultParagraphFont"/>
    <w:link w:val="MOS-Normal"/>
    <w:rsid w:val="0002731C"/>
    <w:rPr>
      <w:rFonts w:ascii="Verdana" w:eastAsia="SimSun" w:hAnsi="Verdana" w:cs="Traditional Arabic"/>
      <w:sz w:val="18"/>
      <w:szCs w:val="28"/>
      <w:lang w:val="en-GB" w:eastAsia="en-US"/>
    </w:rPr>
  </w:style>
  <w:style w:type="character" w:customStyle="1" w:styleId="StyleFootnoteReference8pt">
    <w:name w:val="Style Footnote Reference + 8 pt"/>
    <w:basedOn w:val="FootnoteReference"/>
    <w:rsid w:val="0002731C"/>
    <w:rPr>
      <w:rFonts w:ascii="Verdana" w:hAnsi="Verdana"/>
      <w:sz w:val="14"/>
      <w:szCs w:val="16"/>
    </w:rPr>
  </w:style>
  <w:style w:type="paragraph" w:customStyle="1" w:styleId="CEOParagraph11">
    <w:name w:val="CEO_Paragraph 1.1"/>
    <w:basedOn w:val="Heading2"/>
    <w:rsid w:val="0002731C"/>
    <w:pPr>
      <w:keepNext w:val="0"/>
      <w:keepLines w:val="0"/>
      <w:tabs>
        <w:tab w:val="clear" w:pos="794"/>
        <w:tab w:val="clear" w:pos="1191"/>
        <w:tab w:val="clear" w:pos="1588"/>
        <w:tab w:val="clear" w:pos="1985"/>
        <w:tab w:val="num" w:pos="576"/>
      </w:tabs>
      <w:overflowPunct/>
      <w:autoSpaceDE/>
      <w:autoSpaceDN/>
      <w:adjustRightInd/>
      <w:spacing w:before="120" w:after="120"/>
      <w:ind w:left="567" w:hanging="576"/>
      <w:jc w:val="left"/>
      <w:textAlignment w:val="auto"/>
    </w:pPr>
    <w:rPr>
      <w:rFonts w:ascii="Verdana" w:eastAsia="SimHei" w:hAnsi="Verdana" w:cs="Simplified Arabic"/>
      <w:b w:val="0"/>
      <w:sz w:val="18"/>
      <w:szCs w:val="28"/>
      <w:lang w:eastAsia="zh-CN"/>
    </w:rPr>
  </w:style>
  <w:style w:type="paragraph" w:customStyle="1" w:styleId="a">
    <w:name w:val="Стиль"/>
    <w:basedOn w:val="Normal"/>
    <w:rsid w:val="0002731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cs="Verdana"/>
      <w:sz w:val="24"/>
      <w:szCs w:val="24"/>
      <w:lang w:val="en-US"/>
    </w:rPr>
  </w:style>
  <w:style w:type="paragraph" w:customStyle="1" w:styleId="Text2">
    <w:name w:val="Text 2"/>
    <w:basedOn w:val="Normal"/>
    <w:rsid w:val="00737ED3"/>
    <w:pPr>
      <w:tabs>
        <w:tab w:val="clear" w:pos="794"/>
        <w:tab w:val="clear" w:pos="1191"/>
        <w:tab w:val="clear" w:pos="1588"/>
        <w:tab w:val="clear" w:pos="1985"/>
        <w:tab w:val="left" w:pos="2302"/>
      </w:tabs>
      <w:overflowPunct/>
      <w:autoSpaceDE/>
      <w:autoSpaceDN/>
      <w:adjustRightInd/>
      <w:spacing w:before="0" w:after="240"/>
      <w:ind w:left="1202"/>
      <w:textAlignment w:val="auto"/>
    </w:pPr>
    <w:rPr>
      <w:sz w:val="24"/>
      <w:lang w:eastAsia="en-GB"/>
    </w:rPr>
  </w:style>
  <w:style w:type="paragraph" w:customStyle="1" w:styleId="FigureNo">
    <w:name w:val="Figure_No"/>
    <w:basedOn w:val="Normal"/>
    <w:next w:val="Normal"/>
    <w:rsid w:val="00737ED3"/>
    <w:pPr>
      <w:keepNext/>
      <w:keepLines/>
      <w:spacing w:before="480" w:after="80"/>
      <w:jc w:val="center"/>
    </w:pPr>
    <w:rPr>
      <w:rFonts w:eastAsia="Batang"/>
      <w:caps/>
      <w:sz w:val="18"/>
      <w:lang w:val="fr-FR"/>
    </w:rPr>
  </w:style>
  <w:style w:type="paragraph" w:styleId="ListParagraph">
    <w:name w:val="List Paragraph"/>
    <w:basedOn w:val="Normal"/>
    <w:uiPriority w:val="34"/>
    <w:qFormat/>
    <w:rsid w:val="00737ED3"/>
    <w:pPr>
      <w:ind w:left="720"/>
      <w:contextualSpacing/>
    </w:pPr>
  </w:style>
  <w:style w:type="character" w:customStyle="1" w:styleId="Heading1Char">
    <w:name w:val="Heading 1 Char"/>
    <w:basedOn w:val="DefaultParagraphFont"/>
    <w:link w:val="Heading1"/>
    <w:rsid w:val="00E4064E"/>
    <w:rPr>
      <w:rFonts w:ascii="Times New Roman" w:hAnsi="Times New Roman"/>
      <w:b/>
      <w:sz w:val="22"/>
      <w:lang w:val="en-GB" w:eastAsia="en-US"/>
    </w:rPr>
  </w:style>
  <w:style w:type="character" w:customStyle="1" w:styleId="Heading2Char">
    <w:name w:val="Heading 2 Char"/>
    <w:basedOn w:val="DefaultParagraphFont"/>
    <w:link w:val="Heading2"/>
    <w:rsid w:val="00C17344"/>
    <w:rPr>
      <w:rFonts w:ascii="Times New Roman" w:hAnsi="Times New Roman"/>
      <w:b/>
      <w:sz w:val="22"/>
      <w:lang w:val="en-GB" w:eastAsia="en-US"/>
    </w:rPr>
  </w:style>
  <w:style w:type="character" w:customStyle="1" w:styleId="Heading3Char">
    <w:name w:val="Heading 3 Char"/>
    <w:aliases w:val="h3 Char"/>
    <w:basedOn w:val="DefaultParagraphFont"/>
    <w:link w:val="Heading3"/>
    <w:rsid w:val="00C17344"/>
    <w:rPr>
      <w:rFonts w:ascii="Times New Roman" w:hAnsi="Times New Roman"/>
      <w:b/>
      <w:sz w:val="22"/>
      <w:lang w:val="en-GB" w:eastAsia="en-US"/>
    </w:rPr>
  </w:style>
  <w:style w:type="character" w:customStyle="1" w:styleId="Heading4Char">
    <w:name w:val="Heading 4 Char"/>
    <w:aliases w:val="h4 Char"/>
    <w:basedOn w:val="DefaultParagraphFont"/>
    <w:link w:val="Heading4"/>
    <w:rsid w:val="00C17344"/>
    <w:rPr>
      <w:rFonts w:ascii="Times New Roman" w:hAnsi="Times New Roman"/>
      <w:b/>
      <w:sz w:val="22"/>
      <w:lang w:val="en-GB" w:eastAsia="en-US"/>
    </w:rPr>
  </w:style>
  <w:style w:type="character" w:customStyle="1" w:styleId="Heading5Char">
    <w:name w:val="Heading 5 Char"/>
    <w:aliases w:val="h5 Char,5 Char"/>
    <w:basedOn w:val="DefaultParagraphFont"/>
    <w:link w:val="Heading5"/>
    <w:rsid w:val="00C17344"/>
    <w:rPr>
      <w:rFonts w:ascii="Times New Roman" w:hAnsi="Times New Roman"/>
      <w:b/>
      <w:sz w:val="22"/>
      <w:lang w:val="en-GB" w:eastAsia="en-US"/>
    </w:rPr>
  </w:style>
  <w:style w:type="character" w:customStyle="1" w:styleId="Heading6Char">
    <w:name w:val="Heading 6 Char"/>
    <w:basedOn w:val="DefaultParagraphFont"/>
    <w:link w:val="Heading6"/>
    <w:rsid w:val="00C17344"/>
    <w:rPr>
      <w:rFonts w:ascii="Times New Roman" w:hAnsi="Times New Roman"/>
      <w:b/>
      <w:sz w:val="22"/>
      <w:lang w:val="en-GB" w:eastAsia="en-US"/>
    </w:rPr>
  </w:style>
  <w:style w:type="character" w:customStyle="1" w:styleId="Heading7Char">
    <w:name w:val="Heading 7 Char"/>
    <w:basedOn w:val="DefaultParagraphFont"/>
    <w:link w:val="Heading7"/>
    <w:rsid w:val="00C17344"/>
    <w:rPr>
      <w:rFonts w:ascii="Times New Roman" w:hAnsi="Times New Roman"/>
      <w:b/>
      <w:sz w:val="22"/>
      <w:lang w:val="en-GB" w:eastAsia="en-US"/>
    </w:rPr>
  </w:style>
  <w:style w:type="character" w:customStyle="1" w:styleId="Heading8Char">
    <w:name w:val="Heading 8 Char"/>
    <w:basedOn w:val="DefaultParagraphFont"/>
    <w:link w:val="Heading8"/>
    <w:rsid w:val="00C17344"/>
    <w:rPr>
      <w:rFonts w:ascii="Times New Roman" w:hAnsi="Times New Roman"/>
      <w:b/>
      <w:sz w:val="22"/>
      <w:lang w:val="en-GB" w:eastAsia="en-US"/>
    </w:rPr>
  </w:style>
  <w:style w:type="character" w:customStyle="1" w:styleId="Heading9Char">
    <w:name w:val="Heading 9 Char"/>
    <w:basedOn w:val="DefaultParagraphFont"/>
    <w:link w:val="Heading9"/>
    <w:rsid w:val="00C17344"/>
    <w:rPr>
      <w:rFonts w:ascii="Times New Roman" w:hAnsi="Times New Roman"/>
      <w:b/>
      <w:sz w:val="22"/>
      <w:lang w:val="en-GB" w:eastAsia="en-US"/>
    </w:rPr>
  </w:style>
  <w:style w:type="paragraph" w:customStyle="1" w:styleId="CEONormal">
    <w:name w:val="CEO_Normal"/>
    <w:link w:val="CEONormalChar"/>
    <w:autoRedefine/>
    <w:rsid w:val="00C17344"/>
    <w:pPr>
      <w:spacing w:before="120"/>
    </w:pPr>
    <w:rPr>
      <w:rFonts w:ascii="Verdana" w:eastAsia="SimSun" w:hAnsi="Verdana"/>
      <w:sz w:val="19"/>
      <w:szCs w:val="19"/>
      <w:lang w:val="en-GB" w:eastAsia="en-US"/>
    </w:rPr>
  </w:style>
  <w:style w:type="paragraph" w:customStyle="1" w:styleId="CEOForAction">
    <w:name w:val="CEO_ForAction"/>
    <w:basedOn w:val="CEONormal"/>
    <w:next w:val="CEOSourceTitle"/>
    <w:rsid w:val="00C17344"/>
    <w:pPr>
      <w:spacing w:after="120"/>
      <w:ind w:left="743"/>
    </w:pPr>
    <w:rPr>
      <w:b/>
      <w:bCs/>
      <w:iCs/>
    </w:rPr>
  </w:style>
  <w:style w:type="paragraph" w:customStyle="1" w:styleId="CEOSourceTitle">
    <w:name w:val="CEO_Source_Title"/>
    <w:basedOn w:val="Normal"/>
    <w:rsid w:val="00C17344"/>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
      <w:sz w:val="19"/>
      <w:szCs w:val="19"/>
    </w:rPr>
  </w:style>
  <w:style w:type="paragraph" w:customStyle="1" w:styleId="CEODocDates">
    <w:name w:val="CEO_DocDates"/>
    <w:basedOn w:val="Normal"/>
    <w:next w:val="Normal"/>
    <w:rsid w:val="00C17344"/>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DocNo">
    <w:name w:val="CEO_DocNo"/>
    <w:basedOn w:val="Normal"/>
    <w:next w:val="Normal"/>
    <w:rsid w:val="00C17344"/>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MeetingDates">
    <w:name w:val="CEO_MeetingDates"/>
    <w:basedOn w:val="Normal"/>
    <w:rsid w:val="00C17344"/>
    <w:pPr>
      <w:tabs>
        <w:tab w:val="clear" w:pos="794"/>
        <w:tab w:val="clear" w:pos="1191"/>
        <w:tab w:val="clear" w:pos="1588"/>
        <w:tab w:val="clear" w:pos="1985"/>
      </w:tabs>
      <w:overflowPunct/>
      <w:autoSpaceDE/>
      <w:autoSpaceDN/>
      <w:adjustRightInd/>
      <w:spacing w:before="0" w:after="40"/>
      <w:jc w:val="left"/>
      <w:textAlignment w:val="auto"/>
    </w:pPr>
    <w:rPr>
      <w:rFonts w:ascii="Verdana" w:eastAsia="SimHei" w:hAnsi="Verdana" w:cs="Simplified Arabic"/>
      <w:b/>
      <w:sz w:val="19"/>
      <w:szCs w:val="19"/>
    </w:rPr>
  </w:style>
  <w:style w:type="paragraph" w:customStyle="1" w:styleId="CEOMeetingName">
    <w:name w:val="CEO_MeetingName"/>
    <w:basedOn w:val="Normal"/>
    <w:rsid w:val="00C17344"/>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OriginalLanguage">
    <w:name w:val="CEO_OriginalLanguage"/>
    <w:basedOn w:val="Normal"/>
    <w:next w:val="Normal"/>
    <w:rsid w:val="00C17344"/>
    <w:pPr>
      <w:tabs>
        <w:tab w:val="clear" w:pos="794"/>
        <w:tab w:val="clear" w:pos="1191"/>
        <w:tab w:val="clear" w:pos="1588"/>
        <w:tab w:val="clear" w:pos="1985"/>
      </w:tabs>
      <w:overflowPunct/>
      <w:autoSpaceDE/>
      <w:autoSpaceDN/>
      <w:adjustRightInd/>
      <w:spacing w:before="240" w:after="120"/>
      <w:jc w:val="left"/>
      <w:textAlignment w:val="auto"/>
    </w:pPr>
    <w:rPr>
      <w:rFonts w:ascii="Verdana" w:eastAsia="SimHei" w:hAnsi="Verdana" w:cs="Simplified Arabic"/>
      <w:b/>
      <w:sz w:val="19"/>
      <w:szCs w:val="19"/>
    </w:rPr>
  </w:style>
  <w:style w:type="paragraph" w:customStyle="1" w:styleId="CEOQuestion">
    <w:name w:val="CEO_Question"/>
    <w:basedOn w:val="CEOOriginalLanguage"/>
    <w:rsid w:val="00C17344"/>
    <w:pPr>
      <w:tabs>
        <w:tab w:val="left" w:pos="2098"/>
      </w:tabs>
      <w:ind w:left="2098" w:hanging="2098"/>
    </w:pPr>
    <w:rPr>
      <w:lang w:val="fr-CH"/>
    </w:rPr>
  </w:style>
  <w:style w:type="paragraph" w:customStyle="1" w:styleId="CEOSectorName">
    <w:name w:val="CEO_SectorName"/>
    <w:basedOn w:val="Normal"/>
    <w:rsid w:val="00C17344"/>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
      <w:sz w:val="26"/>
      <w:szCs w:val="28"/>
    </w:rPr>
  </w:style>
  <w:style w:type="paragraph" w:customStyle="1" w:styleId="CEOSourceTitleDetails">
    <w:name w:val="CEO_SourceTitleDetails"/>
    <w:basedOn w:val="Normal"/>
    <w:rsid w:val="00C17344"/>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Cs/>
      <w:sz w:val="19"/>
      <w:szCs w:val="19"/>
    </w:rPr>
  </w:style>
  <w:style w:type="paragraph" w:customStyle="1" w:styleId="CEOLogo">
    <w:name w:val="CEO_Logo"/>
    <w:basedOn w:val="CEONormal"/>
    <w:rsid w:val="00C17344"/>
    <w:pPr>
      <w:spacing w:before="0"/>
      <w:jc w:val="right"/>
    </w:pPr>
  </w:style>
  <w:style w:type="paragraph" w:customStyle="1" w:styleId="CEORevision">
    <w:name w:val="CEO_Revision"/>
    <w:basedOn w:val="CEONormal"/>
    <w:autoRedefine/>
    <w:rsid w:val="00C17344"/>
    <w:pPr>
      <w:tabs>
        <w:tab w:val="left" w:pos="1928"/>
      </w:tabs>
    </w:pPr>
    <w:rPr>
      <w:b/>
      <w:sz w:val="18"/>
      <w:szCs w:val="18"/>
    </w:rPr>
  </w:style>
  <w:style w:type="paragraph" w:customStyle="1" w:styleId="CEOActionRequired">
    <w:name w:val="CEO_ActionRequired"/>
    <w:basedOn w:val="CEONormal"/>
    <w:rsid w:val="00C17344"/>
    <w:pPr>
      <w:tabs>
        <w:tab w:val="left" w:pos="1928"/>
      </w:tabs>
    </w:pPr>
    <w:rPr>
      <w:b/>
    </w:rPr>
  </w:style>
  <w:style w:type="character" w:customStyle="1" w:styleId="HeaderChar">
    <w:name w:val="Header Char"/>
    <w:basedOn w:val="DefaultParagraphFont"/>
    <w:link w:val="Header"/>
    <w:rsid w:val="00C17344"/>
    <w:rPr>
      <w:rFonts w:ascii="Times New Roman" w:hAnsi="Times New Roman"/>
      <w:b/>
      <w:sz w:val="22"/>
      <w:lang w:val="en-GB" w:eastAsia="en-US"/>
    </w:rPr>
  </w:style>
  <w:style w:type="character" w:customStyle="1" w:styleId="FooterChar">
    <w:name w:val="Footer Char"/>
    <w:basedOn w:val="DefaultParagraphFont"/>
    <w:link w:val="Footer"/>
    <w:rsid w:val="00C17344"/>
    <w:rPr>
      <w:rFonts w:ascii="Times New Roman" w:hAnsi="Times New Roman"/>
      <w:caps/>
      <w:noProof/>
      <w:sz w:val="16"/>
      <w:lang w:val="en-GB" w:eastAsia="en-US"/>
    </w:rPr>
  </w:style>
  <w:style w:type="paragraph" w:customStyle="1" w:styleId="CEOFooterContact2-3">
    <w:name w:val="CEO_FooterContact2-3"/>
    <w:basedOn w:val="Normal"/>
    <w:rsid w:val="00C17344"/>
    <w:pPr>
      <w:tabs>
        <w:tab w:val="clear" w:pos="794"/>
        <w:tab w:val="clear" w:pos="1191"/>
        <w:tab w:val="clear" w:pos="1588"/>
        <w:tab w:val="clear" w:pos="1985"/>
      </w:tabs>
      <w:overflowPunct/>
      <w:autoSpaceDE/>
      <w:autoSpaceDN/>
      <w:adjustRightInd/>
      <w:spacing w:before="0"/>
      <w:ind w:left="3827" w:hanging="2268"/>
      <w:jc w:val="left"/>
      <w:textAlignment w:val="auto"/>
    </w:pPr>
    <w:rPr>
      <w:rFonts w:ascii="Verdana" w:eastAsia="SimSun" w:hAnsi="Verdana"/>
      <w:sz w:val="16"/>
      <w:szCs w:val="16"/>
    </w:rPr>
  </w:style>
  <w:style w:type="paragraph" w:customStyle="1" w:styleId="CEOFooterContact1">
    <w:name w:val="CEO_FooterContact1"/>
    <w:basedOn w:val="Normal"/>
    <w:next w:val="CEOFooterContact2-3"/>
    <w:rsid w:val="00C17344"/>
    <w:pPr>
      <w:pBdr>
        <w:top w:val="single" w:sz="4" w:space="5" w:color="auto"/>
      </w:pBdr>
      <w:tabs>
        <w:tab w:val="clear" w:pos="794"/>
        <w:tab w:val="clear" w:pos="1191"/>
        <w:tab w:val="clear" w:pos="1588"/>
        <w:tab w:val="clear" w:pos="1985"/>
        <w:tab w:val="left" w:pos="1560"/>
      </w:tabs>
      <w:overflowPunct/>
      <w:autoSpaceDE/>
      <w:autoSpaceDN/>
      <w:adjustRightInd/>
      <w:ind w:left="3827" w:hanging="3827"/>
      <w:jc w:val="left"/>
      <w:textAlignment w:val="auto"/>
    </w:pPr>
    <w:rPr>
      <w:rFonts w:ascii="Verdana" w:eastAsia="SimSun" w:hAnsi="Verdana"/>
      <w:sz w:val="16"/>
      <w:szCs w:val="16"/>
    </w:rPr>
  </w:style>
  <w:style w:type="paragraph" w:customStyle="1" w:styleId="CEODocTitle2lines-Second">
    <w:name w:val="CEO_DocTitle2lines-Second"/>
    <w:basedOn w:val="CEODocTitle2lines-First"/>
    <w:rsid w:val="00C17344"/>
    <w:pPr>
      <w:spacing w:before="0" w:after="480"/>
    </w:pPr>
  </w:style>
  <w:style w:type="paragraph" w:customStyle="1" w:styleId="CEODocTitle2lines-First">
    <w:name w:val="CEO_DocTitle2lines-First"/>
    <w:basedOn w:val="CEODocTitle-1line"/>
    <w:next w:val="Normal"/>
    <w:link w:val="CEODocTitle2lines-FirstChar"/>
    <w:rsid w:val="00C17344"/>
    <w:pPr>
      <w:spacing w:after="0"/>
    </w:pPr>
  </w:style>
  <w:style w:type="paragraph" w:customStyle="1" w:styleId="CEODocTitle-1line">
    <w:name w:val="CEO_DocTitle-1line"/>
    <w:basedOn w:val="Normal"/>
    <w:next w:val="Normal"/>
    <w:link w:val="CEODocTitle-1lineChar"/>
    <w:rsid w:val="00C17344"/>
    <w:pPr>
      <w:tabs>
        <w:tab w:val="clear" w:pos="794"/>
        <w:tab w:val="clear" w:pos="1191"/>
        <w:tab w:val="clear" w:pos="1588"/>
        <w:tab w:val="clear" w:pos="1985"/>
      </w:tabs>
      <w:overflowPunct/>
      <w:autoSpaceDE/>
      <w:autoSpaceDN/>
      <w:adjustRightInd/>
      <w:spacing w:before="480" w:after="480"/>
      <w:jc w:val="center"/>
      <w:textAlignment w:val="auto"/>
    </w:pPr>
    <w:rPr>
      <w:rFonts w:ascii="Verdana" w:eastAsia="SimHei" w:hAnsi="Verdana" w:cs="Simplified Arabic"/>
      <w:b/>
      <w:bCs/>
      <w:sz w:val="28"/>
      <w:szCs w:val="28"/>
      <w:lang w:val="en-US"/>
    </w:rPr>
  </w:style>
  <w:style w:type="paragraph" w:customStyle="1" w:styleId="CEOcontributionH1">
    <w:name w:val="CEO_contributionH1"/>
    <w:basedOn w:val="CEOcontribution-H123"/>
    <w:next w:val="CEONormal"/>
    <w:rsid w:val="00C17344"/>
    <w:pPr>
      <w:keepNext/>
      <w:keepLines/>
      <w:tabs>
        <w:tab w:val="clear" w:pos="720"/>
      </w:tabs>
      <w:spacing w:before="480"/>
      <w:ind w:left="0" w:firstLine="0"/>
    </w:pPr>
  </w:style>
  <w:style w:type="paragraph" w:customStyle="1" w:styleId="CEOcontribution-H123">
    <w:name w:val="CEO_contribution-H123"/>
    <w:basedOn w:val="Normal"/>
    <w:rsid w:val="00C17344"/>
    <w:pPr>
      <w:tabs>
        <w:tab w:val="clear" w:pos="794"/>
        <w:tab w:val="clear" w:pos="1191"/>
        <w:tab w:val="clear" w:pos="1588"/>
        <w:tab w:val="clear" w:pos="1985"/>
        <w:tab w:val="num" w:pos="720"/>
      </w:tabs>
      <w:overflowPunct/>
      <w:autoSpaceDE/>
      <w:autoSpaceDN/>
      <w:adjustRightInd/>
      <w:spacing w:after="120"/>
      <w:ind w:left="720" w:hanging="360"/>
      <w:jc w:val="left"/>
      <w:textAlignment w:val="auto"/>
    </w:pPr>
    <w:rPr>
      <w:rFonts w:ascii="Verdana" w:eastAsia="SimHei" w:hAnsi="Verdana" w:cs="Simplified Arabic"/>
      <w:b/>
      <w:sz w:val="19"/>
      <w:szCs w:val="19"/>
    </w:rPr>
  </w:style>
  <w:style w:type="paragraph" w:customStyle="1" w:styleId="CEOIndent1-123">
    <w:name w:val="CEO_Indent1-123"/>
    <w:basedOn w:val="Normal"/>
    <w:rsid w:val="00C17344"/>
    <w:pPr>
      <w:tabs>
        <w:tab w:val="clear" w:pos="794"/>
        <w:tab w:val="clear" w:pos="1191"/>
        <w:tab w:val="clear" w:pos="1588"/>
        <w:tab w:val="clear" w:pos="1985"/>
        <w:tab w:val="num" w:pos="927"/>
      </w:tabs>
      <w:overflowPunct/>
      <w:autoSpaceDE/>
      <w:autoSpaceDN/>
      <w:adjustRightInd/>
      <w:spacing w:before="60" w:after="60"/>
      <w:ind w:left="927" w:right="709" w:hanging="360"/>
      <w:jc w:val="left"/>
      <w:textAlignment w:val="auto"/>
    </w:pPr>
    <w:rPr>
      <w:rFonts w:ascii="Verdana" w:eastAsia="SimHei" w:hAnsi="Verdana" w:cs="Simplified Arabic"/>
      <w:bCs/>
      <w:sz w:val="19"/>
      <w:szCs w:val="19"/>
      <w:lang w:val="en-US"/>
    </w:rPr>
  </w:style>
  <w:style w:type="paragraph" w:customStyle="1" w:styleId="CEOAgendaItemN">
    <w:name w:val="CEO_AgendaItemN°"/>
    <w:basedOn w:val="CEOIndent1-123"/>
    <w:rsid w:val="00C17344"/>
    <w:pPr>
      <w:tabs>
        <w:tab w:val="clear" w:pos="927"/>
      </w:tabs>
      <w:ind w:left="0" w:right="12" w:firstLine="0"/>
      <w:jc w:val="right"/>
    </w:pPr>
  </w:style>
  <w:style w:type="paragraph" w:customStyle="1" w:styleId="CEODocNoDetails">
    <w:name w:val="CEO_DocNoDetails"/>
    <w:basedOn w:val="Normal"/>
    <w:rsid w:val="00C17344"/>
    <w:pPr>
      <w:tabs>
        <w:tab w:val="clear" w:pos="794"/>
        <w:tab w:val="clear" w:pos="1191"/>
        <w:tab w:val="clear" w:pos="1588"/>
        <w:tab w:val="clear" w:pos="1985"/>
      </w:tabs>
      <w:overflowPunct/>
      <w:autoSpaceDE/>
      <w:autoSpaceDN/>
      <w:adjustRightInd/>
      <w:spacing w:before="80" w:after="80"/>
      <w:jc w:val="center"/>
      <w:textAlignment w:val="auto"/>
    </w:pPr>
    <w:rPr>
      <w:rFonts w:ascii="Verdana" w:eastAsia="SimHei" w:hAnsi="Verdana" w:cs="Simplified Arabic"/>
      <w:bCs/>
      <w:sz w:val="19"/>
      <w:szCs w:val="19"/>
    </w:rPr>
  </w:style>
  <w:style w:type="paragraph" w:customStyle="1" w:styleId="CEOFooter">
    <w:name w:val="CEO_Footer"/>
    <w:basedOn w:val="Normal"/>
    <w:rsid w:val="00C17344"/>
    <w:pPr>
      <w:tabs>
        <w:tab w:val="clear" w:pos="794"/>
        <w:tab w:val="clear" w:pos="1191"/>
        <w:tab w:val="clear" w:pos="1588"/>
        <w:tab w:val="clear" w:pos="1985"/>
        <w:tab w:val="right" w:pos="9072"/>
      </w:tabs>
      <w:overflowPunct/>
      <w:autoSpaceDE/>
      <w:autoSpaceDN/>
      <w:adjustRightInd/>
      <w:spacing w:before="0"/>
      <w:jc w:val="left"/>
      <w:textAlignment w:val="auto"/>
    </w:pPr>
    <w:rPr>
      <w:rFonts w:ascii="Verdana" w:eastAsia="SimHei" w:hAnsi="Verdana" w:cs="Simplified Arabic"/>
      <w:bCs/>
      <w:sz w:val="16"/>
      <w:szCs w:val="19"/>
    </w:rPr>
  </w:style>
  <w:style w:type="paragraph" w:customStyle="1" w:styleId="CEOHeader1">
    <w:name w:val="CEO_Header1"/>
    <w:basedOn w:val="Normal"/>
    <w:rsid w:val="00C17344"/>
    <w:pPr>
      <w:numPr>
        <w:numId w:val="7"/>
      </w:num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Cs/>
      <w:sz w:val="19"/>
      <w:szCs w:val="19"/>
      <w:lang w:val="en-US"/>
    </w:rPr>
  </w:style>
  <w:style w:type="paragraph" w:customStyle="1" w:styleId="CEOHeader2">
    <w:name w:val="CEO_Header2"/>
    <w:basedOn w:val="Normal"/>
    <w:rsid w:val="00C17344"/>
    <w:pPr>
      <w:tabs>
        <w:tab w:val="clear" w:pos="794"/>
        <w:tab w:val="clear" w:pos="1191"/>
        <w:tab w:val="clear" w:pos="1588"/>
        <w:tab w:val="clear" w:pos="1985"/>
      </w:tabs>
      <w:overflowPunct/>
      <w:autoSpaceDE/>
      <w:autoSpaceDN/>
      <w:adjustRightInd/>
      <w:spacing w:before="720"/>
      <w:jc w:val="left"/>
      <w:textAlignment w:val="auto"/>
    </w:pPr>
    <w:rPr>
      <w:rFonts w:ascii="Verdana" w:eastAsia="SimHei" w:hAnsi="Verdana" w:cs="Simplified Arabic"/>
      <w:bCs/>
      <w:sz w:val="19"/>
      <w:szCs w:val="19"/>
      <w:lang w:val="en-US"/>
    </w:rPr>
  </w:style>
  <w:style w:type="paragraph" w:customStyle="1" w:styleId="CEOHeaderPageNumber">
    <w:name w:val="CEO_HeaderPageNumber"/>
    <w:basedOn w:val="Normal"/>
    <w:rsid w:val="00C17344"/>
    <w:pPr>
      <w:tabs>
        <w:tab w:val="clear" w:pos="794"/>
        <w:tab w:val="clear" w:pos="1191"/>
        <w:tab w:val="clear" w:pos="1588"/>
        <w:tab w:val="clear" w:pos="1985"/>
        <w:tab w:val="center" w:pos="4536"/>
        <w:tab w:val="right" w:pos="9072"/>
      </w:tabs>
      <w:overflowPunct/>
      <w:autoSpaceDE/>
      <w:autoSpaceDN/>
      <w:adjustRightInd/>
      <w:spacing w:before="0"/>
      <w:jc w:val="right"/>
      <w:textAlignment w:val="auto"/>
    </w:pPr>
    <w:rPr>
      <w:rFonts w:ascii="Verdana" w:eastAsia="SimHei" w:hAnsi="Verdana" w:cs="Simplified Arabic"/>
      <w:bCs/>
      <w:smallCaps/>
      <w:sz w:val="19"/>
      <w:szCs w:val="19"/>
      <w:lang w:val="en-US"/>
    </w:rPr>
  </w:style>
  <w:style w:type="paragraph" w:customStyle="1" w:styleId="CEOcontributionStart">
    <w:name w:val="CEO_contributionStart"/>
    <w:basedOn w:val="CEOcontribution-H123"/>
    <w:rsid w:val="00C17344"/>
    <w:pPr>
      <w:tabs>
        <w:tab w:val="clear" w:pos="720"/>
      </w:tabs>
      <w:spacing w:before="360"/>
      <w:ind w:left="0" w:firstLine="0"/>
    </w:pPr>
    <w:rPr>
      <w:b w:val="0"/>
    </w:rPr>
  </w:style>
  <w:style w:type="paragraph" w:customStyle="1" w:styleId="CEOParagraph111">
    <w:name w:val="CEO_Paragraph1.1.1"/>
    <w:basedOn w:val="Heading3"/>
    <w:rsid w:val="00C17344"/>
    <w:pPr>
      <w:keepNext w:val="0"/>
      <w:keepLines w:val="0"/>
      <w:tabs>
        <w:tab w:val="clear" w:pos="794"/>
        <w:tab w:val="clear" w:pos="1191"/>
        <w:tab w:val="clear" w:pos="1588"/>
        <w:tab w:val="clear" w:pos="1985"/>
      </w:tabs>
      <w:overflowPunct/>
      <w:autoSpaceDE/>
      <w:autoSpaceDN/>
      <w:adjustRightInd/>
      <w:spacing w:before="0"/>
      <w:ind w:left="0" w:firstLine="0"/>
      <w:jc w:val="left"/>
      <w:textAlignment w:val="auto"/>
    </w:pPr>
    <w:rPr>
      <w:rFonts w:ascii="Verdana" w:eastAsia="SimHei" w:hAnsi="Verdana" w:cs="Simplified Arabic"/>
      <w:b w:val="0"/>
      <w:sz w:val="19"/>
      <w:szCs w:val="28"/>
      <w:lang w:eastAsia="zh-CN"/>
    </w:rPr>
  </w:style>
  <w:style w:type="paragraph" w:customStyle="1" w:styleId="CEOindent-abc">
    <w:name w:val="CEO_indent-abc"/>
    <w:basedOn w:val="Normal"/>
    <w:rsid w:val="00C17344"/>
    <w:pPr>
      <w:numPr>
        <w:ilvl w:val="1"/>
        <w:numId w:val="4"/>
      </w:num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Traditional Arabic"/>
      <w:bCs/>
      <w:sz w:val="18"/>
      <w:szCs w:val="28"/>
    </w:rPr>
  </w:style>
  <w:style w:type="paragraph" w:customStyle="1" w:styleId="CEOIndent-bulletsblackdot">
    <w:name w:val="CEO_Indent-bulletsblackdot"/>
    <w:basedOn w:val="Normal"/>
    <w:rsid w:val="00C17344"/>
    <w:pPr>
      <w:tabs>
        <w:tab w:val="clear" w:pos="794"/>
        <w:tab w:val="clear" w:pos="1191"/>
        <w:tab w:val="clear" w:pos="1588"/>
        <w:tab w:val="clear" w:pos="1985"/>
        <w:tab w:val="num" w:pos="284"/>
      </w:tabs>
      <w:overflowPunct/>
      <w:autoSpaceDE/>
      <w:autoSpaceDN/>
      <w:adjustRightInd/>
      <w:spacing w:before="60" w:after="60"/>
      <w:ind w:left="284" w:hanging="284"/>
      <w:jc w:val="left"/>
      <w:textAlignment w:val="auto"/>
    </w:pPr>
    <w:rPr>
      <w:rFonts w:ascii="Verdana" w:eastAsia="SimHei" w:hAnsi="Verdana" w:cs="Simplified Arabic"/>
      <w:bCs/>
      <w:sz w:val="19"/>
      <w:szCs w:val="19"/>
    </w:rPr>
  </w:style>
  <w:style w:type="paragraph" w:customStyle="1" w:styleId="CEOIndent-bulletsBlueSquare">
    <w:name w:val="CEO_Indent-bulletsBlueSquare"/>
    <w:basedOn w:val="CEOIndent-bulletsblackdot"/>
    <w:rsid w:val="00C17344"/>
    <w:pPr>
      <w:numPr>
        <w:numId w:val="5"/>
      </w:numPr>
    </w:pPr>
  </w:style>
  <w:style w:type="paragraph" w:customStyle="1" w:styleId="CEOQuestionDetails">
    <w:name w:val="CEO_QuestionDetails"/>
    <w:basedOn w:val="CEOOriginalLanguage"/>
    <w:rsid w:val="00C17344"/>
    <w:rPr>
      <w:b w:val="0"/>
      <w:bCs/>
    </w:rPr>
  </w:style>
  <w:style w:type="paragraph" w:customStyle="1" w:styleId="CEOSignatureName">
    <w:name w:val="CEO_SignatureName"/>
    <w:basedOn w:val="Normal"/>
    <w:rsid w:val="00C17344"/>
    <w:pPr>
      <w:tabs>
        <w:tab w:val="clear" w:pos="794"/>
        <w:tab w:val="clear" w:pos="1191"/>
        <w:tab w:val="clear" w:pos="1588"/>
        <w:tab w:val="clear" w:pos="1985"/>
      </w:tabs>
      <w:overflowPunct/>
      <w:autoSpaceDE/>
      <w:autoSpaceDN/>
      <w:adjustRightInd/>
      <w:spacing w:before="720"/>
      <w:jc w:val="left"/>
      <w:textAlignment w:val="auto"/>
    </w:pPr>
    <w:rPr>
      <w:rFonts w:ascii="Verdana" w:eastAsia="SimHei" w:hAnsi="Verdana" w:cs="Simplified Arabic"/>
      <w:bCs/>
      <w:sz w:val="19"/>
      <w:szCs w:val="19"/>
    </w:rPr>
  </w:style>
  <w:style w:type="paragraph" w:customStyle="1" w:styleId="CEOSignatureTitle">
    <w:name w:val="CEO_SignatureTitle"/>
    <w:basedOn w:val="CEOSignatureName"/>
    <w:rsid w:val="00C17344"/>
    <w:pPr>
      <w:spacing w:before="0"/>
    </w:pPr>
  </w:style>
  <w:style w:type="paragraph" w:customStyle="1" w:styleId="CEOSTG">
    <w:name w:val="CEO_STG"/>
    <w:basedOn w:val="CEOOriginalLanguage"/>
    <w:rsid w:val="00C17344"/>
    <w:pPr>
      <w:spacing w:before="120"/>
      <w:jc w:val="center"/>
    </w:pPr>
  </w:style>
  <w:style w:type="paragraph" w:customStyle="1" w:styleId="CEOindent-endash">
    <w:name w:val="CEO_indent-endash"/>
    <w:basedOn w:val="CEOEmdashList"/>
    <w:rsid w:val="00C17344"/>
    <w:pPr>
      <w:numPr>
        <w:numId w:val="6"/>
      </w:numPr>
    </w:pPr>
  </w:style>
  <w:style w:type="paragraph" w:customStyle="1" w:styleId="CEOEmdashList">
    <w:name w:val="CEO_EmdashList"/>
    <w:basedOn w:val="CEONormal"/>
    <w:rsid w:val="00C17344"/>
  </w:style>
  <w:style w:type="paragraph" w:customStyle="1" w:styleId="CEOConsidering">
    <w:name w:val="CEO_Considering"/>
    <w:basedOn w:val="CEONormal"/>
    <w:rsid w:val="00C17344"/>
    <w:pPr>
      <w:keepNext/>
      <w:keepLines/>
      <w:spacing w:after="120"/>
      <w:ind w:left="851"/>
    </w:pPr>
    <w:rPr>
      <w:i/>
      <w:iCs/>
    </w:rPr>
  </w:style>
  <w:style w:type="paragraph" w:customStyle="1" w:styleId="CEOEndBar">
    <w:name w:val="CEO_EndBar"/>
    <w:basedOn w:val="CEONormal"/>
    <w:rsid w:val="00C17344"/>
    <w:pPr>
      <w:spacing w:after="120"/>
      <w:jc w:val="center"/>
    </w:pPr>
  </w:style>
  <w:style w:type="paragraph" w:customStyle="1" w:styleId="CEOExtract">
    <w:name w:val="CEO_Extract"/>
    <w:basedOn w:val="CEONormal"/>
    <w:rsid w:val="00C17344"/>
    <w:pPr>
      <w:keepNext/>
      <w:keepLines/>
      <w:spacing w:after="120"/>
    </w:pPr>
  </w:style>
  <w:style w:type="paragraph" w:customStyle="1" w:styleId="CEOHeader">
    <w:name w:val="CEO_Header"/>
    <w:basedOn w:val="Normal"/>
    <w:rsid w:val="00C17344"/>
    <w:pPr>
      <w:tabs>
        <w:tab w:val="clear" w:pos="794"/>
        <w:tab w:val="clear" w:pos="1191"/>
        <w:tab w:val="clear" w:pos="1588"/>
        <w:tab w:val="clear" w:pos="1985"/>
        <w:tab w:val="center" w:pos="5103"/>
        <w:tab w:val="right" w:pos="10206"/>
      </w:tabs>
      <w:overflowPunct/>
      <w:autoSpaceDE/>
      <w:autoSpaceDN/>
      <w:adjustRightInd/>
      <w:spacing w:after="480"/>
      <w:ind w:right="357"/>
      <w:jc w:val="left"/>
      <w:textAlignment w:val="auto"/>
    </w:pPr>
    <w:rPr>
      <w:rFonts w:ascii="Verdana" w:eastAsia="SimHei" w:hAnsi="Verdana" w:cs="Simplified Arabic"/>
      <w:bCs/>
      <w:smallCaps/>
      <w:spacing w:val="24"/>
      <w:sz w:val="18"/>
      <w:szCs w:val="18"/>
      <w:lang w:val="en-US" w:eastAsia="zh-CN"/>
    </w:rPr>
  </w:style>
  <w:style w:type="paragraph" w:customStyle="1" w:styleId="CEOResText">
    <w:name w:val="CEO_ResText"/>
    <w:basedOn w:val="CEONormal"/>
    <w:rsid w:val="00C17344"/>
    <w:pPr>
      <w:spacing w:after="120"/>
      <w:ind w:left="426"/>
    </w:pPr>
  </w:style>
  <w:style w:type="paragraph" w:customStyle="1" w:styleId="CEOMeetingSTG">
    <w:name w:val="CEO_MeetingSTG"/>
    <w:basedOn w:val="CEOMeetingName"/>
    <w:rsid w:val="00C17344"/>
    <w:pPr>
      <w:spacing w:before="120" w:after="120"/>
    </w:pPr>
  </w:style>
  <w:style w:type="paragraph" w:customStyle="1" w:styleId="CEORevisionNote">
    <w:name w:val="CEO_RevisionNote"/>
    <w:basedOn w:val="CEORevision"/>
    <w:autoRedefine/>
    <w:rsid w:val="00C17344"/>
    <w:pPr>
      <w:spacing w:after="120"/>
    </w:pPr>
    <w:rPr>
      <w:b w:val="0"/>
      <w:i/>
      <w:iCs/>
      <w:lang w:val="en-US"/>
    </w:rPr>
  </w:style>
  <w:style w:type="paragraph" w:customStyle="1" w:styleId="CEORequiredAction">
    <w:name w:val="CEO_RequiredAction"/>
    <w:basedOn w:val="CEONormal"/>
    <w:rsid w:val="00C17344"/>
    <w:pPr>
      <w:tabs>
        <w:tab w:val="left" w:pos="1928"/>
      </w:tabs>
    </w:pPr>
    <w:rPr>
      <w:b/>
    </w:rPr>
  </w:style>
  <w:style w:type="paragraph" w:customStyle="1" w:styleId="CEOAnnex">
    <w:name w:val="CEO_Annex"/>
    <w:basedOn w:val="CEOSignatureTitle"/>
    <w:rsid w:val="00C17344"/>
    <w:pPr>
      <w:spacing w:before="1000"/>
    </w:pPr>
  </w:style>
  <w:style w:type="paragraph" w:customStyle="1" w:styleId="CEOEndashListNoIndent">
    <w:name w:val="CEO_EndashListNoIndent"/>
    <w:basedOn w:val="CEONormal"/>
    <w:rsid w:val="00C17344"/>
    <w:pPr>
      <w:numPr>
        <w:numId w:val="1"/>
      </w:numPr>
    </w:pPr>
  </w:style>
  <w:style w:type="paragraph" w:customStyle="1" w:styleId="CEOFootnoteText">
    <w:name w:val="CEO_Footnote Text"/>
    <w:basedOn w:val="CEONormal"/>
    <w:rsid w:val="00C17344"/>
    <w:pPr>
      <w:tabs>
        <w:tab w:val="left" w:pos="357"/>
      </w:tabs>
      <w:spacing w:before="0"/>
    </w:pPr>
  </w:style>
  <w:style w:type="paragraph" w:customStyle="1" w:styleId="CEOHeading1-Numbered">
    <w:name w:val="CEO_Heading1-Numbered"/>
    <w:basedOn w:val="CEONormal"/>
    <w:rsid w:val="00C17344"/>
    <w:pPr>
      <w:numPr>
        <w:numId w:val="2"/>
      </w:numPr>
      <w:pBdr>
        <w:bottom w:val="single" w:sz="12" w:space="1" w:color="808080"/>
      </w:pBdr>
    </w:pPr>
    <w:rPr>
      <w:b/>
      <w:bCs/>
      <w:color w:val="808080"/>
      <w:sz w:val="20"/>
    </w:rPr>
  </w:style>
  <w:style w:type="paragraph" w:customStyle="1" w:styleId="CEOHeading1">
    <w:name w:val="CEO_Heading1"/>
    <w:basedOn w:val="CEOHeading1-Numbered"/>
    <w:next w:val="CEONormal"/>
    <w:rsid w:val="00C17344"/>
    <w:pPr>
      <w:numPr>
        <w:numId w:val="0"/>
      </w:numPr>
    </w:pPr>
    <w:rPr>
      <w:lang w:val="fr-CH"/>
    </w:rPr>
  </w:style>
  <w:style w:type="paragraph" w:customStyle="1" w:styleId="CEOIndent1-abc">
    <w:name w:val="CEO_Indent1-abc"/>
    <w:basedOn w:val="CEONormal"/>
    <w:rsid w:val="00C17344"/>
    <w:pPr>
      <w:numPr>
        <w:numId w:val="3"/>
      </w:numPr>
      <w:spacing w:before="60" w:after="60"/>
      <w:ind w:right="709"/>
    </w:pPr>
  </w:style>
  <w:style w:type="paragraph" w:customStyle="1" w:styleId="CEOAbstract">
    <w:name w:val="CEOAbstract"/>
    <w:rsid w:val="00C17344"/>
    <w:pPr>
      <w:tabs>
        <w:tab w:val="left" w:pos="2127"/>
      </w:tabs>
    </w:pPr>
    <w:rPr>
      <w:rFonts w:ascii="Verdana" w:eastAsia="SimHei" w:hAnsi="Verdana" w:cs="Simplified Arabic"/>
      <w:b/>
      <w:sz w:val="19"/>
      <w:szCs w:val="22"/>
      <w:lang w:val="fr-CA"/>
    </w:rPr>
  </w:style>
  <w:style w:type="paragraph" w:customStyle="1" w:styleId="CEOSignature">
    <w:name w:val="CEO_Signature"/>
    <w:basedOn w:val="CEONormal"/>
    <w:rsid w:val="00C17344"/>
    <w:pPr>
      <w:spacing w:before="720"/>
    </w:pPr>
  </w:style>
  <w:style w:type="paragraph" w:customStyle="1" w:styleId="CEOSmall">
    <w:name w:val="CEO_Small"/>
    <w:basedOn w:val="CEONormal"/>
    <w:rsid w:val="00C17344"/>
  </w:style>
  <w:style w:type="paragraph" w:customStyle="1" w:styleId="CEOStartNextPage">
    <w:name w:val="CEO_StartNextPage"/>
    <w:next w:val="CEONormal"/>
    <w:rsid w:val="00C17344"/>
    <w:pPr>
      <w:spacing w:before="120"/>
      <w:jc w:val="center"/>
    </w:pPr>
    <w:rPr>
      <w:rFonts w:ascii="Verdana" w:eastAsia="SimHei" w:hAnsi="Verdana" w:cs="Simplified Arabic"/>
      <w:sz w:val="16"/>
      <w:szCs w:val="24"/>
      <w:lang w:val="en-GB" w:eastAsia="en-US"/>
    </w:rPr>
  </w:style>
  <w:style w:type="paragraph" w:customStyle="1" w:styleId="CEOSummaryStartHere">
    <w:name w:val="CEO_Summary_StartHere"/>
    <w:rsid w:val="00C17344"/>
    <w:pPr>
      <w:spacing w:before="120" w:after="120"/>
      <w:jc w:val="center"/>
    </w:pPr>
    <w:rPr>
      <w:rFonts w:ascii="Verdana" w:eastAsia="SimHei" w:hAnsi="Verdana" w:cs="Simplified Arabic"/>
      <w:bCs/>
      <w:sz w:val="16"/>
      <w:szCs w:val="16"/>
      <w:lang w:val="fr-FR"/>
    </w:rPr>
  </w:style>
  <w:style w:type="paragraph" w:customStyle="1" w:styleId="CEOAbstract0">
    <w:name w:val="CEO_Abstract"/>
    <w:rsid w:val="00C17344"/>
    <w:pPr>
      <w:tabs>
        <w:tab w:val="left" w:pos="2127"/>
      </w:tabs>
      <w:spacing w:before="360" w:after="120"/>
    </w:pPr>
    <w:rPr>
      <w:rFonts w:ascii="Verdana" w:eastAsia="SimHei" w:hAnsi="Verdana" w:cs="Simplified Arabic"/>
      <w:b/>
      <w:sz w:val="19"/>
      <w:szCs w:val="22"/>
      <w:lang w:val="fr-CA"/>
    </w:rPr>
  </w:style>
  <w:style w:type="paragraph" w:customStyle="1" w:styleId="CEOActionRequiredDetails">
    <w:name w:val="CEO_ActionRequiredDetails"/>
    <w:rsid w:val="00C17344"/>
    <w:pPr>
      <w:spacing w:before="120"/>
    </w:pPr>
    <w:rPr>
      <w:rFonts w:ascii="Verdana" w:eastAsia="SimSun" w:hAnsi="Verdana"/>
      <w:bCs/>
      <w:sz w:val="19"/>
      <w:szCs w:val="19"/>
      <w:lang w:val="en-GB" w:eastAsia="en-US"/>
    </w:rPr>
  </w:style>
  <w:style w:type="character" w:customStyle="1" w:styleId="WW-Absatz-Standardschriftart">
    <w:name w:val="WW-Absatz-Standardschriftart"/>
    <w:rsid w:val="00C17344"/>
  </w:style>
  <w:style w:type="character" w:customStyle="1" w:styleId="WW-Absatz-Standardschriftart1">
    <w:name w:val="WW-Absatz-Standardschriftart1"/>
    <w:rsid w:val="00C17344"/>
  </w:style>
  <w:style w:type="character" w:customStyle="1" w:styleId="WW-Absatz-Standardschriftart11">
    <w:name w:val="WW-Absatz-Standardschriftart11"/>
    <w:rsid w:val="00C17344"/>
  </w:style>
  <w:style w:type="character" w:customStyle="1" w:styleId="WW-Absatz-Standardschriftart111">
    <w:name w:val="WW-Absatz-Standardschriftart111"/>
    <w:rsid w:val="00C17344"/>
  </w:style>
  <w:style w:type="character" w:customStyle="1" w:styleId="WW-Absatz-Standardschriftart1111">
    <w:name w:val="WW-Absatz-Standardschriftart1111"/>
    <w:rsid w:val="00C17344"/>
  </w:style>
  <w:style w:type="character" w:customStyle="1" w:styleId="WW-Absatz-Standardschriftart11111">
    <w:name w:val="WW-Absatz-Standardschriftart11111"/>
    <w:rsid w:val="00C17344"/>
  </w:style>
  <w:style w:type="character" w:customStyle="1" w:styleId="WW-Absatz-Standardschriftart111111">
    <w:name w:val="WW-Absatz-Standardschriftart111111"/>
    <w:rsid w:val="00C17344"/>
  </w:style>
  <w:style w:type="character" w:customStyle="1" w:styleId="WW-Absatz-Standardschriftart1111111">
    <w:name w:val="WW-Absatz-Standardschriftart1111111"/>
    <w:rsid w:val="00C17344"/>
  </w:style>
  <w:style w:type="character" w:customStyle="1" w:styleId="WW-Absatz-Standardschriftart11111111">
    <w:name w:val="WW-Absatz-Standardschriftart11111111"/>
    <w:rsid w:val="00C17344"/>
  </w:style>
  <w:style w:type="character" w:customStyle="1" w:styleId="WW-Absatz-Standardschriftart111111111">
    <w:name w:val="WW-Absatz-Standardschriftart111111111"/>
    <w:rsid w:val="00C17344"/>
  </w:style>
  <w:style w:type="character" w:customStyle="1" w:styleId="WW-Absatz-Standardschriftart1111111111">
    <w:name w:val="WW-Absatz-Standardschriftart1111111111"/>
    <w:rsid w:val="00C17344"/>
  </w:style>
  <w:style w:type="character" w:customStyle="1" w:styleId="WW-Absatz-Standardschriftart11111111111">
    <w:name w:val="WW-Absatz-Standardschriftart11111111111"/>
    <w:rsid w:val="00C17344"/>
  </w:style>
  <w:style w:type="character" w:customStyle="1" w:styleId="WW-Absatz-Standardschriftart111111111111">
    <w:name w:val="WW-Absatz-Standardschriftart111111111111"/>
    <w:rsid w:val="00C17344"/>
  </w:style>
  <w:style w:type="character" w:customStyle="1" w:styleId="WW-Absatz-Standardschriftart1111111111111">
    <w:name w:val="WW-Absatz-Standardschriftart1111111111111"/>
    <w:rsid w:val="00C17344"/>
  </w:style>
  <w:style w:type="character" w:customStyle="1" w:styleId="WW-Absatz-Standardschriftart11111111111111">
    <w:name w:val="WW-Absatz-Standardschriftart11111111111111"/>
    <w:rsid w:val="00C17344"/>
  </w:style>
  <w:style w:type="character" w:customStyle="1" w:styleId="WW-Absatz-Standardschriftart1111111111111111">
    <w:name w:val="WW-Absatz-Standardschriftart1111111111111111"/>
    <w:rsid w:val="00C17344"/>
  </w:style>
  <w:style w:type="character" w:customStyle="1" w:styleId="Policepardfaut">
    <w:name w:val="Police par défaut"/>
    <w:rsid w:val="00C17344"/>
  </w:style>
  <w:style w:type="character" w:customStyle="1" w:styleId="WW-Absatz-Standardschriftart11111111111111111">
    <w:name w:val="WW-Absatz-Standardschriftart11111111111111111"/>
    <w:rsid w:val="00C17344"/>
  </w:style>
  <w:style w:type="character" w:customStyle="1" w:styleId="WW-Absatz-Standardschriftart111111111111111111">
    <w:name w:val="WW-Absatz-Standardschriftart111111111111111111"/>
    <w:rsid w:val="00C17344"/>
  </w:style>
  <w:style w:type="character" w:customStyle="1" w:styleId="WW-Absatz-Standardschriftart1111111111111111111">
    <w:name w:val="WW-Absatz-Standardschriftart1111111111111111111"/>
    <w:rsid w:val="00C17344"/>
  </w:style>
  <w:style w:type="character" w:customStyle="1" w:styleId="WW8Num5z0">
    <w:name w:val="WW8Num5z0"/>
    <w:rsid w:val="00C17344"/>
    <w:rPr>
      <w:rFonts w:ascii="Symbol" w:hAnsi="Symbol"/>
    </w:rPr>
  </w:style>
  <w:style w:type="character" w:customStyle="1" w:styleId="WW8Num6z0">
    <w:name w:val="WW8Num6z0"/>
    <w:rsid w:val="00C17344"/>
    <w:rPr>
      <w:rFonts w:ascii="Symbol" w:hAnsi="Symbol"/>
    </w:rPr>
  </w:style>
  <w:style w:type="character" w:customStyle="1" w:styleId="WW8Num7z0">
    <w:name w:val="WW8Num7z0"/>
    <w:rsid w:val="00C17344"/>
    <w:rPr>
      <w:rFonts w:ascii="Symbol" w:hAnsi="Symbol"/>
    </w:rPr>
  </w:style>
  <w:style w:type="character" w:customStyle="1" w:styleId="WW8Num8z0">
    <w:name w:val="WW8Num8z0"/>
    <w:rsid w:val="00C17344"/>
    <w:rPr>
      <w:rFonts w:ascii="Symbol" w:hAnsi="Symbol"/>
    </w:rPr>
  </w:style>
  <w:style w:type="character" w:customStyle="1" w:styleId="WW8Num10z0">
    <w:name w:val="WW8Num10z0"/>
    <w:rsid w:val="00C17344"/>
    <w:rPr>
      <w:rFonts w:ascii="Symbol" w:hAnsi="Symbol"/>
    </w:rPr>
  </w:style>
  <w:style w:type="character" w:customStyle="1" w:styleId="WW8Num13z0">
    <w:name w:val="WW8Num13z0"/>
    <w:rsid w:val="00C17344"/>
    <w:rPr>
      <w:rFonts w:ascii="Verdana" w:hAnsi="Verdana"/>
      <w:b w:val="0"/>
      <w:i w:val="0"/>
      <w:color w:val="auto"/>
      <w:sz w:val="18"/>
    </w:rPr>
  </w:style>
  <w:style w:type="character" w:customStyle="1" w:styleId="WW8NumSt11z0">
    <w:name w:val="WW8NumSt11z0"/>
    <w:rsid w:val="00C17344"/>
    <w:rPr>
      <w:rFonts w:ascii="Symbol" w:hAnsi="Symbol"/>
    </w:rPr>
  </w:style>
  <w:style w:type="character" w:customStyle="1" w:styleId="MOSQuestionNameChar">
    <w:name w:val="MOSQuestionName Char"/>
    <w:basedOn w:val="MOS-NormalChar"/>
    <w:rsid w:val="00C17344"/>
    <w:rPr>
      <w:b/>
      <w:bCs/>
      <w:noProof w:val="0"/>
      <w:lang w:eastAsia="ar-SA" w:bidi="ar-SA"/>
    </w:rPr>
  </w:style>
  <w:style w:type="character" w:customStyle="1" w:styleId="MOSForActionCharChar">
    <w:name w:val="MOSForAction Char Char"/>
    <w:basedOn w:val="MOSQuestionNameChar"/>
    <w:rsid w:val="00C17344"/>
  </w:style>
  <w:style w:type="character" w:customStyle="1" w:styleId="MOSForInfoChar">
    <w:name w:val="MOSForInfo Char"/>
    <w:basedOn w:val="MOSQuestionNameChar"/>
    <w:rsid w:val="00C17344"/>
  </w:style>
  <w:style w:type="character" w:customStyle="1" w:styleId="Mos-NormalBoldChar">
    <w:name w:val="Mos-NormalBold Char"/>
    <w:basedOn w:val="MOS-NormalChar"/>
    <w:rsid w:val="00C17344"/>
    <w:rPr>
      <w:b/>
      <w:noProof w:val="0"/>
      <w:lang w:eastAsia="ar-SA" w:bidi="ar-SA"/>
    </w:rPr>
  </w:style>
  <w:style w:type="character" w:customStyle="1" w:styleId="Puces">
    <w:name w:val="Puces"/>
    <w:rsid w:val="00C17344"/>
    <w:rPr>
      <w:rFonts w:ascii="StarSymbol" w:eastAsia="StarSymbol" w:hAnsi="StarSymbol" w:cs="StarSymbol"/>
      <w:sz w:val="18"/>
      <w:szCs w:val="18"/>
    </w:rPr>
  </w:style>
  <w:style w:type="character" w:customStyle="1" w:styleId="Caractresdenumrotation">
    <w:name w:val="Caractères de numérotation"/>
    <w:rsid w:val="00C17344"/>
  </w:style>
  <w:style w:type="paragraph" w:customStyle="1" w:styleId="Titre">
    <w:name w:val="Titre"/>
    <w:basedOn w:val="Normal"/>
    <w:next w:val="BodyText"/>
    <w:rsid w:val="00C17344"/>
    <w:pPr>
      <w:keepNext/>
      <w:tabs>
        <w:tab w:val="clear" w:pos="794"/>
        <w:tab w:val="clear" w:pos="1191"/>
        <w:tab w:val="clear" w:pos="1588"/>
        <w:tab w:val="clear" w:pos="1985"/>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character" w:customStyle="1" w:styleId="BodyTextChar">
    <w:name w:val="Body Text Char"/>
    <w:basedOn w:val="DefaultParagraphFont"/>
    <w:link w:val="BodyText"/>
    <w:rsid w:val="00C17344"/>
    <w:rPr>
      <w:rFonts w:ascii="Times New Roman" w:hAnsi="Times New Roman"/>
      <w:bCs/>
      <w:sz w:val="22"/>
      <w:lang w:eastAsia="en-US"/>
    </w:rPr>
  </w:style>
  <w:style w:type="paragraph" w:styleId="List">
    <w:name w:val="List"/>
    <w:basedOn w:val="BodyText"/>
    <w:rsid w:val="00C17344"/>
    <w:pPr>
      <w:tabs>
        <w:tab w:val="clear" w:pos="794"/>
        <w:tab w:val="clear" w:pos="1191"/>
        <w:tab w:val="clear" w:pos="1588"/>
        <w:tab w:val="clear" w:pos="1985"/>
      </w:tabs>
      <w:suppressAutoHyphens/>
      <w:overflowPunct/>
      <w:autoSpaceDE/>
      <w:autoSpaceDN/>
      <w:adjustRightInd/>
      <w:spacing w:after="120"/>
      <w:jc w:val="left"/>
      <w:textAlignment w:val="auto"/>
    </w:pPr>
    <w:rPr>
      <w:rFonts w:ascii="Trebuchet MS" w:eastAsia="SimSun" w:hAnsi="Trebuchet MS" w:cs="Tahoma"/>
      <w:bCs w:val="0"/>
      <w:sz w:val="20"/>
      <w:lang w:eastAsia="ar-SA"/>
    </w:rPr>
  </w:style>
  <w:style w:type="paragraph" w:customStyle="1" w:styleId="Lgende">
    <w:name w:val="Légende"/>
    <w:basedOn w:val="Normal"/>
    <w:rsid w:val="00C17344"/>
    <w:pPr>
      <w:suppressLineNumbers/>
      <w:tabs>
        <w:tab w:val="clear" w:pos="794"/>
        <w:tab w:val="clear" w:pos="1191"/>
        <w:tab w:val="clear" w:pos="1588"/>
        <w:tab w:val="clear" w:pos="1985"/>
      </w:tabs>
      <w:suppressAutoHyphens/>
      <w:overflowPunct/>
      <w:autoSpaceDE/>
      <w:autoSpaceDN/>
      <w:adjustRightInd/>
      <w:spacing w:after="120"/>
      <w:jc w:val="left"/>
      <w:textAlignment w:val="auto"/>
    </w:pPr>
    <w:rPr>
      <w:rFonts w:ascii="Trebuchet MS" w:eastAsia="SimSun" w:hAnsi="Trebuchet MS" w:cs="Tahoma"/>
      <w:i/>
      <w:iCs/>
      <w:sz w:val="24"/>
      <w:szCs w:val="24"/>
      <w:lang w:val="en-US" w:eastAsia="ar-SA"/>
    </w:rPr>
  </w:style>
  <w:style w:type="paragraph" w:customStyle="1" w:styleId="Rpertoire">
    <w:name w:val="Répertoire"/>
    <w:basedOn w:val="Normal"/>
    <w:rsid w:val="00C17344"/>
    <w:pPr>
      <w:suppressLineNumbers/>
      <w:tabs>
        <w:tab w:val="clear" w:pos="794"/>
        <w:tab w:val="clear" w:pos="1191"/>
        <w:tab w:val="clear" w:pos="1588"/>
        <w:tab w:val="clear" w:pos="1985"/>
      </w:tabs>
      <w:suppressAutoHyphens/>
      <w:overflowPunct/>
      <w:autoSpaceDE/>
      <w:autoSpaceDN/>
      <w:adjustRightInd/>
      <w:spacing w:after="120"/>
      <w:jc w:val="left"/>
      <w:textAlignment w:val="auto"/>
    </w:pPr>
    <w:rPr>
      <w:rFonts w:ascii="Trebuchet MS" w:eastAsia="SimSun" w:hAnsi="Trebuchet MS" w:cs="Tahoma"/>
      <w:sz w:val="20"/>
      <w:lang w:val="en-US" w:eastAsia="ar-SA"/>
    </w:rPr>
  </w:style>
  <w:style w:type="paragraph" w:customStyle="1" w:styleId="Titre1">
    <w:name w:val="Titre1"/>
    <w:basedOn w:val="Normal"/>
    <w:next w:val="BodyText"/>
    <w:rsid w:val="00C17344"/>
    <w:pPr>
      <w:keepNext/>
      <w:tabs>
        <w:tab w:val="clear" w:pos="794"/>
        <w:tab w:val="clear" w:pos="1191"/>
        <w:tab w:val="clear" w:pos="1588"/>
        <w:tab w:val="clear" w:pos="1985"/>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Lgende1">
    <w:name w:val="Légende1"/>
    <w:basedOn w:val="Normal"/>
    <w:rsid w:val="00C17344"/>
    <w:pPr>
      <w:suppressLineNumbers/>
      <w:tabs>
        <w:tab w:val="clear" w:pos="794"/>
        <w:tab w:val="clear" w:pos="1191"/>
        <w:tab w:val="clear" w:pos="1588"/>
        <w:tab w:val="clear" w:pos="1985"/>
      </w:tabs>
      <w:suppressAutoHyphens/>
      <w:overflowPunct/>
      <w:autoSpaceDE/>
      <w:autoSpaceDN/>
      <w:adjustRightInd/>
      <w:spacing w:after="120"/>
      <w:jc w:val="left"/>
      <w:textAlignment w:val="auto"/>
    </w:pPr>
    <w:rPr>
      <w:rFonts w:ascii="Trebuchet MS" w:eastAsia="SimSun" w:hAnsi="Trebuchet MS" w:cs="Tahoma"/>
      <w:i/>
      <w:iCs/>
      <w:sz w:val="24"/>
      <w:szCs w:val="24"/>
      <w:lang w:val="en-US" w:eastAsia="ar-SA"/>
    </w:rPr>
  </w:style>
  <w:style w:type="paragraph" w:customStyle="1" w:styleId="MOS-SGHeader">
    <w:name w:val="MOS-SGHeader"/>
    <w:basedOn w:val="Normal"/>
    <w:rsid w:val="00C17344"/>
    <w:pPr>
      <w:tabs>
        <w:tab w:val="clear" w:pos="794"/>
        <w:tab w:val="clear" w:pos="1191"/>
        <w:tab w:val="clear" w:pos="1588"/>
        <w:tab w:val="clear" w:pos="1985"/>
      </w:tabs>
      <w:suppressAutoHyphens/>
      <w:overflowPunct/>
      <w:autoSpaceDE/>
      <w:autoSpaceDN/>
      <w:adjustRightInd/>
      <w:spacing w:before="360" w:after="48" w:line="240" w:lineRule="atLeast"/>
      <w:jc w:val="left"/>
      <w:textAlignment w:val="auto"/>
    </w:pPr>
    <w:rPr>
      <w:rFonts w:ascii="Verdana" w:eastAsia="SimSun" w:hAnsi="Verdana" w:cs="Times"/>
      <w:b/>
      <w:position w:val="26"/>
      <w:sz w:val="26"/>
      <w:szCs w:val="26"/>
      <w:lang w:val="en-US" w:eastAsia="ar-SA"/>
    </w:rPr>
  </w:style>
  <w:style w:type="paragraph" w:styleId="EnvelopeReturn">
    <w:name w:val="envelope return"/>
    <w:basedOn w:val="Normal"/>
    <w:rsid w:val="00C17344"/>
    <w:pPr>
      <w:tabs>
        <w:tab w:val="clear" w:pos="794"/>
        <w:tab w:val="clear" w:pos="1191"/>
        <w:tab w:val="clear" w:pos="1588"/>
        <w:tab w:val="clear" w:pos="1985"/>
      </w:tabs>
      <w:suppressAutoHyphens/>
      <w:overflowPunct/>
      <w:autoSpaceDE/>
      <w:autoSpaceDN/>
      <w:adjustRightInd/>
      <w:spacing w:after="120"/>
      <w:jc w:val="left"/>
      <w:textAlignment w:val="auto"/>
    </w:pPr>
    <w:rPr>
      <w:rFonts w:ascii="Verdana" w:eastAsia="SimSun" w:hAnsi="Verdana" w:cs="Arial"/>
      <w:sz w:val="20"/>
      <w:lang w:val="en-US" w:eastAsia="ar-SA"/>
    </w:rPr>
  </w:style>
  <w:style w:type="paragraph" w:customStyle="1" w:styleId="MOSSignature">
    <w:name w:val="MOSSignature"/>
    <w:basedOn w:val="Normal"/>
    <w:rsid w:val="00C17344"/>
    <w:pPr>
      <w:tabs>
        <w:tab w:val="clear" w:pos="794"/>
        <w:tab w:val="clear" w:pos="1191"/>
        <w:tab w:val="clear" w:pos="1588"/>
        <w:tab w:val="clear" w:pos="1985"/>
      </w:tabs>
      <w:suppressAutoHyphens/>
      <w:overflowPunct/>
      <w:autoSpaceDE/>
      <w:autoSpaceDN/>
      <w:adjustRightInd/>
      <w:spacing w:before="720"/>
      <w:jc w:val="left"/>
      <w:textAlignment w:val="auto"/>
    </w:pPr>
    <w:rPr>
      <w:rFonts w:ascii="Verdana" w:eastAsia="SimSun" w:hAnsi="Verdana"/>
      <w:sz w:val="18"/>
      <w:lang w:eastAsia="ar-SA"/>
    </w:rPr>
  </w:style>
  <w:style w:type="paragraph" w:customStyle="1" w:styleId="MOS-SignatureTitle">
    <w:name w:val="MOS-SignatureTitle"/>
    <w:basedOn w:val="MOSSignature"/>
    <w:rsid w:val="00C17344"/>
    <w:pPr>
      <w:spacing w:before="0"/>
    </w:pPr>
  </w:style>
  <w:style w:type="paragraph" w:customStyle="1" w:styleId="MOSFooter">
    <w:name w:val="MOSFooter"/>
    <w:basedOn w:val="Normal"/>
    <w:rsid w:val="00C17344"/>
    <w:pPr>
      <w:tabs>
        <w:tab w:val="clear" w:pos="794"/>
        <w:tab w:val="clear" w:pos="1191"/>
        <w:tab w:val="clear" w:pos="1588"/>
        <w:tab w:val="clear" w:pos="1985"/>
        <w:tab w:val="right" w:pos="9072"/>
      </w:tabs>
      <w:suppressAutoHyphens/>
      <w:overflowPunct/>
      <w:autoSpaceDE/>
      <w:autoSpaceDN/>
      <w:adjustRightInd/>
      <w:spacing w:before="0"/>
      <w:jc w:val="left"/>
      <w:textAlignment w:val="auto"/>
    </w:pPr>
    <w:rPr>
      <w:rFonts w:ascii="Verdana" w:eastAsia="SimSun" w:hAnsi="Verdana"/>
      <w:sz w:val="16"/>
      <w:lang w:eastAsia="ar-SA"/>
    </w:rPr>
  </w:style>
  <w:style w:type="paragraph" w:customStyle="1" w:styleId="MOSAnnex">
    <w:name w:val="MOSAnnex"/>
    <w:basedOn w:val="MOS-SignatureTitle"/>
    <w:rsid w:val="00C17344"/>
    <w:pPr>
      <w:spacing w:before="1000"/>
    </w:pPr>
  </w:style>
  <w:style w:type="paragraph" w:customStyle="1" w:styleId="MOSBureau">
    <w:name w:val="MOSBureau"/>
    <w:basedOn w:val="Normal"/>
    <w:rsid w:val="00C17344"/>
    <w:pPr>
      <w:tabs>
        <w:tab w:val="clear" w:pos="794"/>
        <w:tab w:val="clear" w:pos="1191"/>
        <w:tab w:val="clear" w:pos="1588"/>
        <w:tab w:val="clear" w:pos="1985"/>
        <w:tab w:val="right" w:pos="8732"/>
      </w:tabs>
      <w:suppressAutoHyphens/>
      <w:overflowPunct/>
      <w:autoSpaceDE/>
      <w:autoSpaceDN/>
      <w:adjustRightInd/>
      <w:jc w:val="left"/>
      <w:textAlignment w:val="auto"/>
    </w:pPr>
    <w:rPr>
      <w:rFonts w:ascii="Futura Lt BT" w:hAnsi="Futura Lt BT"/>
      <w:sz w:val="28"/>
      <w:lang w:val="en-US" w:eastAsia="he-IL" w:bidi="he-IL"/>
    </w:rPr>
  </w:style>
  <w:style w:type="paragraph" w:customStyle="1" w:styleId="MOSLetterHead-Contacts">
    <w:name w:val="MOSLetterHead-Contacts"/>
    <w:basedOn w:val="Normal"/>
    <w:next w:val="Normal"/>
    <w:rsid w:val="00C17344"/>
    <w:pPr>
      <w:tabs>
        <w:tab w:val="clear" w:pos="794"/>
        <w:tab w:val="clear" w:pos="1191"/>
        <w:tab w:val="clear" w:pos="1588"/>
        <w:tab w:val="clear" w:pos="1985"/>
        <w:tab w:val="left" w:pos="8364"/>
      </w:tabs>
      <w:suppressAutoHyphens/>
      <w:overflowPunct/>
      <w:autoSpaceDE/>
      <w:autoSpaceDN/>
      <w:adjustRightInd/>
      <w:snapToGrid w:val="0"/>
      <w:spacing w:before="20" w:after="20"/>
      <w:jc w:val="left"/>
      <w:textAlignment w:val="auto"/>
    </w:pPr>
    <w:rPr>
      <w:rFonts w:ascii="Futura Lt BT" w:eastAsia="SimSun" w:hAnsi="Futura Lt BT"/>
      <w:spacing w:val="20"/>
      <w:sz w:val="20"/>
      <w:lang w:val="de-DE" w:eastAsia="ar-SA"/>
    </w:rPr>
  </w:style>
  <w:style w:type="paragraph" w:customStyle="1" w:styleId="MOS-Date">
    <w:name w:val="MOS-Date"/>
    <w:basedOn w:val="Normal"/>
    <w:rsid w:val="00C17344"/>
    <w:pPr>
      <w:tabs>
        <w:tab w:val="clear" w:pos="794"/>
        <w:tab w:val="clear" w:pos="1191"/>
        <w:tab w:val="clear" w:pos="1588"/>
        <w:tab w:val="clear" w:pos="1985"/>
      </w:tabs>
      <w:suppressAutoHyphens/>
      <w:overflowPunct/>
      <w:autoSpaceDE/>
      <w:autoSpaceDN/>
      <w:adjustRightInd/>
      <w:spacing w:after="120"/>
      <w:ind w:left="34" w:right="317"/>
      <w:jc w:val="right"/>
      <w:textAlignment w:val="auto"/>
    </w:pPr>
    <w:rPr>
      <w:rFonts w:ascii="Verdana" w:eastAsia="SimSun" w:hAnsi="Verdana"/>
      <w:sz w:val="18"/>
      <w:lang w:eastAsia="ar-SA"/>
    </w:rPr>
  </w:style>
  <w:style w:type="paragraph" w:customStyle="1" w:styleId="MOSAPContacts">
    <w:name w:val="MOSAPContacts"/>
    <w:basedOn w:val="Normal"/>
    <w:rsid w:val="00C17344"/>
    <w:pPr>
      <w:tabs>
        <w:tab w:val="clear" w:pos="794"/>
        <w:tab w:val="clear" w:pos="1191"/>
        <w:tab w:val="clear" w:pos="1588"/>
        <w:tab w:val="clear" w:pos="1985"/>
      </w:tabs>
      <w:suppressAutoHyphens/>
      <w:overflowPunct/>
      <w:autoSpaceDE/>
      <w:autoSpaceDN/>
      <w:adjustRightInd/>
      <w:spacing w:before="0"/>
      <w:jc w:val="left"/>
      <w:textAlignment w:val="auto"/>
    </w:pPr>
    <w:rPr>
      <w:rFonts w:ascii="Verdana" w:eastAsia="SimSun" w:hAnsi="Verdana"/>
      <w:sz w:val="18"/>
      <w:lang w:eastAsia="ar-SA"/>
    </w:rPr>
  </w:style>
  <w:style w:type="paragraph" w:customStyle="1" w:styleId="MOSLetterHead-AddLine12">
    <w:name w:val="MOSLetterHead-AddLine1_2"/>
    <w:basedOn w:val="Normal"/>
    <w:rsid w:val="00C17344"/>
    <w:pPr>
      <w:tabs>
        <w:tab w:val="clear" w:pos="794"/>
        <w:tab w:val="clear" w:pos="1191"/>
        <w:tab w:val="clear" w:pos="1588"/>
        <w:tab w:val="clear" w:pos="1985"/>
      </w:tabs>
      <w:suppressAutoHyphens/>
      <w:overflowPunct/>
      <w:autoSpaceDE/>
      <w:autoSpaceDN/>
      <w:adjustRightInd/>
      <w:spacing w:before="0"/>
      <w:ind w:left="34" w:right="318"/>
      <w:jc w:val="left"/>
      <w:textAlignment w:val="auto"/>
    </w:pPr>
    <w:rPr>
      <w:rFonts w:ascii="Futura Lt BT" w:eastAsia="SimSun" w:hAnsi="Futura Lt BT"/>
      <w:b/>
      <w:sz w:val="18"/>
      <w:lang w:eastAsia="ar-SA"/>
    </w:rPr>
  </w:style>
  <w:style w:type="paragraph" w:customStyle="1" w:styleId="MOSLetterHead-AddLine3">
    <w:name w:val="MOSLetterHead-AddLine3"/>
    <w:basedOn w:val="Normal"/>
    <w:rsid w:val="00C17344"/>
    <w:pPr>
      <w:tabs>
        <w:tab w:val="clear" w:pos="794"/>
        <w:tab w:val="clear" w:pos="1191"/>
        <w:tab w:val="clear" w:pos="1588"/>
        <w:tab w:val="clear" w:pos="1985"/>
      </w:tabs>
      <w:suppressAutoHyphens/>
      <w:overflowPunct/>
      <w:autoSpaceDE/>
      <w:autoSpaceDN/>
      <w:adjustRightInd/>
      <w:spacing w:before="0" w:after="120"/>
      <w:ind w:left="34" w:right="318"/>
      <w:jc w:val="left"/>
      <w:textAlignment w:val="auto"/>
    </w:pPr>
    <w:rPr>
      <w:rFonts w:ascii="Futura Lt BT" w:eastAsia="SimSun" w:hAnsi="Futura Lt BT"/>
      <w:b/>
      <w:sz w:val="18"/>
      <w:lang w:eastAsia="ar-SA"/>
    </w:rPr>
  </w:style>
  <w:style w:type="paragraph" w:customStyle="1" w:styleId="MOSLetterHead-Addline12Right">
    <w:name w:val="MOSLetterHead-Addline1_2Right"/>
    <w:basedOn w:val="Normal"/>
    <w:rsid w:val="00C17344"/>
    <w:pPr>
      <w:tabs>
        <w:tab w:val="clear" w:pos="794"/>
        <w:tab w:val="clear" w:pos="1191"/>
        <w:tab w:val="clear" w:pos="1588"/>
        <w:tab w:val="clear" w:pos="1985"/>
      </w:tabs>
      <w:suppressAutoHyphens/>
      <w:overflowPunct/>
      <w:autoSpaceDE/>
      <w:autoSpaceDN/>
      <w:adjustRightInd/>
      <w:spacing w:before="0"/>
      <w:ind w:left="34"/>
      <w:jc w:val="right"/>
      <w:textAlignment w:val="auto"/>
    </w:pPr>
    <w:rPr>
      <w:rFonts w:ascii="Futura Lt BT" w:eastAsia="SimSun" w:hAnsi="Futura Lt BT"/>
      <w:b/>
      <w:sz w:val="18"/>
      <w:lang w:eastAsia="ar-SA"/>
    </w:rPr>
  </w:style>
  <w:style w:type="paragraph" w:customStyle="1" w:styleId="MOSLetterHead-AddLine3Right">
    <w:name w:val="MOSLetterHead-AddLine3Right"/>
    <w:basedOn w:val="MOSLetterHead-Addline12Right"/>
    <w:rsid w:val="00C17344"/>
  </w:style>
  <w:style w:type="paragraph" w:customStyle="1" w:styleId="MOSSectionBreauCircular">
    <w:name w:val="MOSSectionBreauCircular"/>
    <w:basedOn w:val="Normal"/>
    <w:rsid w:val="00C17344"/>
    <w:pPr>
      <w:tabs>
        <w:tab w:val="clear" w:pos="794"/>
        <w:tab w:val="clear" w:pos="1191"/>
        <w:tab w:val="clear" w:pos="1588"/>
        <w:tab w:val="clear" w:pos="1985"/>
      </w:tabs>
      <w:suppressAutoHyphens/>
      <w:overflowPunct/>
      <w:autoSpaceDE/>
      <w:autoSpaceDN/>
      <w:adjustRightInd/>
      <w:spacing w:before="0"/>
      <w:jc w:val="left"/>
      <w:textAlignment w:val="auto"/>
    </w:pPr>
    <w:rPr>
      <w:rFonts w:ascii="Trebuchet MS" w:eastAsia="SimSun" w:hAnsi="Trebuchet MS"/>
      <w:b/>
      <w:bCs/>
      <w:sz w:val="8"/>
      <w:szCs w:val="8"/>
      <w:lang w:eastAsia="ar-SA"/>
    </w:rPr>
  </w:style>
  <w:style w:type="paragraph" w:customStyle="1" w:styleId="MOSEmdashList">
    <w:name w:val="MOSEmdashList"/>
    <w:basedOn w:val="Normal"/>
    <w:rsid w:val="00C17344"/>
    <w:pPr>
      <w:tabs>
        <w:tab w:val="clear" w:pos="794"/>
        <w:tab w:val="clear" w:pos="1191"/>
        <w:tab w:val="clear" w:pos="1588"/>
        <w:tab w:val="clear" w:pos="1985"/>
        <w:tab w:val="left" w:pos="459"/>
      </w:tabs>
      <w:suppressAutoHyphens/>
      <w:overflowPunct/>
      <w:autoSpaceDE/>
      <w:autoSpaceDN/>
      <w:adjustRightInd/>
      <w:spacing w:before="0"/>
      <w:ind w:left="-1100"/>
      <w:jc w:val="left"/>
      <w:textAlignment w:val="auto"/>
    </w:pPr>
    <w:rPr>
      <w:rFonts w:ascii="Verdana" w:eastAsia="SimSun" w:hAnsi="Verdana"/>
      <w:sz w:val="20"/>
      <w:lang w:val="en-US" w:eastAsia="ar-SA"/>
    </w:rPr>
  </w:style>
  <w:style w:type="paragraph" w:customStyle="1" w:styleId="MOSPage">
    <w:name w:val="MOSPage"/>
    <w:basedOn w:val="MOSFooter"/>
    <w:rsid w:val="00C17344"/>
    <w:pPr>
      <w:jc w:val="right"/>
    </w:pPr>
    <w:rPr>
      <w:smallCaps/>
      <w:spacing w:val="24"/>
      <w:szCs w:val="18"/>
      <w:lang w:val="fr-CH"/>
    </w:rPr>
  </w:style>
  <w:style w:type="paragraph" w:customStyle="1" w:styleId="MOSSourceTitle">
    <w:name w:val="MOSSource_Title"/>
    <w:basedOn w:val="Normal"/>
    <w:rsid w:val="00C17344"/>
    <w:pPr>
      <w:tabs>
        <w:tab w:val="clear" w:pos="794"/>
        <w:tab w:val="clear" w:pos="1191"/>
        <w:tab w:val="clear" w:pos="1588"/>
        <w:tab w:val="clear" w:pos="1985"/>
      </w:tabs>
      <w:suppressAutoHyphens/>
      <w:overflowPunct/>
      <w:autoSpaceDE/>
      <w:autoSpaceDN/>
      <w:adjustRightInd/>
      <w:spacing w:before="60" w:after="60"/>
      <w:jc w:val="left"/>
      <w:textAlignment w:val="auto"/>
    </w:pPr>
    <w:rPr>
      <w:rFonts w:ascii="Verdana" w:eastAsia="SimSun" w:hAnsi="Verdana"/>
      <w:b/>
      <w:bCs/>
      <w:sz w:val="18"/>
      <w:lang w:eastAsia="ar-SA"/>
    </w:rPr>
  </w:style>
  <w:style w:type="paragraph" w:customStyle="1" w:styleId="MOSQuestionName">
    <w:name w:val="MOSQuestionName"/>
    <w:basedOn w:val="MOS-Normal"/>
    <w:rsid w:val="00C17344"/>
    <w:pPr>
      <w:suppressAutoHyphens/>
    </w:pPr>
    <w:rPr>
      <w:b/>
      <w:bCs/>
      <w:lang w:eastAsia="ar-SA"/>
    </w:rPr>
  </w:style>
  <w:style w:type="paragraph" w:customStyle="1" w:styleId="MOSMeetingName">
    <w:name w:val="MOSMeetingName"/>
    <w:basedOn w:val="Normal"/>
    <w:rsid w:val="00C17344"/>
    <w:pPr>
      <w:tabs>
        <w:tab w:val="clear" w:pos="794"/>
        <w:tab w:val="clear" w:pos="1191"/>
        <w:tab w:val="clear" w:pos="1588"/>
        <w:tab w:val="clear" w:pos="1985"/>
        <w:tab w:val="left" w:pos="851"/>
      </w:tabs>
      <w:suppressAutoHyphens/>
      <w:overflowPunct/>
      <w:autoSpaceDE/>
      <w:autoSpaceDN/>
      <w:adjustRightInd/>
      <w:spacing w:after="120" w:line="240" w:lineRule="atLeast"/>
      <w:jc w:val="left"/>
      <w:textAlignment w:val="auto"/>
    </w:pPr>
    <w:rPr>
      <w:rFonts w:ascii="Verdana" w:eastAsia="SimSun" w:hAnsi="Verdana"/>
      <w:b/>
      <w:sz w:val="20"/>
      <w:lang w:val="en-US" w:eastAsia="ar-SA"/>
    </w:rPr>
  </w:style>
  <w:style w:type="paragraph" w:customStyle="1" w:styleId="MOSDocInfo">
    <w:name w:val="MOSDocInfo"/>
    <w:basedOn w:val="Normal"/>
    <w:rsid w:val="00C17344"/>
    <w:pPr>
      <w:tabs>
        <w:tab w:val="clear" w:pos="794"/>
        <w:tab w:val="clear" w:pos="1191"/>
        <w:tab w:val="clear" w:pos="1588"/>
        <w:tab w:val="clear" w:pos="1985"/>
        <w:tab w:val="left" w:pos="851"/>
      </w:tabs>
      <w:suppressAutoHyphens/>
      <w:overflowPunct/>
      <w:autoSpaceDE/>
      <w:autoSpaceDN/>
      <w:adjustRightInd/>
      <w:spacing w:before="0" w:line="240" w:lineRule="atLeast"/>
      <w:ind w:left="97"/>
      <w:jc w:val="left"/>
      <w:textAlignment w:val="auto"/>
    </w:pPr>
    <w:rPr>
      <w:rFonts w:ascii="Verdana" w:eastAsia="SimSun" w:hAnsi="Verdana"/>
      <w:b/>
      <w:sz w:val="20"/>
      <w:lang w:eastAsia="ar-SA"/>
    </w:rPr>
  </w:style>
  <w:style w:type="paragraph" w:customStyle="1" w:styleId="MOSTableDocs">
    <w:name w:val="MOSTableDocs"/>
    <w:basedOn w:val="Normal"/>
    <w:rsid w:val="00C17344"/>
    <w:pPr>
      <w:tabs>
        <w:tab w:val="clear" w:pos="794"/>
        <w:tab w:val="clear" w:pos="1191"/>
        <w:tab w:val="clear" w:pos="1588"/>
        <w:tab w:val="clear" w:pos="1985"/>
      </w:tabs>
      <w:suppressAutoHyphens/>
      <w:overflowPunct/>
      <w:autoSpaceDE/>
      <w:autoSpaceDN/>
      <w:adjustRightInd/>
      <w:spacing w:after="120"/>
      <w:jc w:val="center"/>
      <w:textAlignment w:val="auto"/>
    </w:pPr>
    <w:rPr>
      <w:rFonts w:ascii="Verdana" w:eastAsia="SimSun" w:hAnsi="Verdana"/>
      <w:b/>
      <w:bCs/>
      <w:sz w:val="18"/>
      <w:lang w:eastAsia="ar-SA"/>
    </w:rPr>
  </w:style>
  <w:style w:type="paragraph" w:customStyle="1" w:styleId="MOS-SGFooterAdd">
    <w:name w:val="MOS-SGFooterAdd"/>
    <w:basedOn w:val="Footer"/>
    <w:rsid w:val="00C17344"/>
    <w:pPr>
      <w:tabs>
        <w:tab w:val="clear" w:pos="5954"/>
        <w:tab w:val="clear" w:pos="9639"/>
        <w:tab w:val="center" w:pos="4320"/>
        <w:tab w:val="right" w:pos="8640"/>
      </w:tabs>
      <w:suppressAutoHyphens/>
      <w:overflowPunct/>
      <w:autoSpaceDE/>
      <w:autoSpaceDN/>
      <w:adjustRightInd/>
      <w:spacing w:before="120"/>
      <w:jc w:val="center"/>
      <w:textAlignment w:val="auto"/>
    </w:pPr>
    <w:rPr>
      <w:rFonts w:ascii="Zurich Ex BT" w:eastAsia="SimSun" w:hAnsi="Zurich Ex BT" w:cs="Univers Extended"/>
      <w:caps w:val="0"/>
      <w:noProof w:val="0"/>
      <w:szCs w:val="16"/>
      <w:lang w:val="fr-CH" w:eastAsia="ar-SA"/>
    </w:rPr>
  </w:style>
  <w:style w:type="paragraph" w:customStyle="1" w:styleId="MOSNormalCentered">
    <w:name w:val="MOSNormalCentered"/>
    <w:basedOn w:val="MOS-Normal"/>
    <w:rsid w:val="00C17344"/>
    <w:pPr>
      <w:suppressAutoHyphens/>
      <w:jc w:val="center"/>
    </w:pPr>
    <w:rPr>
      <w:lang w:eastAsia="ar-SA"/>
    </w:rPr>
  </w:style>
  <w:style w:type="paragraph" w:customStyle="1" w:styleId="MOSFooterAddress">
    <w:name w:val="MOSFooterAddress"/>
    <w:basedOn w:val="Footer"/>
    <w:rsid w:val="00C17344"/>
    <w:pPr>
      <w:tabs>
        <w:tab w:val="clear" w:pos="5954"/>
        <w:tab w:val="clear" w:pos="9639"/>
        <w:tab w:val="center" w:pos="4320"/>
        <w:tab w:val="right" w:pos="8640"/>
      </w:tabs>
      <w:suppressAutoHyphens/>
      <w:overflowPunct/>
      <w:autoSpaceDE/>
      <w:autoSpaceDN/>
      <w:adjustRightInd/>
      <w:spacing w:before="120"/>
      <w:jc w:val="center"/>
      <w:textAlignment w:val="auto"/>
    </w:pPr>
    <w:rPr>
      <w:rFonts w:ascii="Zurich Ex BT" w:eastAsia="SimSun" w:hAnsi="Zurich Ex BT" w:cs="Wingdings"/>
      <w:bCs/>
      <w:caps w:val="0"/>
      <w:noProof w:val="0"/>
      <w:spacing w:val="22"/>
      <w:sz w:val="14"/>
      <w:szCs w:val="14"/>
      <w:lang w:val="fr-CH" w:eastAsia="ar-SA"/>
    </w:rPr>
  </w:style>
  <w:style w:type="paragraph" w:customStyle="1" w:styleId="MOS-TickBox">
    <w:name w:val="MOS-TickBox"/>
    <w:basedOn w:val="MOSQuestionName"/>
    <w:rsid w:val="00C17344"/>
    <w:pPr>
      <w:spacing w:before="40"/>
      <w:ind w:left="51" w:right="851"/>
      <w:jc w:val="right"/>
    </w:pPr>
    <w:rPr>
      <w:bCs w:val="0"/>
      <w:iCs/>
      <w:sz w:val="16"/>
      <w:szCs w:val="16"/>
    </w:rPr>
  </w:style>
  <w:style w:type="paragraph" w:customStyle="1" w:styleId="MOSForAction">
    <w:name w:val="MOSForAction"/>
    <w:basedOn w:val="MOSQuestionName"/>
    <w:rsid w:val="00C17344"/>
    <w:pPr>
      <w:tabs>
        <w:tab w:val="right" w:pos="2596"/>
        <w:tab w:val="right" w:pos="3736"/>
      </w:tabs>
      <w:spacing w:before="200"/>
      <w:ind w:left="193" w:right="142"/>
    </w:pPr>
  </w:style>
  <w:style w:type="paragraph" w:customStyle="1" w:styleId="MOSForInfo">
    <w:name w:val="MOSForInfo"/>
    <w:basedOn w:val="MOSQuestionName"/>
    <w:rsid w:val="00C17344"/>
    <w:pPr>
      <w:tabs>
        <w:tab w:val="right" w:pos="2596"/>
        <w:tab w:val="right" w:pos="3877"/>
      </w:tabs>
      <w:spacing w:after="0"/>
      <w:ind w:left="193"/>
    </w:pPr>
  </w:style>
  <w:style w:type="paragraph" w:customStyle="1" w:styleId="Mos-NormalBold">
    <w:name w:val="Mos-NormalBold"/>
    <w:basedOn w:val="MOS-Normal"/>
    <w:rsid w:val="00C17344"/>
    <w:pPr>
      <w:tabs>
        <w:tab w:val="left" w:pos="3660"/>
        <w:tab w:val="left" w:pos="4253"/>
        <w:tab w:val="left" w:pos="5529"/>
      </w:tabs>
      <w:suppressAutoHyphens/>
      <w:snapToGrid w:val="0"/>
    </w:pPr>
    <w:rPr>
      <w:b/>
      <w:lang w:eastAsia="ar-SA"/>
    </w:rPr>
  </w:style>
  <w:style w:type="paragraph" w:customStyle="1" w:styleId="MOSAbstract">
    <w:name w:val="MOSAbstract"/>
    <w:basedOn w:val="Mos-NormalBold"/>
    <w:rsid w:val="00C17344"/>
    <w:pPr>
      <w:jc w:val="center"/>
    </w:pPr>
    <w:rPr>
      <w:sz w:val="22"/>
      <w:szCs w:val="22"/>
    </w:rPr>
  </w:style>
  <w:style w:type="paragraph" w:customStyle="1" w:styleId="MOSAbstractNoteStartDoc">
    <w:name w:val="MOSAbstractNote_StartDoc"/>
    <w:basedOn w:val="MOSFooterAddress"/>
    <w:rsid w:val="00C17344"/>
    <w:pPr>
      <w:spacing w:before="0"/>
    </w:pPr>
    <w:rPr>
      <w:rFonts w:ascii="Arial" w:hAnsi="Arial" w:cs="Arial"/>
      <w:sz w:val="16"/>
      <w:szCs w:val="16"/>
    </w:rPr>
  </w:style>
  <w:style w:type="paragraph" w:customStyle="1" w:styleId="MOSAbstractText">
    <w:name w:val="MOSAbstractText"/>
    <w:basedOn w:val="MOS-Normal"/>
    <w:rsid w:val="00C17344"/>
    <w:pPr>
      <w:suppressAutoHyphens/>
      <w:ind w:left="142" w:right="284"/>
    </w:pPr>
    <w:rPr>
      <w:lang w:eastAsia="ar-SA"/>
    </w:rPr>
  </w:style>
  <w:style w:type="paragraph" w:customStyle="1" w:styleId="MOS-BoxText">
    <w:name w:val="MOS-BoxText"/>
    <w:basedOn w:val="MOS-Normal"/>
    <w:rsid w:val="00C17344"/>
    <w:pPr>
      <w:suppressAutoHyphens/>
      <w:spacing w:before="0" w:after="0"/>
      <w:jc w:val="center"/>
    </w:pPr>
    <w:rPr>
      <w:lang w:eastAsia="ar-SA"/>
    </w:rPr>
  </w:style>
  <w:style w:type="paragraph" w:customStyle="1" w:styleId="MOS-SquareBox">
    <w:name w:val="MOS-SquareBox"/>
    <w:basedOn w:val="Normal"/>
    <w:rsid w:val="00C17344"/>
    <w:pPr>
      <w:tabs>
        <w:tab w:val="clear" w:pos="794"/>
        <w:tab w:val="clear" w:pos="1191"/>
        <w:tab w:val="clear" w:pos="1588"/>
        <w:tab w:val="clear" w:pos="1985"/>
      </w:tabs>
      <w:suppressAutoHyphens/>
      <w:overflowPunct/>
      <w:autoSpaceDE/>
      <w:autoSpaceDN/>
      <w:adjustRightInd/>
      <w:spacing w:before="0"/>
      <w:jc w:val="left"/>
      <w:textAlignment w:val="auto"/>
    </w:pPr>
    <w:rPr>
      <w:rFonts w:ascii="Verdana" w:eastAsia="SimSun" w:hAnsi="Verdana" w:cs="Traditional Arabic"/>
      <w:sz w:val="18"/>
      <w:szCs w:val="28"/>
      <w:lang w:eastAsia="ar-SA"/>
    </w:rPr>
  </w:style>
  <w:style w:type="paragraph" w:customStyle="1" w:styleId="Contenudetableau">
    <w:name w:val="Contenu de tableau"/>
    <w:basedOn w:val="Normal"/>
    <w:rsid w:val="00C17344"/>
    <w:pPr>
      <w:suppressLineNumbers/>
      <w:suppressAutoHyphens/>
      <w:autoSpaceDN/>
      <w:adjustRightInd/>
      <w:jc w:val="left"/>
    </w:pPr>
    <w:rPr>
      <w:rFonts w:cs="CG Times"/>
      <w:sz w:val="24"/>
      <w:lang w:val="fr-FR" w:eastAsia="ar-SA"/>
    </w:rPr>
  </w:style>
  <w:style w:type="paragraph" w:customStyle="1" w:styleId="Contenuducadre">
    <w:name w:val="Contenu du cadre"/>
    <w:basedOn w:val="BodyText"/>
    <w:rsid w:val="00C17344"/>
    <w:pPr>
      <w:tabs>
        <w:tab w:val="clear" w:pos="794"/>
        <w:tab w:val="clear" w:pos="1191"/>
        <w:tab w:val="clear" w:pos="1588"/>
        <w:tab w:val="clear" w:pos="1985"/>
      </w:tabs>
      <w:suppressAutoHyphens/>
      <w:overflowPunct/>
      <w:autoSpaceDE/>
      <w:autoSpaceDN/>
      <w:adjustRightInd/>
      <w:spacing w:after="120"/>
      <w:jc w:val="left"/>
      <w:textAlignment w:val="auto"/>
    </w:pPr>
    <w:rPr>
      <w:rFonts w:ascii="Trebuchet MS" w:eastAsia="SimSun" w:hAnsi="Trebuchet MS"/>
      <w:bCs w:val="0"/>
      <w:sz w:val="20"/>
      <w:lang w:eastAsia="ar-SA"/>
    </w:rPr>
  </w:style>
  <w:style w:type="paragraph" w:customStyle="1" w:styleId="Titredetableau">
    <w:name w:val="Titre de tableau"/>
    <w:basedOn w:val="Contenudetableau"/>
    <w:rsid w:val="00C17344"/>
    <w:pPr>
      <w:jc w:val="center"/>
    </w:pPr>
    <w:rPr>
      <w:b/>
      <w:bCs/>
    </w:rPr>
  </w:style>
  <w:style w:type="character" w:customStyle="1" w:styleId="CommentTextChar">
    <w:name w:val="Comment Text Char"/>
    <w:basedOn w:val="DefaultParagraphFont"/>
    <w:link w:val="CommentText"/>
    <w:rsid w:val="00C17344"/>
    <w:rPr>
      <w:rFonts w:ascii="Times New Roman" w:hAnsi="Times New Roman"/>
      <w:lang w:val="en-GB" w:eastAsia="en-US"/>
    </w:rPr>
  </w:style>
  <w:style w:type="character" w:customStyle="1" w:styleId="CommentSubjectChar">
    <w:name w:val="Comment Subject Char"/>
    <w:basedOn w:val="CommentTextChar"/>
    <w:link w:val="CommentSubject"/>
    <w:rsid w:val="00C17344"/>
    <w:rPr>
      <w:b/>
      <w:bCs/>
    </w:rPr>
  </w:style>
  <w:style w:type="character" w:customStyle="1" w:styleId="CEODocTitle-1lineChar">
    <w:name w:val="CEO_DocTitle-1line Char"/>
    <w:basedOn w:val="DefaultParagraphFont"/>
    <w:link w:val="CEODocTitle-1line"/>
    <w:rsid w:val="00C17344"/>
    <w:rPr>
      <w:rFonts w:ascii="Verdana" w:eastAsia="SimHei" w:hAnsi="Verdana" w:cs="Simplified Arabic"/>
      <w:b/>
      <w:bCs/>
      <w:sz w:val="28"/>
      <w:szCs w:val="28"/>
      <w:lang w:eastAsia="en-US"/>
    </w:rPr>
  </w:style>
  <w:style w:type="character" w:customStyle="1" w:styleId="CEODocTitle2lines-FirstChar">
    <w:name w:val="CEO_DocTitle2lines-First Char"/>
    <w:basedOn w:val="CEODocTitle-1lineChar"/>
    <w:link w:val="CEODocTitle2lines-First"/>
    <w:rsid w:val="00C17344"/>
    <w:rPr>
      <w:b/>
      <w:bCs/>
    </w:rPr>
  </w:style>
  <w:style w:type="character" w:customStyle="1" w:styleId="StyleLienhypertextesuivi">
    <w:name w:val="Style Lien hypertexte suivi"/>
    <w:basedOn w:val="FollowedHyperlink"/>
    <w:rsid w:val="00C17344"/>
    <w:rPr>
      <w:rFonts w:ascii="Arial" w:hAnsi="Arial" w:cs="Arial"/>
      <w:noProof w:val="0"/>
      <w:sz w:val="20"/>
      <w:szCs w:val="20"/>
      <w:lang w:val="en-GB"/>
    </w:rPr>
  </w:style>
  <w:style w:type="character" w:styleId="HTMLCite">
    <w:name w:val="HTML Cite"/>
    <w:basedOn w:val="DefaultParagraphFont"/>
    <w:rsid w:val="00C17344"/>
    <w:rPr>
      <w:rFonts w:ascii="Trebuchet MS" w:hAnsi="Trebuchet MS" w:cs="Times New Roman"/>
      <w:i/>
      <w:iCs/>
      <w:noProof w:val="0"/>
      <w:lang w:val="en-GB"/>
    </w:rPr>
  </w:style>
  <w:style w:type="paragraph" w:customStyle="1" w:styleId="ECA">
    <w:name w:val="ECA"/>
    <w:basedOn w:val="Normal"/>
    <w:rsid w:val="00C17344"/>
    <w:pPr>
      <w:tabs>
        <w:tab w:val="clear" w:pos="794"/>
        <w:tab w:val="clear" w:pos="1191"/>
        <w:tab w:val="clear" w:pos="1588"/>
        <w:tab w:val="clear" w:pos="1985"/>
        <w:tab w:val="left" w:pos="1113"/>
        <w:tab w:val="left" w:pos="3381"/>
        <w:tab w:val="left" w:pos="5701"/>
        <w:tab w:val="left" w:pos="8167"/>
        <w:tab w:val="left" w:pos="9618"/>
      </w:tabs>
      <w:suppressAutoHyphens/>
      <w:overflowPunct/>
      <w:autoSpaceDE/>
      <w:autoSpaceDN/>
      <w:adjustRightInd/>
      <w:spacing w:before="60" w:after="40"/>
      <w:ind w:left="-23"/>
      <w:jc w:val="left"/>
      <w:textAlignment w:val="auto"/>
    </w:pPr>
    <w:rPr>
      <w:rFonts w:ascii="Arial" w:hAnsi="Arial"/>
      <w:spacing w:val="-2"/>
      <w:sz w:val="20"/>
      <w:lang w:val="en-US"/>
    </w:rPr>
  </w:style>
  <w:style w:type="character" w:customStyle="1" w:styleId="Freq">
    <w:name w:val="Freq"/>
    <w:basedOn w:val="DefaultParagraphFont"/>
    <w:rsid w:val="00C17344"/>
    <w:rPr>
      <w:rFonts w:ascii="Trebuchet MS" w:hAnsi="Trebuchet MS"/>
      <w:noProof w:val="0"/>
      <w:sz w:val="24"/>
      <w:lang w:val="en-GB"/>
    </w:rPr>
  </w:style>
  <w:style w:type="paragraph" w:customStyle="1" w:styleId="CEORevision2">
    <w:name w:val="CEO_Revision2"/>
    <w:basedOn w:val="CEONormal"/>
    <w:next w:val="Normal"/>
    <w:rsid w:val="00C17344"/>
    <w:rPr>
      <w:sz w:val="16"/>
      <w:szCs w:val="16"/>
      <w:lang w:val="es-ES"/>
    </w:rPr>
  </w:style>
  <w:style w:type="paragraph" w:styleId="Index7">
    <w:name w:val="index 7"/>
    <w:basedOn w:val="Normal"/>
    <w:next w:val="Normal"/>
    <w:rsid w:val="00CA4D1F"/>
    <w:pPr>
      <w:ind w:left="1698"/>
      <w:jc w:val="left"/>
    </w:pPr>
  </w:style>
  <w:style w:type="paragraph" w:styleId="Index6">
    <w:name w:val="index 6"/>
    <w:basedOn w:val="Normal"/>
    <w:next w:val="Normal"/>
    <w:rsid w:val="00CA4D1F"/>
    <w:pPr>
      <w:ind w:left="1415"/>
      <w:jc w:val="left"/>
    </w:pPr>
  </w:style>
  <w:style w:type="paragraph" w:styleId="Index5">
    <w:name w:val="index 5"/>
    <w:basedOn w:val="Normal"/>
    <w:next w:val="Normal"/>
    <w:rsid w:val="00CA4D1F"/>
    <w:pPr>
      <w:ind w:left="1132"/>
      <w:jc w:val="left"/>
    </w:pPr>
  </w:style>
  <w:style w:type="paragraph" w:styleId="Index4">
    <w:name w:val="index 4"/>
    <w:basedOn w:val="Normal"/>
    <w:next w:val="Normal"/>
    <w:rsid w:val="00CA4D1F"/>
    <w:pPr>
      <w:ind w:left="849"/>
      <w:jc w:val="left"/>
    </w:pPr>
  </w:style>
  <w:style w:type="character" w:styleId="LineNumber">
    <w:name w:val="line number"/>
    <w:basedOn w:val="DefaultParagraphFont"/>
    <w:rsid w:val="00CA4D1F"/>
  </w:style>
  <w:style w:type="paragraph" w:styleId="IndexHeading">
    <w:name w:val="index heading"/>
    <w:basedOn w:val="Normal"/>
    <w:next w:val="Index1"/>
    <w:rsid w:val="00CA4D1F"/>
    <w:pPr>
      <w:jc w:val="left"/>
    </w:pPr>
  </w:style>
  <w:style w:type="paragraph" w:styleId="NormalIndent">
    <w:name w:val="Normal Indent"/>
    <w:basedOn w:val="Normal"/>
    <w:rsid w:val="00CA4D1F"/>
    <w:pPr>
      <w:ind w:left="794"/>
      <w:jc w:val="left"/>
    </w:pPr>
  </w:style>
  <w:style w:type="paragraph" w:customStyle="1" w:styleId="Head">
    <w:name w:val="Head"/>
    <w:basedOn w:val="Normal"/>
    <w:rsid w:val="00CA4D1F"/>
    <w:pPr>
      <w:tabs>
        <w:tab w:val="left" w:pos="6663"/>
      </w:tabs>
      <w:overflowPunct/>
      <w:autoSpaceDE/>
      <w:autoSpaceDN/>
      <w:adjustRightInd/>
      <w:spacing w:before="0"/>
      <w:jc w:val="left"/>
      <w:textAlignment w:val="auto"/>
    </w:pPr>
  </w:style>
  <w:style w:type="paragraph" w:customStyle="1" w:styleId="Part">
    <w:name w:val="Part"/>
    <w:basedOn w:val="Normal"/>
    <w:rsid w:val="00CA4D1F"/>
    <w:pPr>
      <w:tabs>
        <w:tab w:val="clear" w:pos="794"/>
        <w:tab w:val="clear" w:pos="1191"/>
        <w:tab w:val="clear" w:pos="1588"/>
        <w:tab w:val="clear" w:pos="1985"/>
        <w:tab w:val="left" w:pos="1276"/>
        <w:tab w:val="left" w:pos="1701"/>
      </w:tabs>
      <w:spacing w:before="199"/>
      <w:ind w:left="1701" w:hanging="1701"/>
      <w:jc w:val="left"/>
    </w:pPr>
    <w:rPr>
      <w:caps/>
    </w:rPr>
  </w:style>
  <w:style w:type="paragraph" w:customStyle="1" w:styleId="docnoted">
    <w:name w:val="docnoted"/>
    <w:basedOn w:val="Normal"/>
    <w:next w:val="Head"/>
    <w:rsid w:val="00CA4D1F"/>
    <w:pPr>
      <w:pBdr>
        <w:top w:val="single" w:sz="6" w:space="0" w:color="auto"/>
        <w:left w:val="single" w:sz="6" w:space="0" w:color="auto"/>
        <w:bottom w:val="single" w:sz="6" w:space="0" w:color="auto"/>
        <w:right w:val="single" w:sz="6" w:space="0" w:color="auto"/>
      </w:pBdr>
      <w:shd w:val="pct10" w:color="auto" w:fill="auto"/>
      <w:ind w:right="91"/>
      <w:jc w:val="left"/>
    </w:pPr>
    <w:rPr>
      <w:sz w:val="20"/>
    </w:rPr>
  </w:style>
  <w:style w:type="paragraph" w:customStyle="1" w:styleId="meeting">
    <w:name w:val="meeting"/>
    <w:basedOn w:val="Head"/>
    <w:next w:val="Head"/>
    <w:rsid w:val="00CA4D1F"/>
    <w:pPr>
      <w:tabs>
        <w:tab w:val="left" w:pos="7371"/>
      </w:tabs>
      <w:spacing w:after="567"/>
    </w:pPr>
  </w:style>
  <w:style w:type="paragraph" w:customStyle="1" w:styleId="Subject">
    <w:name w:val="Subject"/>
    <w:basedOn w:val="Normal"/>
    <w:next w:val="Source"/>
    <w:rsid w:val="00CA4D1F"/>
    <w:pPr>
      <w:tabs>
        <w:tab w:val="clear" w:pos="794"/>
        <w:tab w:val="clear" w:pos="1191"/>
        <w:tab w:val="clear" w:pos="1588"/>
        <w:tab w:val="clear" w:pos="1985"/>
        <w:tab w:val="left" w:pos="1134"/>
      </w:tabs>
      <w:spacing w:before="0"/>
      <w:ind w:left="1134" w:hanging="1134"/>
      <w:jc w:val="left"/>
    </w:pPr>
  </w:style>
  <w:style w:type="paragraph" w:customStyle="1" w:styleId="Object">
    <w:name w:val="Object"/>
    <w:basedOn w:val="Subject"/>
    <w:next w:val="Subject"/>
    <w:rsid w:val="00CA4D1F"/>
  </w:style>
  <w:style w:type="paragraph" w:customStyle="1" w:styleId="Data">
    <w:name w:val="Data"/>
    <w:basedOn w:val="Subject"/>
    <w:next w:val="Subject"/>
    <w:rsid w:val="00CA4D1F"/>
  </w:style>
  <w:style w:type="paragraph" w:customStyle="1" w:styleId="Reasons">
    <w:name w:val="Reasons"/>
    <w:basedOn w:val="Normal"/>
    <w:rsid w:val="00CA4D1F"/>
    <w:pPr>
      <w:tabs>
        <w:tab w:val="clear" w:pos="794"/>
        <w:tab w:val="clear" w:pos="1191"/>
        <w:tab w:val="clear" w:pos="1588"/>
        <w:tab w:val="clear" w:pos="1985"/>
        <w:tab w:val="left" w:pos="567"/>
        <w:tab w:val="left" w:pos="1134"/>
        <w:tab w:val="left" w:pos="1701"/>
        <w:tab w:val="left" w:pos="2268"/>
        <w:tab w:val="left" w:pos="2835"/>
      </w:tabs>
      <w:jc w:val="left"/>
    </w:pPr>
  </w:style>
  <w:style w:type="paragraph" w:customStyle="1" w:styleId="dnum">
    <w:name w:val="dnum"/>
    <w:basedOn w:val="Normal"/>
    <w:rsid w:val="00CA4D1F"/>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jc w:val="left"/>
    </w:pPr>
    <w:rPr>
      <w:b/>
      <w:bCs/>
    </w:rPr>
  </w:style>
  <w:style w:type="paragraph" w:customStyle="1" w:styleId="ddate">
    <w:name w:val="ddate"/>
    <w:basedOn w:val="Normal"/>
    <w:rsid w:val="00CA4D1F"/>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jc w:val="left"/>
    </w:pPr>
    <w:rPr>
      <w:b/>
      <w:bCs/>
    </w:rPr>
  </w:style>
  <w:style w:type="paragraph" w:customStyle="1" w:styleId="dorlang">
    <w:name w:val="dorlang"/>
    <w:basedOn w:val="Normal"/>
    <w:rsid w:val="00CA4D1F"/>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jc w:val="left"/>
    </w:pPr>
    <w:rPr>
      <w:b/>
      <w:bCs/>
    </w:rPr>
  </w:style>
  <w:style w:type="paragraph" w:customStyle="1" w:styleId="Table">
    <w:name w:val="Table_#"/>
    <w:basedOn w:val="Normal"/>
    <w:next w:val="Tabletitle"/>
    <w:rsid w:val="00CA4D1F"/>
    <w:pPr>
      <w:keepNext/>
      <w:overflowPunct/>
      <w:autoSpaceDE/>
      <w:autoSpaceDN/>
      <w:adjustRightInd/>
      <w:spacing w:before="560" w:after="120"/>
      <w:jc w:val="center"/>
      <w:textAlignment w:val="auto"/>
    </w:pPr>
    <w:rPr>
      <w:caps/>
    </w:rPr>
  </w:style>
  <w:style w:type="paragraph" w:customStyle="1" w:styleId="AnnexNo">
    <w:name w:val="Annex_No"/>
    <w:basedOn w:val="Normal"/>
    <w:next w:val="Annextitle"/>
    <w:rsid w:val="00CA4D1F"/>
    <w:pPr>
      <w:keepNext/>
      <w:keepLines/>
      <w:spacing w:before="480" w:after="80"/>
      <w:jc w:val="center"/>
    </w:pPr>
    <w:rPr>
      <w:caps/>
      <w:sz w:val="26"/>
    </w:rPr>
  </w:style>
  <w:style w:type="paragraph" w:customStyle="1" w:styleId="Annextitle">
    <w:name w:val="Annex_title"/>
    <w:basedOn w:val="Normal"/>
    <w:next w:val="Annexref"/>
    <w:rsid w:val="00251C1C"/>
    <w:pPr>
      <w:keepNext/>
      <w:keepLines/>
      <w:spacing w:before="240" w:after="280"/>
      <w:jc w:val="center"/>
    </w:pPr>
    <w:rPr>
      <w:rFonts w:ascii="Times New Roman Bold" w:hAnsi="Times New Roman Bold"/>
      <w:b/>
      <w:sz w:val="26"/>
    </w:rPr>
  </w:style>
  <w:style w:type="paragraph" w:customStyle="1" w:styleId="Annexref">
    <w:name w:val="Annex_ref"/>
    <w:basedOn w:val="Normal"/>
    <w:next w:val="Normalaftertitle0"/>
    <w:rsid w:val="00CA4D1F"/>
    <w:pPr>
      <w:keepNext/>
      <w:keepLines/>
      <w:spacing w:after="280"/>
      <w:jc w:val="center"/>
    </w:pPr>
  </w:style>
  <w:style w:type="paragraph" w:customStyle="1" w:styleId="AppendixNo">
    <w:name w:val="Appendix_No"/>
    <w:basedOn w:val="AnnexNo"/>
    <w:next w:val="Appendixtitle"/>
    <w:rsid w:val="00CA4D1F"/>
  </w:style>
  <w:style w:type="paragraph" w:customStyle="1" w:styleId="Appendixtitle">
    <w:name w:val="Appendix_title"/>
    <w:basedOn w:val="Annextitle"/>
    <w:next w:val="Appendixref"/>
    <w:rsid w:val="00CA4D1F"/>
  </w:style>
  <w:style w:type="paragraph" w:customStyle="1" w:styleId="Appendixref">
    <w:name w:val="Appendix_ref"/>
    <w:basedOn w:val="Annexref"/>
    <w:next w:val="Normalaftertitle0"/>
    <w:rsid w:val="00CA4D1F"/>
  </w:style>
  <w:style w:type="paragraph" w:customStyle="1" w:styleId="Figuretitle0">
    <w:name w:val="Figure_title"/>
    <w:basedOn w:val="Tabletitle"/>
    <w:next w:val="Normalaftertitle0"/>
    <w:rsid w:val="00CA4D1F"/>
    <w:pPr>
      <w:spacing w:before="240" w:after="480"/>
    </w:pPr>
  </w:style>
  <w:style w:type="paragraph" w:customStyle="1" w:styleId="Tabletitle">
    <w:name w:val="Table_title"/>
    <w:basedOn w:val="TableNo"/>
    <w:next w:val="Tabletext"/>
    <w:rsid w:val="00CA4D1F"/>
    <w:pPr>
      <w:spacing w:before="0"/>
    </w:pPr>
    <w:rPr>
      <w:rFonts w:ascii="Times New Roman Bold" w:hAnsi="Times New Roman Bold"/>
      <w:b/>
      <w:caps w:val="0"/>
    </w:rPr>
  </w:style>
  <w:style w:type="paragraph" w:customStyle="1" w:styleId="TableNo">
    <w:name w:val="Table_No"/>
    <w:basedOn w:val="Normal"/>
    <w:next w:val="Tabletitle"/>
    <w:rsid w:val="00CA4D1F"/>
    <w:pPr>
      <w:keepNext/>
      <w:spacing w:after="120"/>
      <w:jc w:val="center"/>
    </w:pPr>
    <w:rPr>
      <w:caps/>
      <w:lang w:val="ru-RU"/>
    </w:rPr>
  </w:style>
  <w:style w:type="character" w:customStyle="1" w:styleId="CallChar">
    <w:name w:val="Call Char"/>
    <w:basedOn w:val="DefaultParagraphFont"/>
    <w:link w:val="Call"/>
    <w:rsid w:val="00CA4D1F"/>
    <w:rPr>
      <w:rFonts w:ascii="Times New Roman" w:hAnsi="Times New Roman"/>
      <w:i/>
      <w:sz w:val="22"/>
      <w:lang w:val="en-GB" w:eastAsia="en-US"/>
    </w:rPr>
  </w:style>
  <w:style w:type="character" w:customStyle="1" w:styleId="href">
    <w:name w:val="href"/>
    <w:basedOn w:val="DefaultParagraphFont"/>
    <w:rsid w:val="00CA4D1F"/>
  </w:style>
  <w:style w:type="numbering" w:customStyle="1" w:styleId="NoList1">
    <w:name w:val="No List1"/>
    <w:next w:val="NoList"/>
    <w:rsid w:val="00CA4D1F"/>
  </w:style>
  <w:style w:type="character" w:customStyle="1" w:styleId="RestitleChar">
    <w:name w:val="Res_title Char"/>
    <w:basedOn w:val="DefaultParagraphFont"/>
    <w:link w:val="Restitle"/>
    <w:rsid w:val="00CA4D1F"/>
    <w:rPr>
      <w:rFonts w:ascii="Times New Roman" w:hAnsi="Times New Roman"/>
      <w:b/>
      <w:sz w:val="28"/>
      <w:lang w:val="en-GB" w:eastAsia="en-US"/>
    </w:rPr>
  </w:style>
  <w:style w:type="character" w:styleId="Strong">
    <w:name w:val="Strong"/>
    <w:basedOn w:val="DefaultParagraphFont"/>
    <w:qFormat/>
    <w:rsid w:val="00CA4D1F"/>
    <w:rPr>
      <w:rFonts w:ascii="Trebuchet MS" w:hAnsi="Trebuchet MS"/>
      <w:b/>
      <w:bCs/>
      <w:noProof w:val="0"/>
      <w:lang w:val="en-GB"/>
    </w:rPr>
  </w:style>
  <w:style w:type="paragraph" w:customStyle="1" w:styleId="TableLegend0">
    <w:name w:val="Table_Legend"/>
    <w:basedOn w:val="TableText0"/>
    <w:rsid w:val="00CA4D1F"/>
    <w:pPr>
      <w:overflowPunct/>
      <w:autoSpaceDE/>
      <w:autoSpaceDN/>
      <w:adjustRightInd/>
      <w:spacing w:before="120"/>
      <w:textAlignment w:val="auto"/>
    </w:pPr>
    <w:rPr>
      <w:lang w:val="fr-FR"/>
    </w:rPr>
  </w:style>
  <w:style w:type="paragraph" w:customStyle="1" w:styleId="TableTitle0">
    <w:name w:val="Table_Title"/>
    <w:basedOn w:val="Table"/>
    <w:next w:val="TableText0"/>
    <w:rsid w:val="00CA4D1F"/>
    <w:pPr>
      <w:keepLines/>
      <w:spacing w:before="0"/>
    </w:pPr>
    <w:rPr>
      <w:b/>
      <w:caps w:val="0"/>
      <w:lang w:val="fr-FR"/>
    </w:rPr>
  </w:style>
  <w:style w:type="paragraph" w:customStyle="1" w:styleId="FigureTitle1">
    <w:name w:val="Figure_Title"/>
    <w:basedOn w:val="TableTitle0"/>
    <w:next w:val="Normal"/>
    <w:rsid w:val="00CA4D1F"/>
    <w:pPr>
      <w:keepNext w:val="0"/>
      <w:spacing w:after="480"/>
    </w:pPr>
  </w:style>
  <w:style w:type="paragraph" w:customStyle="1" w:styleId="Annex">
    <w:name w:val="Annex_#"/>
    <w:basedOn w:val="Normal"/>
    <w:next w:val="AnnexRef0"/>
    <w:rsid w:val="00CA4D1F"/>
    <w:pPr>
      <w:keepNext/>
      <w:keepLines/>
      <w:overflowPunct/>
      <w:autoSpaceDE/>
      <w:autoSpaceDN/>
      <w:adjustRightInd/>
      <w:spacing w:before="480" w:after="80"/>
      <w:jc w:val="center"/>
      <w:textAlignment w:val="auto"/>
    </w:pPr>
    <w:rPr>
      <w:caps/>
      <w:sz w:val="24"/>
      <w:lang w:val="fr-FR"/>
    </w:rPr>
  </w:style>
  <w:style w:type="paragraph" w:customStyle="1" w:styleId="AnnexRef0">
    <w:name w:val="Annex_Ref"/>
    <w:basedOn w:val="Normal"/>
    <w:next w:val="AnnexTitle0"/>
    <w:rsid w:val="00CA4D1F"/>
    <w:pPr>
      <w:keepNext/>
      <w:keepLines/>
      <w:overflowPunct/>
      <w:autoSpaceDE/>
      <w:autoSpaceDN/>
      <w:adjustRightInd/>
      <w:jc w:val="center"/>
      <w:textAlignment w:val="auto"/>
    </w:pPr>
    <w:rPr>
      <w:sz w:val="24"/>
      <w:lang w:val="fr-FR"/>
    </w:rPr>
  </w:style>
  <w:style w:type="paragraph" w:customStyle="1" w:styleId="AnnexTitle0">
    <w:name w:val="Annex_Title"/>
    <w:basedOn w:val="Normal"/>
    <w:next w:val="Normal"/>
    <w:rsid w:val="00CA4D1F"/>
    <w:pPr>
      <w:keepNext/>
      <w:keepLines/>
      <w:overflowPunct/>
      <w:autoSpaceDE/>
      <w:autoSpaceDN/>
      <w:adjustRightInd/>
      <w:spacing w:before="240" w:after="280"/>
      <w:jc w:val="center"/>
      <w:textAlignment w:val="auto"/>
    </w:pPr>
    <w:rPr>
      <w:b/>
      <w:sz w:val="24"/>
      <w:lang w:val="fr-FR"/>
    </w:rPr>
  </w:style>
  <w:style w:type="paragraph" w:customStyle="1" w:styleId="Appendix">
    <w:name w:val="Appendix_#"/>
    <w:basedOn w:val="Annex"/>
    <w:next w:val="AppendixRef0"/>
    <w:rsid w:val="00CA4D1F"/>
  </w:style>
  <w:style w:type="paragraph" w:customStyle="1" w:styleId="AppendixRef0">
    <w:name w:val="Appendix_Ref"/>
    <w:basedOn w:val="AnnexRef0"/>
    <w:next w:val="AppendixTitle0"/>
    <w:rsid w:val="00CA4D1F"/>
  </w:style>
  <w:style w:type="paragraph" w:customStyle="1" w:styleId="AppendixTitle0">
    <w:name w:val="Appendix_Title"/>
    <w:basedOn w:val="AnnexTitle0"/>
    <w:next w:val="Normal"/>
    <w:rsid w:val="00CA4D1F"/>
  </w:style>
  <w:style w:type="paragraph" w:customStyle="1" w:styleId="RefTitle0">
    <w:name w:val="Ref_Title"/>
    <w:basedOn w:val="Normal"/>
    <w:next w:val="RefText0"/>
    <w:rsid w:val="00CA4D1F"/>
    <w:pPr>
      <w:overflowPunct/>
      <w:autoSpaceDE/>
      <w:autoSpaceDN/>
      <w:adjustRightInd/>
      <w:spacing w:before="480"/>
      <w:jc w:val="center"/>
      <w:textAlignment w:val="auto"/>
    </w:pPr>
    <w:rPr>
      <w:caps/>
      <w:sz w:val="24"/>
      <w:lang w:val="fr-FR"/>
    </w:rPr>
  </w:style>
  <w:style w:type="paragraph" w:customStyle="1" w:styleId="RefText0">
    <w:name w:val="Ref_Text"/>
    <w:basedOn w:val="Normal"/>
    <w:rsid w:val="00CA4D1F"/>
    <w:pPr>
      <w:overflowPunct/>
      <w:autoSpaceDE/>
      <w:autoSpaceDN/>
      <w:adjustRightInd/>
      <w:ind w:left="794" w:hanging="794"/>
      <w:jc w:val="left"/>
      <w:textAlignment w:val="auto"/>
    </w:pPr>
    <w:rPr>
      <w:sz w:val="24"/>
      <w:lang w:val="fr-FR"/>
    </w:rPr>
  </w:style>
  <w:style w:type="paragraph" w:customStyle="1" w:styleId="call0">
    <w:name w:val="call"/>
    <w:basedOn w:val="Normal"/>
    <w:next w:val="Normal"/>
    <w:rsid w:val="00CA4D1F"/>
    <w:pPr>
      <w:keepNext/>
      <w:keepLines/>
      <w:overflowPunct/>
      <w:autoSpaceDE/>
      <w:autoSpaceDN/>
      <w:adjustRightInd/>
      <w:spacing w:before="160"/>
      <w:ind w:left="794"/>
      <w:jc w:val="left"/>
      <w:textAlignment w:val="auto"/>
    </w:pPr>
    <w:rPr>
      <w:i/>
      <w:sz w:val="24"/>
      <w:lang w:val="fr-FR"/>
    </w:rPr>
  </w:style>
  <w:style w:type="paragraph" w:customStyle="1" w:styleId="Rec">
    <w:name w:val="Rec_#"/>
    <w:basedOn w:val="Normal"/>
    <w:next w:val="RecTitle0"/>
    <w:rsid w:val="00CA4D1F"/>
    <w:pPr>
      <w:keepNext/>
      <w:keepLines/>
      <w:overflowPunct/>
      <w:autoSpaceDE/>
      <w:autoSpaceDN/>
      <w:adjustRightInd/>
      <w:spacing w:before="480"/>
      <w:jc w:val="center"/>
      <w:textAlignment w:val="auto"/>
    </w:pPr>
    <w:rPr>
      <w:caps/>
      <w:sz w:val="24"/>
      <w:lang w:val="fr-FR"/>
    </w:rPr>
  </w:style>
  <w:style w:type="paragraph" w:customStyle="1" w:styleId="Infodoc">
    <w:name w:val="Infodoc"/>
    <w:basedOn w:val="Normal"/>
    <w:rsid w:val="00CA4D1F"/>
    <w:pPr>
      <w:tabs>
        <w:tab w:val="clear" w:pos="794"/>
        <w:tab w:val="clear" w:pos="1191"/>
        <w:tab w:val="clear" w:pos="1588"/>
        <w:tab w:val="clear" w:pos="1985"/>
        <w:tab w:val="left" w:pos="1418"/>
      </w:tabs>
      <w:overflowPunct/>
      <w:autoSpaceDE/>
      <w:autoSpaceDN/>
      <w:adjustRightInd/>
      <w:spacing w:before="0"/>
      <w:ind w:left="1418" w:hanging="1418"/>
      <w:jc w:val="left"/>
      <w:textAlignment w:val="auto"/>
    </w:pPr>
    <w:rPr>
      <w:sz w:val="24"/>
      <w:lang w:val="fr-FR"/>
    </w:rPr>
  </w:style>
  <w:style w:type="paragraph" w:customStyle="1" w:styleId="Address">
    <w:name w:val="Address"/>
    <w:basedOn w:val="Normal"/>
    <w:rsid w:val="00CA4D1F"/>
    <w:pPr>
      <w:tabs>
        <w:tab w:val="clear" w:pos="794"/>
        <w:tab w:val="clear" w:pos="1191"/>
        <w:tab w:val="clear" w:pos="1588"/>
        <w:tab w:val="clear" w:pos="1985"/>
        <w:tab w:val="left" w:pos="4820"/>
        <w:tab w:val="left" w:pos="5529"/>
      </w:tabs>
      <w:overflowPunct/>
      <w:autoSpaceDE/>
      <w:autoSpaceDN/>
      <w:adjustRightInd/>
      <w:ind w:left="794"/>
      <w:jc w:val="left"/>
      <w:textAlignment w:val="auto"/>
    </w:pPr>
    <w:rPr>
      <w:sz w:val="24"/>
      <w:lang w:val="fr-FR"/>
    </w:rPr>
  </w:style>
  <w:style w:type="paragraph" w:customStyle="1" w:styleId="Keywords">
    <w:name w:val="Keywords"/>
    <w:basedOn w:val="Normal"/>
    <w:rsid w:val="00CA4D1F"/>
    <w:pPr>
      <w:tabs>
        <w:tab w:val="clear" w:pos="1191"/>
        <w:tab w:val="clear" w:pos="1588"/>
      </w:tabs>
      <w:overflowPunct/>
      <w:autoSpaceDE/>
      <w:autoSpaceDN/>
      <w:adjustRightInd/>
      <w:ind w:left="794" w:hanging="794"/>
      <w:jc w:val="left"/>
      <w:textAlignment w:val="auto"/>
    </w:pPr>
    <w:rPr>
      <w:sz w:val="24"/>
      <w:lang w:val="fr-FR"/>
    </w:rPr>
  </w:style>
  <w:style w:type="paragraph" w:customStyle="1" w:styleId="EquationLegend0">
    <w:name w:val="Equation_Legend"/>
    <w:basedOn w:val="Normal"/>
    <w:rsid w:val="00CA4D1F"/>
    <w:pPr>
      <w:tabs>
        <w:tab w:val="clear" w:pos="794"/>
        <w:tab w:val="clear" w:pos="1191"/>
        <w:tab w:val="clear" w:pos="1588"/>
        <w:tab w:val="clear" w:pos="1985"/>
        <w:tab w:val="right" w:pos="1531"/>
        <w:tab w:val="left" w:pos="1701"/>
      </w:tabs>
      <w:overflowPunct/>
      <w:autoSpaceDE/>
      <w:autoSpaceDN/>
      <w:adjustRightInd/>
      <w:spacing w:before="80"/>
      <w:ind w:left="1701" w:hanging="1701"/>
      <w:jc w:val="left"/>
      <w:textAlignment w:val="auto"/>
    </w:pPr>
    <w:rPr>
      <w:sz w:val="24"/>
      <w:lang w:val="fr-FR"/>
    </w:rPr>
  </w:style>
  <w:style w:type="paragraph" w:customStyle="1" w:styleId="Qlist">
    <w:name w:val="Qlist"/>
    <w:basedOn w:val="Normal"/>
    <w:rsid w:val="00CA4D1F"/>
    <w:pPr>
      <w:tabs>
        <w:tab w:val="clear" w:pos="794"/>
        <w:tab w:val="clear" w:pos="1191"/>
        <w:tab w:val="clear" w:pos="1588"/>
        <w:tab w:val="clear" w:pos="1985"/>
        <w:tab w:val="left" w:pos="1843"/>
        <w:tab w:val="left" w:pos="2268"/>
      </w:tabs>
      <w:overflowPunct/>
      <w:autoSpaceDE/>
      <w:autoSpaceDN/>
      <w:adjustRightInd/>
      <w:ind w:left="2268" w:hanging="2268"/>
      <w:jc w:val="left"/>
      <w:textAlignment w:val="auto"/>
    </w:pPr>
    <w:rPr>
      <w:b/>
      <w:sz w:val="24"/>
      <w:lang w:val="fr-FR"/>
    </w:rPr>
  </w:style>
  <w:style w:type="paragraph" w:customStyle="1" w:styleId="headingi0">
    <w:name w:val="heading_i"/>
    <w:basedOn w:val="Heading3"/>
    <w:next w:val="Normal"/>
    <w:rsid w:val="00CA4D1F"/>
    <w:pPr>
      <w:tabs>
        <w:tab w:val="clear" w:pos="1191"/>
        <w:tab w:val="clear" w:pos="1588"/>
        <w:tab w:val="clear" w:pos="1985"/>
        <w:tab w:val="left" w:pos="2127"/>
        <w:tab w:val="left" w:pos="2410"/>
        <w:tab w:val="left" w:pos="2921"/>
        <w:tab w:val="left" w:pos="3261"/>
      </w:tabs>
      <w:overflowPunct/>
      <w:autoSpaceDE/>
      <w:autoSpaceDN/>
      <w:adjustRightInd/>
      <w:ind w:left="0" w:firstLine="0"/>
      <w:jc w:val="left"/>
      <w:textAlignment w:val="auto"/>
      <w:outlineLvl w:val="9"/>
    </w:pPr>
    <w:rPr>
      <w:i/>
      <w:lang w:val="fr-FR"/>
    </w:rPr>
  </w:style>
  <w:style w:type="character" w:customStyle="1" w:styleId="Absatz-Standardschriftart">
    <w:name w:val="Absatz-Standardschriftart"/>
    <w:rsid w:val="00A810F6"/>
  </w:style>
  <w:style w:type="character" w:customStyle="1" w:styleId="WW-Absatz-Standardschriftart111111111111111">
    <w:name w:val="WW-Absatz-Standardschriftart111111111111111"/>
    <w:rsid w:val="00A810F6"/>
  </w:style>
  <w:style w:type="character" w:customStyle="1" w:styleId="WW-Absatz-Standardschriftart11111111111111111111">
    <w:name w:val="WW-Absatz-Standardschriftart11111111111111111111"/>
    <w:rsid w:val="00A810F6"/>
  </w:style>
  <w:style w:type="paragraph" w:customStyle="1" w:styleId="900">
    <w:name w:val="Стиль 9 пт По центру Перед:  0 пт После:  0 пт"/>
    <w:basedOn w:val="Normal"/>
    <w:rsid w:val="00A810F6"/>
    <w:pPr>
      <w:tabs>
        <w:tab w:val="clear" w:pos="794"/>
        <w:tab w:val="clear" w:pos="1191"/>
        <w:tab w:val="clear" w:pos="1588"/>
        <w:tab w:val="clear" w:pos="1985"/>
      </w:tabs>
      <w:overflowPunct/>
      <w:autoSpaceDE/>
      <w:autoSpaceDN/>
      <w:adjustRightInd/>
      <w:spacing w:before="20" w:after="20"/>
      <w:jc w:val="center"/>
      <w:textAlignment w:val="auto"/>
    </w:pPr>
    <w:rPr>
      <w:lang w:val="en-US" w:eastAsia="zh-CN"/>
    </w:rPr>
  </w:style>
  <w:style w:type="character" w:customStyle="1" w:styleId="CEONormalChar">
    <w:name w:val="CEO_Normal Char"/>
    <w:basedOn w:val="DefaultParagraphFont"/>
    <w:link w:val="CEONormal"/>
    <w:rsid w:val="00A810F6"/>
    <w:rPr>
      <w:rFonts w:ascii="Verdana" w:eastAsia="SimSun" w:hAnsi="Verdana"/>
      <w:sz w:val="19"/>
      <w:szCs w:val="19"/>
      <w:lang w:val="en-GB" w:eastAsia="en-US"/>
    </w:rPr>
  </w:style>
  <w:style w:type="paragraph" w:customStyle="1" w:styleId="StyleCEORequiredActionAfter6pt">
    <w:name w:val="Style CEO_RequiredAction + After:  6 pt"/>
    <w:basedOn w:val="Normal"/>
    <w:rsid w:val="00A810F6"/>
    <w:pPr>
      <w:tabs>
        <w:tab w:val="clear" w:pos="794"/>
        <w:tab w:val="clear" w:pos="1191"/>
        <w:tab w:val="clear" w:pos="1588"/>
        <w:tab w:val="clear" w:pos="1985"/>
        <w:tab w:val="left" w:pos="1928"/>
      </w:tabs>
      <w:overflowPunct/>
      <w:autoSpaceDE/>
      <w:autoSpaceDN/>
      <w:adjustRightInd/>
      <w:jc w:val="left"/>
      <w:textAlignment w:val="auto"/>
    </w:pPr>
    <w:rPr>
      <w:rFonts w:eastAsia="SimSun" w:cs="Times New Roman Bold"/>
      <w:b/>
      <w:szCs w:val="19"/>
    </w:rPr>
  </w:style>
  <w:style w:type="paragraph" w:customStyle="1" w:styleId="Headingb1">
    <w:name w:val="Heading b"/>
    <w:basedOn w:val="Normal"/>
    <w:next w:val="Normal"/>
    <w:rsid w:val="00A810F6"/>
    <w:pPr>
      <w:keepNext/>
      <w:keepLines/>
      <w:tabs>
        <w:tab w:val="clear" w:pos="794"/>
        <w:tab w:val="clear" w:pos="1191"/>
        <w:tab w:val="clear" w:pos="1588"/>
        <w:tab w:val="clear" w:pos="1985"/>
        <w:tab w:val="left" w:pos="567"/>
      </w:tabs>
      <w:spacing w:before="160"/>
      <w:jc w:val="left"/>
    </w:pPr>
    <w:rPr>
      <w:rFonts w:cs="Times New Roman Bold"/>
      <w:b/>
      <w:bCs/>
      <w:szCs w:val="18"/>
      <w:lang w:val="en-CA"/>
    </w:rPr>
  </w:style>
  <w:style w:type="paragraph" w:customStyle="1" w:styleId="Tabtext">
    <w:name w:val="Tab_text"/>
    <w:basedOn w:val="Normal"/>
    <w:rsid w:val="00E850FE"/>
    <w:pPr>
      <w:tabs>
        <w:tab w:val="clear" w:pos="794"/>
        <w:tab w:val="clear" w:pos="1191"/>
        <w:tab w:val="clear" w:pos="1588"/>
        <w:tab w:val="clear" w:pos="1985"/>
      </w:tabs>
      <w:overflowPunct/>
      <w:autoSpaceDE/>
      <w:autoSpaceDN/>
      <w:adjustRightInd/>
      <w:spacing w:before="57" w:after="57"/>
      <w:jc w:val="left"/>
      <w:textAlignment w:val="auto"/>
    </w:pPr>
    <w:rPr>
      <w:sz w:val="20"/>
      <w:lang w:val="cs-CZ"/>
    </w:rPr>
  </w:style>
  <w:style w:type="paragraph" w:customStyle="1" w:styleId="TableTextS5">
    <w:name w:val="Table_TextS5"/>
    <w:basedOn w:val="Normal"/>
    <w:rsid w:val="007E0742"/>
    <w:pPr>
      <w:tabs>
        <w:tab w:val="clear" w:pos="794"/>
        <w:tab w:val="clear" w:pos="1191"/>
        <w:tab w:val="clear" w:pos="1588"/>
        <w:tab w:val="clear" w:pos="1985"/>
        <w:tab w:val="left" w:pos="170"/>
        <w:tab w:val="left" w:pos="567"/>
        <w:tab w:val="left" w:pos="737"/>
        <w:tab w:val="left" w:pos="2977"/>
        <w:tab w:val="left" w:pos="3266"/>
      </w:tabs>
      <w:spacing w:before="40" w:after="40"/>
      <w:jc w:val="left"/>
    </w:pPr>
    <w:rPr>
      <w:sz w:val="20"/>
      <w:lang w:val="fr-FR"/>
    </w:rPr>
  </w:style>
  <w:style w:type="character" w:customStyle="1" w:styleId="TableFreq0">
    <w:name w:val="Table_Freq"/>
    <w:basedOn w:val="DefaultParagraphFont"/>
    <w:rsid w:val="00F137DD"/>
    <w:rPr>
      <w:b/>
      <w:color w:val="FF0000"/>
      <w:sz w:val="20"/>
    </w:rPr>
  </w:style>
  <w:style w:type="character" w:customStyle="1" w:styleId="TitleChar">
    <w:name w:val="Title Char"/>
    <w:basedOn w:val="DefaultParagraphFont"/>
    <w:link w:val="Title"/>
    <w:rsid w:val="00AA60B6"/>
    <w:rPr>
      <w:rFonts w:ascii="Times New Roman" w:hAnsi="Times New Roman"/>
      <w:b/>
      <w:sz w:val="32"/>
      <w:szCs w:val="24"/>
      <w:lang w:eastAsia="en-US"/>
    </w:rPr>
  </w:style>
  <w:style w:type="paragraph" w:styleId="PlainText">
    <w:name w:val="Plain Text"/>
    <w:basedOn w:val="Normal"/>
    <w:link w:val="PlainTextChar"/>
    <w:rsid w:val="00AA60B6"/>
    <w:pPr>
      <w:tabs>
        <w:tab w:val="clear" w:pos="794"/>
        <w:tab w:val="clear" w:pos="1191"/>
        <w:tab w:val="clear" w:pos="1588"/>
        <w:tab w:val="clear" w:pos="1985"/>
      </w:tabs>
      <w:overflowPunct/>
      <w:autoSpaceDE/>
      <w:autoSpaceDN/>
      <w:adjustRightInd/>
      <w:spacing w:before="0"/>
      <w:jc w:val="left"/>
      <w:textAlignment w:val="auto"/>
    </w:pPr>
    <w:rPr>
      <w:rFonts w:ascii="Courier New" w:hAnsi="Courier New" w:cs="Courier New"/>
      <w:sz w:val="20"/>
      <w:lang w:val="en-US"/>
    </w:rPr>
  </w:style>
  <w:style w:type="character" w:customStyle="1" w:styleId="PlainTextChar">
    <w:name w:val="Plain Text Char"/>
    <w:basedOn w:val="DefaultParagraphFont"/>
    <w:link w:val="PlainText"/>
    <w:rsid w:val="00AA60B6"/>
    <w:rPr>
      <w:rFonts w:ascii="Courier New" w:hAnsi="Courier New" w:cs="Courier New"/>
      <w:lang w:eastAsia="en-US"/>
    </w:rPr>
  </w:style>
  <w:style w:type="paragraph" w:customStyle="1" w:styleId="heading10">
    <w:name w:val="heading1"/>
    <w:basedOn w:val="BodyTextIndent"/>
    <w:rsid w:val="00AA60B6"/>
    <w:pPr>
      <w:jc w:val="both"/>
    </w:pPr>
    <w:rPr>
      <w:b w:val="0"/>
      <w:bCs w:val="0"/>
      <w:i w:val="0"/>
      <w:iCs w:val="0"/>
      <w:sz w:val="24"/>
      <w:szCs w:val="24"/>
      <w:lang w:val="en-US"/>
    </w:rPr>
  </w:style>
  <w:style w:type="character" w:customStyle="1" w:styleId="BodyTextIndentChar">
    <w:name w:val="Body Text Indent Char"/>
    <w:basedOn w:val="DefaultParagraphFont"/>
    <w:rsid w:val="00AA60B6"/>
    <w:rPr>
      <w:rFonts w:ascii="Arial" w:hAnsi="Arial" w:cs="Arial"/>
      <w:sz w:val="24"/>
      <w:szCs w:val="24"/>
      <w:lang w:val="en-GB" w:eastAsia="en-US"/>
    </w:rPr>
  </w:style>
  <w:style w:type="paragraph" w:customStyle="1" w:styleId="ssPara1">
    <w:name w:val="ssPara1"/>
    <w:basedOn w:val="Normal"/>
    <w:rsid w:val="00AA60B6"/>
    <w:pPr>
      <w:tabs>
        <w:tab w:val="clear" w:pos="794"/>
        <w:tab w:val="clear" w:pos="1191"/>
        <w:tab w:val="clear" w:pos="1588"/>
        <w:tab w:val="clear" w:pos="1985"/>
      </w:tabs>
      <w:overflowPunct/>
      <w:autoSpaceDE/>
      <w:autoSpaceDN/>
      <w:adjustRightInd/>
      <w:spacing w:before="0" w:after="260" w:line="260" w:lineRule="atLeast"/>
      <w:textAlignment w:val="auto"/>
    </w:pPr>
    <w:rPr>
      <w:rFonts w:ascii="Arial" w:hAnsi="Arial" w:cs="Arial"/>
      <w:szCs w:val="22"/>
      <w:lang w:eastAsia="en-GB"/>
    </w:rPr>
  </w:style>
  <w:style w:type="paragraph" w:customStyle="1" w:styleId="ssRestartNumber">
    <w:name w:val="ssRestartNumber"/>
    <w:basedOn w:val="Normal"/>
    <w:next w:val="ssPara1"/>
    <w:rsid w:val="00AA60B6"/>
    <w:pPr>
      <w:tabs>
        <w:tab w:val="clear" w:pos="794"/>
        <w:tab w:val="clear" w:pos="1191"/>
        <w:tab w:val="clear" w:pos="1588"/>
        <w:tab w:val="clear" w:pos="1985"/>
        <w:tab w:val="num" w:pos="2237"/>
      </w:tabs>
      <w:overflowPunct/>
      <w:autoSpaceDE/>
      <w:autoSpaceDN/>
      <w:adjustRightInd/>
      <w:spacing w:before="0" w:line="260" w:lineRule="atLeast"/>
      <w:ind w:left="2237" w:hanging="360"/>
      <w:textAlignment w:val="auto"/>
    </w:pPr>
    <w:rPr>
      <w:rFonts w:ascii="Arial" w:hAnsi="Arial" w:cs="Arial"/>
      <w:color w:val="FF0000"/>
      <w:szCs w:val="22"/>
    </w:rPr>
  </w:style>
  <w:style w:type="paragraph" w:customStyle="1" w:styleId="ssNoHeading1">
    <w:name w:val="ssNoHeading1"/>
    <w:basedOn w:val="Heading1"/>
    <w:rsid w:val="00AA60B6"/>
    <w:pPr>
      <w:numPr>
        <w:ilvl w:val="1"/>
      </w:numPr>
      <w:tabs>
        <w:tab w:val="clear" w:pos="794"/>
        <w:tab w:val="clear" w:pos="1191"/>
        <w:tab w:val="clear" w:pos="1588"/>
        <w:tab w:val="clear" w:pos="1985"/>
        <w:tab w:val="num" w:pos="709"/>
      </w:tabs>
      <w:overflowPunct/>
      <w:autoSpaceDE/>
      <w:autoSpaceDN/>
      <w:adjustRightInd/>
      <w:spacing w:before="0" w:after="260" w:line="260" w:lineRule="atLeast"/>
      <w:ind w:left="709" w:hanging="709"/>
      <w:textAlignment w:val="auto"/>
    </w:pPr>
    <w:rPr>
      <w:rFonts w:ascii="Arial" w:hAnsi="Arial" w:cs="Arial"/>
      <w:b w:val="0"/>
      <w:szCs w:val="22"/>
    </w:rPr>
  </w:style>
  <w:style w:type="paragraph" w:styleId="Index8">
    <w:name w:val="index 8"/>
    <w:basedOn w:val="Normal"/>
    <w:next w:val="Normal"/>
    <w:autoRedefine/>
    <w:rsid w:val="00AA60B6"/>
    <w:pPr>
      <w:tabs>
        <w:tab w:val="clear" w:pos="794"/>
        <w:tab w:val="clear" w:pos="1191"/>
        <w:tab w:val="clear" w:pos="1588"/>
        <w:tab w:val="clear" w:pos="1985"/>
      </w:tabs>
      <w:overflowPunct/>
      <w:autoSpaceDE/>
      <w:autoSpaceDN/>
      <w:adjustRightInd/>
      <w:spacing w:before="0"/>
      <w:ind w:left="1920" w:hanging="240"/>
      <w:jc w:val="left"/>
      <w:textAlignment w:val="auto"/>
    </w:pPr>
    <w:rPr>
      <w:rFonts w:ascii="Arial" w:hAnsi="Arial" w:cs="Arial"/>
      <w:sz w:val="18"/>
      <w:szCs w:val="18"/>
    </w:rPr>
  </w:style>
  <w:style w:type="paragraph" w:styleId="Index9">
    <w:name w:val="index 9"/>
    <w:basedOn w:val="Normal"/>
    <w:next w:val="Normal"/>
    <w:autoRedefine/>
    <w:rsid w:val="00AA60B6"/>
    <w:pPr>
      <w:tabs>
        <w:tab w:val="clear" w:pos="794"/>
        <w:tab w:val="clear" w:pos="1191"/>
        <w:tab w:val="clear" w:pos="1588"/>
        <w:tab w:val="clear" w:pos="1985"/>
      </w:tabs>
      <w:overflowPunct/>
      <w:autoSpaceDE/>
      <w:autoSpaceDN/>
      <w:adjustRightInd/>
      <w:spacing w:before="0"/>
      <w:ind w:left="2160" w:hanging="240"/>
      <w:jc w:val="left"/>
      <w:textAlignment w:val="auto"/>
    </w:pPr>
    <w:rPr>
      <w:rFonts w:ascii="Arial" w:hAnsi="Arial" w:cs="Arial"/>
      <w:sz w:val="18"/>
      <w:szCs w:val="18"/>
    </w:rPr>
  </w:style>
  <w:style w:type="paragraph" w:customStyle="1" w:styleId="Style1">
    <w:name w:val="Style1"/>
    <w:basedOn w:val="Index1"/>
    <w:next w:val="Normal"/>
    <w:rsid w:val="00AA60B6"/>
    <w:pPr>
      <w:tabs>
        <w:tab w:val="clear" w:pos="794"/>
        <w:tab w:val="clear" w:pos="1191"/>
        <w:tab w:val="clear" w:pos="1588"/>
        <w:tab w:val="clear" w:pos="1985"/>
      </w:tabs>
      <w:overflowPunct/>
      <w:autoSpaceDE/>
      <w:autoSpaceDN/>
      <w:adjustRightInd/>
      <w:spacing w:before="0"/>
      <w:ind w:left="240" w:hanging="240"/>
      <w:jc w:val="left"/>
      <w:textAlignment w:val="auto"/>
    </w:pPr>
    <w:rPr>
      <w:rFonts w:ascii="Arial" w:hAnsi="Arial" w:cs="Arial"/>
      <w:sz w:val="24"/>
      <w:szCs w:val="24"/>
    </w:rPr>
  </w:style>
  <w:style w:type="paragraph" w:customStyle="1" w:styleId="Header1">
    <w:name w:val="Header 1."/>
    <w:basedOn w:val="Heading1"/>
    <w:next w:val="ListNumber"/>
    <w:link w:val="Header1Char"/>
    <w:rsid w:val="00AA60B6"/>
    <w:pPr>
      <w:tabs>
        <w:tab w:val="clear" w:pos="794"/>
        <w:tab w:val="clear" w:pos="1191"/>
        <w:tab w:val="clear" w:pos="1588"/>
        <w:tab w:val="clear" w:pos="1985"/>
        <w:tab w:val="num" w:pos="720"/>
      </w:tabs>
      <w:overflowPunct/>
      <w:autoSpaceDE/>
      <w:autoSpaceDN/>
      <w:adjustRightInd/>
      <w:spacing w:before="0"/>
      <w:ind w:left="720" w:hanging="720"/>
      <w:jc w:val="left"/>
      <w:textAlignment w:val="auto"/>
    </w:pPr>
    <w:rPr>
      <w:rFonts w:ascii="Arial" w:eastAsia="SimHei" w:hAnsi="Arial" w:cs="Simplified Arabic"/>
      <w:bCs/>
      <w:sz w:val="18"/>
      <w:szCs w:val="28"/>
      <w:lang w:eastAsia="zh-CN"/>
    </w:rPr>
  </w:style>
  <w:style w:type="numbering" w:styleId="111111">
    <w:name w:val="Outline List 2"/>
    <w:basedOn w:val="NoList"/>
    <w:rsid w:val="00AA60B6"/>
    <w:pPr>
      <w:numPr>
        <w:numId w:val="8"/>
      </w:numPr>
    </w:pPr>
  </w:style>
  <w:style w:type="paragraph" w:styleId="ListNumber">
    <w:name w:val="List Number"/>
    <w:basedOn w:val="Header1"/>
    <w:rsid w:val="00AA60B6"/>
    <w:rPr>
      <w:b w:val="0"/>
    </w:rPr>
  </w:style>
  <w:style w:type="paragraph" w:styleId="BodyTextFirstIndent2">
    <w:name w:val="Body Text First Indent 2"/>
    <w:basedOn w:val="BodyTextIndent"/>
    <w:link w:val="BodyTextFirstIndent2Char"/>
    <w:rsid w:val="00AA60B6"/>
    <w:pPr>
      <w:spacing w:after="120"/>
      <w:ind w:left="360" w:firstLine="210"/>
      <w:jc w:val="left"/>
    </w:pPr>
    <w:rPr>
      <w:b w:val="0"/>
      <w:bCs w:val="0"/>
      <w:i w:val="0"/>
      <w:iCs w:val="0"/>
      <w:sz w:val="24"/>
      <w:szCs w:val="24"/>
      <w:lang w:val="en-GB"/>
    </w:rPr>
  </w:style>
  <w:style w:type="character" w:customStyle="1" w:styleId="BodyTextIndentChar1">
    <w:name w:val="Body Text Indent Char1"/>
    <w:basedOn w:val="DefaultParagraphFont"/>
    <w:link w:val="BodyTextIndent"/>
    <w:rsid w:val="00AA60B6"/>
    <w:rPr>
      <w:rFonts w:ascii="Arial" w:hAnsi="Arial" w:cs="Arial"/>
      <w:b/>
      <w:bCs/>
      <w:i/>
      <w:iCs/>
      <w:sz w:val="16"/>
      <w:szCs w:val="16"/>
      <w:lang w:val="es-ES" w:eastAsia="en-US"/>
    </w:rPr>
  </w:style>
  <w:style w:type="character" w:customStyle="1" w:styleId="BodyTextFirstIndent2Char">
    <w:name w:val="Body Text First Indent 2 Char"/>
    <w:basedOn w:val="BodyTextIndentChar1"/>
    <w:link w:val="BodyTextFirstIndent2"/>
    <w:rsid w:val="00AA60B6"/>
    <w:rPr>
      <w:sz w:val="24"/>
      <w:szCs w:val="24"/>
      <w:lang w:val="en-GB"/>
    </w:rPr>
  </w:style>
  <w:style w:type="paragraph" w:styleId="ListNumber2">
    <w:name w:val="List Number 2"/>
    <w:basedOn w:val="Normal"/>
    <w:rsid w:val="00AA60B6"/>
    <w:pPr>
      <w:tabs>
        <w:tab w:val="clear" w:pos="794"/>
        <w:tab w:val="clear" w:pos="1191"/>
        <w:tab w:val="clear" w:pos="1588"/>
        <w:tab w:val="clear" w:pos="1985"/>
      </w:tabs>
      <w:overflowPunct/>
      <w:autoSpaceDE/>
      <w:autoSpaceDN/>
      <w:adjustRightInd/>
      <w:spacing w:before="0"/>
      <w:jc w:val="left"/>
      <w:textAlignment w:val="auto"/>
    </w:pPr>
    <w:rPr>
      <w:rFonts w:ascii="Arial" w:hAnsi="Arial" w:cs="Arial"/>
      <w:sz w:val="24"/>
      <w:szCs w:val="24"/>
    </w:rPr>
  </w:style>
  <w:style w:type="paragraph" w:styleId="List2">
    <w:name w:val="List 2"/>
    <w:basedOn w:val="Normal"/>
    <w:rsid w:val="00AA60B6"/>
    <w:pPr>
      <w:tabs>
        <w:tab w:val="clear" w:pos="794"/>
        <w:tab w:val="clear" w:pos="1191"/>
        <w:tab w:val="clear" w:pos="1588"/>
        <w:tab w:val="clear" w:pos="1985"/>
      </w:tabs>
      <w:overflowPunct/>
      <w:autoSpaceDE/>
      <w:autoSpaceDN/>
      <w:adjustRightInd/>
      <w:spacing w:before="0"/>
      <w:ind w:left="720" w:hanging="360"/>
      <w:jc w:val="left"/>
      <w:textAlignment w:val="auto"/>
    </w:pPr>
    <w:rPr>
      <w:rFonts w:ascii="Arial" w:hAnsi="Arial" w:cs="Arial"/>
      <w:sz w:val="24"/>
      <w:szCs w:val="24"/>
    </w:rPr>
  </w:style>
  <w:style w:type="paragraph" w:customStyle="1" w:styleId="sspara10">
    <w:name w:val="sspara1"/>
    <w:basedOn w:val="Normal"/>
    <w:rsid w:val="00AA60B6"/>
    <w:pPr>
      <w:tabs>
        <w:tab w:val="clear" w:pos="794"/>
        <w:tab w:val="clear" w:pos="1191"/>
        <w:tab w:val="clear" w:pos="1588"/>
        <w:tab w:val="clear" w:pos="1985"/>
      </w:tabs>
      <w:overflowPunct/>
      <w:autoSpaceDE/>
      <w:autoSpaceDN/>
      <w:adjustRightInd/>
      <w:spacing w:before="0" w:after="260" w:line="260" w:lineRule="atLeast"/>
      <w:textAlignment w:val="auto"/>
    </w:pPr>
    <w:rPr>
      <w:rFonts w:ascii="Arial" w:hAnsi="Arial" w:cs="Arial"/>
      <w:szCs w:val="22"/>
      <w:lang w:val="en-US"/>
    </w:rPr>
  </w:style>
  <w:style w:type="paragraph" w:customStyle="1" w:styleId="Style2">
    <w:name w:val="Style2"/>
    <w:basedOn w:val="Heading1"/>
    <w:rsid w:val="00AA60B6"/>
    <w:pPr>
      <w:numPr>
        <w:ilvl w:val="2"/>
        <w:numId w:val="9"/>
      </w:numPr>
      <w:tabs>
        <w:tab w:val="clear" w:pos="794"/>
        <w:tab w:val="clear" w:pos="1191"/>
        <w:tab w:val="clear" w:pos="1588"/>
        <w:tab w:val="clear" w:pos="1985"/>
      </w:tabs>
      <w:suppressAutoHyphens/>
      <w:overflowPunct/>
      <w:autoSpaceDE/>
      <w:autoSpaceDN/>
      <w:adjustRightInd/>
      <w:spacing w:before="0"/>
      <w:jc w:val="left"/>
      <w:textAlignment w:val="auto"/>
    </w:pPr>
    <w:rPr>
      <w:rFonts w:ascii="Arial" w:hAnsi="Arial" w:cs="Arial"/>
      <w:bCs/>
      <w:sz w:val="28"/>
      <w:szCs w:val="28"/>
      <w:lang w:val="en-US"/>
    </w:rPr>
  </w:style>
  <w:style w:type="paragraph" w:customStyle="1" w:styleId="Style3">
    <w:name w:val="Style3"/>
    <w:basedOn w:val="Heading1"/>
    <w:rsid w:val="00AA60B6"/>
    <w:pPr>
      <w:tabs>
        <w:tab w:val="clear" w:pos="794"/>
        <w:tab w:val="clear" w:pos="1191"/>
        <w:tab w:val="clear" w:pos="1588"/>
        <w:tab w:val="clear" w:pos="1985"/>
        <w:tab w:val="num" w:pos="900"/>
        <w:tab w:val="num" w:pos="1440"/>
      </w:tabs>
      <w:suppressAutoHyphens/>
      <w:overflowPunct/>
      <w:autoSpaceDE/>
      <w:autoSpaceDN/>
      <w:adjustRightInd/>
      <w:spacing w:before="0"/>
      <w:ind w:left="900" w:hanging="540"/>
      <w:jc w:val="left"/>
      <w:textAlignment w:val="auto"/>
    </w:pPr>
    <w:rPr>
      <w:rFonts w:ascii="Arial" w:hAnsi="Arial" w:cs="Arial"/>
      <w:bCs/>
      <w:sz w:val="28"/>
      <w:szCs w:val="24"/>
      <w:lang w:val="en-US"/>
    </w:rPr>
  </w:style>
  <w:style w:type="paragraph" w:customStyle="1" w:styleId="Style4">
    <w:name w:val="Style4"/>
    <w:basedOn w:val="Heading1"/>
    <w:rsid w:val="00AA60B6"/>
    <w:pPr>
      <w:tabs>
        <w:tab w:val="clear" w:pos="794"/>
        <w:tab w:val="clear" w:pos="1191"/>
        <w:tab w:val="clear" w:pos="1588"/>
        <w:tab w:val="clear" w:pos="1985"/>
        <w:tab w:val="num" w:pos="900"/>
        <w:tab w:val="num" w:pos="1440"/>
      </w:tabs>
      <w:suppressAutoHyphens/>
      <w:overflowPunct/>
      <w:autoSpaceDE/>
      <w:autoSpaceDN/>
      <w:adjustRightInd/>
      <w:spacing w:before="0"/>
      <w:ind w:left="900" w:hanging="540"/>
      <w:jc w:val="left"/>
      <w:textAlignment w:val="auto"/>
    </w:pPr>
    <w:rPr>
      <w:rFonts w:ascii="Arial" w:hAnsi="Arial" w:cs="Arial"/>
      <w:bCs/>
      <w:sz w:val="28"/>
      <w:szCs w:val="24"/>
      <w:lang w:val="en-US"/>
    </w:rPr>
  </w:style>
  <w:style w:type="paragraph" w:customStyle="1" w:styleId="StylessPara112ptLeft025Firstline025">
    <w:name w:val="Style ssPara1 + 12 pt Left:  0.25&quot; First line:  0.25&quot;"/>
    <w:basedOn w:val="ssPara1"/>
    <w:rsid w:val="00AA60B6"/>
    <w:pPr>
      <w:ind w:left="720"/>
    </w:pPr>
    <w:rPr>
      <w:rFonts w:cs="Times New Roman"/>
      <w:sz w:val="24"/>
      <w:szCs w:val="20"/>
    </w:rPr>
  </w:style>
  <w:style w:type="paragraph" w:styleId="DocumentMap">
    <w:name w:val="Document Map"/>
    <w:basedOn w:val="Normal"/>
    <w:link w:val="DocumentMapChar"/>
    <w:rsid w:val="00AA60B6"/>
    <w:pPr>
      <w:shd w:val="clear" w:color="auto" w:fill="000080"/>
      <w:tabs>
        <w:tab w:val="clear" w:pos="794"/>
        <w:tab w:val="clear" w:pos="1191"/>
        <w:tab w:val="clear" w:pos="1588"/>
        <w:tab w:val="clear" w:pos="1985"/>
      </w:tabs>
      <w:overflowPunct/>
      <w:autoSpaceDE/>
      <w:autoSpaceDN/>
      <w:adjustRightInd/>
      <w:spacing w:before="0"/>
      <w:jc w:val="left"/>
      <w:textAlignment w:val="auto"/>
    </w:pPr>
    <w:rPr>
      <w:rFonts w:ascii="Tahoma" w:hAnsi="Tahoma" w:cs="Tahoma"/>
      <w:sz w:val="20"/>
    </w:rPr>
  </w:style>
  <w:style w:type="character" w:customStyle="1" w:styleId="DocumentMapChar">
    <w:name w:val="Document Map Char"/>
    <w:basedOn w:val="DefaultParagraphFont"/>
    <w:link w:val="DocumentMap"/>
    <w:rsid w:val="00AA60B6"/>
    <w:rPr>
      <w:rFonts w:ascii="Tahoma" w:hAnsi="Tahoma" w:cs="Tahoma"/>
      <w:shd w:val="clear" w:color="auto" w:fill="000080"/>
      <w:lang w:val="en-GB" w:eastAsia="en-US"/>
    </w:rPr>
  </w:style>
  <w:style w:type="paragraph" w:customStyle="1" w:styleId="Heading-1">
    <w:name w:val="Heading-1"/>
    <w:basedOn w:val="Normal"/>
    <w:link w:val="Heading-1Char"/>
    <w:rsid w:val="00AA60B6"/>
    <w:pPr>
      <w:tabs>
        <w:tab w:val="clear" w:pos="794"/>
        <w:tab w:val="clear" w:pos="1191"/>
        <w:tab w:val="clear" w:pos="1588"/>
        <w:tab w:val="clear" w:pos="1985"/>
        <w:tab w:val="num" w:pos="360"/>
      </w:tabs>
      <w:overflowPunct/>
      <w:autoSpaceDE/>
      <w:autoSpaceDN/>
      <w:adjustRightInd/>
      <w:spacing w:before="360" w:after="120"/>
      <w:ind w:left="360" w:hanging="360"/>
      <w:jc w:val="left"/>
      <w:textAlignment w:val="auto"/>
      <w:outlineLvl w:val="0"/>
    </w:pPr>
    <w:rPr>
      <w:rFonts w:ascii="Arial Bold" w:hAnsi="Arial Bold" w:cs="Arial"/>
      <w:b/>
      <w:bCs/>
      <w:kern w:val="24"/>
      <w:sz w:val="24"/>
      <w:szCs w:val="32"/>
      <w:lang w:val="en-US"/>
    </w:rPr>
  </w:style>
  <w:style w:type="paragraph" w:customStyle="1" w:styleId="Heading-2">
    <w:name w:val="Heading-2"/>
    <w:basedOn w:val="Heading-1"/>
    <w:rsid w:val="00AA60B6"/>
    <w:pPr>
      <w:tabs>
        <w:tab w:val="clear" w:pos="360"/>
        <w:tab w:val="left" w:pos="1080"/>
      </w:tabs>
      <w:spacing w:before="120"/>
      <w:ind w:left="1080" w:hanging="720"/>
      <w:jc w:val="both"/>
    </w:pPr>
    <w:rPr>
      <w:rFonts w:ascii="Arial" w:hAnsi="Arial"/>
      <w:bCs w:val="0"/>
      <w:lang w:val="en-GB"/>
    </w:rPr>
  </w:style>
  <w:style w:type="paragraph" w:customStyle="1" w:styleId="StyleHeading3">
    <w:name w:val="Style Heading3"/>
    <w:basedOn w:val="Normal"/>
    <w:rsid w:val="00AA60B6"/>
    <w:pPr>
      <w:tabs>
        <w:tab w:val="clear" w:pos="794"/>
        <w:tab w:val="clear" w:pos="1191"/>
        <w:tab w:val="clear" w:pos="1588"/>
        <w:tab w:val="clear" w:pos="1985"/>
      </w:tabs>
      <w:overflowPunct/>
      <w:autoSpaceDE/>
      <w:autoSpaceDN/>
      <w:adjustRightInd/>
      <w:spacing w:before="0"/>
      <w:jc w:val="left"/>
      <w:textAlignment w:val="auto"/>
    </w:pPr>
    <w:rPr>
      <w:rFonts w:ascii="Arial" w:hAnsi="Arial" w:cs="Arial"/>
      <w:sz w:val="24"/>
      <w:szCs w:val="24"/>
    </w:rPr>
  </w:style>
  <w:style w:type="paragraph" w:customStyle="1" w:styleId="Heading-3">
    <w:name w:val="Heading-3"/>
    <w:basedOn w:val="Heading-2"/>
    <w:autoRedefine/>
    <w:rsid w:val="00AA60B6"/>
    <w:pPr>
      <w:tabs>
        <w:tab w:val="clear" w:pos="1080"/>
        <w:tab w:val="num" w:pos="1800"/>
      </w:tabs>
      <w:suppressAutoHyphens/>
      <w:ind w:left="1800"/>
    </w:pPr>
    <w:rPr>
      <w:b w:val="0"/>
      <w:bCs/>
    </w:rPr>
  </w:style>
  <w:style w:type="paragraph" w:customStyle="1" w:styleId="StyleHeading2NotBold">
    <w:name w:val="Style Heading 2 + Not Bold"/>
    <w:basedOn w:val="Heading2"/>
    <w:rsid w:val="00AA60B6"/>
    <w:pPr>
      <w:keepNext w:val="0"/>
      <w:numPr>
        <w:ilvl w:val="1"/>
      </w:numPr>
      <w:tabs>
        <w:tab w:val="clear" w:pos="794"/>
        <w:tab w:val="clear" w:pos="1191"/>
        <w:tab w:val="clear" w:pos="1588"/>
        <w:tab w:val="clear" w:pos="1985"/>
        <w:tab w:val="num" w:pos="1440"/>
      </w:tabs>
      <w:suppressAutoHyphens/>
      <w:overflowPunct/>
      <w:autoSpaceDE/>
      <w:autoSpaceDN/>
      <w:adjustRightInd/>
      <w:spacing w:before="0"/>
      <w:ind w:left="1440" w:hanging="720"/>
      <w:jc w:val="left"/>
      <w:textAlignment w:val="auto"/>
    </w:pPr>
    <w:rPr>
      <w:rFonts w:ascii="Arial" w:hAnsi="Arial" w:cs="Arial"/>
      <w:b w:val="0"/>
      <w:sz w:val="24"/>
      <w:szCs w:val="24"/>
      <w:lang w:val="en-US"/>
    </w:rPr>
  </w:style>
  <w:style w:type="paragraph" w:customStyle="1" w:styleId="StyleHeading1Justified">
    <w:name w:val="Style Heading 1 + Justified"/>
    <w:basedOn w:val="Heading1"/>
    <w:rsid w:val="00AA60B6"/>
    <w:pPr>
      <w:tabs>
        <w:tab w:val="clear" w:pos="794"/>
        <w:tab w:val="clear" w:pos="1191"/>
        <w:tab w:val="clear" w:pos="1588"/>
        <w:tab w:val="clear" w:pos="1985"/>
        <w:tab w:val="num" w:pos="720"/>
      </w:tabs>
      <w:suppressAutoHyphens/>
      <w:overflowPunct/>
      <w:autoSpaceDE/>
      <w:autoSpaceDN/>
      <w:adjustRightInd/>
      <w:spacing w:before="0"/>
      <w:ind w:left="720" w:hanging="720"/>
      <w:textAlignment w:val="auto"/>
    </w:pPr>
    <w:rPr>
      <w:rFonts w:ascii="Arial Bold" w:hAnsi="Arial Bold" w:cs="Arial"/>
      <w:bCs/>
      <w:sz w:val="24"/>
      <w:szCs w:val="24"/>
      <w:lang w:val="en-US"/>
    </w:rPr>
  </w:style>
  <w:style w:type="character" w:customStyle="1" w:styleId="Header1Char">
    <w:name w:val="Header 1. Char"/>
    <w:basedOn w:val="Heading1Char"/>
    <w:link w:val="Header1"/>
    <w:rsid w:val="00AA60B6"/>
    <w:rPr>
      <w:rFonts w:ascii="Arial" w:eastAsia="SimHei" w:hAnsi="Arial" w:cs="Simplified Arabic"/>
      <w:b/>
      <w:bCs/>
      <w:sz w:val="18"/>
      <w:szCs w:val="28"/>
    </w:rPr>
  </w:style>
  <w:style w:type="character" w:customStyle="1" w:styleId="Heading-1Char">
    <w:name w:val="Heading-1 Char"/>
    <w:basedOn w:val="DefaultParagraphFont"/>
    <w:link w:val="Heading-1"/>
    <w:rsid w:val="00AA60B6"/>
    <w:rPr>
      <w:rFonts w:ascii="Arial Bold" w:hAnsi="Arial Bold" w:cs="Arial"/>
      <w:b/>
      <w:bCs/>
      <w:kern w:val="24"/>
      <w:sz w:val="24"/>
      <w:szCs w:val="32"/>
      <w:lang w:eastAsia="en-US"/>
    </w:rPr>
  </w:style>
  <w:style w:type="paragraph" w:customStyle="1" w:styleId="MTLN1">
    <w:name w:val="MTLN1"/>
    <w:basedOn w:val="Normal"/>
    <w:next w:val="MTLN2"/>
    <w:rsid w:val="00AA60B6"/>
    <w:pPr>
      <w:keepNext/>
      <w:numPr>
        <w:ilvl w:val="1"/>
        <w:numId w:val="10"/>
      </w:numPr>
      <w:tabs>
        <w:tab w:val="clear" w:pos="794"/>
        <w:tab w:val="clear" w:pos="1191"/>
        <w:tab w:val="clear" w:pos="1588"/>
        <w:tab w:val="clear" w:pos="1985"/>
      </w:tabs>
      <w:overflowPunct/>
      <w:autoSpaceDE/>
      <w:autoSpaceDN/>
      <w:adjustRightInd/>
      <w:spacing w:before="240" w:after="240"/>
      <w:jc w:val="center"/>
      <w:textAlignment w:val="auto"/>
      <w:outlineLvl w:val="0"/>
    </w:pPr>
    <w:rPr>
      <w:b/>
      <w:caps/>
      <w:sz w:val="24"/>
      <w:szCs w:val="24"/>
      <w:lang w:val="en-CA"/>
    </w:rPr>
  </w:style>
  <w:style w:type="paragraph" w:customStyle="1" w:styleId="MTLN2">
    <w:name w:val="MTLN2"/>
    <w:basedOn w:val="Normal"/>
    <w:rsid w:val="00AA60B6"/>
    <w:pPr>
      <w:keepNext/>
      <w:numPr>
        <w:ilvl w:val="2"/>
        <w:numId w:val="10"/>
      </w:numPr>
      <w:tabs>
        <w:tab w:val="clear" w:pos="794"/>
        <w:tab w:val="clear" w:pos="1191"/>
        <w:tab w:val="clear" w:pos="1588"/>
        <w:tab w:val="clear" w:pos="1985"/>
      </w:tabs>
      <w:overflowPunct/>
      <w:autoSpaceDE/>
      <w:autoSpaceDN/>
      <w:adjustRightInd/>
      <w:spacing w:before="0" w:after="240"/>
      <w:textAlignment w:val="auto"/>
    </w:pPr>
    <w:rPr>
      <w:rFonts w:ascii="Times New Roman Bold" w:hAnsi="Times New Roman Bold"/>
      <w:b/>
      <w:sz w:val="24"/>
      <w:szCs w:val="24"/>
      <w:lang w:val="en-CA"/>
    </w:rPr>
  </w:style>
  <w:style w:type="paragraph" w:customStyle="1" w:styleId="MTLN3">
    <w:name w:val="MTLN3"/>
    <w:basedOn w:val="Normal"/>
    <w:rsid w:val="00AA60B6"/>
    <w:pPr>
      <w:numPr>
        <w:ilvl w:val="3"/>
        <w:numId w:val="10"/>
      </w:numPr>
      <w:tabs>
        <w:tab w:val="clear" w:pos="794"/>
        <w:tab w:val="clear" w:pos="1191"/>
        <w:tab w:val="clear" w:pos="1588"/>
        <w:tab w:val="clear" w:pos="1985"/>
      </w:tabs>
      <w:overflowPunct/>
      <w:autoSpaceDE/>
      <w:autoSpaceDN/>
      <w:adjustRightInd/>
      <w:spacing w:before="0" w:after="240"/>
      <w:textAlignment w:val="auto"/>
    </w:pPr>
    <w:rPr>
      <w:sz w:val="24"/>
      <w:lang w:val="en-CA"/>
    </w:rPr>
  </w:style>
  <w:style w:type="paragraph" w:customStyle="1" w:styleId="MTLN6">
    <w:name w:val="MTLN6"/>
    <w:basedOn w:val="Normal"/>
    <w:rsid w:val="00AA60B6"/>
    <w:pPr>
      <w:numPr>
        <w:ilvl w:val="5"/>
        <w:numId w:val="10"/>
      </w:numPr>
      <w:tabs>
        <w:tab w:val="clear" w:pos="794"/>
        <w:tab w:val="clear" w:pos="1191"/>
        <w:tab w:val="clear" w:pos="1588"/>
        <w:tab w:val="clear" w:pos="1985"/>
      </w:tabs>
      <w:overflowPunct/>
      <w:autoSpaceDE/>
      <w:autoSpaceDN/>
      <w:adjustRightInd/>
      <w:spacing w:before="0" w:after="240"/>
      <w:textAlignment w:val="auto"/>
    </w:pPr>
    <w:rPr>
      <w:sz w:val="24"/>
      <w:lang w:val="en-CA"/>
    </w:rPr>
  </w:style>
  <w:style w:type="paragraph" w:customStyle="1" w:styleId="MTLN7">
    <w:name w:val="MTLN7"/>
    <w:basedOn w:val="Normal"/>
    <w:rsid w:val="00AA60B6"/>
    <w:pPr>
      <w:numPr>
        <w:ilvl w:val="6"/>
        <w:numId w:val="10"/>
      </w:numPr>
      <w:tabs>
        <w:tab w:val="clear" w:pos="794"/>
        <w:tab w:val="clear" w:pos="1191"/>
        <w:tab w:val="clear" w:pos="1588"/>
        <w:tab w:val="clear" w:pos="1985"/>
      </w:tabs>
      <w:overflowPunct/>
      <w:autoSpaceDE/>
      <w:autoSpaceDN/>
      <w:adjustRightInd/>
      <w:spacing w:before="0" w:after="240"/>
      <w:textAlignment w:val="auto"/>
    </w:pPr>
    <w:rPr>
      <w:sz w:val="24"/>
      <w:lang w:val="en-CA"/>
    </w:rPr>
  </w:style>
  <w:style w:type="paragraph" w:customStyle="1" w:styleId="MTLN8">
    <w:name w:val="MTLN8"/>
    <w:basedOn w:val="Normal"/>
    <w:rsid w:val="00AA60B6"/>
    <w:pPr>
      <w:numPr>
        <w:ilvl w:val="7"/>
        <w:numId w:val="10"/>
      </w:numPr>
      <w:tabs>
        <w:tab w:val="clear" w:pos="794"/>
        <w:tab w:val="clear" w:pos="1191"/>
        <w:tab w:val="clear" w:pos="1588"/>
        <w:tab w:val="clear" w:pos="1985"/>
      </w:tabs>
      <w:overflowPunct/>
      <w:autoSpaceDE/>
      <w:autoSpaceDN/>
      <w:adjustRightInd/>
      <w:spacing w:before="0" w:after="240"/>
      <w:textAlignment w:val="auto"/>
    </w:pPr>
    <w:rPr>
      <w:sz w:val="24"/>
      <w:lang w:val="en-CA"/>
    </w:rPr>
  </w:style>
  <w:style w:type="paragraph" w:customStyle="1" w:styleId="MTLN9">
    <w:name w:val="MTLN9"/>
    <w:basedOn w:val="Normal"/>
    <w:rsid w:val="00AA60B6"/>
    <w:pPr>
      <w:numPr>
        <w:ilvl w:val="8"/>
        <w:numId w:val="10"/>
      </w:numPr>
      <w:tabs>
        <w:tab w:val="clear" w:pos="794"/>
        <w:tab w:val="clear" w:pos="1191"/>
        <w:tab w:val="clear" w:pos="1588"/>
        <w:tab w:val="clear" w:pos="1985"/>
      </w:tabs>
      <w:overflowPunct/>
      <w:autoSpaceDE/>
      <w:autoSpaceDN/>
      <w:adjustRightInd/>
      <w:spacing w:before="0" w:after="240"/>
      <w:textAlignment w:val="auto"/>
    </w:pPr>
    <w:rPr>
      <w:sz w:val="24"/>
      <w:lang w:val="en-CA"/>
    </w:rPr>
  </w:style>
  <w:style w:type="character" w:customStyle="1" w:styleId="enumlev1Char">
    <w:name w:val="enumlev1 Char"/>
    <w:basedOn w:val="DefaultParagraphFont"/>
    <w:link w:val="enumlev1"/>
    <w:rsid w:val="00AA60B6"/>
    <w:rPr>
      <w:rFonts w:ascii="Times New Roman" w:hAnsi="Times New Roman"/>
      <w:sz w:val="22"/>
      <w:lang w:val="en-GB" w:eastAsia="en-US"/>
    </w:rPr>
  </w:style>
  <w:style w:type="character" w:customStyle="1" w:styleId="TableNotitleChar">
    <w:name w:val="Table_No &amp; title Char"/>
    <w:basedOn w:val="DefaultParagraphFont"/>
    <w:link w:val="TableNotitle"/>
    <w:rsid w:val="00AA60B6"/>
    <w:rPr>
      <w:rFonts w:ascii="Times New Roman" w:hAnsi="Times New Roman"/>
      <w:b/>
      <w:sz w:val="22"/>
      <w:lang w:val="en-GB" w:eastAsia="en-US"/>
    </w:rPr>
  </w:style>
  <w:style w:type="character" w:customStyle="1" w:styleId="StyleFootnoteReference9pt">
    <w:name w:val="Style Footnote Reference + 9 pt"/>
    <w:basedOn w:val="FootnoteReference"/>
    <w:rsid w:val="00AA60B6"/>
    <w:rPr>
      <w:rFonts w:ascii="Verdana" w:hAnsi="Verdana"/>
      <w:noProof w:val="0"/>
      <w:sz w:val="14"/>
      <w:szCs w:val="18"/>
      <w:lang w:val="en-GB"/>
    </w:rPr>
  </w:style>
  <w:style w:type="paragraph" w:customStyle="1" w:styleId="StyleAnnexNotitleNotBold">
    <w:name w:val="Style Annex_No &amp; title + Not Bold"/>
    <w:basedOn w:val="AnnexNotitle"/>
    <w:rsid w:val="00AA60B6"/>
    <w:pPr>
      <w:tabs>
        <w:tab w:val="clear" w:pos="794"/>
        <w:tab w:val="clear" w:pos="1191"/>
        <w:tab w:val="clear" w:pos="1588"/>
        <w:tab w:val="clear" w:pos="1985"/>
        <w:tab w:val="left" w:pos="567"/>
        <w:tab w:val="left" w:pos="1134"/>
        <w:tab w:val="left" w:pos="1701"/>
        <w:tab w:val="left" w:pos="2268"/>
      </w:tabs>
      <w:suppressAutoHyphens/>
      <w:overflowPunct/>
      <w:autoSpaceDE/>
      <w:autoSpaceDN/>
      <w:adjustRightInd/>
      <w:textAlignment w:val="auto"/>
    </w:pPr>
    <w:rPr>
      <w:rFonts w:ascii="Verdana" w:eastAsia="SimSun" w:hAnsi="Verdana"/>
      <w:b w:val="0"/>
      <w:bCs/>
      <w:sz w:val="22"/>
      <w:lang w:val="en-US" w:eastAsia="ar-SA"/>
    </w:rPr>
  </w:style>
  <w:style w:type="paragraph" w:customStyle="1" w:styleId="StyleTableNotitle9pt">
    <w:name w:val="Style Table_No &amp; title + 9 pt"/>
    <w:basedOn w:val="TableNotitle"/>
    <w:rsid w:val="00AA60B6"/>
    <w:pPr>
      <w:spacing w:before="240"/>
    </w:pPr>
    <w:rPr>
      <w:rFonts w:ascii="Verdana" w:hAnsi="Verdana"/>
      <w:sz w:val="18"/>
      <w:szCs w:val="18"/>
    </w:rPr>
  </w:style>
  <w:style w:type="character" w:styleId="PlaceholderText">
    <w:name w:val="Placeholder Text"/>
    <w:basedOn w:val="DefaultParagraphFont"/>
    <w:uiPriority w:val="99"/>
    <w:semiHidden/>
    <w:rsid w:val="00610AD5"/>
    <w:rPr>
      <w:color w:val="808080"/>
    </w:rPr>
  </w:style>
  <w:style w:type="paragraph" w:customStyle="1" w:styleId="CM10">
    <w:name w:val="CM10"/>
    <w:basedOn w:val="Default"/>
    <w:next w:val="Default"/>
    <w:uiPriority w:val="99"/>
    <w:rsid w:val="00610AD5"/>
    <w:rPr>
      <w:rFonts w:ascii="Times" w:eastAsiaTheme="minorEastAsia" w:hAnsi="Times" w:cstheme="minorBidi"/>
      <w:color w:val="auto"/>
    </w:rPr>
  </w:style>
  <w:style w:type="paragraph" w:customStyle="1" w:styleId="CM1">
    <w:name w:val="CM1"/>
    <w:basedOn w:val="Default"/>
    <w:next w:val="Default"/>
    <w:uiPriority w:val="99"/>
    <w:rsid w:val="00610AD5"/>
    <w:pPr>
      <w:spacing w:line="303" w:lineRule="atLeast"/>
    </w:pPr>
    <w:rPr>
      <w:rFonts w:ascii="Times" w:eastAsiaTheme="minorEastAsia" w:hAnsi="Times" w:cstheme="minorBidi"/>
      <w:color w:val="auto"/>
    </w:rPr>
  </w:style>
  <w:style w:type="paragraph" w:customStyle="1" w:styleId="CM11">
    <w:name w:val="CM11"/>
    <w:basedOn w:val="Default"/>
    <w:next w:val="Default"/>
    <w:uiPriority w:val="99"/>
    <w:rsid w:val="00610AD5"/>
    <w:rPr>
      <w:rFonts w:ascii="Times" w:eastAsiaTheme="minorEastAsia" w:hAnsi="Times" w:cstheme="minorBidi"/>
      <w:color w:val="auto"/>
    </w:rPr>
  </w:style>
  <w:style w:type="paragraph" w:customStyle="1" w:styleId="CM2">
    <w:name w:val="CM2"/>
    <w:basedOn w:val="Default"/>
    <w:next w:val="Default"/>
    <w:uiPriority w:val="99"/>
    <w:rsid w:val="00610AD5"/>
    <w:pPr>
      <w:spacing w:line="303" w:lineRule="atLeast"/>
    </w:pPr>
    <w:rPr>
      <w:rFonts w:ascii="Times" w:eastAsiaTheme="minorEastAsia" w:hAnsi="Times" w:cstheme="minorBidi"/>
      <w:color w:val="auto"/>
    </w:rPr>
  </w:style>
  <w:style w:type="paragraph" w:customStyle="1" w:styleId="CM3">
    <w:name w:val="CM3"/>
    <w:basedOn w:val="Default"/>
    <w:next w:val="Default"/>
    <w:uiPriority w:val="99"/>
    <w:rsid w:val="00610AD5"/>
    <w:pPr>
      <w:spacing w:line="303" w:lineRule="atLeast"/>
    </w:pPr>
    <w:rPr>
      <w:rFonts w:ascii="Times" w:eastAsiaTheme="minorEastAsia" w:hAnsi="Times" w:cstheme="minorBidi"/>
      <w:color w:val="auto"/>
    </w:rPr>
  </w:style>
  <w:style w:type="paragraph" w:customStyle="1" w:styleId="CM5">
    <w:name w:val="CM5"/>
    <w:basedOn w:val="Default"/>
    <w:next w:val="Default"/>
    <w:uiPriority w:val="99"/>
    <w:rsid w:val="00610AD5"/>
    <w:pPr>
      <w:spacing w:line="303" w:lineRule="atLeast"/>
    </w:pPr>
    <w:rPr>
      <w:rFonts w:ascii="Times" w:eastAsiaTheme="minorEastAsia" w:hAnsi="Times" w:cstheme="minorBidi"/>
      <w:color w:val="auto"/>
    </w:rPr>
  </w:style>
  <w:style w:type="paragraph" w:customStyle="1" w:styleId="CM8">
    <w:name w:val="CM8"/>
    <w:basedOn w:val="Default"/>
    <w:next w:val="Default"/>
    <w:uiPriority w:val="99"/>
    <w:rsid w:val="00610AD5"/>
    <w:pPr>
      <w:spacing w:line="303" w:lineRule="atLeast"/>
    </w:pPr>
    <w:rPr>
      <w:rFonts w:ascii="Times" w:eastAsiaTheme="minorEastAsia" w:hAnsi="Times" w:cstheme="minorBidi"/>
      <w:color w:val="auto"/>
    </w:rPr>
  </w:style>
  <w:style w:type="paragraph" w:customStyle="1" w:styleId="CM4">
    <w:name w:val="CM4"/>
    <w:basedOn w:val="Default"/>
    <w:next w:val="Default"/>
    <w:uiPriority w:val="99"/>
    <w:rsid w:val="00610AD5"/>
    <w:pPr>
      <w:spacing w:line="303" w:lineRule="atLeast"/>
    </w:pPr>
    <w:rPr>
      <w:rFonts w:ascii="Times" w:eastAsiaTheme="minorEastAsia" w:hAnsi="Times" w:cstheme="minorBidi"/>
      <w:color w:val="auto"/>
    </w:rPr>
  </w:style>
</w:styles>
</file>

<file path=word/webSettings.xml><?xml version="1.0" encoding="utf-8"?>
<w:webSettings xmlns:r="http://schemas.openxmlformats.org/officeDocument/2006/relationships" xmlns:w="http://schemas.openxmlformats.org/wordprocessingml/2006/main">
  <w:divs>
    <w:div w:id="312757252">
      <w:bodyDiv w:val="1"/>
      <w:marLeft w:val="0"/>
      <w:marRight w:val="0"/>
      <w:marTop w:val="0"/>
      <w:marBottom w:val="0"/>
      <w:divBdr>
        <w:top w:val="none" w:sz="0" w:space="0" w:color="auto"/>
        <w:left w:val="none" w:sz="0" w:space="0" w:color="auto"/>
        <w:bottom w:val="none" w:sz="0" w:space="0" w:color="auto"/>
        <w:right w:val="none" w:sz="0" w:space="0" w:color="auto"/>
      </w:divBdr>
    </w:div>
    <w:div w:id="583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9.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6.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image" Target="media/image4.gif"/><Relationship Id="rId30" Type="http://schemas.openxmlformats.org/officeDocument/2006/relationships/header" Target="header1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admin.ch/ch/f/rs/7/784.10.fr.pdf" TargetMode="External"/><Relationship Id="rId2" Type="http://schemas.openxmlformats.org/officeDocument/2006/relationships/hyperlink" Target="http://www.admin.ch/ch/f/rs/7/784.106.12.fr.pdf" TargetMode="External"/><Relationship Id="rId1" Type="http://schemas.openxmlformats.org/officeDocument/2006/relationships/hyperlink" Target="http://www.admin.ch/ch/f/rs/7/784.106.fr.pdf" TargetMode="External"/><Relationship Id="rId4" Type="http://schemas.openxmlformats.org/officeDocument/2006/relationships/hyperlink" Target="http://www.admin.ch/ch/f/rs/3/313.32.fr.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p\Application%20Data\Microsoft\Templates\Bdt_rap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E49EE-6A82-462F-8EAD-A690C6B9F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Bdt_rap05.dot</Template>
  <TotalTime>517</TotalTime>
  <Pages>91</Pages>
  <Words>26303</Words>
  <Characters>157400</Characters>
  <Application>Microsoft Office Word</Application>
  <DocSecurity>0</DocSecurity>
  <Lines>1311</Lines>
  <Paragraphs>366</Paragraphs>
  <ScaleCrop>false</ScaleCrop>
  <HeadingPairs>
    <vt:vector size="2" baseType="variant">
      <vt:variant>
        <vt:lpstr>Title</vt:lpstr>
      </vt:variant>
      <vt:variant>
        <vt:i4>1</vt:i4>
      </vt:variant>
    </vt:vector>
  </HeadingPairs>
  <TitlesOfParts>
    <vt:vector size="1" baseType="lpstr">
      <vt:lpstr>REQUEST FOR COMMENTS ON THE DRAFT OUTLINE FOR THE SEPTEMBER 2003 REPORT FOR ITU-D STUDY GROUP 1</vt:lpstr>
    </vt:vector>
  </TitlesOfParts>
  <Manager>General Secretariat - Pool</Manager>
  <Company>International Telecommunication Union (ITU)</Company>
  <LinksUpToDate>false</LinksUpToDate>
  <CharactersWithSpaces>183337</CharactersWithSpaces>
  <SharedDoc>false</SharedDoc>
  <HLinks>
    <vt:vector size="36" baseType="variant">
      <vt:variant>
        <vt:i4>1048625</vt:i4>
      </vt:variant>
      <vt:variant>
        <vt:i4>14</vt:i4>
      </vt:variant>
      <vt:variant>
        <vt:i4>0</vt:i4>
      </vt:variant>
      <vt:variant>
        <vt:i4>5</vt:i4>
      </vt:variant>
      <vt:variant>
        <vt:lpwstr/>
      </vt:variant>
      <vt:variant>
        <vt:lpwstr>_Toc216757060</vt:lpwstr>
      </vt:variant>
      <vt:variant>
        <vt:i4>1245233</vt:i4>
      </vt:variant>
      <vt:variant>
        <vt:i4>8</vt:i4>
      </vt:variant>
      <vt:variant>
        <vt:i4>0</vt:i4>
      </vt:variant>
      <vt:variant>
        <vt:i4>5</vt:i4>
      </vt:variant>
      <vt:variant>
        <vt:lpwstr/>
      </vt:variant>
      <vt:variant>
        <vt:lpwstr>_Toc216757059</vt:lpwstr>
      </vt:variant>
      <vt:variant>
        <vt:i4>1572922</vt:i4>
      </vt:variant>
      <vt:variant>
        <vt:i4>0</vt:i4>
      </vt:variant>
      <vt:variant>
        <vt:i4>0</vt:i4>
      </vt:variant>
      <vt:variant>
        <vt:i4>5</vt:i4>
      </vt:variant>
      <vt:variant>
        <vt:lpwstr/>
      </vt:variant>
      <vt:variant>
        <vt:lpwstr>_Toc221682198</vt:lpwstr>
      </vt:variant>
      <vt:variant>
        <vt:i4>4784159</vt:i4>
      </vt:variant>
      <vt:variant>
        <vt:i4>6</vt:i4>
      </vt:variant>
      <vt:variant>
        <vt:i4>0</vt:i4>
      </vt:variant>
      <vt:variant>
        <vt:i4>5</vt:i4>
      </vt:variant>
      <vt:variant>
        <vt:lpwstr>http://www.itu.int/plenipotentiary/2006/pd/final-acts.doc</vt:lpwstr>
      </vt:variant>
      <vt:variant>
        <vt:lpwstr/>
      </vt:variant>
      <vt:variant>
        <vt:i4>1769492</vt:i4>
      </vt:variant>
      <vt:variant>
        <vt:i4>3</vt:i4>
      </vt:variant>
      <vt:variant>
        <vt:i4>0</vt:i4>
      </vt:variant>
      <vt:variant>
        <vt:i4>5</vt:i4>
      </vt:variant>
      <vt:variant>
        <vt:lpwstr>http://www.itu.int/ITU-T/worksem/ictspw/</vt:lpwstr>
      </vt:variant>
      <vt:variant>
        <vt:lpwstr/>
      </vt:variant>
      <vt:variant>
        <vt:i4>4325397</vt:i4>
      </vt:variant>
      <vt:variant>
        <vt:i4>0</vt:i4>
      </vt:variant>
      <vt:variant>
        <vt:i4>0</vt:i4>
      </vt:variant>
      <vt:variant>
        <vt:i4>5</vt:i4>
      </vt:variant>
      <vt:variant>
        <vt:lpwstr>http://www.sdr.gov/NDIS_rev_Oct27.pdf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COMMENTS ON THE DRAFT OUTLINE FOR THE SEPTEMBER 2003 REPORT FOR ITU-D STUDY GROUP 1</dc:title>
  <dc:subject>Report on Resolution 9 (Rev. Istanbul, 2002) and Question 21/2</dc:subject>
  <dc:creator>mep</dc:creator>
  <cp:keywords>Folios: 1 - 231</cp:keywords>
  <dc:description>Q17-1-e.doc  For: Geneva, 16-20 June 2003_x000d_
Document date: _x000d_
Saved by CP--3343 at 12:36:02 on 09.11.2004_x000d_
_x000d_
Saisie + MEP: 19.01.2006/NM_x000d_
Corr BAT: 19.05.2006/NM_x000d_
2 corr. BAT: 26.05.2006/NM_x000d_
3 corr. BAT: 07.06.2006/NM</dc:description>
  <cp:lastModifiedBy>lucasi</cp:lastModifiedBy>
  <cp:revision>14</cp:revision>
  <cp:lastPrinted>2011-03-23T13:53:00Z</cp:lastPrinted>
  <dcterms:created xsi:type="dcterms:W3CDTF">2011-03-22T09:27:00Z</dcterms:created>
  <dcterms:modified xsi:type="dcterms:W3CDTF">2011-03-25T13:48:00Z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Q17-1-e.doc</vt:lpwstr>
  </property>
  <property fmtid="{D5CDD505-2E9C-101B-9397-08002B2CF9AE}" pid="3" name="Docdate">
    <vt:lpwstr/>
  </property>
  <property fmtid="{D5CDD505-2E9C-101B-9397-08002B2CF9AE}" pid="4" name="Docorlang">
    <vt:lpwstr/>
  </property>
  <property fmtid="{D5CDD505-2E9C-101B-9397-08002B2CF9AE}" pid="5" name="Docdest">
    <vt:lpwstr>Geneva, 16-20 June 2003</vt:lpwstr>
  </property>
  <property fmtid="{D5CDD505-2E9C-101B-9397-08002B2CF9AE}" pid="6" name="Docauthor">
    <vt:lpwstr/>
  </property>
</Properties>
</file>