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BF1" w:rsidRDefault="000E5BF1"/>
    <w:p w:rsidR="000E5BF1" w:rsidRDefault="000E5BF1"/>
    <w:p w:rsidR="000E5BF1" w:rsidRDefault="000E5BF1"/>
    <w:p w:rsidR="000E5BF1" w:rsidRDefault="000E5BF1"/>
    <w:tbl>
      <w:tblPr>
        <w:tblW w:w="3111" w:type="dxa"/>
        <w:tblInd w:w="6953" w:type="dxa"/>
        <w:tblBorders>
          <w:left w:val="single" w:sz="18" w:space="0" w:color="808080"/>
        </w:tblBorders>
        <w:tblLook w:val="0000"/>
      </w:tblPr>
      <w:tblGrid>
        <w:gridCol w:w="3111"/>
      </w:tblGrid>
      <w:tr w:rsidR="00097754" w:rsidTr="00097754">
        <w:trPr>
          <w:cantSplit/>
          <w:trHeight w:val="648"/>
        </w:trPr>
        <w:tc>
          <w:tcPr>
            <w:tcW w:w="3111" w:type="dxa"/>
            <w:tcBorders>
              <w:left w:val="nil"/>
              <w:bottom w:val="single" w:sz="4" w:space="0" w:color="auto"/>
            </w:tcBorders>
          </w:tcPr>
          <w:p w:rsidR="00097754" w:rsidRPr="00435AA2" w:rsidRDefault="00097754" w:rsidP="00853B80">
            <w:pPr>
              <w:pStyle w:val="Heading3"/>
              <w:ind w:left="0" w:firstLine="0"/>
              <w:jc w:val="left"/>
              <w:rPr>
                <w:rFonts w:ascii="Trebuchet MS" w:hAnsi="Trebuchet MS" w:cs="Arial"/>
                <w:b w:val="0"/>
                <w:bCs/>
                <w:lang w:eastAsia="zh-CN"/>
              </w:rPr>
            </w:pPr>
            <w:bookmarkStart w:id="0" w:name="_Toc125339404"/>
            <w:bookmarkStart w:id="1" w:name="_Toc216756779"/>
            <w:bookmarkStart w:id="2" w:name="_Toc216757889"/>
            <w:bookmarkStart w:id="3" w:name="_Toc221682161"/>
            <w:bookmarkStart w:id="4" w:name="_Toc253554992"/>
            <w:bookmarkStart w:id="5" w:name="_Toc254774691"/>
            <w:bookmarkStart w:id="6" w:name="_Toc255897559"/>
            <w:bookmarkStart w:id="7" w:name="_Toc255915337"/>
            <w:bookmarkStart w:id="8" w:name="_Toc288642924"/>
            <w:r w:rsidRPr="00435AA2">
              <w:rPr>
                <w:rFonts w:ascii="STKaiti" w:eastAsia="STKaiti" w:hAnsi="STKaiti" w:hint="eastAsia"/>
                <w:sz w:val="24"/>
                <w:szCs w:val="24"/>
                <w:lang w:eastAsia="zh-CN"/>
              </w:rPr>
              <w:t>第</w:t>
            </w:r>
            <w:r w:rsidR="00853B80">
              <w:rPr>
                <w:rFonts w:ascii="Trebuchet MS" w:hAnsi="Trebuchet MS" w:hint="eastAsia"/>
                <w:lang w:eastAsia="zh-CN"/>
              </w:rPr>
              <w:t>9</w:t>
            </w:r>
            <w:bookmarkEnd w:id="0"/>
            <w:bookmarkEnd w:id="1"/>
            <w:bookmarkEnd w:id="2"/>
            <w:bookmarkEnd w:id="3"/>
            <w:bookmarkEnd w:id="4"/>
            <w:bookmarkEnd w:id="5"/>
            <w:r w:rsidR="00853B80">
              <w:rPr>
                <w:rFonts w:ascii="STKaiti" w:eastAsia="STKaiti" w:hAnsi="STKaiti" w:hint="eastAsia"/>
                <w:sz w:val="24"/>
                <w:szCs w:val="24"/>
                <w:lang w:eastAsia="zh-CN"/>
              </w:rPr>
              <w:t>号</w:t>
            </w:r>
            <w:bookmarkEnd w:id="6"/>
            <w:bookmarkEnd w:id="7"/>
            <w:r w:rsidR="00853B80">
              <w:rPr>
                <w:rFonts w:ascii="STKaiti" w:eastAsia="STKaiti" w:hAnsi="STKaiti" w:hint="eastAsia"/>
                <w:sz w:val="24"/>
                <w:szCs w:val="24"/>
                <w:lang w:eastAsia="zh-CN"/>
              </w:rPr>
              <w:t>决议</w:t>
            </w:r>
            <w:r w:rsidR="00853B80">
              <w:rPr>
                <w:rFonts w:ascii="STKaiti" w:eastAsia="STKaiti" w:hAnsi="STKaiti"/>
                <w:sz w:val="24"/>
                <w:szCs w:val="24"/>
                <w:lang w:eastAsia="zh-CN"/>
              </w:rPr>
              <w:br/>
            </w:r>
            <w:r w:rsidR="00853B80">
              <w:rPr>
                <w:rFonts w:ascii="STKaiti" w:eastAsia="STKaiti" w:hAnsi="STKaiti" w:hint="eastAsia"/>
                <w:sz w:val="24"/>
                <w:szCs w:val="24"/>
                <w:lang w:eastAsia="zh-CN"/>
              </w:rPr>
              <w:t>(2006年，多哈，修订版)</w:t>
            </w:r>
            <w:bookmarkEnd w:id="8"/>
          </w:p>
        </w:tc>
      </w:tr>
      <w:tr w:rsidR="00097754" w:rsidTr="00097754">
        <w:trPr>
          <w:cantSplit/>
          <w:trHeight w:val="1171"/>
        </w:trPr>
        <w:tc>
          <w:tcPr>
            <w:tcW w:w="3111" w:type="dxa"/>
            <w:tcBorders>
              <w:top w:val="single" w:sz="4" w:space="0" w:color="auto"/>
              <w:left w:val="nil"/>
            </w:tcBorders>
          </w:tcPr>
          <w:p w:rsidR="00097754" w:rsidRPr="00435AA2" w:rsidRDefault="00853B80" w:rsidP="00853B80">
            <w:pPr>
              <w:jc w:val="left"/>
              <w:rPr>
                <w:b/>
                <w:bCs/>
                <w:lang w:eastAsia="zh-CN"/>
              </w:rPr>
            </w:pPr>
            <w:r>
              <w:rPr>
                <w:rFonts w:ascii="STKaiti" w:eastAsia="STKaiti" w:hAnsi="STKaiti" w:hint="eastAsia"/>
                <w:b/>
                <w:bCs/>
                <w:lang w:eastAsia="zh-CN"/>
              </w:rPr>
              <w:t>指导原则</w:t>
            </w:r>
          </w:p>
        </w:tc>
      </w:tr>
    </w:tbl>
    <w:p w:rsidR="00097754" w:rsidRDefault="00097754" w:rsidP="00CA5900">
      <w:pPr>
        <w:rPr>
          <w:rFonts w:ascii="Arial" w:hAnsi="Arial" w:cs="Arial"/>
          <w:lang w:eastAsia="zh-CN"/>
        </w:rPr>
      </w:pPr>
    </w:p>
    <w:p w:rsidR="00097754" w:rsidRDefault="00097754" w:rsidP="00CA5900">
      <w:pPr>
        <w:rPr>
          <w:rFonts w:ascii="Arial" w:hAnsi="Arial" w:cs="Arial"/>
          <w:lang w:eastAsia="zh-CN"/>
        </w:rPr>
      </w:pPr>
    </w:p>
    <w:p w:rsidR="00097754" w:rsidRDefault="00097754" w:rsidP="00CA5900">
      <w:pPr>
        <w:rPr>
          <w:rFonts w:ascii="Arial" w:hAnsi="Arial" w:cs="Arial"/>
          <w:lang w:eastAsia="zh-CN"/>
        </w:rPr>
      </w:pPr>
    </w:p>
    <w:p w:rsidR="00097754" w:rsidRDefault="00097754" w:rsidP="00CA5900">
      <w:pPr>
        <w:rPr>
          <w:rFonts w:ascii="Arial" w:hAnsi="Arial" w:cs="Arial"/>
          <w:lang w:eastAsia="zh-CN"/>
        </w:rPr>
      </w:pPr>
    </w:p>
    <w:p w:rsidR="00097754" w:rsidRDefault="00097754" w:rsidP="0027059E">
      <w:pPr>
        <w:shd w:val="clear" w:color="auto" w:fill="B3B3B3"/>
        <w:tabs>
          <w:tab w:val="clear" w:pos="794"/>
          <w:tab w:val="clear" w:pos="1191"/>
          <w:tab w:val="clear" w:pos="1588"/>
          <w:tab w:val="clear" w:pos="1985"/>
          <w:tab w:val="left" w:pos="1722"/>
          <w:tab w:val="left" w:pos="6237"/>
        </w:tabs>
        <w:spacing w:before="160"/>
        <w:jc w:val="left"/>
        <w:rPr>
          <w:rFonts w:ascii="Trebuchet MS" w:hAnsi="Trebuchet MS" w:cs="Arial"/>
          <w:color w:val="FFFFFF"/>
          <w:sz w:val="32"/>
          <w:lang w:eastAsia="zh-CN"/>
        </w:rPr>
      </w:pPr>
      <w:r>
        <w:rPr>
          <w:rFonts w:ascii="Trebuchet MS" w:hAnsi="Trebuchet MS" w:cs="Arial"/>
          <w:b/>
          <w:bCs/>
          <w:color w:val="FFFFFF"/>
          <w:sz w:val="32"/>
          <w:lang w:eastAsia="zh-CN"/>
        </w:rPr>
        <w:t xml:space="preserve"> ITU-D</w:t>
      </w:r>
      <w:r>
        <w:rPr>
          <w:rFonts w:ascii="Trebuchet MS" w:hAnsi="Trebuchet MS" w:cs="Arial"/>
          <w:color w:val="FFFFFF"/>
          <w:sz w:val="32"/>
          <w:lang w:eastAsia="zh-CN"/>
        </w:rPr>
        <w:tab/>
      </w:r>
      <w:r w:rsidRPr="0013106F">
        <w:rPr>
          <w:rFonts w:ascii="SimHei" w:eastAsia="SimHei" w:hAnsi="Trebuchet MS" w:cs="Arial" w:hint="eastAsia"/>
          <w:color w:val="FFFFFF"/>
          <w:sz w:val="32"/>
          <w:szCs w:val="32"/>
          <w:lang w:val="en-US" w:eastAsia="zh-CN"/>
        </w:rPr>
        <w:t>第</w:t>
      </w:r>
      <w:r w:rsidRPr="00D400DF">
        <w:rPr>
          <w:rFonts w:ascii="Trebuchet MS" w:hAnsi="Trebuchet MS" w:cs="Arial"/>
          <w:color w:val="FFFFFF"/>
          <w:sz w:val="32"/>
          <w:szCs w:val="32"/>
          <w:lang w:val="en-US" w:eastAsia="zh-CN"/>
        </w:rPr>
        <w:t>2</w:t>
      </w:r>
      <w:r w:rsidRPr="0013106F">
        <w:rPr>
          <w:rFonts w:ascii="SimHei" w:eastAsia="SimHei" w:hAnsi="Trebuchet MS" w:cs="Arial" w:hint="eastAsia"/>
          <w:color w:val="FFFFFF"/>
          <w:sz w:val="32"/>
          <w:szCs w:val="32"/>
          <w:lang w:val="en-US" w:eastAsia="zh-CN"/>
        </w:rPr>
        <w:t>研究组</w:t>
      </w:r>
      <w:r w:rsidRPr="00D400DF">
        <w:rPr>
          <w:rFonts w:ascii="Trebuchet MS" w:hAnsi="Trebuchet MS" w:cs="Arial"/>
          <w:color w:val="FFFFFF"/>
          <w:sz w:val="32"/>
          <w:szCs w:val="32"/>
          <w:lang w:val="en-US" w:eastAsia="zh-CN"/>
        </w:rPr>
        <w:tab/>
      </w:r>
      <w:r w:rsidRPr="0013106F">
        <w:rPr>
          <w:rFonts w:ascii="SimHei" w:eastAsia="SimHei" w:hint="eastAsia"/>
          <w:color w:val="FFFFFF" w:themeColor="background1"/>
          <w:sz w:val="32"/>
          <w:szCs w:val="32"/>
          <w:lang w:eastAsia="zh-CN"/>
        </w:rPr>
        <w:t>第</w:t>
      </w:r>
      <w:r w:rsidRPr="00D400DF">
        <w:rPr>
          <w:rFonts w:ascii="Trebuchet MS" w:hAnsi="Trebuchet MS" w:cs="Arial"/>
          <w:color w:val="FFFFFF"/>
          <w:sz w:val="32"/>
          <w:szCs w:val="32"/>
          <w:lang w:val="en-US" w:eastAsia="zh-CN"/>
        </w:rPr>
        <w:t>4</w:t>
      </w:r>
      <w:r w:rsidRPr="0013106F">
        <w:rPr>
          <w:rFonts w:ascii="SimHei" w:eastAsia="SimHei" w:hAnsi="Trebuchet MS" w:cs="Arial" w:hint="eastAsia"/>
          <w:color w:val="FFFFFF"/>
          <w:sz w:val="32"/>
          <w:szCs w:val="32"/>
          <w:lang w:val="en-US" w:eastAsia="zh-CN"/>
        </w:rPr>
        <w:t>研究期</w:t>
      </w:r>
      <w:r w:rsidRPr="00D400DF">
        <w:rPr>
          <w:rFonts w:ascii="Trebuchet MS" w:hAnsi="Trebuchet MS" w:cs="Arial"/>
          <w:color w:val="FFFFFF"/>
          <w:sz w:val="32"/>
          <w:szCs w:val="32"/>
          <w:lang w:val="en-US" w:eastAsia="zh-CN"/>
        </w:rPr>
        <w:t xml:space="preserve"> (2006-2010)</w:t>
      </w:r>
    </w:p>
    <w:p w:rsidR="00097754" w:rsidRDefault="00097754" w:rsidP="00CA5900">
      <w:pPr>
        <w:ind w:right="2520"/>
        <w:jc w:val="right"/>
        <w:rPr>
          <w:rFonts w:ascii="Arial" w:hAnsi="Arial" w:cs="Arial"/>
          <w:lang w:eastAsia="zh-CN"/>
        </w:rPr>
      </w:pPr>
    </w:p>
    <w:p w:rsidR="00097754" w:rsidRDefault="00097754" w:rsidP="00CA5900">
      <w:pPr>
        <w:ind w:right="2520"/>
        <w:jc w:val="right"/>
        <w:rPr>
          <w:rFonts w:ascii="Arial" w:hAnsi="Arial" w:cs="Arial"/>
          <w:lang w:eastAsia="zh-CN"/>
        </w:rPr>
      </w:pPr>
    </w:p>
    <w:p w:rsidR="00097754" w:rsidRDefault="00097754" w:rsidP="00CA5900">
      <w:pPr>
        <w:ind w:right="2520"/>
        <w:jc w:val="right"/>
        <w:rPr>
          <w:rFonts w:ascii="Arial" w:hAnsi="Arial" w:cs="Arial"/>
          <w:lang w:eastAsia="zh-CN"/>
        </w:rPr>
      </w:pPr>
    </w:p>
    <w:p w:rsidR="0027059E" w:rsidRDefault="00097754" w:rsidP="00853B80">
      <w:pPr>
        <w:spacing w:line="600" w:lineRule="exact"/>
        <w:ind w:right="2517"/>
        <w:jc w:val="right"/>
        <w:rPr>
          <w:rFonts w:ascii="STKaiti" w:eastAsia="STKaiti" w:hAnsi="STKaiti"/>
          <w:b/>
          <w:bCs/>
          <w:sz w:val="48"/>
          <w:szCs w:val="48"/>
          <w:lang w:eastAsia="zh-CN"/>
        </w:rPr>
      </w:pPr>
      <w:r w:rsidRPr="00523EA6">
        <w:rPr>
          <w:rFonts w:ascii="STKaiti" w:eastAsia="STKaiti" w:hAnsi="STKaiti"/>
          <w:b/>
          <w:bCs/>
          <w:sz w:val="48"/>
          <w:szCs w:val="48"/>
          <w:lang w:eastAsia="zh-CN"/>
        </w:rPr>
        <w:t>第</w:t>
      </w:r>
      <w:r w:rsidR="00853B80">
        <w:rPr>
          <w:rFonts w:ascii="STKaiti" w:eastAsia="STKaiti" w:hAnsi="STKaiti"/>
          <w:b/>
          <w:bCs/>
          <w:sz w:val="48"/>
          <w:szCs w:val="48"/>
          <w:lang w:eastAsia="zh-CN"/>
        </w:rPr>
        <w:t>9</w:t>
      </w:r>
      <w:r w:rsidRPr="00523EA6">
        <w:rPr>
          <w:rFonts w:ascii="STKaiti" w:eastAsia="STKaiti" w:hAnsi="STKaiti"/>
          <w:b/>
          <w:bCs/>
          <w:sz w:val="48"/>
          <w:szCs w:val="48"/>
          <w:lang w:eastAsia="zh-CN"/>
        </w:rPr>
        <w:t>号</w:t>
      </w:r>
      <w:r w:rsidR="00853B80">
        <w:rPr>
          <w:rFonts w:ascii="STKaiti" w:eastAsia="STKaiti" w:hAnsi="STKaiti" w:hint="eastAsia"/>
          <w:b/>
          <w:bCs/>
          <w:sz w:val="48"/>
          <w:szCs w:val="48"/>
          <w:lang w:val="en-US" w:eastAsia="zh-CN"/>
        </w:rPr>
        <w:t>决议</w:t>
      </w:r>
      <w:r w:rsidR="0027059E">
        <w:rPr>
          <w:rFonts w:ascii="STKaiti" w:eastAsia="STKaiti" w:hAnsi="STKaiti" w:hint="eastAsia"/>
          <w:b/>
          <w:bCs/>
          <w:sz w:val="48"/>
          <w:szCs w:val="48"/>
          <w:lang w:eastAsia="zh-CN"/>
        </w:rPr>
        <w:t>：</w:t>
      </w:r>
    </w:p>
    <w:p w:rsidR="00097754" w:rsidRPr="007F0FA2" w:rsidRDefault="00853B80" w:rsidP="00853B80">
      <w:pPr>
        <w:spacing w:line="600" w:lineRule="exact"/>
        <w:ind w:right="2517"/>
        <w:jc w:val="right"/>
        <w:rPr>
          <w:rFonts w:ascii="STKaiti" w:eastAsia="STKaiti" w:hAnsi="STKaiti" w:cs="Tahoma"/>
          <w:b/>
          <w:bCs/>
          <w:i/>
          <w:iCs/>
          <w:sz w:val="44"/>
          <w:szCs w:val="44"/>
          <w:lang w:eastAsia="zh-CN"/>
        </w:rPr>
      </w:pPr>
      <w:r w:rsidRPr="00853B80">
        <w:rPr>
          <w:rFonts w:ascii="STKaiti" w:eastAsia="STKaiti" w:hAnsi="STKaiti" w:hint="eastAsia"/>
          <w:b/>
          <w:bCs/>
          <w:sz w:val="44"/>
          <w:szCs w:val="44"/>
          <w:lang w:val="en-US" w:eastAsia="zh-CN"/>
        </w:rPr>
        <w:t>制定无线电频率</w:t>
      </w:r>
      <w:r>
        <w:rPr>
          <w:rFonts w:ascii="STKaiti" w:eastAsia="STKaiti" w:hAnsi="STKaiti"/>
          <w:b/>
          <w:bCs/>
          <w:sz w:val="44"/>
          <w:szCs w:val="44"/>
          <w:lang w:val="en-US" w:eastAsia="zh-CN"/>
        </w:rPr>
        <w:br/>
      </w:r>
      <w:r w:rsidRPr="00853B80">
        <w:rPr>
          <w:rFonts w:ascii="STKaiti" w:eastAsia="STKaiti" w:hAnsi="STKaiti" w:hint="eastAsia"/>
          <w:b/>
          <w:bCs/>
          <w:sz w:val="44"/>
          <w:szCs w:val="44"/>
          <w:lang w:val="en-US" w:eastAsia="zh-CN"/>
        </w:rPr>
        <w:t>使用费关联系统</w:t>
      </w:r>
      <w:r>
        <w:rPr>
          <w:rFonts w:ascii="STKaiti" w:eastAsia="STKaiti" w:hAnsi="STKaiti"/>
          <w:b/>
          <w:bCs/>
          <w:sz w:val="44"/>
          <w:szCs w:val="44"/>
          <w:lang w:val="en-US" w:eastAsia="zh-CN"/>
        </w:rPr>
        <w:br/>
      </w:r>
      <w:r w:rsidRPr="00853B80">
        <w:rPr>
          <w:rFonts w:ascii="STKaiti" w:eastAsia="STKaiti" w:hAnsi="STKaiti" w:hint="eastAsia"/>
          <w:b/>
          <w:bCs/>
          <w:sz w:val="44"/>
          <w:szCs w:val="44"/>
          <w:lang w:val="en-US" w:eastAsia="zh-CN"/>
        </w:rPr>
        <w:t>的指导原则</w:t>
      </w:r>
    </w:p>
    <w:p w:rsidR="00097754" w:rsidRDefault="00097754" w:rsidP="00CA5900">
      <w:pPr>
        <w:spacing w:before="0"/>
        <w:ind w:right="2520"/>
        <w:jc w:val="right"/>
        <w:rPr>
          <w:rFonts w:ascii="Arial Rounded MT Bold" w:hAnsi="Arial Rounded MT Bold" w:cs="Tahoma"/>
          <w:b/>
          <w:bCs/>
          <w:i/>
          <w:iCs/>
          <w:sz w:val="52"/>
          <w:lang w:eastAsia="zh-CN"/>
        </w:rPr>
      </w:pPr>
    </w:p>
    <w:p w:rsidR="00097754" w:rsidRDefault="00097754" w:rsidP="00CA5900">
      <w:pPr>
        <w:rPr>
          <w:rFonts w:ascii="FrugalSans Th" w:hAnsi="FrugalSans Th"/>
          <w:i/>
          <w:iCs/>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pStyle w:val="Heading1"/>
        <w:jc w:val="center"/>
        <w:rPr>
          <w:lang w:eastAsia="zh-CN"/>
        </w:rPr>
        <w:sectPr w:rsidR="00097754" w:rsidSect="0027059E">
          <w:headerReference w:type="even" r:id="rId8"/>
          <w:headerReference w:type="default" r:id="rId9"/>
          <w:footerReference w:type="default" r:id="rId10"/>
          <w:headerReference w:type="first" r:id="rId11"/>
          <w:footerReference w:type="first" r:id="rId12"/>
          <w:pgSz w:w="11909" w:h="16834" w:code="9"/>
          <w:pgMar w:top="1418" w:right="569" w:bottom="1418" w:left="1418" w:header="720" w:footer="720" w:gutter="0"/>
          <w:pgNumType w:fmt="lowerRoman" w:start="1"/>
          <w:cols w:space="720"/>
        </w:sectPr>
      </w:pPr>
    </w:p>
    <w:p w:rsidR="00097754" w:rsidRDefault="00097754" w:rsidP="00CA5900">
      <w:pPr>
        <w:rPr>
          <w:b/>
          <w:bCs/>
          <w:lang w:val="en-US" w:eastAsia="zh-CN"/>
        </w:rPr>
      </w:pPr>
    </w:p>
    <w:p w:rsidR="00D023A8" w:rsidRPr="00D023A8" w:rsidRDefault="00D023A8" w:rsidP="00D023A8">
      <w:pPr>
        <w:pBdr>
          <w:top w:val="single" w:sz="4" w:space="1" w:color="auto"/>
          <w:left w:val="single" w:sz="4" w:space="4" w:color="auto"/>
          <w:bottom w:val="single" w:sz="4" w:space="1" w:color="auto"/>
          <w:right w:val="single" w:sz="4" w:space="4" w:color="auto"/>
        </w:pBdr>
        <w:jc w:val="center"/>
        <w:rPr>
          <w:b/>
          <w:bCs/>
          <w:sz w:val="24"/>
          <w:szCs w:val="24"/>
        </w:rPr>
      </w:pPr>
      <w:r w:rsidRPr="00D023A8">
        <w:rPr>
          <w:rFonts w:hint="eastAsia"/>
          <w:b/>
          <w:bCs/>
          <w:sz w:val="24"/>
          <w:szCs w:val="24"/>
        </w:rPr>
        <w:t>致谢</w:t>
      </w:r>
    </w:p>
    <w:p w:rsidR="00D023A8" w:rsidRPr="00015D4C" w:rsidRDefault="00D023A8" w:rsidP="00D023A8">
      <w:pPr>
        <w:pBdr>
          <w:top w:val="single" w:sz="4" w:space="1" w:color="auto"/>
          <w:left w:val="single" w:sz="4" w:space="4" w:color="auto"/>
          <w:bottom w:val="single" w:sz="4" w:space="1" w:color="auto"/>
          <w:right w:val="single" w:sz="4" w:space="4" w:color="auto"/>
        </w:pBdr>
        <w:spacing w:before="240"/>
        <w:jc w:val="left"/>
        <w:rPr>
          <w:szCs w:val="22"/>
        </w:rPr>
      </w:pPr>
      <w:r w:rsidRPr="00015D4C">
        <w:rPr>
          <w:rFonts w:hint="eastAsia"/>
          <w:szCs w:val="22"/>
        </w:rPr>
        <w:t>谨对一直以来对本报告的编写工作提供帮助的文稿作者表示感谢：</w:t>
      </w:r>
    </w:p>
    <w:p w:rsidR="00D023A8" w:rsidRPr="00015D4C" w:rsidRDefault="00D023A8" w:rsidP="00D023A8">
      <w:pPr>
        <w:pBdr>
          <w:top w:val="single" w:sz="4" w:space="1" w:color="auto"/>
          <w:left w:val="single" w:sz="4" w:space="4" w:color="auto"/>
          <w:bottom w:val="single" w:sz="4" w:space="1" w:color="auto"/>
          <w:right w:val="single" w:sz="4" w:space="4" w:color="auto"/>
        </w:pBdr>
        <w:spacing w:before="200"/>
        <w:jc w:val="left"/>
        <w:rPr>
          <w:szCs w:val="22"/>
        </w:rPr>
      </w:pPr>
      <w:r w:rsidRPr="00015D4C">
        <w:rPr>
          <w:rFonts w:hint="eastAsia"/>
          <w:szCs w:val="22"/>
        </w:rPr>
        <w:t>对全部工作：</w:t>
      </w:r>
    </w:p>
    <w:p w:rsidR="00D023A8" w:rsidRPr="00015D4C" w:rsidRDefault="00D023A8" w:rsidP="00D023A8">
      <w:pPr>
        <w:pBdr>
          <w:top w:val="single" w:sz="4" w:space="1" w:color="auto"/>
          <w:left w:val="single" w:sz="4" w:space="4" w:color="auto"/>
          <w:bottom w:val="single" w:sz="4" w:space="1" w:color="auto"/>
          <w:right w:val="single" w:sz="4" w:space="4" w:color="auto"/>
        </w:pBdr>
        <w:spacing w:before="200"/>
        <w:jc w:val="left"/>
        <w:rPr>
          <w:szCs w:val="22"/>
        </w:rPr>
      </w:pPr>
      <w:r w:rsidRPr="00015D4C">
        <w:rPr>
          <w:szCs w:val="22"/>
        </w:rPr>
        <w:t>Jean-Pierre Huynh</w:t>
      </w:r>
      <w:r w:rsidRPr="00015D4C">
        <w:rPr>
          <w:rFonts w:hint="eastAsia"/>
          <w:szCs w:val="22"/>
          <w:lang w:val="fr-FR"/>
        </w:rPr>
        <w:t>先生</w:t>
      </w:r>
      <w:r w:rsidRPr="00015D4C">
        <w:rPr>
          <w:rFonts w:hint="eastAsia"/>
          <w:szCs w:val="22"/>
        </w:rPr>
        <w:t>（</w:t>
      </w:r>
      <w:r w:rsidRPr="00015D4C">
        <w:rPr>
          <w:rFonts w:hint="eastAsia"/>
          <w:szCs w:val="22"/>
          <w:lang w:val="fr-FR"/>
        </w:rPr>
        <w:t>法国</w:t>
      </w:r>
      <w:r w:rsidRPr="00015D4C">
        <w:rPr>
          <w:rFonts w:hint="eastAsia"/>
          <w:szCs w:val="22"/>
        </w:rPr>
        <w:t>）</w:t>
      </w:r>
    </w:p>
    <w:p w:rsidR="00D023A8" w:rsidRPr="00015D4C" w:rsidRDefault="00D023A8" w:rsidP="00D023A8">
      <w:pPr>
        <w:pBdr>
          <w:top w:val="single" w:sz="4" w:space="1" w:color="auto"/>
          <w:left w:val="single" w:sz="4" w:space="4" w:color="auto"/>
          <w:bottom w:val="single" w:sz="4" w:space="1" w:color="auto"/>
          <w:right w:val="single" w:sz="4" w:space="4" w:color="auto"/>
        </w:pBdr>
        <w:spacing w:before="60"/>
        <w:jc w:val="left"/>
        <w:rPr>
          <w:szCs w:val="22"/>
        </w:rPr>
      </w:pPr>
      <w:r w:rsidRPr="00015D4C">
        <w:rPr>
          <w:szCs w:val="22"/>
        </w:rPr>
        <w:t>André Chaminade</w:t>
      </w:r>
      <w:r w:rsidRPr="00015D4C">
        <w:rPr>
          <w:rFonts w:hint="eastAsia"/>
          <w:szCs w:val="22"/>
        </w:rPr>
        <w:t>先生（法国）</w:t>
      </w:r>
    </w:p>
    <w:p w:rsidR="00D023A8" w:rsidRPr="00015D4C" w:rsidRDefault="00D023A8" w:rsidP="00D023A8">
      <w:pPr>
        <w:pBdr>
          <w:top w:val="single" w:sz="4" w:space="1" w:color="auto"/>
          <w:left w:val="single" w:sz="4" w:space="4" w:color="auto"/>
          <w:bottom w:val="single" w:sz="4" w:space="1" w:color="auto"/>
          <w:right w:val="single" w:sz="4" w:space="4" w:color="auto"/>
        </w:pBdr>
        <w:spacing w:before="60"/>
        <w:jc w:val="left"/>
        <w:rPr>
          <w:szCs w:val="22"/>
        </w:rPr>
      </w:pPr>
      <w:r w:rsidRPr="00015D4C">
        <w:rPr>
          <w:szCs w:val="22"/>
        </w:rPr>
        <w:t>Dirk-Olivier Von der Emden</w:t>
      </w:r>
      <w:r w:rsidRPr="00015D4C">
        <w:rPr>
          <w:rFonts w:hint="eastAsia"/>
          <w:szCs w:val="22"/>
        </w:rPr>
        <w:t>先生（瑞士）</w:t>
      </w:r>
    </w:p>
    <w:p w:rsidR="00D023A8" w:rsidRPr="00015D4C" w:rsidRDefault="00D023A8" w:rsidP="00D023A8">
      <w:pPr>
        <w:pBdr>
          <w:top w:val="single" w:sz="4" w:space="1" w:color="auto"/>
          <w:left w:val="single" w:sz="4" w:space="4" w:color="auto"/>
          <w:bottom w:val="single" w:sz="4" w:space="1" w:color="auto"/>
          <w:right w:val="single" w:sz="4" w:space="4" w:color="auto"/>
        </w:pBdr>
        <w:spacing w:before="60"/>
        <w:jc w:val="left"/>
        <w:rPr>
          <w:szCs w:val="22"/>
        </w:rPr>
      </w:pPr>
      <w:r w:rsidRPr="00015D4C">
        <w:rPr>
          <w:szCs w:val="22"/>
        </w:rPr>
        <w:t>Naser Alrashedi</w:t>
      </w:r>
      <w:r w:rsidRPr="00015D4C">
        <w:rPr>
          <w:rFonts w:hint="eastAsia"/>
          <w:szCs w:val="22"/>
        </w:rPr>
        <w:t>先生和</w:t>
      </w:r>
      <w:r w:rsidRPr="00015D4C">
        <w:rPr>
          <w:szCs w:val="22"/>
        </w:rPr>
        <w:t>Hasan Sharif</w:t>
      </w:r>
      <w:r w:rsidRPr="00015D4C">
        <w:rPr>
          <w:rFonts w:hint="eastAsia"/>
          <w:szCs w:val="22"/>
        </w:rPr>
        <w:t>先生（阿拉伯联合酋长国）</w:t>
      </w:r>
    </w:p>
    <w:p w:rsidR="00D023A8" w:rsidRPr="00015D4C" w:rsidRDefault="00D023A8" w:rsidP="00D023A8">
      <w:pPr>
        <w:pBdr>
          <w:top w:val="single" w:sz="4" w:space="1" w:color="auto"/>
          <w:left w:val="single" w:sz="4" w:space="4" w:color="auto"/>
          <w:bottom w:val="single" w:sz="4" w:space="1" w:color="auto"/>
          <w:right w:val="single" w:sz="4" w:space="4" w:color="auto"/>
        </w:pBdr>
        <w:spacing w:before="60"/>
        <w:jc w:val="left"/>
        <w:rPr>
          <w:szCs w:val="22"/>
        </w:rPr>
      </w:pPr>
      <w:r w:rsidRPr="00015D4C">
        <w:rPr>
          <w:szCs w:val="22"/>
        </w:rPr>
        <w:t>Istvan Bozsoki</w:t>
      </w:r>
      <w:r w:rsidRPr="00015D4C">
        <w:rPr>
          <w:rFonts w:hint="eastAsia"/>
          <w:szCs w:val="22"/>
        </w:rPr>
        <w:t>先生和</w:t>
      </w:r>
      <w:r w:rsidRPr="00015D4C">
        <w:rPr>
          <w:szCs w:val="22"/>
        </w:rPr>
        <w:t xml:space="preserve">Alessandra Pileri </w:t>
      </w:r>
      <w:r w:rsidRPr="00015D4C">
        <w:rPr>
          <w:rFonts w:hint="eastAsia"/>
          <w:szCs w:val="22"/>
        </w:rPr>
        <w:t>女士（国际电联电信发展局）</w:t>
      </w:r>
    </w:p>
    <w:p w:rsidR="00D023A8" w:rsidRPr="00015D4C" w:rsidRDefault="00D023A8" w:rsidP="00D023A8">
      <w:pPr>
        <w:pBdr>
          <w:top w:val="single" w:sz="4" w:space="1" w:color="auto"/>
          <w:left w:val="single" w:sz="4" w:space="4" w:color="auto"/>
          <w:bottom w:val="single" w:sz="4" w:space="1" w:color="auto"/>
          <w:right w:val="single" w:sz="4" w:space="4" w:color="auto"/>
        </w:pBdr>
        <w:spacing w:before="60"/>
        <w:jc w:val="left"/>
        <w:rPr>
          <w:szCs w:val="22"/>
        </w:rPr>
      </w:pPr>
      <w:r w:rsidRPr="00015D4C">
        <w:rPr>
          <w:szCs w:val="22"/>
        </w:rPr>
        <w:t>Philippe Aubineau</w:t>
      </w:r>
      <w:r w:rsidRPr="00015D4C">
        <w:rPr>
          <w:rFonts w:hint="eastAsia"/>
          <w:szCs w:val="22"/>
          <w:lang w:val="fr-FR"/>
        </w:rPr>
        <w:t>先生</w:t>
      </w:r>
      <w:r w:rsidRPr="00015D4C">
        <w:rPr>
          <w:rFonts w:hint="eastAsia"/>
          <w:szCs w:val="22"/>
        </w:rPr>
        <w:t>（</w:t>
      </w:r>
      <w:r w:rsidRPr="00015D4C">
        <w:rPr>
          <w:rFonts w:hint="eastAsia"/>
          <w:szCs w:val="22"/>
          <w:lang w:val="fr-FR"/>
        </w:rPr>
        <w:t>国际电联无线电通信局</w:t>
      </w:r>
      <w:r w:rsidRPr="00015D4C">
        <w:rPr>
          <w:rFonts w:hint="eastAsia"/>
          <w:szCs w:val="22"/>
        </w:rPr>
        <w:t>）</w:t>
      </w:r>
    </w:p>
    <w:p w:rsidR="00D023A8" w:rsidRPr="00015D4C" w:rsidRDefault="00D023A8" w:rsidP="00D023A8">
      <w:pPr>
        <w:pBdr>
          <w:top w:val="single" w:sz="4" w:space="1" w:color="auto"/>
          <w:left w:val="single" w:sz="4" w:space="4" w:color="auto"/>
          <w:bottom w:val="single" w:sz="4" w:space="1" w:color="auto"/>
          <w:right w:val="single" w:sz="4" w:space="4" w:color="auto"/>
        </w:pBdr>
        <w:spacing w:before="60"/>
        <w:jc w:val="left"/>
        <w:rPr>
          <w:szCs w:val="22"/>
        </w:rPr>
      </w:pPr>
      <w:r w:rsidRPr="00015D4C">
        <w:rPr>
          <w:szCs w:val="22"/>
        </w:rPr>
        <w:t>The Commission de Valorisation du Spectre [</w:t>
      </w:r>
      <w:r w:rsidRPr="00015D4C">
        <w:rPr>
          <w:rFonts w:hint="eastAsia"/>
          <w:szCs w:val="22"/>
          <w:lang w:val="fr-FR"/>
        </w:rPr>
        <w:t>频谱促进委员会</w:t>
      </w:r>
      <w:r w:rsidRPr="00015D4C">
        <w:rPr>
          <w:szCs w:val="22"/>
        </w:rPr>
        <w:t>]</w:t>
      </w:r>
      <w:r w:rsidRPr="00015D4C">
        <w:rPr>
          <w:rFonts w:hint="eastAsia"/>
          <w:szCs w:val="22"/>
        </w:rPr>
        <w:t>（</w:t>
      </w:r>
      <w:r w:rsidRPr="00015D4C">
        <w:rPr>
          <w:rFonts w:hint="eastAsia"/>
          <w:szCs w:val="22"/>
          <w:lang w:val="fr-FR"/>
        </w:rPr>
        <w:t>法国国家频率管理局</w:t>
      </w:r>
      <w:r w:rsidRPr="00015D4C">
        <w:rPr>
          <w:szCs w:val="22"/>
          <w:lang w:val="fr-FR"/>
        </w:rPr>
        <w:br/>
      </w:r>
      <w:r w:rsidRPr="00015D4C">
        <w:rPr>
          <w:rFonts w:hint="eastAsia"/>
          <w:szCs w:val="22"/>
        </w:rPr>
        <w:t>（</w:t>
      </w:r>
      <w:r w:rsidRPr="00015D4C">
        <w:rPr>
          <w:szCs w:val="22"/>
        </w:rPr>
        <w:t>Agence Nationale des Fréquences</w:t>
      </w:r>
      <w:r w:rsidRPr="00015D4C">
        <w:rPr>
          <w:rFonts w:hint="eastAsia"/>
          <w:szCs w:val="22"/>
        </w:rPr>
        <w:t>））</w:t>
      </w:r>
    </w:p>
    <w:p w:rsidR="00D023A8" w:rsidRPr="00015D4C" w:rsidRDefault="00D023A8" w:rsidP="00D023A8">
      <w:pPr>
        <w:pBdr>
          <w:top w:val="single" w:sz="4" w:space="1" w:color="auto"/>
          <w:left w:val="single" w:sz="4" w:space="4" w:color="auto"/>
          <w:bottom w:val="single" w:sz="4" w:space="1" w:color="auto"/>
          <w:right w:val="single" w:sz="4" w:space="4" w:color="auto"/>
        </w:pBdr>
        <w:spacing w:before="240"/>
        <w:jc w:val="left"/>
        <w:rPr>
          <w:szCs w:val="22"/>
        </w:rPr>
      </w:pPr>
      <w:r w:rsidRPr="00015D4C">
        <w:rPr>
          <w:rFonts w:hint="eastAsia"/>
          <w:szCs w:val="22"/>
        </w:rPr>
        <w:t>对发展中国家在频谱定价方面的具体要求：</w:t>
      </w:r>
    </w:p>
    <w:p w:rsidR="00D023A8" w:rsidRPr="00015D4C" w:rsidRDefault="00D023A8" w:rsidP="00D023A8">
      <w:pPr>
        <w:pBdr>
          <w:top w:val="single" w:sz="4" w:space="1" w:color="auto"/>
          <w:left w:val="single" w:sz="4" w:space="4" w:color="auto"/>
          <w:bottom w:val="single" w:sz="4" w:space="1" w:color="auto"/>
          <w:right w:val="single" w:sz="4" w:space="4" w:color="auto"/>
        </w:pBdr>
        <w:spacing w:before="200"/>
        <w:jc w:val="left"/>
        <w:rPr>
          <w:szCs w:val="22"/>
        </w:rPr>
      </w:pPr>
      <w:r w:rsidRPr="00015D4C">
        <w:rPr>
          <w:szCs w:val="22"/>
        </w:rPr>
        <w:t xml:space="preserve">Roukétou Bagoro </w:t>
      </w:r>
      <w:r w:rsidRPr="00015D4C">
        <w:rPr>
          <w:rFonts w:hint="eastAsia"/>
          <w:szCs w:val="22"/>
        </w:rPr>
        <w:t>女士和</w:t>
      </w:r>
      <w:r w:rsidRPr="00015D4C">
        <w:rPr>
          <w:szCs w:val="22"/>
        </w:rPr>
        <w:t>Souleimane Zabre</w:t>
      </w:r>
      <w:r w:rsidRPr="00015D4C">
        <w:rPr>
          <w:rFonts w:hint="eastAsia"/>
          <w:szCs w:val="22"/>
        </w:rPr>
        <w:t>先生（布基纳法索）</w:t>
      </w:r>
    </w:p>
    <w:p w:rsidR="00D023A8" w:rsidRPr="00015D4C" w:rsidRDefault="00D023A8" w:rsidP="00D023A8">
      <w:pPr>
        <w:pBdr>
          <w:top w:val="single" w:sz="4" w:space="1" w:color="auto"/>
          <w:left w:val="single" w:sz="4" w:space="4" w:color="auto"/>
          <w:bottom w:val="single" w:sz="4" w:space="1" w:color="auto"/>
          <w:right w:val="single" w:sz="4" w:space="4" w:color="auto"/>
        </w:pBdr>
        <w:spacing w:before="60"/>
        <w:jc w:val="left"/>
        <w:rPr>
          <w:szCs w:val="22"/>
        </w:rPr>
      </w:pPr>
      <w:r w:rsidRPr="00015D4C">
        <w:rPr>
          <w:szCs w:val="22"/>
        </w:rPr>
        <w:t>Roger Manga Ayissi</w:t>
      </w:r>
      <w:r w:rsidRPr="00015D4C">
        <w:rPr>
          <w:rFonts w:hint="eastAsia"/>
          <w:szCs w:val="22"/>
        </w:rPr>
        <w:t>先生（喀麦隆）</w:t>
      </w:r>
    </w:p>
    <w:p w:rsidR="00D023A8" w:rsidRPr="00015D4C" w:rsidRDefault="00D023A8" w:rsidP="00D023A8">
      <w:pPr>
        <w:pBdr>
          <w:top w:val="single" w:sz="4" w:space="1" w:color="auto"/>
          <w:left w:val="single" w:sz="4" w:space="4" w:color="auto"/>
          <w:bottom w:val="single" w:sz="4" w:space="1" w:color="auto"/>
          <w:right w:val="single" w:sz="4" w:space="4" w:color="auto"/>
        </w:pBdr>
        <w:spacing w:before="60"/>
        <w:jc w:val="left"/>
        <w:rPr>
          <w:szCs w:val="22"/>
        </w:rPr>
      </w:pPr>
      <w:r w:rsidRPr="00015D4C">
        <w:rPr>
          <w:szCs w:val="22"/>
        </w:rPr>
        <w:t>Jean Jacques Massima</w:t>
      </w:r>
      <w:r w:rsidRPr="00015D4C">
        <w:rPr>
          <w:rFonts w:hint="eastAsia"/>
          <w:szCs w:val="22"/>
          <w:lang w:val="fr-FR"/>
        </w:rPr>
        <w:t>先生</w:t>
      </w:r>
      <w:r w:rsidRPr="00015D4C">
        <w:rPr>
          <w:rFonts w:hint="eastAsia"/>
          <w:szCs w:val="22"/>
        </w:rPr>
        <w:t>（</w:t>
      </w:r>
      <w:r w:rsidRPr="00015D4C">
        <w:rPr>
          <w:rFonts w:hint="eastAsia"/>
          <w:szCs w:val="22"/>
          <w:lang w:val="fr-FR"/>
        </w:rPr>
        <w:t>加蓬</w:t>
      </w:r>
      <w:r w:rsidRPr="00015D4C">
        <w:rPr>
          <w:rFonts w:hint="eastAsia"/>
          <w:szCs w:val="22"/>
        </w:rPr>
        <w:t>）</w:t>
      </w:r>
    </w:p>
    <w:p w:rsidR="00D023A8" w:rsidRPr="00015D4C" w:rsidRDefault="00D023A8" w:rsidP="00D023A8">
      <w:pPr>
        <w:pBdr>
          <w:top w:val="single" w:sz="4" w:space="1" w:color="auto"/>
          <w:left w:val="single" w:sz="4" w:space="4" w:color="auto"/>
          <w:bottom w:val="single" w:sz="4" w:space="1" w:color="auto"/>
          <w:right w:val="single" w:sz="4" w:space="4" w:color="auto"/>
        </w:pBdr>
        <w:spacing w:before="60"/>
        <w:jc w:val="left"/>
        <w:rPr>
          <w:szCs w:val="22"/>
        </w:rPr>
      </w:pPr>
      <w:r w:rsidRPr="00015D4C">
        <w:rPr>
          <w:szCs w:val="22"/>
        </w:rPr>
        <w:t>Abdoulaye Kebé</w:t>
      </w:r>
      <w:r w:rsidRPr="00015D4C">
        <w:rPr>
          <w:rFonts w:hint="eastAsia"/>
          <w:szCs w:val="22"/>
        </w:rPr>
        <w:t>先生（几内亚）</w:t>
      </w:r>
    </w:p>
    <w:p w:rsidR="00D023A8" w:rsidRPr="00015D4C" w:rsidRDefault="00D023A8" w:rsidP="00D023A8">
      <w:pPr>
        <w:pBdr>
          <w:top w:val="single" w:sz="4" w:space="1" w:color="auto"/>
          <w:left w:val="single" w:sz="4" w:space="4" w:color="auto"/>
          <w:bottom w:val="single" w:sz="4" w:space="1" w:color="auto"/>
          <w:right w:val="single" w:sz="4" w:space="4" w:color="auto"/>
        </w:pBdr>
        <w:spacing w:before="60"/>
        <w:jc w:val="left"/>
        <w:rPr>
          <w:szCs w:val="22"/>
        </w:rPr>
      </w:pPr>
      <w:r w:rsidRPr="00015D4C">
        <w:rPr>
          <w:szCs w:val="22"/>
        </w:rPr>
        <w:t>Abdoulaye Dembélé</w:t>
      </w:r>
      <w:r w:rsidRPr="00015D4C">
        <w:rPr>
          <w:rFonts w:hint="eastAsia"/>
          <w:szCs w:val="22"/>
        </w:rPr>
        <w:t>先生（马里）</w:t>
      </w:r>
    </w:p>
    <w:p w:rsidR="00D023A8" w:rsidRPr="00015D4C" w:rsidRDefault="00D023A8" w:rsidP="00D023A8">
      <w:pPr>
        <w:pBdr>
          <w:top w:val="single" w:sz="4" w:space="1" w:color="auto"/>
          <w:left w:val="single" w:sz="4" w:space="4" w:color="auto"/>
          <w:bottom w:val="single" w:sz="4" w:space="1" w:color="auto"/>
          <w:right w:val="single" w:sz="4" w:space="4" w:color="auto"/>
        </w:pBdr>
        <w:spacing w:before="240"/>
        <w:jc w:val="left"/>
        <w:rPr>
          <w:szCs w:val="22"/>
        </w:rPr>
      </w:pPr>
      <w:r w:rsidRPr="00015D4C">
        <w:rPr>
          <w:rFonts w:hint="eastAsia"/>
          <w:szCs w:val="22"/>
        </w:rPr>
        <w:t>对整个报告：</w:t>
      </w:r>
    </w:p>
    <w:p w:rsidR="00D023A8" w:rsidRPr="00015D4C" w:rsidRDefault="00D023A8" w:rsidP="00D023A8">
      <w:pPr>
        <w:pBdr>
          <w:top w:val="single" w:sz="4" w:space="1" w:color="auto"/>
          <w:left w:val="single" w:sz="4" w:space="4" w:color="auto"/>
          <w:bottom w:val="single" w:sz="4" w:space="1" w:color="auto"/>
          <w:right w:val="single" w:sz="4" w:space="4" w:color="auto"/>
        </w:pBdr>
        <w:jc w:val="left"/>
        <w:rPr>
          <w:szCs w:val="22"/>
        </w:rPr>
      </w:pPr>
      <w:r w:rsidRPr="00015D4C">
        <w:rPr>
          <w:szCs w:val="22"/>
        </w:rPr>
        <w:t>Nabil Kisrawi</w:t>
      </w:r>
      <w:r w:rsidRPr="00015D4C">
        <w:rPr>
          <w:rFonts w:hint="eastAsia"/>
          <w:szCs w:val="22"/>
        </w:rPr>
        <w:t>先生（阿拉伯叙利亚共和国，</w:t>
      </w:r>
      <w:r w:rsidRPr="00015D4C">
        <w:rPr>
          <w:szCs w:val="22"/>
        </w:rPr>
        <w:t>ITU-D</w:t>
      </w:r>
      <w:r w:rsidRPr="00015D4C">
        <w:rPr>
          <w:rFonts w:hint="eastAsia"/>
          <w:szCs w:val="22"/>
        </w:rPr>
        <w:t>第</w:t>
      </w:r>
      <w:r w:rsidRPr="00015D4C">
        <w:rPr>
          <w:szCs w:val="22"/>
        </w:rPr>
        <w:t>2</w:t>
      </w:r>
      <w:r w:rsidRPr="00015D4C">
        <w:rPr>
          <w:rFonts w:hint="eastAsia"/>
          <w:szCs w:val="22"/>
        </w:rPr>
        <w:t>研究组主席）</w:t>
      </w:r>
    </w:p>
    <w:p w:rsidR="00097754" w:rsidRPr="00015D4C" w:rsidRDefault="00D023A8" w:rsidP="00D023A8">
      <w:pPr>
        <w:pBdr>
          <w:top w:val="single" w:sz="4" w:space="1" w:color="auto"/>
          <w:left w:val="single" w:sz="4" w:space="4" w:color="auto"/>
          <w:bottom w:val="single" w:sz="4" w:space="1" w:color="auto"/>
          <w:right w:val="single" w:sz="4" w:space="4" w:color="auto"/>
        </w:pBdr>
        <w:spacing w:before="60"/>
        <w:jc w:val="left"/>
        <w:rPr>
          <w:bCs/>
          <w:caps/>
          <w:szCs w:val="22"/>
          <w:lang w:val="en-US" w:eastAsia="zh-CN"/>
        </w:rPr>
      </w:pPr>
      <w:r w:rsidRPr="00015D4C">
        <w:rPr>
          <w:bCs/>
          <w:caps/>
          <w:szCs w:val="22"/>
          <w:lang w:val="en-US" w:eastAsia="zh-CN"/>
        </w:rPr>
        <w:t>J</w:t>
      </w:r>
      <w:r w:rsidRPr="00015D4C">
        <w:rPr>
          <w:bCs/>
          <w:szCs w:val="22"/>
          <w:lang w:val="en-US" w:eastAsia="zh-CN"/>
        </w:rPr>
        <w:t>ean</w:t>
      </w:r>
      <w:r w:rsidRPr="00015D4C">
        <w:rPr>
          <w:bCs/>
          <w:caps/>
          <w:szCs w:val="22"/>
          <w:lang w:val="en-US" w:eastAsia="zh-CN"/>
        </w:rPr>
        <w:t>-P</w:t>
      </w:r>
      <w:r w:rsidRPr="00015D4C">
        <w:rPr>
          <w:bCs/>
          <w:szCs w:val="22"/>
          <w:lang w:val="en-US" w:eastAsia="zh-CN"/>
        </w:rPr>
        <w:t>ierre</w:t>
      </w:r>
      <w:r w:rsidRPr="00015D4C">
        <w:rPr>
          <w:bCs/>
          <w:caps/>
          <w:szCs w:val="22"/>
          <w:lang w:val="en-US" w:eastAsia="zh-CN"/>
        </w:rPr>
        <w:t xml:space="preserve"> H</w:t>
      </w:r>
      <w:r w:rsidRPr="00015D4C">
        <w:rPr>
          <w:bCs/>
          <w:szCs w:val="22"/>
          <w:lang w:val="en-US" w:eastAsia="zh-CN"/>
        </w:rPr>
        <w:t>uynh</w:t>
      </w:r>
      <w:r w:rsidRPr="00015D4C">
        <w:rPr>
          <w:rFonts w:hint="eastAsia"/>
          <w:bCs/>
          <w:caps/>
          <w:szCs w:val="22"/>
          <w:lang w:val="en-US" w:eastAsia="zh-CN"/>
        </w:rPr>
        <w:t>先生（法国，第</w:t>
      </w:r>
      <w:r w:rsidRPr="00015D4C">
        <w:rPr>
          <w:bCs/>
          <w:caps/>
          <w:szCs w:val="22"/>
          <w:lang w:val="en-US" w:eastAsia="zh-CN"/>
        </w:rPr>
        <w:t>9</w:t>
      </w:r>
      <w:r w:rsidRPr="00015D4C">
        <w:rPr>
          <w:rFonts w:hint="eastAsia"/>
          <w:bCs/>
          <w:caps/>
          <w:szCs w:val="22"/>
          <w:lang w:val="en-US" w:eastAsia="zh-CN"/>
        </w:rPr>
        <w:t>号决议联合组共同主席，代表</w:t>
      </w:r>
      <w:r w:rsidRPr="00015D4C">
        <w:rPr>
          <w:bCs/>
          <w:caps/>
          <w:szCs w:val="22"/>
          <w:lang w:val="en-US" w:eastAsia="zh-CN"/>
        </w:rPr>
        <w:t>ITU</w:t>
      </w:r>
      <w:r w:rsidRPr="00015D4C">
        <w:rPr>
          <w:bCs/>
          <w:caps/>
          <w:szCs w:val="22"/>
          <w:lang w:val="en-US" w:eastAsia="zh-CN"/>
        </w:rPr>
        <w:noBreakHyphen/>
        <w:t>D</w:t>
      </w:r>
      <w:r w:rsidRPr="00015D4C">
        <w:rPr>
          <w:rFonts w:hint="eastAsia"/>
          <w:bCs/>
          <w:caps/>
          <w:szCs w:val="22"/>
          <w:lang w:val="en-US" w:eastAsia="zh-CN"/>
        </w:rPr>
        <w:t>）</w:t>
      </w:r>
    </w:p>
    <w:p w:rsidR="00D023A8" w:rsidRPr="00015D4C" w:rsidRDefault="00D023A8" w:rsidP="00D023A8">
      <w:pPr>
        <w:pBdr>
          <w:top w:val="single" w:sz="4" w:space="1" w:color="auto"/>
          <w:left w:val="single" w:sz="4" w:space="4" w:color="auto"/>
          <w:bottom w:val="single" w:sz="4" w:space="1" w:color="auto"/>
          <w:right w:val="single" w:sz="4" w:space="4" w:color="auto"/>
        </w:pBdr>
        <w:spacing w:before="60"/>
        <w:jc w:val="left"/>
        <w:rPr>
          <w:b/>
          <w:bCs/>
          <w:szCs w:val="22"/>
          <w:lang w:val="en-US" w:eastAsia="zh-CN"/>
        </w:rPr>
      </w:pPr>
    </w:p>
    <w:p w:rsidR="00097754" w:rsidRPr="002D0D9A" w:rsidRDefault="00097754" w:rsidP="00CA5900">
      <w:pPr>
        <w:jc w:val="left"/>
        <w:rPr>
          <w:b/>
          <w:bCs/>
          <w:lang w:val="en-US" w:eastAsia="zh-CN"/>
        </w:rPr>
      </w:pPr>
    </w:p>
    <w:p w:rsidR="00097754" w:rsidRDefault="00097754" w:rsidP="00CA5900">
      <w:pPr>
        <w:jc w:val="left"/>
        <w:rPr>
          <w:b/>
          <w:bCs/>
          <w:lang w:val="en-US" w:eastAsia="zh-CN"/>
        </w:rPr>
      </w:pPr>
    </w:p>
    <w:p w:rsidR="00D023A8" w:rsidRDefault="00D023A8" w:rsidP="00CA5900">
      <w:pPr>
        <w:jc w:val="left"/>
        <w:rPr>
          <w:b/>
          <w:bCs/>
          <w:lang w:val="en-US" w:eastAsia="zh-CN"/>
        </w:rPr>
      </w:pPr>
    </w:p>
    <w:p w:rsidR="00D023A8" w:rsidRDefault="00D023A8" w:rsidP="00CA5900">
      <w:pPr>
        <w:jc w:val="left"/>
        <w:rPr>
          <w:b/>
          <w:bCs/>
          <w:lang w:val="en-US" w:eastAsia="zh-CN"/>
        </w:rPr>
      </w:pPr>
    </w:p>
    <w:p w:rsidR="00D023A8" w:rsidRDefault="00D023A8" w:rsidP="00CA5900">
      <w:pPr>
        <w:jc w:val="left"/>
        <w:rPr>
          <w:b/>
          <w:bCs/>
          <w:lang w:val="en-US" w:eastAsia="zh-CN"/>
        </w:rPr>
      </w:pPr>
    </w:p>
    <w:p w:rsidR="00D023A8" w:rsidRDefault="00D023A8" w:rsidP="00CA5900">
      <w:pPr>
        <w:jc w:val="left"/>
        <w:rPr>
          <w:b/>
          <w:bCs/>
          <w:lang w:val="en-US" w:eastAsia="zh-CN"/>
        </w:rPr>
      </w:pPr>
    </w:p>
    <w:p w:rsidR="00D023A8" w:rsidRPr="002D0D9A" w:rsidRDefault="00D023A8" w:rsidP="00CA5900">
      <w:pPr>
        <w:jc w:val="left"/>
        <w:rPr>
          <w:b/>
          <w:bCs/>
          <w:lang w:val="en-US" w:eastAsia="zh-CN"/>
        </w:rPr>
      </w:pPr>
    </w:p>
    <w:p w:rsidR="00097754" w:rsidRPr="002D0D9A" w:rsidRDefault="00097754" w:rsidP="00CA5900">
      <w:pPr>
        <w:jc w:val="left"/>
        <w:rPr>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097754" w:rsidRPr="00D400DF" w:rsidTr="00097754">
        <w:trPr>
          <w:trHeight w:val="1145"/>
          <w:jc w:val="center"/>
        </w:trPr>
        <w:tc>
          <w:tcPr>
            <w:tcW w:w="9620" w:type="dxa"/>
            <w:shd w:val="clear" w:color="auto" w:fill="FFFFFF"/>
          </w:tcPr>
          <w:p w:rsidR="00097754" w:rsidRPr="00B12F6A" w:rsidRDefault="00097754" w:rsidP="00CA5900">
            <w:pPr>
              <w:ind w:firstLine="25"/>
              <w:rPr>
                <w:b/>
                <w:bCs/>
                <w:sz w:val="24"/>
                <w:szCs w:val="24"/>
                <w:lang w:val="en-US" w:eastAsia="zh-CN"/>
              </w:rPr>
            </w:pPr>
            <w:r w:rsidRPr="00B12F6A">
              <w:rPr>
                <w:rFonts w:hint="eastAsia"/>
                <w:b/>
                <w:sz w:val="24"/>
                <w:szCs w:val="24"/>
                <w:lang w:eastAsia="zh-CN"/>
              </w:rPr>
              <w:t>免责声明</w:t>
            </w:r>
          </w:p>
          <w:p w:rsidR="00097754" w:rsidRPr="00B12F6A" w:rsidRDefault="00097754" w:rsidP="00CA5900">
            <w:pPr>
              <w:spacing w:before="160" w:after="160"/>
              <w:ind w:firstLine="25"/>
              <w:rPr>
                <w:b/>
                <w:lang w:val="en-US" w:eastAsia="zh-CN"/>
              </w:rPr>
            </w:pPr>
            <w:r w:rsidRPr="00B12F6A">
              <w:rPr>
                <w:rFonts w:hint="eastAsia"/>
                <w:b/>
                <w:lang w:eastAsia="zh-CN"/>
              </w:rPr>
              <w:t>本报告是由来自不同主管部门和组织的众多志愿人员编写的。文中提到了某些公司或产品，但这并不意味着它们得到了国际电联的认可或推崇。文中表述的仅为作者的意见，与国际电联无关。</w:t>
            </w:r>
          </w:p>
        </w:tc>
      </w:tr>
    </w:tbl>
    <w:p w:rsidR="00097754" w:rsidRPr="00D400DF" w:rsidRDefault="00097754" w:rsidP="00CA5900">
      <w:pPr>
        <w:pStyle w:val="FigureNotitle"/>
        <w:rPr>
          <w:sz w:val="28"/>
          <w:lang w:val="en-US" w:eastAsia="zh-CN"/>
        </w:rPr>
        <w:sectPr w:rsidR="00097754" w:rsidRPr="00D400DF" w:rsidSect="00D023A8">
          <w:headerReference w:type="even" r:id="rId13"/>
          <w:pgSz w:w="11909" w:h="16834" w:code="9"/>
          <w:pgMar w:top="1418" w:right="1134" w:bottom="1418" w:left="1134" w:header="720" w:footer="720" w:gutter="0"/>
          <w:pgNumType w:fmt="lowerRoman"/>
          <w:cols w:space="720"/>
        </w:sectPr>
      </w:pPr>
    </w:p>
    <w:p w:rsidR="00933009" w:rsidRDefault="00933009" w:rsidP="008F05D0">
      <w:pPr>
        <w:pStyle w:val="FigureNotitle"/>
        <w:spacing w:before="0"/>
        <w:rPr>
          <w:bCs/>
          <w:caps/>
          <w:sz w:val="28"/>
          <w:szCs w:val="28"/>
          <w:lang w:val="en-US" w:eastAsia="zh-CN"/>
        </w:rPr>
      </w:pPr>
      <w:r>
        <w:rPr>
          <w:rFonts w:hint="eastAsia"/>
          <w:bCs/>
          <w:caps/>
          <w:sz w:val="28"/>
          <w:szCs w:val="28"/>
          <w:lang w:val="en-US" w:eastAsia="zh-CN"/>
        </w:rPr>
        <w:lastRenderedPageBreak/>
        <w:t>目录</w:t>
      </w:r>
    </w:p>
    <w:p w:rsidR="00933009" w:rsidRPr="00B67674" w:rsidRDefault="00933009" w:rsidP="00933009">
      <w:pPr>
        <w:jc w:val="right"/>
        <w:rPr>
          <w:rFonts w:ascii="STKaiti" w:eastAsia="STKaiti" w:hAnsi="STKaiti"/>
          <w:b/>
          <w:bCs/>
          <w:lang w:val="en-US" w:eastAsia="zh-CN"/>
        </w:rPr>
      </w:pPr>
      <w:r w:rsidRPr="00B67674">
        <w:rPr>
          <w:rFonts w:ascii="STKaiti" w:eastAsia="STKaiti" w:hAnsi="STKaiti" w:hint="eastAsia"/>
          <w:b/>
          <w:bCs/>
          <w:lang w:val="en-US" w:eastAsia="zh-CN"/>
        </w:rPr>
        <w:t>页码</w:t>
      </w:r>
    </w:p>
    <w:p w:rsidR="00924BE4" w:rsidRPr="00924BE4" w:rsidRDefault="00BA52D0" w:rsidP="00B67674">
      <w:pPr>
        <w:pStyle w:val="TOC1"/>
        <w:rPr>
          <w:szCs w:val="22"/>
        </w:rPr>
      </w:pPr>
      <w:r w:rsidRPr="00BA52D0">
        <w:rPr>
          <w:sz w:val="24"/>
        </w:rPr>
        <w:fldChar w:fldCharType="begin"/>
      </w:r>
      <w:r w:rsidR="00924BE4">
        <w:rPr>
          <w:sz w:val="24"/>
        </w:rPr>
        <w:instrText xml:space="preserve"> TOC \h \z \t "Heading 1;1;Heading 2;2;Heading 3;3;Annex_No &amp; title;1;Appendix_No &amp; title;1" </w:instrText>
      </w:r>
      <w:r w:rsidRPr="00BA52D0">
        <w:rPr>
          <w:sz w:val="24"/>
        </w:rPr>
        <w:fldChar w:fldCharType="separate"/>
      </w:r>
      <w:hyperlink w:anchor="_Toc288642925" w:history="1">
        <w:r w:rsidR="00924BE4" w:rsidRPr="00924BE4">
          <w:rPr>
            <w:rStyle w:val="Hyperlink"/>
            <w:color w:val="auto"/>
            <w:u w:val="none"/>
          </w:rPr>
          <w:t>1</w:t>
        </w:r>
        <w:r w:rsidR="00924BE4" w:rsidRPr="00924BE4">
          <w:rPr>
            <w:szCs w:val="22"/>
          </w:rPr>
          <w:tab/>
        </w:r>
        <w:r w:rsidR="00924BE4" w:rsidRPr="00924BE4">
          <w:rPr>
            <w:rStyle w:val="Hyperlink"/>
            <w:rFonts w:hint="eastAsia"/>
            <w:color w:val="auto"/>
            <w:u w:val="none"/>
          </w:rPr>
          <w:t>前言</w:t>
        </w:r>
        <w:r w:rsidR="00924BE4">
          <w:rPr>
            <w:rStyle w:val="Hyperlink"/>
            <w:color w:val="auto"/>
            <w:u w:val="none"/>
          </w:rPr>
          <w:tab/>
        </w:r>
        <w:r w:rsidR="00924BE4" w:rsidRPr="00924BE4">
          <w:rPr>
            <w:webHidden/>
          </w:rPr>
          <w:tab/>
        </w:r>
        <w:r w:rsidRPr="00924BE4">
          <w:rPr>
            <w:webHidden/>
          </w:rPr>
          <w:fldChar w:fldCharType="begin"/>
        </w:r>
        <w:r w:rsidR="00924BE4" w:rsidRPr="00924BE4">
          <w:rPr>
            <w:webHidden/>
          </w:rPr>
          <w:instrText xml:space="preserve"> PAGEREF _Toc288642925 \h </w:instrText>
        </w:r>
        <w:r w:rsidRPr="00924BE4">
          <w:rPr>
            <w:webHidden/>
          </w:rPr>
        </w:r>
        <w:r w:rsidRPr="00924BE4">
          <w:rPr>
            <w:webHidden/>
          </w:rPr>
          <w:fldChar w:fldCharType="separate"/>
        </w:r>
        <w:r w:rsidR="00924BE4" w:rsidRPr="00924BE4">
          <w:rPr>
            <w:webHidden/>
          </w:rPr>
          <w:t>1</w:t>
        </w:r>
        <w:r w:rsidRPr="00924BE4">
          <w:rPr>
            <w:webHidden/>
          </w:rPr>
          <w:fldChar w:fldCharType="end"/>
        </w:r>
      </w:hyperlink>
    </w:p>
    <w:p w:rsidR="00924BE4" w:rsidRPr="00924BE4" w:rsidRDefault="00BA52D0" w:rsidP="00924BE4">
      <w:pPr>
        <w:pStyle w:val="TOC1"/>
        <w:rPr>
          <w:szCs w:val="22"/>
        </w:rPr>
      </w:pPr>
      <w:hyperlink w:anchor="_Toc288642926" w:history="1">
        <w:r w:rsidR="00924BE4" w:rsidRPr="00924BE4">
          <w:rPr>
            <w:rStyle w:val="Hyperlink"/>
            <w:color w:val="auto"/>
            <w:u w:val="none"/>
          </w:rPr>
          <w:t>2</w:t>
        </w:r>
        <w:r w:rsidR="00924BE4" w:rsidRPr="00924BE4">
          <w:rPr>
            <w:szCs w:val="22"/>
          </w:rPr>
          <w:tab/>
        </w:r>
        <w:r w:rsidR="00924BE4" w:rsidRPr="00924BE4">
          <w:rPr>
            <w:rStyle w:val="Hyperlink"/>
            <w:rFonts w:hint="eastAsia"/>
            <w:color w:val="auto"/>
            <w:u w:val="none"/>
          </w:rPr>
          <w:t>本文件专用的定义</w:t>
        </w:r>
        <w:r w:rsidR="00924BE4">
          <w:rPr>
            <w:rStyle w:val="Hyperlink"/>
            <w:color w:val="auto"/>
            <w:u w:val="none"/>
          </w:rPr>
          <w:tab/>
        </w:r>
        <w:r w:rsidR="00924BE4" w:rsidRPr="00924BE4">
          <w:rPr>
            <w:webHidden/>
          </w:rPr>
          <w:tab/>
        </w:r>
        <w:r w:rsidRPr="00924BE4">
          <w:rPr>
            <w:webHidden/>
          </w:rPr>
          <w:fldChar w:fldCharType="begin"/>
        </w:r>
        <w:r w:rsidR="00924BE4" w:rsidRPr="00924BE4">
          <w:rPr>
            <w:webHidden/>
          </w:rPr>
          <w:instrText xml:space="preserve"> PAGEREF _Toc288642926 \h </w:instrText>
        </w:r>
        <w:r w:rsidRPr="00924BE4">
          <w:rPr>
            <w:webHidden/>
          </w:rPr>
        </w:r>
        <w:r w:rsidRPr="00924BE4">
          <w:rPr>
            <w:webHidden/>
          </w:rPr>
          <w:fldChar w:fldCharType="separate"/>
        </w:r>
        <w:r w:rsidR="00924BE4" w:rsidRPr="00924BE4">
          <w:rPr>
            <w:webHidden/>
          </w:rPr>
          <w:t>1</w:t>
        </w:r>
        <w:r w:rsidRPr="00924BE4">
          <w:rPr>
            <w:webHidden/>
          </w:rPr>
          <w:fldChar w:fldCharType="end"/>
        </w:r>
      </w:hyperlink>
    </w:p>
    <w:p w:rsidR="00924BE4" w:rsidRDefault="00BA52D0" w:rsidP="00924BE4">
      <w:pPr>
        <w:pStyle w:val="TOC1"/>
        <w:rPr>
          <w:noProof/>
          <w:lang w:eastAsia="zh-CN"/>
        </w:rPr>
      </w:pPr>
      <w:hyperlink w:anchor="_Toc288642927" w:history="1">
        <w:r w:rsidR="00924BE4" w:rsidRPr="00924BE4">
          <w:rPr>
            <w:rStyle w:val="Hyperlink"/>
            <w:color w:val="auto"/>
            <w:u w:val="none"/>
          </w:rPr>
          <w:t>3</w:t>
        </w:r>
        <w:r w:rsidR="00924BE4" w:rsidRPr="00924BE4">
          <w:rPr>
            <w:szCs w:val="22"/>
          </w:rPr>
          <w:tab/>
        </w:r>
        <w:r w:rsidR="00924BE4" w:rsidRPr="00924BE4">
          <w:rPr>
            <w:rStyle w:val="Hyperlink"/>
            <w:rFonts w:hint="eastAsia"/>
            <w:color w:val="auto"/>
            <w:u w:val="none"/>
          </w:rPr>
          <w:t>基本原则</w:t>
        </w:r>
        <w:r w:rsidR="00924BE4">
          <w:rPr>
            <w:rStyle w:val="Hyperlink"/>
            <w:color w:val="auto"/>
            <w:u w:val="none"/>
          </w:rPr>
          <w:tab/>
        </w:r>
        <w:r w:rsidR="00924BE4" w:rsidRPr="00924BE4">
          <w:rPr>
            <w:webHidden/>
          </w:rPr>
          <w:tab/>
        </w:r>
        <w:r w:rsidRPr="00924BE4">
          <w:rPr>
            <w:webHidden/>
          </w:rPr>
          <w:fldChar w:fldCharType="begin"/>
        </w:r>
        <w:r w:rsidR="00924BE4" w:rsidRPr="00924BE4">
          <w:rPr>
            <w:webHidden/>
          </w:rPr>
          <w:instrText xml:space="preserve"> PAGEREF _Toc288642927 \h </w:instrText>
        </w:r>
        <w:r w:rsidRPr="00924BE4">
          <w:rPr>
            <w:webHidden/>
          </w:rPr>
        </w:r>
        <w:r w:rsidRPr="00924BE4">
          <w:rPr>
            <w:webHidden/>
          </w:rPr>
          <w:fldChar w:fldCharType="separate"/>
        </w:r>
        <w:r w:rsidR="00924BE4" w:rsidRPr="00924BE4">
          <w:rPr>
            <w:webHidden/>
          </w:rPr>
          <w:t>1</w:t>
        </w:r>
        <w:r w:rsidRPr="00924BE4">
          <w:rPr>
            <w:webHidden/>
          </w:rPr>
          <w:fldChar w:fldCharType="end"/>
        </w:r>
      </w:hyperlink>
    </w:p>
    <w:p w:rsidR="00924BE4" w:rsidRDefault="00BA52D0">
      <w:pPr>
        <w:pStyle w:val="TOC2"/>
        <w:rPr>
          <w:rFonts w:asciiTheme="minorHAnsi" w:eastAsia="SimHei" w:hAnsiTheme="minorHAnsi" w:cstheme="minorBidi"/>
          <w:noProof/>
          <w:szCs w:val="22"/>
          <w:lang w:eastAsia="zh-CN"/>
        </w:rPr>
      </w:pPr>
      <w:hyperlink w:anchor="_Toc288642928" w:history="1">
        <w:r w:rsidR="00924BE4" w:rsidRPr="00B3404D">
          <w:rPr>
            <w:rStyle w:val="Hyperlink"/>
            <w:noProof/>
          </w:rPr>
          <w:t>3.1</w:t>
        </w:r>
        <w:r w:rsidR="00924BE4">
          <w:rPr>
            <w:rFonts w:asciiTheme="minorHAnsi" w:eastAsia="SimHei" w:hAnsiTheme="minorHAnsi" w:cstheme="minorBidi"/>
            <w:noProof/>
            <w:szCs w:val="22"/>
            <w:lang w:eastAsia="zh-CN"/>
          </w:rPr>
          <w:tab/>
        </w:r>
        <w:r w:rsidR="00924BE4" w:rsidRPr="00B3404D">
          <w:rPr>
            <w:rStyle w:val="Hyperlink"/>
            <w:rFonts w:hint="eastAsia"/>
            <w:noProof/>
          </w:rPr>
          <w:t>法律原则</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_Toc288642928 \h </w:instrText>
        </w:r>
        <w:r>
          <w:rPr>
            <w:noProof/>
            <w:webHidden/>
          </w:rPr>
        </w:r>
        <w:r>
          <w:rPr>
            <w:noProof/>
            <w:webHidden/>
          </w:rPr>
          <w:fldChar w:fldCharType="separate"/>
        </w:r>
        <w:r w:rsidR="00924BE4">
          <w:rPr>
            <w:noProof/>
            <w:webHidden/>
          </w:rPr>
          <w:t>1</w:t>
        </w:r>
        <w:r>
          <w:rPr>
            <w:noProof/>
            <w:webHidden/>
          </w:rPr>
          <w:fldChar w:fldCharType="end"/>
        </w:r>
      </w:hyperlink>
    </w:p>
    <w:p w:rsidR="00924BE4" w:rsidRDefault="00BA52D0">
      <w:pPr>
        <w:pStyle w:val="TOC2"/>
        <w:rPr>
          <w:rFonts w:asciiTheme="minorHAnsi" w:eastAsia="SimHei" w:hAnsiTheme="minorHAnsi" w:cstheme="minorBidi"/>
          <w:noProof/>
          <w:szCs w:val="22"/>
          <w:lang w:eastAsia="zh-CN"/>
        </w:rPr>
      </w:pPr>
      <w:hyperlink w:anchor="_Toc288642929" w:history="1">
        <w:r w:rsidR="00924BE4" w:rsidRPr="00B3404D">
          <w:rPr>
            <w:rStyle w:val="Hyperlink"/>
            <w:noProof/>
          </w:rPr>
          <w:t>3.2</w:t>
        </w:r>
        <w:r w:rsidR="00924BE4">
          <w:rPr>
            <w:rFonts w:asciiTheme="minorHAnsi" w:eastAsia="SimHei" w:hAnsiTheme="minorHAnsi" w:cstheme="minorBidi"/>
            <w:noProof/>
            <w:szCs w:val="22"/>
            <w:lang w:eastAsia="zh-CN"/>
          </w:rPr>
          <w:tab/>
        </w:r>
        <w:r w:rsidR="00924BE4" w:rsidRPr="00B3404D">
          <w:rPr>
            <w:rStyle w:val="Hyperlink"/>
            <w:rFonts w:hint="eastAsia"/>
            <w:noProof/>
          </w:rPr>
          <w:t>经济原则</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_Toc288642929 \h </w:instrText>
        </w:r>
        <w:r>
          <w:rPr>
            <w:noProof/>
            <w:webHidden/>
          </w:rPr>
        </w:r>
        <w:r>
          <w:rPr>
            <w:noProof/>
            <w:webHidden/>
          </w:rPr>
          <w:fldChar w:fldCharType="separate"/>
        </w:r>
        <w:r w:rsidR="00924BE4">
          <w:rPr>
            <w:noProof/>
            <w:webHidden/>
          </w:rPr>
          <w:t>2</w:t>
        </w:r>
        <w:r>
          <w:rPr>
            <w:noProof/>
            <w:webHidden/>
          </w:rPr>
          <w:fldChar w:fldCharType="end"/>
        </w:r>
      </w:hyperlink>
    </w:p>
    <w:p w:rsidR="00924BE4" w:rsidRDefault="00BA52D0">
      <w:pPr>
        <w:pStyle w:val="TOC2"/>
        <w:rPr>
          <w:rFonts w:asciiTheme="minorHAnsi" w:eastAsia="SimHei" w:hAnsiTheme="minorHAnsi" w:cstheme="minorBidi"/>
          <w:noProof/>
          <w:szCs w:val="22"/>
          <w:lang w:eastAsia="zh-CN"/>
        </w:rPr>
      </w:pPr>
      <w:hyperlink w:anchor="_Toc288642930" w:history="1">
        <w:r w:rsidR="00924BE4" w:rsidRPr="00B3404D">
          <w:rPr>
            <w:rStyle w:val="Hyperlink"/>
            <w:noProof/>
          </w:rPr>
          <w:t>3.3</w:t>
        </w:r>
        <w:r w:rsidR="00924BE4">
          <w:rPr>
            <w:rFonts w:asciiTheme="minorHAnsi" w:eastAsia="SimHei" w:hAnsiTheme="minorHAnsi" w:cstheme="minorBidi"/>
            <w:noProof/>
            <w:szCs w:val="22"/>
            <w:lang w:eastAsia="zh-CN"/>
          </w:rPr>
          <w:tab/>
        </w:r>
        <w:r w:rsidR="00924BE4" w:rsidRPr="00B3404D">
          <w:rPr>
            <w:rStyle w:val="Hyperlink"/>
            <w:rFonts w:hint="eastAsia"/>
            <w:noProof/>
          </w:rPr>
          <w:t>现实原则</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_Toc288642930 \h </w:instrText>
        </w:r>
        <w:r>
          <w:rPr>
            <w:noProof/>
            <w:webHidden/>
          </w:rPr>
        </w:r>
        <w:r>
          <w:rPr>
            <w:noProof/>
            <w:webHidden/>
          </w:rPr>
          <w:fldChar w:fldCharType="separate"/>
        </w:r>
        <w:r w:rsidR="00924BE4">
          <w:rPr>
            <w:noProof/>
            <w:webHidden/>
          </w:rPr>
          <w:t>2</w:t>
        </w:r>
        <w:r>
          <w:rPr>
            <w:noProof/>
            <w:webHidden/>
          </w:rPr>
          <w:fldChar w:fldCharType="end"/>
        </w:r>
      </w:hyperlink>
    </w:p>
    <w:p w:rsidR="00924BE4" w:rsidRDefault="00BA52D0">
      <w:pPr>
        <w:pStyle w:val="TOC1"/>
        <w:rPr>
          <w:rFonts w:asciiTheme="minorHAnsi" w:eastAsia="SimHei" w:hAnsiTheme="minorHAnsi" w:cstheme="minorBidi"/>
          <w:noProof/>
          <w:szCs w:val="22"/>
          <w:lang w:eastAsia="zh-CN"/>
        </w:rPr>
      </w:pPr>
      <w:hyperlink w:anchor="_Toc288642931" w:history="1">
        <w:r w:rsidR="00924BE4" w:rsidRPr="00B3404D">
          <w:rPr>
            <w:rStyle w:val="Hyperlink"/>
            <w:noProof/>
          </w:rPr>
          <w:t>4</w:t>
        </w:r>
        <w:r w:rsidR="00924BE4">
          <w:rPr>
            <w:rFonts w:asciiTheme="minorHAnsi" w:eastAsia="SimHei" w:hAnsiTheme="minorHAnsi" w:cstheme="minorBidi"/>
            <w:noProof/>
            <w:szCs w:val="22"/>
            <w:lang w:eastAsia="zh-CN"/>
          </w:rPr>
          <w:tab/>
        </w:r>
        <w:r w:rsidR="00924BE4" w:rsidRPr="00B3404D">
          <w:rPr>
            <w:rStyle w:val="Hyperlink"/>
            <w:rFonts w:hint="eastAsia"/>
            <w:noProof/>
          </w:rPr>
          <w:t>管理费设定指导原则（或行政性收费）</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_Toc288642931 \h </w:instrText>
        </w:r>
        <w:r>
          <w:rPr>
            <w:noProof/>
            <w:webHidden/>
          </w:rPr>
        </w:r>
        <w:r>
          <w:rPr>
            <w:noProof/>
            <w:webHidden/>
          </w:rPr>
          <w:fldChar w:fldCharType="separate"/>
        </w:r>
        <w:r w:rsidR="00924BE4">
          <w:rPr>
            <w:noProof/>
            <w:webHidden/>
          </w:rPr>
          <w:t>2</w:t>
        </w:r>
        <w:r>
          <w:rPr>
            <w:noProof/>
            <w:webHidden/>
          </w:rPr>
          <w:fldChar w:fldCharType="end"/>
        </w:r>
      </w:hyperlink>
    </w:p>
    <w:p w:rsidR="00924BE4" w:rsidRDefault="00BA52D0">
      <w:pPr>
        <w:pStyle w:val="TOC2"/>
        <w:rPr>
          <w:rFonts w:asciiTheme="minorHAnsi" w:eastAsia="SimHei" w:hAnsiTheme="minorHAnsi" w:cstheme="minorBidi"/>
          <w:noProof/>
          <w:szCs w:val="22"/>
          <w:lang w:eastAsia="zh-CN"/>
        </w:rPr>
      </w:pPr>
      <w:hyperlink w:anchor="_Toc288642932" w:history="1">
        <w:r w:rsidR="00924BE4" w:rsidRPr="00B3404D">
          <w:rPr>
            <w:rStyle w:val="Hyperlink"/>
            <w:noProof/>
          </w:rPr>
          <w:t>4.1</w:t>
        </w:r>
        <w:r w:rsidR="00924BE4">
          <w:rPr>
            <w:rFonts w:asciiTheme="minorHAnsi" w:eastAsia="SimHei" w:hAnsiTheme="minorHAnsi" w:cstheme="minorBidi"/>
            <w:noProof/>
            <w:szCs w:val="22"/>
            <w:lang w:eastAsia="zh-CN"/>
          </w:rPr>
          <w:tab/>
        </w:r>
        <w:r w:rsidR="00924BE4" w:rsidRPr="00B3404D">
          <w:rPr>
            <w:rStyle w:val="Hyperlink"/>
            <w:rFonts w:hint="eastAsia"/>
            <w:noProof/>
          </w:rPr>
          <w:t>意见和一般方法</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_Toc288642932 \h </w:instrText>
        </w:r>
        <w:r>
          <w:rPr>
            <w:noProof/>
            <w:webHidden/>
          </w:rPr>
        </w:r>
        <w:r>
          <w:rPr>
            <w:noProof/>
            <w:webHidden/>
          </w:rPr>
          <w:fldChar w:fldCharType="separate"/>
        </w:r>
        <w:r w:rsidR="00924BE4">
          <w:rPr>
            <w:noProof/>
            <w:webHidden/>
          </w:rPr>
          <w:t>2</w:t>
        </w:r>
        <w:r>
          <w:rPr>
            <w:noProof/>
            <w:webHidden/>
          </w:rPr>
          <w:fldChar w:fldCharType="end"/>
        </w:r>
      </w:hyperlink>
    </w:p>
    <w:p w:rsidR="00924BE4" w:rsidRDefault="00BA52D0">
      <w:pPr>
        <w:pStyle w:val="TOC2"/>
        <w:rPr>
          <w:rFonts w:asciiTheme="minorHAnsi" w:eastAsia="SimHei" w:hAnsiTheme="minorHAnsi" w:cstheme="minorBidi"/>
          <w:noProof/>
          <w:szCs w:val="22"/>
          <w:lang w:eastAsia="zh-CN"/>
        </w:rPr>
      </w:pPr>
      <w:hyperlink w:anchor="_Toc288642933" w:history="1">
        <w:r w:rsidR="00924BE4" w:rsidRPr="00B3404D">
          <w:rPr>
            <w:rStyle w:val="Hyperlink"/>
            <w:noProof/>
          </w:rPr>
          <w:t>4.2</w:t>
        </w:r>
        <w:r w:rsidR="00924BE4">
          <w:rPr>
            <w:rFonts w:asciiTheme="minorHAnsi" w:eastAsia="SimHei" w:hAnsiTheme="minorHAnsi" w:cstheme="minorBidi"/>
            <w:noProof/>
            <w:szCs w:val="22"/>
            <w:lang w:eastAsia="zh-CN"/>
          </w:rPr>
          <w:tab/>
        </w:r>
        <w:r w:rsidR="00924BE4" w:rsidRPr="00B3404D">
          <w:rPr>
            <w:rStyle w:val="Hyperlink"/>
            <w:rFonts w:hint="eastAsia"/>
            <w:noProof/>
          </w:rPr>
          <w:t>行政成本分摊原则</w:t>
        </w:r>
        <w:r w:rsidR="00924BE4" w:rsidRPr="00B3404D">
          <w:rPr>
            <w:rStyle w:val="Hyperlink"/>
            <w:noProof/>
          </w:rPr>
          <w:t xml:space="preserve"> – </w:t>
        </w:r>
        <w:r w:rsidR="00924BE4" w:rsidRPr="00B3404D">
          <w:rPr>
            <w:rStyle w:val="Hyperlink"/>
            <w:rFonts w:hint="eastAsia"/>
            <w:noProof/>
          </w:rPr>
          <w:t>例</w:t>
        </w:r>
        <w:r w:rsidR="00924BE4" w:rsidRPr="00B3404D">
          <w:rPr>
            <w:rStyle w:val="Hyperlink"/>
            <w:noProof/>
          </w:rPr>
          <w:t>1</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_Toc288642933 \h </w:instrText>
        </w:r>
        <w:r>
          <w:rPr>
            <w:noProof/>
            <w:webHidden/>
          </w:rPr>
        </w:r>
        <w:r>
          <w:rPr>
            <w:noProof/>
            <w:webHidden/>
          </w:rPr>
          <w:fldChar w:fldCharType="separate"/>
        </w:r>
        <w:r w:rsidR="00924BE4">
          <w:rPr>
            <w:noProof/>
            <w:webHidden/>
          </w:rPr>
          <w:t>3</w:t>
        </w:r>
        <w:r>
          <w:rPr>
            <w:noProof/>
            <w:webHidden/>
          </w:rPr>
          <w:fldChar w:fldCharType="end"/>
        </w:r>
      </w:hyperlink>
    </w:p>
    <w:p w:rsidR="00924BE4" w:rsidRDefault="00BA52D0">
      <w:pPr>
        <w:pStyle w:val="TOC2"/>
        <w:rPr>
          <w:rFonts w:asciiTheme="minorHAnsi" w:eastAsia="SimHei" w:hAnsiTheme="minorHAnsi" w:cstheme="minorBidi"/>
          <w:noProof/>
          <w:szCs w:val="22"/>
          <w:lang w:eastAsia="zh-CN"/>
        </w:rPr>
      </w:pPr>
      <w:hyperlink w:anchor="_Toc288642934" w:history="1">
        <w:r w:rsidR="00924BE4" w:rsidRPr="00B3404D">
          <w:rPr>
            <w:rStyle w:val="Hyperlink"/>
            <w:noProof/>
          </w:rPr>
          <w:t>4.3</w:t>
        </w:r>
        <w:r w:rsidR="00924BE4">
          <w:rPr>
            <w:rFonts w:asciiTheme="minorHAnsi" w:eastAsia="SimHei" w:hAnsiTheme="minorHAnsi" w:cstheme="minorBidi"/>
            <w:noProof/>
            <w:szCs w:val="22"/>
            <w:lang w:eastAsia="zh-CN"/>
          </w:rPr>
          <w:tab/>
        </w:r>
        <w:r w:rsidR="00924BE4" w:rsidRPr="00B3404D">
          <w:rPr>
            <w:rStyle w:val="Hyperlink"/>
            <w:rFonts w:hint="eastAsia"/>
            <w:noProof/>
          </w:rPr>
          <w:t>行政成本的分配规则</w:t>
        </w:r>
        <w:r w:rsidR="00924BE4" w:rsidRPr="00B3404D">
          <w:rPr>
            <w:rStyle w:val="Hyperlink"/>
            <w:noProof/>
          </w:rPr>
          <w:t xml:space="preserve"> – </w:t>
        </w:r>
        <w:r w:rsidR="00924BE4" w:rsidRPr="00B3404D">
          <w:rPr>
            <w:rStyle w:val="Hyperlink"/>
            <w:rFonts w:hint="eastAsia"/>
            <w:noProof/>
          </w:rPr>
          <w:t>例</w:t>
        </w:r>
        <w:r w:rsidR="00924BE4" w:rsidRPr="00B3404D">
          <w:rPr>
            <w:rStyle w:val="Hyperlink"/>
            <w:noProof/>
          </w:rPr>
          <w:t>2</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_Toc288642934 \h </w:instrText>
        </w:r>
        <w:r>
          <w:rPr>
            <w:noProof/>
            <w:webHidden/>
          </w:rPr>
        </w:r>
        <w:r>
          <w:rPr>
            <w:noProof/>
            <w:webHidden/>
          </w:rPr>
          <w:fldChar w:fldCharType="separate"/>
        </w:r>
        <w:r w:rsidR="00924BE4">
          <w:rPr>
            <w:noProof/>
            <w:webHidden/>
          </w:rPr>
          <w:t>3</w:t>
        </w:r>
        <w:r>
          <w:rPr>
            <w:noProof/>
            <w:webHidden/>
          </w:rPr>
          <w:fldChar w:fldCharType="end"/>
        </w:r>
      </w:hyperlink>
    </w:p>
    <w:p w:rsidR="00924BE4" w:rsidRDefault="00BA52D0">
      <w:pPr>
        <w:pStyle w:val="TOC1"/>
        <w:rPr>
          <w:rFonts w:asciiTheme="minorHAnsi" w:eastAsia="SimHei" w:hAnsiTheme="minorHAnsi" w:cstheme="minorBidi"/>
          <w:noProof/>
          <w:szCs w:val="22"/>
          <w:lang w:eastAsia="zh-CN"/>
        </w:rPr>
      </w:pPr>
      <w:hyperlink w:anchor="_Toc288642935" w:history="1">
        <w:r w:rsidR="00924BE4" w:rsidRPr="00B3404D">
          <w:rPr>
            <w:rStyle w:val="Hyperlink"/>
            <w:noProof/>
          </w:rPr>
          <w:t>5</w:t>
        </w:r>
        <w:r w:rsidR="00924BE4">
          <w:rPr>
            <w:rFonts w:asciiTheme="minorHAnsi" w:eastAsia="SimHei" w:hAnsiTheme="minorHAnsi" w:cstheme="minorBidi"/>
            <w:noProof/>
            <w:szCs w:val="22"/>
            <w:lang w:eastAsia="zh-CN"/>
          </w:rPr>
          <w:tab/>
        </w:r>
        <w:r w:rsidR="00924BE4" w:rsidRPr="00B3404D">
          <w:rPr>
            <w:rStyle w:val="Hyperlink"/>
            <w:rFonts w:hint="eastAsia"/>
            <w:noProof/>
          </w:rPr>
          <w:t>频谱费设定指导原则</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_Toc288642935 \h </w:instrText>
        </w:r>
        <w:r>
          <w:rPr>
            <w:noProof/>
            <w:webHidden/>
          </w:rPr>
        </w:r>
        <w:r>
          <w:rPr>
            <w:noProof/>
            <w:webHidden/>
          </w:rPr>
          <w:fldChar w:fldCharType="separate"/>
        </w:r>
        <w:r w:rsidR="00924BE4">
          <w:rPr>
            <w:noProof/>
            <w:webHidden/>
          </w:rPr>
          <w:t>4</w:t>
        </w:r>
        <w:r>
          <w:rPr>
            <w:noProof/>
            <w:webHidden/>
          </w:rPr>
          <w:fldChar w:fldCharType="end"/>
        </w:r>
      </w:hyperlink>
    </w:p>
    <w:p w:rsidR="00924BE4" w:rsidRDefault="00BA52D0">
      <w:pPr>
        <w:pStyle w:val="TOC2"/>
        <w:rPr>
          <w:rFonts w:asciiTheme="minorHAnsi" w:eastAsia="SimHei" w:hAnsiTheme="minorHAnsi" w:cstheme="minorBidi"/>
          <w:noProof/>
          <w:szCs w:val="22"/>
          <w:lang w:eastAsia="zh-CN"/>
        </w:rPr>
      </w:pPr>
      <w:hyperlink w:anchor="_Toc288642936" w:history="1">
        <w:r w:rsidR="00924BE4" w:rsidRPr="00B3404D">
          <w:rPr>
            <w:rStyle w:val="Hyperlink"/>
            <w:noProof/>
          </w:rPr>
          <w:t>5.1</w:t>
        </w:r>
        <w:r w:rsidR="00924BE4">
          <w:rPr>
            <w:rFonts w:asciiTheme="minorHAnsi" w:eastAsia="SimHei" w:hAnsiTheme="minorHAnsi" w:cstheme="minorBidi"/>
            <w:noProof/>
            <w:szCs w:val="22"/>
            <w:lang w:eastAsia="zh-CN"/>
          </w:rPr>
          <w:tab/>
        </w:r>
        <w:r w:rsidR="00924BE4" w:rsidRPr="00B3404D">
          <w:rPr>
            <w:rStyle w:val="Hyperlink"/>
            <w:rFonts w:hint="eastAsia"/>
            <w:noProof/>
          </w:rPr>
          <w:t>意见和一般方法</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_Toc288642936 \h </w:instrText>
        </w:r>
        <w:r>
          <w:rPr>
            <w:noProof/>
            <w:webHidden/>
          </w:rPr>
        </w:r>
        <w:r>
          <w:rPr>
            <w:noProof/>
            <w:webHidden/>
          </w:rPr>
          <w:fldChar w:fldCharType="separate"/>
        </w:r>
        <w:r w:rsidR="00924BE4">
          <w:rPr>
            <w:noProof/>
            <w:webHidden/>
          </w:rPr>
          <w:t>4</w:t>
        </w:r>
        <w:r>
          <w:rPr>
            <w:noProof/>
            <w:webHidden/>
          </w:rPr>
          <w:fldChar w:fldCharType="end"/>
        </w:r>
      </w:hyperlink>
    </w:p>
    <w:p w:rsidR="00924BE4" w:rsidRDefault="00BA52D0">
      <w:pPr>
        <w:pStyle w:val="TOC2"/>
        <w:rPr>
          <w:rFonts w:asciiTheme="minorHAnsi" w:eastAsia="SimHei" w:hAnsiTheme="minorHAnsi" w:cstheme="minorBidi"/>
          <w:noProof/>
          <w:szCs w:val="22"/>
          <w:lang w:eastAsia="zh-CN"/>
        </w:rPr>
      </w:pPr>
      <w:hyperlink w:anchor="_Toc288642941" w:history="1">
        <w:r w:rsidR="00924BE4" w:rsidRPr="00B3404D">
          <w:rPr>
            <w:rStyle w:val="Hyperlink"/>
            <w:noProof/>
          </w:rPr>
          <w:t>5.2</w:t>
        </w:r>
        <w:r w:rsidR="00924BE4">
          <w:rPr>
            <w:rFonts w:asciiTheme="minorHAnsi" w:eastAsia="SimHei" w:hAnsiTheme="minorHAnsi" w:cstheme="minorBidi"/>
            <w:noProof/>
            <w:szCs w:val="22"/>
            <w:lang w:eastAsia="zh-CN"/>
          </w:rPr>
          <w:tab/>
        </w:r>
        <w:r w:rsidR="00924BE4" w:rsidRPr="00B3404D">
          <w:rPr>
            <w:rStyle w:val="Hyperlink"/>
            <w:rFonts w:hint="eastAsia"/>
            <w:noProof/>
          </w:rPr>
          <w:t>计划用于用户自身需求的频率频谱费</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_Toc288642941 \h </w:instrText>
        </w:r>
        <w:r>
          <w:rPr>
            <w:noProof/>
            <w:webHidden/>
          </w:rPr>
        </w:r>
        <w:r>
          <w:rPr>
            <w:noProof/>
            <w:webHidden/>
          </w:rPr>
          <w:fldChar w:fldCharType="separate"/>
        </w:r>
        <w:r w:rsidR="00924BE4">
          <w:rPr>
            <w:noProof/>
            <w:webHidden/>
          </w:rPr>
          <w:t>5</w:t>
        </w:r>
        <w:r>
          <w:rPr>
            <w:noProof/>
            <w:webHidden/>
          </w:rPr>
          <w:fldChar w:fldCharType="end"/>
        </w:r>
      </w:hyperlink>
    </w:p>
    <w:p w:rsidR="00924BE4" w:rsidRDefault="00BA52D0">
      <w:pPr>
        <w:pStyle w:val="TOC2"/>
        <w:rPr>
          <w:rFonts w:asciiTheme="minorHAnsi" w:eastAsia="SimHei" w:hAnsiTheme="minorHAnsi" w:cstheme="minorBidi"/>
          <w:noProof/>
          <w:szCs w:val="22"/>
          <w:lang w:eastAsia="zh-CN"/>
        </w:rPr>
      </w:pPr>
      <w:hyperlink w:anchor="_Toc288642944" w:history="1">
        <w:r w:rsidR="00924BE4" w:rsidRPr="00B3404D">
          <w:rPr>
            <w:rStyle w:val="Hyperlink"/>
            <w:noProof/>
          </w:rPr>
          <w:t>5.3</w:t>
        </w:r>
        <w:r w:rsidR="00924BE4">
          <w:rPr>
            <w:rFonts w:asciiTheme="minorHAnsi" w:eastAsia="SimHei" w:hAnsiTheme="minorHAnsi" w:cstheme="minorBidi"/>
            <w:noProof/>
            <w:szCs w:val="22"/>
            <w:lang w:eastAsia="zh-CN"/>
          </w:rPr>
          <w:tab/>
        </w:r>
        <w:r w:rsidR="00924BE4" w:rsidRPr="00B3404D">
          <w:rPr>
            <w:rStyle w:val="Hyperlink"/>
            <w:rFonts w:hint="eastAsia"/>
            <w:noProof/>
          </w:rPr>
          <w:t>用于提供或销售进入消费市场的频率频谱费</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_Toc288642944 \h </w:instrText>
        </w:r>
        <w:r>
          <w:rPr>
            <w:noProof/>
            <w:webHidden/>
          </w:rPr>
        </w:r>
        <w:r>
          <w:rPr>
            <w:noProof/>
            <w:webHidden/>
          </w:rPr>
          <w:fldChar w:fldCharType="separate"/>
        </w:r>
        <w:r w:rsidR="00924BE4">
          <w:rPr>
            <w:noProof/>
            <w:webHidden/>
          </w:rPr>
          <w:t>6</w:t>
        </w:r>
        <w:r>
          <w:rPr>
            <w:noProof/>
            <w:webHidden/>
          </w:rPr>
          <w:fldChar w:fldCharType="end"/>
        </w:r>
      </w:hyperlink>
    </w:p>
    <w:p w:rsidR="00924BE4" w:rsidRDefault="00BA52D0">
      <w:pPr>
        <w:pStyle w:val="TOC1"/>
        <w:rPr>
          <w:rFonts w:asciiTheme="minorHAnsi" w:eastAsia="SimHei" w:hAnsiTheme="minorHAnsi" w:cstheme="minorBidi"/>
          <w:noProof/>
          <w:szCs w:val="22"/>
          <w:lang w:eastAsia="zh-CN"/>
        </w:rPr>
      </w:pPr>
      <w:hyperlink w:anchor="_Toc288642950" w:history="1">
        <w:r w:rsidR="00924BE4" w:rsidRPr="00B3404D">
          <w:rPr>
            <w:rStyle w:val="Hyperlink"/>
            <w:noProof/>
          </w:rPr>
          <w:t>6</w:t>
        </w:r>
        <w:r w:rsidR="00924BE4">
          <w:rPr>
            <w:rFonts w:asciiTheme="minorHAnsi" w:eastAsia="SimHei" w:hAnsiTheme="minorHAnsi" w:cstheme="minorBidi"/>
            <w:noProof/>
            <w:szCs w:val="22"/>
            <w:lang w:eastAsia="zh-CN"/>
          </w:rPr>
          <w:tab/>
        </w:r>
        <w:r w:rsidR="00924BE4" w:rsidRPr="00B3404D">
          <w:rPr>
            <w:rStyle w:val="Hyperlink"/>
            <w:rFonts w:hint="eastAsia"/>
            <w:noProof/>
          </w:rPr>
          <w:t>应用费用国际比较的建议</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_Toc288642950 \h </w:instrText>
        </w:r>
        <w:r>
          <w:rPr>
            <w:noProof/>
            <w:webHidden/>
          </w:rPr>
        </w:r>
        <w:r>
          <w:rPr>
            <w:noProof/>
            <w:webHidden/>
          </w:rPr>
          <w:fldChar w:fldCharType="separate"/>
        </w:r>
        <w:r w:rsidR="00924BE4">
          <w:rPr>
            <w:noProof/>
            <w:webHidden/>
          </w:rPr>
          <w:t>8</w:t>
        </w:r>
        <w:r>
          <w:rPr>
            <w:noProof/>
            <w:webHidden/>
          </w:rPr>
          <w:fldChar w:fldCharType="end"/>
        </w:r>
      </w:hyperlink>
    </w:p>
    <w:p w:rsidR="00924BE4" w:rsidRDefault="00BA52D0">
      <w:pPr>
        <w:pStyle w:val="TOC1"/>
        <w:rPr>
          <w:rFonts w:asciiTheme="minorHAnsi" w:eastAsia="SimHei" w:hAnsiTheme="minorHAnsi" w:cstheme="minorBidi"/>
          <w:noProof/>
          <w:szCs w:val="22"/>
          <w:lang w:eastAsia="zh-CN"/>
        </w:rPr>
      </w:pPr>
      <w:hyperlink w:anchor="_Toc288642951" w:history="1">
        <w:r w:rsidR="00924BE4" w:rsidRPr="00B3404D">
          <w:rPr>
            <w:rStyle w:val="Hyperlink"/>
            <w:noProof/>
          </w:rPr>
          <w:t>7</w:t>
        </w:r>
        <w:r w:rsidR="00924BE4">
          <w:rPr>
            <w:rFonts w:asciiTheme="minorHAnsi" w:eastAsia="SimHei" w:hAnsiTheme="minorHAnsi" w:cstheme="minorBidi"/>
            <w:noProof/>
            <w:szCs w:val="22"/>
            <w:lang w:eastAsia="zh-CN"/>
          </w:rPr>
          <w:tab/>
        </w:r>
        <w:r w:rsidR="00924BE4" w:rsidRPr="00B3404D">
          <w:rPr>
            <w:rStyle w:val="Hyperlink"/>
            <w:rFonts w:hint="eastAsia"/>
            <w:noProof/>
          </w:rPr>
          <w:t>推荐的收费体系示意图</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_Toc288642951 \h </w:instrText>
        </w:r>
        <w:r>
          <w:rPr>
            <w:noProof/>
            <w:webHidden/>
          </w:rPr>
        </w:r>
        <w:r>
          <w:rPr>
            <w:noProof/>
            <w:webHidden/>
          </w:rPr>
          <w:fldChar w:fldCharType="separate"/>
        </w:r>
        <w:r w:rsidR="00924BE4">
          <w:rPr>
            <w:noProof/>
            <w:webHidden/>
          </w:rPr>
          <w:t>9</w:t>
        </w:r>
        <w:r>
          <w:rPr>
            <w:noProof/>
            <w:webHidden/>
          </w:rPr>
          <w:fldChar w:fldCharType="end"/>
        </w:r>
      </w:hyperlink>
    </w:p>
    <w:p w:rsidR="00924BE4" w:rsidRDefault="00BA52D0">
      <w:pPr>
        <w:pStyle w:val="TOC1"/>
        <w:rPr>
          <w:rFonts w:asciiTheme="minorHAnsi" w:eastAsia="SimHei" w:hAnsiTheme="minorHAnsi" w:cstheme="minorBidi"/>
          <w:noProof/>
          <w:szCs w:val="22"/>
          <w:lang w:eastAsia="zh-CN"/>
        </w:rPr>
      </w:pPr>
      <w:hyperlink w:anchor="_Toc288642952" w:history="1">
        <w:r w:rsidR="00924BE4" w:rsidRPr="00B3404D">
          <w:rPr>
            <w:rStyle w:val="Hyperlink"/>
            <w:noProof/>
          </w:rPr>
          <w:t>8</w:t>
        </w:r>
        <w:r w:rsidR="00924BE4">
          <w:rPr>
            <w:rFonts w:asciiTheme="minorHAnsi" w:eastAsia="SimHei" w:hAnsiTheme="minorHAnsi" w:cstheme="minorBidi"/>
            <w:noProof/>
            <w:szCs w:val="22"/>
            <w:lang w:eastAsia="zh-CN"/>
          </w:rPr>
          <w:tab/>
        </w:r>
        <w:r w:rsidR="00924BE4" w:rsidRPr="00B3404D">
          <w:rPr>
            <w:rStyle w:val="Hyperlink"/>
            <w:rFonts w:hint="eastAsia"/>
            <w:noProof/>
          </w:rPr>
          <w:t>主管部门收费情况示例</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_Toc288642952 \h </w:instrText>
        </w:r>
        <w:r>
          <w:rPr>
            <w:noProof/>
            <w:webHidden/>
          </w:rPr>
        </w:r>
        <w:r>
          <w:rPr>
            <w:noProof/>
            <w:webHidden/>
          </w:rPr>
          <w:fldChar w:fldCharType="separate"/>
        </w:r>
        <w:r w:rsidR="00924BE4">
          <w:rPr>
            <w:noProof/>
            <w:webHidden/>
          </w:rPr>
          <w:t>9</w:t>
        </w:r>
        <w:r>
          <w:rPr>
            <w:noProof/>
            <w:webHidden/>
          </w:rPr>
          <w:fldChar w:fldCharType="end"/>
        </w:r>
      </w:hyperlink>
    </w:p>
    <w:p w:rsidR="00924BE4" w:rsidRDefault="00BA52D0">
      <w:pPr>
        <w:pStyle w:val="TOC2"/>
        <w:rPr>
          <w:rFonts w:asciiTheme="minorHAnsi" w:eastAsia="SimHei" w:hAnsiTheme="minorHAnsi" w:cstheme="minorBidi"/>
          <w:noProof/>
          <w:szCs w:val="22"/>
          <w:lang w:eastAsia="zh-CN"/>
        </w:rPr>
      </w:pPr>
      <w:hyperlink w:anchor="_Toc288642953" w:history="1">
        <w:r w:rsidR="00924BE4" w:rsidRPr="00B3404D">
          <w:rPr>
            <w:rStyle w:val="Hyperlink"/>
            <w:noProof/>
          </w:rPr>
          <w:t>8.1</w:t>
        </w:r>
        <w:r w:rsidR="00924BE4">
          <w:rPr>
            <w:rFonts w:asciiTheme="minorHAnsi" w:eastAsia="SimHei" w:hAnsiTheme="minorHAnsi" w:cstheme="minorBidi"/>
            <w:noProof/>
            <w:szCs w:val="22"/>
            <w:lang w:eastAsia="zh-CN"/>
          </w:rPr>
          <w:tab/>
        </w:r>
        <w:r w:rsidR="00924BE4" w:rsidRPr="00B3404D">
          <w:rPr>
            <w:rStyle w:val="Hyperlink"/>
            <w:rFonts w:hint="eastAsia"/>
            <w:noProof/>
          </w:rPr>
          <w:t>阿拉伯联合酋长国的情况</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_Toc288642953 \h </w:instrText>
        </w:r>
        <w:r>
          <w:rPr>
            <w:noProof/>
            <w:webHidden/>
          </w:rPr>
        </w:r>
        <w:r>
          <w:rPr>
            <w:noProof/>
            <w:webHidden/>
          </w:rPr>
          <w:fldChar w:fldCharType="separate"/>
        </w:r>
        <w:r w:rsidR="00924BE4">
          <w:rPr>
            <w:noProof/>
            <w:webHidden/>
          </w:rPr>
          <w:t>9</w:t>
        </w:r>
        <w:r>
          <w:rPr>
            <w:noProof/>
            <w:webHidden/>
          </w:rPr>
          <w:fldChar w:fldCharType="end"/>
        </w:r>
      </w:hyperlink>
    </w:p>
    <w:p w:rsidR="00924BE4" w:rsidRDefault="00BA52D0">
      <w:pPr>
        <w:pStyle w:val="TOC2"/>
        <w:rPr>
          <w:rFonts w:asciiTheme="minorHAnsi" w:eastAsia="SimHei" w:hAnsiTheme="minorHAnsi" w:cstheme="minorBidi"/>
          <w:noProof/>
          <w:szCs w:val="22"/>
          <w:lang w:eastAsia="zh-CN"/>
        </w:rPr>
      </w:pPr>
      <w:hyperlink w:anchor="_Toc288642954" w:history="1">
        <w:r w:rsidR="00924BE4" w:rsidRPr="00B3404D">
          <w:rPr>
            <w:rStyle w:val="Hyperlink"/>
            <w:noProof/>
          </w:rPr>
          <w:t>8.2</w:t>
        </w:r>
        <w:r w:rsidR="00924BE4">
          <w:rPr>
            <w:rFonts w:asciiTheme="minorHAnsi" w:eastAsia="SimHei" w:hAnsiTheme="minorHAnsi" w:cstheme="minorBidi"/>
            <w:noProof/>
            <w:szCs w:val="22"/>
            <w:lang w:eastAsia="zh-CN"/>
          </w:rPr>
          <w:tab/>
        </w:r>
        <w:r w:rsidR="00924BE4" w:rsidRPr="00B3404D">
          <w:rPr>
            <w:rStyle w:val="Hyperlink"/>
            <w:rFonts w:hint="eastAsia"/>
            <w:noProof/>
          </w:rPr>
          <w:t>瑞士的情况</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_Toc288642954 \h </w:instrText>
        </w:r>
        <w:r>
          <w:rPr>
            <w:noProof/>
            <w:webHidden/>
          </w:rPr>
        </w:r>
        <w:r>
          <w:rPr>
            <w:noProof/>
            <w:webHidden/>
          </w:rPr>
          <w:fldChar w:fldCharType="separate"/>
        </w:r>
        <w:r w:rsidR="00924BE4">
          <w:rPr>
            <w:noProof/>
            <w:webHidden/>
          </w:rPr>
          <w:t>9</w:t>
        </w:r>
        <w:r>
          <w:rPr>
            <w:noProof/>
            <w:webHidden/>
          </w:rPr>
          <w:fldChar w:fldCharType="end"/>
        </w:r>
      </w:hyperlink>
    </w:p>
    <w:p w:rsidR="00924BE4" w:rsidRDefault="00BA52D0">
      <w:pPr>
        <w:pStyle w:val="TOC2"/>
        <w:rPr>
          <w:rFonts w:asciiTheme="minorHAnsi" w:eastAsia="SimHei" w:hAnsiTheme="minorHAnsi" w:cstheme="minorBidi"/>
          <w:noProof/>
          <w:szCs w:val="22"/>
          <w:lang w:eastAsia="zh-CN"/>
        </w:rPr>
      </w:pPr>
      <w:hyperlink w:anchor="_Toc288642955" w:history="1">
        <w:r w:rsidR="00924BE4" w:rsidRPr="00B3404D">
          <w:rPr>
            <w:rStyle w:val="Hyperlink"/>
            <w:noProof/>
          </w:rPr>
          <w:t>8.3</w:t>
        </w:r>
        <w:r w:rsidR="00924BE4">
          <w:rPr>
            <w:rFonts w:asciiTheme="minorHAnsi" w:eastAsia="SimHei" w:hAnsiTheme="minorHAnsi" w:cstheme="minorBidi"/>
            <w:noProof/>
            <w:szCs w:val="22"/>
            <w:lang w:eastAsia="zh-CN"/>
          </w:rPr>
          <w:tab/>
        </w:r>
        <w:r w:rsidR="00924BE4" w:rsidRPr="00B3404D">
          <w:rPr>
            <w:rStyle w:val="Hyperlink"/>
            <w:rFonts w:hint="eastAsia"/>
            <w:noProof/>
          </w:rPr>
          <w:t>法国的情况</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_Toc288642955 \h </w:instrText>
        </w:r>
        <w:r>
          <w:rPr>
            <w:noProof/>
            <w:webHidden/>
          </w:rPr>
        </w:r>
        <w:r>
          <w:rPr>
            <w:noProof/>
            <w:webHidden/>
          </w:rPr>
          <w:fldChar w:fldCharType="separate"/>
        </w:r>
        <w:r w:rsidR="00924BE4">
          <w:rPr>
            <w:noProof/>
            <w:webHidden/>
          </w:rPr>
          <w:t>9</w:t>
        </w:r>
        <w:r>
          <w:rPr>
            <w:noProof/>
            <w:webHidden/>
          </w:rPr>
          <w:fldChar w:fldCharType="end"/>
        </w:r>
      </w:hyperlink>
    </w:p>
    <w:p w:rsidR="00924BE4" w:rsidRDefault="00BA52D0">
      <w:pPr>
        <w:pStyle w:val="TOC2"/>
        <w:rPr>
          <w:rFonts w:asciiTheme="minorHAnsi" w:eastAsia="SimHei" w:hAnsiTheme="minorHAnsi" w:cstheme="minorBidi"/>
          <w:noProof/>
          <w:szCs w:val="22"/>
          <w:lang w:eastAsia="zh-CN"/>
        </w:rPr>
      </w:pPr>
      <w:hyperlink w:anchor="_Toc288642956" w:history="1">
        <w:r w:rsidR="00924BE4" w:rsidRPr="00B3404D">
          <w:rPr>
            <w:rStyle w:val="Hyperlink"/>
            <w:noProof/>
          </w:rPr>
          <w:t>8.4</w:t>
        </w:r>
        <w:r w:rsidR="00924BE4">
          <w:rPr>
            <w:rFonts w:asciiTheme="minorHAnsi" w:eastAsia="SimHei" w:hAnsiTheme="minorHAnsi" w:cstheme="minorBidi"/>
            <w:noProof/>
            <w:szCs w:val="22"/>
            <w:lang w:eastAsia="zh-CN"/>
          </w:rPr>
          <w:tab/>
        </w:r>
        <w:r w:rsidR="00924BE4" w:rsidRPr="00B3404D">
          <w:rPr>
            <w:rStyle w:val="Hyperlink"/>
            <w:rFonts w:hint="eastAsia"/>
            <w:noProof/>
          </w:rPr>
          <w:t>科特迪瓦的情况</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_Toc288642956 \h </w:instrText>
        </w:r>
        <w:r>
          <w:rPr>
            <w:noProof/>
            <w:webHidden/>
          </w:rPr>
        </w:r>
        <w:r>
          <w:rPr>
            <w:noProof/>
            <w:webHidden/>
          </w:rPr>
          <w:fldChar w:fldCharType="separate"/>
        </w:r>
        <w:r w:rsidR="00924BE4">
          <w:rPr>
            <w:noProof/>
            <w:webHidden/>
          </w:rPr>
          <w:t>10</w:t>
        </w:r>
        <w:r>
          <w:rPr>
            <w:noProof/>
            <w:webHidden/>
          </w:rPr>
          <w:fldChar w:fldCharType="end"/>
        </w:r>
      </w:hyperlink>
    </w:p>
    <w:p w:rsidR="00924BE4" w:rsidRDefault="00BA52D0">
      <w:pPr>
        <w:pStyle w:val="TOC1"/>
        <w:rPr>
          <w:rFonts w:asciiTheme="minorHAnsi" w:eastAsia="SimHei" w:hAnsiTheme="minorHAnsi" w:cstheme="minorBidi"/>
          <w:noProof/>
          <w:szCs w:val="22"/>
          <w:lang w:eastAsia="zh-CN"/>
        </w:rPr>
      </w:pPr>
      <w:hyperlink w:anchor="_Toc288642957" w:history="1">
        <w:r w:rsidR="00924BE4" w:rsidRPr="00B3404D">
          <w:rPr>
            <w:rStyle w:val="Hyperlink"/>
            <w:rFonts w:hint="eastAsia"/>
            <w:noProof/>
          </w:rPr>
          <w:t>附件</w:t>
        </w:r>
        <w:r w:rsidR="00924BE4" w:rsidRPr="00B3404D">
          <w:rPr>
            <w:rStyle w:val="Hyperlink"/>
            <w:noProof/>
          </w:rPr>
          <w:t>1</w:t>
        </w:r>
        <w:r w:rsidR="00924BE4" w:rsidRPr="00B3404D">
          <w:rPr>
            <w:rStyle w:val="Hyperlink"/>
            <w:noProof/>
            <w:lang w:eastAsia="zh-CN"/>
          </w:rPr>
          <w:t xml:space="preserve"> </w:t>
        </w:r>
        <w:r w:rsidR="00AD4C93">
          <w:rPr>
            <w:rStyle w:val="Hyperlink"/>
            <w:noProof/>
            <w:lang w:eastAsia="zh-CN"/>
          </w:rPr>
          <w:t>–</w:t>
        </w:r>
        <w:r w:rsidR="00924BE4" w:rsidRPr="00B3404D">
          <w:rPr>
            <w:rStyle w:val="Hyperlink"/>
            <w:noProof/>
            <w:lang w:eastAsia="zh-CN"/>
          </w:rPr>
          <w:t xml:space="preserve"> </w:t>
        </w:r>
        <w:r w:rsidR="00924BE4" w:rsidRPr="00B3404D">
          <w:rPr>
            <w:rStyle w:val="Hyperlink"/>
            <w:rFonts w:hint="eastAsia"/>
            <w:noProof/>
            <w:lang w:eastAsia="zh-CN"/>
          </w:rPr>
          <w:t>各频段</w:t>
        </w:r>
        <w:r w:rsidR="00924BE4" w:rsidRPr="00B3404D">
          <w:rPr>
            <w:rStyle w:val="Hyperlink"/>
            <w:noProof/>
            <w:lang w:eastAsia="zh-CN"/>
          </w:rPr>
          <w:t>“bf”</w:t>
        </w:r>
        <w:r w:rsidR="00924BE4" w:rsidRPr="00B3404D">
          <w:rPr>
            <w:rStyle w:val="Hyperlink"/>
            <w:rFonts w:hint="eastAsia"/>
            <w:noProof/>
            <w:lang w:eastAsia="zh-CN"/>
          </w:rPr>
          <w:t>系数值的简明表格示例</w:t>
        </w:r>
        <w:r w:rsidR="00924BE4">
          <w:rPr>
            <w:rStyle w:val="Hyperlink"/>
            <w:noProof/>
            <w:lang w:eastAsia="zh-CN"/>
          </w:rPr>
          <w:tab/>
        </w:r>
        <w:r w:rsidR="00924BE4">
          <w:rPr>
            <w:noProof/>
            <w:webHidden/>
          </w:rPr>
          <w:tab/>
        </w:r>
        <w:r>
          <w:rPr>
            <w:noProof/>
            <w:webHidden/>
          </w:rPr>
          <w:fldChar w:fldCharType="begin"/>
        </w:r>
        <w:r w:rsidR="00924BE4">
          <w:rPr>
            <w:noProof/>
            <w:webHidden/>
          </w:rPr>
          <w:instrText xml:space="preserve"> PAGEREF _Toc288642957 \h </w:instrText>
        </w:r>
        <w:r>
          <w:rPr>
            <w:noProof/>
            <w:webHidden/>
          </w:rPr>
        </w:r>
        <w:r>
          <w:rPr>
            <w:noProof/>
            <w:webHidden/>
          </w:rPr>
          <w:fldChar w:fldCharType="separate"/>
        </w:r>
        <w:r w:rsidR="00924BE4">
          <w:rPr>
            <w:noProof/>
            <w:webHidden/>
          </w:rPr>
          <w:t>11</w:t>
        </w:r>
        <w:r>
          <w:rPr>
            <w:noProof/>
            <w:webHidden/>
          </w:rPr>
          <w:fldChar w:fldCharType="end"/>
        </w:r>
      </w:hyperlink>
    </w:p>
    <w:p w:rsidR="00924BE4" w:rsidRDefault="00BA52D0">
      <w:pPr>
        <w:pStyle w:val="TOC1"/>
        <w:rPr>
          <w:rFonts w:asciiTheme="minorHAnsi" w:eastAsia="SimHei" w:hAnsiTheme="minorHAnsi" w:cstheme="minorBidi"/>
          <w:noProof/>
          <w:szCs w:val="22"/>
          <w:lang w:eastAsia="zh-CN"/>
        </w:rPr>
      </w:pPr>
      <w:hyperlink w:anchor="_Toc288642958" w:history="1">
        <w:r w:rsidR="00924BE4" w:rsidRPr="00B3404D">
          <w:rPr>
            <w:rStyle w:val="Hyperlink"/>
            <w:rFonts w:hint="eastAsia"/>
            <w:noProof/>
          </w:rPr>
          <w:t>附件</w:t>
        </w:r>
        <w:r w:rsidR="00924BE4" w:rsidRPr="00B3404D">
          <w:rPr>
            <w:rStyle w:val="Hyperlink"/>
            <w:noProof/>
          </w:rPr>
          <w:t>2</w:t>
        </w:r>
        <w:r w:rsidR="00924BE4" w:rsidRPr="00B3404D">
          <w:rPr>
            <w:rStyle w:val="Hyperlink"/>
            <w:noProof/>
            <w:lang w:eastAsia="zh-CN"/>
          </w:rPr>
          <w:t xml:space="preserve"> </w:t>
        </w:r>
        <w:r w:rsidR="00AD4C93">
          <w:rPr>
            <w:rStyle w:val="Hyperlink"/>
            <w:noProof/>
            <w:lang w:eastAsia="zh-CN"/>
          </w:rPr>
          <w:t>–</w:t>
        </w:r>
        <w:r w:rsidR="00924BE4" w:rsidRPr="00B3404D">
          <w:rPr>
            <w:rStyle w:val="Hyperlink"/>
            <w:noProof/>
          </w:rPr>
          <w:t xml:space="preserve"> </w:t>
        </w:r>
        <w:r w:rsidR="00924BE4" w:rsidRPr="00B3404D">
          <w:rPr>
            <w:rStyle w:val="Hyperlink"/>
            <w:rFonts w:hint="eastAsia"/>
            <w:noProof/>
            <w:lang w:eastAsia="zh-CN"/>
          </w:rPr>
          <w:t>各类业务</w:t>
        </w:r>
        <w:r w:rsidR="00924BE4" w:rsidRPr="00B3404D">
          <w:rPr>
            <w:rStyle w:val="Hyperlink"/>
            <w:noProof/>
            <w:lang w:eastAsia="zh-CN"/>
          </w:rPr>
          <w:t>“</w:t>
        </w:r>
        <w:r w:rsidR="00924BE4" w:rsidRPr="00B3404D">
          <w:rPr>
            <w:rStyle w:val="Hyperlink"/>
            <w:bCs/>
            <w:noProof/>
            <w:lang w:eastAsia="zh-CN"/>
          </w:rPr>
          <w:t>a</w:t>
        </w:r>
        <w:r w:rsidR="00924BE4" w:rsidRPr="00B3404D">
          <w:rPr>
            <w:rStyle w:val="Hyperlink"/>
            <w:noProof/>
            <w:lang w:eastAsia="zh-CN"/>
          </w:rPr>
          <w:t>”</w:t>
        </w:r>
        <w:r w:rsidR="00924BE4" w:rsidRPr="00B3404D">
          <w:rPr>
            <w:rStyle w:val="Hyperlink"/>
            <w:rFonts w:hint="eastAsia"/>
            <w:noProof/>
            <w:lang w:eastAsia="zh-CN"/>
          </w:rPr>
          <w:t>系数值的表格示例</w:t>
        </w:r>
        <w:r w:rsidR="00924BE4">
          <w:rPr>
            <w:rStyle w:val="Hyperlink"/>
            <w:noProof/>
            <w:lang w:eastAsia="zh-CN"/>
          </w:rPr>
          <w:tab/>
        </w:r>
        <w:r w:rsidR="00924BE4">
          <w:rPr>
            <w:noProof/>
            <w:webHidden/>
          </w:rPr>
          <w:tab/>
        </w:r>
        <w:r>
          <w:rPr>
            <w:noProof/>
            <w:webHidden/>
          </w:rPr>
          <w:fldChar w:fldCharType="begin"/>
        </w:r>
        <w:r w:rsidR="00924BE4">
          <w:rPr>
            <w:noProof/>
            <w:webHidden/>
          </w:rPr>
          <w:instrText xml:space="preserve"> PAGEREF _Toc288642958 \h </w:instrText>
        </w:r>
        <w:r>
          <w:rPr>
            <w:noProof/>
            <w:webHidden/>
          </w:rPr>
        </w:r>
        <w:r>
          <w:rPr>
            <w:noProof/>
            <w:webHidden/>
          </w:rPr>
          <w:fldChar w:fldCharType="separate"/>
        </w:r>
        <w:r w:rsidR="00924BE4">
          <w:rPr>
            <w:noProof/>
            <w:webHidden/>
          </w:rPr>
          <w:t>12</w:t>
        </w:r>
        <w:r>
          <w:rPr>
            <w:noProof/>
            <w:webHidden/>
          </w:rPr>
          <w:fldChar w:fldCharType="end"/>
        </w:r>
      </w:hyperlink>
    </w:p>
    <w:p w:rsidR="00924BE4" w:rsidRDefault="00BA52D0">
      <w:pPr>
        <w:pStyle w:val="TOC1"/>
        <w:rPr>
          <w:rFonts w:asciiTheme="minorHAnsi" w:eastAsia="SimHei" w:hAnsiTheme="minorHAnsi" w:cstheme="minorBidi"/>
          <w:noProof/>
          <w:szCs w:val="22"/>
          <w:lang w:eastAsia="zh-CN"/>
        </w:rPr>
      </w:pPr>
      <w:hyperlink w:anchor="_Toc288642959" w:history="1">
        <w:r w:rsidR="00924BE4" w:rsidRPr="00B3404D">
          <w:rPr>
            <w:rStyle w:val="Hyperlink"/>
            <w:rFonts w:hint="eastAsia"/>
            <w:noProof/>
          </w:rPr>
          <w:t>附件</w:t>
        </w:r>
        <w:r w:rsidR="00924BE4" w:rsidRPr="00B3404D">
          <w:rPr>
            <w:rStyle w:val="Hyperlink"/>
            <w:noProof/>
          </w:rPr>
          <w:t xml:space="preserve"> 3</w:t>
        </w:r>
        <w:r w:rsidR="00924BE4" w:rsidRPr="00B3404D">
          <w:rPr>
            <w:rStyle w:val="Hyperlink"/>
            <w:noProof/>
            <w:lang w:eastAsia="zh-CN"/>
          </w:rPr>
          <w:t xml:space="preserve"> </w:t>
        </w:r>
        <w:r w:rsidR="00AD4C93">
          <w:rPr>
            <w:rStyle w:val="Hyperlink"/>
            <w:noProof/>
            <w:lang w:eastAsia="zh-CN"/>
          </w:rPr>
          <w:t>–</w:t>
        </w:r>
        <w:r w:rsidR="00924BE4" w:rsidRPr="00B3404D">
          <w:rPr>
            <w:rStyle w:val="Hyperlink"/>
            <w:noProof/>
            <w:lang w:eastAsia="zh-CN"/>
          </w:rPr>
          <w:t xml:space="preserve"> </w:t>
        </w:r>
        <w:r w:rsidR="00924BE4" w:rsidRPr="00B3404D">
          <w:rPr>
            <w:rStyle w:val="Hyperlink"/>
            <w:rFonts w:hint="eastAsia"/>
            <w:noProof/>
            <w:lang w:eastAsia="zh-CN"/>
          </w:rPr>
          <w:t>按照划分表面面积给出</w:t>
        </w:r>
        <w:r w:rsidR="00924BE4" w:rsidRPr="00B3404D">
          <w:rPr>
            <w:rStyle w:val="Hyperlink"/>
            <w:noProof/>
            <w:lang w:eastAsia="zh-CN"/>
          </w:rPr>
          <w:t>“</w:t>
        </w:r>
        <w:r w:rsidR="00924BE4" w:rsidRPr="00B3404D">
          <w:rPr>
            <w:rStyle w:val="Hyperlink"/>
            <w:bCs/>
            <w:noProof/>
            <w:lang w:eastAsia="zh-CN"/>
          </w:rPr>
          <w:t>c</w:t>
        </w:r>
        <w:r w:rsidR="00924BE4" w:rsidRPr="00B3404D">
          <w:rPr>
            <w:rStyle w:val="Hyperlink"/>
            <w:noProof/>
            <w:lang w:eastAsia="zh-CN"/>
          </w:rPr>
          <w:t>”</w:t>
        </w:r>
        <w:r w:rsidR="00924BE4" w:rsidRPr="00B3404D">
          <w:rPr>
            <w:rStyle w:val="Hyperlink"/>
            <w:rFonts w:hint="eastAsia"/>
            <w:noProof/>
            <w:lang w:eastAsia="zh-CN"/>
          </w:rPr>
          <w:t>系数值的表格示例</w:t>
        </w:r>
        <w:r w:rsidR="00924BE4">
          <w:rPr>
            <w:rStyle w:val="Hyperlink"/>
            <w:noProof/>
            <w:lang w:eastAsia="zh-CN"/>
          </w:rPr>
          <w:tab/>
        </w:r>
        <w:r w:rsidR="00924BE4">
          <w:rPr>
            <w:noProof/>
            <w:webHidden/>
          </w:rPr>
          <w:tab/>
        </w:r>
        <w:r>
          <w:rPr>
            <w:noProof/>
            <w:webHidden/>
          </w:rPr>
          <w:fldChar w:fldCharType="begin"/>
        </w:r>
        <w:r w:rsidR="00924BE4">
          <w:rPr>
            <w:noProof/>
            <w:webHidden/>
          </w:rPr>
          <w:instrText xml:space="preserve"> PAGEREF _Toc288642959 \h </w:instrText>
        </w:r>
        <w:r>
          <w:rPr>
            <w:noProof/>
            <w:webHidden/>
          </w:rPr>
        </w:r>
        <w:r>
          <w:rPr>
            <w:noProof/>
            <w:webHidden/>
          </w:rPr>
          <w:fldChar w:fldCharType="separate"/>
        </w:r>
        <w:r w:rsidR="00924BE4">
          <w:rPr>
            <w:noProof/>
            <w:webHidden/>
          </w:rPr>
          <w:t>13</w:t>
        </w:r>
        <w:r>
          <w:rPr>
            <w:noProof/>
            <w:webHidden/>
          </w:rPr>
          <w:fldChar w:fldCharType="end"/>
        </w:r>
      </w:hyperlink>
    </w:p>
    <w:p w:rsidR="00924BE4" w:rsidRDefault="00BA52D0">
      <w:pPr>
        <w:pStyle w:val="TOC1"/>
        <w:rPr>
          <w:rFonts w:asciiTheme="minorHAnsi" w:eastAsia="SimHei" w:hAnsiTheme="minorHAnsi" w:cstheme="minorBidi"/>
          <w:noProof/>
          <w:szCs w:val="22"/>
          <w:lang w:eastAsia="zh-CN"/>
        </w:rPr>
      </w:pPr>
      <w:hyperlink w:anchor="_Toc288642960" w:history="1">
        <w:r w:rsidR="00924BE4" w:rsidRPr="00B3404D">
          <w:rPr>
            <w:rStyle w:val="Hyperlink"/>
            <w:rFonts w:hint="eastAsia"/>
            <w:noProof/>
          </w:rPr>
          <w:t>附件</w:t>
        </w:r>
        <w:r w:rsidR="00924BE4" w:rsidRPr="00B3404D">
          <w:rPr>
            <w:rStyle w:val="Hyperlink"/>
            <w:noProof/>
          </w:rPr>
          <w:t>4</w:t>
        </w:r>
        <w:r w:rsidR="00924BE4" w:rsidRPr="00B3404D">
          <w:rPr>
            <w:rStyle w:val="Hyperlink"/>
            <w:noProof/>
            <w:lang w:eastAsia="zh-CN"/>
          </w:rPr>
          <w:t xml:space="preserve"> </w:t>
        </w:r>
        <w:r w:rsidR="00AD4C93">
          <w:rPr>
            <w:rStyle w:val="Hyperlink"/>
            <w:noProof/>
            <w:lang w:eastAsia="zh-CN"/>
          </w:rPr>
          <w:t>–</w:t>
        </w:r>
        <w:r w:rsidR="00924BE4" w:rsidRPr="00B3404D">
          <w:rPr>
            <w:rStyle w:val="Hyperlink"/>
            <w:noProof/>
            <w:lang w:eastAsia="zh-CN"/>
          </w:rPr>
          <w:t xml:space="preserve"> </w:t>
        </w:r>
        <w:r w:rsidR="00924BE4" w:rsidRPr="00B3404D">
          <w:rPr>
            <w:rStyle w:val="Hyperlink"/>
            <w:rFonts w:hint="eastAsia"/>
            <w:noProof/>
          </w:rPr>
          <w:t>收费水平国际比较中可考虑的因素</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_Toc288642960 \h </w:instrText>
        </w:r>
        <w:r>
          <w:rPr>
            <w:noProof/>
            <w:webHidden/>
          </w:rPr>
        </w:r>
        <w:r>
          <w:rPr>
            <w:noProof/>
            <w:webHidden/>
          </w:rPr>
          <w:fldChar w:fldCharType="separate"/>
        </w:r>
        <w:r w:rsidR="00924BE4">
          <w:rPr>
            <w:noProof/>
            <w:webHidden/>
          </w:rPr>
          <w:t>14</w:t>
        </w:r>
        <w:r>
          <w:rPr>
            <w:noProof/>
            <w:webHidden/>
          </w:rPr>
          <w:fldChar w:fldCharType="end"/>
        </w:r>
      </w:hyperlink>
    </w:p>
    <w:p w:rsidR="00A96CB0" w:rsidRDefault="00A96CB0">
      <w:pPr>
        <w:tabs>
          <w:tab w:val="clear" w:pos="794"/>
          <w:tab w:val="clear" w:pos="1191"/>
          <w:tab w:val="clear" w:pos="1588"/>
          <w:tab w:val="clear" w:pos="1985"/>
        </w:tabs>
        <w:overflowPunct/>
        <w:autoSpaceDE/>
        <w:autoSpaceDN/>
        <w:adjustRightInd/>
        <w:spacing w:before="0"/>
        <w:jc w:val="left"/>
        <w:textAlignment w:val="auto"/>
        <w:rPr>
          <w:rFonts w:ascii="STKaiti" w:eastAsia="STKaiti" w:hAnsi="STKaiti"/>
          <w:lang w:val="en-US" w:eastAsia="zh-CN"/>
        </w:rPr>
      </w:pPr>
      <w:r>
        <w:rPr>
          <w:rFonts w:ascii="STKaiti" w:eastAsia="STKaiti" w:hAnsi="STKaiti"/>
          <w:lang w:val="en-US" w:eastAsia="zh-CN"/>
        </w:rPr>
        <w:br w:type="page"/>
      </w:r>
    </w:p>
    <w:p w:rsidR="00A96CB0" w:rsidRPr="00850602" w:rsidRDefault="00A96CB0" w:rsidP="00A96CB0">
      <w:pPr>
        <w:jc w:val="right"/>
        <w:rPr>
          <w:rFonts w:ascii="STKaiti" w:eastAsia="STKaiti" w:hAnsi="STKaiti"/>
          <w:b/>
          <w:bCs/>
          <w:lang w:val="en-US" w:eastAsia="zh-CN"/>
        </w:rPr>
      </w:pPr>
      <w:r w:rsidRPr="00850602">
        <w:rPr>
          <w:rFonts w:ascii="STKaiti" w:eastAsia="STKaiti" w:hAnsi="STKaiti" w:hint="eastAsia"/>
          <w:b/>
          <w:bCs/>
          <w:lang w:val="en-US" w:eastAsia="zh-CN"/>
        </w:rPr>
        <w:lastRenderedPageBreak/>
        <w:t>页码</w:t>
      </w:r>
    </w:p>
    <w:p w:rsidR="00924BE4" w:rsidRDefault="00BA52D0">
      <w:pPr>
        <w:pStyle w:val="TOC1"/>
        <w:rPr>
          <w:rFonts w:asciiTheme="minorHAnsi" w:eastAsia="SimHei" w:hAnsiTheme="minorHAnsi" w:cstheme="minorBidi"/>
          <w:noProof/>
          <w:szCs w:val="22"/>
          <w:lang w:eastAsia="zh-CN"/>
        </w:rPr>
      </w:pPr>
      <w:hyperlink w:anchor="_Toc288642969" w:history="1">
        <w:r w:rsidR="00924BE4" w:rsidRPr="00B3404D">
          <w:rPr>
            <w:rStyle w:val="Hyperlink"/>
            <w:noProof/>
          </w:rPr>
          <w:t xml:space="preserve">Appendix 1.1 (English) </w:t>
        </w:r>
        <w:r w:rsidR="00A96CB0">
          <w:rPr>
            <w:rStyle w:val="Hyperlink"/>
            <w:noProof/>
          </w:rPr>
          <w:t>–</w:t>
        </w:r>
        <w:r w:rsidR="00924BE4" w:rsidRPr="00B3404D">
          <w:rPr>
            <w:rStyle w:val="Hyperlink"/>
            <w:bCs/>
            <w:noProof/>
          </w:rPr>
          <w:t xml:space="preserve"> </w:t>
        </w:r>
        <w:r w:rsidR="00924BE4" w:rsidRPr="00B3404D">
          <w:rPr>
            <w:rStyle w:val="Hyperlink"/>
            <w:noProof/>
          </w:rPr>
          <w:t>United Arab Emirates: Basic elements of spectrum fees policy</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_Toc288642969 \h </w:instrText>
        </w:r>
        <w:r>
          <w:rPr>
            <w:noProof/>
            <w:webHidden/>
          </w:rPr>
        </w:r>
        <w:r>
          <w:rPr>
            <w:noProof/>
            <w:webHidden/>
          </w:rPr>
          <w:fldChar w:fldCharType="separate"/>
        </w:r>
        <w:r w:rsidR="00924BE4">
          <w:rPr>
            <w:noProof/>
            <w:webHidden/>
          </w:rPr>
          <w:t>19</w:t>
        </w:r>
        <w:r>
          <w:rPr>
            <w:noProof/>
            <w:webHidden/>
          </w:rPr>
          <w:fldChar w:fldCharType="end"/>
        </w:r>
      </w:hyperlink>
    </w:p>
    <w:p w:rsidR="00924BE4" w:rsidRDefault="00BA52D0">
      <w:pPr>
        <w:pStyle w:val="TOC1"/>
        <w:rPr>
          <w:rFonts w:asciiTheme="minorHAnsi" w:eastAsia="SimHei" w:hAnsiTheme="minorHAnsi" w:cstheme="minorBidi"/>
          <w:noProof/>
          <w:szCs w:val="22"/>
          <w:lang w:eastAsia="zh-CN"/>
        </w:rPr>
      </w:pPr>
      <w:hyperlink w:anchor="_Toc288642986" w:history="1">
        <w:r w:rsidR="00924BE4" w:rsidRPr="00B3404D">
          <w:rPr>
            <w:rStyle w:val="Hyperlink"/>
            <w:noProof/>
          </w:rPr>
          <w:t xml:space="preserve">Appendice 1.1 (Français) </w:t>
        </w:r>
        <w:r w:rsidR="00A96CB0">
          <w:rPr>
            <w:rStyle w:val="Hyperlink"/>
            <w:noProof/>
          </w:rPr>
          <w:t>–</w:t>
        </w:r>
        <w:r w:rsidR="00924BE4" w:rsidRPr="00B3404D">
          <w:rPr>
            <w:rStyle w:val="Hyperlink"/>
            <w:noProof/>
          </w:rPr>
          <w:t xml:space="preserve"> Emirats Arabes Unis: Eléments fondamentaux de la politique en matière de redevances d'utilisation du spectre</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_Toc288642986 \h </w:instrText>
        </w:r>
        <w:r>
          <w:rPr>
            <w:noProof/>
            <w:webHidden/>
          </w:rPr>
        </w:r>
        <w:r>
          <w:rPr>
            <w:noProof/>
            <w:webHidden/>
          </w:rPr>
          <w:fldChar w:fldCharType="separate"/>
        </w:r>
        <w:r w:rsidR="00924BE4">
          <w:rPr>
            <w:noProof/>
            <w:webHidden/>
          </w:rPr>
          <w:t>22</w:t>
        </w:r>
        <w:r>
          <w:rPr>
            <w:noProof/>
            <w:webHidden/>
          </w:rPr>
          <w:fldChar w:fldCharType="end"/>
        </w:r>
      </w:hyperlink>
    </w:p>
    <w:p w:rsidR="00924BE4" w:rsidRDefault="00BA52D0">
      <w:pPr>
        <w:pStyle w:val="TOC1"/>
        <w:rPr>
          <w:rFonts w:asciiTheme="minorHAnsi" w:eastAsia="SimHei" w:hAnsiTheme="minorHAnsi" w:cstheme="minorBidi"/>
          <w:noProof/>
          <w:szCs w:val="22"/>
          <w:lang w:eastAsia="zh-CN"/>
        </w:rPr>
      </w:pPr>
      <w:hyperlink w:anchor="_Toc288643003" w:history="1">
        <w:r w:rsidR="00924BE4" w:rsidRPr="00B3404D">
          <w:rPr>
            <w:rStyle w:val="Hyperlink"/>
            <w:noProof/>
          </w:rPr>
          <w:t>Appendix 1.2 (English)</w:t>
        </w:r>
        <w:r w:rsidR="00924BE4" w:rsidRPr="00B3404D">
          <w:rPr>
            <w:rStyle w:val="Hyperlink"/>
            <w:bCs/>
            <w:noProof/>
          </w:rPr>
          <w:t xml:space="preserve"> </w:t>
        </w:r>
        <w:r w:rsidR="00A96CB0">
          <w:rPr>
            <w:rStyle w:val="Hyperlink"/>
            <w:bCs/>
            <w:noProof/>
          </w:rPr>
          <w:t>–</w:t>
        </w:r>
        <w:r w:rsidR="00924BE4" w:rsidRPr="00B3404D">
          <w:rPr>
            <w:rStyle w:val="Hyperlink"/>
            <w:bCs/>
            <w:noProof/>
          </w:rPr>
          <w:t xml:space="preserve"> </w:t>
        </w:r>
        <w:r w:rsidR="00924BE4" w:rsidRPr="00B3404D">
          <w:rPr>
            <w:rStyle w:val="Hyperlink"/>
            <w:noProof/>
          </w:rPr>
          <w:t>United Arab Emirates: Proposed example on spectrum fees policy</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_Toc288643003 \h </w:instrText>
        </w:r>
        <w:r>
          <w:rPr>
            <w:noProof/>
            <w:webHidden/>
          </w:rPr>
        </w:r>
        <w:r>
          <w:rPr>
            <w:noProof/>
            <w:webHidden/>
          </w:rPr>
          <w:fldChar w:fldCharType="separate"/>
        </w:r>
        <w:r w:rsidR="00924BE4">
          <w:rPr>
            <w:noProof/>
            <w:webHidden/>
          </w:rPr>
          <w:t>25</w:t>
        </w:r>
        <w:r>
          <w:rPr>
            <w:noProof/>
            <w:webHidden/>
          </w:rPr>
          <w:fldChar w:fldCharType="end"/>
        </w:r>
      </w:hyperlink>
    </w:p>
    <w:p w:rsidR="00924BE4" w:rsidRDefault="00BA52D0">
      <w:pPr>
        <w:pStyle w:val="TOC1"/>
        <w:rPr>
          <w:rFonts w:asciiTheme="minorHAnsi" w:eastAsia="SimHei" w:hAnsiTheme="minorHAnsi" w:cstheme="minorBidi"/>
          <w:noProof/>
          <w:szCs w:val="22"/>
          <w:lang w:eastAsia="zh-CN"/>
        </w:rPr>
      </w:pPr>
      <w:hyperlink w:anchor="_Toc288643006" w:history="1">
        <w:r w:rsidR="00924BE4" w:rsidRPr="00B3404D">
          <w:rPr>
            <w:rStyle w:val="Hyperlink"/>
            <w:noProof/>
          </w:rPr>
          <w:t xml:space="preserve">Appendice 1.2 (Français) </w:t>
        </w:r>
        <w:r w:rsidR="00A96CB0">
          <w:rPr>
            <w:rStyle w:val="Hyperlink"/>
            <w:noProof/>
          </w:rPr>
          <w:t>–</w:t>
        </w:r>
        <w:r w:rsidR="00924BE4" w:rsidRPr="00B3404D">
          <w:rPr>
            <w:rStyle w:val="Hyperlink"/>
            <w:noProof/>
          </w:rPr>
          <w:t xml:space="preserve"> </w:t>
        </w:r>
        <w:r w:rsidR="00924BE4" w:rsidRPr="00B3404D">
          <w:rPr>
            <w:rStyle w:val="Hyperlink"/>
            <w:noProof/>
            <w:lang w:val="fr-FR"/>
          </w:rPr>
          <w:t>Emirats arabes unis: Exemple de directive en matière de droits d'utilisation du spectre</w:t>
        </w:r>
        <w:r w:rsidR="00924BE4">
          <w:rPr>
            <w:rStyle w:val="Hyperlink"/>
            <w:noProof/>
            <w:lang w:val="fr-FR"/>
          </w:rPr>
          <w:tab/>
        </w:r>
        <w:r w:rsidR="00924BE4">
          <w:rPr>
            <w:noProof/>
            <w:webHidden/>
          </w:rPr>
          <w:tab/>
        </w:r>
        <w:r>
          <w:rPr>
            <w:noProof/>
            <w:webHidden/>
          </w:rPr>
          <w:fldChar w:fldCharType="begin"/>
        </w:r>
        <w:r w:rsidR="00924BE4">
          <w:rPr>
            <w:noProof/>
            <w:webHidden/>
          </w:rPr>
          <w:instrText xml:space="preserve"> PAGEREF _Toc288643006 \h </w:instrText>
        </w:r>
        <w:r>
          <w:rPr>
            <w:noProof/>
            <w:webHidden/>
          </w:rPr>
        </w:r>
        <w:r>
          <w:rPr>
            <w:noProof/>
            <w:webHidden/>
          </w:rPr>
          <w:fldChar w:fldCharType="separate"/>
        </w:r>
        <w:r w:rsidR="00924BE4">
          <w:rPr>
            <w:noProof/>
            <w:webHidden/>
          </w:rPr>
          <w:t>43</w:t>
        </w:r>
        <w:r>
          <w:rPr>
            <w:noProof/>
            <w:webHidden/>
          </w:rPr>
          <w:fldChar w:fldCharType="end"/>
        </w:r>
      </w:hyperlink>
    </w:p>
    <w:p w:rsidR="00924BE4" w:rsidRDefault="00BA52D0">
      <w:pPr>
        <w:pStyle w:val="TOC1"/>
        <w:rPr>
          <w:rFonts w:asciiTheme="minorHAnsi" w:eastAsia="SimHei" w:hAnsiTheme="minorHAnsi" w:cstheme="minorBidi"/>
          <w:noProof/>
          <w:szCs w:val="22"/>
          <w:lang w:eastAsia="zh-CN"/>
        </w:rPr>
      </w:pPr>
      <w:hyperlink w:anchor="_Toc288643009" w:history="1">
        <w:r w:rsidR="00924BE4" w:rsidRPr="00B3404D">
          <w:rPr>
            <w:rStyle w:val="Hyperlink"/>
            <w:noProof/>
          </w:rPr>
          <w:t xml:space="preserve">Appendix 2.1 (English) </w:t>
        </w:r>
        <w:r w:rsidR="00A96CB0">
          <w:rPr>
            <w:rStyle w:val="Hyperlink"/>
            <w:noProof/>
          </w:rPr>
          <w:t>–</w:t>
        </w:r>
        <w:r w:rsidR="00924BE4" w:rsidRPr="00B3404D">
          <w:rPr>
            <w:rStyle w:val="Hyperlink"/>
            <w:noProof/>
          </w:rPr>
          <w:t xml:space="preserve"> Switzerland</w:t>
        </w:r>
        <w:r w:rsidR="00924BE4" w:rsidRPr="00B3404D">
          <w:rPr>
            <w:rStyle w:val="Hyperlink"/>
            <w:bCs/>
            <w:noProof/>
          </w:rPr>
          <w:t xml:space="preserve"> </w:t>
        </w:r>
        <w:r w:rsidR="00924BE4" w:rsidRPr="00B3404D">
          <w:rPr>
            <w:rStyle w:val="Hyperlink"/>
            <w:noProof/>
          </w:rPr>
          <w:t>Financing of spectrum management activities in Switzerland: Abstract</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_Toc288643009 \h </w:instrText>
        </w:r>
        <w:r>
          <w:rPr>
            <w:noProof/>
            <w:webHidden/>
          </w:rPr>
        </w:r>
        <w:r>
          <w:rPr>
            <w:noProof/>
            <w:webHidden/>
          </w:rPr>
          <w:fldChar w:fldCharType="separate"/>
        </w:r>
        <w:r w:rsidR="00924BE4">
          <w:rPr>
            <w:noProof/>
            <w:webHidden/>
          </w:rPr>
          <w:t>62</w:t>
        </w:r>
        <w:r>
          <w:rPr>
            <w:noProof/>
            <w:webHidden/>
          </w:rPr>
          <w:fldChar w:fldCharType="end"/>
        </w:r>
      </w:hyperlink>
    </w:p>
    <w:p w:rsidR="00924BE4" w:rsidRDefault="00BA52D0">
      <w:pPr>
        <w:pStyle w:val="TOC1"/>
        <w:rPr>
          <w:rFonts w:asciiTheme="minorHAnsi" w:eastAsia="SimHei" w:hAnsiTheme="minorHAnsi" w:cstheme="minorBidi"/>
          <w:noProof/>
          <w:szCs w:val="22"/>
          <w:lang w:eastAsia="zh-CN"/>
        </w:rPr>
      </w:pPr>
      <w:hyperlink w:anchor="_Toc288643010" w:history="1">
        <w:r w:rsidR="00924BE4" w:rsidRPr="00B3404D">
          <w:rPr>
            <w:rStyle w:val="Hyperlink"/>
            <w:noProof/>
          </w:rPr>
          <w:t xml:space="preserve">Appendice 2.1 (Français) </w:t>
        </w:r>
        <w:r w:rsidR="00A96CB0">
          <w:rPr>
            <w:rStyle w:val="Hyperlink"/>
            <w:noProof/>
          </w:rPr>
          <w:t>–</w:t>
        </w:r>
        <w:r w:rsidR="00924BE4" w:rsidRPr="00B3404D">
          <w:rPr>
            <w:rStyle w:val="Hyperlink"/>
            <w:noProof/>
          </w:rPr>
          <w:t xml:space="preserve"> Suisse Financement des activités de gestion du spectre en Suisse: Résumé</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_Toc288643010 \h </w:instrText>
        </w:r>
        <w:r>
          <w:rPr>
            <w:noProof/>
            <w:webHidden/>
          </w:rPr>
        </w:r>
        <w:r>
          <w:rPr>
            <w:noProof/>
            <w:webHidden/>
          </w:rPr>
          <w:fldChar w:fldCharType="separate"/>
        </w:r>
        <w:r w:rsidR="00924BE4">
          <w:rPr>
            <w:noProof/>
            <w:webHidden/>
          </w:rPr>
          <w:t>63</w:t>
        </w:r>
        <w:r>
          <w:rPr>
            <w:noProof/>
            <w:webHidden/>
          </w:rPr>
          <w:fldChar w:fldCharType="end"/>
        </w:r>
      </w:hyperlink>
    </w:p>
    <w:p w:rsidR="00924BE4" w:rsidRDefault="00BA52D0">
      <w:pPr>
        <w:pStyle w:val="TOC1"/>
        <w:rPr>
          <w:rFonts w:asciiTheme="minorHAnsi" w:eastAsia="SimHei" w:hAnsiTheme="minorHAnsi" w:cstheme="minorBidi"/>
          <w:noProof/>
          <w:szCs w:val="22"/>
          <w:lang w:eastAsia="zh-CN"/>
        </w:rPr>
      </w:pPr>
      <w:hyperlink w:anchor="_Toc288643011" w:history="1">
        <w:r w:rsidR="00924BE4" w:rsidRPr="00B3404D">
          <w:rPr>
            <w:rStyle w:val="Hyperlink"/>
            <w:noProof/>
          </w:rPr>
          <w:t xml:space="preserve">Appendice 2.2 (Français) </w:t>
        </w:r>
        <w:r w:rsidR="00A96CB0">
          <w:rPr>
            <w:rStyle w:val="Hyperlink"/>
            <w:noProof/>
          </w:rPr>
          <w:t>–</w:t>
        </w:r>
        <w:r w:rsidR="00924BE4" w:rsidRPr="00B3404D">
          <w:rPr>
            <w:rStyle w:val="Hyperlink"/>
            <w:noProof/>
          </w:rPr>
          <w:t xml:space="preserve"> Financement des activités de gestion du spectre en Suisse</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_Toc288643011 \h </w:instrText>
        </w:r>
        <w:r>
          <w:rPr>
            <w:noProof/>
            <w:webHidden/>
          </w:rPr>
        </w:r>
        <w:r>
          <w:rPr>
            <w:noProof/>
            <w:webHidden/>
          </w:rPr>
          <w:fldChar w:fldCharType="separate"/>
        </w:r>
        <w:r w:rsidR="00924BE4">
          <w:rPr>
            <w:noProof/>
            <w:webHidden/>
          </w:rPr>
          <w:t>64</w:t>
        </w:r>
        <w:r>
          <w:rPr>
            <w:noProof/>
            <w:webHidden/>
          </w:rPr>
          <w:fldChar w:fldCharType="end"/>
        </w:r>
      </w:hyperlink>
    </w:p>
    <w:p w:rsidR="00924BE4" w:rsidRDefault="00BA52D0">
      <w:pPr>
        <w:pStyle w:val="TOC1"/>
        <w:rPr>
          <w:rFonts w:asciiTheme="minorHAnsi" w:eastAsia="SimHei" w:hAnsiTheme="minorHAnsi" w:cstheme="minorBidi"/>
          <w:noProof/>
          <w:szCs w:val="22"/>
          <w:lang w:eastAsia="zh-CN"/>
        </w:rPr>
      </w:pPr>
      <w:hyperlink w:anchor="_Toc288643027" w:history="1">
        <w:r w:rsidR="00924BE4" w:rsidRPr="00B3404D">
          <w:rPr>
            <w:rStyle w:val="Hyperlink"/>
            <w:noProof/>
          </w:rPr>
          <w:t xml:space="preserve">Appendix 3.1 (English) </w:t>
        </w:r>
        <w:r w:rsidR="00A96CB0">
          <w:rPr>
            <w:rStyle w:val="Hyperlink"/>
            <w:noProof/>
          </w:rPr>
          <w:t>–</w:t>
        </w:r>
        <w:r w:rsidR="00924BE4" w:rsidRPr="00B3404D">
          <w:rPr>
            <w:rStyle w:val="Hyperlink"/>
            <w:noProof/>
          </w:rPr>
          <w:t xml:space="preserve"> </w:t>
        </w:r>
        <w:r w:rsidR="00924BE4" w:rsidRPr="00B3404D">
          <w:rPr>
            <w:rStyle w:val="Hyperlink"/>
            <w:bCs/>
            <w:noProof/>
          </w:rPr>
          <w:t>Example of fee system for frequency utilization in Côte d'Ivoire</w:t>
        </w:r>
        <w:r w:rsidR="00924BE4">
          <w:rPr>
            <w:rStyle w:val="Hyperlink"/>
            <w:bCs/>
            <w:noProof/>
          </w:rPr>
          <w:tab/>
        </w:r>
        <w:r w:rsidR="00924BE4">
          <w:rPr>
            <w:noProof/>
            <w:webHidden/>
          </w:rPr>
          <w:tab/>
        </w:r>
        <w:r>
          <w:rPr>
            <w:noProof/>
            <w:webHidden/>
          </w:rPr>
          <w:fldChar w:fldCharType="begin"/>
        </w:r>
        <w:r w:rsidR="00924BE4">
          <w:rPr>
            <w:noProof/>
            <w:webHidden/>
          </w:rPr>
          <w:instrText xml:space="preserve"> PAGEREF _Toc288643027 \h </w:instrText>
        </w:r>
        <w:r>
          <w:rPr>
            <w:noProof/>
            <w:webHidden/>
          </w:rPr>
        </w:r>
        <w:r>
          <w:rPr>
            <w:noProof/>
            <w:webHidden/>
          </w:rPr>
          <w:fldChar w:fldCharType="separate"/>
        </w:r>
        <w:r w:rsidR="00924BE4">
          <w:rPr>
            <w:noProof/>
            <w:webHidden/>
          </w:rPr>
          <w:t>70</w:t>
        </w:r>
        <w:r>
          <w:rPr>
            <w:noProof/>
            <w:webHidden/>
          </w:rPr>
          <w:fldChar w:fldCharType="end"/>
        </w:r>
      </w:hyperlink>
    </w:p>
    <w:p w:rsidR="00924BE4" w:rsidRDefault="00BA52D0">
      <w:pPr>
        <w:pStyle w:val="TOC1"/>
        <w:rPr>
          <w:rFonts w:asciiTheme="minorHAnsi" w:eastAsia="SimHei" w:hAnsiTheme="minorHAnsi" w:cstheme="minorBidi"/>
          <w:noProof/>
          <w:szCs w:val="22"/>
          <w:lang w:eastAsia="zh-CN"/>
        </w:rPr>
      </w:pPr>
      <w:hyperlink w:anchor="_Toc288643031" w:history="1">
        <w:r w:rsidR="00924BE4" w:rsidRPr="00B3404D">
          <w:rPr>
            <w:rStyle w:val="Hyperlink"/>
            <w:noProof/>
          </w:rPr>
          <w:t xml:space="preserve">Appendice 3.1 (Français) </w:t>
        </w:r>
        <w:r w:rsidR="00A96CB0">
          <w:rPr>
            <w:rStyle w:val="Hyperlink"/>
            <w:noProof/>
          </w:rPr>
          <w:t>–</w:t>
        </w:r>
        <w:r w:rsidR="00924BE4" w:rsidRPr="00B3404D">
          <w:rPr>
            <w:rStyle w:val="Hyperlink"/>
            <w:noProof/>
          </w:rPr>
          <w:t xml:space="preserve"> Exemple de système de redevances liées à l'utilisation des fréquences en Côte d'Ivoire</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_Toc288643031 \h </w:instrText>
        </w:r>
        <w:r>
          <w:rPr>
            <w:noProof/>
            <w:webHidden/>
          </w:rPr>
        </w:r>
        <w:r>
          <w:rPr>
            <w:noProof/>
            <w:webHidden/>
          </w:rPr>
          <w:fldChar w:fldCharType="separate"/>
        </w:r>
        <w:r w:rsidR="00924BE4">
          <w:rPr>
            <w:noProof/>
            <w:webHidden/>
          </w:rPr>
          <w:t>72</w:t>
        </w:r>
        <w:r>
          <w:rPr>
            <w:noProof/>
            <w:webHidden/>
          </w:rPr>
          <w:fldChar w:fldCharType="end"/>
        </w:r>
      </w:hyperlink>
    </w:p>
    <w:p w:rsidR="00924BE4" w:rsidRDefault="00BA52D0">
      <w:pPr>
        <w:pStyle w:val="TOC1"/>
        <w:rPr>
          <w:rFonts w:asciiTheme="minorHAnsi" w:eastAsia="SimHei" w:hAnsiTheme="minorHAnsi" w:cstheme="minorBidi"/>
          <w:noProof/>
          <w:szCs w:val="22"/>
          <w:lang w:eastAsia="zh-CN"/>
        </w:rPr>
      </w:pPr>
      <w:hyperlink w:anchor="_Toc288643035" w:history="1">
        <w:r w:rsidR="00924BE4" w:rsidRPr="00B3404D">
          <w:rPr>
            <w:rStyle w:val="Hyperlink"/>
            <w:noProof/>
          </w:rPr>
          <w:t>Appendix 3.2</w:t>
        </w:r>
        <w:r w:rsidR="00924BE4">
          <w:rPr>
            <w:rStyle w:val="Hyperlink"/>
            <w:noProof/>
          </w:rPr>
          <w:tab/>
        </w:r>
        <w:r w:rsidR="00924BE4">
          <w:rPr>
            <w:noProof/>
            <w:webHidden/>
          </w:rPr>
          <w:tab/>
        </w:r>
        <w:r>
          <w:rPr>
            <w:noProof/>
            <w:webHidden/>
          </w:rPr>
          <w:fldChar w:fldCharType="begin"/>
        </w:r>
        <w:r w:rsidR="00924BE4">
          <w:rPr>
            <w:noProof/>
            <w:webHidden/>
          </w:rPr>
          <w:instrText xml:space="preserve"> PAGEREF _Toc288643035 \h </w:instrText>
        </w:r>
        <w:r>
          <w:rPr>
            <w:noProof/>
            <w:webHidden/>
          </w:rPr>
        </w:r>
        <w:r>
          <w:rPr>
            <w:noProof/>
            <w:webHidden/>
          </w:rPr>
          <w:fldChar w:fldCharType="separate"/>
        </w:r>
        <w:r w:rsidR="00924BE4">
          <w:rPr>
            <w:noProof/>
            <w:webHidden/>
          </w:rPr>
          <w:t>75</w:t>
        </w:r>
        <w:r>
          <w:rPr>
            <w:noProof/>
            <w:webHidden/>
          </w:rPr>
          <w:fldChar w:fldCharType="end"/>
        </w:r>
      </w:hyperlink>
    </w:p>
    <w:p w:rsidR="00924BE4" w:rsidRDefault="00924BE4">
      <w:pPr>
        <w:pStyle w:val="TOC1"/>
        <w:rPr>
          <w:rFonts w:asciiTheme="minorHAnsi" w:eastAsia="SimHei" w:hAnsiTheme="minorHAnsi" w:cstheme="minorBidi"/>
          <w:noProof/>
          <w:szCs w:val="22"/>
          <w:lang w:eastAsia="zh-CN"/>
        </w:rPr>
      </w:pPr>
    </w:p>
    <w:p w:rsidR="00933009" w:rsidRDefault="00BA52D0" w:rsidP="00924BE4">
      <w:pPr>
        <w:tabs>
          <w:tab w:val="left" w:pos="-1190"/>
          <w:tab w:val="left" w:pos="0"/>
        </w:tabs>
        <w:spacing w:before="0"/>
        <w:rPr>
          <w:lang w:val="en-US" w:eastAsia="zh-CN"/>
        </w:rPr>
      </w:pPr>
      <w:r>
        <w:rPr>
          <w:sz w:val="24"/>
          <w:szCs w:val="24"/>
        </w:rPr>
        <w:fldChar w:fldCharType="end"/>
      </w:r>
    </w:p>
    <w:p w:rsidR="00246FE8" w:rsidRDefault="00246FE8" w:rsidP="00933009">
      <w:pPr>
        <w:rPr>
          <w:lang w:val="en-US" w:eastAsia="zh-CN"/>
        </w:rPr>
      </w:pPr>
    </w:p>
    <w:p w:rsidR="00246FE8" w:rsidRPr="00933009" w:rsidRDefault="00246FE8" w:rsidP="00933009">
      <w:pPr>
        <w:rPr>
          <w:lang w:val="en-US" w:eastAsia="zh-CN"/>
        </w:rPr>
        <w:sectPr w:rsidR="00246FE8" w:rsidRPr="00933009" w:rsidSect="00842F5F">
          <w:headerReference w:type="even" r:id="rId14"/>
          <w:headerReference w:type="default" r:id="rId15"/>
          <w:footerReference w:type="default" r:id="rId16"/>
          <w:type w:val="oddPage"/>
          <w:pgSz w:w="11909" w:h="16834" w:code="9"/>
          <w:pgMar w:top="1418" w:right="1134" w:bottom="1418" w:left="1134" w:header="720" w:footer="720" w:gutter="0"/>
          <w:pgNumType w:fmt="lowerRoman" w:start="1"/>
          <w:cols w:space="720"/>
        </w:sectPr>
      </w:pPr>
    </w:p>
    <w:p w:rsidR="00853B80" w:rsidRPr="002C4984" w:rsidRDefault="00853B80" w:rsidP="00853B80">
      <w:pPr>
        <w:pStyle w:val="Sectiontitle"/>
        <w:rPr>
          <w:bCs/>
          <w:lang w:eastAsia="zh-CN"/>
        </w:rPr>
      </w:pPr>
      <w:r w:rsidRPr="002C4984">
        <w:rPr>
          <w:rFonts w:hint="eastAsia"/>
          <w:lang w:eastAsia="zh-CN"/>
        </w:rPr>
        <w:lastRenderedPageBreak/>
        <w:t>制定无线电频率使用费关联系统的指导原则</w:t>
      </w:r>
    </w:p>
    <w:p w:rsidR="00853B80" w:rsidRPr="002C4984" w:rsidRDefault="00853B80" w:rsidP="00853B80">
      <w:pPr>
        <w:spacing w:before="0"/>
        <w:jc w:val="center"/>
        <w:rPr>
          <w:b/>
          <w:sz w:val="24"/>
          <w:szCs w:val="24"/>
        </w:rPr>
      </w:pPr>
    </w:p>
    <w:p w:rsidR="00853B80" w:rsidRPr="00C23A7B" w:rsidRDefault="00853B80" w:rsidP="00853B80">
      <w:pPr>
        <w:pStyle w:val="Heading1"/>
        <w:spacing w:before="240" w:after="120"/>
        <w:rPr>
          <w:b w:val="0"/>
          <w:bCs/>
          <w:szCs w:val="24"/>
        </w:rPr>
      </w:pPr>
      <w:bookmarkStart w:id="9" w:name="_Toc288642925"/>
      <w:r w:rsidRPr="00C23A7B">
        <w:rPr>
          <w:szCs w:val="24"/>
        </w:rPr>
        <w:t>1</w:t>
      </w:r>
      <w:r w:rsidRPr="00C23A7B">
        <w:rPr>
          <w:szCs w:val="24"/>
        </w:rPr>
        <w:tab/>
      </w:r>
      <w:r w:rsidRPr="00C23A7B">
        <w:rPr>
          <w:rFonts w:hint="eastAsia"/>
          <w:szCs w:val="24"/>
        </w:rPr>
        <w:t>前言</w:t>
      </w:r>
      <w:bookmarkEnd w:id="9"/>
    </w:p>
    <w:p w:rsidR="00853B80" w:rsidRPr="002C4984" w:rsidRDefault="00853B80" w:rsidP="002A13DE">
      <w:pPr>
        <w:pStyle w:val="normal0"/>
      </w:pPr>
      <w:r w:rsidRPr="002C4984">
        <w:rPr>
          <w:rFonts w:hint="eastAsia"/>
        </w:rPr>
        <w:t>本文件作为解决第</w:t>
      </w:r>
      <w:r w:rsidRPr="002C4984">
        <w:t>9</w:t>
      </w:r>
      <w:r w:rsidRPr="002C4984">
        <w:rPr>
          <w:rFonts w:hint="eastAsia"/>
        </w:rPr>
        <w:t>号决议（</w:t>
      </w:r>
      <w:r w:rsidRPr="002C4984">
        <w:t>2006</w:t>
      </w:r>
      <w:r w:rsidRPr="002C4984">
        <w:rPr>
          <w:rFonts w:hint="eastAsia"/>
        </w:rPr>
        <w:t>年，多哈，修订版）要求的文稿，第</w:t>
      </w:r>
      <w:r w:rsidRPr="002C4984">
        <w:t>9</w:t>
      </w:r>
      <w:r w:rsidRPr="002C4984">
        <w:rPr>
          <w:rFonts w:hint="eastAsia"/>
        </w:rPr>
        <w:t>号决议中</w:t>
      </w:r>
      <w:r w:rsidRPr="002C4984">
        <w:t>WTDC-06</w:t>
      </w:r>
      <w:r w:rsidRPr="002C4984">
        <w:rPr>
          <w:rFonts w:eastAsia="STKaiti" w:hint="eastAsia"/>
        </w:rPr>
        <w:t>做出决议</w:t>
      </w:r>
      <w:r w:rsidRPr="002C4984">
        <w:rPr>
          <w:rFonts w:eastAsia="STKaiti"/>
        </w:rPr>
        <w:t>2</w:t>
      </w:r>
      <w:r w:rsidRPr="002A13DE">
        <w:rPr>
          <w:rFonts w:ascii="SimSun" w:hAnsi="SimSun"/>
        </w:rPr>
        <w:t>“</w:t>
      </w:r>
      <w:r w:rsidRPr="002C4984">
        <w:rPr>
          <w:rFonts w:eastAsia="STKaiti" w:hint="eastAsia"/>
        </w:rPr>
        <w:t>继续发展</w:t>
      </w:r>
      <w:r w:rsidRPr="002C4984">
        <w:rPr>
          <w:rFonts w:eastAsia="STKaiti"/>
        </w:rPr>
        <w:t>SF</w:t>
      </w:r>
      <w:r w:rsidRPr="002C4984">
        <w:rPr>
          <w:rFonts w:eastAsia="STKaiti" w:hint="eastAsia"/>
        </w:rPr>
        <w:t>数据库，并根据管理部门的实际经验提供更多的导则和个案研究</w:t>
      </w:r>
      <w:r w:rsidR="002A13DE" w:rsidRPr="002A13DE">
        <w:rPr>
          <w:rFonts w:ascii="SimSun" w:hAnsi="SimSun" w:hint="eastAsia"/>
          <w:lang w:val="en-US"/>
        </w:rPr>
        <w:t>”</w:t>
      </w:r>
      <w:r w:rsidRPr="002C4984">
        <w:rPr>
          <w:rFonts w:hint="eastAsia"/>
        </w:rPr>
        <w:t>。</w:t>
      </w:r>
    </w:p>
    <w:p w:rsidR="00853B80" w:rsidRPr="002C4984" w:rsidRDefault="00853B80" w:rsidP="00015D4C">
      <w:pPr>
        <w:pStyle w:val="normal0"/>
      </w:pPr>
      <w:r w:rsidRPr="002C4984">
        <w:rPr>
          <w:rFonts w:hint="eastAsia"/>
        </w:rPr>
        <w:t>以下导则反映了许多管理部门的实际经验，旨在建立一个考虑到以下方面的、一致的收费制</w:t>
      </w:r>
      <w:r w:rsidR="00D8522B">
        <w:br/>
      </w:r>
      <w:r w:rsidRPr="002C4984">
        <w:rPr>
          <w:rFonts w:hint="eastAsia"/>
        </w:rPr>
        <w:t>度：</w:t>
      </w:r>
    </w:p>
    <w:p w:rsidR="00853B80" w:rsidRPr="00D8522B" w:rsidRDefault="008A12BB" w:rsidP="00D8522B">
      <w:pPr>
        <w:pStyle w:val="enumlev1"/>
      </w:pPr>
      <w:r w:rsidRPr="00D8522B">
        <w:t>–</w:t>
      </w:r>
      <w:r w:rsidR="00853B80" w:rsidRPr="00D8522B">
        <w:tab/>
      </w:r>
      <w:r w:rsidR="00853B80" w:rsidRPr="00D8522B">
        <w:rPr>
          <w:rFonts w:hint="eastAsia"/>
        </w:rPr>
        <w:t>频谱管理的资金筹集；</w:t>
      </w:r>
    </w:p>
    <w:p w:rsidR="00853B80" w:rsidRPr="00D8522B" w:rsidRDefault="008A12BB" w:rsidP="00D8522B">
      <w:pPr>
        <w:pStyle w:val="enumlev1"/>
      </w:pPr>
      <w:r w:rsidRPr="00D8522B">
        <w:t>–</w:t>
      </w:r>
      <w:r w:rsidR="00853B80" w:rsidRPr="00D8522B">
        <w:tab/>
      </w:r>
      <w:r w:rsidR="00853B80" w:rsidRPr="00D8522B">
        <w:rPr>
          <w:rFonts w:hint="eastAsia"/>
        </w:rPr>
        <w:t>各国管理机构的预算和发展目标；</w:t>
      </w:r>
    </w:p>
    <w:p w:rsidR="00853B80" w:rsidRPr="00D8522B" w:rsidRDefault="008A12BB" w:rsidP="00D8522B">
      <w:pPr>
        <w:pStyle w:val="enumlev1"/>
      </w:pPr>
      <w:r w:rsidRPr="00D8522B">
        <w:t>–</w:t>
      </w:r>
      <w:r w:rsidR="00853B80" w:rsidRPr="00D8522B">
        <w:tab/>
      </w:r>
      <w:r w:rsidR="00853B80" w:rsidRPr="00D8522B">
        <w:rPr>
          <w:rFonts w:hint="eastAsia"/>
        </w:rPr>
        <w:t>有效频谱管理和有效频率使用的目标。</w:t>
      </w:r>
    </w:p>
    <w:p w:rsidR="00853B80" w:rsidRPr="002C4984" w:rsidRDefault="00853B80" w:rsidP="00015D4C">
      <w:pPr>
        <w:pStyle w:val="normal0"/>
      </w:pPr>
      <w:r w:rsidRPr="002C4984">
        <w:rPr>
          <w:rFonts w:hint="eastAsia"/>
        </w:rPr>
        <w:t>它们是迄今为止在</w:t>
      </w:r>
      <w:r w:rsidRPr="002C4984">
        <w:t>2006-2010</w:t>
      </w:r>
      <w:r w:rsidRPr="002C4984">
        <w:rPr>
          <w:rFonts w:hint="eastAsia"/>
        </w:rPr>
        <w:t>研究期内的工作取得的成果，其中特别考虑到了以下文</w:t>
      </w:r>
      <w:r w:rsidR="0065638A">
        <w:br/>
      </w:r>
      <w:r w:rsidRPr="002C4984">
        <w:rPr>
          <w:rFonts w:hint="eastAsia"/>
        </w:rPr>
        <w:t>件：</w:t>
      </w:r>
    </w:p>
    <w:p w:rsidR="00853B80" w:rsidRPr="002C4984" w:rsidRDefault="00853B80" w:rsidP="00D8522B">
      <w:pPr>
        <w:pStyle w:val="enumlev1"/>
      </w:pPr>
      <w:r w:rsidRPr="002C4984">
        <w:t>–</w:t>
      </w:r>
      <w:r w:rsidRPr="002C4984">
        <w:tab/>
        <w:t>ITU-R</w:t>
      </w:r>
      <w:r w:rsidRPr="002C4984">
        <w:rPr>
          <w:rFonts w:hint="eastAsia"/>
        </w:rPr>
        <w:t>第</w:t>
      </w:r>
      <w:r w:rsidRPr="002C4984">
        <w:t>SM.2012-2</w:t>
      </w:r>
      <w:r w:rsidRPr="002C4984">
        <w:rPr>
          <w:rFonts w:hint="eastAsia"/>
        </w:rPr>
        <w:t>号报告</w:t>
      </w:r>
      <w:r w:rsidRPr="002C4984">
        <w:t xml:space="preserve"> – </w:t>
      </w:r>
      <w:r w:rsidRPr="002C4984">
        <w:rPr>
          <w:rFonts w:hint="eastAsia"/>
        </w:rPr>
        <w:t>频谱管理的经济方面。</w:t>
      </w:r>
    </w:p>
    <w:p w:rsidR="00853B80" w:rsidRPr="002C4984" w:rsidRDefault="00853B80" w:rsidP="00D8522B">
      <w:pPr>
        <w:pStyle w:val="enumlev1"/>
      </w:pPr>
      <w:r w:rsidRPr="002C4984">
        <w:t>–</w:t>
      </w:r>
      <w:r w:rsidRPr="002C4984">
        <w:tab/>
        <w:t>Projet de marché commun ouest-africain: Harmonisation des politiques régissant le marché des TIC dans l'espace UEMOA-CEDEAO [</w:t>
      </w:r>
      <w:r w:rsidRPr="002C4984">
        <w:rPr>
          <w:rFonts w:eastAsia="STKaiti" w:hint="eastAsia"/>
        </w:rPr>
        <w:t>西非共同市场项目：</w:t>
      </w:r>
      <w:r w:rsidRPr="002C4984">
        <w:rPr>
          <w:rFonts w:eastAsia="STKaiti"/>
        </w:rPr>
        <w:t>UEMOA-ECOWAS</w:t>
      </w:r>
      <w:r w:rsidRPr="002C4984">
        <w:rPr>
          <w:rFonts w:eastAsia="STKaiti" w:hint="eastAsia"/>
        </w:rPr>
        <w:t>空间的</w:t>
      </w:r>
      <w:r w:rsidRPr="002C4984">
        <w:rPr>
          <w:rFonts w:eastAsia="STKaiti"/>
        </w:rPr>
        <w:t>ICT</w:t>
      </w:r>
      <w:r w:rsidRPr="002C4984">
        <w:rPr>
          <w:rFonts w:eastAsia="STKaiti" w:hint="eastAsia"/>
        </w:rPr>
        <w:t>市场管理政策协调</w:t>
      </w:r>
      <w:r w:rsidRPr="002C4984">
        <w:t>]</w:t>
      </w:r>
      <w:r w:rsidRPr="002C4984">
        <w:rPr>
          <w:rFonts w:hint="eastAsia"/>
        </w:rPr>
        <w:t>。法文本。最终导则在</w:t>
      </w:r>
      <w:smartTag w:uri="urn:schemas-microsoft-com:office:smarttags" w:element="chsdate">
        <w:smartTagPr>
          <w:attr w:name="IsROCDate" w:val="False"/>
          <w:attr w:name="IsLunarDate" w:val="False"/>
          <w:attr w:name="Day" w:val="9"/>
          <w:attr w:name="Month" w:val="9"/>
          <w:attr w:name="Year" w:val="2005"/>
        </w:smartTagPr>
        <w:r w:rsidRPr="002C4984">
          <w:t>2005</w:t>
        </w:r>
        <w:r w:rsidRPr="002C4984">
          <w:rPr>
            <w:rFonts w:hint="eastAsia"/>
          </w:rPr>
          <w:t>年</w:t>
        </w:r>
        <w:r w:rsidRPr="002C4984">
          <w:t>9</w:t>
        </w:r>
        <w:r w:rsidRPr="002C4984">
          <w:rPr>
            <w:rFonts w:hint="eastAsia"/>
          </w:rPr>
          <w:t>月</w:t>
        </w:r>
        <w:r w:rsidRPr="002C4984">
          <w:t>9</w:t>
        </w:r>
        <w:r w:rsidRPr="002C4984">
          <w:rPr>
            <w:rFonts w:hint="eastAsia"/>
          </w:rPr>
          <w:t>日</w:t>
        </w:r>
      </w:smartTag>
      <w:r w:rsidRPr="002C4984">
        <w:rPr>
          <w:rFonts w:hint="eastAsia"/>
        </w:rPr>
        <w:t>召开的西非电信监管机构大会（</w:t>
      </w:r>
      <w:r w:rsidRPr="002C4984">
        <w:t>WATRA</w:t>
      </w:r>
      <w:r w:rsidRPr="002C4984">
        <w:rPr>
          <w:rFonts w:hint="eastAsia"/>
        </w:rPr>
        <w:t>）第三次常规大会上通过。</w:t>
      </w:r>
    </w:p>
    <w:p w:rsidR="00853B80" w:rsidRPr="002C4984" w:rsidRDefault="00853B80" w:rsidP="00015D4C">
      <w:pPr>
        <w:pStyle w:val="normal0"/>
      </w:pPr>
      <w:r w:rsidRPr="002C4984">
        <w:rPr>
          <w:rFonts w:hint="eastAsia"/>
        </w:rPr>
        <w:t>还需特别提及批准了一些原则并已全部或部分实施指导原则的以下国家：巴西、中国、科特迪瓦、阿拉伯联合酋长国、西班牙、爱沙尼亚、芬兰、法国、匈牙利、莱索托、摩洛哥、瑞士、坦桑尼亚。</w:t>
      </w:r>
    </w:p>
    <w:p w:rsidR="00853B80" w:rsidRPr="00D8522B" w:rsidRDefault="00853B80" w:rsidP="00D8522B">
      <w:pPr>
        <w:rPr>
          <w:b/>
          <w:bCs/>
        </w:rPr>
      </w:pPr>
      <w:r w:rsidRPr="00D8522B">
        <w:rPr>
          <w:rFonts w:hint="eastAsia"/>
          <w:b/>
          <w:bCs/>
        </w:rPr>
        <w:t>本文件中包含的导则只与频谱的非政府使用相关。</w:t>
      </w:r>
    </w:p>
    <w:p w:rsidR="00853B80" w:rsidRPr="002C4984" w:rsidRDefault="00853B80" w:rsidP="00853B80">
      <w:pPr>
        <w:pStyle w:val="Heading1"/>
        <w:spacing w:before="240" w:after="120"/>
        <w:rPr>
          <w:szCs w:val="24"/>
        </w:rPr>
      </w:pPr>
      <w:bookmarkStart w:id="10" w:name="_Toc288642926"/>
      <w:r w:rsidRPr="002C4984">
        <w:rPr>
          <w:szCs w:val="24"/>
        </w:rPr>
        <w:t>2</w:t>
      </w:r>
      <w:r w:rsidRPr="002C4984">
        <w:rPr>
          <w:szCs w:val="24"/>
        </w:rPr>
        <w:tab/>
      </w:r>
      <w:r w:rsidRPr="002C4984">
        <w:rPr>
          <w:rFonts w:hint="eastAsia"/>
          <w:szCs w:val="24"/>
        </w:rPr>
        <w:t>本文件专用的定义</w:t>
      </w:r>
      <w:bookmarkEnd w:id="10"/>
    </w:p>
    <w:p w:rsidR="00853B80" w:rsidRPr="002C4984" w:rsidRDefault="00853B80" w:rsidP="00015D4C">
      <w:pPr>
        <w:pStyle w:val="normal0"/>
      </w:pPr>
      <w:r w:rsidRPr="002C4984">
        <w:rPr>
          <w:rFonts w:hint="eastAsia"/>
        </w:rPr>
        <w:t>为了方便和清楚起见，使用以下定义并只针对本文件使用。术语</w:t>
      </w:r>
      <w:r w:rsidR="002F03DD">
        <w:rPr>
          <w:rFonts w:hint="eastAsia"/>
        </w:rPr>
        <w:t>“</w:t>
      </w:r>
      <w:r w:rsidRPr="002C4984">
        <w:rPr>
          <w:rFonts w:hint="eastAsia"/>
        </w:rPr>
        <w:t>分配</w:t>
      </w:r>
      <w:r w:rsidR="002F03DD">
        <w:rPr>
          <w:rFonts w:hint="eastAsia"/>
        </w:rPr>
        <w:t>”</w:t>
      </w:r>
      <w:r w:rsidRPr="002C4984">
        <w:rPr>
          <w:rFonts w:hint="eastAsia"/>
        </w:rPr>
        <w:t>和</w:t>
      </w:r>
      <w:r w:rsidR="002F03DD">
        <w:rPr>
          <w:rFonts w:hint="eastAsia"/>
        </w:rPr>
        <w:t>“</w:t>
      </w:r>
      <w:r w:rsidRPr="002C4984">
        <w:rPr>
          <w:rFonts w:hint="eastAsia"/>
        </w:rPr>
        <w:t>指配</w:t>
      </w:r>
      <w:r w:rsidR="002F03DD">
        <w:rPr>
          <w:rFonts w:hint="eastAsia"/>
        </w:rPr>
        <w:t>”</w:t>
      </w:r>
      <w:r w:rsidRPr="002C4984">
        <w:rPr>
          <w:rFonts w:hint="eastAsia"/>
        </w:rPr>
        <w:t>的定义与《无线电规则》中第</w:t>
      </w:r>
      <w:r w:rsidRPr="002C4984">
        <w:t>1.17</w:t>
      </w:r>
      <w:r w:rsidRPr="002C4984">
        <w:rPr>
          <w:rFonts w:hint="eastAsia"/>
        </w:rPr>
        <w:t>款和第</w:t>
      </w:r>
      <w:r w:rsidRPr="002C4984">
        <w:t>1.18</w:t>
      </w:r>
      <w:r w:rsidRPr="002C4984">
        <w:rPr>
          <w:rFonts w:hint="eastAsia"/>
        </w:rPr>
        <w:t>款给出的定义稍有不同。</w:t>
      </w:r>
    </w:p>
    <w:p w:rsidR="00853B80" w:rsidRPr="002C4984" w:rsidRDefault="00853B80" w:rsidP="00015D4C">
      <w:r w:rsidRPr="002C4984">
        <w:t>[1]</w:t>
      </w:r>
      <w:r w:rsidRPr="002C4984">
        <w:tab/>
      </w:r>
      <w:r w:rsidRPr="002C4984">
        <w:rPr>
          <w:rFonts w:eastAsia="STKaiti" w:hint="eastAsia"/>
          <w:bCs/>
          <w:iCs/>
        </w:rPr>
        <w:t>指配</w:t>
      </w:r>
      <w:r w:rsidRPr="00015D4C">
        <w:rPr>
          <w:rFonts w:ascii="SimSun" w:hAnsi="SimSun" w:hint="eastAsia"/>
        </w:rPr>
        <w:t>：</w:t>
      </w:r>
      <w:r w:rsidRPr="002C4984">
        <w:rPr>
          <w:rFonts w:hint="eastAsia"/>
        </w:rPr>
        <w:t>在一个给定地点上和确定的条件下使用频率的授权。这类频率被称作</w:t>
      </w:r>
      <w:r w:rsidR="00015D4C">
        <w:rPr>
          <w:rFonts w:eastAsia="STKaiti" w:hint="eastAsia"/>
          <w:lang w:eastAsia="zh-CN"/>
        </w:rPr>
        <w:t>“</w:t>
      </w:r>
      <w:r w:rsidRPr="002C4984">
        <w:rPr>
          <w:rFonts w:eastAsia="STKaiti" w:hint="eastAsia"/>
          <w:bCs/>
          <w:iCs/>
        </w:rPr>
        <w:t>已指配的频率</w:t>
      </w:r>
      <w:r w:rsidR="00015D4C">
        <w:rPr>
          <w:rFonts w:eastAsia="STKaiti" w:hint="eastAsia"/>
          <w:lang w:eastAsia="zh-CN"/>
        </w:rPr>
        <w:t>”</w:t>
      </w:r>
      <w:r w:rsidRPr="002C4984">
        <w:rPr>
          <w:rFonts w:hint="eastAsia"/>
        </w:rPr>
        <w:t>。</w:t>
      </w:r>
    </w:p>
    <w:p w:rsidR="00853B80" w:rsidRPr="002C4984" w:rsidRDefault="00853B80" w:rsidP="00015D4C">
      <w:r w:rsidRPr="002C4984">
        <w:t>[2]</w:t>
      </w:r>
      <w:r w:rsidRPr="002C4984">
        <w:tab/>
      </w:r>
      <w:r w:rsidRPr="002C4984">
        <w:rPr>
          <w:rFonts w:hint="eastAsia"/>
        </w:rPr>
        <w:t>一项指配的</w:t>
      </w:r>
      <w:r w:rsidRPr="002C4984">
        <w:rPr>
          <w:rFonts w:eastAsia="STKaiti" w:hint="eastAsia"/>
          <w:bCs/>
          <w:iCs/>
        </w:rPr>
        <w:t>划分表面</w:t>
      </w:r>
      <w:r w:rsidRPr="002C4984">
        <w:rPr>
          <w:rFonts w:hint="eastAsia"/>
        </w:rPr>
        <w:t>：已</w:t>
      </w:r>
      <w:r w:rsidRPr="008414EB">
        <w:rPr>
          <w:rFonts w:hint="eastAsia"/>
        </w:rPr>
        <w:t>指配频率</w:t>
      </w:r>
      <w:r w:rsidRPr="002C4984">
        <w:rPr>
          <w:rFonts w:hint="eastAsia"/>
        </w:rPr>
        <w:t>内可能使用的领土部分。</w:t>
      </w:r>
    </w:p>
    <w:p w:rsidR="00853B80" w:rsidRPr="002C4984" w:rsidRDefault="00853B80" w:rsidP="00015D4C">
      <w:r w:rsidRPr="002C4984">
        <w:t>[3]</w:t>
      </w:r>
      <w:r w:rsidRPr="002C4984">
        <w:tab/>
      </w:r>
      <w:r w:rsidRPr="002C4984">
        <w:rPr>
          <w:rFonts w:eastAsia="STKaiti" w:hint="eastAsia"/>
        </w:rPr>
        <w:t>分配</w:t>
      </w:r>
      <w:r w:rsidRPr="00015D4C">
        <w:rPr>
          <w:rFonts w:ascii="SimSun" w:hAnsi="SimSun" w:hint="eastAsia"/>
        </w:rPr>
        <w:t>：</w:t>
      </w:r>
      <w:r w:rsidRPr="002C4984">
        <w:rPr>
          <w:rFonts w:hint="eastAsia"/>
        </w:rPr>
        <w:t>在一给定地理区域内使用一块频率的授权。这类频率被称作</w:t>
      </w:r>
      <w:r w:rsidR="00015D4C">
        <w:rPr>
          <w:rFonts w:hint="eastAsia"/>
          <w:lang w:eastAsia="zh-CN"/>
        </w:rPr>
        <w:t>“</w:t>
      </w:r>
      <w:r w:rsidRPr="002C4984">
        <w:rPr>
          <w:rFonts w:eastAsia="STKaiti" w:hint="eastAsia"/>
        </w:rPr>
        <w:t>已分配的频率</w:t>
      </w:r>
      <w:r w:rsidR="00015D4C" w:rsidRPr="00015D4C">
        <w:rPr>
          <w:rFonts w:ascii="SimSun" w:hAnsi="SimSun" w:hint="eastAsia"/>
          <w:lang w:eastAsia="zh-CN"/>
        </w:rPr>
        <w:t>”</w:t>
      </w:r>
      <w:r w:rsidRPr="002C4984">
        <w:rPr>
          <w:rFonts w:hint="eastAsia"/>
        </w:rPr>
        <w:t>。</w:t>
      </w:r>
    </w:p>
    <w:p w:rsidR="00853B80" w:rsidRPr="002C4984" w:rsidRDefault="00853B80" w:rsidP="00853B80">
      <w:pPr>
        <w:pStyle w:val="Heading1"/>
        <w:spacing w:before="240" w:after="120"/>
        <w:rPr>
          <w:szCs w:val="24"/>
        </w:rPr>
      </w:pPr>
      <w:bookmarkStart w:id="11" w:name="_Toc288642927"/>
      <w:r w:rsidRPr="002C4984">
        <w:rPr>
          <w:szCs w:val="24"/>
        </w:rPr>
        <w:t>3</w:t>
      </w:r>
      <w:r w:rsidRPr="002C4984">
        <w:rPr>
          <w:szCs w:val="24"/>
        </w:rPr>
        <w:tab/>
      </w:r>
      <w:r w:rsidRPr="002C4984">
        <w:rPr>
          <w:rFonts w:hint="eastAsia"/>
          <w:szCs w:val="24"/>
        </w:rPr>
        <w:t>基本原则</w:t>
      </w:r>
      <w:bookmarkEnd w:id="11"/>
    </w:p>
    <w:p w:rsidR="00853B80" w:rsidRPr="002C4984" w:rsidRDefault="00853B80" w:rsidP="00015D4C">
      <w:pPr>
        <w:pStyle w:val="normal0"/>
      </w:pPr>
      <w:r w:rsidRPr="002C4984">
        <w:rPr>
          <w:rFonts w:hint="eastAsia"/>
        </w:rPr>
        <w:t>应在建立收费制度时遵守以下原则。这些原则支持了本文件中导则的制定。</w:t>
      </w:r>
    </w:p>
    <w:p w:rsidR="00871CE0" w:rsidRDefault="00871CE0">
      <w:pPr>
        <w:tabs>
          <w:tab w:val="clear" w:pos="794"/>
          <w:tab w:val="clear" w:pos="1191"/>
          <w:tab w:val="clear" w:pos="1588"/>
          <w:tab w:val="clear" w:pos="1985"/>
        </w:tabs>
        <w:overflowPunct/>
        <w:autoSpaceDE/>
        <w:autoSpaceDN/>
        <w:adjustRightInd/>
        <w:spacing w:before="0"/>
        <w:jc w:val="left"/>
        <w:textAlignment w:val="auto"/>
        <w:rPr>
          <w:b/>
        </w:rPr>
      </w:pPr>
      <w:bookmarkStart w:id="12" w:name="_Toc288642928"/>
      <w:r>
        <w:br w:type="page"/>
      </w:r>
    </w:p>
    <w:p w:rsidR="00853B80" w:rsidRPr="002C4984" w:rsidRDefault="00853B80" w:rsidP="0065638A">
      <w:pPr>
        <w:pStyle w:val="Heading2"/>
      </w:pPr>
      <w:r w:rsidRPr="002C4984">
        <w:lastRenderedPageBreak/>
        <w:t>3.1</w:t>
      </w:r>
      <w:r w:rsidRPr="002C4984">
        <w:tab/>
      </w:r>
      <w:r w:rsidRPr="002C4984">
        <w:rPr>
          <w:rFonts w:hint="eastAsia"/>
        </w:rPr>
        <w:t>法律原则</w:t>
      </w:r>
      <w:bookmarkEnd w:id="12"/>
    </w:p>
    <w:p w:rsidR="00853B80" w:rsidRPr="002C4984" w:rsidRDefault="00853B80" w:rsidP="00015D4C">
      <w:r w:rsidRPr="002C4984">
        <w:t>[4]</w:t>
      </w:r>
      <w:r w:rsidRPr="002C4984">
        <w:tab/>
      </w:r>
      <w:r w:rsidRPr="002C4984">
        <w:rPr>
          <w:rFonts w:hint="eastAsia"/>
        </w:rPr>
        <w:t>无线电频谱属于国家财产。因此，任何与非政府活动相关的频谱占用都应视为私人占用。</w:t>
      </w:r>
    </w:p>
    <w:p w:rsidR="00853B80" w:rsidRPr="002C4984" w:rsidRDefault="00853B80" w:rsidP="00015D4C">
      <w:r w:rsidRPr="002C4984">
        <w:t>[5]</w:t>
      </w:r>
      <w:r w:rsidRPr="002C4984">
        <w:tab/>
      </w:r>
      <w:r w:rsidRPr="002C4984">
        <w:rPr>
          <w:rFonts w:hint="eastAsia"/>
        </w:rPr>
        <w:t>由于频谱属于国家的公共领域，因此频谱的管理必须符合整个国家社区的利益。</w:t>
      </w:r>
    </w:p>
    <w:p w:rsidR="00853B80" w:rsidRPr="002C4984" w:rsidRDefault="00853B80" w:rsidP="00015D4C">
      <w:r w:rsidRPr="002C4984">
        <w:t>[6]</w:t>
      </w:r>
      <w:r w:rsidRPr="002C4984">
        <w:tab/>
      </w:r>
      <w:r w:rsidRPr="002C4984">
        <w:rPr>
          <w:rFonts w:hint="eastAsia"/>
        </w:rPr>
        <w:t>作为频谱的所有者，国家有权要求私人占用者支付</w:t>
      </w:r>
      <w:r w:rsidRPr="002C4984">
        <w:rPr>
          <w:rFonts w:eastAsia="STKaiti" w:hint="eastAsia"/>
          <w:u w:val="single"/>
        </w:rPr>
        <w:t>频谱费</w:t>
      </w:r>
      <w:r w:rsidRPr="002C4984">
        <w:rPr>
          <w:rFonts w:hint="eastAsia"/>
        </w:rPr>
        <w:t>（也称为</w:t>
      </w:r>
      <w:r w:rsidRPr="002C4984">
        <w:rPr>
          <w:rFonts w:eastAsia="STKaiti" w:hint="eastAsia"/>
        </w:rPr>
        <w:t>频谱占用费、频率可用费或频谱使用费</w:t>
      </w:r>
      <w:r w:rsidRPr="002C4984">
        <w:rPr>
          <w:rFonts w:hint="eastAsia"/>
        </w:rPr>
        <w:t>）。</w:t>
      </w:r>
    </w:p>
    <w:p w:rsidR="00853B80" w:rsidRPr="002C4984" w:rsidRDefault="00853B80" w:rsidP="00015D4C">
      <w:r w:rsidRPr="002C4984">
        <w:t>[7]</w:t>
      </w:r>
      <w:r w:rsidRPr="002C4984">
        <w:tab/>
      </w:r>
      <w:r w:rsidRPr="002C4984">
        <w:rPr>
          <w:rFonts w:hint="eastAsia"/>
        </w:rPr>
        <w:t>频谱的规划、管理和监督由国家或国家委派此类责任的实体执行。这些活动以及相应的设备和投资对于保证频谱在令人满意的条件下使用至关重要。</w:t>
      </w:r>
    </w:p>
    <w:p w:rsidR="00853B80" w:rsidRPr="002C4984" w:rsidRDefault="00853B80" w:rsidP="00015D4C">
      <w:r w:rsidRPr="002C4984">
        <w:t>[8]</w:t>
      </w:r>
      <w:r w:rsidRPr="002C4984">
        <w:tab/>
      </w:r>
      <w:r w:rsidRPr="002C4984">
        <w:rPr>
          <w:rFonts w:hint="eastAsia"/>
        </w:rPr>
        <w:t>因此，管理机构要求私人频谱占用者另外支付</w:t>
      </w:r>
      <w:r w:rsidRPr="002C4984">
        <w:rPr>
          <w:rFonts w:eastAsia="STKaiti" w:hint="eastAsia"/>
          <w:u w:val="single"/>
        </w:rPr>
        <w:t>管理费</w:t>
      </w:r>
      <w:r w:rsidRPr="002C4984">
        <w:rPr>
          <w:rFonts w:hint="eastAsia"/>
        </w:rPr>
        <w:t>（也称作</w:t>
      </w:r>
      <w:r w:rsidRPr="002C4984">
        <w:rPr>
          <w:rFonts w:eastAsia="STKaiti" w:hint="eastAsia"/>
        </w:rPr>
        <w:t>频率管理费或服务费</w:t>
      </w:r>
      <w:r w:rsidRPr="002C4984">
        <w:rPr>
          <w:rFonts w:hint="eastAsia"/>
        </w:rPr>
        <w:t>）用作频谱规划、管理和监督活动的成本是合法的。</w:t>
      </w:r>
    </w:p>
    <w:p w:rsidR="00853B80" w:rsidRPr="002C4984" w:rsidRDefault="00853B80" w:rsidP="00015D4C">
      <w:r w:rsidRPr="002C4984">
        <w:t>[9]</w:t>
      </w:r>
      <w:r w:rsidRPr="002C4984">
        <w:tab/>
      </w:r>
      <w:r w:rsidRPr="002C4984">
        <w:rPr>
          <w:rFonts w:hint="eastAsia"/>
        </w:rPr>
        <w:t>频谱和管理费的设定必须符合透明、客观、均衡和非歧视的规定。在透明方面，尤其重要的是，管理设定费用的规则必须对所有相关方都是简明且容易理解的。</w:t>
      </w:r>
    </w:p>
    <w:p w:rsidR="00853B80" w:rsidRPr="002C4984" w:rsidRDefault="00853B80" w:rsidP="00015D4C">
      <w:r w:rsidRPr="002C4984">
        <w:t>[10]</w:t>
      </w:r>
      <w:r w:rsidRPr="002C4984">
        <w:tab/>
      </w:r>
      <w:r w:rsidRPr="002C4984">
        <w:rPr>
          <w:rFonts w:hint="eastAsia"/>
        </w:rPr>
        <w:t>管理设定费用的规则必须在时间上相对稳定，为频谱占用者提供必要的可见度和法律安全</w:t>
      </w:r>
      <w:r w:rsidR="00015D4C">
        <w:rPr>
          <w:lang w:eastAsia="zh-CN"/>
        </w:rPr>
        <w:br/>
      </w:r>
      <w:r w:rsidRPr="002C4984">
        <w:rPr>
          <w:rFonts w:hint="eastAsia"/>
        </w:rPr>
        <w:t>性。</w:t>
      </w:r>
    </w:p>
    <w:p w:rsidR="00853B80" w:rsidRPr="002C4984" w:rsidRDefault="00853B80" w:rsidP="00015D4C">
      <w:r w:rsidRPr="002C4984">
        <w:t>[11]</w:t>
      </w:r>
      <w:r w:rsidRPr="002C4984">
        <w:tab/>
      </w:r>
      <w:r w:rsidRPr="002C4984">
        <w:rPr>
          <w:rFonts w:hint="eastAsia"/>
        </w:rPr>
        <w:t>作为付费回报，已指配或已分配频谱的用户享受现行供应规定的保护。相反，可自由使用的频率的用户（例如低范围和低功率集合、</w:t>
      </w:r>
      <w:r w:rsidRPr="002C4984">
        <w:t>WiFi</w:t>
      </w:r>
      <w:r w:rsidRPr="002C4984">
        <w:rPr>
          <w:rFonts w:hint="eastAsia"/>
        </w:rPr>
        <w:t>、蓝牙、业务无线电和无线电控制模式）不受保护，因此不应要求付费。与本法律原则联合的现实原则规定不应向可自由获得的频率收费（见下文第</w:t>
      </w:r>
      <w:r w:rsidRPr="002C4984">
        <w:t>[17]</w:t>
      </w:r>
      <w:r w:rsidRPr="002C4984">
        <w:rPr>
          <w:rFonts w:hint="eastAsia"/>
        </w:rPr>
        <w:t>条）。</w:t>
      </w:r>
    </w:p>
    <w:p w:rsidR="00853B80" w:rsidRPr="002C4984" w:rsidRDefault="00853B80" w:rsidP="0065638A">
      <w:pPr>
        <w:pStyle w:val="Heading2"/>
      </w:pPr>
      <w:bookmarkStart w:id="13" w:name="_Toc288642929"/>
      <w:r w:rsidRPr="002C4984">
        <w:t>3.2</w:t>
      </w:r>
      <w:r w:rsidRPr="002C4984">
        <w:tab/>
      </w:r>
      <w:r w:rsidRPr="002C4984">
        <w:rPr>
          <w:rFonts w:hint="eastAsia"/>
        </w:rPr>
        <w:t>经济原则</w:t>
      </w:r>
      <w:bookmarkEnd w:id="13"/>
    </w:p>
    <w:p w:rsidR="00853B80" w:rsidRPr="002C4984" w:rsidRDefault="00853B80" w:rsidP="00015D4C">
      <w:r w:rsidRPr="002C4984">
        <w:t>[12]</w:t>
      </w:r>
      <w:r w:rsidRPr="002C4984">
        <w:tab/>
      </w:r>
      <w:r w:rsidRPr="002C4984">
        <w:rPr>
          <w:rFonts w:hint="eastAsia"/>
        </w:rPr>
        <w:t>频谱是一种有限的资源，并在某些情况下属于稀缺的资源。管理者的主要目标是保证最佳频谱占用和有效的频率使用。</w:t>
      </w:r>
    </w:p>
    <w:p w:rsidR="00853B80" w:rsidRPr="002C4984" w:rsidRDefault="00853B80" w:rsidP="00015D4C">
      <w:r w:rsidRPr="002C4984">
        <w:t>[13]</w:t>
      </w:r>
      <w:r w:rsidRPr="002C4984">
        <w:tab/>
      </w:r>
      <w:r w:rsidRPr="002C4984">
        <w:rPr>
          <w:rFonts w:hint="eastAsia"/>
        </w:rPr>
        <w:t>频谱费和管理费提出的原因与目标是不同的。这种差别因此应反映在</w:t>
      </w:r>
      <w:r w:rsidRPr="002C4984">
        <w:rPr>
          <w:rFonts w:hint="eastAsia"/>
          <w:u w:val="single"/>
        </w:rPr>
        <w:t>两种费用设定的不同方法上</w:t>
      </w:r>
      <w:r w:rsidRPr="002C4984">
        <w:rPr>
          <w:rFonts w:hint="eastAsia"/>
        </w:rPr>
        <w:t>。</w:t>
      </w:r>
    </w:p>
    <w:p w:rsidR="00853B80" w:rsidRPr="002C4984" w:rsidRDefault="00853B80" w:rsidP="00015D4C">
      <w:r w:rsidRPr="002C4984">
        <w:t>[14]</w:t>
      </w:r>
      <w:r w:rsidRPr="002C4984">
        <w:tab/>
      </w:r>
      <w:r w:rsidRPr="002C4984">
        <w:rPr>
          <w:rFonts w:hint="eastAsia"/>
        </w:rPr>
        <w:t>管理费的唯一目的应是用于支付管理机构提供的服务。</w:t>
      </w:r>
    </w:p>
    <w:p w:rsidR="00853B80" w:rsidRPr="002C4984" w:rsidRDefault="00853B80" w:rsidP="00015D4C">
      <w:r w:rsidRPr="002C4984">
        <w:t>[15]</w:t>
      </w:r>
      <w:r w:rsidRPr="002C4984">
        <w:tab/>
      </w:r>
      <w:r w:rsidRPr="002C4984">
        <w:rPr>
          <w:rFonts w:hint="eastAsia"/>
        </w:rPr>
        <w:t>相反，频谱费的目的则是多方面的（见第</w:t>
      </w:r>
      <w:r w:rsidRPr="002C4984">
        <w:t>[4]</w:t>
      </w:r>
      <w:r w:rsidRPr="002C4984">
        <w:rPr>
          <w:rFonts w:hint="eastAsia"/>
        </w:rPr>
        <w:t>和第</w:t>
      </w:r>
      <w:r w:rsidRPr="002C4984">
        <w:t>[5]</w:t>
      </w:r>
      <w:r w:rsidRPr="002C4984">
        <w:rPr>
          <w:rFonts w:hint="eastAsia"/>
        </w:rPr>
        <w:t>条），它们必须：</w:t>
      </w:r>
      <w:r w:rsidRPr="002C4984">
        <w:t xml:space="preserve"> </w:t>
      </w:r>
    </w:p>
    <w:p w:rsidR="00853B80" w:rsidRPr="002C4984" w:rsidRDefault="00853B80" w:rsidP="008414EB">
      <w:pPr>
        <w:pStyle w:val="enumlev1"/>
        <w:rPr>
          <w:lang w:eastAsia="zh-CN"/>
        </w:rPr>
      </w:pPr>
      <w:r w:rsidRPr="002C4984">
        <w:rPr>
          <w:lang w:eastAsia="zh-CN"/>
        </w:rPr>
        <w:tab/>
        <w:t>[15.1]</w:t>
      </w:r>
      <w:r w:rsidRPr="002C4984">
        <w:rPr>
          <w:lang w:eastAsia="zh-CN"/>
        </w:rPr>
        <w:tab/>
      </w:r>
      <w:r w:rsidRPr="002C4984">
        <w:rPr>
          <w:rFonts w:hint="eastAsia"/>
          <w:lang w:eastAsia="zh-CN"/>
        </w:rPr>
        <w:t>使得管理机构设定的预算目标能够达成；</w:t>
      </w:r>
    </w:p>
    <w:p w:rsidR="00853B80" w:rsidRPr="002C4984" w:rsidRDefault="00853B80" w:rsidP="008414EB">
      <w:pPr>
        <w:pStyle w:val="enumlev1"/>
        <w:rPr>
          <w:lang w:eastAsia="zh-CN"/>
        </w:rPr>
      </w:pPr>
      <w:r w:rsidRPr="002C4984">
        <w:rPr>
          <w:lang w:eastAsia="zh-CN"/>
        </w:rPr>
        <w:tab/>
        <w:t>[15.2]</w:t>
      </w:r>
      <w:r w:rsidRPr="002C4984">
        <w:rPr>
          <w:lang w:eastAsia="zh-CN"/>
        </w:rPr>
        <w:tab/>
      </w:r>
      <w:r w:rsidRPr="002C4984">
        <w:rPr>
          <w:rFonts w:hint="eastAsia"/>
          <w:lang w:eastAsia="zh-CN"/>
        </w:rPr>
        <w:t>不与管理机构在国家发展和新业务开发方面的目标相冲突；</w:t>
      </w:r>
    </w:p>
    <w:p w:rsidR="00853B80" w:rsidRPr="002C4984" w:rsidRDefault="00853B80" w:rsidP="008414EB">
      <w:pPr>
        <w:pStyle w:val="enumlev1"/>
        <w:rPr>
          <w:lang w:eastAsia="zh-CN"/>
        </w:rPr>
      </w:pPr>
      <w:r w:rsidRPr="002C4984">
        <w:rPr>
          <w:lang w:eastAsia="zh-CN"/>
        </w:rPr>
        <w:tab/>
        <w:t>[15.3]</w:t>
      </w:r>
      <w:r w:rsidRPr="002C4984">
        <w:rPr>
          <w:lang w:eastAsia="zh-CN"/>
        </w:rPr>
        <w:tab/>
      </w:r>
      <w:r w:rsidRPr="002C4984">
        <w:rPr>
          <w:rFonts w:hint="eastAsia"/>
          <w:lang w:eastAsia="zh-CN"/>
        </w:rPr>
        <w:t>考虑到占用者从频谱使用中获得的</w:t>
      </w:r>
      <w:r w:rsidRPr="008414EB">
        <w:rPr>
          <w:rFonts w:hint="eastAsia"/>
        </w:rPr>
        <w:t>全部</w:t>
      </w:r>
      <w:r w:rsidRPr="002C4984">
        <w:rPr>
          <w:rFonts w:hint="eastAsia"/>
          <w:lang w:eastAsia="zh-CN"/>
        </w:rPr>
        <w:t>受益；</w:t>
      </w:r>
    </w:p>
    <w:p w:rsidR="00853B80" w:rsidRPr="002C4984" w:rsidRDefault="00853B80" w:rsidP="008414EB">
      <w:pPr>
        <w:pStyle w:val="enumlev1"/>
        <w:rPr>
          <w:lang w:eastAsia="zh-CN"/>
        </w:rPr>
      </w:pPr>
      <w:r w:rsidRPr="002C4984">
        <w:rPr>
          <w:lang w:eastAsia="zh-CN"/>
        </w:rPr>
        <w:tab/>
        <w:t>[15.4]</w:t>
      </w:r>
      <w:r w:rsidRPr="002C4984">
        <w:rPr>
          <w:lang w:eastAsia="zh-CN"/>
        </w:rPr>
        <w:tab/>
      </w:r>
      <w:r w:rsidRPr="002C4984">
        <w:rPr>
          <w:rFonts w:hint="eastAsia"/>
          <w:lang w:eastAsia="zh-CN"/>
        </w:rPr>
        <w:t>构成一种频谱管理的</w:t>
      </w:r>
      <w:r w:rsidRPr="008414EB">
        <w:rPr>
          <w:rFonts w:hint="eastAsia"/>
        </w:rPr>
        <w:t>工具</w:t>
      </w:r>
      <w:r w:rsidRPr="002C4984">
        <w:rPr>
          <w:rFonts w:hint="eastAsia"/>
          <w:lang w:eastAsia="zh-CN"/>
        </w:rPr>
        <w:t>。</w:t>
      </w:r>
    </w:p>
    <w:p w:rsidR="00853B80" w:rsidRPr="002C4984" w:rsidRDefault="00853B80" w:rsidP="00015D4C">
      <w:r w:rsidRPr="002C4984">
        <w:t>[16]</w:t>
      </w:r>
      <w:r w:rsidRPr="002C4984">
        <w:tab/>
      </w:r>
      <w:r w:rsidRPr="002C4984">
        <w:rPr>
          <w:rFonts w:hint="eastAsia"/>
        </w:rPr>
        <w:t>收费构成国家和频谱管理者的财务来源。费用设定的水平应系统地考虑进通货膨胀和频谱管理者预算的演进状态。</w:t>
      </w:r>
    </w:p>
    <w:p w:rsidR="00853B80" w:rsidRPr="002C4984" w:rsidRDefault="00853B80" w:rsidP="0065638A">
      <w:pPr>
        <w:pStyle w:val="Heading2"/>
      </w:pPr>
      <w:bookmarkStart w:id="14" w:name="_Toc288642930"/>
      <w:r w:rsidRPr="002C4984">
        <w:t>3.3</w:t>
      </w:r>
      <w:r w:rsidRPr="002C4984">
        <w:tab/>
      </w:r>
      <w:r w:rsidRPr="002C4984">
        <w:rPr>
          <w:rFonts w:hint="eastAsia"/>
        </w:rPr>
        <w:t>现实原则</w:t>
      </w:r>
      <w:bookmarkEnd w:id="14"/>
    </w:p>
    <w:p w:rsidR="00853B80" w:rsidRPr="002C4984" w:rsidRDefault="00853B80" w:rsidP="00015D4C">
      <w:r w:rsidRPr="002C4984">
        <w:t>[17]</w:t>
      </w:r>
      <w:r w:rsidRPr="002C4984">
        <w:tab/>
      </w:r>
      <w:r w:rsidRPr="002C4984">
        <w:rPr>
          <w:rFonts w:hint="eastAsia"/>
        </w:rPr>
        <w:t>在收费主体很难单独确定（例如可自由获得的频率的使用者）的情况下不应引入收费，因为收费不确定，并且在完整性方面可能非常有限（见第</w:t>
      </w:r>
      <w:r w:rsidRPr="002C4984">
        <w:t>[11]</w:t>
      </w:r>
      <w:r w:rsidRPr="002C4984">
        <w:rPr>
          <w:rFonts w:hint="eastAsia"/>
        </w:rPr>
        <w:t>条）。</w:t>
      </w:r>
    </w:p>
    <w:p w:rsidR="00853B80" w:rsidRPr="002C4984" w:rsidRDefault="00853B80" w:rsidP="00015D4C">
      <w:r w:rsidRPr="002C4984">
        <w:t>[18]</w:t>
      </w:r>
      <w:r w:rsidRPr="002C4984">
        <w:tab/>
      </w:r>
      <w:r w:rsidRPr="002C4984">
        <w:rPr>
          <w:rFonts w:hint="eastAsia"/>
        </w:rPr>
        <w:t>在选择参数作为费用计算依据时，应避免那些很难或者无法在实践中确定讨论中的用户申报的数值的参数（例如，站点天线的高度或者私营网络中移动基站的数量）。这将减少提出不准确申报以减少应付数额的机会。</w:t>
      </w:r>
    </w:p>
    <w:p w:rsidR="00853B80" w:rsidRPr="002C4984" w:rsidRDefault="00853B80" w:rsidP="00015D4C">
      <w:r w:rsidRPr="002C4984">
        <w:t>[19]</w:t>
      </w:r>
      <w:r w:rsidRPr="002C4984">
        <w:tab/>
      </w:r>
      <w:r w:rsidRPr="002C4984">
        <w:rPr>
          <w:rFonts w:hint="eastAsia"/>
        </w:rPr>
        <w:t>收费制度应在全体从业者达成共识的基础上设立，这样可以制定一个健康收费率。</w:t>
      </w:r>
    </w:p>
    <w:p w:rsidR="00853B80" w:rsidRPr="002C4984" w:rsidRDefault="00853B80" w:rsidP="00853B80">
      <w:pPr>
        <w:pStyle w:val="Heading1"/>
        <w:spacing w:before="240" w:after="120"/>
        <w:rPr>
          <w:szCs w:val="24"/>
        </w:rPr>
      </w:pPr>
      <w:bookmarkStart w:id="15" w:name="_Toc288642931"/>
      <w:r w:rsidRPr="002C4984">
        <w:rPr>
          <w:szCs w:val="24"/>
        </w:rPr>
        <w:lastRenderedPageBreak/>
        <w:t>4</w:t>
      </w:r>
      <w:r w:rsidRPr="002C4984">
        <w:rPr>
          <w:szCs w:val="24"/>
        </w:rPr>
        <w:tab/>
      </w:r>
      <w:r w:rsidRPr="002C4984">
        <w:rPr>
          <w:rFonts w:hint="eastAsia"/>
          <w:szCs w:val="24"/>
        </w:rPr>
        <w:t>管理费设定指导原则（或行政性收费）</w:t>
      </w:r>
      <w:bookmarkEnd w:id="15"/>
    </w:p>
    <w:p w:rsidR="00853B80" w:rsidRPr="002C4984" w:rsidRDefault="00853B80" w:rsidP="0065638A">
      <w:pPr>
        <w:pStyle w:val="Heading2"/>
      </w:pPr>
      <w:bookmarkStart w:id="16" w:name="_Toc288642932"/>
      <w:r w:rsidRPr="002C4984">
        <w:t>4.1</w:t>
      </w:r>
      <w:r w:rsidRPr="002C4984">
        <w:tab/>
      </w:r>
      <w:r w:rsidRPr="002C4984">
        <w:rPr>
          <w:rFonts w:hint="eastAsia"/>
        </w:rPr>
        <w:t>意见和一般方法</w:t>
      </w:r>
      <w:bookmarkEnd w:id="16"/>
    </w:p>
    <w:p w:rsidR="00853B80" w:rsidRPr="002C4984" w:rsidRDefault="00853B80" w:rsidP="00015D4C">
      <w:r w:rsidRPr="002C4984">
        <w:t>[20]</w:t>
      </w:r>
      <w:r w:rsidRPr="002C4984">
        <w:tab/>
      </w:r>
      <w:r w:rsidRPr="002C4984">
        <w:rPr>
          <w:rFonts w:hint="eastAsia"/>
        </w:rPr>
        <w:t>管理费计划包含以下方面的全部成本：</w:t>
      </w:r>
    </w:p>
    <w:p w:rsidR="00853B80" w:rsidRPr="008414EB" w:rsidRDefault="00853B80" w:rsidP="008414EB">
      <w:pPr>
        <w:pStyle w:val="enumlev1"/>
      </w:pPr>
      <w:r w:rsidRPr="008414EB">
        <w:t>–</w:t>
      </w:r>
      <w:r w:rsidRPr="008414EB">
        <w:tab/>
      </w:r>
      <w:r w:rsidRPr="008414EB">
        <w:rPr>
          <w:rFonts w:hint="eastAsia"/>
        </w:rPr>
        <w:t>与频谱规划、管理和监督相关的活动；</w:t>
      </w:r>
    </w:p>
    <w:p w:rsidR="00853B80" w:rsidRPr="008414EB" w:rsidRDefault="00853B80" w:rsidP="008414EB">
      <w:pPr>
        <w:pStyle w:val="enumlev1"/>
      </w:pPr>
      <w:r w:rsidRPr="008414EB">
        <w:t>–</w:t>
      </w:r>
      <w:r w:rsidRPr="008414EB">
        <w:tab/>
      </w:r>
      <w:r w:rsidRPr="008414EB">
        <w:rPr>
          <w:rFonts w:hint="eastAsia"/>
        </w:rPr>
        <w:t>管理机构和委托实体对于频谱开展的活动；</w:t>
      </w:r>
    </w:p>
    <w:p w:rsidR="00853B80" w:rsidRPr="008414EB" w:rsidRDefault="00853B80" w:rsidP="008414EB">
      <w:pPr>
        <w:pStyle w:val="enumlev1"/>
      </w:pPr>
      <w:r w:rsidRPr="008414EB">
        <w:t>–</w:t>
      </w:r>
      <w:r w:rsidRPr="008414EB">
        <w:tab/>
      </w:r>
      <w:r w:rsidRPr="008414EB">
        <w:rPr>
          <w:rFonts w:hint="eastAsia"/>
        </w:rPr>
        <w:t>私营方仅从频谱占用中产生的成本。</w:t>
      </w:r>
    </w:p>
    <w:p w:rsidR="00853B80" w:rsidRPr="002C4984" w:rsidRDefault="00853B80" w:rsidP="00015D4C">
      <w:pPr>
        <w:pStyle w:val="normal0"/>
      </w:pPr>
      <w:r w:rsidRPr="002C4984">
        <w:rPr>
          <w:rFonts w:hint="eastAsia"/>
        </w:rPr>
        <w:t>这类成本在下文中将称为</w:t>
      </w:r>
      <w:r>
        <w:rPr>
          <w:rFonts w:hint="eastAsia"/>
        </w:rPr>
        <w:t>“</w:t>
      </w:r>
      <w:r w:rsidRPr="002C4984">
        <w:rPr>
          <w:rFonts w:hint="eastAsia"/>
        </w:rPr>
        <w:t>管理成本</w:t>
      </w:r>
      <w:r>
        <w:rPr>
          <w:rFonts w:hint="eastAsia"/>
        </w:rPr>
        <w:t>”</w:t>
      </w:r>
      <w:r w:rsidRPr="002C4984">
        <w:rPr>
          <w:rFonts w:hint="eastAsia"/>
        </w:rPr>
        <w:t>。</w:t>
      </w:r>
    </w:p>
    <w:p w:rsidR="00853B80" w:rsidRPr="002C4984" w:rsidRDefault="00853B80" w:rsidP="00015D4C">
      <w:pPr>
        <w:pStyle w:val="normal0"/>
      </w:pPr>
      <w:r w:rsidRPr="002C4984">
        <w:rPr>
          <w:rFonts w:hint="eastAsia"/>
        </w:rPr>
        <w:t>管理职责包括与执照颁发和频谱使用授权相关的活动以及相关费用的设定和收取。</w:t>
      </w:r>
    </w:p>
    <w:p w:rsidR="00853B80" w:rsidRPr="002C4984" w:rsidRDefault="00853B80" w:rsidP="00015D4C">
      <w:pPr>
        <w:pStyle w:val="normal0"/>
      </w:pPr>
      <w:r w:rsidRPr="002C4984">
        <w:rPr>
          <w:rFonts w:hint="eastAsia"/>
        </w:rPr>
        <w:t>管理成本由员工成本、运营成本以及与上述活动相对应的建筑和设备成本（摊销）组</w:t>
      </w:r>
      <w:r w:rsidR="0065638A">
        <w:br/>
      </w:r>
      <w:r w:rsidRPr="002C4984">
        <w:rPr>
          <w:rFonts w:hint="eastAsia"/>
        </w:rPr>
        <w:t>成。</w:t>
      </w:r>
    </w:p>
    <w:p w:rsidR="00853B80" w:rsidRPr="002C4984" w:rsidRDefault="00853B80" w:rsidP="00015D4C">
      <w:pPr>
        <w:pStyle w:val="normal0"/>
      </w:pPr>
      <w:r w:rsidRPr="002C4984">
        <w:rPr>
          <w:rFonts w:hint="eastAsia"/>
        </w:rPr>
        <w:t>通过示例，以下实体或多或少将自己工作重要的部分投入到频谱相关事务上，并应因此考虑到以下管理成本的确定：频谱管理者、电信市场管制者、负责无线电和电视的实体、负责无线电、电视和电信的部委以及外交部。</w:t>
      </w:r>
    </w:p>
    <w:p w:rsidR="00853B80" w:rsidRPr="002C4984" w:rsidRDefault="00853B80" w:rsidP="00015D4C">
      <w:pPr>
        <w:pStyle w:val="normal0"/>
      </w:pPr>
      <w:r w:rsidRPr="002C4984">
        <w:rPr>
          <w:rFonts w:hint="eastAsia"/>
        </w:rPr>
        <w:t>收费水平通常设定期为一年。当频率使用期少于一年时，则按时间长度的比例确定相应数额。如果数额少于最低收款率，则按后者收取（最低收款率是一个临界值，低于最低收款率的话收费成本将比费用本身要高）。</w:t>
      </w:r>
    </w:p>
    <w:p w:rsidR="00853B80" w:rsidRPr="002C4984" w:rsidRDefault="00853B80" w:rsidP="00015D4C">
      <w:pPr>
        <w:pStyle w:val="normal0"/>
      </w:pPr>
      <w:r w:rsidRPr="002C4984">
        <w:rPr>
          <w:rFonts w:hint="eastAsia"/>
        </w:rPr>
        <w:t>每年应收管理费的总额应尽可能接近每年管理成本的总额（见第</w:t>
      </w:r>
      <w:r w:rsidRPr="002C4984">
        <w:t>[14]</w:t>
      </w:r>
      <w:r w:rsidRPr="002C4984">
        <w:rPr>
          <w:rFonts w:hint="eastAsia"/>
        </w:rPr>
        <w:t>和第</w:t>
      </w:r>
      <w:r w:rsidRPr="002C4984">
        <w:t>[20]</w:t>
      </w:r>
      <w:r w:rsidRPr="002C4984">
        <w:rPr>
          <w:rFonts w:hint="eastAsia"/>
        </w:rPr>
        <w:t>条）。因此年管理成本应根据它们在已指配或已分配频率的用户中的划分进行评估。</w:t>
      </w:r>
    </w:p>
    <w:p w:rsidR="00853B80" w:rsidRPr="002C4984" w:rsidRDefault="00853B80" w:rsidP="00015D4C">
      <w:pPr>
        <w:pStyle w:val="normal0"/>
      </w:pPr>
      <w:r w:rsidRPr="002C4984">
        <w:rPr>
          <w:rFonts w:hint="eastAsia"/>
        </w:rPr>
        <w:t>通过使用一套适合的成本会计机制，可以相对准确地确定管理成本。</w:t>
      </w:r>
    </w:p>
    <w:p w:rsidR="00853B80" w:rsidRPr="002C4984" w:rsidRDefault="00853B80" w:rsidP="00015D4C">
      <w:pPr>
        <w:pStyle w:val="normal0"/>
      </w:pPr>
      <w:r w:rsidRPr="002C4984">
        <w:rPr>
          <w:rFonts w:hint="eastAsia"/>
        </w:rPr>
        <w:t>在每个日历年或财政年的年末，如果应收费用数额和实际记录管理成本数额之间发生了不小的差异，则建议做出调整来承担这种差异（见第</w:t>
      </w:r>
      <w:r w:rsidRPr="002C4984">
        <w:t>[14]</w:t>
      </w:r>
      <w:r w:rsidRPr="002C4984">
        <w:rPr>
          <w:rFonts w:hint="eastAsia"/>
        </w:rPr>
        <w:t>和第</w:t>
      </w:r>
      <w:r w:rsidRPr="002C4984">
        <w:t>[20]</w:t>
      </w:r>
      <w:r w:rsidRPr="002C4984">
        <w:rPr>
          <w:rFonts w:hint="eastAsia"/>
        </w:rPr>
        <w:t>条）。</w:t>
      </w:r>
    </w:p>
    <w:p w:rsidR="00853B80" w:rsidRPr="002C4984" w:rsidRDefault="00853B80" w:rsidP="00015D4C">
      <w:pPr>
        <w:pStyle w:val="normal0"/>
      </w:pPr>
      <w:r w:rsidRPr="002C4984">
        <w:rPr>
          <w:rFonts w:hint="eastAsia"/>
        </w:rPr>
        <w:t>为了在管理费收取主体之间分配管理成本，建议采取简明的分配原则，同时尽可能地代表在每个付费者类别中所做出的管理工作（见第</w:t>
      </w:r>
      <w:r w:rsidRPr="002C4984">
        <w:t>[9]</w:t>
      </w:r>
      <w:r w:rsidRPr="002C4984">
        <w:rPr>
          <w:rFonts w:hint="eastAsia"/>
        </w:rPr>
        <w:t>条）。</w:t>
      </w:r>
    </w:p>
    <w:p w:rsidR="00853B80" w:rsidRPr="002C4984" w:rsidRDefault="00853B80" w:rsidP="008414EB">
      <w:pPr>
        <w:pStyle w:val="Heading2"/>
      </w:pPr>
      <w:bookmarkStart w:id="17" w:name="_Toc288642933"/>
      <w:r w:rsidRPr="002C4984">
        <w:t>4.2</w:t>
      </w:r>
      <w:r w:rsidRPr="002C4984">
        <w:tab/>
      </w:r>
      <w:r w:rsidRPr="002C4984">
        <w:rPr>
          <w:rFonts w:hint="eastAsia"/>
        </w:rPr>
        <w:t>行政成本分摊原则</w:t>
      </w:r>
      <w:r w:rsidRPr="002C4984">
        <w:t xml:space="preserve"> – </w:t>
      </w:r>
      <w:r w:rsidRPr="002C4984">
        <w:rPr>
          <w:rFonts w:hint="eastAsia"/>
        </w:rPr>
        <w:t>例</w:t>
      </w:r>
      <w:r w:rsidRPr="002C4984">
        <w:t>1</w:t>
      </w:r>
      <w:bookmarkEnd w:id="17"/>
    </w:p>
    <w:p w:rsidR="00853B80" w:rsidRPr="002C4984" w:rsidRDefault="00853B80" w:rsidP="00015D4C">
      <w:pPr>
        <w:pStyle w:val="normal0"/>
      </w:pPr>
      <w:r w:rsidRPr="002C4984">
        <w:rPr>
          <w:rFonts w:hint="eastAsia"/>
        </w:rPr>
        <w:t>年管理成本在管理费收费主体之间按照各自的营业额比例进行分配。</w:t>
      </w:r>
    </w:p>
    <w:p w:rsidR="00853B80" w:rsidRPr="002C4984" w:rsidRDefault="00853B80" w:rsidP="00015D4C">
      <w:pPr>
        <w:pStyle w:val="normal0"/>
      </w:pPr>
      <w:r w:rsidRPr="002C4984">
        <w:rPr>
          <w:rFonts w:hint="eastAsia"/>
        </w:rPr>
        <w:t>因此，对于营业额等于</w:t>
      </w:r>
      <w:r w:rsidRPr="002C4984">
        <w:rPr>
          <w:i/>
        </w:rPr>
        <w:t>CA</w:t>
      </w:r>
      <w:r w:rsidRPr="002C4984">
        <w:rPr>
          <w:rFonts w:hint="eastAsia"/>
        </w:rPr>
        <w:t>的付费者，该年年管理费数额</w:t>
      </w:r>
      <w:r w:rsidRPr="002C4984">
        <w:rPr>
          <w:i/>
        </w:rPr>
        <w:t>Ra</w:t>
      </w:r>
      <w:r w:rsidRPr="002C4984">
        <w:rPr>
          <w:rFonts w:hint="eastAsia"/>
        </w:rPr>
        <w:t>等于以下乘积：</w:t>
      </w:r>
    </w:p>
    <w:p w:rsidR="00853B80" w:rsidRPr="002C4984" w:rsidRDefault="00853B80" w:rsidP="00853B80">
      <w:pPr>
        <w:tabs>
          <w:tab w:val="left" w:pos="-1190"/>
          <w:tab w:val="left" w:pos="0"/>
        </w:tabs>
        <w:spacing w:before="0"/>
        <w:rPr>
          <w:sz w:val="24"/>
          <w:szCs w:val="24"/>
        </w:rPr>
      </w:pPr>
    </w:p>
    <w:tbl>
      <w:tblPr>
        <w:tblW w:w="0" w:type="auto"/>
        <w:tblCellMar>
          <w:top w:w="57" w:type="dxa"/>
        </w:tblCellMar>
        <w:tblLook w:val="01E0"/>
      </w:tblPr>
      <w:tblGrid>
        <w:gridCol w:w="9857"/>
      </w:tblGrid>
      <w:tr w:rsidR="00853B80" w:rsidRPr="002C4984" w:rsidTr="00113C23">
        <w:trPr>
          <w:trHeight w:val="903"/>
        </w:trPr>
        <w:tc>
          <w:tcPr>
            <w:tcW w:w="9857" w:type="dxa"/>
          </w:tcPr>
          <w:p w:rsidR="00853B80" w:rsidRPr="002C4984" w:rsidRDefault="00BA52D0" w:rsidP="00853B80">
            <w:pPr>
              <w:tabs>
                <w:tab w:val="left" w:pos="-1190"/>
                <w:tab w:val="left" w:pos="0"/>
              </w:tabs>
              <w:spacing w:before="0"/>
              <w:rPr>
                <w:sz w:val="24"/>
                <w:szCs w:val="24"/>
              </w:rPr>
            </w:pPr>
            <w:r w:rsidRPr="00BA52D0">
              <w:rPr>
                <w:rFonts w:ascii="Verdana" w:hAnsi="Verdana" w:cs="Simplified Arabic"/>
                <w:noProof/>
                <w:sz w:val="19"/>
                <w:szCs w:val="28"/>
              </w:rPr>
              <w:pict>
                <v:shape id="_x0000_s42241" type="#_x0000_t75" style="position:absolute;left:0;text-align:left;margin-left:131.4pt;margin-top:4.75pt;width:232pt;height:33pt;z-index:251660288">
                  <v:imagedata r:id="rId17" o:title=""/>
                </v:shape>
                <o:OLEObject Type="Embed" ProgID="Equation.3" ShapeID="_x0000_s42241" DrawAspect="Content" ObjectID="_1362569700" r:id="rId18"/>
              </w:pict>
            </w:r>
          </w:p>
        </w:tc>
      </w:tr>
    </w:tbl>
    <w:p w:rsidR="00113C23" w:rsidRDefault="00113C23" w:rsidP="00015D4C">
      <w:pPr>
        <w:pStyle w:val="normal0"/>
      </w:pPr>
      <w:r w:rsidRPr="00116B45">
        <w:rPr>
          <w:rFonts w:hint="eastAsia"/>
        </w:rPr>
        <w:t>尽管这种规则具有简明的优势，但是可能对于没有经营私人无线电网络和进行重要的产业或商业活动但是与频率领域无关的付费人是非常苛刻的。</w:t>
      </w:r>
      <w:r w:rsidRPr="00116B45">
        <w:rPr>
          <w:rFonts w:hint="eastAsia"/>
          <w:cs/>
        </w:rPr>
        <w:t>‎</w:t>
      </w:r>
      <w:r w:rsidRPr="00116B45">
        <w:rPr>
          <w:rFonts w:hint="eastAsia"/>
        </w:rPr>
        <w:t>他们最终可能支付比所提供服务的成本高很多的费用</w:t>
      </w:r>
      <w:r w:rsidRPr="00116B45">
        <w:rPr>
          <w:rFonts w:hint="eastAsia"/>
          <w:cs/>
        </w:rPr>
        <w:t>‎</w:t>
      </w:r>
      <w:r w:rsidRPr="00116B45">
        <w:rPr>
          <w:rFonts w:hint="eastAsia"/>
        </w:rPr>
        <w:t>。</w:t>
      </w:r>
      <w:r w:rsidRPr="00116B45">
        <w:rPr>
          <w:rFonts w:hint="eastAsia"/>
          <w:cs/>
        </w:rPr>
        <w:t>‎</w:t>
      </w:r>
    </w:p>
    <w:p w:rsidR="00853B80" w:rsidRPr="002C4984" w:rsidRDefault="00853B80" w:rsidP="00015D4C">
      <w:pPr>
        <w:pStyle w:val="normal0"/>
      </w:pPr>
      <w:r w:rsidRPr="002C4984">
        <w:rPr>
          <w:rFonts w:hint="eastAsia"/>
        </w:rPr>
        <w:t>这种规则可以在无法实施第</w:t>
      </w:r>
      <w:r w:rsidRPr="002C4984">
        <w:t>4.3</w:t>
      </w:r>
      <w:r w:rsidRPr="002C4984">
        <w:rPr>
          <w:rFonts w:hint="eastAsia"/>
        </w:rPr>
        <w:t>条说明的规则的情况下使用。</w:t>
      </w:r>
    </w:p>
    <w:p w:rsidR="00853B80" w:rsidRPr="002C4984" w:rsidRDefault="00853B80" w:rsidP="008414EB">
      <w:pPr>
        <w:pStyle w:val="Heading2"/>
      </w:pPr>
      <w:bookmarkStart w:id="18" w:name="_Toc288642934"/>
      <w:r w:rsidRPr="002C4984">
        <w:t>4.3</w:t>
      </w:r>
      <w:r w:rsidRPr="002C4984">
        <w:tab/>
      </w:r>
      <w:r w:rsidRPr="002C4984">
        <w:rPr>
          <w:rFonts w:hint="eastAsia"/>
        </w:rPr>
        <w:t>行政成本的分配规则</w:t>
      </w:r>
      <w:r w:rsidRPr="002C4984">
        <w:t xml:space="preserve"> – </w:t>
      </w:r>
      <w:r w:rsidRPr="002C4984">
        <w:rPr>
          <w:rFonts w:hint="eastAsia"/>
        </w:rPr>
        <w:t>例</w:t>
      </w:r>
      <w:r w:rsidRPr="002C4984">
        <w:t>2</w:t>
      </w:r>
      <w:bookmarkEnd w:id="18"/>
    </w:p>
    <w:p w:rsidR="00853B80" w:rsidRPr="002C4984" w:rsidRDefault="00853B80" w:rsidP="00015D4C">
      <w:pPr>
        <w:pStyle w:val="normal0"/>
      </w:pPr>
      <w:r w:rsidRPr="002C4984">
        <w:rPr>
          <w:rFonts w:hint="eastAsia"/>
        </w:rPr>
        <w:t>管理成本按照与指配数目和已划分分配的数目所成的比例分别分配给每个管理费主体（见第</w:t>
      </w:r>
      <w:r w:rsidRPr="002C4984">
        <w:t>[1]</w:t>
      </w:r>
      <w:r w:rsidRPr="002C4984">
        <w:rPr>
          <w:rFonts w:hint="eastAsia"/>
        </w:rPr>
        <w:t>和第</w:t>
      </w:r>
      <w:r w:rsidRPr="002C4984">
        <w:t>[2]</w:t>
      </w:r>
      <w:r w:rsidRPr="002C4984">
        <w:rPr>
          <w:rFonts w:hint="eastAsia"/>
        </w:rPr>
        <w:t>条）。</w:t>
      </w:r>
    </w:p>
    <w:p w:rsidR="00853B80" w:rsidRPr="002C4984" w:rsidRDefault="00853B80" w:rsidP="00015D4C">
      <w:pPr>
        <w:pStyle w:val="normal0"/>
      </w:pPr>
      <w:r w:rsidRPr="002C4984">
        <w:rPr>
          <w:rFonts w:hint="eastAsia"/>
        </w:rPr>
        <w:lastRenderedPageBreak/>
        <w:t>在实践中，这种规则要求确定两个参考货币值，分别对应已指配频率（</w:t>
      </w:r>
      <w:r w:rsidRPr="002C4984">
        <w:t>G</w:t>
      </w:r>
      <w:r w:rsidRPr="002C4984">
        <w:rPr>
          <w:rFonts w:hint="eastAsia"/>
        </w:rPr>
        <w:t>）的管理费数额和已分配</w:t>
      </w:r>
      <w:r w:rsidRPr="002C4984">
        <w:t>1 MHz</w:t>
      </w:r>
      <w:r w:rsidRPr="002C4984">
        <w:rPr>
          <w:rFonts w:hint="eastAsia"/>
        </w:rPr>
        <w:t>频段（</w:t>
      </w:r>
      <w:r w:rsidRPr="002C4984">
        <w:t>G’</w:t>
      </w:r>
      <w:r w:rsidRPr="002C4984">
        <w:rPr>
          <w:rFonts w:hint="eastAsia"/>
        </w:rPr>
        <w:t>）的管理费数额。</w:t>
      </w:r>
    </w:p>
    <w:p w:rsidR="00853B80" w:rsidRPr="002C4984" w:rsidRDefault="00853B80" w:rsidP="00015D4C">
      <w:pPr>
        <w:pStyle w:val="normal0"/>
      </w:pPr>
      <w:r w:rsidRPr="002C4984">
        <w:t>G</w:t>
      </w:r>
      <w:r w:rsidRPr="002C4984">
        <w:rPr>
          <w:rFonts w:hint="eastAsia"/>
        </w:rPr>
        <w:t>和</w:t>
      </w:r>
      <w:r w:rsidRPr="002C4984">
        <w:t>G’</w:t>
      </w:r>
      <w:r w:rsidRPr="002C4984">
        <w:rPr>
          <w:rFonts w:hint="eastAsia"/>
        </w:rPr>
        <w:t>的确定非常重要，应在一个给定年份中尽可能地接近以下方程式（见第</w:t>
      </w:r>
      <w:r w:rsidRPr="002C4984">
        <w:t>[14]</w:t>
      </w:r>
      <w:r w:rsidRPr="002C4984">
        <w:rPr>
          <w:rFonts w:hint="eastAsia"/>
        </w:rPr>
        <w:t>和第</w:t>
      </w:r>
      <w:r w:rsidRPr="002C4984">
        <w:t>[20]</w:t>
      </w:r>
      <w:r w:rsidR="008414EB">
        <w:br/>
      </w:r>
      <w:r w:rsidRPr="002C4984">
        <w:rPr>
          <w:rFonts w:hint="eastAsia"/>
        </w:rPr>
        <w:t>条）：</w:t>
      </w:r>
    </w:p>
    <w:p w:rsidR="00853B80" w:rsidRDefault="00853B80" w:rsidP="00853B80">
      <w:pPr>
        <w:ind w:firstLineChars="200" w:firstLine="480"/>
        <w:rPr>
          <w:sz w:val="24"/>
          <w:szCs w:val="24"/>
        </w:rPr>
      </w:pPr>
    </w:p>
    <w:tbl>
      <w:tblPr>
        <w:tblW w:w="0" w:type="auto"/>
        <w:jc w:val="center"/>
        <w:tblLook w:val="04A0"/>
      </w:tblPr>
      <w:tblGrid>
        <w:gridCol w:w="4158"/>
        <w:gridCol w:w="4159"/>
      </w:tblGrid>
      <w:tr w:rsidR="001F3051" w:rsidRPr="003F1DF3" w:rsidTr="001F3051">
        <w:trPr>
          <w:trHeight w:val="370"/>
          <w:jc w:val="center"/>
        </w:trPr>
        <w:tc>
          <w:tcPr>
            <w:tcW w:w="4158" w:type="dxa"/>
            <w:vMerge w:val="restart"/>
            <w:vAlign w:val="center"/>
          </w:tcPr>
          <w:p w:rsidR="001F3051" w:rsidRPr="003F1DF3" w:rsidRDefault="001F3051" w:rsidP="001F3051">
            <w:pPr>
              <w:jc w:val="right"/>
              <w:rPr>
                <w:szCs w:val="22"/>
              </w:rPr>
            </w:pPr>
            <w:r w:rsidRPr="003F1DF3">
              <w:rPr>
                <w:rFonts w:hint="eastAsia"/>
                <w:szCs w:val="22"/>
              </w:rPr>
              <w:t>管理成本</w:t>
            </w:r>
            <w:r w:rsidRPr="003F1DF3">
              <w:rPr>
                <w:szCs w:val="22"/>
              </w:rPr>
              <w:t xml:space="preserve"> =</w:t>
            </w:r>
          </w:p>
        </w:tc>
        <w:tc>
          <w:tcPr>
            <w:tcW w:w="4159" w:type="dxa"/>
          </w:tcPr>
          <w:p w:rsidR="001F3051" w:rsidRPr="003F1DF3" w:rsidRDefault="001F3051" w:rsidP="00D22643">
            <w:pPr>
              <w:ind w:left="-113"/>
              <w:rPr>
                <w:szCs w:val="22"/>
              </w:rPr>
            </w:pPr>
            <w:r w:rsidRPr="003F1DF3">
              <w:rPr>
                <w:rFonts w:hint="eastAsia"/>
                <w:szCs w:val="22"/>
              </w:rPr>
              <w:t>领土内已指配频率的总数</w:t>
            </w:r>
            <w:r w:rsidRPr="003F1DF3">
              <w:rPr>
                <w:szCs w:val="22"/>
              </w:rPr>
              <w:t xml:space="preserve"> * G</w:t>
            </w:r>
          </w:p>
        </w:tc>
      </w:tr>
      <w:tr w:rsidR="001F3051" w:rsidRPr="003F1DF3" w:rsidTr="001F3051">
        <w:trPr>
          <w:trHeight w:val="394"/>
          <w:jc w:val="center"/>
        </w:trPr>
        <w:tc>
          <w:tcPr>
            <w:tcW w:w="4158" w:type="dxa"/>
            <w:vMerge/>
          </w:tcPr>
          <w:p w:rsidR="001F3051" w:rsidRPr="003F1DF3" w:rsidRDefault="001F3051" w:rsidP="00853B80">
            <w:pPr>
              <w:rPr>
                <w:szCs w:val="22"/>
              </w:rPr>
            </w:pPr>
          </w:p>
        </w:tc>
        <w:tc>
          <w:tcPr>
            <w:tcW w:w="4159" w:type="dxa"/>
          </w:tcPr>
          <w:p w:rsidR="001F3051" w:rsidRPr="003F1DF3" w:rsidRDefault="001F3051" w:rsidP="00D22643">
            <w:pPr>
              <w:ind w:left="-113"/>
              <w:rPr>
                <w:szCs w:val="22"/>
              </w:rPr>
            </w:pPr>
            <w:r w:rsidRPr="003F1DF3">
              <w:rPr>
                <w:szCs w:val="22"/>
              </w:rPr>
              <w:t>+</w:t>
            </w:r>
            <w:r w:rsidRPr="003F1DF3">
              <w:rPr>
                <w:rFonts w:hint="eastAsia"/>
                <w:szCs w:val="22"/>
              </w:rPr>
              <w:t>领土内已分配</w:t>
            </w:r>
            <w:r w:rsidRPr="003F1DF3">
              <w:rPr>
                <w:szCs w:val="22"/>
              </w:rPr>
              <w:t>MHz</w:t>
            </w:r>
            <w:r w:rsidRPr="003F1DF3">
              <w:rPr>
                <w:rFonts w:hint="eastAsia"/>
                <w:szCs w:val="22"/>
              </w:rPr>
              <w:t>的总数</w:t>
            </w:r>
            <w:r w:rsidRPr="003F1DF3">
              <w:rPr>
                <w:szCs w:val="22"/>
              </w:rPr>
              <w:t xml:space="preserve"> * G’</w:t>
            </w:r>
          </w:p>
        </w:tc>
      </w:tr>
    </w:tbl>
    <w:p w:rsidR="00853B80" w:rsidRPr="003F1DF3" w:rsidRDefault="00853B80" w:rsidP="00853B80">
      <w:pPr>
        <w:tabs>
          <w:tab w:val="left" w:pos="-1190"/>
          <w:tab w:val="left" w:pos="0"/>
        </w:tabs>
        <w:rPr>
          <w:szCs w:val="22"/>
        </w:rPr>
      </w:pPr>
    </w:p>
    <w:p w:rsidR="00853B80" w:rsidRPr="002C4984" w:rsidRDefault="00853B80" w:rsidP="00015D4C">
      <w:pPr>
        <w:pStyle w:val="normal0"/>
      </w:pPr>
      <w:r w:rsidRPr="002C4984">
        <w:rPr>
          <w:rFonts w:hint="eastAsia"/>
        </w:rPr>
        <w:t>通过示例，一个拥有</w:t>
      </w:r>
      <w:r w:rsidRPr="002C4984">
        <w:t>50</w:t>
      </w:r>
      <w:r w:rsidRPr="002C4984">
        <w:rPr>
          <w:rFonts w:hint="eastAsia"/>
        </w:rPr>
        <w:t>个指配频率并分配到</w:t>
      </w:r>
      <w:r w:rsidRPr="002C4984">
        <w:t>20 MHz</w:t>
      </w:r>
      <w:r w:rsidRPr="002C4984">
        <w:rPr>
          <w:rFonts w:hint="eastAsia"/>
        </w:rPr>
        <w:t>的付费者每年将支付的管理费</w:t>
      </w:r>
      <w:r w:rsidRPr="002C4984">
        <w:t>Ra</w:t>
      </w:r>
      <w:r w:rsidRPr="002C4984">
        <w:rPr>
          <w:rFonts w:hint="eastAsia"/>
        </w:rPr>
        <w:t>总数为：</w:t>
      </w:r>
    </w:p>
    <w:p w:rsidR="0099588E" w:rsidRPr="0099588E" w:rsidRDefault="0099588E" w:rsidP="0099588E">
      <w:pPr>
        <w:tabs>
          <w:tab w:val="left" w:pos="-1190"/>
          <w:tab w:val="left" w:pos="0"/>
        </w:tabs>
        <w:jc w:val="center"/>
        <w:rPr>
          <w:rFonts w:eastAsia="Times New Roman"/>
          <w:szCs w:val="22"/>
        </w:rPr>
      </w:pPr>
      <m:oMathPara>
        <m:oMath>
          <m:r>
            <w:rPr>
              <w:rFonts w:ascii="Cambria Math" w:eastAsia="Times New Roman" w:hAnsi="Cambria Math"/>
              <w:szCs w:val="22"/>
            </w:rPr>
            <m:t>Ra=50*</m:t>
          </m:r>
          <m:r>
            <m:rPr>
              <m:sty m:val="p"/>
            </m:rPr>
            <w:rPr>
              <w:rFonts w:ascii="Cambria Math" w:eastAsia="Times New Roman" w:hAnsi="Cambria Math"/>
              <w:szCs w:val="22"/>
            </w:rPr>
            <m:t>G</m:t>
          </m:r>
          <m:r>
            <w:rPr>
              <w:rFonts w:ascii="Cambria Math" w:eastAsia="Times New Roman" w:hAnsi="Cambria Math"/>
              <w:szCs w:val="22"/>
            </w:rPr>
            <m:t>+20*</m:t>
          </m:r>
          <m:sSup>
            <m:sSupPr>
              <m:ctrlPr>
                <w:rPr>
                  <w:rFonts w:ascii="Cambria Math" w:eastAsia="Times New Roman" w:hAnsi="Cambria Math"/>
                  <w:iCs/>
                  <w:szCs w:val="22"/>
                </w:rPr>
              </m:ctrlPr>
            </m:sSupPr>
            <m:e>
              <m:r>
                <m:rPr>
                  <m:sty m:val="p"/>
                </m:rPr>
                <w:rPr>
                  <w:rFonts w:ascii="Cambria Math" w:eastAsia="Times New Roman" w:hAnsi="Cambria Math"/>
                  <w:szCs w:val="22"/>
                </w:rPr>
                <m:t>G</m:t>
              </m:r>
            </m:e>
            <m:sup>
              <m:r>
                <m:rPr>
                  <m:sty m:val="p"/>
                </m:rPr>
                <w:rPr>
                  <w:rFonts w:ascii="Cambria Math" w:eastAsia="Times New Roman" w:hAnsi="Cambria Math"/>
                  <w:szCs w:val="22"/>
                </w:rPr>
                <m:t>'</m:t>
              </m:r>
            </m:sup>
          </m:sSup>
        </m:oMath>
      </m:oMathPara>
    </w:p>
    <w:p w:rsidR="00853B80" w:rsidRPr="002C4984" w:rsidRDefault="00853B80" w:rsidP="00015D4C">
      <w:pPr>
        <w:pStyle w:val="normal0"/>
      </w:pPr>
      <w:r w:rsidRPr="002C4984">
        <w:rPr>
          <w:rFonts w:hint="eastAsia"/>
        </w:rPr>
        <w:t>在许多情况下，与某项分配相关的管理工作比某项指配相关的管理工作更要繁重。因此，建议将这一点考虑其中，在划分管理成本即确定</w:t>
      </w:r>
      <w:r w:rsidRPr="002C4984">
        <w:t>G</w:t>
      </w:r>
      <w:r w:rsidRPr="002C4984">
        <w:rPr>
          <w:rFonts w:hint="eastAsia"/>
        </w:rPr>
        <w:t>和</w:t>
      </w:r>
      <w:r w:rsidRPr="002C4984">
        <w:t>G’</w:t>
      </w:r>
      <w:r w:rsidRPr="002C4984">
        <w:rPr>
          <w:rFonts w:hint="eastAsia"/>
        </w:rPr>
        <w:t>的值时更重视分配。</w:t>
      </w:r>
    </w:p>
    <w:p w:rsidR="00853B80" w:rsidRPr="002C4984" w:rsidRDefault="00853B80" w:rsidP="00015D4C">
      <w:pPr>
        <w:pStyle w:val="normal0"/>
      </w:pPr>
      <w:r w:rsidRPr="002C4984">
        <w:t>G</w:t>
      </w:r>
      <w:r w:rsidRPr="002C4984">
        <w:rPr>
          <w:rFonts w:hint="eastAsia"/>
        </w:rPr>
        <w:t>和</w:t>
      </w:r>
      <w:r w:rsidRPr="002C4984">
        <w:t>G’</w:t>
      </w:r>
      <w:r w:rsidRPr="002C4984">
        <w:rPr>
          <w:rFonts w:hint="eastAsia"/>
        </w:rPr>
        <w:t>的值可以通过使用合适的成本会计机制轻松确定。</w:t>
      </w:r>
    </w:p>
    <w:p w:rsidR="00853B80" w:rsidRPr="002C4984" w:rsidRDefault="00853B80" w:rsidP="00015D4C">
      <w:pPr>
        <w:pStyle w:val="normal0"/>
      </w:pPr>
      <w:r w:rsidRPr="002C4984">
        <w:rPr>
          <w:rFonts w:hint="eastAsia"/>
        </w:rPr>
        <w:t>划分管理成本的规则具有很好反映所提供服务的优势，这是由于必要的管理工作随着指配频率的数目以及划分给某个付费者的已分配的</w:t>
      </w:r>
      <w:r w:rsidRPr="002C4984">
        <w:t>MHz</w:t>
      </w:r>
      <w:r w:rsidRPr="002C4984">
        <w:rPr>
          <w:rFonts w:hint="eastAsia"/>
        </w:rPr>
        <w:t>数目的增加而增加。</w:t>
      </w:r>
    </w:p>
    <w:p w:rsidR="00853B80" w:rsidRPr="002C4984" w:rsidRDefault="00853B80" w:rsidP="00853B80">
      <w:pPr>
        <w:pStyle w:val="Heading1"/>
        <w:spacing w:before="240" w:after="120"/>
        <w:rPr>
          <w:szCs w:val="24"/>
        </w:rPr>
      </w:pPr>
      <w:bookmarkStart w:id="19" w:name="_Toc288642935"/>
      <w:r w:rsidRPr="002C4984">
        <w:rPr>
          <w:szCs w:val="24"/>
        </w:rPr>
        <w:t>5</w:t>
      </w:r>
      <w:r w:rsidRPr="002C4984">
        <w:rPr>
          <w:szCs w:val="24"/>
        </w:rPr>
        <w:tab/>
      </w:r>
      <w:r w:rsidRPr="002C4984">
        <w:rPr>
          <w:rFonts w:hint="eastAsia"/>
          <w:szCs w:val="24"/>
        </w:rPr>
        <w:t>频谱费设定指导原则</w:t>
      </w:r>
      <w:bookmarkEnd w:id="19"/>
    </w:p>
    <w:p w:rsidR="00853B80" w:rsidRPr="002C4984" w:rsidRDefault="00853B80" w:rsidP="001F3051">
      <w:pPr>
        <w:pStyle w:val="Heading2"/>
      </w:pPr>
      <w:bookmarkStart w:id="20" w:name="_Toc288642936"/>
      <w:r w:rsidRPr="002C4984">
        <w:t>5.1</w:t>
      </w:r>
      <w:r w:rsidRPr="002C4984">
        <w:tab/>
      </w:r>
      <w:r w:rsidRPr="002C4984">
        <w:rPr>
          <w:rFonts w:hint="eastAsia"/>
        </w:rPr>
        <w:t>意见和一般方法</w:t>
      </w:r>
      <w:bookmarkEnd w:id="20"/>
    </w:p>
    <w:p w:rsidR="00853B80" w:rsidRPr="002C4984" w:rsidRDefault="00853B80" w:rsidP="00015D4C">
      <w:pPr>
        <w:pStyle w:val="normal0"/>
      </w:pPr>
      <w:r w:rsidRPr="002C4984">
        <w:rPr>
          <w:rFonts w:hint="eastAsia"/>
        </w:rPr>
        <w:t>频谱费制度必须遵守第</w:t>
      </w:r>
      <w:r w:rsidRPr="002C4984">
        <w:t>[12]</w:t>
      </w:r>
      <w:r w:rsidRPr="002C4984">
        <w:rPr>
          <w:rFonts w:hint="eastAsia"/>
        </w:rPr>
        <w:t>、</w:t>
      </w:r>
      <w:r w:rsidRPr="002C4984">
        <w:t>[15]</w:t>
      </w:r>
      <w:r w:rsidRPr="002C4984">
        <w:rPr>
          <w:rFonts w:hint="eastAsia"/>
        </w:rPr>
        <w:t>和</w:t>
      </w:r>
      <w:r w:rsidRPr="002C4984">
        <w:t>[16]</w:t>
      </w:r>
      <w:r w:rsidRPr="002C4984">
        <w:rPr>
          <w:rFonts w:hint="eastAsia"/>
        </w:rPr>
        <w:t>条规定的经济原则。</w:t>
      </w:r>
    </w:p>
    <w:p w:rsidR="00853B80" w:rsidRPr="002C4984" w:rsidRDefault="00853B80" w:rsidP="00015D4C">
      <w:pPr>
        <w:pStyle w:val="normal0"/>
      </w:pPr>
      <w:r w:rsidRPr="002C4984">
        <w:rPr>
          <w:rFonts w:hint="eastAsia"/>
        </w:rPr>
        <w:t>此外，在确定用作费用计算依据的参数时还必须考虑到第</w:t>
      </w:r>
      <w:r w:rsidRPr="002C4984">
        <w:t>[18]</w:t>
      </w:r>
      <w:r w:rsidRPr="002C4984">
        <w:rPr>
          <w:rFonts w:hint="eastAsia"/>
        </w:rPr>
        <w:t>和第</w:t>
      </w:r>
      <w:r w:rsidRPr="002C4984">
        <w:t>[19]</w:t>
      </w:r>
      <w:r w:rsidRPr="002C4984">
        <w:rPr>
          <w:rFonts w:hint="eastAsia"/>
        </w:rPr>
        <w:t>条的现实原则。</w:t>
      </w:r>
    </w:p>
    <w:p w:rsidR="00853B80" w:rsidRPr="002C4984" w:rsidRDefault="00853B80" w:rsidP="001F3051">
      <w:pPr>
        <w:pStyle w:val="Heading2"/>
      </w:pPr>
      <w:bookmarkStart w:id="21" w:name="_Toc288642937"/>
      <w:r w:rsidRPr="002C4984">
        <w:t>5.1.1</w:t>
      </w:r>
      <w:r w:rsidRPr="002C4984">
        <w:tab/>
      </w:r>
      <w:r w:rsidRPr="002C4984">
        <w:rPr>
          <w:rFonts w:hint="eastAsia"/>
        </w:rPr>
        <w:t>管理机构的预算目标</w:t>
      </w:r>
      <w:bookmarkEnd w:id="21"/>
    </w:p>
    <w:p w:rsidR="00853B80" w:rsidRPr="002C4984" w:rsidRDefault="00853B80" w:rsidP="00015D4C">
      <w:pPr>
        <w:pStyle w:val="normal0"/>
      </w:pPr>
      <w:r w:rsidRPr="002C4984">
        <w:rPr>
          <w:rFonts w:hint="eastAsia"/>
        </w:rPr>
        <w:t>一般来说，预算目标以必须为国家产生的费用的</w:t>
      </w:r>
      <w:r w:rsidRPr="0099588E">
        <w:rPr>
          <w:rFonts w:hint="eastAsia"/>
          <w:u w:val="single"/>
        </w:rPr>
        <w:t>总</w:t>
      </w:r>
      <w:r w:rsidRPr="002C4984">
        <w:rPr>
          <w:rFonts w:hint="eastAsia"/>
        </w:rPr>
        <w:t>收入数额表示。</w:t>
      </w:r>
    </w:p>
    <w:p w:rsidR="00853B80" w:rsidRPr="002C4984" w:rsidRDefault="00853B80" w:rsidP="00015D4C">
      <w:r w:rsidRPr="002C4984">
        <w:t>[21]</w:t>
      </w:r>
      <w:r w:rsidRPr="002C4984">
        <w:tab/>
      </w:r>
      <w:r w:rsidRPr="002C4984">
        <w:rPr>
          <w:rFonts w:hint="eastAsia"/>
        </w:rPr>
        <w:t>尽管要符合管理机构设定的总收入数额，但是仍建议收费水平应根据正被讨论的应用进行调整，从而保证尽可能全面地考虑到其它三个频谱费目的（见第</w:t>
      </w:r>
      <w:r w:rsidRPr="002C4984">
        <w:t>[15.2]</w:t>
      </w:r>
      <w:r w:rsidRPr="002C4984">
        <w:rPr>
          <w:rFonts w:hint="eastAsia"/>
        </w:rPr>
        <w:t>、</w:t>
      </w:r>
      <w:r w:rsidRPr="002C4984">
        <w:t>[15.3]</w:t>
      </w:r>
      <w:r w:rsidRPr="002C4984">
        <w:rPr>
          <w:rFonts w:hint="eastAsia"/>
        </w:rPr>
        <w:t>和</w:t>
      </w:r>
      <w:r w:rsidRPr="002C4984">
        <w:t>[15.4]</w:t>
      </w:r>
      <w:r w:rsidRPr="002C4984">
        <w:rPr>
          <w:rFonts w:hint="eastAsia"/>
        </w:rPr>
        <w:t>条）。</w:t>
      </w:r>
    </w:p>
    <w:p w:rsidR="00853B80" w:rsidRPr="002C4984" w:rsidRDefault="00853B80" w:rsidP="001F3051">
      <w:pPr>
        <w:pStyle w:val="Heading3"/>
      </w:pPr>
      <w:bookmarkStart w:id="22" w:name="_Toc288642938"/>
      <w:smartTag w:uri="urn:schemas-microsoft-com:office:smarttags" w:element="chsdate">
        <w:smartTagPr>
          <w:attr w:name="Year" w:val="1899"/>
          <w:attr w:name="Month" w:val="12"/>
          <w:attr w:name="Day" w:val="30"/>
          <w:attr w:name="IsLunarDate" w:val="False"/>
          <w:attr w:name="IsROCDate" w:val="False"/>
        </w:smartTagPr>
        <w:r w:rsidRPr="002C4984">
          <w:t>5.1.2</w:t>
        </w:r>
        <w:r w:rsidRPr="002C4984">
          <w:tab/>
        </w:r>
      </w:smartTag>
      <w:r w:rsidRPr="002C4984">
        <w:rPr>
          <w:rFonts w:hint="eastAsia"/>
        </w:rPr>
        <w:t>管理机构的经济目标</w:t>
      </w:r>
      <w:bookmarkEnd w:id="22"/>
    </w:p>
    <w:p w:rsidR="00853B80" w:rsidRPr="002C4984" w:rsidRDefault="00853B80" w:rsidP="00015D4C">
      <w:r w:rsidRPr="002C4984">
        <w:t>[22]</w:t>
      </w:r>
      <w:r w:rsidRPr="002C4984">
        <w:tab/>
      </w:r>
      <w:r w:rsidRPr="002C4984">
        <w:rPr>
          <w:rFonts w:hint="eastAsia"/>
        </w:rPr>
        <w:t>在大多数情况下，频率使用有助于提高经济实体的效率和生产力，从而有助于它们参与到国家发展中。其中一个例子是移动通信公共工程公司在它们的建设地点使用频率以获得更高的生产</w:t>
      </w:r>
      <w:r w:rsidR="00015D4C">
        <w:rPr>
          <w:lang w:eastAsia="zh-CN"/>
        </w:rPr>
        <w:br/>
      </w:r>
      <w:r w:rsidRPr="002C4984">
        <w:rPr>
          <w:rFonts w:hint="eastAsia"/>
        </w:rPr>
        <w:t>力。在涉及这类频率使用时，应用过高的费用可能遏制频率使用，从而损害国家发展目标。</w:t>
      </w:r>
    </w:p>
    <w:p w:rsidR="00853B80" w:rsidRPr="002C4984" w:rsidRDefault="00853B80" w:rsidP="0099588E">
      <w:r w:rsidRPr="002C4984">
        <w:t>[23]</w:t>
      </w:r>
      <w:r w:rsidRPr="002C4984">
        <w:tab/>
      </w:r>
      <w:r w:rsidRPr="002C4984">
        <w:rPr>
          <w:rFonts w:hint="eastAsia"/>
        </w:rPr>
        <w:t>在许多案例中，引入一种新的无线电通信业务需要巨大的投资。如果是这种情况，在业务引入和启动阶段，应用</w:t>
      </w:r>
      <w:r w:rsidR="0099588E">
        <w:rPr>
          <w:rFonts w:hint="eastAsia"/>
          <w:lang w:eastAsia="zh-CN"/>
        </w:rPr>
        <w:t>“</w:t>
      </w:r>
      <w:r w:rsidRPr="002C4984">
        <w:rPr>
          <w:rFonts w:hint="eastAsia"/>
        </w:rPr>
        <w:t>进入门票</w:t>
      </w:r>
      <w:r w:rsidR="0099588E">
        <w:rPr>
          <w:rFonts w:hint="eastAsia"/>
          <w:lang w:eastAsia="zh-CN"/>
        </w:rPr>
        <w:t>”</w:t>
      </w:r>
      <w:r w:rsidRPr="002C4984">
        <w:rPr>
          <w:rFonts w:hint="eastAsia"/>
        </w:rPr>
        <w:t>或过高的年费可能导致相关运营商投资能力的降低，并因此延误业务的可用性。</w:t>
      </w:r>
    </w:p>
    <w:p w:rsidR="00853B80" w:rsidRPr="002C4984" w:rsidRDefault="00853B80" w:rsidP="00015D4C">
      <w:pPr>
        <w:pStyle w:val="normal0"/>
      </w:pPr>
      <w:r w:rsidRPr="002C4984">
        <w:rPr>
          <w:rFonts w:hint="eastAsia"/>
        </w:rPr>
        <w:t>管理机构也可制定城镇和乡村规划目标，并且收费水平可以酌情调整以适应这些目标（见第</w:t>
      </w:r>
      <w:r w:rsidRPr="002C4984">
        <w:t>[5]</w:t>
      </w:r>
      <w:r w:rsidRPr="002C4984">
        <w:rPr>
          <w:rFonts w:hint="eastAsia"/>
        </w:rPr>
        <w:t>条）。</w:t>
      </w:r>
    </w:p>
    <w:p w:rsidR="00871CE0" w:rsidRDefault="00871CE0">
      <w:pPr>
        <w:tabs>
          <w:tab w:val="clear" w:pos="794"/>
          <w:tab w:val="clear" w:pos="1191"/>
          <w:tab w:val="clear" w:pos="1588"/>
          <w:tab w:val="clear" w:pos="1985"/>
        </w:tabs>
        <w:overflowPunct/>
        <w:autoSpaceDE/>
        <w:autoSpaceDN/>
        <w:adjustRightInd/>
        <w:spacing w:before="0"/>
        <w:jc w:val="left"/>
        <w:textAlignment w:val="auto"/>
        <w:rPr>
          <w:b/>
        </w:rPr>
      </w:pPr>
      <w:bookmarkStart w:id="23" w:name="_Toc288642939"/>
      <w:r>
        <w:br w:type="page"/>
      </w:r>
    </w:p>
    <w:p w:rsidR="00853B80" w:rsidRPr="002C4984" w:rsidRDefault="00853B80" w:rsidP="001F3051">
      <w:pPr>
        <w:pStyle w:val="Heading3"/>
      </w:pPr>
      <w:r w:rsidRPr="002C4984">
        <w:lastRenderedPageBreak/>
        <w:t>5.1.3</w:t>
      </w:r>
      <w:r w:rsidRPr="002C4984">
        <w:tab/>
      </w:r>
      <w:r w:rsidRPr="002C4984">
        <w:rPr>
          <w:rFonts w:hint="eastAsia"/>
        </w:rPr>
        <w:t>频谱占用的受益识别</w:t>
      </w:r>
      <w:bookmarkEnd w:id="23"/>
    </w:p>
    <w:p w:rsidR="00853B80" w:rsidRPr="002C4984" w:rsidRDefault="00853B80" w:rsidP="00015D4C">
      <w:pPr>
        <w:pStyle w:val="normal0"/>
      </w:pPr>
      <w:r w:rsidRPr="002C4984">
        <w:rPr>
          <w:rFonts w:hint="eastAsia"/>
        </w:rPr>
        <w:t>从频谱占用中获得的收益将取决于占用者对分配给他们的频率的使用。</w:t>
      </w:r>
    </w:p>
    <w:p w:rsidR="00853B80" w:rsidRPr="002C4984" w:rsidRDefault="00853B80" w:rsidP="00015D4C">
      <w:r w:rsidRPr="002C4984">
        <w:t>[24]</w:t>
      </w:r>
      <w:r w:rsidRPr="002C4984">
        <w:tab/>
      </w:r>
      <w:r w:rsidRPr="002C4984">
        <w:rPr>
          <w:rFonts w:hint="eastAsia"/>
        </w:rPr>
        <w:t>当一个经济实体使用频率满足自己需求时，其从这类使用中获得的收益仅限于生产量的增</w:t>
      </w:r>
      <w:r w:rsidR="00015D4C">
        <w:rPr>
          <w:lang w:eastAsia="zh-CN"/>
        </w:rPr>
        <w:br/>
      </w:r>
      <w:r w:rsidRPr="002C4984">
        <w:rPr>
          <w:rFonts w:hint="eastAsia"/>
        </w:rPr>
        <w:t>加，这反映在更高的效率或更低的运营成本上。其中一个例子是出租车公司，它使用专用移动通信网络提高其商业效率。对于一个电信运营商来说，如果在基础设施网络中使用无线电中继链路会产生比电缆系统更低的运营成本，它会优先使用前者。</w:t>
      </w:r>
    </w:p>
    <w:p w:rsidR="00853B80" w:rsidRPr="002C4984" w:rsidRDefault="00853B80" w:rsidP="00015D4C">
      <w:r w:rsidRPr="002C4984">
        <w:t>[25]</w:t>
      </w:r>
      <w:r w:rsidRPr="002C4984">
        <w:tab/>
      </w:r>
      <w:r w:rsidRPr="002C4984">
        <w:rPr>
          <w:rFonts w:hint="eastAsia"/>
        </w:rPr>
        <w:t>当一个经济实体使用一个频率波段为消费市场提供服务或将服务商业化时，它将从这类使用中获得位置租费，而其它无法使用频谱的实体则不能获得。这类特别的例子包括电视节目编辑和</w:t>
      </w:r>
      <w:r w:rsidRPr="002C4984">
        <w:t>GSM</w:t>
      </w:r>
      <w:r w:rsidRPr="002C4984">
        <w:rPr>
          <w:rFonts w:hint="eastAsia"/>
        </w:rPr>
        <w:t>移动业务运营商。</w:t>
      </w:r>
    </w:p>
    <w:p w:rsidR="00853B80" w:rsidRPr="002C4984" w:rsidRDefault="00853B80" w:rsidP="00015D4C">
      <w:pPr>
        <w:pStyle w:val="normal0"/>
      </w:pPr>
      <w:r w:rsidRPr="002C4984">
        <w:rPr>
          <w:rFonts w:hint="eastAsia"/>
        </w:rPr>
        <w:t>位置租费的值通常远远高于上述的生产力利得，特别是在频谱资源稀缺的情况下。</w:t>
      </w:r>
    </w:p>
    <w:p w:rsidR="00853B80" w:rsidRPr="002C4984" w:rsidRDefault="00853B80" w:rsidP="00015D4C">
      <w:pPr>
        <w:pStyle w:val="normal0"/>
      </w:pPr>
      <w:r w:rsidRPr="002C4984">
        <w:rPr>
          <w:rFonts w:hint="eastAsia"/>
        </w:rPr>
        <w:t>因此，频谱费设定的方式应反映出位置租费和生产力利得之间存在的差异（见第</w:t>
      </w:r>
      <w:r w:rsidRPr="002C4984">
        <w:t>[15.3]</w:t>
      </w:r>
      <w:r w:rsidRPr="002C4984">
        <w:rPr>
          <w:rFonts w:hint="eastAsia"/>
        </w:rPr>
        <w:t>条）。</w:t>
      </w:r>
    </w:p>
    <w:p w:rsidR="00853B80" w:rsidRPr="002C4984" w:rsidRDefault="00853B80" w:rsidP="001F3051">
      <w:pPr>
        <w:pStyle w:val="Heading3"/>
      </w:pPr>
      <w:bookmarkStart w:id="24" w:name="_Toc288642940"/>
      <w:smartTag w:uri="urn:schemas-microsoft-com:office:smarttags" w:element="chsdate">
        <w:smartTagPr>
          <w:attr w:name="Year" w:val="1899"/>
          <w:attr w:name="Month" w:val="12"/>
          <w:attr w:name="Day" w:val="30"/>
          <w:attr w:name="IsLunarDate" w:val="False"/>
          <w:attr w:name="IsROCDate" w:val="False"/>
        </w:smartTagPr>
        <w:r w:rsidRPr="002C4984">
          <w:t>5.1.4</w:t>
        </w:r>
        <w:r w:rsidRPr="002C4984">
          <w:tab/>
        </w:r>
      </w:smartTag>
      <w:r w:rsidRPr="002C4984">
        <w:rPr>
          <w:rFonts w:hint="eastAsia"/>
        </w:rPr>
        <w:t>频谱管理工具</w:t>
      </w:r>
      <w:bookmarkEnd w:id="24"/>
    </w:p>
    <w:p w:rsidR="00853B80" w:rsidRPr="002C4984" w:rsidRDefault="00853B80" w:rsidP="00015D4C">
      <w:pPr>
        <w:pStyle w:val="normal0"/>
      </w:pPr>
      <w:r w:rsidRPr="002C4984">
        <w:rPr>
          <w:rFonts w:hint="eastAsia"/>
        </w:rPr>
        <w:t>当将用作频谱费计算依据的参数放在一起时，可能需要面对非常多的因素。以下提出的因素有利于有效的频谱管理和有效的频率使用。</w:t>
      </w:r>
    </w:p>
    <w:p w:rsidR="00853B80" w:rsidRPr="002C4984" w:rsidRDefault="00853B80" w:rsidP="001F3051">
      <w:pPr>
        <w:pStyle w:val="Headingi"/>
      </w:pPr>
      <w:r w:rsidRPr="002C4984">
        <w:rPr>
          <w:rFonts w:hint="eastAsia"/>
        </w:rPr>
        <w:t>已划分的带宽</w:t>
      </w:r>
    </w:p>
    <w:p w:rsidR="00853B80" w:rsidRPr="002C4984" w:rsidRDefault="00853B80" w:rsidP="00015D4C">
      <w:pPr>
        <w:pStyle w:val="normal0"/>
      </w:pPr>
      <w:r w:rsidRPr="002C4984">
        <w:rPr>
          <w:rFonts w:hint="eastAsia"/>
        </w:rPr>
        <w:t>频谱费的数额与已划分的带宽成比例，将鼓励用户严格制定频谱资源要求。这种因素适用于所有使用类别。</w:t>
      </w:r>
    </w:p>
    <w:p w:rsidR="00853B80" w:rsidRPr="002C4984" w:rsidRDefault="00853B80" w:rsidP="001F3051">
      <w:pPr>
        <w:pStyle w:val="Headingi"/>
      </w:pPr>
      <w:r w:rsidRPr="002C4984">
        <w:rPr>
          <w:rFonts w:hint="eastAsia"/>
        </w:rPr>
        <w:t>划分表面的面积</w:t>
      </w:r>
    </w:p>
    <w:p w:rsidR="00853B80" w:rsidRPr="002C4984" w:rsidRDefault="00853B80" w:rsidP="00015D4C">
      <w:pPr>
        <w:pStyle w:val="normal0"/>
      </w:pPr>
      <w:r w:rsidRPr="002C4984">
        <w:rPr>
          <w:rFonts w:hint="eastAsia"/>
        </w:rPr>
        <w:t>频谱费的数额随着划分表面的面积而增加，将鼓励用户在适用情况下要求区域的这一部分严格符合他们的要求，从而使得频谱管理者能够在区域的剩余部分重新划分相同的频率。这将导致更为密集的频率使用。这种因素并不适用于点对点的固定业务指配（此种情况下链路数或者电台数是一个很好的替代</w:t>
      </w:r>
      <w:r w:rsidR="0099588E">
        <w:rPr>
          <w:rFonts w:hint="eastAsia"/>
        </w:rPr>
        <w:t>）</w:t>
      </w:r>
      <w:r w:rsidRPr="002C4984">
        <w:rPr>
          <w:rFonts w:hint="eastAsia"/>
        </w:rPr>
        <w:t>或卫星业务。</w:t>
      </w:r>
    </w:p>
    <w:p w:rsidR="00853B80" w:rsidRPr="002C4984" w:rsidRDefault="00853B80" w:rsidP="001F3051">
      <w:pPr>
        <w:pStyle w:val="Headingi"/>
      </w:pPr>
      <w:r w:rsidRPr="002C4984">
        <w:rPr>
          <w:rFonts w:hint="eastAsia"/>
        </w:rPr>
        <w:t>已划分频段中频谱内的位置</w:t>
      </w:r>
    </w:p>
    <w:p w:rsidR="00853B80" w:rsidRPr="002C4984" w:rsidRDefault="00853B80" w:rsidP="00015D4C">
      <w:pPr>
        <w:pStyle w:val="normal0"/>
      </w:pPr>
      <w:r w:rsidRPr="002C4984">
        <w:rPr>
          <w:rFonts w:hint="eastAsia"/>
        </w:rPr>
        <w:t>频谱费的数额根据已划分频段中频谱内的位置来设定，将使管理者能够获得更好的频谱占用分布。这种因素不适用于在国际上已经协调了的频段的应用（</w:t>
      </w:r>
      <w:r w:rsidRPr="002C4984">
        <w:t>GSM</w:t>
      </w:r>
      <w:r w:rsidRPr="002C4984">
        <w:rPr>
          <w:rFonts w:hint="eastAsia"/>
        </w:rPr>
        <w:t>、</w:t>
      </w:r>
      <w:r w:rsidRPr="002C4984">
        <w:t>IMT-2000</w:t>
      </w:r>
      <w:r w:rsidRPr="002C4984">
        <w:rPr>
          <w:rFonts w:hint="eastAsia"/>
        </w:rPr>
        <w:t>、</w:t>
      </w:r>
      <w:r w:rsidRPr="002C4984">
        <w:t>…</w:t>
      </w:r>
      <w:r w:rsidRPr="002C4984">
        <w:rPr>
          <w:rFonts w:hint="eastAsia"/>
        </w:rPr>
        <w:t>）。</w:t>
      </w:r>
    </w:p>
    <w:p w:rsidR="00853B80" w:rsidRPr="002C4984" w:rsidRDefault="00853B80" w:rsidP="001F3051">
      <w:pPr>
        <w:pStyle w:val="Heading2"/>
      </w:pPr>
      <w:bookmarkStart w:id="25" w:name="_Toc223239305"/>
      <w:bookmarkStart w:id="26" w:name="_Toc288642941"/>
      <w:r w:rsidRPr="002C4984">
        <w:t>5.2</w:t>
      </w:r>
      <w:r w:rsidRPr="002C4984">
        <w:tab/>
      </w:r>
      <w:r w:rsidRPr="002C4984">
        <w:rPr>
          <w:rFonts w:hint="eastAsia"/>
        </w:rPr>
        <w:t>计划用于用户自身需求的频率频谱费</w:t>
      </w:r>
      <w:bookmarkEnd w:id="25"/>
      <w:bookmarkEnd w:id="26"/>
    </w:p>
    <w:p w:rsidR="00853B80" w:rsidRPr="002C4984" w:rsidRDefault="00853B80" w:rsidP="00015D4C">
      <w:pPr>
        <w:pStyle w:val="normal0"/>
      </w:pPr>
      <w:r w:rsidRPr="002C4984">
        <w:rPr>
          <w:rFonts w:hint="eastAsia"/>
        </w:rPr>
        <w:t>见第</w:t>
      </w:r>
      <w:r w:rsidRPr="002C4984">
        <w:t>[24]</w:t>
      </w:r>
      <w:r w:rsidRPr="002C4984">
        <w:rPr>
          <w:rFonts w:hint="eastAsia"/>
        </w:rPr>
        <w:t>段。</w:t>
      </w:r>
    </w:p>
    <w:p w:rsidR="00853B80" w:rsidRPr="002C4984" w:rsidRDefault="00853B80" w:rsidP="001F3051">
      <w:pPr>
        <w:pStyle w:val="Heading3"/>
      </w:pPr>
      <w:bookmarkStart w:id="27" w:name="_Toc288642942"/>
      <w:smartTag w:uri="urn:schemas-microsoft-com:office:smarttags" w:element="chsdate">
        <w:smartTagPr>
          <w:attr w:name="Year" w:val="1899"/>
          <w:attr w:name="Month" w:val="12"/>
          <w:attr w:name="Day" w:val="30"/>
          <w:attr w:name="IsLunarDate" w:val="False"/>
          <w:attr w:name="IsROCDate" w:val="False"/>
        </w:smartTagPr>
        <w:r w:rsidRPr="002C4984">
          <w:t>5.2.1</w:t>
        </w:r>
        <w:r w:rsidRPr="002C4984">
          <w:tab/>
        </w:r>
      </w:smartTag>
      <w:r w:rsidRPr="001F3051">
        <w:rPr>
          <w:rFonts w:hint="eastAsia"/>
        </w:rPr>
        <w:t>意见与一般方法</w:t>
      </w:r>
      <w:bookmarkEnd w:id="27"/>
    </w:p>
    <w:p w:rsidR="00853B80" w:rsidRPr="002C4984" w:rsidRDefault="00853B80" w:rsidP="00015D4C">
      <w:pPr>
        <w:pStyle w:val="normal0"/>
      </w:pPr>
      <w:r w:rsidRPr="002C4984">
        <w:rPr>
          <w:rFonts w:hint="eastAsia"/>
        </w:rPr>
        <w:t>确定费用设定的形式时应首先考虑第</w:t>
      </w:r>
      <w:r w:rsidRPr="002C4984">
        <w:t>[</w:t>
      </w:r>
      <w:smartTag w:uri="urn:schemas-microsoft-com:office:smarttags" w:element="chsdate">
        <w:smartTagPr>
          <w:attr w:name="Year" w:val="1899"/>
          <w:attr w:name="Month" w:val="12"/>
          <w:attr w:name="Day" w:val="30"/>
          <w:attr w:name="IsLunarDate" w:val="False"/>
          <w:attr w:name="IsROCDate" w:val="False"/>
        </w:smartTagPr>
        <w:r w:rsidRPr="002C4984">
          <w:t>5.1.4</w:t>
        </w:r>
      </w:smartTag>
      <w:r w:rsidRPr="002C4984">
        <w:t>]</w:t>
      </w:r>
      <w:r w:rsidRPr="002C4984">
        <w:rPr>
          <w:rFonts w:hint="eastAsia"/>
        </w:rPr>
        <w:t>条和第</w:t>
      </w:r>
      <w:r w:rsidRPr="002C4984">
        <w:t>[22]</w:t>
      </w:r>
      <w:r w:rsidRPr="002C4984">
        <w:rPr>
          <w:rFonts w:hint="eastAsia"/>
        </w:rPr>
        <w:t>条中的因素。</w:t>
      </w:r>
    </w:p>
    <w:p w:rsidR="00853B80" w:rsidRPr="002C4984" w:rsidRDefault="00853B80" w:rsidP="00015D4C">
      <w:pPr>
        <w:pStyle w:val="normal0"/>
      </w:pPr>
      <w:r w:rsidRPr="002C4984">
        <w:rPr>
          <w:rFonts w:hint="eastAsia"/>
        </w:rPr>
        <w:t>在将费用计算的依据加起来时，建议只使用能够达到有效频谱管理和有效频率使用目标的必要的最少因素。</w:t>
      </w:r>
    </w:p>
    <w:p w:rsidR="00853B80" w:rsidRPr="002C4984" w:rsidRDefault="00853B80" w:rsidP="00015D4C">
      <w:pPr>
        <w:pStyle w:val="normal0"/>
      </w:pPr>
      <w:r w:rsidRPr="002C4984">
        <w:rPr>
          <w:rFonts w:hint="eastAsia"/>
        </w:rPr>
        <w:t>建议使用简明的计算公式（见第</w:t>
      </w:r>
      <w:r w:rsidRPr="002C4984">
        <w:t>[9]</w:t>
      </w:r>
      <w:r w:rsidRPr="002C4984">
        <w:rPr>
          <w:rFonts w:hint="eastAsia"/>
        </w:rPr>
        <w:t>条）。在整理计算依据而选择的因素时，乘法证明是非常适合确定收费水平的公式。</w:t>
      </w:r>
    </w:p>
    <w:p w:rsidR="00853B80" w:rsidRPr="002C4984" w:rsidRDefault="00853B80" w:rsidP="00015D4C">
      <w:pPr>
        <w:pStyle w:val="normal0"/>
      </w:pPr>
      <w:r w:rsidRPr="002C4984">
        <w:rPr>
          <w:rFonts w:hint="eastAsia"/>
        </w:rPr>
        <w:t>为了根据应用（见第</w:t>
      </w:r>
      <w:r w:rsidRPr="002C4984">
        <w:t>[21]</w:t>
      </w:r>
      <w:r w:rsidRPr="002C4984">
        <w:rPr>
          <w:rFonts w:hint="eastAsia"/>
        </w:rPr>
        <w:t>条）调整收费水平，建议为考虑中的应用分别确定一个参考货币价值</w:t>
      </w:r>
      <w:r w:rsidR="001F3051">
        <w:rPr>
          <w:rFonts w:hint="eastAsia"/>
        </w:rPr>
        <w:t>“</w:t>
      </w:r>
      <w:r w:rsidRPr="002C4984">
        <w:t>K</w:t>
      </w:r>
      <w:r w:rsidR="001F3051">
        <w:rPr>
          <w:rFonts w:hint="eastAsia"/>
        </w:rPr>
        <w:t>”</w:t>
      </w:r>
      <w:r w:rsidRPr="002C4984">
        <w:rPr>
          <w:rFonts w:hint="eastAsia"/>
        </w:rPr>
        <w:t>，以通用货币表示。</w:t>
      </w:r>
      <w:r>
        <w:rPr>
          <w:rFonts w:hint="eastAsia"/>
        </w:rPr>
        <w:t>“</w:t>
      </w:r>
      <w:r>
        <w:t>K</w:t>
      </w:r>
      <w:r>
        <w:rPr>
          <w:rFonts w:hint="eastAsia"/>
        </w:rPr>
        <w:t>”</w:t>
      </w:r>
      <w:r w:rsidRPr="002C4984">
        <w:rPr>
          <w:rFonts w:hint="eastAsia"/>
        </w:rPr>
        <w:t>将成为上述乘法中的一个因数。</w:t>
      </w:r>
    </w:p>
    <w:p w:rsidR="00853B80" w:rsidRPr="002C4984" w:rsidRDefault="00853B80" w:rsidP="001F3051">
      <w:pPr>
        <w:pStyle w:val="Heading3"/>
      </w:pPr>
      <w:bookmarkStart w:id="28" w:name="_Toc288642943"/>
      <w:smartTag w:uri="urn:schemas-microsoft-com:office:smarttags" w:element="chsdate">
        <w:smartTagPr>
          <w:attr w:name="Year" w:val="1899"/>
          <w:attr w:name="Month" w:val="12"/>
          <w:attr w:name="Day" w:val="30"/>
          <w:attr w:name="IsLunarDate" w:val="False"/>
          <w:attr w:name="IsROCDate" w:val="False"/>
        </w:smartTagPr>
        <w:r w:rsidRPr="002C4984">
          <w:lastRenderedPageBreak/>
          <w:t>5.2.2</w:t>
        </w:r>
        <w:r w:rsidRPr="002C4984">
          <w:tab/>
        </w:r>
      </w:smartTag>
      <w:r w:rsidRPr="001F3051">
        <w:rPr>
          <w:rFonts w:hint="eastAsia"/>
        </w:rPr>
        <w:t>费用计算公式示例</w:t>
      </w:r>
      <w:bookmarkEnd w:id="28"/>
    </w:p>
    <w:p w:rsidR="00853B80" w:rsidRPr="002C4984" w:rsidRDefault="00853B80" w:rsidP="001F3051">
      <w:pPr>
        <w:pStyle w:val="Heading4"/>
      </w:pPr>
      <w:smartTag w:uri="urn:schemas-microsoft-com:office:smarttags" w:element="chsdate">
        <w:smartTagPr>
          <w:attr w:name="Year" w:val="1899"/>
          <w:attr w:name="Month" w:val="12"/>
          <w:attr w:name="Day" w:val="30"/>
          <w:attr w:name="IsLunarDate" w:val="False"/>
          <w:attr w:name="IsROCDate" w:val="False"/>
        </w:smartTagPr>
        <w:r w:rsidRPr="002C4984">
          <w:t>5.2.2</w:t>
        </w:r>
      </w:smartTag>
      <w:r w:rsidRPr="002C4984">
        <w:t>.1</w:t>
      </w:r>
      <w:r w:rsidR="00871CE0">
        <w:rPr>
          <w:rFonts w:hint="eastAsia"/>
          <w:lang w:eastAsia="zh-CN"/>
        </w:rPr>
        <w:tab/>
      </w:r>
      <w:r w:rsidRPr="002C4984">
        <w:rPr>
          <w:rFonts w:hint="eastAsia"/>
        </w:rPr>
        <w:t>系数的符号和定义</w:t>
      </w:r>
    </w:p>
    <w:p w:rsidR="00853B80" w:rsidRPr="002C4984" w:rsidRDefault="00853B80" w:rsidP="00015D4C">
      <w:pPr>
        <w:pStyle w:val="normal0"/>
      </w:pPr>
      <w:r w:rsidRPr="002C4984">
        <w:rPr>
          <w:rFonts w:hint="eastAsia"/>
        </w:rPr>
        <w:t>以下定义的系数在计算收费数额的公式示例中使用：</w:t>
      </w:r>
    </w:p>
    <w:p w:rsidR="00853B80" w:rsidRPr="002C4984" w:rsidRDefault="00853B80" w:rsidP="00015D4C">
      <w:pPr>
        <w:pStyle w:val="normal0"/>
      </w:pPr>
      <w:r w:rsidRPr="002C4984">
        <w:rPr>
          <w:rFonts w:hint="eastAsia"/>
        </w:rPr>
        <w:t>系数</w:t>
      </w:r>
      <w:r>
        <w:rPr>
          <w:rFonts w:hint="eastAsia"/>
        </w:rPr>
        <w:t>“</w:t>
      </w:r>
      <w:r w:rsidRPr="002C4984">
        <w:t>L</w:t>
      </w:r>
      <w:r>
        <w:rPr>
          <w:rFonts w:hint="eastAsia"/>
        </w:rPr>
        <w:t>”</w:t>
      </w:r>
      <w:r w:rsidRPr="002C4984">
        <w:rPr>
          <w:rFonts w:hint="eastAsia"/>
        </w:rPr>
        <w:t>表示已划分的带宽。</w:t>
      </w:r>
    </w:p>
    <w:p w:rsidR="00853B80" w:rsidRPr="002C4984" w:rsidRDefault="00853B80" w:rsidP="00015D4C">
      <w:pPr>
        <w:pStyle w:val="normal0"/>
      </w:pPr>
      <w:r w:rsidRPr="002C4984">
        <w:rPr>
          <w:rFonts w:hint="eastAsia"/>
        </w:rPr>
        <w:t>系数</w:t>
      </w:r>
      <w:r>
        <w:rPr>
          <w:rFonts w:hint="eastAsia"/>
        </w:rPr>
        <w:t>“</w:t>
      </w:r>
      <w:r>
        <w:t>bf</w:t>
      </w:r>
      <w:r>
        <w:rPr>
          <w:rFonts w:hint="eastAsia"/>
        </w:rPr>
        <w:t>”</w:t>
      </w:r>
      <w:r w:rsidRPr="002C4984">
        <w:rPr>
          <w:rFonts w:hint="eastAsia"/>
        </w:rPr>
        <w:t>表示频率频谱内或已划分频段内的数位。</w:t>
      </w:r>
    </w:p>
    <w:p w:rsidR="00853B80" w:rsidRPr="002C4984" w:rsidRDefault="00853B80" w:rsidP="00015D4C">
      <w:pPr>
        <w:pStyle w:val="normal0"/>
      </w:pPr>
      <w:r w:rsidRPr="002C4984">
        <w:rPr>
          <w:rFonts w:hint="eastAsia"/>
        </w:rPr>
        <w:t>在实践中，为每块考虑中的频率都制定了一个表格，给出了相对应的</w:t>
      </w:r>
      <w:r>
        <w:rPr>
          <w:rFonts w:hint="eastAsia"/>
        </w:rPr>
        <w:t>“</w:t>
      </w:r>
      <w:r>
        <w:t>bf</w:t>
      </w:r>
      <w:r>
        <w:rPr>
          <w:rFonts w:hint="eastAsia"/>
        </w:rPr>
        <w:t>”</w:t>
      </w:r>
      <w:r w:rsidRPr="002C4984">
        <w:rPr>
          <w:rFonts w:hint="eastAsia"/>
        </w:rPr>
        <w:t>系数值。示例表格请见附件</w:t>
      </w:r>
      <w:r w:rsidRPr="002C4984">
        <w:t>1</w:t>
      </w:r>
      <w:r w:rsidRPr="002C4984">
        <w:rPr>
          <w:rFonts w:hint="eastAsia"/>
        </w:rPr>
        <w:t>。</w:t>
      </w:r>
    </w:p>
    <w:p w:rsidR="00853B80" w:rsidRPr="002C4984" w:rsidRDefault="00853B80" w:rsidP="00015D4C">
      <w:pPr>
        <w:pStyle w:val="normal0"/>
      </w:pPr>
      <w:r w:rsidRPr="002C4984">
        <w:rPr>
          <w:rFonts w:hint="eastAsia"/>
        </w:rPr>
        <w:t>系数</w:t>
      </w:r>
      <w:r>
        <w:rPr>
          <w:rFonts w:hint="eastAsia"/>
        </w:rPr>
        <w:t>“</w:t>
      </w:r>
      <w:r>
        <w:t>a</w:t>
      </w:r>
      <w:r>
        <w:rPr>
          <w:rFonts w:hint="eastAsia"/>
        </w:rPr>
        <w:t>”</w:t>
      </w:r>
      <w:r w:rsidRPr="002C4984">
        <w:rPr>
          <w:rFonts w:hint="eastAsia"/>
        </w:rPr>
        <w:t>表示分配的频率使用授权（见第</w:t>
      </w:r>
      <w:r w:rsidRPr="002C4984">
        <w:t>[3]</w:t>
      </w:r>
      <w:r w:rsidRPr="002C4984">
        <w:rPr>
          <w:rFonts w:hint="eastAsia"/>
        </w:rPr>
        <w:t>条）。</w:t>
      </w:r>
    </w:p>
    <w:p w:rsidR="00853B80" w:rsidRPr="002C4984" w:rsidRDefault="00853B80" w:rsidP="00015D4C">
      <w:pPr>
        <w:pStyle w:val="normal0"/>
      </w:pPr>
      <w:r w:rsidRPr="002C4984">
        <w:rPr>
          <w:rFonts w:hint="eastAsia"/>
        </w:rPr>
        <w:t>附件</w:t>
      </w:r>
      <w:r w:rsidRPr="002C4984">
        <w:t>2</w:t>
      </w:r>
      <w:r w:rsidRPr="002C4984">
        <w:rPr>
          <w:rFonts w:hint="eastAsia"/>
        </w:rPr>
        <w:t>包含一个示例表格，根据服务给出了系数</w:t>
      </w:r>
      <w:r>
        <w:rPr>
          <w:rFonts w:hint="eastAsia"/>
        </w:rPr>
        <w:t>“</w:t>
      </w:r>
      <w:r>
        <w:t>a</w:t>
      </w:r>
      <w:r>
        <w:rPr>
          <w:rFonts w:hint="eastAsia"/>
        </w:rPr>
        <w:t>”</w:t>
      </w:r>
      <w:r w:rsidRPr="002C4984">
        <w:rPr>
          <w:rFonts w:hint="eastAsia"/>
        </w:rPr>
        <w:t>的数值。</w:t>
      </w:r>
    </w:p>
    <w:p w:rsidR="00853B80" w:rsidRPr="002C4984" w:rsidRDefault="00853B80" w:rsidP="00015D4C">
      <w:pPr>
        <w:pStyle w:val="normal0"/>
      </w:pPr>
      <w:r w:rsidRPr="002C4984">
        <w:rPr>
          <w:rFonts w:hint="eastAsia"/>
        </w:rPr>
        <w:t>系数</w:t>
      </w:r>
      <w:r>
        <w:rPr>
          <w:rFonts w:hint="eastAsia"/>
        </w:rPr>
        <w:t>“</w:t>
      </w:r>
      <w:r>
        <w:t>c</w:t>
      </w:r>
      <w:r>
        <w:rPr>
          <w:rFonts w:hint="eastAsia"/>
        </w:rPr>
        <w:t>”</w:t>
      </w:r>
      <w:r w:rsidRPr="002C4984">
        <w:rPr>
          <w:rFonts w:hint="eastAsia"/>
        </w:rPr>
        <w:t>表示频率使用授权覆盖的表面积（见第</w:t>
      </w:r>
      <w:r w:rsidRPr="002C4984">
        <w:t>[2]</w:t>
      </w:r>
      <w:r w:rsidRPr="002C4984">
        <w:rPr>
          <w:rFonts w:hint="eastAsia"/>
        </w:rPr>
        <w:t>条）。</w:t>
      </w:r>
    </w:p>
    <w:p w:rsidR="00853B80" w:rsidRPr="002C4984" w:rsidRDefault="00853B80" w:rsidP="00015D4C">
      <w:pPr>
        <w:pStyle w:val="normal0"/>
      </w:pPr>
      <w:r w:rsidRPr="002C4984">
        <w:rPr>
          <w:rFonts w:hint="eastAsia"/>
        </w:rPr>
        <w:t>一般来说，已分配了的指配上的表面构成了所讨论基站中心的盘，其半径等于已指配频率在基站天线属于多向性情况下使用的最大距离，或者盘的一部分相当于定向天线的角宽。</w:t>
      </w:r>
    </w:p>
    <w:p w:rsidR="00853B80" w:rsidRPr="002C4984" w:rsidRDefault="00853B80" w:rsidP="00015D4C">
      <w:pPr>
        <w:pStyle w:val="normal0"/>
      </w:pPr>
      <w:r w:rsidRPr="002C4984">
        <w:rPr>
          <w:rFonts w:hint="eastAsia"/>
        </w:rPr>
        <w:t>在实践中，对应所讨论表面积值的系数</w:t>
      </w:r>
      <w:r>
        <w:rPr>
          <w:rFonts w:hint="eastAsia"/>
        </w:rPr>
        <w:t>“</w:t>
      </w:r>
      <w:r>
        <w:t>c</w:t>
      </w:r>
      <w:r>
        <w:rPr>
          <w:rFonts w:hint="eastAsia"/>
        </w:rPr>
        <w:t>”</w:t>
      </w:r>
      <w:r w:rsidRPr="002C4984">
        <w:rPr>
          <w:rFonts w:hint="eastAsia"/>
        </w:rPr>
        <w:t>的值已经在制定的表格中给出。这样的表格具有纠正范围非常广的收费数额的优势，这些数额将通过直接考虑划分表面的面积获得。示例表格请见附件</w:t>
      </w:r>
      <w:r w:rsidRPr="002C4984">
        <w:t>3</w:t>
      </w:r>
      <w:r w:rsidRPr="002C4984">
        <w:rPr>
          <w:rFonts w:hint="eastAsia"/>
        </w:rPr>
        <w:t>。</w:t>
      </w:r>
    </w:p>
    <w:p w:rsidR="00853B80" w:rsidRPr="002C4984" w:rsidRDefault="00853B80" w:rsidP="00015D4C">
      <w:pPr>
        <w:pStyle w:val="normal0"/>
      </w:pPr>
      <w:r w:rsidRPr="002C4984">
        <w:rPr>
          <w:rFonts w:hint="eastAsia"/>
        </w:rPr>
        <w:t>系数</w:t>
      </w:r>
      <w:r>
        <w:rPr>
          <w:rFonts w:hint="eastAsia"/>
        </w:rPr>
        <w:t>“</w:t>
      </w:r>
      <w:r w:rsidRPr="002C4984">
        <w:t>k</w:t>
      </w:r>
      <w:r>
        <w:t>1</w:t>
      </w:r>
      <w:r>
        <w:rPr>
          <w:rFonts w:hint="eastAsia"/>
        </w:rPr>
        <w:t>”</w:t>
      </w:r>
      <w:r w:rsidRPr="002C4984">
        <w:rPr>
          <w:rFonts w:hint="eastAsia"/>
        </w:rPr>
        <w:t>、</w:t>
      </w:r>
      <w:r>
        <w:rPr>
          <w:rFonts w:hint="eastAsia"/>
        </w:rPr>
        <w:t>“</w:t>
      </w:r>
      <w:r w:rsidRPr="002C4984">
        <w:t>k</w:t>
      </w:r>
      <w:r>
        <w:t>2</w:t>
      </w:r>
      <w:r>
        <w:rPr>
          <w:rFonts w:hint="eastAsia"/>
        </w:rPr>
        <w:t>”</w:t>
      </w:r>
      <w:r w:rsidRPr="002C4984">
        <w:rPr>
          <w:rFonts w:hint="eastAsia"/>
        </w:rPr>
        <w:t>、</w:t>
      </w:r>
      <w:r>
        <w:rPr>
          <w:rFonts w:hint="eastAsia"/>
        </w:rPr>
        <w:t>“</w:t>
      </w:r>
      <w:r w:rsidRPr="002C4984">
        <w:t>k</w:t>
      </w:r>
      <w:r>
        <w:t>3</w:t>
      </w:r>
      <w:r>
        <w:rPr>
          <w:rFonts w:hint="eastAsia"/>
        </w:rPr>
        <w:t>”</w:t>
      </w:r>
      <w:r w:rsidRPr="002C4984">
        <w:rPr>
          <w:rFonts w:hint="eastAsia"/>
        </w:rPr>
        <w:t>和</w:t>
      </w:r>
      <w:r>
        <w:rPr>
          <w:rFonts w:hint="eastAsia"/>
        </w:rPr>
        <w:t>“</w:t>
      </w:r>
      <w:r>
        <w:t>k4</w:t>
      </w:r>
      <w:r>
        <w:rPr>
          <w:rFonts w:hint="eastAsia"/>
        </w:rPr>
        <w:t>”</w:t>
      </w:r>
      <w:r w:rsidRPr="002C4984">
        <w:rPr>
          <w:rFonts w:hint="eastAsia"/>
        </w:rPr>
        <w:t>是参考货币值，只适用于讨论中的应用。当设定这些数值时，应优先考虑第</w:t>
      </w:r>
      <w:r w:rsidRPr="002C4984">
        <w:t>[15.2]</w:t>
      </w:r>
      <w:r w:rsidRPr="002C4984">
        <w:rPr>
          <w:rFonts w:hint="eastAsia"/>
        </w:rPr>
        <w:t>和第</w:t>
      </w:r>
      <w:r w:rsidRPr="002C4984">
        <w:t>[15.1]</w:t>
      </w:r>
      <w:r w:rsidRPr="002C4984">
        <w:rPr>
          <w:rFonts w:hint="eastAsia"/>
        </w:rPr>
        <w:t>条。</w:t>
      </w:r>
    </w:p>
    <w:p w:rsidR="00853B80" w:rsidRPr="002C4984" w:rsidRDefault="00853B80" w:rsidP="001F3051">
      <w:pPr>
        <w:pStyle w:val="Heading4"/>
      </w:pPr>
      <w:r w:rsidRPr="002C4984">
        <w:t>5.2.2.2</w:t>
      </w:r>
      <w:r w:rsidR="00871CE0">
        <w:rPr>
          <w:rFonts w:hint="eastAsia"/>
          <w:lang w:eastAsia="zh-CN"/>
        </w:rPr>
        <w:tab/>
      </w:r>
      <w:r w:rsidRPr="002C4984">
        <w:rPr>
          <w:rFonts w:hint="eastAsia"/>
        </w:rPr>
        <w:t>应用于点对点固定业务指配的费用</w:t>
      </w:r>
    </w:p>
    <w:p w:rsidR="00853B80" w:rsidRPr="002C4984" w:rsidRDefault="00853B80" w:rsidP="00015D4C">
      <w:pPr>
        <w:pStyle w:val="normal0"/>
      </w:pPr>
      <w:r w:rsidRPr="002C4984">
        <w:rPr>
          <w:rFonts w:hint="eastAsia"/>
        </w:rPr>
        <w:t>以下方程式可用于确定频谱费年数额</w:t>
      </w:r>
      <w:r w:rsidRPr="002C4984">
        <w:rPr>
          <w:i/>
        </w:rPr>
        <w:t>Rs</w:t>
      </w:r>
      <w:r w:rsidRPr="002C4984">
        <w:rPr>
          <w:rFonts w:hint="eastAsia"/>
        </w:rPr>
        <w:t>：</w:t>
      </w:r>
    </w:p>
    <w:p w:rsidR="0099588E" w:rsidRPr="0099588E" w:rsidRDefault="0099588E" w:rsidP="0099588E">
      <w:pPr>
        <w:tabs>
          <w:tab w:val="left" w:pos="-1190"/>
          <w:tab w:val="left" w:pos="0"/>
        </w:tabs>
        <w:jc w:val="center"/>
        <w:rPr>
          <w:iCs/>
          <w:szCs w:val="22"/>
        </w:rPr>
      </w:pPr>
      <m:oMathPara>
        <m:oMath>
          <m:r>
            <m:rPr>
              <m:sty m:val="p"/>
            </m:rPr>
            <w:rPr>
              <w:rFonts w:ascii="Cambria Math" w:hAnsi="Cambria Math"/>
              <w:szCs w:val="22"/>
            </w:rPr>
            <m:t>Rs=L*bf*kl</m:t>
          </m:r>
        </m:oMath>
      </m:oMathPara>
    </w:p>
    <w:p w:rsidR="00853B80" w:rsidRPr="002C4984" w:rsidRDefault="00853B80" w:rsidP="001F3051">
      <w:pPr>
        <w:pStyle w:val="Heading4"/>
      </w:pPr>
      <w:r w:rsidRPr="002C4984">
        <w:t>5.2.2.3</w:t>
      </w:r>
      <w:r w:rsidR="00871CE0">
        <w:rPr>
          <w:rFonts w:hint="eastAsia"/>
          <w:lang w:eastAsia="zh-CN"/>
        </w:rPr>
        <w:tab/>
      </w:r>
      <w:r w:rsidRPr="002C4984">
        <w:rPr>
          <w:rFonts w:hint="eastAsia"/>
        </w:rPr>
        <w:t>应用于点对点固定业务分配的费用</w:t>
      </w:r>
    </w:p>
    <w:p w:rsidR="00853B80" w:rsidRPr="002C4984" w:rsidRDefault="00853B80" w:rsidP="00015D4C">
      <w:pPr>
        <w:pStyle w:val="normal0"/>
      </w:pPr>
      <w:r w:rsidRPr="002C4984">
        <w:rPr>
          <w:rFonts w:hint="eastAsia"/>
        </w:rPr>
        <w:t>以下方程式可用于确定频谱费年数额</w:t>
      </w:r>
      <w:r w:rsidRPr="002C4984">
        <w:rPr>
          <w:i/>
        </w:rPr>
        <w:t>Rs</w:t>
      </w:r>
      <w:r w:rsidRPr="002C4984">
        <w:rPr>
          <w:rFonts w:hint="eastAsia"/>
        </w:rPr>
        <w:t>：</w:t>
      </w:r>
    </w:p>
    <w:p w:rsidR="0099588E" w:rsidRPr="0099588E" w:rsidRDefault="0099588E" w:rsidP="0099588E">
      <w:pPr>
        <w:tabs>
          <w:tab w:val="left" w:pos="-1190"/>
          <w:tab w:val="left" w:pos="0"/>
        </w:tabs>
        <w:jc w:val="center"/>
        <w:rPr>
          <w:rFonts w:eastAsia="Times New Roman"/>
          <w:szCs w:val="22"/>
        </w:rPr>
      </w:pPr>
      <m:oMathPara>
        <m:oMath>
          <m:r>
            <m:rPr>
              <m:sty m:val="p"/>
            </m:rPr>
            <w:rPr>
              <w:rFonts w:ascii="Cambria Math" w:eastAsia="Times New Roman" w:hAnsi="Cambria Math"/>
              <w:szCs w:val="22"/>
            </w:rPr>
            <m:t>Rs=L*bf*a*c kl</m:t>
          </m:r>
        </m:oMath>
      </m:oMathPara>
    </w:p>
    <w:p w:rsidR="00853B80" w:rsidRPr="002C4984" w:rsidRDefault="00853B80" w:rsidP="00015D4C">
      <w:pPr>
        <w:pStyle w:val="normal0"/>
      </w:pPr>
      <w:r w:rsidRPr="002C4984">
        <w:rPr>
          <w:rFonts w:hint="eastAsia"/>
        </w:rPr>
        <w:t>其中</w:t>
      </w:r>
      <w:r w:rsidR="001F3051">
        <w:rPr>
          <w:rFonts w:hint="eastAsia"/>
        </w:rPr>
        <w:t>“</w:t>
      </w:r>
      <w:r w:rsidRPr="002C4984">
        <w:t>c</w:t>
      </w:r>
      <w:r w:rsidR="001F3051">
        <w:rPr>
          <w:rFonts w:hint="eastAsia"/>
        </w:rPr>
        <w:t>”</w:t>
      </w:r>
      <w:r w:rsidRPr="002C4984">
        <w:rPr>
          <w:rFonts w:hint="eastAsia"/>
        </w:rPr>
        <w:t>是分配的覆盖表面积与国家领土总面积之比。</w:t>
      </w:r>
    </w:p>
    <w:p w:rsidR="00853B80" w:rsidRPr="002C4984" w:rsidRDefault="00853B80" w:rsidP="001F3051">
      <w:pPr>
        <w:pStyle w:val="Heading4"/>
      </w:pPr>
      <w:smartTag w:uri="urn:schemas-microsoft-com:office:smarttags" w:element="chsdate">
        <w:smartTagPr>
          <w:attr w:name="Year" w:val="1899"/>
          <w:attr w:name="Month" w:val="12"/>
          <w:attr w:name="Day" w:val="30"/>
          <w:attr w:name="IsLunarDate" w:val="False"/>
          <w:attr w:name="IsROCDate" w:val="False"/>
        </w:smartTagPr>
        <w:r w:rsidRPr="002C4984">
          <w:t>5.2.2</w:t>
        </w:r>
      </w:smartTag>
      <w:r w:rsidRPr="002C4984">
        <w:t>.4</w:t>
      </w:r>
      <w:r w:rsidR="00871CE0">
        <w:rPr>
          <w:rFonts w:hint="eastAsia"/>
          <w:lang w:eastAsia="zh-CN"/>
        </w:rPr>
        <w:tab/>
      </w:r>
      <w:r w:rsidRPr="002C4984">
        <w:rPr>
          <w:rFonts w:hint="eastAsia"/>
        </w:rPr>
        <w:t>应用于固定业务中无线本地环路分配的费用（也见第</w:t>
      </w:r>
      <w:r w:rsidRPr="002C4984">
        <w:t>5.3.4</w:t>
      </w:r>
      <w:r w:rsidRPr="002C4984">
        <w:rPr>
          <w:rFonts w:hint="eastAsia"/>
        </w:rPr>
        <w:t>条）</w:t>
      </w:r>
    </w:p>
    <w:p w:rsidR="00853B80" w:rsidRPr="002C4984" w:rsidRDefault="00853B80" w:rsidP="00015D4C">
      <w:pPr>
        <w:pStyle w:val="normal0"/>
      </w:pPr>
      <w:r w:rsidRPr="002C4984">
        <w:rPr>
          <w:rFonts w:hint="eastAsia"/>
        </w:rPr>
        <w:t>以下方程式可用于确定频谱费年数额</w:t>
      </w:r>
      <w:r w:rsidRPr="002C4984">
        <w:rPr>
          <w:i/>
        </w:rPr>
        <w:t>Rs</w:t>
      </w:r>
      <w:r w:rsidRPr="002C4984">
        <w:rPr>
          <w:rFonts w:hint="eastAsia"/>
        </w:rPr>
        <w:t>：</w:t>
      </w:r>
    </w:p>
    <w:p w:rsidR="0099588E" w:rsidRPr="0099588E" w:rsidRDefault="0099588E" w:rsidP="0099588E">
      <w:pPr>
        <w:tabs>
          <w:tab w:val="left" w:pos="-1190"/>
          <w:tab w:val="left" w:pos="0"/>
        </w:tabs>
        <w:jc w:val="center"/>
        <w:rPr>
          <w:szCs w:val="22"/>
        </w:rPr>
      </w:pPr>
      <m:oMathPara>
        <m:oMath>
          <m:r>
            <m:rPr>
              <m:sty m:val="p"/>
            </m:rPr>
            <w:rPr>
              <w:rFonts w:ascii="Cambria Math" w:hAnsi="Cambria Math"/>
              <w:szCs w:val="22"/>
            </w:rPr>
            <m:t>Rs=L*bf*a*c*k2</m:t>
          </m:r>
        </m:oMath>
      </m:oMathPara>
    </w:p>
    <w:p w:rsidR="00853B80" w:rsidRPr="002C4984" w:rsidRDefault="00853B80" w:rsidP="00015D4C">
      <w:pPr>
        <w:pStyle w:val="normal0"/>
      </w:pPr>
      <w:r w:rsidRPr="002C4984">
        <w:rPr>
          <w:rFonts w:hint="eastAsia"/>
        </w:rPr>
        <w:t>其中</w:t>
      </w:r>
      <w:r w:rsidR="001F3051">
        <w:rPr>
          <w:rFonts w:hint="eastAsia"/>
        </w:rPr>
        <w:t>“</w:t>
      </w:r>
      <w:r w:rsidRPr="002C4984">
        <w:t>c</w:t>
      </w:r>
      <w:r w:rsidR="001F3051">
        <w:rPr>
          <w:rFonts w:hint="eastAsia"/>
        </w:rPr>
        <w:t>”</w:t>
      </w:r>
      <w:r w:rsidRPr="002C4984">
        <w:rPr>
          <w:rFonts w:hint="eastAsia"/>
        </w:rPr>
        <w:t>是分配的覆盖表面积与国家领土总面积之比。</w:t>
      </w:r>
    </w:p>
    <w:p w:rsidR="00853B80" w:rsidRPr="002C4984" w:rsidRDefault="00853B80" w:rsidP="001F3051">
      <w:pPr>
        <w:pStyle w:val="Heading4"/>
      </w:pPr>
      <w:smartTag w:uri="urn:schemas-microsoft-com:office:smarttags" w:element="chsdate">
        <w:smartTagPr>
          <w:attr w:name="Year" w:val="1899"/>
          <w:attr w:name="Month" w:val="12"/>
          <w:attr w:name="Day" w:val="30"/>
          <w:attr w:name="IsLunarDate" w:val="False"/>
          <w:attr w:name="IsROCDate" w:val="False"/>
        </w:smartTagPr>
        <w:r w:rsidRPr="002C4984">
          <w:t>5.2.2</w:t>
        </w:r>
      </w:smartTag>
      <w:r w:rsidRPr="002C4984">
        <w:t>.5</w:t>
      </w:r>
      <w:r w:rsidR="00871CE0">
        <w:rPr>
          <w:rFonts w:hint="eastAsia"/>
          <w:lang w:eastAsia="zh-CN"/>
        </w:rPr>
        <w:tab/>
      </w:r>
      <w:r w:rsidRPr="002C4984">
        <w:rPr>
          <w:rFonts w:hint="eastAsia"/>
        </w:rPr>
        <w:t>应用于固定或移动卫星业务中地面接收站指配的费用</w:t>
      </w:r>
    </w:p>
    <w:p w:rsidR="00853B80" w:rsidRPr="002C4984" w:rsidRDefault="00853B80" w:rsidP="00015D4C">
      <w:pPr>
        <w:pStyle w:val="normal0"/>
      </w:pPr>
      <w:r w:rsidRPr="002C4984">
        <w:rPr>
          <w:rFonts w:hint="eastAsia"/>
        </w:rPr>
        <w:t>以下方程式可用于确定频谱费年数额</w:t>
      </w:r>
      <w:r w:rsidRPr="002C4984">
        <w:rPr>
          <w:i/>
        </w:rPr>
        <w:t>Rs</w:t>
      </w:r>
      <w:r w:rsidRPr="002C4984">
        <w:rPr>
          <w:rFonts w:hint="eastAsia"/>
        </w:rPr>
        <w:t>：</w:t>
      </w:r>
    </w:p>
    <w:p w:rsidR="0099588E" w:rsidRPr="0099588E" w:rsidRDefault="0099588E" w:rsidP="0099588E">
      <w:pPr>
        <w:tabs>
          <w:tab w:val="left" w:pos="-1190"/>
          <w:tab w:val="left" w:pos="0"/>
        </w:tabs>
        <w:jc w:val="center"/>
        <w:rPr>
          <w:szCs w:val="22"/>
        </w:rPr>
      </w:pPr>
      <m:oMathPara>
        <m:oMath>
          <m:r>
            <m:rPr>
              <m:sty m:val="p"/>
            </m:rPr>
            <w:rPr>
              <w:rFonts w:ascii="Cambria Math" w:hAnsi="Cambria Math"/>
              <w:szCs w:val="22"/>
            </w:rPr>
            <m:t>Rs=L*bf*k3</m:t>
          </m:r>
        </m:oMath>
      </m:oMathPara>
    </w:p>
    <w:p w:rsidR="00853B80" w:rsidRPr="002C4984" w:rsidRDefault="00853B80" w:rsidP="001F3051">
      <w:pPr>
        <w:pStyle w:val="Heading4"/>
      </w:pPr>
      <w:r w:rsidRPr="002C4984">
        <w:t>5.2.2.6</w:t>
      </w:r>
      <w:r w:rsidR="00871CE0">
        <w:rPr>
          <w:rFonts w:hint="eastAsia"/>
          <w:lang w:eastAsia="zh-CN"/>
        </w:rPr>
        <w:tab/>
      </w:r>
      <w:r w:rsidRPr="002C4984">
        <w:rPr>
          <w:rFonts w:hint="eastAsia"/>
        </w:rPr>
        <w:t>应用于固定或移动卫星业务中某项分配的费用</w:t>
      </w:r>
    </w:p>
    <w:p w:rsidR="00853B80" w:rsidRPr="002C4984" w:rsidRDefault="00853B80" w:rsidP="00015D4C">
      <w:pPr>
        <w:pStyle w:val="normal0"/>
      </w:pPr>
      <w:r w:rsidRPr="002C4984">
        <w:rPr>
          <w:rFonts w:hint="eastAsia"/>
        </w:rPr>
        <w:t>以下方程式可用于确定频谱费年数额</w:t>
      </w:r>
      <w:r w:rsidRPr="002C4984">
        <w:rPr>
          <w:i/>
        </w:rPr>
        <w:t>Rs</w:t>
      </w:r>
      <w:r w:rsidRPr="002C4984">
        <w:rPr>
          <w:rFonts w:hint="eastAsia"/>
        </w:rPr>
        <w:t>：</w:t>
      </w:r>
    </w:p>
    <w:p w:rsidR="0099588E" w:rsidRPr="0099588E" w:rsidRDefault="0099588E" w:rsidP="0099588E">
      <w:pPr>
        <w:tabs>
          <w:tab w:val="left" w:pos="-1190"/>
          <w:tab w:val="left" w:pos="0"/>
        </w:tabs>
        <w:jc w:val="center"/>
        <w:rPr>
          <w:szCs w:val="22"/>
        </w:rPr>
      </w:pPr>
      <m:oMathPara>
        <m:oMath>
          <m:r>
            <m:rPr>
              <m:sty m:val="p"/>
            </m:rPr>
            <w:rPr>
              <w:rFonts w:ascii="Cambria Math" w:hAnsi="Cambria Math"/>
              <w:szCs w:val="22"/>
            </w:rPr>
            <m:t>Rs=L*bf*k3 a</m:t>
          </m:r>
        </m:oMath>
      </m:oMathPara>
    </w:p>
    <w:p w:rsidR="00853B80" w:rsidRPr="002C4984" w:rsidRDefault="00853B80" w:rsidP="001F3051">
      <w:pPr>
        <w:pStyle w:val="Heading4"/>
      </w:pPr>
      <w:r w:rsidRPr="002C4984">
        <w:lastRenderedPageBreak/>
        <w:t>5.2.2.7</w:t>
      </w:r>
      <w:r w:rsidR="00871CE0">
        <w:rPr>
          <w:rFonts w:hint="eastAsia"/>
          <w:lang w:eastAsia="zh-CN"/>
        </w:rPr>
        <w:tab/>
      </w:r>
      <w:r w:rsidRPr="002C4984">
        <w:rPr>
          <w:rFonts w:hint="eastAsia"/>
        </w:rPr>
        <w:t>应用于在移动业务中指配专用网络的费用</w:t>
      </w:r>
    </w:p>
    <w:p w:rsidR="00853B80" w:rsidRPr="002C4984" w:rsidRDefault="00853B80" w:rsidP="00015D4C">
      <w:pPr>
        <w:pStyle w:val="normal0"/>
      </w:pPr>
      <w:r w:rsidRPr="002C4984">
        <w:rPr>
          <w:rFonts w:hint="eastAsia"/>
        </w:rPr>
        <w:t>以下方程式可用于确定频谱费年数额</w:t>
      </w:r>
      <w:r w:rsidRPr="002C4984">
        <w:rPr>
          <w:i/>
        </w:rPr>
        <w:t>Rs</w:t>
      </w:r>
      <w:r w:rsidRPr="002C4984">
        <w:rPr>
          <w:rFonts w:hint="eastAsia"/>
        </w:rPr>
        <w:t>：</w:t>
      </w:r>
    </w:p>
    <w:p w:rsidR="0099588E" w:rsidRPr="0099588E" w:rsidRDefault="0099588E" w:rsidP="0099588E">
      <w:pPr>
        <w:tabs>
          <w:tab w:val="left" w:pos="-1190"/>
          <w:tab w:val="left" w:pos="0"/>
        </w:tabs>
        <w:jc w:val="center"/>
        <w:rPr>
          <w:szCs w:val="22"/>
        </w:rPr>
      </w:pPr>
      <m:oMathPara>
        <m:oMath>
          <m:r>
            <m:rPr>
              <m:sty m:val="p"/>
            </m:rPr>
            <w:rPr>
              <w:rFonts w:ascii="Cambria Math" w:hAnsi="Cambria Math"/>
              <w:szCs w:val="22"/>
            </w:rPr>
            <m:t>Rs=L*bf*c*k4</m:t>
          </m:r>
        </m:oMath>
      </m:oMathPara>
    </w:p>
    <w:p w:rsidR="00853B80" w:rsidRPr="002C4984" w:rsidRDefault="00853B80" w:rsidP="001F3051">
      <w:pPr>
        <w:pStyle w:val="Heading2"/>
        <w:rPr>
          <w:lang w:val="en-US"/>
        </w:rPr>
      </w:pPr>
      <w:bookmarkStart w:id="29" w:name="_Toc223239306"/>
      <w:bookmarkStart w:id="30" w:name="_Toc288642944"/>
      <w:r w:rsidRPr="002C4984">
        <w:t>5.3</w:t>
      </w:r>
      <w:r w:rsidRPr="002C4984">
        <w:tab/>
      </w:r>
      <w:r w:rsidRPr="001F3051">
        <w:rPr>
          <w:rFonts w:hint="eastAsia"/>
        </w:rPr>
        <w:t>用于提供或销售进入消费市场的频率频谱费</w:t>
      </w:r>
      <w:bookmarkEnd w:id="29"/>
      <w:bookmarkEnd w:id="30"/>
    </w:p>
    <w:p w:rsidR="00853B80" w:rsidRPr="002C4984" w:rsidRDefault="00853B80" w:rsidP="001F3051">
      <w:pPr>
        <w:pStyle w:val="Heading3"/>
      </w:pPr>
      <w:bookmarkStart w:id="31" w:name="_Toc288642945"/>
      <w:smartTag w:uri="urn:schemas-microsoft-com:office:smarttags" w:element="chsdate">
        <w:smartTagPr>
          <w:attr w:name="Year" w:val="1899"/>
          <w:attr w:name="Month" w:val="12"/>
          <w:attr w:name="Day" w:val="30"/>
          <w:attr w:name="IsLunarDate" w:val="False"/>
          <w:attr w:name="IsROCDate" w:val="False"/>
        </w:smartTagPr>
        <w:r w:rsidRPr="002C4984">
          <w:t>5.3.1</w:t>
        </w:r>
        <w:r w:rsidRPr="002C4984">
          <w:tab/>
        </w:r>
      </w:smartTag>
      <w:r w:rsidRPr="001F3051">
        <w:rPr>
          <w:rFonts w:hint="eastAsia"/>
        </w:rPr>
        <w:t>意见与一般方法</w:t>
      </w:r>
      <w:bookmarkEnd w:id="31"/>
    </w:p>
    <w:p w:rsidR="00853B80" w:rsidRPr="002C4984" w:rsidRDefault="00853B80" w:rsidP="00015D4C">
      <w:pPr>
        <w:pStyle w:val="normal0"/>
      </w:pPr>
      <w:r w:rsidRPr="002C4984">
        <w:rPr>
          <w:rFonts w:hint="eastAsia"/>
        </w:rPr>
        <w:t>确定费用设定方式时应首先考虑第</w:t>
      </w:r>
      <w:smartTag w:uri="urn:schemas-microsoft-com:office:smarttags" w:element="chsdate">
        <w:smartTagPr>
          <w:attr w:name="Year" w:val="1899"/>
          <w:attr w:name="Month" w:val="12"/>
          <w:attr w:name="Day" w:val="30"/>
          <w:attr w:name="IsLunarDate" w:val="False"/>
          <w:attr w:name="IsROCDate" w:val="False"/>
        </w:smartTagPr>
        <w:r w:rsidRPr="002C4984">
          <w:t>5.1.1</w:t>
        </w:r>
      </w:smartTag>
      <w:r w:rsidRPr="002C4984">
        <w:rPr>
          <w:rFonts w:hint="eastAsia"/>
        </w:rPr>
        <w:t>段和第</w:t>
      </w:r>
      <w:r w:rsidRPr="002C4984">
        <w:t>5.1.3</w:t>
      </w:r>
      <w:r w:rsidRPr="002C4984">
        <w:rPr>
          <w:rFonts w:hint="eastAsia"/>
        </w:rPr>
        <w:t>段中的因素，同时顾及频谱管理方面的因</w:t>
      </w:r>
      <w:r w:rsidR="001F3051">
        <w:br/>
      </w:r>
      <w:r w:rsidRPr="002C4984">
        <w:rPr>
          <w:rFonts w:hint="eastAsia"/>
        </w:rPr>
        <w:t>素。</w:t>
      </w:r>
    </w:p>
    <w:p w:rsidR="00853B80" w:rsidRPr="002C4984" w:rsidRDefault="00853B80" w:rsidP="00015D4C">
      <w:pPr>
        <w:pStyle w:val="normal0"/>
      </w:pPr>
      <w:r w:rsidRPr="002C4984">
        <w:rPr>
          <w:rFonts w:hint="eastAsia"/>
        </w:rPr>
        <w:t>一般来说，以上频率相关费用构成了国家通过频谱相关费用获得的预算收入的主要部分。</w:t>
      </w:r>
    </w:p>
    <w:p w:rsidR="00853B80" w:rsidRPr="002C4984" w:rsidRDefault="00853B80" w:rsidP="00015D4C">
      <w:pPr>
        <w:pStyle w:val="normal0"/>
      </w:pPr>
      <w:r w:rsidRPr="002C4984">
        <w:rPr>
          <w:rFonts w:hint="eastAsia"/>
        </w:rPr>
        <w:t>为了反映从位置租费中获得的收入，应当考虑各种因素，例如执照覆盖的人口、执照涉及的区域或者提供或销售服务产生的营业额。</w:t>
      </w:r>
    </w:p>
    <w:p w:rsidR="00853B80" w:rsidRPr="002C4984" w:rsidRDefault="00853B80" w:rsidP="00015D4C">
      <w:pPr>
        <w:pStyle w:val="normal0"/>
      </w:pPr>
      <w:r w:rsidRPr="002C4984">
        <w:rPr>
          <w:rFonts w:hint="eastAsia"/>
        </w:rPr>
        <w:t>通常，营业额被证明是位置租费方面最具代表性的因素。</w:t>
      </w:r>
    </w:p>
    <w:p w:rsidR="00853B80" w:rsidRDefault="00853B80" w:rsidP="00015D4C">
      <w:pPr>
        <w:pStyle w:val="normal0"/>
      </w:pPr>
      <w:r w:rsidRPr="002C4984">
        <w:rPr>
          <w:rFonts w:hint="eastAsia"/>
        </w:rPr>
        <w:t>如果用营业额作为费用计算的依据，建议明确定义营业额的外缘和内涵。</w:t>
      </w:r>
    </w:p>
    <w:p w:rsidR="00853B80" w:rsidRPr="002C4984" w:rsidRDefault="00853B80" w:rsidP="001F3051">
      <w:pPr>
        <w:pStyle w:val="Heading3"/>
      </w:pPr>
      <w:bookmarkStart w:id="32" w:name="_Toc288642946"/>
      <w:r w:rsidRPr="002C4984">
        <w:t>5.3.2</w:t>
      </w:r>
      <w:r w:rsidRPr="002C4984">
        <w:tab/>
      </w:r>
      <w:r w:rsidRPr="002C4984">
        <w:rPr>
          <w:rFonts w:hint="eastAsia"/>
        </w:rPr>
        <w:t>应用于</w:t>
      </w:r>
      <w:smartTag w:uri="urn:schemas-microsoft-com:office:smarttags" w:element="chmetcnv">
        <w:smartTagPr>
          <w:attr w:name="UnitName" w:val="g"/>
          <w:attr w:name="SourceValue" w:val="2"/>
          <w:attr w:name="HasSpace" w:val="False"/>
          <w:attr w:name="Negative" w:val="False"/>
          <w:attr w:name="NumberType" w:val="1"/>
          <w:attr w:name="TCSC" w:val="0"/>
        </w:smartTagPr>
        <w:r w:rsidRPr="002C4984">
          <w:t>2G</w:t>
        </w:r>
      </w:smartTag>
      <w:r w:rsidRPr="002C4984">
        <w:rPr>
          <w:rFonts w:hint="eastAsia"/>
        </w:rPr>
        <w:t>移动业务的费用示例</w:t>
      </w:r>
      <w:bookmarkEnd w:id="32"/>
    </w:p>
    <w:p w:rsidR="00853B80" w:rsidRPr="002C4984" w:rsidRDefault="00853B80" w:rsidP="00015D4C">
      <w:pPr>
        <w:pStyle w:val="normal0"/>
      </w:pPr>
      <w:r w:rsidRPr="002C4984">
        <w:rPr>
          <w:rFonts w:hint="eastAsia"/>
        </w:rPr>
        <w:t>以下方程式可用于确定频谱费年数额</w:t>
      </w:r>
      <w:r w:rsidRPr="002C4984">
        <w:rPr>
          <w:i/>
        </w:rPr>
        <w:t>Rs</w:t>
      </w:r>
      <w:r w:rsidRPr="002C4984">
        <w:rPr>
          <w:rFonts w:hint="eastAsia"/>
        </w:rPr>
        <w:t>：</w:t>
      </w:r>
    </w:p>
    <w:p w:rsidR="0099588E" w:rsidRPr="0099588E" w:rsidRDefault="0099588E" w:rsidP="0099588E">
      <w:pPr>
        <w:tabs>
          <w:tab w:val="left" w:pos="-1190"/>
          <w:tab w:val="left" w:pos="0"/>
        </w:tabs>
        <w:jc w:val="center"/>
        <w:rPr>
          <w:szCs w:val="22"/>
        </w:rPr>
      </w:pPr>
      <m:oMathPara>
        <m:oMath>
          <m:r>
            <m:rPr>
              <m:sty m:val="p"/>
            </m:rPr>
            <w:rPr>
              <w:rFonts w:ascii="Cambria Math" w:hAnsi="Cambria Math"/>
              <w:szCs w:val="22"/>
            </w:rPr>
            <m:t>Rs=F+t%*CA</m:t>
          </m:r>
        </m:oMath>
      </m:oMathPara>
    </w:p>
    <w:p w:rsidR="00853B80" w:rsidRPr="002C4984" w:rsidRDefault="00853B80" w:rsidP="001F3051">
      <w:r w:rsidRPr="002C4984">
        <w:rPr>
          <w:rFonts w:hint="eastAsia"/>
        </w:rPr>
        <w:t>其中：</w:t>
      </w:r>
    </w:p>
    <w:p w:rsidR="00853B80" w:rsidRPr="002C4984" w:rsidRDefault="00853B80" w:rsidP="001F3051">
      <w:pPr>
        <w:pStyle w:val="enumlev1"/>
        <w:rPr>
          <w:lang w:eastAsia="zh-CN"/>
        </w:rPr>
      </w:pPr>
      <w:r w:rsidRPr="002C4984">
        <w:rPr>
          <w:lang w:eastAsia="zh-CN"/>
        </w:rPr>
        <w:t>–</w:t>
      </w:r>
      <w:r w:rsidRPr="002C4984">
        <w:rPr>
          <w:lang w:eastAsia="zh-CN"/>
        </w:rPr>
        <w:tab/>
      </w:r>
      <w:r w:rsidRPr="002C4984">
        <w:rPr>
          <w:bCs/>
          <w:lang w:eastAsia="zh-CN"/>
        </w:rPr>
        <w:t>F</w:t>
      </w:r>
      <w:r w:rsidRPr="002C4984">
        <w:rPr>
          <w:rFonts w:hint="eastAsia"/>
          <w:lang w:eastAsia="zh-CN"/>
        </w:rPr>
        <w:t>表示每年应付的固定数额。这个数额可以与划分给正被讨论的运营商用于</w:t>
      </w:r>
      <w:smartTag w:uri="urn:schemas-microsoft-com:office:smarttags" w:element="chmetcnv">
        <w:smartTagPr>
          <w:attr w:name="UnitName" w:val="g"/>
          <w:attr w:name="SourceValue" w:val="2"/>
          <w:attr w:name="HasSpace" w:val="False"/>
          <w:attr w:name="Negative" w:val="False"/>
          <w:attr w:name="NumberType" w:val="1"/>
          <w:attr w:name="TCSC" w:val="0"/>
        </w:smartTagPr>
        <w:r w:rsidRPr="002C4984">
          <w:rPr>
            <w:bCs/>
            <w:lang w:eastAsia="zh-CN"/>
          </w:rPr>
          <w:t>2G</w:t>
        </w:r>
      </w:smartTag>
      <w:r w:rsidRPr="002C4984">
        <w:rPr>
          <w:rFonts w:hint="eastAsia"/>
          <w:lang w:eastAsia="zh-CN"/>
        </w:rPr>
        <w:t>业务的总带宽成一定比例。</w:t>
      </w:r>
    </w:p>
    <w:p w:rsidR="00853B80" w:rsidRPr="002C4984" w:rsidRDefault="00853B80" w:rsidP="001F3051">
      <w:pPr>
        <w:pStyle w:val="enumlev1"/>
        <w:rPr>
          <w:lang w:eastAsia="zh-CN"/>
        </w:rPr>
      </w:pPr>
      <w:r w:rsidRPr="002C4984">
        <w:rPr>
          <w:lang w:eastAsia="zh-CN"/>
        </w:rPr>
        <w:t>–</w:t>
      </w:r>
      <w:r w:rsidRPr="002C4984">
        <w:rPr>
          <w:lang w:eastAsia="zh-CN"/>
        </w:rPr>
        <w:tab/>
      </w:r>
      <w:r w:rsidRPr="002C4984">
        <w:rPr>
          <w:bCs/>
          <w:lang w:eastAsia="zh-CN"/>
        </w:rPr>
        <w:t>CA</w:t>
      </w:r>
      <w:r w:rsidRPr="002C4984">
        <w:rPr>
          <w:rFonts w:hint="eastAsia"/>
          <w:lang w:eastAsia="zh-CN"/>
        </w:rPr>
        <w:t>表示运营商当年的</w:t>
      </w:r>
      <w:smartTag w:uri="urn:schemas-microsoft-com:office:smarttags" w:element="chmetcnv">
        <w:smartTagPr>
          <w:attr w:name="UnitName" w:val="g"/>
          <w:attr w:name="SourceValue" w:val="2"/>
          <w:attr w:name="HasSpace" w:val="False"/>
          <w:attr w:name="Negative" w:val="False"/>
          <w:attr w:name="NumberType" w:val="1"/>
          <w:attr w:name="TCSC" w:val="0"/>
        </w:smartTagPr>
        <w:r w:rsidRPr="002C4984">
          <w:rPr>
            <w:bCs/>
            <w:lang w:eastAsia="zh-CN"/>
          </w:rPr>
          <w:t>2G</w:t>
        </w:r>
      </w:smartTag>
      <w:r w:rsidRPr="002C4984">
        <w:rPr>
          <w:rFonts w:hint="eastAsia"/>
          <w:lang w:eastAsia="zh-CN"/>
        </w:rPr>
        <w:t>移动业务频率营业额。</w:t>
      </w:r>
    </w:p>
    <w:p w:rsidR="00853B80" w:rsidRPr="002C4984" w:rsidRDefault="00853B80" w:rsidP="001F3051">
      <w:pPr>
        <w:pStyle w:val="enumlev1"/>
      </w:pPr>
      <w:r w:rsidRPr="002C4984">
        <w:t>–</w:t>
      </w:r>
      <w:r w:rsidRPr="002C4984">
        <w:tab/>
        <w:t>t%</w:t>
      </w:r>
      <w:r w:rsidRPr="002C4984">
        <w:rPr>
          <w:rFonts w:hint="eastAsia"/>
        </w:rPr>
        <w:t>表示从运营商营业额中征收的百分比。一般来说，管理机构应用的</w:t>
      </w:r>
      <w:r w:rsidRPr="002C4984">
        <w:t>t%</w:t>
      </w:r>
      <w:r w:rsidRPr="002C4984">
        <w:rPr>
          <w:rFonts w:hint="eastAsia"/>
        </w:rPr>
        <w:t>为</w:t>
      </w:r>
      <w:r w:rsidRPr="002C4984">
        <w:t>1%</w:t>
      </w:r>
      <w:r w:rsidRPr="002C4984">
        <w:rPr>
          <w:rFonts w:hint="eastAsia"/>
        </w:rPr>
        <w:t>或接近</w:t>
      </w:r>
      <w:r w:rsidRPr="002C4984">
        <w:t>1%</w:t>
      </w:r>
      <w:r w:rsidRPr="002C4984">
        <w:rPr>
          <w:rFonts w:hint="eastAsia"/>
        </w:rPr>
        <w:t>。</w:t>
      </w:r>
    </w:p>
    <w:p w:rsidR="00853B80" w:rsidRPr="002C4984" w:rsidRDefault="00853B80" w:rsidP="001F3051">
      <w:pPr>
        <w:pStyle w:val="Heading3"/>
      </w:pPr>
      <w:bookmarkStart w:id="33" w:name="_Toc288642947"/>
      <w:smartTag w:uri="urn:schemas-microsoft-com:office:smarttags" w:element="chsdate">
        <w:smartTagPr>
          <w:attr w:name="Year" w:val="1899"/>
          <w:attr w:name="Month" w:val="12"/>
          <w:attr w:name="Day" w:val="30"/>
          <w:attr w:name="IsLunarDate" w:val="False"/>
          <w:attr w:name="IsROCDate" w:val="False"/>
        </w:smartTagPr>
        <w:r w:rsidRPr="002C4984">
          <w:t>5.3.3</w:t>
        </w:r>
        <w:r w:rsidRPr="002C4984">
          <w:tab/>
        </w:r>
      </w:smartTag>
      <w:r w:rsidRPr="002C4984">
        <w:rPr>
          <w:rFonts w:hint="eastAsia"/>
        </w:rPr>
        <w:t>应用于</w:t>
      </w:r>
      <w:smartTag w:uri="urn:schemas-microsoft-com:office:smarttags" w:element="chmetcnv">
        <w:smartTagPr>
          <w:attr w:name="UnitName" w:val="g"/>
          <w:attr w:name="SourceValue" w:val="3"/>
          <w:attr w:name="HasSpace" w:val="False"/>
          <w:attr w:name="Negative" w:val="False"/>
          <w:attr w:name="NumberType" w:val="1"/>
          <w:attr w:name="TCSC" w:val="0"/>
        </w:smartTagPr>
        <w:r w:rsidRPr="002C4984">
          <w:t>3G</w:t>
        </w:r>
      </w:smartTag>
      <w:r w:rsidRPr="001F3051">
        <w:rPr>
          <w:rFonts w:hint="eastAsia"/>
        </w:rPr>
        <w:t>移动业务的费用示例</w:t>
      </w:r>
      <w:bookmarkEnd w:id="33"/>
    </w:p>
    <w:p w:rsidR="00853B80" w:rsidRPr="002C4984" w:rsidRDefault="00853B80" w:rsidP="00A228DD">
      <w:pPr>
        <w:pStyle w:val="normal0"/>
      </w:pPr>
      <w:r w:rsidRPr="002C4984">
        <w:rPr>
          <w:rFonts w:hint="eastAsia"/>
        </w:rPr>
        <w:t>以下方程式可用于确定频谱费年数额</w:t>
      </w:r>
      <w:r w:rsidRPr="002C4984">
        <w:rPr>
          <w:i/>
        </w:rPr>
        <w:t>Rs</w:t>
      </w:r>
      <w:r w:rsidRPr="002C4984">
        <w:rPr>
          <w:rFonts w:hint="eastAsia"/>
        </w:rPr>
        <w:t>：</w:t>
      </w:r>
    </w:p>
    <w:p w:rsidR="0099588E" w:rsidRPr="0099588E" w:rsidRDefault="0099588E" w:rsidP="0099588E">
      <w:pPr>
        <w:tabs>
          <w:tab w:val="left" w:pos="-1190"/>
          <w:tab w:val="left" w:pos="0"/>
        </w:tabs>
        <w:jc w:val="center"/>
        <w:rPr>
          <w:szCs w:val="22"/>
        </w:rPr>
      </w:pPr>
      <m:oMathPara>
        <m:oMath>
          <m:r>
            <m:rPr>
              <m:sty m:val="p"/>
            </m:rPr>
            <w:rPr>
              <w:rFonts w:ascii="Cambria Math" w:hAnsi="Cambria Math"/>
              <w:szCs w:val="22"/>
            </w:rPr>
            <m:t>Rs=t%*CA</m:t>
          </m:r>
        </m:oMath>
      </m:oMathPara>
    </w:p>
    <w:p w:rsidR="00853B80" w:rsidRPr="002C4984" w:rsidRDefault="00853B80" w:rsidP="001F3051">
      <w:r w:rsidRPr="002C4984">
        <w:rPr>
          <w:rFonts w:hint="eastAsia"/>
        </w:rPr>
        <w:t>其中：</w:t>
      </w:r>
    </w:p>
    <w:p w:rsidR="00853B80" w:rsidRPr="001F3051" w:rsidRDefault="00853B80" w:rsidP="001F3051">
      <w:pPr>
        <w:pStyle w:val="enumlev1"/>
      </w:pPr>
      <w:r w:rsidRPr="001F3051">
        <w:t>–</w:t>
      </w:r>
      <w:r w:rsidRPr="001F3051">
        <w:tab/>
        <w:t>CA</w:t>
      </w:r>
      <w:r w:rsidRPr="001F3051">
        <w:rPr>
          <w:rFonts w:hint="eastAsia"/>
        </w:rPr>
        <w:t>表示运营商当年的</w:t>
      </w:r>
      <w:smartTag w:uri="urn:schemas-microsoft-com:office:smarttags" w:element="chmetcnv">
        <w:smartTagPr>
          <w:attr w:name="UnitName" w:val="g"/>
          <w:attr w:name="SourceValue" w:val="3"/>
          <w:attr w:name="HasSpace" w:val="False"/>
          <w:attr w:name="Negative" w:val="False"/>
          <w:attr w:name="NumberType" w:val="1"/>
          <w:attr w:name="TCSC" w:val="0"/>
        </w:smartTagPr>
        <w:r w:rsidRPr="001F3051">
          <w:t>3G</w:t>
        </w:r>
      </w:smartTag>
      <w:r w:rsidRPr="001F3051">
        <w:rPr>
          <w:rFonts w:hint="eastAsia"/>
        </w:rPr>
        <w:t>移动业务频率营业额。</w:t>
      </w:r>
    </w:p>
    <w:p w:rsidR="00853B80" w:rsidRPr="001F3051" w:rsidRDefault="00853B80" w:rsidP="001F3051">
      <w:pPr>
        <w:pStyle w:val="enumlev1"/>
      </w:pPr>
      <w:r w:rsidRPr="001F3051">
        <w:t>–</w:t>
      </w:r>
      <w:r w:rsidRPr="001F3051">
        <w:tab/>
        <w:t>t%</w:t>
      </w:r>
      <w:r w:rsidRPr="001F3051">
        <w:rPr>
          <w:rFonts w:hint="eastAsia"/>
        </w:rPr>
        <w:t>表示从运营商营业额中征收的百分比。</w:t>
      </w:r>
    </w:p>
    <w:p w:rsidR="00853B80" w:rsidRPr="002C4984" w:rsidRDefault="00853B80" w:rsidP="00A228DD">
      <w:pPr>
        <w:pStyle w:val="normal0"/>
      </w:pPr>
      <w:r w:rsidRPr="002C4984">
        <w:rPr>
          <w:rFonts w:hint="eastAsia"/>
        </w:rPr>
        <w:t>在这种年费上增加了一种</w:t>
      </w:r>
      <w:r>
        <w:rPr>
          <w:rFonts w:hint="eastAsia"/>
        </w:rPr>
        <w:t>“</w:t>
      </w:r>
      <w:r w:rsidRPr="002C4984">
        <w:rPr>
          <w:rFonts w:hint="eastAsia"/>
        </w:rPr>
        <w:t>入门门票</w:t>
      </w:r>
      <w:r>
        <w:rPr>
          <w:rFonts w:hint="eastAsia"/>
        </w:rPr>
        <w:t>”</w:t>
      </w:r>
      <w:r w:rsidRPr="002C4984">
        <w:rPr>
          <w:rFonts w:hint="eastAsia"/>
        </w:rPr>
        <w:t>，在分配执照时支付。</w:t>
      </w:r>
      <w:r>
        <w:rPr>
          <w:rFonts w:hint="eastAsia"/>
        </w:rPr>
        <w:t>“</w:t>
      </w:r>
      <w:r w:rsidRPr="002C4984">
        <w:rPr>
          <w:rFonts w:hint="eastAsia"/>
        </w:rPr>
        <w:t>入门门票</w:t>
      </w:r>
      <w:r>
        <w:rPr>
          <w:rFonts w:hint="eastAsia"/>
        </w:rPr>
        <w:t>”</w:t>
      </w:r>
      <w:r w:rsidRPr="002C4984">
        <w:rPr>
          <w:rFonts w:hint="eastAsia"/>
        </w:rPr>
        <w:t>的数额可以与所划分的带宽成一定比例，应特别参照第</w:t>
      </w:r>
      <w:r w:rsidRPr="002C4984">
        <w:t>[23]</w:t>
      </w:r>
      <w:r w:rsidRPr="002C4984">
        <w:rPr>
          <w:rFonts w:hint="eastAsia"/>
        </w:rPr>
        <w:t>款设定，并视具体情况而定，以避免妨碍新进入者的网络部署。</w:t>
      </w:r>
    </w:p>
    <w:p w:rsidR="00853B80" w:rsidRPr="002C4984" w:rsidRDefault="00853B80" w:rsidP="001F3051">
      <w:pPr>
        <w:pStyle w:val="Heading3"/>
      </w:pPr>
      <w:bookmarkStart w:id="34" w:name="_Toc288642948"/>
      <w:smartTag w:uri="urn:schemas-microsoft-com:office:smarttags" w:element="chsdate">
        <w:smartTagPr>
          <w:attr w:name="Year" w:val="1899"/>
          <w:attr w:name="Month" w:val="12"/>
          <w:attr w:name="Day" w:val="30"/>
          <w:attr w:name="IsLunarDate" w:val="False"/>
          <w:attr w:name="IsROCDate" w:val="False"/>
        </w:smartTagPr>
        <w:r w:rsidRPr="002C4984">
          <w:t>5.3.4</w:t>
        </w:r>
        <w:r w:rsidRPr="002C4984">
          <w:tab/>
        </w:r>
      </w:smartTag>
      <w:r w:rsidRPr="001F3051">
        <w:rPr>
          <w:rFonts w:hint="eastAsia"/>
        </w:rPr>
        <w:t>应用于固定无线本地环路业务的费用示例</w:t>
      </w:r>
      <w:bookmarkEnd w:id="34"/>
    </w:p>
    <w:p w:rsidR="00853B80" w:rsidRPr="002C4984" w:rsidRDefault="00853B80" w:rsidP="00A228DD">
      <w:pPr>
        <w:pStyle w:val="normal0"/>
      </w:pPr>
      <w:r w:rsidRPr="002C4984">
        <w:rPr>
          <w:rFonts w:hint="eastAsia"/>
        </w:rPr>
        <w:t>以下方程式可用于确定频谱费年数额</w:t>
      </w:r>
      <w:r w:rsidRPr="002C4984">
        <w:rPr>
          <w:i/>
        </w:rPr>
        <w:t>Rs</w:t>
      </w:r>
      <w:r w:rsidRPr="002C4984">
        <w:rPr>
          <w:rFonts w:hint="eastAsia"/>
        </w:rPr>
        <w:t>：</w:t>
      </w:r>
    </w:p>
    <w:p w:rsidR="0099588E" w:rsidRPr="0099588E" w:rsidRDefault="0099588E" w:rsidP="0099588E">
      <w:pPr>
        <w:tabs>
          <w:tab w:val="left" w:pos="-1190"/>
          <w:tab w:val="left" w:pos="0"/>
        </w:tabs>
        <w:jc w:val="center"/>
        <w:rPr>
          <w:szCs w:val="22"/>
        </w:rPr>
      </w:pPr>
      <m:oMathPara>
        <m:oMath>
          <m:r>
            <m:rPr>
              <m:sty m:val="p"/>
            </m:rPr>
            <w:rPr>
              <w:rFonts w:ascii="Cambria Math" w:hAnsi="Cambria Math"/>
              <w:szCs w:val="22"/>
            </w:rPr>
            <m:t>Rs=t%*CA</m:t>
          </m:r>
        </m:oMath>
      </m:oMathPara>
    </w:p>
    <w:p w:rsidR="00853B80" w:rsidRPr="002C4984" w:rsidRDefault="00853B80" w:rsidP="001F3051">
      <w:r w:rsidRPr="002C4984">
        <w:rPr>
          <w:rFonts w:hint="eastAsia"/>
        </w:rPr>
        <w:t>其中：</w:t>
      </w:r>
    </w:p>
    <w:p w:rsidR="00853B80" w:rsidRPr="001F3051" w:rsidRDefault="00853B80" w:rsidP="001F3051">
      <w:pPr>
        <w:pStyle w:val="enumlev1"/>
      </w:pPr>
      <w:r w:rsidRPr="001F3051">
        <w:t>–</w:t>
      </w:r>
      <w:r w:rsidRPr="001F3051">
        <w:tab/>
        <w:t>CA</w:t>
      </w:r>
      <w:r w:rsidRPr="001F3051">
        <w:rPr>
          <w:rFonts w:hint="eastAsia"/>
        </w:rPr>
        <w:t>表示运营商当年的固定无线本地环路业务频率的营业额。</w:t>
      </w:r>
    </w:p>
    <w:p w:rsidR="00853B80" w:rsidRPr="001F3051" w:rsidRDefault="00853B80" w:rsidP="001F3051">
      <w:pPr>
        <w:pStyle w:val="enumlev1"/>
      </w:pPr>
      <w:r w:rsidRPr="001F3051">
        <w:t>–</w:t>
      </w:r>
      <w:r w:rsidRPr="001F3051">
        <w:tab/>
        <w:t>t%</w:t>
      </w:r>
      <w:r w:rsidRPr="001F3051">
        <w:rPr>
          <w:rFonts w:hint="eastAsia"/>
        </w:rPr>
        <w:t>表示从运营商营业额中征收的百分比。</w:t>
      </w:r>
    </w:p>
    <w:p w:rsidR="00853B80" w:rsidRPr="002C4984" w:rsidRDefault="00853B80" w:rsidP="00A228DD">
      <w:pPr>
        <w:pStyle w:val="normal0"/>
      </w:pPr>
      <w:r w:rsidRPr="002C4984">
        <w:rPr>
          <w:rFonts w:hint="eastAsia"/>
        </w:rPr>
        <w:lastRenderedPageBreak/>
        <w:t>在这种年费上增加了一种</w:t>
      </w:r>
      <w:r>
        <w:rPr>
          <w:rFonts w:hint="eastAsia"/>
        </w:rPr>
        <w:t>“</w:t>
      </w:r>
      <w:r w:rsidRPr="002C4984">
        <w:rPr>
          <w:rFonts w:hint="eastAsia"/>
        </w:rPr>
        <w:t>入门门票</w:t>
      </w:r>
      <w:r>
        <w:rPr>
          <w:rFonts w:hint="eastAsia"/>
        </w:rPr>
        <w:t>”</w:t>
      </w:r>
      <w:r w:rsidRPr="002C4984">
        <w:rPr>
          <w:rFonts w:hint="eastAsia"/>
        </w:rPr>
        <w:t>，在分配执照时支付。</w:t>
      </w:r>
      <w:r>
        <w:rPr>
          <w:rFonts w:hint="eastAsia"/>
        </w:rPr>
        <w:t>“</w:t>
      </w:r>
      <w:r w:rsidRPr="002C4984">
        <w:rPr>
          <w:rFonts w:hint="eastAsia"/>
        </w:rPr>
        <w:t>入门门票</w:t>
      </w:r>
      <w:r>
        <w:rPr>
          <w:rFonts w:hint="eastAsia"/>
        </w:rPr>
        <w:t>”</w:t>
      </w:r>
      <w:r w:rsidRPr="002C4984">
        <w:rPr>
          <w:rFonts w:hint="eastAsia"/>
        </w:rPr>
        <w:t>的数额可以与所划分的带宽成一定比例，应特别参照第</w:t>
      </w:r>
      <w:r w:rsidRPr="002C4984">
        <w:t>[23]</w:t>
      </w:r>
      <w:r w:rsidRPr="002C4984">
        <w:rPr>
          <w:rFonts w:hint="eastAsia"/>
        </w:rPr>
        <w:t>款设定，并视具体情况而定，以避免妨碍新进入者的网络部署。</w:t>
      </w:r>
    </w:p>
    <w:p w:rsidR="00853B80" w:rsidRPr="002C4984" w:rsidRDefault="00853B80" w:rsidP="001F3051">
      <w:pPr>
        <w:pStyle w:val="Heading3"/>
      </w:pPr>
      <w:bookmarkStart w:id="35" w:name="_Toc288642949"/>
      <w:smartTag w:uri="urn:schemas-microsoft-com:office:smarttags" w:element="chsdate">
        <w:smartTagPr>
          <w:attr w:name="Year" w:val="1899"/>
          <w:attr w:name="Month" w:val="12"/>
          <w:attr w:name="Day" w:val="30"/>
          <w:attr w:name="IsLunarDate" w:val="False"/>
          <w:attr w:name="IsROCDate" w:val="False"/>
        </w:smartTagPr>
        <w:r w:rsidRPr="002C4984">
          <w:t>5.3.5</w:t>
        </w:r>
        <w:r w:rsidRPr="002C4984">
          <w:tab/>
        </w:r>
      </w:smartTag>
      <w:r w:rsidRPr="001F3051">
        <w:rPr>
          <w:rFonts w:hint="eastAsia"/>
        </w:rPr>
        <w:t>应用于电视节目制造商的费用示例</w:t>
      </w:r>
      <w:bookmarkEnd w:id="35"/>
    </w:p>
    <w:p w:rsidR="00853B80" w:rsidRPr="002C4984" w:rsidRDefault="00853B80" w:rsidP="00A228DD">
      <w:pPr>
        <w:pStyle w:val="normal0"/>
      </w:pPr>
      <w:r w:rsidRPr="002C4984">
        <w:rPr>
          <w:rFonts w:hint="eastAsia"/>
        </w:rPr>
        <w:t>以下方程式可用于确定频谱费年数额</w:t>
      </w:r>
      <w:r w:rsidRPr="002C4984">
        <w:rPr>
          <w:i/>
        </w:rPr>
        <w:t>Rs</w:t>
      </w:r>
      <w:r w:rsidRPr="002C4984">
        <w:rPr>
          <w:rFonts w:hint="eastAsia"/>
        </w:rPr>
        <w:t>：</w:t>
      </w:r>
    </w:p>
    <w:p w:rsidR="003E4E0B" w:rsidRPr="003E4E0B" w:rsidRDefault="003E4E0B" w:rsidP="003E4E0B">
      <w:pPr>
        <w:tabs>
          <w:tab w:val="left" w:pos="-1190"/>
          <w:tab w:val="left" w:pos="0"/>
        </w:tabs>
        <w:jc w:val="center"/>
        <w:rPr>
          <w:szCs w:val="22"/>
        </w:rPr>
      </w:pPr>
      <m:oMathPara>
        <m:oMath>
          <m:r>
            <m:rPr>
              <m:sty m:val="p"/>
            </m:rPr>
            <w:rPr>
              <w:rFonts w:ascii="Cambria Math" w:hAnsi="Cambria Math"/>
              <w:szCs w:val="22"/>
            </w:rPr>
            <m:t>Rs=F+t%*CA</m:t>
          </m:r>
        </m:oMath>
      </m:oMathPara>
    </w:p>
    <w:p w:rsidR="00853B80" w:rsidRPr="002C4984" w:rsidRDefault="00853B80" w:rsidP="001F3051">
      <w:r w:rsidRPr="002C4984">
        <w:rPr>
          <w:rFonts w:hint="eastAsia"/>
        </w:rPr>
        <w:t>其中：</w:t>
      </w:r>
    </w:p>
    <w:p w:rsidR="00853B80" w:rsidRPr="001F3051" w:rsidRDefault="00853B80" w:rsidP="001F3051">
      <w:pPr>
        <w:pStyle w:val="enumlev1"/>
      </w:pPr>
      <w:r w:rsidRPr="001F3051">
        <w:t>–</w:t>
      </w:r>
      <w:r w:rsidRPr="001F3051">
        <w:tab/>
        <w:t>F</w:t>
      </w:r>
      <w:r w:rsidRPr="001F3051">
        <w:rPr>
          <w:rFonts w:hint="eastAsia"/>
        </w:rPr>
        <w:t>表示每年应付的固定数额。该数额与划分给正被讨论的运营商用于广播目的的总带宽成一定的比例。</w:t>
      </w:r>
    </w:p>
    <w:p w:rsidR="00853B80" w:rsidRPr="001F3051" w:rsidRDefault="00853B80" w:rsidP="001F3051">
      <w:pPr>
        <w:pStyle w:val="enumlev1"/>
      </w:pPr>
      <w:r w:rsidRPr="001F3051">
        <w:t>–</w:t>
      </w:r>
      <w:r w:rsidRPr="001F3051">
        <w:tab/>
        <w:t>CA</w:t>
      </w:r>
      <w:r w:rsidRPr="001F3051">
        <w:rPr>
          <w:rFonts w:hint="eastAsia"/>
        </w:rPr>
        <w:t>表示运营商当年从广告收入中获得的营业额，根据具体情况，由从订购费和按次付费中获得的收入进行补充。</w:t>
      </w:r>
    </w:p>
    <w:p w:rsidR="00853B80" w:rsidRPr="002C4984" w:rsidRDefault="00853B80" w:rsidP="00853B80">
      <w:pPr>
        <w:tabs>
          <w:tab w:val="left" w:pos="-1190"/>
          <w:tab w:val="left" w:pos="0"/>
          <w:tab w:val="left" w:pos="840"/>
        </w:tabs>
        <w:rPr>
          <w:sz w:val="24"/>
          <w:szCs w:val="24"/>
        </w:rPr>
      </w:pPr>
      <w:r w:rsidRPr="002C4984">
        <w:rPr>
          <w:sz w:val="24"/>
          <w:szCs w:val="24"/>
        </w:rPr>
        <w:t>–</w:t>
      </w:r>
      <w:r w:rsidRPr="002C4984">
        <w:rPr>
          <w:sz w:val="24"/>
          <w:szCs w:val="24"/>
        </w:rPr>
        <w:tab/>
        <w:t>t%</w:t>
      </w:r>
      <w:r w:rsidRPr="002C4984">
        <w:rPr>
          <w:rFonts w:hint="eastAsia"/>
          <w:sz w:val="24"/>
          <w:szCs w:val="24"/>
        </w:rPr>
        <w:t>表示从运营商营业额中征收的百分比。</w:t>
      </w:r>
    </w:p>
    <w:p w:rsidR="00853B80" w:rsidRPr="002C4984" w:rsidRDefault="00853B80" w:rsidP="00853B80">
      <w:pPr>
        <w:pStyle w:val="Heading1"/>
        <w:spacing w:before="240" w:after="120"/>
        <w:rPr>
          <w:szCs w:val="24"/>
        </w:rPr>
      </w:pPr>
      <w:bookmarkStart w:id="36" w:name="_Toc223239307"/>
      <w:bookmarkStart w:id="37" w:name="_Toc288642950"/>
      <w:r w:rsidRPr="002C4984">
        <w:rPr>
          <w:szCs w:val="24"/>
        </w:rPr>
        <w:t>6</w:t>
      </w:r>
      <w:r w:rsidRPr="002C4984">
        <w:rPr>
          <w:szCs w:val="24"/>
        </w:rPr>
        <w:tab/>
      </w:r>
      <w:r w:rsidRPr="002C4984">
        <w:rPr>
          <w:rFonts w:hint="eastAsia"/>
          <w:szCs w:val="24"/>
        </w:rPr>
        <w:t>应用费用国际比较的建议</w:t>
      </w:r>
      <w:bookmarkEnd w:id="36"/>
      <w:bookmarkEnd w:id="37"/>
    </w:p>
    <w:p w:rsidR="00853B80" w:rsidRPr="002C4984" w:rsidRDefault="00853B80" w:rsidP="00A228DD">
      <w:pPr>
        <w:pStyle w:val="normal0"/>
      </w:pPr>
      <w:r w:rsidRPr="002C4984">
        <w:rPr>
          <w:rFonts w:hint="eastAsia"/>
        </w:rPr>
        <w:t>频谱费用数据库应按照第</w:t>
      </w:r>
      <w:r w:rsidRPr="002C4984">
        <w:t>9</w:t>
      </w:r>
      <w:r w:rsidRPr="002C4984">
        <w:rPr>
          <w:rFonts w:hint="eastAsia"/>
        </w:rPr>
        <w:t>号决议在国际电联的网站上公布，包含与各个管理机构使用的收费系统相关的数据。</w:t>
      </w:r>
    </w:p>
    <w:p w:rsidR="00853B80" w:rsidRPr="002C4984" w:rsidRDefault="00853B80" w:rsidP="00A228DD">
      <w:pPr>
        <w:pStyle w:val="normal0"/>
      </w:pPr>
      <w:r w:rsidRPr="002C4984">
        <w:rPr>
          <w:rFonts w:hint="eastAsia"/>
        </w:rPr>
        <w:t>在对各个国家的收费进行国际比较时需要考虑到众多因素（见附件</w:t>
      </w:r>
      <w:r w:rsidRPr="002C4984">
        <w:t>4</w:t>
      </w:r>
      <w:r w:rsidRPr="002C4984">
        <w:rPr>
          <w:rFonts w:hint="eastAsia"/>
        </w:rPr>
        <w:t>）。</w:t>
      </w:r>
    </w:p>
    <w:p w:rsidR="00853B80" w:rsidRDefault="00853B80" w:rsidP="00A228DD">
      <w:pPr>
        <w:pStyle w:val="normal0"/>
      </w:pPr>
      <w:r w:rsidRPr="002C4984">
        <w:rPr>
          <w:rFonts w:hint="eastAsia"/>
        </w:rPr>
        <w:t>在这些因素中（在一些情况下确定这些因素需要大量的时间和资源），建议将</w:t>
      </w:r>
      <w:r w:rsidRPr="002C4984">
        <w:t>GDP</w:t>
      </w:r>
      <w:r w:rsidRPr="002C4984">
        <w:rPr>
          <w:rFonts w:hint="eastAsia"/>
        </w:rPr>
        <w:t>或</w:t>
      </w:r>
      <w:r w:rsidRPr="002C4984">
        <w:t>GDP/</w:t>
      </w:r>
      <w:r w:rsidRPr="002C4984">
        <w:rPr>
          <w:rFonts w:hint="eastAsia"/>
        </w:rPr>
        <w:t>居民数用作原始数据的校正因数，以便在初始轮中轻松、快速地获得一个相对满意的费用比较。</w:t>
      </w:r>
    </w:p>
    <w:p w:rsidR="00853B80" w:rsidRDefault="00853B80" w:rsidP="00C33663"/>
    <w:p w:rsidR="00853B80" w:rsidRDefault="00853B80" w:rsidP="00853B80">
      <w:pPr>
        <w:spacing w:before="0"/>
        <w:rPr>
          <w:sz w:val="24"/>
          <w:szCs w:val="24"/>
        </w:rPr>
      </w:pPr>
      <w:r>
        <w:rPr>
          <w:sz w:val="24"/>
          <w:szCs w:val="24"/>
        </w:rPr>
        <w:br w:type="page"/>
      </w:r>
    </w:p>
    <w:p w:rsidR="00853B80" w:rsidRDefault="00853B80" w:rsidP="00853B80">
      <w:pPr>
        <w:pStyle w:val="Heading1"/>
        <w:spacing w:before="240" w:after="120"/>
        <w:rPr>
          <w:b w:val="0"/>
          <w:szCs w:val="24"/>
          <w:lang w:eastAsia="zh-CN"/>
        </w:rPr>
      </w:pPr>
      <w:bookmarkStart w:id="38" w:name="_Toc288642951"/>
      <w:r>
        <w:rPr>
          <w:szCs w:val="24"/>
        </w:rPr>
        <w:lastRenderedPageBreak/>
        <w:t>7</w:t>
      </w:r>
      <w:r>
        <w:rPr>
          <w:szCs w:val="24"/>
        </w:rPr>
        <w:tab/>
      </w:r>
      <w:r w:rsidRPr="00C23A7B">
        <w:rPr>
          <w:rFonts w:hint="eastAsia"/>
          <w:szCs w:val="24"/>
        </w:rPr>
        <w:t>推荐的收费体系示意图</w:t>
      </w:r>
      <w:bookmarkEnd w:id="38"/>
      <w:r w:rsidRPr="00C23A7B">
        <w:rPr>
          <w:b w:val="0"/>
          <w:szCs w:val="24"/>
        </w:rPr>
        <w:t xml:space="preserve"> </w:t>
      </w:r>
    </w:p>
    <w:p w:rsidR="00871CE0" w:rsidRPr="00871CE0" w:rsidRDefault="00871CE0" w:rsidP="00871CE0">
      <w:pPr>
        <w:rPr>
          <w:lang w:eastAsia="zh-CN"/>
        </w:rPr>
      </w:pPr>
    </w:p>
    <w:p w:rsidR="001C2DA0" w:rsidRPr="001C2DA0" w:rsidRDefault="001C2DA0" w:rsidP="00871CE0">
      <w:pPr>
        <w:pStyle w:val="FigureTitle"/>
        <w:rPr>
          <w:highlight w:val="yellow"/>
          <w:lang w:eastAsia="zh-CN"/>
        </w:rPr>
      </w:pPr>
    </w:p>
    <w:p w:rsidR="00853B80" w:rsidRDefault="00BA52D0" w:rsidP="00871CE0">
      <w:pPr>
        <w:tabs>
          <w:tab w:val="clear" w:pos="1191"/>
        </w:tabs>
        <w:ind w:left="1560"/>
        <w:rPr>
          <w:rFonts w:ascii="Verdana" w:eastAsia="SimHei" w:hAnsi="Verdana" w:cs="Simplified Arabic"/>
          <w:bCs/>
          <w:sz w:val="19"/>
          <w:szCs w:val="28"/>
          <w:lang w:val="ru-RU" w:eastAsia="zh-CN"/>
        </w:rPr>
      </w:pPr>
      <w:r w:rsidRPr="00BA52D0">
        <w:rPr>
          <w:rFonts w:ascii="Verdana" w:eastAsia="SimHei" w:hAnsi="Verdana" w:cs="Simplified Arabic"/>
          <w:bCs/>
          <w:sz w:val="19"/>
          <w:szCs w:val="28"/>
          <w:lang w:val="ru-RU"/>
        </w:rPr>
      </w:r>
      <w:r>
        <w:rPr>
          <w:rFonts w:ascii="Verdana" w:eastAsia="SimHei" w:hAnsi="Verdana" w:cs="Simplified Arabic"/>
          <w:bCs/>
          <w:sz w:val="19"/>
          <w:szCs w:val="28"/>
          <w:lang w:val="ru-RU"/>
        </w:rPr>
        <w:pict>
          <v:group id="_x0000_s42198" editas="canvas" style="width:318.15pt;height:239.8pt;mso-position-horizontal-relative:char;mso-position-vertical-relative:line" coordorigin="278,110" coordsize="7171,5407">
            <o:lock v:ext="edit" aspectratio="t"/>
            <v:shape id="_x0000_s42199" type="#_x0000_t75" style="position:absolute;left:278;top:110;width:7171;height:5407" o:preferrelative="f">
              <v:fill o:detectmouseclick="t"/>
              <v:path o:extrusionok="t" o:connecttype="none"/>
              <o:lock v:ext="edit" text="t"/>
            </v:shape>
            <v:rect id="_x0000_s42200" style="position:absolute;left:447;top:110;width:6107;height:404" filled="f" strokecolor="#e46c0a" strokeweight="19e-5mm">
              <v:stroke endcap="round"/>
            </v:rect>
            <v:rect id="_x0000_s42201" style="position:absolute;left:474;top:149;width:6019;height:365" filled="f" stroked="f">
              <v:textbox style="mso-next-textbox:#_x0000_s42201" inset="0,0,0,0">
                <w:txbxContent>
                  <w:p w:rsidR="0099588E" w:rsidRPr="005551F1" w:rsidRDefault="0099588E" w:rsidP="00853B80">
                    <w:pPr>
                      <w:spacing w:before="0"/>
                      <w:jc w:val="center"/>
                      <w:rPr>
                        <w:rFonts w:ascii="SimSun" w:hAnsi="SimSun"/>
                        <w:b/>
                        <w:bCs/>
                        <w:sz w:val="20"/>
                        <w:lang w:val="ru-RU"/>
                      </w:rPr>
                    </w:pPr>
                    <w:r w:rsidRPr="005551F1">
                      <w:rPr>
                        <w:rFonts w:ascii="SimSun" w:hAnsi="SimSun" w:cs="Calibri" w:hint="eastAsia"/>
                        <w:b/>
                        <w:color w:val="7030A0"/>
                        <w:sz w:val="20"/>
                        <w:lang w:val="ru-RU"/>
                      </w:rPr>
                      <w:t>区分两种类型收费的用处</w:t>
                    </w:r>
                  </w:p>
                </w:txbxContent>
              </v:textbox>
            </v:rect>
            <v:shape id="_x0000_s42202" style="position:absolute;left:278;top:729;width:2358;height:731" coordsize="7875,2437" path="m406,hdc182,,,182,,406hal,2031hdc,2256,182,2437,406,2437hal7469,2437hdc7693,2437,7875,2256,7875,2031hal7875,406hdc7875,182,7693,,7469,hal406,hdxe" filled="f" strokecolor="#385d8a" strokeweight="56e-5mm">
              <v:stroke endcap="round"/>
              <v:path arrowok="t"/>
            </v:shape>
            <v:rect id="_x0000_s42203" style="position:absolute;left:278;top:933;width:2359;height:339" filled="f" stroked="f">
              <v:textbox style="mso-next-textbox:#_x0000_s42203" inset="0,0,0,0">
                <w:txbxContent>
                  <w:p w:rsidR="0099588E" w:rsidRPr="005551F1" w:rsidRDefault="0099588E" w:rsidP="001C2DA0">
                    <w:pPr>
                      <w:spacing w:before="0"/>
                      <w:jc w:val="center"/>
                      <w:rPr>
                        <w:rFonts w:ascii="SimSun" w:hAnsi="SimSun" w:cs="Calibri"/>
                        <w:color w:val="FF0000"/>
                        <w:sz w:val="14"/>
                        <w:szCs w:val="14"/>
                        <w:lang w:val="ru-RU"/>
                      </w:rPr>
                    </w:pPr>
                    <w:r w:rsidRPr="005551F1">
                      <w:rPr>
                        <w:rFonts w:ascii="SimSun" w:hAnsi="SimSun" w:cs="Calibri" w:hint="eastAsia"/>
                        <w:color w:val="FF0000"/>
                        <w:sz w:val="14"/>
                        <w:szCs w:val="14"/>
                        <w:lang w:val="ru-RU"/>
                      </w:rPr>
                      <w:t>频谱规划、管理和监测</w:t>
                    </w:r>
                  </w:p>
                </w:txbxContent>
              </v:textbox>
            </v:rect>
            <v:oval id="_x0000_s42204" style="position:absolute;left:447;top:2135;width:1964;height:562" filled="f" strokecolor="#385d8a" strokeweight="56e-5mm">
              <v:stroke endcap="round"/>
            </v:oval>
            <v:rect id="_x0000_s42205" style="position:absolute;left:567;top:2275;width:1791;height:444" filled="f" stroked="f">
              <v:textbox style="mso-next-textbox:#_x0000_s42205" inset="0,0,0,0">
                <w:txbxContent>
                  <w:p w:rsidR="0099588E" w:rsidRPr="005551F1" w:rsidRDefault="0099588E" w:rsidP="001C2DA0">
                    <w:pPr>
                      <w:spacing w:before="60"/>
                      <w:jc w:val="center"/>
                      <w:rPr>
                        <w:rFonts w:ascii="SimSun" w:hAnsi="SimSun"/>
                        <w:sz w:val="14"/>
                        <w:szCs w:val="14"/>
                        <w:lang w:val="ru-RU"/>
                      </w:rPr>
                    </w:pPr>
                    <w:r w:rsidRPr="005551F1">
                      <w:rPr>
                        <w:rFonts w:ascii="SimSun" w:hAnsi="SimSun" w:cs="Calibri" w:hint="eastAsia"/>
                        <w:color w:val="FF0000"/>
                        <w:sz w:val="14"/>
                        <w:szCs w:val="14"/>
                        <w:lang w:val="ru-RU"/>
                      </w:rPr>
                      <w:t>行政费用</w:t>
                    </w:r>
                  </w:p>
                </w:txbxContent>
              </v:textbox>
            </v:rect>
            <v:rect id="_x0000_s42206" style="position:absolute;left:391;top:3372;width:2301;height:1069" filled="f" strokecolor="#385d8a" strokeweight="56e-5mm">
              <v:stroke endcap="round"/>
            </v:rect>
            <v:rect id="_x0000_s42207" style="position:absolute;left:474;top:3618;width:2162;height:597" filled="f" stroked="f">
              <v:textbox style="mso-next-textbox:#_x0000_s42207" inset="0,0,0,0">
                <w:txbxContent>
                  <w:p w:rsidR="0099588E" w:rsidRPr="005551F1" w:rsidRDefault="0099588E" w:rsidP="001C2DA0">
                    <w:pPr>
                      <w:spacing w:before="0"/>
                      <w:jc w:val="center"/>
                      <w:rPr>
                        <w:rFonts w:ascii="SimSun" w:hAnsi="SimSun"/>
                        <w:sz w:val="14"/>
                        <w:szCs w:val="14"/>
                        <w:lang w:val="ru-RU"/>
                      </w:rPr>
                    </w:pPr>
                    <w:r w:rsidRPr="005551F1">
                      <w:rPr>
                        <w:rFonts w:ascii="SimSun" w:hAnsi="SimSun" w:cs="Calibri" w:hint="eastAsia"/>
                        <w:color w:val="FF0000"/>
                        <w:sz w:val="14"/>
                        <w:szCs w:val="14"/>
                        <w:lang w:val="ru-RU"/>
                      </w:rPr>
                      <w:t>用以支付行政费用的</w:t>
                    </w:r>
                    <w:r w:rsidRPr="005551F1">
                      <w:rPr>
                        <w:rFonts w:ascii="SimSun" w:hAnsi="SimSun" w:cs="Calibri"/>
                        <w:color w:val="FF0000"/>
                        <w:sz w:val="14"/>
                        <w:szCs w:val="14"/>
                        <w:lang w:val="ru-RU"/>
                      </w:rPr>
                      <w:br/>
                    </w:r>
                    <w:r w:rsidRPr="005551F1">
                      <w:rPr>
                        <w:rFonts w:ascii="SimSun" w:hAnsi="SimSun" w:cs="Calibri" w:hint="eastAsia"/>
                        <w:color w:val="FF0000"/>
                        <w:sz w:val="14"/>
                        <w:szCs w:val="14"/>
                        <w:lang w:val="ru-RU"/>
                      </w:rPr>
                      <w:t>行政事业性收费</w:t>
                    </w:r>
                  </w:p>
                </w:txbxContent>
              </v:textbox>
            </v:rect>
            <v:group id="_x0000_s42208" style="position:absolute;left:1401;top:2754;width:168;height:562" coordorigin="1401,2754" coordsize="168,562">
              <v:shape id="_x0000_s42209" style="position:absolute;left:1401;top:2754;width:168;height:562" coordsize="168,562" path="m,84r42,l42,562r84,l126,84r42,l84,,,84xe" fillcolor="#4f81bd" stroked="f">
                <v:path arrowok="t"/>
              </v:shape>
              <v:shape id="_x0000_s42210" style="position:absolute;left:1401;top:2754;width:168;height:562" coordsize="168,562" path="m,84r42,l42,562r84,l126,84r42,l84,,,84xe" filled="f" strokecolor="#385d8a" strokeweight="56e-5mm">
                <v:stroke joinstyle="miter" endcap="round"/>
                <v:path arrowok="t"/>
              </v:shape>
            </v:group>
            <v:group id="_x0000_s42211" style="position:absolute;left:3813;top:619;width:2248;height:957" coordorigin="3813,619" coordsize="2248,957">
              <v:shape id="_x0000_s42212" style="position:absolute;left:3813;top:619;width:2248;height:957" coordsize="7510,3189" path="m684,1050r-1,hdc676,1020,673,989,673,959v,-375,525,-678,1172,-678c2054,281,2258,313,2438,374hal2438,374hdc2598,199,2913,89,3256,89v242,,476,55,649,154hal3905,243hdc4033,94,4296,,4583,v236,,459,64,603,173hal5186,173hdc5346,64,5581,1,5829,1v408,,758,169,830,400hal6659,401hdc7062,465,7342,677,7342,919v,73,-26,145,-75,212hal7267,1131hdc7424,1249,7510,1395,7510,1545v,339,-430,626,-1010,673hal6500,2218hdc6496,2537,6047,2794,5496,2794v-188,,-373,-30,-532,-88hal4964,2706hdc4814,2993,4359,3189,3842,3189v-391,,-757,-113,-974,-302hal2868,2887hdc2659,2960,2420,2998,2177,2998v-480,,-924,-149,-1163,-391hal1014,2607hdc985,2609,955,2610,926,2610v-418,,-757,-195,-757,-437c169,2063,242,1956,373,1875hal373,1875hdc142,1796,,1652,,1497,,1272,292,1083,677,1060hal684,1050xe" filled="f" strokecolor="#385d8a" strokeweight="56e-5mm">
                <v:path arrowok="t"/>
              </v:shape>
              <v:shape id="_x0000_s42213" style="position:absolute;left:3927;top:668;width:2060;height:814" coordsize="6882,2711" path="m440,1758r,hdc421,1759,401,1760,382,1760,248,1760,116,1739,,1700t828,702hal828,2402hdc766,2416,702,2426,636,2430t1850,281hal2486,2711hdc2440,2671,2401,2628,2370,2583m4630,2391hal4630,2391hdc4623,2439,4608,2486,4584,2532m5551,1521hal5550,1521hdc5896,1618,6115,1820,6115,2043v,1,,3,,4m6882,960hal6882,960hdc6826,1036,6740,1104,6631,1157m6279,227hal6279,227hdc6288,256,6292,285,6292,314v,2,,4,,7m4674,119hal4674,119hdc4706,76,4750,35,4803,m3469,175hal3469,175hdc3483,140,3504,105,3532,73m2056,210hal2056,210hdc2138,238,2214,271,2282,310m342,992hal342,992hdc324,958,311,923,303,887hae" filled="f" strokecolor="#385d8a" strokeweight="56e-5mm">
                <v:path arrowok="t"/>
                <o:lock v:ext="edit" verticies="t"/>
              </v:shape>
            </v:group>
            <v:rect id="_x0000_s42214" style="position:absolute;left:4173;top:933;width:1213;height:450" filled="f" stroked="f">
              <v:textbox style="mso-next-textbox:#_x0000_s42214" inset="0,0,0,0">
                <w:txbxContent>
                  <w:p w:rsidR="0099588E" w:rsidRPr="005551F1" w:rsidRDefault="0099588E" w:rsidP="001C2DA0">
                    <w:pPr>
                      <w:spacing w:before="0"/>
                      <w:jc w:val="center"/>
                      <w:rPr>
                        <w:rFonts w:ascii="SimSun" w:hAnsi="SimSun"/>
                        <w:sz w:val="14"/>
                        <w:szCs w:val="14"/>
                      </w:rPr>
                    </w:pPr>
                    <w:r w:rsidRPr="005551F1">
                      <w:rPr>
                        <w:rFonts w:ascii="SimSun" w:hAnsi="SimSun" w:cs="Calibri" w:hint="eastAsia"/>
                        <w:color w:val="BF11B3"/>
                        <w:sz w:val="14"/>
                        <w:szCs w:val="14"/>
                        <w:lang w:val="ru-RU"/>
                      </w:rPr>
                      <w:t>专用频谱占用</w:t>
                    </w:r>
                  </w:p>
                </w:txbxContent>
              </v:textbox>
            </v:rect>
            <v:rect id="_x0000_s42215" style="position:absolute;left:3871;top:2079;width:2413;height:900" filled="f" strokecolor="#385d8a" strokeweight="56e-5mm">
              <v:stroke endcap="round"/>
            </v:rect>
            <v:rect id="_x0000_s42216" style="position:absolute;left:4330;top:2227;width:1696;height:624" filled="f" stroked="f">
              <v:textbox style="mso-next-textbox:#_x0000_s42216" inset="0,0,0,0">
                <w:txbxContent>
                  <w:p w:rsidR="0099588E" w:rsidRPr="0080188D" w:rsidRDefault="0099588E" w:rsidP="001C2DA0">
                    <w:pPr>
                      <w:spacing w:before="0"/>
                      <w:rPr>
                        <w:rFonts w:ascii="SimSun" w:hAnsi="SimSun" w:cs="Calibri"/>
                        <w:color w:val="BF11B3"/>
                        <w:sz w:val="14"/>
                        <w:szCs w:val="14"/>
                        <w:lang w:val="ru-RU"/>
                      </w:rPr>
                    </w:pPr>
                    <w:r w:rsidRPr="0080188D">
                      <w:rPr>
                        <w:rFonts w:ascii="SimSun" w:hAnsi="SimSun" w:cs="Calibri" w:hint="eastAsia"/>
                        <w:color w:val="BF11B3"/>
                        <w:sz w:val="14"/>
                        <w:szCs w:val="14"/>
                        <w:lang w:val="ru-RU"/>
                      </w:rPr>
                      <w:t>频谱费，</w:t>
                    </w:r>
                  </w:p>
                  <w:p w:rsidR="0099588E" w:rsidRPr="0080188D" w:rsidRDefault="0099588E" w:rsidP="001C2DA0">
                    <w:pPr>
                      <w:spacing w:before="0"/>
                      <w:rPr>
                        <w:rFonts w:ascii="SimSun" w:hAnsi="SimSun" w:cs="Calibri"/>
                        <w:color w:val="BF11B3"/>
                        <w:sz w:val="14"/>
                        <w:szCs w:val="14"/>
                        <w:lang w:val="ru-RU"/>
                      </w:rPr>
                    </w:pPr>
                    <w:r w:rsidRPr="0080188D">
                      <w:rPr>
                        <w:rFonts w:ascii="SimSun" w:hAnsi="SimSun" w:cs="Calibri" w:hint="eastAsia"/>
                        <w:color w:val="BF11B3"/>
                        <w:sz w:val="14"/>
                        <w:szCs w:val="14"/>
                        <w:lang w:val="ru-RU"/>
                      </w:rPr>
                      <w:t>考虑到产生</w:t>
                    </w:r>
                  </w:p>
                  <w:p w:rsidR="0099588E" w:rsidRPr="0080188D" w:rsidRDefault="0099588E" w:rsidP="001C2DA0">
                    <w:pPr>
                      <w:spacing w:before="0"/>
                      <w:rPr>
                        <w:rFonts w:ascii="SimSun" w:hAnsi="SimSun"/>
                        <w:sz w:val="14"/>
                        <w:szCs w:val="14"/>
                        <w:lang w:val="ru-RU"/>
                      </w:rPr>
                    </w:pPr>
                    <w:r w:rsidRPr="0080188D">
                      <w:rPr>
                        <w:rFonts w:ascii="SimSun" w:hAnsi="SimSun" w:cs="Calibri" w:hint="eastAsia"/>
                        <w:color w:val="BF11B3"/>
                        <w:sz w:val="14"/>
                        <w:szCs w:val="14"/>
                        <w:lang w:val="ru-RU"/>
                      </w:rPr>
                      <w:t>的效益</w:t>
                    </w:r>
                  </w:p>
                </w:txbxContent>
              </v:textbox>
            </v:rect>
            <v:group id="_x0000_s42217" style="position:absolute;left:1401;top:1516;width:168;height:563" coordorigin="1401,1516" coordsize="168,563">
              <v:shape id="_x0000_s42218" style="position:absolute;left:1401;top:1516;width:168;height:563" coordsize="168,563" path="m,479r42,l42,r84,l126,479r42,l84,563,,479xe" fillcolor="#4f81bd" stroked="f">
                <v:path arrowok="t"/>
              </v:shape>
              <v:shape id="_x0000_s42219" style="position:absolute;left:1401;top:1516;width:168;height:563" coordsize="168,563" path="m,479r42,l42,r84,l126,479r42,l84,563,,479xe" filled="f" strokecolor="#385d8a" strokeweight="56e-5mm">
                <v:stroke joinstyle="miter" endcap="round"/>
                <v:path arrowok="t"/>
              </v:shape>
            </v:group>
            <v:oval id="_x0000_s42220" style="position:absolute;left:3253;top:3372;width:1235;height:732" filled="f" strokecolor="#385d8a" strokeweight="56e-5mm">
              <v:stroke endcap="round"/>
            </v:oval>
            <v:rect id="_x0000_s42221" style="position:absolute;left:3367;top:3467;width:1033;height:583" filled="f" stroked="f">
              <v:textbox style="mso-next-textbox:#_x0000_s42221" inset="0,0,0,0">
                <w:txbxContent>
                  <w:p w:rsidR="0099588E" w:rsidRPr="0080188D" w:rsidRDefault="0099588E" w:rsidP="001C2DA0">
                    <w:pPr>
                      <w:spacing w:before="160"/>
                      <w:jc w:val="center"/>
                      <w:rPr>
                        <w:rFonts w:ascii="SimSun" w:hAnsi="SimSun" w:cs="Calibri"/>
                        <w:color w:val="BF11B3"/>
                        <w:sz w:val="14"/>
                        <w:szCs w:val="14"/>
                        <w:lang w:val="ru-RU"/>
                      </w:rPr>
                    </w:pPr>
                    <w:r w:rsidRPr="0080188D">
                      <w:rPr>
                        <w:rFonts w:ascii="SimSun" w:hAnsi="SimSun" w:cs="Calibri" w:hint="eastAsia"/>
                        <w:color w:val="BF11B3"/>
                        <w:sz w:val="14"/>
                        <w:szCs w:val="14"/>
                        <w:lang w:val="ru-RU"/>
                      </w:rPr>
                      <w:t>自用频率</w:t>
                    </w:r>
                  </w:p>
                </w:txbxContent>
              </v:textbox>
            </v:rect>
            <v:rect id="_x0000_s42222" style="position:absolute;left:5389;top:3467;width:1350;height:661" filled="f" stroked="f">
              <v:textbox style="mso-next-textbox:#_x0000_s42222" inset="0,0,0,0">
                <w:txbxContent>
                  <w:p w:rsidR="0099588E" w:rsidRPr="0080188D" w:rsidRDefault="0099588E" w:rsidP="001C2DA0">
                    <w:pPr>
                      <w:spacing w:before="0"/>
                      <w:jc w:val="center"/>
                      <w:rPr>
                        <w:rFonts w:ascii="SimSun" w:hAnsi="SimSun" w:cs="Calibri"/>
                        <w:color w:val="BF11B3"/>
                        <w:sz w:val="14"/>
                        <w:szCs w:val="14"/>
                        <w:lang w:val="ru-RU"/>
                      </w:rPr>
                    </w:pPr>
                    <w:r w:rsidRPr="0080188D">
                      <w:rPr>
                        <w:rFonts w:ascii="SimSun" w:hAnsi="SimSun" w:cs="Calibri" w:hint="eastAsia"/>
                        <w:color w:val="BF11B3"/>
                        <w:sz w:val="14"/>
                        <w:szCs w:val="14"/>
                        <w:lang w:val="ru-RU"/>
                      </w:rPr>
                      <w:t>基于频谱</w:t>
                    </w:r>
                  </w:p>
                  <w:p w:rsidR="0099588E" w:rsidRPr="0080188D" w:rsidRDefault="0099588E" w:rsidP="001C2DA0">
                    <w:pPr>
                      <w:spacing w:before="0"/>
                      <w:jc w:val="center"/>
                      <w:rPr>
                        <w:rFonts w:ascii="SimSun" w:hAnsi="SimSun" w:cs="Calibri"/>
                        <w:color w:val="BF11B3"/>
                        <w:sz w:val="14"/>
                        <w:szCs w:val="14"/>
                        <w:lang w:val="ru-RU"/>
                      </w:rPr>
                    </w:pPr>
                    <w:r w:rsidRPr="0080188D">
                      <w:rPr>
                        <w:rFonts w:ascii="SimSun" w:hAnsi="SimSun" w:cs="Calibri" w:hint="eastAsia"/>
                        <w:color w:val="BF11B3"/>
                        <w:sz w:val="14"/>
                        <w:szCs w:val="14"/>
                        <w:lang w:val="ru-RU"/>
                      </w:rPr>
                      <w:t>管理目标的</w:t>
                    </w:r>
                  </w:p>
                  <w:p w:rsidR="0099588E" w:rsidRPr="0080188D" w:rsidRDefault="0099588E" w:rsidP="001C2DA0">
                    <w:pPr>
                      <w:spacing w:before="0"/>
                      <w:jc w:val="center"/>
                      <w:rPr>
                        <w:rFonts w:ascii="SimSun" w:hAnsi="SimSun"/>
                        <w:sz w:val="14"/>
                        <w:szCs w:val="14"/>
                        <w:lang w:val="ru-RU"/>
                      </w:rPr>
                    </w:pPr>
                    <w:r w:rsidRPr="0080188D">
                      <w:rPr>
                        <w:rFonts w:ascii="SimSun" w:hAnsi="SimSun" w:cs="Calibri" w:hint="eastAsia"/>
                        <w:color w:val="BF11B3"/>
                        <w:sz w:val="14"/>
                        <w:szCs w:val="14"/>
                        <w:lang w:val="ru-RU"/>
                      </w:rPr>
                      <w:t>收费</w:t>
                    </w:r>
                  </w:p>
                </w:txbxContent>
              </v:textbox>
            </v:rect>
            <v:shape id="_x0000_s42223" style="position:absolute;left:5386;top:3429;width:1404;height:731" coordsize="1404,731" path="m183,l,366,183,731r1038,l1404,366,1221,,183,xe" filled="f" strokecolor="#385d8a" strokeweight="56e-5mm">
              <v:stroke joinstyle="miter" endcap="round"/>
              <v:path arrowok="t"/>
            </v:shape>
            <v:rect id="_x0000_s42224" style="position:absolute;left:3366;top:4441;width:1291;height:581" fillcolor="yellow" stroked="f"/>
            <v:rect id="_x0000_s42225" style="position:absolute;left:3478;top:4547;width:1230;height:475" filled="f" stroked="f">
              <v:textbox style="mso-next-textbox:#_x0000_s42225" inset="0,0,0,0">
                <w:txbxContent>
                  <w:p w:rsidR="0099588E" w:rsidRDefault="0099588E" w:rsidP="001C2DA0">
                    <w:pPr>
                      <w:spacing w:before="0"/>
                      <w:jc w:val="center"/>
                      <w:rPr>
                        <w:rFonts w:ascii="SimSun" w:hAnsi="SimSun" w:cs="Calibri"/>
                        <w:color w:val="BF11B3"/>
                        <w:sz w:val="14"/>
                        <w:szCs w:val="14"/>
                        <w:lang w:val="ru-RU"/>
                      </w:rPr>
                    </w:pPr>
                    <w:r>
                      <w:rPr>
                        <w:rFonts w:ascii="SimSun" w:hAnsi="SimSun" w:cs="Calibri" w:hint="eastAsia"/>
                        <w:color w:val="BF11B3"/>
                        <w:sz w:val="14"/>
                        <w:szCs w:val="14"/>
                        <w:lang w:val="ru-RU"/>
                      </w:rPr>
                      <w:t>用于消费者</w:t>
                    </w:r>
                  </w:p>
                  <w:p w:rsidR="0099588E" w:rsidRPr="0080188D" w:rsidRDefault="0099588E" w:rsidP="001C2DA0">
                    <w:pPr>
                      <w:spacing w:before="0"/>
                      <w:jc w:val="center"/>
                      <w:rPr>
                        <w:rFonts w:ascii="SimSun" w:hAnsi="SimSun" w:cs="Calibri"/>
                        <w:color w:val="BF11B3"/>
                        <w:sz w:val="14"/>
                        <w:szCs w:val="14"/>
                        <w:lang w:val="ru-RU"/>
                      </w:rPr>
                    </w:pPr>
                    <w:r>
                      <w:rPr>
                        <w:rFonts w:ascii="SimSun" w:hAnsi="SimSun" w:cs="Calibri" w:hint="eastAsia"/>
                        <w:color w:val="BF11B3"/>
                        <w:sz w:val="14"/>
                        <w:szCs w:val="14"/>
                        <w:lang w:val="ru-RU"/>
                      </w:rPr>
                      <w:t>市场的频率</w:t>
                    </w:r>
                  </w:p>
                </w:txbxContent>
              </v:textbox>
            </v:rect>
            <v:rect id="_x0000_s42226" style="position:absolute;left:5162;top:4441;width:1403;height:581" fillcolor="#92d050" stroked="f"/>
            <v:rect id="_x0000_s42227" style="position:absolute;left:5229;top:4547;width:1326;height:398" filled="f" stroked="f">
              <v:textbox style="mso-next-textbox:#_x0000_s42227" inset="0,0,0,0">
                <w:txbxContent>
                  <w:p w:rsidR="0099588E" w:rsidRDefault="0099588E" w:rsidP="001C2DA0">
                    <w:pPr>
                      <w:spacing w:before="0"/>
                      <w:jc w:val="center"/>
                      <w:rPr>
                        <w:rFonts w:ascii="SimSun" w:hAnsi="SimSun" w:cs="Calibri"/>
                        <w:color w:val="000000"/>
                        <w:sz w:val="14"/>
                        <w:szCs w:val="14"/>
                        <w:lang w:val="ru-RU"/>
                      </w:rPr>
                    </w:pPr>
                    <w:r w:rsidRPr="0080188D">
                      <w:rPr>
                        <w:rFonts w:ascii="SimSun" w:hAnsi="SimSun" w:cs="Calibri" w:hint="eastAsia"/>
                        <w:color w:val="000000"/>
                        <w:sz w:val="14"/>
                        <w:szCs w:val="14"/>
                        <w:lang w:val="ru-RU"/>
                      </w:rPr>
                      <w:t>根据收益</w:t>
                    </w:r>
                  </w:p>
                  <w:p w:rsidR="0099588E" w:rsidRPr="0080188D" w:rsidRDefault="0099588E" w:rsidP="001C2DA0">
                    <w:pPr>
                      <w:spacing w:before="0"/>
                      <w:jc w:val="center"/>
                      <w:rPr>
                        <w:rFonts w:ascii="SimSun" w:hAnsi="SimSun" w:cs="Calibri"/>
                        <w:color w:val="000000"/>
                        <w:sz w:val="14"/>
                        <w:szCs w:val="14"/>
                        <w:lang w:val="ru-RU"/>
                      </w:rPr>
                    </w:pPr>
                    <w:r w:rsidRPr="0080188D">
                      <w:rPr>
                        <w:rFonts w:ascii="SimSun" w:hAnsi="SimSun" w:cs="Calibri" w:hint="eastAsia"/>
                        <w:color w:val="000000"/>
                        <w:sz w:val="14"/>
                        <w:szCs w:val="14"/>
                        <w:lang w:val="ru-RU"/>
                      </w:rPr>
                      <w:t>收取的费用</w:t>
                    </w:r>
                  </w:p>
                </w:txbxContent>
              </v:textbox>
            </v:rect>
            <v:shape id="_x0000_s42228" style="position:absolute;left:4708;top:1567;width:379;height:446" coordsize="1267,1484" path="m34,17r3,70l47,155,82,288r-1,-2l137,413r-1,-2l208,525r-2,-3l291,618r45,39l383,690r49,26l482,735r50,12l529,747r53,4l635,755hdc636,755,637,755,638,755hal690,768r53,21l794,817r51,35l892,893r87,97hdc980,991,980,992,981,993hal1053,1107hdc1053,1107,1053,1108,1054,1109hal1110,1236hdc1110,1237,1110,1237,1111,1238hal1146,1373r10,72l1156,1450hdc1157,1459,1150,1467,1140,1468v-9,,-17,-7,-17,-16hal1123,1450r-10,-68l1078,1247r1,2l1023,1122r1,2l952,1010r2,3l871,918,826,879,779,846,730,820,681,801,629,788r3,l579,784r-53,-4hdc525,780,524,780,523,780hal469,766,417,745,364,717,315,682,266,641,181,545hdc180,544,180,543,179,542hal107,428hdc107,428,107,427,106,426hal50,299hdc50,298,50,298,49,297hal14,160,4,88,1,18hdc,9,8,1,17,1,26,,34,8,34,17haxm1262,1254r-121,230l1000,1265hdc995,1257,998,1247,1005,1242v8,-5,19,-3,24,5hal1154,1442r-29,1l1233,1238hdc1237,1230,1247,1227,1255,1231v9,5,12,15,7,23haxe" fillcolor="#4a7ebb" strokecolor="#4a7ebb" strokeweight="1e-4mm">
              <v:stroke joinstyle="bevel"/>
              <v:path arrowok="t"/>
              <o:lock v:ext="edit" verticies="t"/>
            </v:shape>
            <v:shape id="_x0000_s42229" style="position:absolute;left:4330;top:2974;width:754;height:493" coordsize="2517,1643" path="m2516,18r-4,70l2501,160r-17,71l2458,303r-31,70l2389,442r-45,69l2295,578,2180,709,2044,834,1889,953r-172,109l1530,1164r-199,92l1121,1336r-220,68l674,1460r-233,40l205,1525r-171,7hdc25,1532,17,1525,16,1516v,-10,7,-17,16,-18hal202,1492r234,-25l667,1427r225,-54l1110,1305r208,-80l1515,1135r184,-101l1868,926,2021,809,2155,686,2268,559r49,-67l2360,427r36,-67l2427,292r24,-68l2468,155r11,-68l2483,17hdc2483,7,2491,,2500,1v10,,17,8,16,17haxm230,1639l,1516,220,1377hdc227,1372,238,1374,243,1382v5,8,2,18,-6,23hal42,1529r-1,-29l245,1609hdc253,1614,256,1624,252,1632v-4,8,-14,11,-22,7haxe" fillcolor="#4a7ebb" strokecolor="#4a7ebb" strokeweight="1e-4mm">
              <v:stroke joinstyle="bevel"/>
              <v:path arrowok="t"/>
              <o:lock v:ext="edit" verticies="t"/>
            </v:shape>
            <v:shape id="_x0000_s42230" style="position:absolute;left:5073;top:2974;width:531;height:445" coordsize="1772,1484" path="m34,16r5,70l52,154r-1,-2l74,220r29,66l140,349r42,61l286,522r-2,-2l408,616r66,39l543,688r72,27l688,734r74,13l837,751r77,4l992,768r76,20l1143,816r72,34l1284,891r126,97hdc1410,989,1411,989,1412,990hal1517,1104r44,64l1600,1234r30,69l1653,1372hdc1654,1373,1654,1374,1654,1374hal1667,1444r,6hdc1668,1459,1661,1467,1652,1468v-9,,-17,-7,-18,-16hal1634,1451r-13,-70l1622,1383r-23,-67l1571,1251r-37,-64l1492,1127,1387,1013r2,2l1267,920r-67,-40l1132,847r-73,-26l987,801,913,788r-77,-4l757,780,679,767,604,746,528,718,457,684,387,643,263,547hdc263,546,262,545,261,545hal155,429,111,366,72,299,43,231,20,163hdc19,162,19,161,19,161hal6,89,1,19hdc,9,7,2,16,1,25,,33,7,34,16haxm1768,1251r-115,233l1506,1269hdc1501,1262,1503,1251,1511,1246v7,-5,18,-3,23,4hal1664,1442r-28,2l1738,1236hdc1742,1228,1752,1224,1760,1228v8,4,12,14,8,23haxe" fillcolor="#4a7ebb" strokecolor="#4a7ebb" strokeweight="1e-4mm">
              <v:stroke joinstyle="bevel"/>
              <v:path arrowok="t"/>
              <o:lock v:ext="edit" verticies="t"/>
            </v:shape>
            <v:group id="_x0000_s42231" style="position:absolute;left:2804;top:3935;width:506;height:833" coordorigin="2804,3935" coordsize="506,833">
              <v:shape id="_x0000_s42232" style="position:absolute;left:2804;top:3935;width:506;height:833" coordsize="1688,2778" path="m1688,hdc756,,,488,,1090hal,1512hdc,2009,521,2443,1266,2567hal1266,2778r422,-387l1266,1935r,211hdc638,2041,158,1712,32,1301hal32,1301hdc188,790,882,422,1688,422hal1688,hdxe" fillcolor="#4f81bd" strokeweight="0">
                <v:path arrowok="t"/>
              </v:shape>
              <v:shape id="_x0000_s42233" style="position:absolute;left:2804;top:3935;width:506;height:390" coordsize="1688,1301" path="m1688,hdc756,,,488,,1090v,71,11,142,32,211hal32,1301hdc188,790,882,422,1688,422hal1688,hdxe" fillcolor="#3f6898" strokeweight="0">
                <v:path arrowok="t"/>
              </v:shape>
              <v:shape id="_x0000_s42234" style="position:absolute;left:2804;top:3935;width:506;height:833" coordsize="1688,2778" path="m1688,hdc756,,,488,,1090hal,1512hdc,2009,521,2443,1266,2567hal1266,2778r422,-387l1266,1935r,211hdc638,2041,158,1712,32,1301hal32,1301hdc188,790,882,422,1688,422hal1688,hdxe" filled="f" strokecolor="#385d8a" strokeweight="56e-5mm">
                <v:stroke joinstyle="miter"/>
                <v:path arrowok="t"/>
              </v:shape>
              <v:shape id="_x0000_s42235" style="position:absolute;left:2804;top:4262;width:10;height:63" coordsize="10,63" path="m,hdc,21,4,43,10,63e" filled="f" strokecolor="#385d8a" strokeweight="56e-5mm">
                <v:stroke joinstyle="miter"/>
                <v:path arrowok="t"/>
              </v:shape>
            </v:group>
            <v:group id="_x0000_s42236" style="position:absolute;left:6678;top:4047;width:336;height:833" coordorigin="6678,4047" coordsize="336,833">
              <v:shape id="_x0000_s42237" style="position:absolute;left:6678;top:4047;width:336;height:833" coordsize="1125,2775" path="m,hdc621,,1125,536,1125,1196hal1125,1477hdc1125,2022,778,2498,281,2634hal281,2775,,2532,281,2212r,141hdc731,2230,1063,1826,1117,1336hal1117,1336hdc1050,735,570,282,,282hal,hdxe" fillcolor="#4f81bd" strokeweight="0">
                <v:path arrowok="t"/>
              </v:shape>
              <v:shape id="_x0000_s42238" style="position:absolute;left:6678;top:4047;width:336;height:443" coordsize="1125,1477" path="m,hdc621,,1125,536,1125,1196hal1125,1477hdc1125,817,621,282,,282hal,hdxe" fillcolor="#3f6898" strokeweight="0">
                <v:path arrowok="t"/>
              </v:shape>
              <v:shape id="_x0000_s42239" style="position:absolute;left:6678;top:4047;width:336;height:833" coordsize="1125,2775" path="m,hdc621,,1125,536,1125,1196hal1125,1477hdc1125,2022,778,2498,281,2634hal281,2775,,2532,281,2212r,141hdc731,2230,1063,1826,1117,1336hal1117,1336hdc1050,735,570,282,,282hal,hdxe" filled="f" strokecolor="#385d8a" strokeweight="56e-5mm">
                <v:stroke joinstyle="miter"/>
                <v:path arrowok="t"/>
              </v:shape>
              <v:shape id="_x0000_s42240" style="position:absolute;left:7012;top:4448;width:2;height:42" coordsize="2,42" path="m2,42hdc2,28,1,14,,e" filled="f" strokecolor="#385d8a" strokeweight="56e-5mm">
                <v:stroke joinstyle="miter"/>
                <v:path arrowok="t"/>
              </v:shape>
            </v:group>
            <w10:wrap type="none"/>
            <w10:anchorlock/>
          </v:group>
        </w:pict>
      </w:r>
    </w:p>
    <w:p w:rsidR="00871CE0" w:rsidRPr="005C65E9" w:rsidRDefault="00871CE0" w:rsidP="00871CE0">
      <w:pPr>
        <w:pStyle w:val="FigureSource"/>
        <w:rPr>
          <w:lang w:eastAsia="zh-CN"/>
        </w:rPr>
      </w:pPr>
    </w:p>
    <w:p w:rsidR="00871CE0" w:rsidRDefault="00871CE0" w:rsidP="00871CE0">
      <w:pPr>
        <w:rPr>
          <w:lang w:eastAsia="zh-CN"/>
        </w:rPr>
      </w:pPr>
      <w:bookmarkStart w:id="39" w:name="_Toc288642952"/>
    </w:p>
    <w:p w:rsidR="00853B80" w:rsidRPr="005C65E9" w:rsidRDefault="00853B80" w:rsidP="00853B80">
      <w:pPr>
        <w:pStyle w:val="Heading1"/>
        <w:spacing w:before="240" w:after="120"/>
      </w:pPr>
      <w:r w:rsidRPr="00C23A7B">
        <w:rPr>
          <w:szCs w:val="24"/>
        </w:rPr>
        <w:t>8</w:t>
      </w:r>
      <w:r w:rsidRPr="00C23A7B">
        <w:rPr>
          <w:szCs w:val="24"/>
        </w:rPr>
        <w:tab/>
      </w:r>
      <w:r w:rsidRPr="00C23A7B">
        <w:rPr>
          <w:rFonts w:hint="eastAsia"/>
          <w:szCs w:val="24"/>
        </w:rPr>
        <w:t>主管部门收费情况示例</w:t>
      </w:r>
      <w:bookmarkEnd w:id="39"/>
    </w:p>
    <w:p w:rsidR="00853B80" w:rsidRPr="005C65E9" w:rsidRDefault="00853B80" w:rsidP="00A228DD">
      <w:pPr>
        <w:pStyle w:val="normal0"/>
      </w:pPr>
      <w:r>
        <w:rPr>
          <w:rFonts w:hint="eastAsia"/>
        </w:rPr>
        <w:t>下文通过</w:t>
      </w:r>
      <w:r w:rsidRPr="005C65E9">
        <w:rPr>
          <w:rFonts w:hint="eastAsia"/>
        </w:rPr>
        <w:t>举例</w:t>
      </w:r>
      <w:r>
        <w:rPr>
          <w:rFonts w:hint="eastAsia"/>
        </w:rPr>
        <w:t>说明了</w:t>
      </w:r>
      <w:r w:rsidRPr="005C65E9">
        <w:rPr>
          <w:rFonts w:hint="eastAsia"/>
        </w:rPr>
        <w:t>各主管部门落实上述原则和指导方针的</w:t>
      </w:r>
      <w:r>
        <w:rPr>
          <w:rFonts w:hint="eastAsia"/>
        </w:rPr>
        <w:t>一些情况</w:t>
      </w:r>
      <w:r w:rsidRPr="005C65E9">
        <w:rPr>
          <w:rFonts w:hint="eastAsia"/>
        </w:rPr>
        <w:t>。</w:t>
      </w:r>
    </w:p>
    <w:p w:rsidR="00853B80" w:rsidRPr="005C65E9" w:rsidRDefault="00A228DD" w:rsidP="001C2DA0">
      <w:pPr>
        <w:pStyle w:val="Heading2"/>
      </w:pPr>
      <w:bookmarkStart w:id="40" w:name="_Toc288642953"/>
      <w:r>
        <w:t>8.1</w:t>
      </w:r>
      <w:r>
        <w:rPr>
          <w:rFonts w:hint="eastAsia"/>
          <w:lang w:eastAsia="zh-CN"/>
        </w:rPr>
        <w:tab/>
      </w:r>
      <w:r w:rsidR="00853B80" w:rsidRPr="005C65E9">
        <w:rPr>
          <w:rFonts w:hint="eastAsia"/>
        </w:rPr>
        <w:t>阿拉伯联合酋长国的情况</w:t>
      </w:r>
      <w:bookmarkEnd w:id="40"/>
    </w:p>
    <w:p w:rsidR="00853B80" w:rsidRPr="005C65E9" w:rsidRDefault="00853B80" w:rsidP="00A228DD">
      <w:pPr>
        <w:pStyle w:val="normal0"/>
      </w:pPr>
      <w:r>
        <w:rPr>
          <w:rFonts w:hint="eastAsia"/>
        </w:rPr>
        <w:t>阿联酋</w:t>
      </w:r>
      <w:r w:rsidRPr="005C65E9">
        <w:rPr>
          <w:rFonts w:hint="eastAsia"/>
        </w:rPr>
        <w:t>主管部门采用的收费体系</w:t>
      </w:r>
      <w:r w:rsidRPr="00B41480">
        <w:rPr>
          <w:rFonts w:ascii="STKaiti" w:eastAsia="STKaiti" w:hAnsi="STKaiti" w:hint="eastAsia"/>
        </w:rPr>
        <w:t>特别</w:t>
      </w:r>
      <w:r w:rsidRPr="005C65E9">
        <w:rPr>
          <w:rFonts w:hint="eastAsia"/>
        </w:rPr>
        <w:t>体现了法律原则</w:t>
      </w:r>
      <w:r w:rsidRPr="005C65E9">
        <w:t>{5}</w:t>
      </w:r>
      <w:r w:rsidRPr="005C65E9">
        <w:rPr>
          <w:rFonts w:hint="eastAsia"/>
        </w:rPr>
        <w:t>和</w:t>
      </w:r>
      <w:r w:rsidRPr="005C65E9">
        <w:t>{6}</w:t>
      </w:r>
      <w:r w:rsidRPr="005C65E9">
        <w:rPr>
          <w:rFonts w:hint="eastAsia"/>
        </w:rPr>
        <w:t>，经济原则</w:t>
      </w:r>
      <w:r w:rsidRPr="005C65E9">
        <w:t>{12}</w:t>
      </w:r>
      <w:r w:rsidRPr="005C65E9">
        <w:rPr>
          <w:rFonts w:hint="eastAsia"/>
        </w:rPr>
        <w:t>和</w:t>
      </w:r>
      <w:r w:rsidRPr="005C65E9">
        <w:t>{15.4}</w:t>
      </w:r>
      <w:r w:rsidRPr="005C65E9">
        <w:rPr>
          <w:rFonts w:hint="eastAsia"/>
        </w:rPr>
        <w:t>以及现实原则</w:t>
      </w:r>
      <w:r w:rsidRPr="005C65E9">
        <w:t>{18}</w:t>
      </w:r>
      <w:r w:rsidRPr="005C65E9">
        <w:rPr>
          <w:rFonts w:hint="eastAsia"/>
        </w:rPr>
        <w:t>，并构成了有效的频谱管理工具。</w:t>
      </w:r>
    </w:p>
    <w:p w:rsidR="00853B80" w:rsidRPr="005C65E9" w:rsidRDefault="00853B80" w:rsidP="00A228DD">
      <w:pPr>
        <w:pStyle w:val="normal0"/>
      </w:pPr>
      <w:r w:rsidRPr="005C65E9">
        <w:rPr>
          <w:rFonts w:hint="eastAsia"/>
        </w:rPr>
        <w:t>事实上，对于无线电接力、无线本地环路和电台之间的链接，费用计算考虑到所划分的带宽和在所使用的中心频率频谱中的位置。</w:t>
      </w:r>
    </w:p>
    <w:p w:rsidR="00853B80" w:rsidRPr="005C65E9" w:rsidRDefault="00853B80" w:rsidP="00A228DD">
      <w:pPr>
        <w:pStyle w:val="normal0"/>
      </w:pPr>
      <w:r w:rsidRPr="005C65E9">
        <w:rPr>
          <w:rFonts w:hint="eastAsia"/>
        </w:rPr>
        <w:t>根据所划分的带宽，主管部门希望鼓励</w:t>
      </w:r>
      <w:r>
        <w:rPr>
          <w:rFonts w:hint="eastAsia"/>
        </w:rPr>
        <w:t>用户仅</w:t>
      </w:r>
      <w:r w:rsidRPr="005C65E9">
        <w:rPr>
          <w:rFonts w:hint="eastAsia"/>
        </w:rPr>
        <w:t>要求能够满足其</w:t>
      </w:r>
      <w:r>
        <w:rPr>
          <w:rFonts w:hint="eastAsia"/>
        </w:rPr>
        <w:t>需要</w:t>
      </w:r>
      <w:r w:rsidRPr="005C65E9">
        <w:rPr>
          <w:rFonts w:hint="eastAsia"/>
        </w:rPr>
        <w:t>的最少频谱。</w:t>
      </w:r>
    </w:p>
    <w:p w:rsidR="00853B80" w:rsidRPr="005C65E9" w:rsidRDefault="00853B80" w:rsidP="00A228DD">
      <w:pPr>
        <w:pStyle w:val="normal0"/>
      </w:pPr>
      <w:r w:rsidRPr="005C65E9">
        <w:rPr>
          <w:rFonts w:hint="eastAsia"/>
        </w:rPr>
        <w:t>根据在所使用的中心频率频谱中的位置，主管部门努力优化频谱占用。</w:t>
      </w:r>
    </w:p>
    <w:p w:rsidR="00853B80" w:rsidRPr="005C65E9" w:rsidRDefault="00853B80" w:rsidP="00A228DD">
      <w:pPr>
        <w:pStyle w:val="normal0"/>
      </w:pPr>
      <w:r w:rsidRPr="005C65E9">
        <w:rPr>
          <w:rFonts w:hint="eastAsia"/>
        </w:rPr>
        <w:t>阿拉伯联合酋长国</w:t>
      </w:r>
      <w:r>
        <w:rPr>
          <w:rFonts w:hint="eastAsia"/>
        </w:rPr>
        <w:t>提供的资料</w:t>
      </w:r>
      <w:r w:rsidRPr="005C65E9">
        <w:rPr>
          <w:rFonts w:hint="eastAsia"/>
        </w:rPr>
        <w:t>文稿见附录</w:t>
      </w:r>
      <w:r w:rsidRPr="005C65E9">
        <w:t>1.1</w:t>
      </w:r>
      <w:r w:rsidRPr="005C65E9">
        <w:rPr>
          <w:rFonts w:hint="eastAsia"/>
        </w:rPr>
        <w:t>和</w:t>
      </w:r>
      <w:r w:rsidRPr="005C65E9">
        <w:t>1.2</w:t>
      </w:r>
      <w:r w:rsidRPr="005C65E9">
        <w:rPr>
          <w:rFonts w:hint="eastAsia"/>
        </w:rPr>
        <w:t>。</w:t>
      </w:r>
    </w:p>
    <w:p w:rsidR="00853B80" w:rsidRPr="005C65E9" w:rsidRDefault="00A228DD" w:rsidP="001C2DA0">
      <w:pPr>
        <w:pStyle w:val="Heading2"/>
      </w:pPr>
      <w:bookmarkStart w:id="41" w:name="_Toc288642954"/>
      <w:r>
        <w:t>8.2</w:t>
      </w:r>
      <w:r>
        <w:rPr>
          <w:rFonts w:hint="eastAsia"/>
          <w:lang w:eastAsia="zh-CN"/>
        </w:rPr>
        <w:tab/>
      </w:r>
      <w:r w:rsidR="00853B80" w:rsidRPr="005C65E9">
        <w:rPr>
          <w:rFonts w:hint="eastAsia"/>
        </w:rPr>
        <w:t>瑞士的情况</w:t>
      </w:r>
      <w:bookmarkEnd w:id="41"/>
    </w:p>
    <w:p w:rsidR="00853B80" w:rsidRPr="005C65E9" w:rsidRDefault="00853B80" w:rsidP="00A228DD">
      <w:pPr>
        <w:pStyle w:val="normal0"/>
      </w:pPr>
      <w:r>
        <w:rPr>
          <w:rFonts w:hint="eastAsia"/>
        </w:rPr>
        <w:t>瑞士</w:t>
      </w:r>
      <w:r w:rsidRPr="005C65E9">
        <w:rPr>
          <w:rFonts w:hint="eastAsia"/>
        </w:rPr>
        <w:t>主管部门采用的收费体系特别体现了法律原则</w:t>
      </w:r>
      <w:r w:rsidRPr="005C65E9">
        <w:t>{6}</w:t>
      </w:r>
      <w:r w:rsidRPr="005C65E9">
        <w:rPr>
          <w:rFonts w:hint="eastAsia"/>
        </w:rPr>
        <w:t>和</w:t>
      </w:r>
      <w:r w:rsidRPr="005C65E9">
        <w:t>{8}</w:t>
      </w:r>
      <w:r w:rsidRPr="005C65E9">
        <w:rPr>
          <w:rFonts w:hint="eastAsia"/>
        </w:rPr>
        <w:t>，经济原则</w:t>
      </w:r>
      <w:r w:rsidRPr="005C65E9">
        <w:t>{13}</w:t>
      </w:r>
      <w:r w:rsidRPr="005C65E9">
        <w:rPr>
          <w:rFonts w:hint="eastAsia"/>
        </w:rPr>
        <w:t>、</w:t>
      </w:r>
      <w:r w:rsidRPr="005C65E9">
        <w:t>{14}</w:t>
      </w:r>
      <w:r w:rsidRPr="005C65E9">
        <w:rPr>
          <w:rFonts w:hint="eastAsia"/>
        </w:rPr>
        <w:t>和</w:t>
      </w:r>
      <w:r w:rsidRPr="005C65E9">
        <w:t xml:space="preserve">{15.3} </w:t>
      </w:r>
      <w:r w:rsidRPr="005C65E9">
        <w:rPr>
          <w:rFonts w:hint="eastAsia"/>
        </w:rPr>
        <w:t>以及第</w:t>
      </w:r>
      <w:r w:rsidRPr="005C65E9">
        <w:t>{20}</w:t>
      </w:r>
      <w:r w:rsidRPr="005C65E9">
        <w:rPr>
          <w:rFonts w:hint="eastAsia"/>
        </w:rPr>
        <w:t>段。</w:t>
      </w:r>
    </w:p>
    <w:p w:rsidR="00853B80" w:rsidRPr="005C65E9" w:rsidRDefault="00853B80" w:rsidP="00A228DD">
      <w:pPr>
        <w:pStyle w:val="normal0"/>
      </w:pPr>
      <w:r w:rsidRPr="005C65E9">
        <w:rPr>
          <w:rFonts w:hint="eastAsia"/>
        </w:rPr>
        <w:t>事实上，行政事业性收费必须符合能够支付行政费用的原则。因此，根据主管部门频谱管理预算的实际落实情况，每年的行政事业性收费可能会提高或降低。</w:t>
      </w:r>
    </w:p>
    <w:p w:rsidR="00853B80" w:rsidRPr="005C65E9" w:rsidRDefault="00853B80" w:rsidP="00A228DD">
      <w:pPr>
        <w:pStyle w:val="normal0"/>
      </w:pPr>
      <w:r w:rsidRPr="005C65E9">
        <w:rPr>
          <w:rFonts w:hint="eastAsia"/>
        </w:rPr>
        <w:t>此外，</w:t>
      </w:r>
      <w:r w:rsidRPr="005C65E9">
        <w:t>2008</w:t>
      </w:r>
      <w:r w:rsidRPr="005C65E9">
        <w:rPr>
          <w:rFonts w:hint="eastAsia"/>
        </w:rPr>
        <w:t>年颁布了新的立法，</w:t>
      </w:r>
      <w:r>
        <w:rPr>
          <w:rFonts w:hint="eastAsia"/>
        </w:rPr>
        <w:t>规定</w:t>
      </w:r>
      <w:r w:rsidRPr="005C65E9">
        <w:rPr>
          <w:rFonts w:hint="eastAsia"/>
        </w:rPr>
        <w:t>制定频谱费</w:t>
      </w:r>
      <w:r>
        <w:rPr>
          <w:rFonts w:hint="eastAsia"/>
        </w:rPr>
        <w:t>时</w:t>
      </w:r>
      <w:r w:rsidRPr="005C65E9">
        <w:rPr>
          <w:rFonts w:hint="eastAsia"/>
        </w:rPr>
        <w:t>亦应考虑到频率的经济价值。</w:t>
      </w:r>
    </w:p>
    <w:p w:rsidR="00853B80" w:rsidRDefault="00853B80" w:rsidP="00A228DD">
      <w:pPr>
        <w:pStyle w:val="normal0"/>
      </w:pPr>
      <w:r w:rsidRPr="005C65E9">
        <w:rPr>
          <w:rFonts w:hint="eastAsia"/>
        </w:rPr>
        <w:t>瑞士</w:t>
      </w:r>
      <w:r>
        <w:rPr>
          <w:rFonts w:hint="eastAsia"/>
        </w:rPr>
        <w:t>提供</w:t>
      </w:r>
      <w:r w:rsidRPr="005C65E9">
        <w:rPr>
          <w:rFonts w:hint="eastAsia"/>
        </w:rPr>
        <w:t>的</w:t>
      </w:r>
      <w:r>
        <w:rPr>
          <w:rFonts w:hint="eastAsia"/>
        </w:rPr>
        <w:t>资料</w:t>
      </w:r>
      <w:r w:rsidRPr="005C65E9">
        <w:rPr>
          <w:rFonts w:hint="eastAsia"/>
        </w:rPr>
        <w:t>见附录</w:t>
      </w:r>
      <w:r w:rsidRPr="005C65E9">
        <w:t>2.1</w:t>
      </w:r>
      <w:r w:rsidRPr="005C65E9">
        <w:rPr>
          <w:rFonts w:hint="eastAsia"/>
        </w:rPr>
        <w:t>和</w:t>
      </w:r>
      <w:r w:rsidRPr="005C65E9">
        <w:t>2.2</w:t>
      </w:r>
      <w:r w:rsidRPr="005C65E9">
        <w:rPr>
          <w:rFonts w:hint="eastAsia"/>
        </w:rPr>
        <w:t>。</w:t>
      </w:r>
    </w:p>
    <w:p w:rsidR="00853B80" w:rsidRPr="005C65E9" w:rsidRDefault="00A228DD" w:rsidP="001C2DA0">
      <w:pPr>
        <w:pStyle w:val="Heading2"/>
      </w:pPr>
      <w:bookmarkStart w:id="42" w:name="_Toc288642955"/>
      <w:r>
        <w:lastRenderedPageBreak/>
        <w:t>8.3</w:t>
      </w:r>
      <w:r>
        <w:rPr>
          <w:rFonts w:hint="eastAsia"/>
          <w:lang w:eastAsia="zh-CN"/>
        </w:rPr>
        <w:tab/>
      </w:r>
      <w:r w:rsidR="00853B80" w:rsidRPr="005C65E9">
        <w:rPr>
          <w:rFonts w:hint="eastAsia"/>
        </w:rPr>
        <w:t>法国的情况</w:t>
      </w:r>
      <w:bookmarkEnd w:id="42"/>
    </w:p>
    <w:p w:rsidR="00853B80" w:rsidRPr="00B41480" w:rsidRDefault="00853B80" w:rsidP="00A228DD">
      <w:pPr>
        <w:pStyle w:val="normal0"/>
      </w:pPr>
      <w:r w:rsidRPr="00B41480">
        <w:rPr>
          <w:rFonts w:hint="eastAsia"/>
        </w:rPr>
        <w:t>法国主管部门采用的收费体系特别体现了法律原则</w:t>
      </w:r>
      <w:r w:rsidRPr="00B41480">
        <w:t>{6}</w:t>
      </w:r>
      <w:r w:rsidRPr="00B41480">
        <w:rPr>
          <w:rFonts w:hint="eastAsia"/>
        </w:rPr>
        <w:t>和</w:t>
      </w:r>
      <w:r w:rsidRPr="00B41480">
        <w:t>{8}</w:t>
      </w:r>
      <w:r w:rsidRPr="00B41480">
        <w:rPr>
          <w:rFonts w:hint="eastAsia"/>
        </w:rPr>
        <w:t>，经济原则</w:t>
      </w:r>
      <w:r w:rsidRPr="00B41480">
        <w:t>{13}</w:t>
      </w:r>
      <w:r w:rsidRPr="00B41480">
        <w:rPr>
          <w:rFonts w:hint="eastAsia"/>
        </w:rPr>
        <w:t>、</w:t>
      </w:r>
      <w:r w:rsidRPr="00B41480">
        <w:t>{14}</w:t>
      </w:r>
      <w:r w:rsidRPr="00B41480">
        <w:rPr>
          <w:rFonts w:hint="eastAsia"/>
        </w:rPr>
        <w:t>、</w:t>
      </w:r>
      <w:r w:rsidRPr="00B41480">
        <w:t>{15.2}</w:t>
      </w:r>
      <w:r w:rsidRPr="00B41480">
        <w:rPr>
          <w:rFonts w:hint="eastAsia"/>
        </w:rPr>
        <w:t>、</w:t>
      </w:r>
      <w:r w:rsidRPr="00B41480">
        <w:t>{15.3}</w:t>
      </w:r>
      <w:r w:rsidRPr="00B41480">
        <w:rPr>
          <w:rFonts w:hint="eastAsia"/>
        </w:rPr>
        <w:t>和</w:t>
      </w:r>
      <w:r w:rsidRPr="00B41480">
        <w:t>{15.4}</w:t>
      </w:r>
      <w:r w:rsidRPr="00B41480">
        <w:rPr>
          <w:rFonts w:hint="eastAsia"/>
        </w:rPr>
        <w:t>以及第</w:t>
      </w:r>
      <w:r w:rsidRPr="00B41480">
        <w:t>{20}</w:t>
      </w:r>
      <w:r w:rsidRPr="00B41480">
        <w:rPr>
          <w:rFonts w:hint="eastAsia"/>
        </w:rPr>
        <w:t>、</w:t>
      </w:r>
      <w:r w:rsidRPr="00B41480">
        <w:t>{24}</w:t>
      </w:r>
      <w:r w:rsidRPr="00B41480">
        <w:rPr>
          <w:rFonts w:hint="eastAsia"/>
        </w:rPr>
        <w:t>和</w:t>
      </w:r>
      <w:r w:rsidRPr="00B41480">
        <w:t>{25}</w:t>
      </w:r>
      <w:r w:rsidRPr="00B41480">
        <w:rPr>
          <w:rFonts w:hint="eastAsia"/>
        </w:rPr>
        <w:t>段。</w:t>
      </w:r>
    </w:p>
    <w:p w:rsidR="00853B80" w:rsidRPr="00B41480" w:rsidRDefault="00853B80" w:rsidP="00A228DD">
      <w:pPr>
        <w:pStyle w:val="normal0"/>
      </w:pPr>
      <w:r w:rsidRPr="00B41480">
        <w:rPr>
          <w:rFonts w:hint="eastAsia"/>
        </w:rPr>
        <w:t>事实上，该主管部门采用了两类收费制度。</w:t>
      </w:r>
    </w:p>
    <w:p w:rsidR="00853B80" w:rsidRPr="00B41480" w:rsidRDefault="00853B80" w:rsidP="00A228DD">
      <w:pPr>
        <w:pStyle w:val="normal0"/>
      </w:pPr>
      <w:r w:rsidRPr="00B41480">
        <w:rPr>
          <w:rFonts w:hint="eastAsia"/>
        </w:rPr>
        <w:t>行政性收费与划分的指配和分配</w:t>
      </w:r>
      <w:r>
        <w:rPr>
          <w:rFonts w:hint="eastAsia"/>
        </w:rPr>
        <w:t>数</w:t>
      </w:r>
      <w:r w:rsidRPr="00B41480">
        <w:rPr>
          <w:rFonts w:hint="eastAsia"/>
        </w:rPr>
        <w:t>量成比例。其年度总额相当于频谱管理以及许可证和授权的年度总费用。</w:t>
      </w:r>
    </w:p>
    <w:p w:rsidR="00853B80" w:rsidRPr="00B41480" w:rsidRDefault="00853B80" w:rsidP="00A228DD">
      <w:pPr>
        <w:pStyle w:val="normal0"/>
      </w:pPr>
      <w:r w:rsidRPr="00B41480">
        <w:rPr>
          <w:rFonts w:hint="eastAsia"/>
        </w:rPr>
        <w:t>计算有关旨在满足用户自身需求的频率的频谱费，只考虑划分的带宽和划分</w:t>
      </w:r>
      <w:r>
        <w:rPr>
          <w:rFonts w:hint="eastAsia"/>
        </w:rPr>
        <w:t>区域</w:t>
      </w:r>
      <w:r w:rsidRPr="00B41480">
        <w:rPr>
          <w:rFonts w:hint="eastAsia"/>
        </w:rPr>
        <w:t>面积。</w:t>
      </w:r>
    </w:p>
    <w:p w:rsidR="00853B80" w:rsidRPr="005C65E9" w:rsidRDefault="00853B80" w:rsidP="00A228DD">
      <w:pPr>
        <w:pStyle w:val="normal0"/>
      </w:pPr>
      <w:r w:rsidRPr="00B41480">
        <w:rPr>
          <w:rFonts w:hint="eastAsia"/>
        </w:rPr>
        <w:t>计算有关用于向消费者市场提供服务或</w:t>
      </w:r>
      <w:r>
        <w:rPr>
          <w:rFonts w:hint="eastAsia"/>
        </w:rPr>
        <w:t>提供商业性</w:t>
      </w:r>
      <w:r w:rsidRPr="00B41480">
        <w:rPr>
          <w:rFonts w:hint="eastAsia"/>
        </w:rPr>
        <w:t>服务的频率（全球移动通信（</w:t>
      </w:r>
      <w:r w:rsidRPr="00B41480">
        <w:t>GSM</w:t>
      </w:r>
      <w:r w:rsidRPr="00B41480">
        <w:rPr>
          <w:rFonts w:hint="eastAsia"/>
        </w:rPr>
        <w:t>）和通用移动通信系统（</w:t>
      </w:r>
      <w:r w:rsidRPr="00B41480">
        <w:t>UMTS</w:t>
      </w:r>
      <w:r w:rsidRPr="00B41480">
        <w:rPr>
          <w:rFonts w:hint="eastAsia"/>
        </w:rPr>
        <w:t>）频率的情况）的频谱费，要考虑运营商的业务量。</w:t>
      </w:r>
    </w:p>
    <w:p w:rsidR="00853B80" w:rsidRPr="005C65E9" w:rsidRDefault="00A228DD" w:rsidP="001C2DA0">
      <w:pPr>
        <w:pStyle w:val="Heading2"/>
      </w:pPr>
      <w:bookmarkStart w:id="43" w:name="_Toc288642956"/>
      <w:r>
        <w:t>8.4</w:t>
      </w:r>
      <w:r>
        <w:rPr>
          <w:rFonts w:hint="eastAsia"/>
          <w:lang w:eastAsia="zh-CN"/>
        </w:rPr>
        <w:tab/>
      </w:r>
      <w:r w:rsidR="00853B80" w:rsidRPr="005C65E9">
        <w:rPr>
          <w:rFonts w:hint="eastAsia"/>
        </w:rPr>
        <w:t>科特迪瓦的情况</w:t>
      </w:r>
      <w:bookmarkEnd w:id="43"/>
    </w:p>
    <w:p w:rsidR="00853B80" w:rsidRPr="00B41480" w:rsidRDefault="00853B80" w:rsidP="00A228DD">
      <w:pPr>
        <w:pStyle w:val="normal0"/>
      </w:pPr>
      <w:r w:rsidRPr="00B41480">
        <w:rPr>
          <w:rFonts w:hint="eastAsia"/>
        </w:rPr>
        <w:t>科特迪瓦主管部门完全遵守了法律原则</w:t>
      </w:r>
      <w:r w:rsidRPr="00B41480">
        <w:t>{6}</w:t>
      </w:r>
      <w:r w:rsidRPr="00B41480">
        <w:rPr>
          <w:rFonts w:hint="eastAsia"/>
        </w:rPr>
        <w:t>、</w:t>
      </w:r>
      <w:r w:rsidRPr="00B41480">
        <w:t>{7}</w:t>
      </w:r>
      <w:r w:rsidRPr="00B41480">
        <w:rPr>
          <w:rFonts w:hint="eastAsia"/>
        </w:rPr>
        <w:t>和</w:t>
      </w:r>
      <w:r w:rsidRPr="00B41480">
        <w:t>{8}</w:t>
      </w:r>
      <w:r w:rsidRPr="00B41480">
        <w:rPr>
          <w:rFonts w:hint="eastAsia"/>
        </w:rPr>
        <w:t>以及经济原则</w:t>
      </w:r>
      <w:r w:rsidRPr="00B41480">
        <w:t>{15.1}</w:t>
      </w:r>
      <w:r w:rsidRPr="00B41480">
        <w:rPr>
          <w:rFonts w:hint="eastAsia"/>
        </w:rPr>
        <w:t>、</w:t>
      </w:r>
      <w:r w:rsidRPr="00B41480">
        <w:t>{15.2}</w:t>
      </w:r>
      <w:r w:rsidRPr="00B41480">
        <w:rPr>
          <w:rFonts w:hint="eastAsia"/>
        </w:rPr>
        <w:t>、</w:t>
      </w:r>
      <w:r w:rsidRPr="00B41480">
        <w:t>{15.3}</w:t>
      </w:r>
      <w:r w:rsidRPr="00B41480">
        <w:rPr>
          <w:rFonts w:hint="eastAsia"/>
        </w:rPr>
        <w:t>和</w:t>
      </w:r>
      <w:r w:rsidRPr="00B41480">
        <w:t>{15.4}</w:t>
      </w:r>
      <w:r w:rsidRPr="00B41480">
        <w:rPr>
          <w:rFonts w:hint="eastAsia"/>
        </w:rPr>
        <w:t>。</w:t>
      </w:r>
    </w:p>
    <w:p w:rsidR="00853B80" w:rsidRDefault="00853B80" w:rsidP="00A228DD">
      <w:pPr>
        <w:pStyle w:val="normal0"/>
      </w:pPr>
      <w:r w:rsidRPr="00B41480">
        <w:rPr>
          <w:rFonts w:hint="eastAsia"/>
        </w:rPr>
        <w:t>特别是应用了第</w:t>
      </w:r>
      <w:r w:rsidRPr="00B41480">
        <w:t>5.1.4</w:t>
      </w:r>
      <w:r w:rsidRPr="00B41480">
        <w:rPr>
          <w:rFonts w:hint="eastAsia"/>
        </w:rPr>
        <w:t>段的规定。</w:t>
      </w:r>
    </w:p>
    <w:p w:rsidR="00853B80" w:rsidRDefault="00853B80" w:rsidP="00A228DD">
      <w:pPr>
        <w:pStyle w:val="normal0"/>
      </w:pPr>
      <w:r w:rsidRPr="00C23A7B">
        <w:rPr>
          <w:rFonts w:hint="eastAsia"/>
        </w:rPr>
        <w:t>科特迪瓦提供的资料见附录</w:t>
      </w:r>
      <w:r w:rsidRPr="00C23A7B">
        <w:t>3</w:t>
      </w:r>
      <w:r w:rsidRPr="00C23A7B">
        <w:rPr>
          <w:rFonts w:hint="eastAsia"/>
        </w:rPr>
        <w:t>。</w:t>
      </w:r>
    </w:p>
    <w:p w:rsidR="00853B80" w:rsidRDefault="00853B80" w:rsidP="001C2DA0"/>
    <w:p w:rsidR="00853B80" w:rsidRPr="002C4984" w:rsidRDefault="00853B80" w:rsidP="001C2DA0">
      <w:pPr>
        <w:pStyle w:val="AnnexNotitle"/>
        <w:rPr>
          <w:lang w:eastAsia="zh-CN"/>
        </w:rPr>
      </w:pPr>
      <w:r w:rsidRPr="002C4984">
        <w:rPr>
          <w:lang w:val="fr-FR"/>
        </w:rPr>
        <w:br w:type="page"/>
      </w:r>
      <w:bookmarkStart w:id="44" w:name="_Toc288642957"/>
      <w:r w:rsidRPr="00C23A7B">
        <w:rPr>
          <w:rFonts w:hint="eastAsia"/>
        </w:rPr>
        <w:lastRenderedPageBreak/>
        <w:t>附件</w:t>
      </w:r>
      <w:r w:rsidRPr="00C23A7B">
        <w:t>1</w:t>
      </w:r>
      <w:r w:rsidR="001C2DA0">
        <w:rPr>
          <w:rFonts w:hint="eastAsia"/>
          <w:lang w:eastAsia="zh-CN"/>
        </w:rPr>
        <w:br/>
      </w:r>
      <w:r w:rsidR="001C2DA0">
        <w:rPr>
          <w:rFonts w:hint="eastAsia"/>
          <w:lang w:eastAsia="zh-CN"/>
        </w:rPr>
        <w:br/>
      </w:r>
      <w:r w:rsidRPr="002C4984">
        <w:rPr>
          <w:rFonts w:hint="eastAsia"/>
          <w:lang w:eastAsia="zh-CN"/>
        </w:rPr>
        <w:t>各频段</w:t>
      </w:r>
      <w:r>
        <w:rPr>
          <w:rFonts w:hint="eastAsia"/>
          <w:lang w:eastAsia="zh-CN"/>
        </w:rPr>
        <w:t>“</w:t>
      </w:r>
      <w:r>
        <w:rPr>
          <w:lang w:eastAsia="zh-CN"/>
        </w:rPr>
        <w:t>bf</w:t>
      </w:r>
      <w:r>
        <w:rPr>
          <w:rFonts w:hint="eastAsia"/>
          <w:lang w:eastAsia="zh-CN"/>
        </w:rPr>
        <w:t>”</w:t>
      </w:r>
      <w:r w:rsidRPr="002C4984">
        <w:rPr>
          <w:rFonts w:hint="eastAsia"/>
          <w:lang w:eastAsia="zh-CN"/>
        </w:rPr>
        <w:t>系数值的简明表格示例</w:t>
      </w:r>
      <w:bookmarkEnd w:id="44"/>
    </w:p>
    <w:p w:rsidR="001C2DA0" w:rsidRDefault="001C2DA0" w:rsidP="001C2DA0">
      <w:pPr>
        <w:rPr>
          <w:b/>
          <w:bCs/>
          <w:lang w:eastAsia="zh-CN"/>
        </w:rPr>
      </w:pPr>
    </w:p>
    <w:p w:rsidR="00853B80" w:rsidRDefault="00853B80" w:rsidP="001C2DA0">
      <w:pPr>
        <w:rPr>
          <w:b/>
          <w:bCs/>
          <w:lang w:eastAsia="zh-CN"/>
        </w:rPr>
      </w:pPr>
      <w:r w:rsidRPr="001C2DA0">
        <w:rPr>
          <w:rFonts w:hint="eastAsia"/>
          <w:b/>
          <w:bCs/>
          <w:lang w:eastAsia="zh-CN"/>
        </w:rPr>
        <w:t>最低系数鼓励用户占用对应的频段，而最高系数则鼓励用户放弃对应的频段。</w:t>
      </w:r>
    </w:p>
    <w:p w:rsidR="00871CE0" w:rsidRDefault="00871CE0" w:rsidP="001C2DA0">
      <w:pPr>
        <w:rPr>
          <w:b/>
          <w:bCs/>
          <w:lang w:eastAsia="zh-CN"/>
        </w:rPr>
      </w:pPr>
    </w:p>
    <w:p w:rsidR="001C2DA0" w:rsidRDefault="001C2DA0" w:rsidP="00871CE0">
      <w:pPr>
        <w:pStyle w:val="FigureTitle"/>
        <w:rPr>
          <w:lang w:eastAsia="zh-CN"/>
        </w:rPr>
      </w:pPr>
    </w:p>
    <w:tbl>
      <w:tblPr>
        <w:tblW w:w="0" w:type="auto"/>
        <w:jc w:val="center"/>
        <w:tblInd w:w="55" w:type="dxa"/>
        <w:tblLayout w:type="fixed"/>
        <w:tblCellMar>
          <w:top w:w="55" w:type="dxa"/>
          <w:left w:w="55" w:type="dxa"/>
          <w:bottom w:w="55" w:type="dxa"/>
          <w:right w:w="55" w:type="dxa"/>
        </w:tblCellMar>
        <w:tblLook w:val="0000"/>
      </w:tblPr>
      <w:tblGrid>
        <w:gridCol w:w="4780"/>
        <w:gridCol w:w="4781"/>
      </w:tblGrid>
      <w:tr w:rsidR="00853B80" w:rsidRPr="002C4984" w:rsidTr="00B17677">
        <w:trPr>
          <w:trHeight w:val="459"/>
          <w:jc w:val="center"/>
        </w:trPr>
        <w:tc>
          <w:tcPr>
            <w:tcW w:w="4780" w:type="dxa"/>
            <w:tcBorders>
              <w:top w:val="single" w:sz="2" w:space="0" w:color="000000"/>
              <w:left w:val="single" w:sz="2" w:space="0" w:color="000000"/>
              <w:bottom w:val="single" w:sz="2" w:space="0" w:color="000000"/>
            </w:tcBorders>
          </w:tcPr>
          <w:p w:rsidR="00853B80" w:rsidRPr="001C2DA0" w:rsidRDefault="00853B80" w:rsidP="001C2DA0">
            <w:pPr>
              <w:pStyle w:val="Tablehead"/>
            </w:pPr>
            <w:r w:rsidRPr="001C2DA0">
              <w:rPr>
                <w:rFonts w:hint="eastAsia"/>
              </w:rPr>
              <w:t>所划分频段的位置</w:t>
            </w:r>
          </w:p>
        </w:tc>
        <w:tc>
          <w:tcPr>
            <w:tcW w:w="4781" w:type="dxa"/>
            <w:tcBorders>
              <w:top w:val="single" w:sz="2" w:space="0" w:color="000000"/>
              <w:left w:val="single" w:sz="2" w:space="0" w:color="000000"/>
              <w:bottom w:val="single" w:sz="2" w:space="0" w:color="000000"/>
              <w:right w:val="single" w:sz="2" w:space="0" w:color="000000"/>
            </w:tcBorders>
          </w:tcPr>
          <w:p w:rsidR="00853B80" w:rsidRPr="001C2DA0" w:rsidRDefault="00853B80" w:rsidP="001C2DA0">
            <w:pPr>
              <w:pStyle w:val="Tablehead"/>
            </w:pPr>
            <w:r w:rsidRPr="001C2DA0">
              <w:rPr>
                <w:rFonts w:hint="eastAsia"/>
              </w:rPr>
              <w:t>系数“</w:t>
            </w:r>
            <w:r w:rsidRPr="001C2DA0">
              <w:t>bf</w:t>
            </w:r>
            <w:r w:rsidRPr="001C2DA0">
              <w:rPr>
                <w:rFonts w:hint="eastAsia"/>
              </w:rPr>
              <w:t>”的值</w:t>
            </w:r>
          </w:p>
        </w:tc>
      </w:tr>
      <w:tr w:rsidR="00853B80" w:rsidRPr="002C4984" w:rsidTr="00B17677">
        <w:trPr>
          <w:trHeight w:val="383"/>
          <w:jc w:val="center"/>
        </w:trPr>
        <w:tc>
          <w:tcPr>
            <w:tcW w:w="4780" w:type="dxa"/>
            <w:tcBorders>
              <w:left w:val="single" w:sz="2" w:space="0" w:color="000000"/>
              <w:bottom w:val="single" w:sz="2" w:space="0" w:color="000000"/>
            </w:tcBorders>
          </w:tcPr>
          <w:p w:rsidR="00853B80" w:rsidRPr="001C2DA0" w:rsidRDefault="00853B80" w:rsidP="001C2DA0">
            <w:pPr>
              <w:pStyle w:val="Tabletext"/>
              <w:jc w:val="center"/>
            </w:pPr>
            <w:r w:rsidRPr="001C2DA0">
              <w:t>29.7 MHz &lt;</w:t>
            </w:r>
            <w:r w:rsidRPr="001C2DA0">
              <w:tab/>
              <w:t xml:space="preserve">  </w:t>
            </w:r>
            <w:r w:rsidRPr="001C2DA0">
              <w:rPr>
                <w:rFonts w:ascii="SimSun" w:hAnsi="SimSun" w:cs="SimSun" w:hint="eastAsia"/>
                <w:szCs w:val="22"/>
                <w:rtl/>
              </w:rPr>
              <w:t>频段</w:t>
            </w:r>
            <w:r w:rsidRPr="001C2DA0">
              <w:t xml:space="preserve">  &lt; 1375 MHz</w:t>
            </w:r>
          </w:p>
        </w:tc>
        <w:tc>
          <w:tcPr>
            <w:tcW w:w="4781" w:type="dxa"/>
            <w:tcBorders>
              <w:left w:val="single" w:sz="2" w:space="0" w:color="000000"/>
              <w:bottom w:val="single" w:sz="2" w:space="0" w:color="000000"/>
              <w:right w:val="single" w:sz="2" w:space="0" w:color="000000"/>
            </w:tcBorders>
          </w:tcPr>
          <w:p w:rsidR="00853B80" w:rsidRPr="001C2DA0" w:rsidRDefault="00853B80" w:rsidP="001C2DA0">
            <w:pPr>
              <w:pStyle w:val="Tabletext"/>
              <w:jc w:val="center"/>
            </w:pPr>
            <w:r w:rsidRPr="001C2DA0">
              <w:t>1</w:t>
            </w:r>
          </w:p>
        </w:tc>
      </w:tr>
      <w:tr w:rsidR="00853B80" w:rsidRPr="002C4984" w:rsidTr="00B17677">
        <w:trPr>
          <w:trHeight w:val="383"/>
          <w:jc w:val="center"/>
        </w:trPr>
        <w:tc>
          <w:tcPr>
            <w:tcW w:w="4780" w:type="dxa"/>
            <w:tcBorders>
              <w:left w:val="single" w:sz="2" w:space="0" w:color="000000"/>
              <w:bottom w:val="single" w:sz="2" w:space="0" w:color="000000"/>
            </w:tcBorders>
          </w:tcPr>
          <w:p w:rsidR="00853B80" w:rsidRPr="001C2DA0" w:rsidRDefault="00853B80" w:rsidP="001C2DA0">
            <w:pPr>
              <w:pStyle w:val="Tabletext"/>
              <w:jc w:val="center"/>
            </w:pPr>
            <w:r w:rsidRPr="001C2DA0">
              <w:t>1375 MHz &lt;</w:t>
            </w:r>
            <w:r w:rsidRPr="001C2DA0">
              <w:tab/>
              <w:t xml:space="preserve"> </w:t>
            </w:r>
            <w:r w:rsidRPr="001C2DA0">
              <w:rPr>
                <w:rFonts w:ascii="SimSun" w:hAnsi="SimSun" w:cs="SimSun" w:hint="eastAsia"/>
                <w:szCs w:val="22"/>
                <w:rtl/>
              </w:rPr>
              <w:t>频段</w:t>
            </w:r>
            <w:r w:rsidRPr="001C2DA0">
              <w:tab/>
              <w:t>&lt; 3400 MHz</w:t>
            </w:r>
          </w:p>
        </w:tc>
        <w:tc>
          <w:tcPr>
            <w:tcW w:w="4781" w:type="dxa"/>
            <w:tcBorders>
              <w:left w:val="single" w:sz="2" w:space="0" w:color="000000"/>
              <w:bottom w:val="single" w:sz="2" w:space="0" w:color="000000"/>
              <w:right w:val="single" w:sz="2" w:space="0" w:color="000000"/>
            </w:tcBorders>
          </w:tcPr>
          <w:p w:rsidR="00853B80" w:rsidRPr="001C2DA0" w:rsidRDefault="00853B80" w:rsidP="001C2DA0">
            <w:pPr>
              <w:pStyle w:val="Tabletext"/>
              <w:jc w:val="center"/>
            </w:pPr>
            <w:r w:rsidRPr="001C2DA0">
              <w:t>8</w:t>
            </w:r>
          </w:p>
        </w:tc>
      </w:tr>
      <w:tr w:rsidR="00853B80" w:rsidRPr="002C4984" w:rsidTr="00B17677">
        <w:trPr>
          <w:trHeight w:val="383"/>
          <w:jc w:val="center"/>
        </w:trPr>
        <w:tc>
          <w:tcPr>
            <w:tcW w:w="4780" w:type="dxa"/>
            <w:tcBorders>
              <w:left w:val="single" w:sz="2" w:space="0" w:color="000000"/>
              <w:bottom w:val="single" w:sz="2" w:space="0" w:color="000000"/>
            </w:tcBorders>
          </w:tcPr>
          <w:p w:rsidR="00853B80" w:rsidRPr="001C2DA0" w:rsidRDefault="00853B80" w:rsidP="001C2DA0">
            <w:pPr>
              <w:pStyle w:val="Tabletext"/>
              <w:jc w:val="center"/>
            </w:pPr>
            <w:r w:rsidRPr="001C2DA0">
              <w:t>3400 MHz &lt;</w:t>
            </w:r>
            <w:r w:rsidRPr="001C2DA0">
              <w:tab/>
              <w:t xml:space="preserve"> </w:t>
            </w:r>
            <w:r w:rsidRPr="001C2DA0">
              <w:rPr>
                <w:rFonts w:ascii="SimSun" w:hAnsi="SimSun" w:cs="SimSun" w:hint="eastAsia"/>
                <w:szCs w:val="22"/>
                <w:rtl/>
              </w:rPr>
              <w:t>频段</w:t>
            </w:r>
            <w:r w:rsidRPr="001C2DA0">
              <w:tab/>
              <w:t>&lt; 7110 MHz</w:t>
            </w:r>
          </w:p>
        </w:tc>
        <w:tc>
          <w:tcPr>
            <w:tcW w:w="4781" w:type="dxa"/>
            <w:tcBorders>
              <w:left w:val="single" w:sz="2" w:space="0" w:color="000000"/>
              <w:bottom w:val="single" w:sz="2" w:space="0" w:color="000000"/>
              <w:right w:val="single" w:sz="2" w:space="0" w:color="000000"/>
            </w:tcBorders>
          </w:tcPr>
          <w:p w:rsidR="00853B80" w:rsidRPr="001C2DA0" w:rsidRDefault="00853B80" w:rsidP="001C2DA0">
            <w:pPr>
              <w:pStyle w:val="Tabletext"/>
              <w:jc w:val="center"/>
            </w:pPr>
            <w:r w:rsidRPr="001C2DA0">
              <w:t>2</w:t>
            </w:r>
          </w:p>
        </w:tc>
      </w:tr>
      <w:tr w:rsidR="00853B80" w:rsidRPr="002C4984" w:rsidTr="00B17677">
        <w:trPr>
          <w:trHeight w:val="383"/>
          <w:jc w:val="center"/>
        </w:trPr>
        <w:tc>
          <w:tcPr>
            <w:tcW w:w="4780" w:type="dxa"/>
            <w:tcBorders>
              <w:left w:val="single" w:sz="2" w:space="0" w:color="000000"/>
              <w:bottom w:val="single" w:sz="2" w:space="0" w:color="000000"/>
            </w:tcBorders>
          </w:tcPr>
          <w:p w:rsidR="00853B80" w:rsidRPr="001C2DA0" w:rsidRDefault="00571C9A" w:rsidP="001C2DA0">
            <w:pPr>
              <w:pStyle w:val="Tabletext"/>
              <w:jc w:val="center"/>
            </w:pPr>
            <w:r>
              <w:t>7110 MHz &lt;</w:t>
            </w:r>
            <w:r w:rsidR="00853B80" w:rsidRPr="001C2DA0">
              <w:t xml:space="preserve">  </w:t>
            </w:r>
            <w:r w:rsidR="00853B80" w:rsidRPr="001C2DA0">
              <w:rPr>
                <w:rFonts w:ascii="SimSun" w:hAnsi="SimSun" w:cs="SimSun" w:hint="eastAsia"/>
                <w:szCs w:val="22"/>
                <w:rtl/>
              </w:rPr>
              <w:t>频段</w:t>
            </w:r>
            <w:r w:rsidR="00853B80" w:rsidRPr="001C2DA0">
              <w:tab/>
              <w:t xml:space="preserve"> &lt; 12.75 GHz</w:t>
            </w:r>
          </w:p>
        </w:tc>
        <w:tc>
          <w:tcPr>
            <w:tcW w:w="4781" w:type="dxa"/>
            <w:tcBorders>
              <w:left w:val="single" w:sz="2" w:space="0" w:color="000000"/>
              <w:bottom w:val="single" w:sz="2" w:space="0" w:color="000000"/>
              <w:right w:val="single" w:sz="2" w:space="0" w:color="000000"/>
            </w:tcBorders>
          </w:tcPr>
          <w:p w:rsidR="00853B80" w:rsidRPr="001C2DA0" w:rsidRDefault="00853B80" w:rsidP="001C2DA0">
            <w:pPr>
              <w:pStyle w:val="Tabletext"/>
              <w:jc w:val="center"/>
            </w:pPr>
            <w:r w:rsidRPr="001C2DA0">
              <w:t>1.5</w:t>
            </w:r>
          </w:p>
        </w:tc>
      </w:tr>
      <w:tr w:rsidR="00853B80" w:rsidRPr="002C4984" w:rsidTr="00B17677">
        <w:trPr>
          <w:trHeight w:val="383"/>
          <w:jc w:val="center"/>
        </w:trPr>
        <w:tc>
          <w:tcPr>
            <w:tcW w:w="4780" w:type="dxa"/>
            <w:tcBorders>
              <w:left w:val="single" w:sz="2" w:space="0" w:color="000000"/>
              <w:bottom w:val="single" w:sz="2" w:space="0" w:color="000000"/>
            </w:tcBorders>
          </w:tcPr>
          <w:p w:rsidR="00853B80" w:rsidRPr="001C2DA0" w:rsidRDefault="00344381" w:rsidP="001C2DA0">
            <w:pPr>
              <w:pStyle w:val="Tabletext"/>
              <w:jc w:val="center"/>
            </w:pPr>
            <w:r>
              <w:t>12.75 GHz &lt;</w:t>
            </w:r>
            <w:r w:rsidR="00853B80" w:rsidRPr="001C2DA0">
              <w:t xml:space="preserve">  </w:t>
            </w:r>
            <w:r w:rsidR="00853B80" w:rsidRPr="001C2DA0">
              <w:rPr>
                <w:rFonts w:ascii="SimSun" w:hAnsi="SimSun" w:cs="SimSun" w:hint="eastAsia"/>
                <w:szCs w:val="22"/>
                <w:rtl/>
              </w:rPr>
              <w:t>频段</w:t>
            </w:r>
            <w:r w:rsidR="00853B80" w:rsidRPr="001C2DA0">
              <w:tab/>
              <w:t xml:space="preserve"> &lt; 14.5 GHz</w:t>
            </w:r>
          </w:p>
        </w:tc>
        <w:tc>
          <w:tcPr>
            <w:tcW w:w="4781" w:type="dxa"/>
            <w:tcBorders>
              <w:left w:val="single" w:sz="2" w:space="0" w:color="000000"/>
              <w:bottom w:val="single" w:sz="2" w:space="0" w:color="000000"/>
              <w:right w:val="single" w:sz="2" w:space="0" w:color="000000"/>
            </w:tcBorders>
          </w:tcPr>
          <w:p w:rsidR="00853B80" w:rsidRPr="001C2DA0" w:rsidRDefault="00853B80" w:rsidP="001C2DA0">
            <w:pPr>
              <w:pStyle w:val="Tabletext"/>
              <w:jc w:val="center"/>
            </w:pPr>
            <w:r w:rsidRPr="001C2DA0">
              <w:t>1</w:t>
            </w:r>
          </w:p>
        </w:tc>
      </w:tr>
      <w:tr w:rsidR="00853B80" w:rsidRPr="002C4984" w:rsidTr="00B17677">
        <w:trPr>
          <w:trHeight w:val="383"/>
          <w:jc w:val="center"/>
        </w:trPr>
        <w:tc>
          <w:tcPr>
            <w:tcW w:w="4780" w:type="dxa"/>
            <w:tcBorders>
              <w:left w:val="single" w:sz="2" w:space="0" w:color="000000"/>
              <w:bottom w:val="single" w:sz="2" w:space="0" w:color="000000"/>
            </w:tcBorders>
          </w:tcPr>
          <w:p w:rsidR="00853B80" w:rsidRPr="001C2DA0" w:rsidRDefault="00344381" w:rsidP="001C2DA0">
            <w:pPr>
              <w:pStyle w:val="Tabletext"/>
              <w:jc w:val="center"/>
            </w:pPr>
            <w:r>
              <w:t>14.5 GHz &lt;</w:t>
            </w:r>
            <w:r w:rsidR="00853B80" w:rsidRPr="001C2DA0">
              <w:t xml:space="preserve">  </w:t>
            </w:r>
            <w:r w:rsidR="00853B80" w:rsidRPr="001C2DA0">
              <w:rPr>
                <w:rFonts w:ascii="SimSun" w:hAnsi="SimSun" w:cs="SimSun" w:hint="eastAsia"/>
                <w:szCs w:val="22"/>
                <w:rtl/>
              </w:rPr>
              <w:t>频段</w:t>
            </w:r>
            <w:r w:rsidR="00853B80" w:rsidRPr="001C2DA0">
              <w:tab/>
              <w:t xml:space="preserve"> &lt; 20.2 GHz</w:t>
            </w:r>
          </w:p>
        </w:tc>
        <w:tc>
          <w:tcPr>
            <w:tcW w:w="4781" w:type="dxa"/>
            <w:tcBorders>
              <w:left w:val="single" w:sz="2" w:space="0" w:color="000000"/>
              <w:bottom w:val="single" w:sz="2" w:space="0" w:color="000000"/>
              <w:right w:val="single" w:sz="2" w:space="0" w:color="000000"/>
            </w:tcBorders>
          </w:tcPr>
          <w:p w:rsidR="00853B80" w:rsidRPr="001C2DA0" w:rsidRDefault="00853B80" w:rsidP="001C2DA0">
            <w:pPr>
              <w:pStyle w:val="Tabletext"/>
              <w:jc w:val="center"/>
            </w:pPr>
            <w:r w:rsidRPr="001C2DA0">
              <w:t>0.7</w:t>
            </w:r>
          </w:p>
        </w:tc>
      </w:tr>
      <w:tr w:rsidR="00853B80" w:rsidRPr="002C4984" w:rsidTr="00B17677">
        <w:trPr>
          <w:trHeight w:val="383"/>
          <w:jc w:val="center"/>
        </w:trPr>
        <w:tc>
          <w:tcPr>
            <w:tcW w:w="4780" w:type="dxa"/>
            <w:tcBorders>
              <w:left w:val="single" w:sz="2" w:space="0" w:color="000000"/>
              <w:bottom w:val="single" w:sz="2" w:space="0" w:color="000000"/>
            </w:tcBorders>
          </w:tcPr>
          <w:p w:rsidR="00853B80" w:rsidRPr="001C2DA0" w:rsidRDefault="00853B80" w:rsidP="001C2DA0">
            <w:pPr>
              <w:pStyle w:val="Tabletext"/>
              <w:jc w:val="center"/>
            </w:pPr>
            <w:r w:rsidRPr="001C2DA0">
              <w:t>20.2 GHz &lt;</w:t>
            </w:r>
            <w:r w:rsidRPr="001C2DA0">
              <w:tab/>
              <w:t xml:space="preserve"> </w:t>
            </w:r>
            <w:r w:rsidRPr="001C2DA0">
              <w:rPr>
                <w:rFonts w:ascii="SimSun" w:hAnsi="SimSun" w:cs="SimSun" w:hint="eastAsia"/>
                <w:szCs w:val="22"/>
                <w:rtl/>
              </w:rPr>
              <w:t>频段</w:t>
            </w:r>
            <w:r w:rsidRPr="001C2DA0">
              <w:tab/>
              <w:t>&lt; 37.5 GHz</w:t>
            </w:r>
          </w:p>
        </w:tc>
        <w:tc>
          <w:tcPr>
            <w:tcW w:w="4781" w:type="dxa"/>
            <w:tcBorders>
              <w:left w:val="single" w:sz="2" w:space="0" w:color="000000"/>
              <w:bottom w:val="single" w:sz="2" w:space="0" w:color="000000"/>
              <w:right w:val="single" w:sz="2" w:space="0" w:color="000000"/>
            </w:tcBorders>
          </w:tcPr>
          <w:p w:rsidR="00853B80" w:rsidRPr="001C2DA0" w:rsidRDefault="00853B80" w:rsidP="001C2DA0">
            <w:pPr>
              <w:pStyle w:val="Tabletext"/>
              <w:jc w:val="center"/>
            </w:pPr>
            <w:r w:rsidRPr="001C2DA0">
              <w:t>0.5</w:t>
            </w:r>
          </w:p>
        </w:tc>
      </w:tr>
      <w:tr w:rsidR="00853B80" w:rsidRPr="002C4984" w:rsidTr="00B17677">
        <w:trPr>
          <w:trHeight w:val="383"/>
          <w:jc w:val="center"/>
        </w:trPr>
        <w:tc>
          <w:tcPr>
            <w:tcW w:w="4780" w:type="dxa"/>
            <w:tcBorders>
              <w:left w:val="single" w:sz="2" w:space="0" w:color="000000"/>
              <w:bottom w:val="single" w:sz="2" w:space="0" w:color="000000"/>
            </w:tcBorders>
          </w:tcPr>
          <w:p w:rsidR="00853B80" w:rsidRPr="001C2DA0" w:rsidRDefault="00853B80" w:rsidP="001C2DA0">
            <w:pPr>
              <w:pStyle w:val="Tabletext"/>
              <w:jc w:val="center"/>
            </w:pPr>
            <w:r w:rsidRPr="001C2DA0">
              <w:t>37.5 GHz  &lt;</w:t>
            </w:r>
            <w:r w:rsidRPr="001C2DA0">
              <w:tab/>
              <w:t xml:space="preserve">  </w:t>
            </w:r>
            <w:r w:rsidRPr="001C2DA0">
              <w:rPr>
                <w:rFonts w:ascii="SimSun" w:hAnsi="SimSun" w:cs="SimSun" w:hint="eastAsia"/>
                <w:szCs w:val="22"/>
                <w:rtl/>
              </w:rPr>
              <w:t>频段</w:t>
            </w:r>
          </w:p>
        </w:tc>
        <w:tc>
          <w:tcPr>
            <w:tcW w:w="4781" w:type="dxa"/>
            <w:tcBorders>
              <w:left w:val="single" w:sz="2" w:space="0" w:color="000000"/>
              <w:bottom w:val="single" w:sz="2" w:space="0" w:color="000000"/>
              <w:right w:val="single" w:sz="2" w:space="0" w:color="000000"/>
            </w:tcBorders>
          </w:tcPr>
          <w:p w:rsidR="00853B80" w:rsidRPr="001C2DA0" w:rsidRDefault="00853B80" w:rsidP="001C2DA0">
            <w:pPr>
              <w:pStyle w:val="Tabletext"/>
              <w:jc w:val="center"/>
            </w:pPr>
            <w:r w:rsidRPr="001C2DA0">
              <w:t>0.3</w:t>
            </w:r>
          </w:p>
        </w:tc>
      </w:tr>
    </w:tbl>
    <w:p w:rsidR="001C2DA0" w:rsidRPr="002C4984" w:rsidRDefault="001C2DA0" w:rsidP="001C2DA0">
      <w:pPr>
        <w:pStyle w:val="FigureSource"/>
        <w:rPr>
          <w:lang w:eastAsia="zh-CN"/>
        </w:rPr>
      </w:pPr>
    </w:p>
    <w:p w:rsidR="00853B80" w:rsidRDefault="00853B80" w:rsidP="001C2DA0">
      <w:pPr>
        <w:pStyle w:val="AnnexNotitle"/>
        <w:rPr>
          <w:lang w:eastAsia="zh-CN"/>
        </w:rPr>
      </w:pPr>
      <w:r w:rsidRPr="002C4984">
        <w:br w:type="page"/>
      </w:r>
      <w:bookmarkStart w:id="45" w:name="_Toc288642958"/>
      <w:r w:rsidRPr="002C4984">
        <w:rPr>
          <w:rFonts w:hint="eastAsia"/>
        </w:rPr>
        <w:lastRenderedPageBreak/>
        <w:t>附件</w:t>
      </w:r>
      <w:r w:rsidRPr="002C4984">
        <w:t>2</w:t>
      </w:r>
      <w:r w:rsidR="001C2DA0">
        <w:rPr>
          <w:rFonts w:hint="eastAsia"/>
          <w:lang w:eastAsia="zh-CN"/>
        </w:rPr>
        <w:br/>
      </w:r>
      <w:r w:rsidRPr="002C4984">
        <w:br/>
      </w:r>
      <w:r w:rsidRPr="002C4984">
        <w:rPr>
          <w:rFonts w:hint="eastAsia"/>
          <w:lang w:eastAsia="zh-CN"/>
        </w:rPr>
        <w:t>各类业务</w:t>
      </w:r>
      <w:r>
        <w:rPr>
          <w:rFonts w:hint="eastAsia"/>
          <w:lang w:eastAsia="zh-CN"/>
        </w:rPr>
        <w:t>“</w:t>
      </w:r>
      <w:r w:rsidRPr="002C4984">
        <w:rPr>
          <w:bCs/>
          <w:lang w:eastAsia="zh-CN"/>
        </w:rPr>
        <w:t>a</w:t>
      </w:r>
      <w:r>
        <w:rPr>
          <w:rFonts w:hint="eastAsia"/>
          <w:lang w:eastAsia="zh-CN"/>
        </w:rPr>
        <w:t>”</w:t>
      </w:r>
      <w:r w:rsidRPr="002C4984">
        <w:rPr>
          <w:rFonts w:hint="eastAsia"/>
          <w:lang w:eastAsia="zh-CN"/>
        </w:rPr>
        <w:t>系数值的表格示例</w:t>
      </w:r>
      <w:bookmarkEnd w:id="45"/>
    </w:p>
    <w:p w:rsidR="00871CE0" w:rsidRPr="00871CE0" w:rsidRDefault="00871CE0" w:rsidP="00871CE0">
      <w:pPr>
        <w:rPr>
          <w:lang w:eastAsia="zh-CN"/>
        </w:rPr>
      </w:pPr>
    </w:p>
    <w:p w:rsidR="001C2DA0" w:rsidRDefault="001C2DA0" w:rsidP="00871CE0">
      <w:pPr>
        <w:pStyle w:val="FigureTitle"/>
        <w:rPr>
          <w:lang w:eastAsia="zh-CN"/>
        </w:rPr>
      </w:pPr>
    </w:p>
    <w:tbl>
      <w:tblPr>
        <w:tblW w:w="9521" w:type="dxa"/>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9"/>
        <w:gridCol w:w="3852"/>
      </w:tblGrid>
      <w:tr w:rsidR="00853B80" w:rsidRPr="002C4984" w:rsidTr="00B17677">
        <w:trPr>
          <w:trHeight w:val="503"/>
          <w:jc w:val="center"/>
        </w:trPr>
        <w:tc>
          <w:tcPr>
            <w:tcW w:w="5669" w:type="dxa"/>
            <w:vAlign w:val="center"/>
          </w:tcPr>
          <w:p w:rsidR="00853B80" w:rsidRPr="001C2DA0" w:rsidRDefault="00853B80" w:rsidP="001C2DA0">
            <w:pPr>
              <w:pStyle w:val="Tablehead"/>
            </w:pPr>
            <w:r w:rsidRPr="001C2DA0">
              <w:rPr>
                <w:rFonts w:hint="eastAsia"/>
              </w:rPr>
              <w:t>频段</w:t>
            </w:r>
          </w:p>
        </w:tc>
        <w:tc>
          <w:tcPr>
            <w:tcW w:w="3852" w:type="dxa"/>
            <w:vAlign w:val="center"/>
          </w:tcPr>
          <w:p w:rsidR="00853B80" w:rsidRPr="001C2DA0" w:rsidRDefault="00853B80" w:rsidP="001C2DA0">
            <w:pPr>
              <w:pStyle w:val="Tablehead"/>
            </w:pPr>
            <w:r w:rsidRPr="001C2DA0">
              <w:rPr>
                <w:rFonts w:hint="eastAsia"/>
              </w:rPr>
              <w:t>系数“</w:t>
            </w:r>
            <w:r w:rsidRPr="001C2DA0">
              <w:t>a</w:t>
            </w:r>
            <w:r w:rsidRPr="001C2DA0">
              <w:rPr>
                <w:rFonts w:hint="eastAsia"/>
              </w:rPr>
              <w:t>”的值</w:t>
            </w:r>
          </w:p>
        </w:tc>
      </w:tr>
      <w:tr w:rsidR="00853B80" w:rsidRPr="002C4984" w:rsidTr="00B17677">
        <w:trPr>
          <w:trHeight w:val="518"/>
          <w:jc w:val="center"/>
        </w:trPr>
        <w:tc>
          <w:tcPr>
            <w:tcW w:w="5669" w:type="dxa"/>
            <w:vAlign w:val="center"/>
          </w:tcPr>
          <w:p w:rsidR="00853B80" w:rsidRPr="001C2DA0" w:rsidRDefault="00853B80" w:rsidP="001C2DA0">
            <w:pPr>
              <w:pStyle w:val="Tabletext"/>
              <w:jc w:val="center"/>
            </w:pPr>
            <w:r w:rsidRPr="001C2DA0">
              <w:rPr>
                <w:rFonts w:hint="eastAsia"/>
              </w:rPr>
              <w:t>固定业务频率低于</w:t>
            </w:r>
            <w:r w:rsidRPr="001C2DA0">
              <w:t>20 GHz</w:t>
            </w:r>
          </w:p>
        </w:tc>
        <w:tc>
          <w:tcPr>
            <w:tcW w:w="3852" w:type="dxa"/>
            <w:vAlign w:val="center"/>
          </w:tcPr>
          <w:p w:rsidR="00853B80" w:rsidRPr="001C2DA0" w:rsidRDefault="00853B80" w:rsidP="001C2DA0">
            <w:pPr>
              <w:pStyle w:val="Tabletext"/>
              <w:jc w:val="center"/>
            </w:pPr>
            <w:r w:rsidRPr="001C2DA0">
              <w:t>400</w:t>
            </w:r>
          </w:p>
        </w:tc>
      </w:tr>
      <w:tr w:rsidR="00853B80" w:rsidRPr="002C4984" w:rsidTr="00B17677">
        <w:trPr>
          <w:trHeight w:val="503"/>
          <w:jc w:val="center"/>
        </w:trPr>
        <w:tc>
          <w:tcPr>
            <w:tcW w:w="5669" w:type="dxa"/>
            <w:vAlign w:val="center"/>
          </w:tcPr>
          <w:p w:rsidR="00853B80" w:rsidRPr="001C2DA0" w:rsidRDefault="00853B80" w:rsidP="001C2DA0">
            <w:pPr>
              <w:pStyle w:val="Tabletext"/>
              <w:jc w:val="center"/>
            </w:pPr>
            <w:r w:rsidRPr="001C2DA0">
              <w:rPr>
                <w:rFonts w:hint="eastAsia"/>
              </w:rPr>
              <w:t>固定业务频率高于或等于</w:t>
            </w:r>
            <w:r w:rsidRPr="001C2DA0">
              <w:t>20 GHz</w:t>
            </w:r>
          </w:p>
        </w:tc>
        <w:tc>
          <w:tcPr>
            <w:tcW w:w="3852" w:type="dxa"/>
            <w:vAlign w:val="center"/>
          </w:tcPr>
          <w:p w:rsidR="00853B80" w:rsidRPr="001C2DA0" w:rsidRDefault="00853B80" w:rsidP="001C2DA0">
            <w:pPr>
              <w:pStyle w:val="Tabletext"/>
              <w:jc w:val="center"/>
            </w:pPr>
            <w:r w:rsidRPr="001C2DA0">
              <w:t>1000</w:t>
            </w:r>
          </w:p>
        </w:tc>
      </w:tr>
      <w:tr w:rsidR="00853B80" w:rsidRPr="002C4984" w:rsidTr="00B17677">
        <w:trPr>
          <w:trHeight w:val="518"/>
          <w:jc w:val="center"/>
        </w:trPr>
        <w:tc>
          <w:tcPr>
            <w:tcW w:w="5669" w:type="dxa"/>
            <w:vAlign w:val="center"/>
          </w:tcPr>
          <w:p w:rsidR="00853B80" w:rsidRPr="001C2DA0" w:rsidRDefault="00853B80" w:rsidP="001C2DA0">
            <w:pPr>
              <w:pStyle w:val="Tabletext"/>
              <w:jc w:val="center"/>
            </w:pPr>
            <w:r w:rsidRPr="001C2DA0">
              <w:rPr>
                <w:rFonts w:hint="eastAsia"/>
              </w:rPr>
              <w:t>移动卫星业务中的频率</w:t>
            </w:r>
          </w:p>
        </w:tc>
        <w:tc>
          <w:tcPr>
            <w:tcW w:w="3852" w:type="dxa"/>
            <w:vAlign w:val="center"/>
          </w:tcPr>
          <w:p w:rsidR="00853B80" w:rsidRPr="001C2DA0" w:rsidRDefault="00853B80" w:rsidP="001C2DA0">
            <w:pPr>
              <w:pStyle w:val="Tabletext"/>
              <w:jc w:val="center"/>
            </w:pPr>
            <w:r w:rsidRPr="001C2DA0">
              <w:t>30</w:t>
            </w:r>
          </w:p>
        </w:tc>
      </w:tr>
      <w:tr w:rsidR="00853B80" w:rsidRPr="002C4984" w:rsidTr="00B17677">
        <w:trPr>
          <w:trHeight w:val="503"/>
          <w:jc w:val="center"/>
        </w:trPr>
        <w:tc>
          <w:tcPr>
            <w:tcW w:w="5669" w:type="dxa"/>
            <w:vAlign w:val="center"/>
          </w:tcPr>
          <w:p w:rsidR="00853B80" w:rsidRPr="001C2DA0" w:rsidRDefault="00853B80" w:rsidP="001C2DA0">
            <w:pPr>
              <w:pStyle w:val="Tabletext"/>
              <w:jc w:val="center"/>
            </w:pPr>
            <w:r w:rsidRPr="001C2DA0">
              <w:rPr>
                <w:rFonts w:hint="eastAsia"/>
              </w:rPr>
              <w:t>固定卫星业务中的频率</w:t>
            </w:r>
          </w:p>
        </w:tc>
        <w:tc>
          <w:tcPr>
            <w:tcW w:w="3852" w:type="dxa"/>
            <w:vAlign w:val="center"/>
          </w:tcPr>
          <w:p w:rsidR="00853B80" w:rsidRPr="001C2DA0" w:rsidRDefault="00853B80" w:rsidP="001C2DA0">
            <w:pPr>
              <w:pStyle w:val="Tabletext"/>
              <w:jc w:val="center"/>
            </w:pPr>
            <w:r w:rsidRPr="001C2DA0">
              <w:t>2.5</w:t>
            </w:r>
          </w:p>
        </w:tc>
      </w:tr>
    </w:tbl>
    <w:p w:rsidR="00B17677" w:rsidRPr="002C4984" w:rsidRDefault="00B17677" w:rsidP="00B17677">
      <w:pPr>
        <w:pStyle w:val="FigureSource"/>
        <w:rPr>
          <w:lang w:eastAsia="zh-CN"/>
        </w:rPr>
      </w:pPr>
    </w:p>
    <w:p w:rsidR="00853B80" w:rsidRDefault="00853B80" w:rsidP="00B17677">
      <w:pPr>
        <w:pStyle w:val="AnnexNotitle"/>
        <w:rPr>
          <w:lang w:eastAsia="zh-CN"/>
        </w:rPr>
      </w:pPr>
      <w:r w:rsidRPr="002C4984">
        <w:br w:type="page"/>
      </w:r>
      <w:bookmarkStart w:id="46" w:name="_Toc288642959"/>
      <w:r w:rsidRPr="002C4984">
        <w:rPr>
          <w:rFonts w:hint="eastAsia"/>
        </w:rPr>
        <w:lastRenderedPageBreak/>
        <w:t>附件</w:t>
      </w:r>
      <w:r w:rsidRPr="002C4984">
        <w:t xml:space="preserve"> 3</w:t>
      </w:r>
      <w:r w:rsidR="00B17677">
        <w:rPr>
          <w:rFonts w:hint="eastAsia"/>
          <w:lang w:eastAsia="zh-CN"/>
        </w:rPr>
        <w:br/>
      </w:r>
      <w:r w:rsidR="00B17677">
        <w:rPr>
          <w:rFonts w:hint="eastAsia"/>
          <w:lang w:eastAsia="zh-CN"/>
        </w:rPr>
        <w:br/>
      </w:r>
      <w:r w:rsidRPr="002C4984">
        <w:rPr>
          <w:rFonts w:hint="eastAsia"/>
          <w:lang w:eastAsia="zh-CN"/>
        </w:rPr>
        <w:t>按照划分表面面积给出</w:t>
      </w:r>
      <w:r>
        <w:rPr>
          <w:rFonts w:hint="eastAsia"/>
          <w:lang w:eastAsia="zh-CN"/>
        </w:rPr>
        <w:t>“</w:t>
      </w:r>
      <w:r w:rsidRPr="002C4984">
        <w:rPr>
          <w:bCs/>
          <w:lang w:eastAsia="zh-CN"/>
        </w:rPr>
        <w:t>c</w:t>
      </w:r>
      <w:r>
        <w:rPr>
          <w:rFonts w:hint="eastAsia"/>
          <w:lang w:eastAsia="zh-CN"/>
        </w:rPr>
        <w:t>”</w:t>
      </w:r>
      <w:r w:rsidRPr="002C4984">
        <w:rPr>
          <w:rFonts w:hint="eastAsia"/>
          <w:lang w:eastAsia="zh-CN"/>
        </w:rPr>
        <w:t>系数值的表格示例</w:t>
      </w:r>
      <w:bookmarkEnd w:id="46"/>
    </w:p>
    <w:p w:rsidR="00B17677" w:rsidRPr="00B17677" w:rsidRDefault="00B17677" w:rsidP="00B17677">
      <w:pPr>
        <w:rPr>
          <w:lang w:eastAsia="zh-CN"/>
        </w:rPr>
      </w:pPr>
    </w:p>
    <w:p w:rsidR="00B17677" w:rsidRDefault="00B17677" w:rsidP="00871CE0">
      <w:pPr>
        <w:pStyle w:val="FigureTitle"/>
        <w:rPr>
          <w:lang w:eastAsia="zh-CN"/>
        </w:rPr>
      </w:pPr>
    </w:p>
    <w:tbl>
      <w:tblPr>
        <w:tblW w:w="0" w:type="auto"/>
        <w:jc w:val="center"/>
        <w:tblInd w:w="-15" w:type="dxa"/>
        <w:tblLayout w:type="fixed"/>
        <w:tblLook w:val="0000"/>
      </w:tblPr>
      <w:tblGrid>
        <w:gridCol w:w="6757"/>
        <w:gridCol w:w="2781"/>
      </w:tblGrid>
      <w:tr w:rsidR="00853B80" w:rsidRPr="002C4984" w:rsidTr="00B17677">
        <w:trPr>
          <w:trHeight w:val="448"/>
          <w:jc w:val="center"/>
        </w:trPr>
        <w:tc>
          <w:tcPr>
            <w:tcW w:w="6757" w:type="dxa"/>
            <w:tcBorders>
              <w:top w:val="single" w:sz="4" w:space="0" w:color="000000"/>
              <w:left w:val="single" w:sz="4" w:space="0" w:color="000000"/>
              <w:bottom w:val="single" w:sz="4" w:space="0" w:color="000000"/>
            </w:tcBorders>
            <w:vAlign w:val="center"/>
          </w:tcPr>
          <w:p w:rsidR="00853B80" w:rsidRPr="00B17677" w:rsidRDefault="00853B80" w:rsidP="00B17677">
            <w:pPr>
              <w:pStyle w:val="Tablehead"/>
            </w:pPr>
            <w:r w:rsidRPr="00B17677">
              <w:rPr>
                <w:rFonts w:hint="eastAsia"/>
              </w:rPr>
              <w:t>划分表面的面积或划分表面的面积总和</w:t>
            </w:r>
          </w:p>
        </w:tc>
        <w:tc>
          <w:tcPr>
            <w:tcW w:w="2781" w:type="dxa"/>
            <w:tcBorders>
              <w:top w:val="single" w:sz="4" w:space="0" w:color="000000"/>
              <w:left w:val="single" w:sz="4" w:space="0" w:color="000000"/>
              <w:bottom w:val="single" w:sz="4" w:space="0" w:color="000000"/>
              <w:right w:val="single" w:sz="4" w:space="0" w:color="000000"/>
            </w:tcBorders>
            <w:vAlign w:val="center"/>
          </w:tcPr>
          <w:p w:rsidR="00853B80" w:rsidRPr="00B17677" w:rsidRDefault="00853B80" w:rsidP="00B17677">
            <w:pPr>
              <w:pStyle w:val="Tablehead"/>
            </w:pPr>
            <w:r w:rsidRPr="00B17677">
              <w:rPr>
                <w:rFonts w:hint="eastAsia"/>
              </w:rPr>
              <w:t>系数“</w:t>
            </w:r>
            <w:r w:rsidRPr="00B17677">
              <w:t>c</w:t>
            </w:r>
            <w:r w:rsidRPr="00B17677">
              <w:rPr>
                <w:rFonts w:hint="eastAsia"/>
              </w:rPr>
              <w:t>”的值</w:t>
            </w:r>
          </w:p>
        </w:tc>
      </w:tr>
      <w:tr w:rsidR="00853B80" w:rsidRPr="002C4984" w:rsidTr="00B17677">
        <w:trPr>
          <w:trHeight w:val="371"/>
          <w:jc w:val="center"/>
        </w:trPr>
        <w:tc>
          <w:tcPr>
            <w:tcW w:w="6757" w:type="dxa"/>
            <w:tcBorders>
              <w:top w:val="single" w:sz="4" w:space="0" w:color="000000"/>
              <w:left w:val="single" w:sz="4" w:space="0" w:color="000000"/>
              <w:bottom w:val="single" w:sz="4" w:space="0" w:color="000000"/>
            </w:tcBorders>
          </w:tcPr>
          <w:p w:rsidR="00853B80" w:rsidRPr="00B17677" w:rsidRDefault="00853B80" w:rsidP="00B17677">
            <w:pPr>
              <w:pStyle w:val="Tabletext"/>
              <w:rPr>
                <w:szCs w:val="24"/>
              </w:rPr>
            </w:pPr>
            <w:r w:rsidRPr="00B17677">
              <w:rPr>
                <w:rFonts w:hint="eastAsia"/>
                <w:szCs w:val="24"/>
              </w:rPr>
              <w:t>大于</w:t>
            </w:r>
            <w:r w:rsidRPr="00B17677">
              <w:rPr>
                <w:szCs w:val="24"/>
              </w:rPr>
              <w:t>300000 km</w:t>
            </w:r>
            <w:r w:rsidRPr="00B17677">
              <w:rPr>
                <w:szCs w:val="24"/>
                <w:vertAlign w:val="superscript"/>
              </w:rPr>
              <w:t>2</w:t>
            </w:r>
          </w:p>
        </w:tc>
        <w:tc>
          <w:tcPr>
            <w:tcW w:w="2781" w:type="dxa"/>
            <w:tcBorders>
              <w:top w:val="single" w:sz="4" w:space="0" w:color="000000"/>
              <w:left w:val="single" w:sz="4" w:space="0" w:color="000000"/>
              <w:bottom w:val="single" w:sz="4" w:space="0" w:color="000000"/>
              <w:right w:val="single" w:sz="4" w:space="0" w:color="000000"/>
            </w:tcBorders>
          </w:tcPr>
          <w:p w:rsidR="00853B80" w:rsidRPr="00B17677" w:rsidRDefault="00853B80" w:rsidP="00B17677">
            <w:pPr>
              <w:pStyle w:val="Tabletext"/>
              <w:jc w:val="center"/>
              <w:rPr>
                <w:szCs w:val="24"/>
              </w:rPr>
            </w:pPr>
            <w:r w:rsidRPr="00B17677">
              <w:rPr>
                <w:szCs w:val="24"/>
              </w:rPr>
              <w:t>1</w:t>
            </w:r>
          </w:p>
        </w:tc>
      </w:tr>
      <w:tr w:rsidR="00853B80" w:rsidRPr="002C4984" w:rsidTr="00B17677">
        <w:trPr>
          <w:trHeight w:val="371"/>
          <w:jc w:val="center"/>
        </w:trPr>
        <w:tc>
          <w:tcPr>
            <w:tcW w:w="6757" w:type="dxa"/>
            <w:tcBorders>
              <w:top w:val="single" w:sz="4" w:space="0" w:color="000000"/>
              <w:left w:val="single" w:sz="4" w:space="0" w:color="000000"/>
              <w:bottom w:val="single" w:sz="4" w:space="0" w:color="000000"/>
            </w:tcBorders>
          </w:tcPr>
          <w:p w:rsidR="00853B80" w:rsidRPr="00B17677" w:rsidRDefault="00853B80" w:rsidP="00B17677">
            <w:pPr>
              <w:pStyle w:val="Tabletext"/>
              <w:rPr>
                <w:szCs w:val="24"/>
              </w:rPr>
            </w:pPr>
            <w:r w:rsidRPr="00B17677">
              <w:rPr>
                <w:rFonts w:hint="eastAsia"/>
                <w:szCs w:val="24"/>
              </w:rPr>
              <w:t>大于</w:t>
            </w:r>
            <w:r w:rsidRPr="00B17677">
              <w:rPr>
                <w:szCs w:val="24"/>
              </w:rPr>
              <w:t>125000 km2</w:t>
            </w:r>
            <w:r w:rsidRPr="00B17677">
              <w:rPr>
                <w:rFonts w:hint="eastAsia"/>
                <w:szCs w:val="24"/>
              </w:rPr>
              <w:t>并小于或等于</w:t>
            </w:r>
            <w:r w:rsidRPr="00B17677">
              <w:rPr>
                <w:szCs w:val="24"/>
              </w:rPr>
              <w:t>300000 km</w:t>
            </w:r>
            <w:r w:rsidRPr="00B17677">
              <w:rPr>
                <w:szCs w:val="24"/>
                <w:vertAlign w:val="superscript"/>
              </w:rPr>
              <w:t>2</w:t>
            </w:r>
          </w:p>
        </w:tc>
        <w:tc>
          <w:tcPr>
            <w:tcW w:w="2781" w:type="dxa"/>
            <w:tcBorders>
              <w:top w:val="single" w:sz="4" w:space="0" w:color="000000"/>
              <w:left w:val="single" w:sz="4" w:space="0" w:color="000000"/>
              <w:bottom w:val="single" w:sz="4" w:space="0" w:color="000000"/>
              <w:right w:val="single" w:sz="4" w:space="0" w:color="000000"/>
            </w:tcBorders>
          </w:tcPr>
          <w:p w:rsidR="00853B80" w:rsidRPr="00B17677" w:rsidRDefault="00853B80" w:rsidP="00B17677">
            <w:pPr>
              <w:pStyle w:val="Tabletext"/>
              <w:jc w:val="center"/>
              <w:rPr>
                <w:szCs w:val="24"/>
              </w:rPr>
            </w:pPr>
            <w:r w:rsidRPr="00B17677">
              <w:rPr>
                <w:szCs w:val="24"/>
              </w:rPr>
              <w:t>0.75</w:t>
            </w:r>
          </w:p>
        </w:tc>
      </w:tr>
      <w:tr w:rsidR="00853B80" w:rsidRPr="002C4984" w:rsidTr="00B17677">
        <w:trPr>
          <w:trHeight w:val="371"/>
          <w:jc w:val="center"/>
        </w:trPr>
        <w:tc>
          <w:tcPr>
            <w:tcW w:w="6757" w:type="dxa"/>
            <w:tcBorders>
              <w:top w:val="single" w:sz="4" w:space="0" w:color="000000"/>
              <w:left w:val="single" w:sz="4" w:space="0" w:color="000000"/>
              <w:bottom w:val="single" w:sz="4" w:space="0" w:color="000000"/>
            </w:tcBorders>
          </w:tcPr>
          <w:p w:rsidR="00853B80" w:rsidRPr="00B17677" w:rsidRDefault="00853B80" w:rsidP="00B17677">
            <w:pPr>
              <w:pStyle w:val="Tabletext"/>
              <w:rPr>
                <w:szCs w:val="24"/>
              </w:rPr>
            </w:pPr>
            <w:r w:rsidRPr="00B17677">
              <w:rPr>
                <w:rFonts w:hint="eastAsia"/>
                <w:szCs w:val="24"/>
              </w:rPr>
              <w:t>大于</w:t>
            </w:r>
            <w:r w:rsidRPr="00B17677">
              <w:rPr>
                <w:szCs w:val="24"/>
              </w:rPr>
              <w:t>30000 km2</w:t>
            </w:r>
            <w:r w:rsidRPr="00B17677">
              <w:rPr>
                <w:rFonts w:ascii="SimSun" w:hAnsi="SimSun" w:cs="SimSun" w:hint="eastAsia"/>
                <w:sz w:val="24"/>
                <w:szCs w:val="22"/>
                <w:rtl/>
              </w:rPr>
              <w:t>并小于或等于</w:t>
            </w:r>
            <w:r w:rsidRPr="00B17677">
              <w:rPr>
                <w:szCs w:val="24"/>
              </w:rPr>
              <w:t>125000 km</w:t>
            </w:r>
            <w:r w:rsidRPr="00B17677">
              <w:rPr>
                <w:szCs w:val="24"/>
                <w:vertAlign w:val="superscript"/>
              </w:rPr>
              <w:t>2</w:t>
            </w:r>
          </w:p>
        </w:tc>
        <w:tc>
          <w:tcPr>
            <w:tcW w:w="2781" w:type="dxa"/>
            <w:tcBorders>
              <w:top w:val="single" w:sz="4" w:space="0" w:color="000000"/>
              <w:left w:val="single" w:sz="4" w:space="0" w:color="000000"/>
              <w:bottom w:val="single" w:sz="4" w:space="0" w:color="000000"/>
              <w:right w:val="single" w:sz="4" w:space="0" w:color="000000"/>
            </w:tcBorders>
          </w:tcPr>
          <w:p w:rsidR="00853B80" w:rsidRPr="00B17677" w:rsidRDefault="00853B80" w:rsidP="00B17677">
            <w:pPr>
              <w:pStyle w:val="Tabletext"/>
              <w:jc w:val="center"/>
              <w:rPr>
                <w:szCs w:val="24"/>
              </w:rPr>
            </w:pPr>
            <w:r w:rsidRPr="00B17677">
              <w:rPr>
                <w:szCs w:val="24"/>
              </w:rPr>
              <w:t>0.5</w:t>
            </w:r>
          </w:p>
        </w:tc>
      </w:tr>
      <w:tr w:rsidR="00853B80" w:rsidRPr="002C4984" w:rsidTr="00B17677">
        <w:trPr>
          <w:trHeight w:val="371"/>
          <w:jc w:val="center"/>
        </w:trPr>
        <w:tc>
          <w:tcPr>
            <w:tcW w:w="6757" w:type="dxa"/>
            <w:tcBorders>
              <w:top w:val="single" w:sz="4" w:space="0" w:color="000000"/>
              <w:left w:val="single" w:sz="4" w:space="0" w:color="000000"/>
              <w:bottom w:val="single" w:sz="4" w:space="0" w:color="000000"/>
            </w:tcBorders>
          </w:tcPr>
          <w:p w:rsidR="00853B80" w:rsidRPr="00B17677" w:rsidRDefault="00853B80" w:rsidP="00B17677">
            <w:pPr>
              <w:pStyle w:val="Tabletext"/>
              <w:rPr>
                <w:szCs w:val="24"/>
              </w:rPr>
            </w:pPr>
            <w:r w:rsidRPr="00B17677">
              <w:rPr>
                <w:rFonts w:hint="eastAsia"/>
                <w:szCs w:val="24"/>
              </w:rPr>
              <w:t>大于</w:t>
            </w:r>
            <w:r w:rsidRPr="00B17677">
              <w:rPr>
                <w:szCs w:val="24"/>
              </w:rPr>
              <w:t>8000 km2</w:t>
            </w:r>
            <w:r w:rsidRPr="00B17677">
              <w:rPr>
                <w:rFonts w:hint="eastAsia"/>
                <w:szCs w:val="24"/>
              </w:rPr>
              <w:t>并小于或等于</w:t>
            </w:r>
            <w:r w:rsidRPr="00B17677">
              <w:rPr>
                <w:szCs w:val="24"/>
              </w:rPr>
              <w:t>30000 km</w:t>
            </w:r>
            <w:r w:rsidRPr="00B17677">
              <w:rPr>
                <w:szCs w:val="24"/>
                <w:vertAlign w:val="superscript"/>
              </w:rPr>
              <w:t>2</w:t>
            </w:r>
          </w:p>
        </w:tc>
        <w:tc>
          <w:tcPr>
            <w:tcW w:w="2781" w:type="dxa"/>
            <w:tcBorders>
              <w:top w:val="single" w:sz="4" w:space="0" w:color="000000"/>
              <w:left w:val="single" w:sz="4" w:space="0" w:color="000000"/>
              <w:bottom w:val="single" w:sz="4" w:space="0" w:color="000000"/>
              <w:right w:val="single" w:sz="4" w:space="0" w:color="000000"/>
            </w:tcBorders>
          </w:tcPr>
          <w:p w:rsidR="00853B80" w:rsidRPr="00B17677" w:rsidRDefault="00853B80" w:rsidP="00B17677">
            <w:pPr>
              <w:pStyle w:val="Tabletext"/>
              <w:jc w:val="center"/>
              <w:rPr>
                <w:szCs w:val="24"/>
              </w:rPr>
            </w:pPr>
            <w:r w:rsidRPr="00B17677">
              <w:rPr>
                <w:szCs w:val="24"/>
              </w:rPr>
              <w:t>0.25</w:t>
            </w:r>
          </w:p>
        </w:tc>
      </w:tr>
      <w:tr w:rsidR="00853B80" w:rsidRPr="002C4984" w:rsidTr="00B17677">
        <w:trPr>
          <w:trHeight w:val="371"/>
          <w:jc w:val="center"/>
        </w:trPr>
        <w:tc>
          <w:tcPr>
            <w:tcW w:w="6757" w:type="dxa"/>
            <w:tcBorders>
              <w:top w:val="single" w:sz="4" w:space="0" w:color="000000"/>
              <w:left w:val="single" w:sz="4" w:space="0" w:color="000000"/>
              <w:bottom w:val="single" w:sz="4" w:space="0" w:color="000000"/>
            </w:tcBorders>
          </w:tcPr>
          <w:p w:rsidR="00853B80" w:rsidRPr="00B17677" w:rsidRDefault="00853B80" w:rsidP="00B17677">
            <w:pPr>
              <w:pStyle w:val="Tabletext"/>
              <w:rPr>
                <w:szCs w:val="24"/>
              </w:rPr>
            </w:pPr>
            <w:r w:rsidRPr="00B17677">
              <w:rPr>
                <w:rFonts w:hint="eastAsia"/>
                <w:szCs w:val="24"/>
              </w:rPr>
              <w:t>大于</w:t>
            </w:r>
            <w:r w:rsidRPr="00B17677">
              <w:rPr>
                <w:szCs w:val="24"/>
              </w:rPr>
              <w:t>800 km2</w:t>
            </w:r>
            <w:r w:rsidRPr="00B17677">
              <w:rPr>
                <w:rFonts w:hint="eastAsia"/>
                <w:szCs w:val="24"/>
              </w:rPr>
              <w:t>并小于或等于</w:t>
            </w:r>
            <w:r w:rsidRPr="00B17677">
              <w:rPr>
                <w:szCs w:val="24"/>
              </w:rPr>
              <w:t>8000 km</w:t>
            </w:r>
            <w:r w:rsidRPr="00B17677">
              <w:rPr>
                <w:szCs w:val="24"/>
                <w:vertAlign w:val="superscript"/>
              </w:rPr>
              <w:t>2</w:t>
            </w:r>
          </w:p>
        </w:tc>
        <w:tc>
          <w:tcPr>
            <w:tcW w:w="2781" w:type="dxa"/>
            <w:tcBorders>
              <w:top w:val="single" w:sz="4" w:space="0" w:color="000000"/>
              <w:left w:val="single" w:sz="4" w:space="0" w:color="000000"/>
              <w:bottom w:val="single" w:sz="4" w:space="0" w:color="000000"/>
              <w:right w:val="single" w:sz="4" w:space="0" w:color="000000"/>
            </w:tcBorders>
          </w:tcPr>
          <w:p w:rsidR="00853B80" w:rsidRPr="00B17677" w:rsidRDefault="00853B80" w:rsidP="00B17677">
            <w:pPr>
              <w:pStyle w:val="Tabletext"/>
              <w:jc w:val="center"/>
              <w:rPr>
                <w:szCs w:val="24"/>
              </w:rPr>
            </w:pPr>
            <w:r w:rsidRPr="00B17677">
              <w:rPr>
                <w:szCs w:val="24"/>
              </w:rPr>
              <w:t>0.1</w:t>
            </w:r>
          </w:p>
        </w:tc>
      </w:tr>
      <w:tr w:rsidR="00853B80" w:rsidRPr="002C4984" w:rsidTr="00B17677">
        <w:trPr>
          <w:trHeight w:val="371"/>
          <w:jc w:val="center"/>
        </w:trPr>
        <w:tc>
          <w:tcPr>
            <w:tcW w:w="6757" w:type="dxa"/>
            <w:tcBorders>
              <w:top w:val="single" w:sz="4" w:space="0" w:color="000000"/>
              <w:left w:val="single" w:sz="4" w:space="0" w:color="000000"/>
              <w:bottom w:val="single" w:sz="4" w:space="0" w:color="000000"/>
            </w:tcBorders>
          </w:tcPr>
          <w:p w:rsidR="00853B80" w:rsidRPr="00B17677" w:rsidRDefault="00853B80" w:rsidP="00B17677">
            <w:pPr>
              <w:pStyle w:val="Tabletext"/>
              <w:rPr>
                <w:szCs w:val="24"/>
              </w:rPr>
            </w:pPr>
            <w:r w:rsidRPr="00B17677">
              <w:rPr>
                <w:rFonts w:hint="eastAsia"/>
                <w:szCs w:val="24"/>
              </w:rPr>
              <w:t>大于</w:t>
            </w:r>
            <w:r w:rsidRPr="00B17677">
              <w:rPr>
                <w:szCs w:val="24"/>
              </w:rPr>
              <w:t>80 km2</w:t>
            </w:r>
            <w:r w:rsidRPr="00B17677">
              <w:rPr>
                <w:rFonts w:hint="eastAsia"/>
                <w:szCs w:val="24"/>
              </w:rPr>
              <w:t>并小于或等于</w:t>
            </w:r>
            <w:r w:rsidRPr="00B17677">
              <w:rPr>
                <w:szCs w:val="24"/>
              </w:rPr>
              <w:t>800 km</w:t>
            </w:r>
            <w:r w:rsidRPr="00B17677">
              <w:rPr>
                <w:szCs w:val="24"/>
                <w:vertAlign w:val="superscript"/>
              </w:rPr>
              <w:t>2</w:t>
            </w:r>
          </w:p>
        </w:tc>
        <w:tc>
          <w:tcPr>
            <w:tcW w:w="2781" w:type="dxa"/>
            <w:tcBorders>
              <w:top w:val="single" w:sz="4" w:space="0" w:color="000000"/>
              <w:left w:val="single" w:sz="4" w:space="0" w:color="000000"/>
              <w:bottom w:val="single" w:sz="4" w:space="0" w:color="000000"/>
              <w:right w:val="single" w:sz="4" w:space="0" w:color="000000"/>
            </w:tcBorders>
          </w:tcPr>
          <w:p w:rsidR="00853B80" w:rsidRPr="00B17677" w:rsidRDefault="00853B80" w:rsidP="00B17677">
            <w:pPr>
              <w:pStyle w:val="Tabletext"/>
              <w:jc w:val="center"/>
              <w:rPr>
                <w:szCs w:val="24"/>
              </w:rPr>
            </w:pPr>
            <w:r w:rsidRPr="00B17677">
              <w:rPr>
                <w:szCs w:val="24"/>
              </w:rPr>
              <w:t>0.03</w:t>
            </w:r>
          </w:p>
        </w:tc>
      </w:tr>
      <w:tr w:rsidR="00853B80" w:rsidRPr="002C4984" w:rsidTr="00B17677">
        <w:trPr>
          <w:trHeight w:val="371"/>
          <w:jc w:val="center"/>
        </w:trPr>
        <w:tc>
          <w:tcPr>
            <w:tcW w:w="6757" w:type="dxa"/>
            <w:tcBorders>
              <w:top w:val="single" w:sz="4" w:space="0" w:color="000000"/>
              <w:left w:val="single" w:sz="4" w:space="0" w:color="000000"/>
              <w:bottom w:val="single" w:sz="4" w:space="0" w:color="000000"/>
            </w:tcBorders>
          </w:tcPr>
          <w:p w:rsidR="00853B80" w:rsidRPr="00B17677" w:rsidRDefault="00853B80" w:rsidP="00B17677">
            <w:pPr>
              <w:pStyle w:val="Tabletext"/>
              <w:rPr>
                <w:szCs w:val="24"/>
              </w:rPr>
            </w:pPr>
            <w:r w:rsidRPr="00B17677">
              <w:rPr>
                <w:rFonts w:hint="eastAsia"/>
                <w:szCs w:val="24"/>
              </w:rPr>
              <w:t>大于</w:t>
            </w:r>
            <w:r w:rsidRPr="00B17677">
              <w:rPr>
                <w:szCs w:val="24"/>
              </w:rPr>
              <w:t>20 km2</w:t>
            </w:r>
            <w:r w:rsidRPr="00B17677">
              <w:rPr>
                <w:rFonts w:hint="eastAsia"/>
                <w:szCs w:val="24"/>
              </w:rPr>
              <w:t>并小于或等于</w:t>
            </w:r>
            <w:r w:rsidRPr="00B17677">
              <w:rPr>
                <w:szCs w:val="24"/>
              </w:rPr>
              <w:t>80 km</w:t>
            </w:r>
            <w:r w:rsidRPr="00B17677">
              <w:rPr>
                <w:szCs w:val="24"/>
                <w:vertAlign w:val="superscript"/>
              </w:rPr>
              <w:t>2</w:t>
            </w:r>
          </w:p>
        </w:tc>
        <w:tc>
          <w:tcPr>
            <w:tcW w:w="2781" w:type="dxa"/>
            <w:tcBorders>
              <w:top w:val="single" w:sz="4" w:space="0" w:color="000000"/>
              <w:left w:val="single" w:sz="4" w:space="0" w:color="000000"/>
              <w:bottom w:val="single" w:sz="4" w:space="0" w:color="000000"/>
              <w:right w:val="single" w:sz="4" w:space="0" w:color="000000"/>
            </w:tcBorders>
          </w:tcPr>
          <w:p w:rsidR="00853B80" w:rsidRPr="00B17677" w:rsidRDefault="00853B80" w:rsidP="00B17677">
            <w:pPr>
              <w:pStyle w:val="Tabletext"/>
              <w:jc w:val="center"/>
              <w:rPr>
                <w:szCs w:val="24"/>
              </w:rPr>
            </w:pPr>
            <w:r w:rsidRPr="00B17677">
              <w:rPr>
                <w:szCs w:val="24"/>
              </w:rPr>
              <w:t>0.01</w:t>
            </w:r>
          </w:p>
        </w:tc>
      </w:tr>
      <w:tr w:rsidR="00853B80" w:rsidRPr="002C4984" w:rsidTr="00B17677">
        <w:trPr>
          <w:trHeight w:val="371"/>
          <w:jc w:val="center"/>
        </w:trPr>
        <w:tc>
          <w:tcPr>
            <w:tcW w:w="6757" w:type="dxa"/>
            <w:tcBorders>
              <w:top w:val="single" w:sz="4" w:space="0" w:color="000000"/>
              <w:left w:val="single" w:sz="4" w:space="0" w:color="000000"/>
              <w:bottom w:val="single" w:sz="4" w:space="0" w:color="000000"/>
            </w:tcBorders>
          </w:tcPr>
          <w:p w:rsidR="00853B80" w:rsidRPr="00B17677" w:rsidRDefault="00853B80" w:rsidP="00B17677">
            <w:pPr>
              <w:pStyle w:val="Tabletext"/>
              <w:rPr>
                <w:szCs w:val="24"/>
              </w:rPr>
            </w:pPr>
            <w:r w:rsidRPr="00B17677">
              <w:rPr>
                <w:rFonts w:hint="eastAsia"/>
                <w:szCs w:val="24"/>
              </w:rPr>
              <w:t>小于或等于</w:t>
            </w:r>
            <w:r w:rsidRPr="00B17677">
              <w:rPr>
                <w:szCs w:val="24"/>
              </w:rPr>
              <w:t>20 km</w:t>
            </w:r>
            <w:r w:rsidRPr="00B17677">
              <w:rPr>
                <w:szCs w:val="24"/>
                <w:vertAlign w:val="superscript"/>
              </w:rPr>
              <w:t>2</w:t>
            </w:r>
          </w:p>
        </w:tc>
        <w:tc>
          <w:tcPr>
            <w:tcW w:w="2781" w:type="dxa"/>
            <w:tcBorders>
              <w:top w:val="single" w:sz="4" w:space="0" w:color="000000"/>
              <w:left w:val="single" w:sz="4" w:space="0" w:color="000000"/>
              <w:bottom w:val="single" w:sz="4" w:space="0" w:color="000000"/>
              <w:right w:val="single" w:sz="4" w:space="0" w:color="000000"/>
            </w:tcBorders>
          </w:tcPr>
          <w:p w:rsidR="00853B80" w:rsidRPr="00B17677" w:rsidRDefault="00853B80" w:rsidP="00B17677">
            <w:pPr>
              <w:pStyle w:val="Tabletext"/>
              <w:jc w:val="center"/>
              <w:rPr>
                <w:szCs w:val="24"/>
              </w:rPr>
            </w:pPr>
            <w:r w:rsidRPr="00B17677">
              <w:rPr>
                <w:szCs w:val="24"/>
              </w:rPr>
              <w:t>0.005</w:t>
            </w:r>
          </w:p>
        </w:tc>
      </w:tr>
    </w:tbl>
    <w:p w:rsidR="00B17677" w:rsidRPr="002C4984" w:rsidRDefault="00B17677" w:rsidP="00B17677">
      <w:pPr>
        <w:pStyle w:val="FigureSource"/>
        <w:rPr>
          <w:lang w:eastAsia="zh-CN"/>
        </w:rPr>
      </w:pPr>
    </w:p>
    <w:p w:rsidR="00853B80" w:rsidRPr="002C4984" w:rsidRDefault="00853B80" w:rsidP="00BC5BC4">
      <w:pPr>
        <w:pStyle w:val="AnnexNotitle"/>
      </w:pPr>
      <w:r w:rsidRPr="002C4984">
        <w:br w:type="page"/>
      </w:r>
      <w:bookmarkStart w:id="47" w:name="_Toc288642960"/>
      <w:r w:rsidRPr="002C4984">
        <w:rPr>
          <w:rFonts w:hint="eastAsia"/>
        </w:rPr>
        <w:lastRenderedPageBreak/>
        <w:t>附件</w:t>
      </w:r>
      <w:r w:rsidRPr="002C4984">
        <w:t>4</w:t>
      </w:r>
      <w:r w:rsidR="00BC5BC4">
        <w:rPr>
          <w:rFonts w:hint="eastAsia"/>
          <w:lang w:eastAsia="zh-CN"/>
        </w:rPr>
        <w:br/>
      </w:r>
      <w:r w:rsidR="00BC5BC4">
        <w:rPr>
          <w:rFonts w:hint="eastAsia"/>
          <w:lang w:eastAsia="zh-CN"/>
        </w:rPr>
        <w:br/>
      </w:r>
      <w:r w:rsidRPr="002C4984">
        <w:rPr>
          <w:rFonts w:hint="eastAsia"/>
        </w:rPr>
        <w:t>收费水平国际比较中可考虑的因素</w:t>
      </w:r>
      <w:bookmarkEnd w:id="47"/>
    </w:p>
    <w:p w:rsidR="00853B80" w:rsidRPr="002C4984" w:rsidRDefault="00853B80" w:rsidP="00853B80">
      <w:pPr>
        <w:tabs>
          <w:tab w:val="left" w:pos="-1190"/>
          <w:tab w:val="left" w:pos="0"/>
        </w:tabs>
        <w:jc w:val="center"/>
        <w:rPr>
          <w:sz w:val="24"/>
          <w:szCs w:val="24"/>
        </w:rPr>
      </w:pPr>
    </w:p>
    <w:p w:rsidR="00853B80" w:rsidRPr="00FE508B" w:rsidRDefault="00853B80" w:rsidP="00853B80">
      <w:pPr>
        <w:pStyle w:val="Heading1"/>
        <w:spacing w:before="240" w:after="120"/>
        <w:rPr>
          <w:b w:val="0"/>
          <w:szCs w:val="24"/>
        </w:rPr>
      </w:pPr>
      <w:bookmarkStart w:id="48" w:name="_Toc208990114"/>
      <w:bookmarkStart w:id="49" w:name="_Toc208990918"/>
      <w:bookmarkStart w:id="50" w:name="_Toc288642961"/>
      <w:r w:rsidRPr="00FE508B">
        <w:rPr>
          <w:szCs w:val="24"/>
        </w:rPr>
        <w:t>1</w:t>
      </w:r>
      <w:r w:rsidRPr="00FE508B">
        <w:rPr>
          <w:szCs w:val="24"/>
        </w:rPr>
        <w:tab/>
      </w:r>
      <w:r w:rsidRPr="00FE508B">
        <w:rPr>
          <w:rFonts w:hint="eastAsia"/>
          <w:szCs w:val="24"/>
        </w:rPr>
        <w:t>前言</w:t>
      </w:r>
      <w:bookmarkEnd w:id="48"/>
      <w:bookmarkEnd w:id="49"/>
      <w:bookmarkEnd w:id="50"/>
    </w:p>
    <w:p w:rsidR="00853B80" w:rsidRPr="002C4984" w:rsidRDefault="00853B80" w:rsidP="00A228DD">
      <w:pPr>
        <w:pStyle w:val="normal0"/>
      </w:pPr>
      <w:r w:rsidRPr="002C4984">
        <w:rPr>
          <w:rFonts w:hint="eastAsia"/>
        </w:rPr>
        <w:t>频谱费数据库包含在许多国家适用的费用详细情况。关于这一点，出现了诸如选择何种收费水平和是否可以不加修改直接使用，或者</w:t>
      </w:r>
      <w:r w:rsidRPr="002C4984">
        <w:t>“</w:t>
      </w:r>
      <w:r w:rsidRPr="002C4984">
        <w:rPr>
          <w:rFonts w:hint="eastAsia"/>
          <w:color w:val="000000"/>
        </w:rPr>
        <w:t>其它条件都相同</w:t>
      </w:r>
      <w:r w:rsidRPr="002C4984">
        <w:t>”</w:t>
      </w:r>
      <w:r w:rsidRPr="002C4984">
        <w:rPr>
          <w:rFonts w:hint="eastAsia"/>
        </w:rPr>
        <w:t>时，在应用前进行适当的互换等问题。</w:t>
      </w:r>
    </w:p>
    <w:p w:rsidR="00853B80" w:rsidRPr="002C4984" w:rsidRDefault="00853B80" w:rsidP="00A228DD">
      <w:pPr>
        <w:pStyle w:val="normal0"/>
      </w:pPr>
      <w:r w:rsidRPr="002C4984">
        <w:rPr>
          <w:rFonts w:hint="eastAsia"/>
        </w:rPr>
        <w:t>在回答该问题时，我们将解释对许可运营周围经济条件进行分析的必要性，并在这种分析的基础上制定一份（非详尽）因素列表，需要在将数据库中适用于一个国家的费用调换到另一个国家前考虑这些因素。</w:t>
      </w:r>
    </w:p>
    <w:p w:rsidR="00853B80" w:rsidRPr="002C4984" w:rsidRDefault="00853B80" w:rsidP="00A228DD">
      <w:pPr>
        <w:pStyle w:val="normal0"/>
      </w:pPr>
      <w:r w:rsidRPr="002C4984">
        <w:rPr>
          <w:rFonts w:hint="eastAsia"/>
        </w:rPr>
        <w:t>我们应当将我们的工作局限于考虑行政性设定费用的情况，并且这些费用适用于已经获得授权使用频率的电信运营商（即执有照持的运营商）。</w:t>
      </w:r>
    </w:p>
    <w:p w:rsidR="00853B80" w:rsidRPr="002C4984" w:rsidRDefault="00853B80" w:rsidP="00A228DD">
      <w:pPr>
        <w:pStyle w:val="normal0"/>
      </w:pPr>
      <w:r w:rsidRPr="002C4984">
        <w:rPr>
          <w:rFonts w:hint="eastAsia"/>
        </w:rPr>
        <w:t>上面提到的一些因素可以作为标准来比较各考虑中的国家许可运营的经济条件。这种比较应使得相关的管理机构确定如何在经济基础上使互换生效。</w:t>
      </w:r>
    </w:p>
    <w:p w:rsidR="00853B80" w:rsidRPr="00C23A7B" w:rsidRDefault="00853B80" w:rsidP="00853B80">
      <w:pPr>
        <w:pStyle w:val="Heading1"/>
        <w:spacing w:before="240" w:after="120"/>
        <w:rPr>
          <w:b w:val="0"/>
          <w:bCs/>
          <w:szCs w:val="24"/>
        </w:rPr>
      </w:pPr>
      <w:bookmarkStart w:id="51" w:name="_Toc208990115"/>
      <w:bookmarkStart w:id="52" w:name="_Toc208990919"/>
      <w:bookmarkStart w:id="53" w:name="_Toc288642962"/>
      <w:r w:rsidRPr="00FE508B">
        <w:rPr>
          <w:szCs w:val="24"/>
        </w:rPr>
        <w:t>2</w:t>
      </w:r>
      <w:r w:rsidRPr="00FE508B">
        <w:rPr>
          <w:szCs w:val="24"/>
        </w:rPr>
        <w:tab/>
      </w:r>
      <w:r w:rsidRPr="00FE508B">
        <w:rPr>
          <w:rFonts w:hint="eastAsia"/>
          <w:szCs w:val="24"/>
        </w:rPr>
        <w:t>收费的理由及其经济影响</w:t>
      </w:r>
      <w:bookmarkEnd w:id="51"/>
      <w:bookmarkEnd w:id="52"/>
      <w:bookmarkEnd w:id="53"/>
    </w:p>
    <w:p w:rsidR="00853B80" w:rsidRPr="002C4984" w:rsidRDefault="00853B80" w:rsidP="00A228DD">
      <w:pPr>
        <w:pStyle w:val="normal0"/>
      </w:pPr>
      <w:r w:rsidRPr="002C4984">
        <w:rPr>
          <w:rFonts w:hint="eastAsia"/>
        </w:rPr>
        <w:t>在大多数国家中，无线电频谱属于国家的公共领域，商业目的的无线电频谱使用构成了公共领域内的私营占用。</w:t>
      </w:r>
    </w:p>
    <w:p w:rsidR="00853B80" w:rsidRPr="002C4984" w:rsidRDefault="00853B80" w:rsidP="00BC5BC4">
      <w:r w:rsidRPr="002C4984">
        <w:rPr>
          <w:rFonts w:hint="eastAsia"/>
        </w:rPr>
        <w:t>这种占用因此通常需要支付以下费用：</w:t>
      </w:r>
    </w:p>
    <w:p w:rsidR="00853B80" w:rsidRPr="00BC5BC4" w:rsidRDefault="00853B80" w:rsidP="00BC5BC4">
      <w:pPr>
        <w:pStyle w:val="enumlev1"/>
      </w:pPr>
      <w:r w:rsidRPr="00BC5BC4">
        <w:t>–</w:t>
      </w:r>
      <w:r w:rsidRPr="00BC5BC4">
        <w:tab/>
      </w:r>
      <w:r w:rsidRPr="00BC5BC4">
        <w:rPr>
          <w:rFonts w:hint="eastAsia"/>
        </w:rPr>
        <w:t>一方面，用于支付频谱管理行政成本的管理费用（在广泛意义上来说，即规划、国内管理和监督）；</w:t>
      </w:r>
    </w:p>
    <w:p w:rsidR="00853B80" w:rsidRPr="00BC5BC4" w:rsidRDefault="00853B80" w:rsidP="00BC5BC4">
      <w:pPr>
        <w:pStyle w:val="enumlev1"/>
      </w:pPr>
      <w:r w:rsidRPr="00BC5BC4">
        <w:t>–</w:t>
      </w:r>
      <w:r w:rsidRPr="00BC5BC4">
        <w:tab/>
      </w:r>
      <w:r w:rsidRPr="00BC5BC4">
        <w:rPr>
          <w:rFonts w:hint="eastAsia"/>
        </w:rPr>
        <w:t>另一方面，用于提供频率的费用，必须与从接受者处获得的收益成比例。</w:t>
      </w:r>
    </w:p>
    <w:p w:rsidR="00853B80" w:rsidRPr="002C4984" w:rsidRDefault="00853B80" w:rsidP="00A228DD">
      <w:pPr>
        <w:pStyle w:val="normal0"/>
      </w:pPr>
      <w:r w:rsidRPr="002C4984">
        <w:rPr>
          <w:rFonts w:hint="eastAsia"/>
        </w:rPr>
        <w:t>电信运营商从其频谱占用中所获得的受益可以通过考虑它的净运营结果（包括其它事项）进行评估。从这个角度来看，与频率使用相关的费用以及适用于运营商的费用应因此与运营商的净运营结果相关。</w:t>
      </w:r>
    </w:p>
    <w:p w:rsidR="00853B80" w:rsidRPr="002C4984" w:rsidRDefault="00853B80" w:rsidP="00A228DD">
      <w:pPr>
        <w:pStyle w:val="normal0"/>
      </w:pPr>
      <w:r w:rsidRPr="002C4984">
        <w:rPr>
          <w:rFonts w:hint="eastAsia"/>
        </w:rPr>
        <w:t>从经济和会计的角度来看，运营商体验频率使用费作为一种资源占用和</w:t>
      </w:r>
      <w:r w:rsidRPr="002C4984">
        <w:t>/</w:t>
      </w:r>
      <w:r w:rsidRPr="002C4984">
        <w:rPr>
          <w:rFonts w:hint="eastAsia"/>
        </w:rPr>
        <w:t>或运营成本，从而因此减少了其净运营结果的相应数额。</w:t>
      </w:r>
    </w:p>
    <w:p w:rsidR="00853B80" w:rsidRPr="002C4984" w:rsidRDefault="00853B80" w:rsidP="00A228DD">
      <w:pPr>
        <w:pStyle w:val="normal0"/>
      </w:pPr>
      <w:r w:rsidRPr="002C4984">
        <w:rPr>
          <w:rFonts w:hint="eastAsia"/>
        </w:rPr>
        <w:t>这就是为什么，尽管频率使用费的应用是一种合法的方式，但是这些费用不能设定的太高，以免损害主动性和阻碍新业务的开发。在任何情况下，费用水平都不能超过运营商的支付倾向。</w:t>
      </w:r>
    </w:p>
    <w:p w:rsidR="00853B80" w:rsidRPr="00C23A7B" w:rsidRDefault="00853B80" w:rsidP="00853B80">
      <w:pPr>
        <w:pStyle w:val="Heading1"/>
        <w:spacing w:before="240" w:after="120"/>
        <w:rPr>
          <w:b w:val="0"/>
          <w:szCs w:val="24"/>
        </w:rPr>
      </w:pPr>
      <w:bookmarkStart w:id="54" w:name="_Toc208990116"/>
      <w:bookmarkStart w:id="55" w:name="_Toc208990920"/>
      <w:bookmarkStart w:id="56" w:name="_Toc223163240"/>
      <w:bookmarkStart w:id="57" w:name="_Toc288642963"/>
      <w:r w:rsidRPr="00C23A7B">
        <w:rPr>
          <w:szCs w:val="24"/>
        </w:rPr>
        <w:t>3</w:t>
      </w:r>
      <w:r w:rsidRPr="00C23A7B">
        <w:rPr>
          <w:szCs w:val="24"/>
        </w:rPr>
        <w:tab/>
      </w:r>
      <w:r w:rsidRPr="00C23A7B">
        <w:rPr>
          <w:rFonts w:hint="eastAsia"/>
          <w:szCs w:val="24"/>
        </w:rPr>
        <w:t>许可运营周围的经济条件</w:t>
      </w:r>
      <w:bookmarkEnd w:id="54"/>
      <w:bookmarkEnd w:id="55"/>
      <w:bookmarkEnd w:id="56"/>
      <w:bookmarkEnd w:id="57"/>
    </w:p>
    <w:p w:rsidR="00853B80" w:rsidRPr="002C4984" w:rsidRDefault="00853B80" w:rsidP="00A228DD">
      <w:pPr>
        <w:pStyle w:val="normal0"/>
      </w:pPr>
      <w:r w:rsidRPr="002C4984">
        <w:rPr>
          <w:rFonts w:hint="eastAsia"/>
        </w:rPr>
        <w:t>一家运营商的净运营结果包括货物总销售价格与已销售的业务（营业额）之间的差额以及获得这些货物和服务相关的总成本（运营成本）。</w:t>
      </w:r>
    </w:p>
    <w:p w:rsidR="00853B80" w:rsidRPr="002C4984" w:rsidRDefault="00853B80" w:rsidP="00A228DD">
      <w:pPr>
        <w:pStyle w:val="normal0"/>
      </w:pPr>
      <w:r w:rsidRPr="002C4984">
        <w:rPr>
          <w:rFonts w:hint="eastAsia"/>
        </w:rPr>
        <w:t>不言而喻，许可运营进行的经济条件对于营业额和运营成本都有影响，因此也对运营商的净结果产生了影响。</w:t>
      </w:r>
    </w:p>
    <w:p w:rsidR="00853B80" w:rsidRPr="002C4984" w:rsidRDefault="00853B80" w:rsidP="00A228DD">
      <w:pPr>
        <w:pStyle w:val="normal0"/>
      </w:pPr>
      <w:r w:rsidRPr="002C4984">
        <w:rPr>
          <w:rFonts w:hint="eastAsia"/>
        </w:rPr>
        <w:t>因此，如果运营条件对运营商越有利，那么他们支付费用的倾向就越高，反之亦然。</w:t>
      </w:r>
    </w:p>
    <w:p w:rsidR="00853B80" w:rsidRPr="002C4984" w:rsidRDefault="00853B80" w:rsidP="00A228DD">
      <w:pPr>
        <w:pStyle w:val="normal0"/>
      </w:pPr>
      <w:r w:rsidRPr="002C4984">
        <w:rPr>
          <w:rFonts w:hint="eastAsia"/>
        </w:rPr>
        <w:t>因此，有必要对考虑中的国家的许可运营周围的经济环境进行分析和比较。</w:t>
      </w:r>
    </w:p>
    <w:p w:rsidR="00853B80" w:rsidRPr="002C4984" w:rsidRDefault="00853B80" w:rsidP="00A228DD">
      <w:pPr>
        <w:pStyle w:val="normal0"/>
      </w:pPr>
      <w:r w:rsidRPr="002C4984">
        <w:rPr>
          <w:rFonts w:hint="eastAsia"/>
        </w:rPr>
        <w:t>除其它因素外，这些条件还由以下因素决定。</w:t>
      </w:r>
    </w:p>
    <w:p w:rsidR="00853B80" w:rsidRPr="002C4984" w:rsidRDefault="00853B80" w:rsidP="00BC5BC4">
      <w:pPr>
        <w:pStyle w:val="Heading2"/>
      </w:pPr>
      <w:bookmarkStart w:id="58" w:name="_Toc208990117"/>
      <w:bookmarkStart w:id="59" w:name="_Toc208990921"/>
      <w:bookmarkStart w:id="60" w:name="_Toc223163241"/>
      <w:bookmarkStart w:id="61" w:name="_Toc288642964"/>
      <w:r w:rsidRPr="002C4984">
        <w:lastRenderedPageBreak/>
        <w:t>3.1</w:t>
      </w:r>
      <w:r w:rsidRPr="002C4984">
        <w:tab/>
      </w:r>
      <w:r w:rsidRPr="002C4984">
        <w:rPr>
          <w:rFonts w:hint="eastAsia"/>
        </w:rPr>
        <w:t>考虑中的国家的社会经济因素</w:t>
      </w:r>
      <w:bookmarkEnd w:id="58"/>
      <w:bookmarkEnd w:id="59"/>
      <w:bookmarkEnd w:id="60"/>
      <w:bookmarkEnd w:id="61"/>
    </w:p>
    <w:p w:rsidR="00853B80" w:rsidRPr="002C4984" w:rsidRDefault="00853B80" w:rsidP="00BC5BC4">
      <w:r w:rsidRPr="002C4984">
        <w:rPr>
          <w:rFonts w:hint="eastAsia"/>
        </w:rPr>
        <w:t>需要分析的因素应包括：</w:t>
      </w:r>
    </w:p>
    <w:p w:rsidR="00853B80" w:rsidRPr="002C4984" w:rsidRDefault="00853B80" w:rsidP="00BC5BC4">
      <w:pPr>
        <w:pStyle w:val="enumlev1"/>
        <w:rPr>
          <w:lang w:eastAsia="zh-CN"/>
        </w:rPr>
      </w:pPr>
      <w:r w:rsidRPr="002C4984">
        <w:rPr>
          <w:lang w:eastAsia="zh-CN"/>
        </w:rPr>
        <w:t>–</w:t>
      </w:r>
      <w:r w:rsidRPr="002C4984">
        <w:rPr>
          <w:lang w:eastAsia="zh-CN"/>
        </w:rPr>
        <w:tab/>
        <w:t>GDP</w:t>
      </w:r>
      <w:r w:rsidRPr="002C4984">
        <w:rPr>
          <w:rFonts w:hAnsi="Verdana" w:hint="eastAsia"/>
          <w:lang w:eastAsia="zh-CN"/>
        </w:rPr>
        <w:t>或</w:t>
      </w:r>
      <w:r w:rsidRPr="002C4984">
        <w:rPr>
          <w:lang w:eastAsia="zh-CN"/>
        </w:rPr>
        <w:t>GDP/</w:t>
      </w:r>
      <w:r w:rsidRPr="002C4984">
        <w:rPr>
          <w:rFonts w:hAnsi="Verdana" w:hint="eastAsia"/>
          <w:lang w:eastAsia="zh-CN"/>
        </w:rPr>
        <w:t>居民数，</w:t>
      </w:r>
    </w:p>
    <w:p w:rsidR="00853B80" w:rsidRPr="002C4984" w:rsidRDefault="00853B80" w:rsidP="00BC5BC4">
      <w:pPr>
        <w:pStyle w:val="enumlev1"/>
        <w:rPr>
          <w:lang w:eastAsia="zh-CN"/>
        </w:rPr>
      </w:pPr>
      <w:r w:rsidRPr="002C4984">
        <w:rPr>
          <w:lang w:eastAsia="zh-CN"/>
        </w:rPr>
        <w:t>–</w:t>
      </w:r>
      <w:r w:rsidRPr="002C4984">
        <w:rPr>
          <w:lang w:eastAsia="zh-CN"/>
        </w:rPr>
        <w:tab/>
      </w:r>
      <w:r w:rsidRPr="002C4984">
        <w:rPr>
          <w:rFonts w:hAnsi="Verdana" w:hint="eastAsia"/>
          <w:lang w:eastAsia="zh-CN"/>
        </w:rPr>
        <w:t>总人口或人口密集度，</w:t>
      </w:r>
    </w:p>
    <w:p w:rsidR="00853B80" w:rsidRPr="002C4984" w:rsidRDefault="00853B80" w:rsidP="00BC5BC4">
      <w:pPr>
        <w:pStyle w:val="enumlev1"/>
        <w:rPr>
          <w:lang w:eastAsia="zh-CN"/>
        </w:rPr>
      </w:pPr>
      <w:r w:rsidRPr="002C4984">
        <w:rPr>
          <w:lang w:eastAsia="zh-CN"/>
        </w:rPr>
        <w:t>–</w:t>
      </w:r>
      <w:r w:rsidRPr="002C4984">
        <w:rPr>
          <w:lang w:eastAsia="zh-CN"/>
        </w:rPr>
        <w:tab/>
      </w:r>
      <w:r w:rsidRPr="002C4984">
        <w:rPr>
          <w:rFonts w:hAnsi="Verdana" w:hint="eastAsia"/>
          <w:lang w:eastAsia="zh-CN"/>
        </w:rPr>
        <w:t>人口的地理分布（集中在少数地区、分散</w:t>
      </w:r>
      <w:r w:rsidRPr="002C4984">
        <w:rPr>
          <w:lang w:eastAsia="zh-CN"/>
        </w:rPr>
        <w:t>…</w:t>
      </w:r>
      <w:r w:rsidRPr="002C4984">
        <w:rPr>
          <w:rFonts w:hAnsi="Verdana" w:hint="eastAsia"/>
          <w:lang w:eastAsia="zh-CN"/>
        </w:rPr>
        <w:t>），</w:t>
      </w:r>
    </w:p>
    <w:p w:rsidR="00853B80" w:rsidRPr="002C4984" w:rsidRDefault="00853B80" w:rsidP="00BC5BC4">
      <w:pPr>
        <w:pStyle w:val="enumlev1"/>
      </w:pPr>
      <w:r w:rsidRPr="002C4984">
        <w:t>–</w:t>
      </w:r>
      <w:r w:rsidRPr="002C4984">
        <w:tab/>
      </w:r>
      <w:r w:rsidRPr="002C4984">
        <w:rPr>
          <w:rFonts w:hint="eastAsia"/>
        </w:rPr>
        <w:t>国家的大小、地形（平原、山脉</w:t>
      </w:r>
      <w:r w:rsidRPr="002C4984">
        <w:t>…</w:t>
      </w:r>
      <w:r w:rsidRPr="002C4984">
        <w:rPr>
          <w:rFonts w:hint="eastAsia"/>
        </w:rPr>
        <w:t>）以及岛国的程度。</w:t>
      </w:r>
    </w:p>
    <w:p w:rsidR="00853B80" w:rsidRPr="002C4984" w:rsidRDefault="00853B80" w:rsidP="00BC5BC4">
      <w:pPr>
        <w:pStyle w:val="Heading2"/>
      </w:pPr>
      <w:bookmarkStart w:id="62" w:name="_Toc208990118"/>
      <w:bookmarkStart w:id="63" w:name="_Toc208990922"/>
      <w:bookmarkStart w:id="64" w:name="_Toc223163242"/>
      <w:bookmarkStart w:id="65" w:name="_Toc288642965"/>
      <w:r w:rsidRPr="002C4984">
        <w:t>3.2</w:t>
      </w:r>
      <w:r w:rsidRPr="002C4984">
        <w:tab/>
      </w:r>
      <w:r w:rsidRPr="002C4984">
        <w:rPr>
          <w:rFonts w:hint="eastAsia"/>
        </w:rPr>
        <w:t>授权特点或已分配的执照</w:t>
      </w:r>
      <w:bookmarkEnd w:id="62"/>
      <w:bookmarkEnd w:id="63"/>
      <w:bookmarkEnd w:id="64"/>
      <w:bookmarkEnd w:id="65"/>
    </w:p>
    <w:p w:rsidR="00853B80" w:rsidRPr="002C4984" w:rsidRDefault="00853B80" w:rsidP="00BC5BC4">
      <w:r w:rsidRPr="002C4984">
        <w:rPr>
          <w:rFonts w:hint="eastAsia"/>
        </w:rPr>
        <w:t>需特别注意以下几个方面：</w:t>
      </w:r>
    </w:p>
    <w:p w:rsidR="00853B80" w:rsidRPr="00BC5BC4" w:rsidRDefault="00853B80" w:rsidP="00BC5BC4">
      <w:pPr>
        <w:pStyle w:val="enumlev1"/>
      </w:pPr>
      <w:r w:rsidRPr="00BC5BC4">
        <w:t>–</w:t>
      </w:r>
      <w:r w:rsidRPr="00BC5BC4">
        <w:tab/>
      </w:r>
      <w:r w:rsidRPr="00BC5BC4">
        <w:rPr>
          <w:rFonts w:hint="eastAsia"/>
        </w:rPr>
        <w:t>执照的有效期，</w:t>
      </w:r>
    </w:p>
    <w:p w:rsidR="00853B80" w:rsidRPr="00BC5BC4" w:rsidRDefault="00853B80" w:rsidP="00BC5BC4">
      <w:pPr>
        <w:pStyle w:val="enumlev1"/>
      </w:pPr>
      <w:r w:rsidRPr="00BC5BC4">
        <w:t>–</w:t>
      </w:r>
      <w:r w:rsidRPr="00BC5BC4">
        <w:tab/>
      </w:r>
      <w:r w:rsidRPr="00BC5BC4">
        <w:rPr>
          <w:rFonts w:hint="eastAsia"/>
        </w:rPr>
        <w:t>运营条件的稳定性，</w:t>
      </w:r>
    </w:p>
    <w:p w:rsidR="00853B80" w:rsidRPr="00BC5BC4" w:rsidRDefault="00853B80" w:rsidP="00BC5BC4">
      <w:pPr>
        <w:pStyle w:val="enumlev1"/>
      </w:pPr>
      <w:r w:rsidRPr="00BC5BC4">
        <w:t>–</w:t>
      </w:r>
      <w:r w:rsidRPr="00BC5BC4">
        <w:tab/>
      </w:r>
      <w:r w:rsidRPr="00BC5BC4">
        <w:rPr>
          <w:rFonts w:hint="eastAsia"/>
        </w:rPr>
        <w:t>执照是否可延期。</w:t>
      </w:r>
    </w:p>
    <w:p w:rsidR="00853B80" w:rsidRPr="002C4984" w:rsidRDefault="00853B80" w:rsidP="00BC5BC4">
      <w:pPr>
        <w:pStyle w:val="Heading2"/>
      </w:pPr>
      <w:bookmarkStart w:id="66" w:name="_Toc208990119"/>
      <w:bookmarkStart w:id="67" w:name="_Toc208990923"/>
      <w:bookmarkStart w:id="68" w:name="_Toc223163243"/>
      <w:bookmarkStart w:id="69" w:name="_Toc288642966"/>
      <w:r w:rsidRPr="002C4984">
        <w:t>3.3</w:t>
      </w:r>
      <w:r w:rsidRPr="002C4984">
        <w:tab/>
      </w:r>
      <w:r w:rsidRPr="002C4984">
        <w:rPr>
          <w:rFonts w:hint="eastAsia"/>
        </w:rPr>
        <w:t>授权运营商的职权范围</w:t>
      </w:r>
      <w:bookmarkEnd w:id="66"/>
      <w:bookmarkEnd w:id="67"/>
      <w:bookmarkEnd w:id="68"/>
      <w:bookmarkEnd w:id="69"/>
    </w:p>
    <w:p w:rsidR="00853B80" w:rsidRPr="002C4984" w:rsidRDefault="00853B80" w:rsidP="00BC5BC4">
      <w:r w:rsidRPr="002C4984">
        <w:rPr>
          <w:rFonts w:hint="eastAsia"/>
        </w:rPr>
        <w:t>在运营商的职权范围内强加的义务，进而在以下方面增加了他们的运营成本：</w:t>
      </w:r>
    </w:p>
    <w:p w:rsidR="00853B80" w:rsidRPr="00BC5BC4" w:rsidRDefault="00853B80" w:rsidP="00BC5BC4">
      <w:pPr>
        <w:pStyle w:val="enumlev1"/>
      </w:pPr>
      <w:r w:rsidRPr="00BC5BC4">
        <w:t>–</w:t>
      </w:r>
      <w:r w:rsidRPr="00BC5BC4">
        <w:tab/>
      </w:r>
      <w:r w:rsidRPr="00BC5BC4">
        <w:rPr>
          <w:rFonts w:hint="eastAsia"/>
        </w:rPr>
        <w:t>所讨论区域的覆盖范围，</w:t>
      </w:r>
    </w:p>
    <w:p w:rsidR="00853B80" w:rsidRPr="00BC5BC4" w:rsidRDefault="00853B80" w:rsidP="00BC5BC4">
      <w:pPr>
        <w:pStyle w:val="enumlev1"/>
      </w:pPr>
      <w:r w:rsidRPr="00BC5BC4">
        <w:t>–</w:t>
      </w:r>
      <w:r w:rsidRPr="00BC5BC4">
        <w:tab/>
      </w:r>
      <w:r w:rsidRPr="00BC5BC4">
        <w:rPr>
          <w:rFonts w:hint="eastAsia"/>
        </w:rPr>
        <w:t>服务质量，</w:t>
      </w:r>
    </w:p>
    <w:p w:rsidR="00853B80" w:rsidRPr="00BC5BC4" w:rsidRDefault="00853B80" w:rsidP="00BC5BC4">
      <w:pPr>
        <w:pStyle w:val="enumlev1"/>
      </w:pPr>
      <w:r w:rsidRPr="00BC5BC4">
        <w:t>–</w:t>
      </w:r>
      <w:r w:rsidRPr="00BC5BC4">
        <w:tab/>
      </w:r>
      <w:r w:rsidRPr="00BC5BC4">
        <w:rPr>
          <w:rFonts w:hint="eastAsia"/>
        </w:rPr>
        <w:t>对普遍服务的参与，</w:t>
      </w:r>
    </w:p>
    <w:p w:rsidR="00853B80" w:rsidRPr="00BC5BC4" w:rsidRDefault="00853B80" w:rsidP="00BC5BC4">
      <w:pPr>
        <w:pStyle w:val="enumlev1"/>
      </w:pPr>
      <w:r w:rsidRPr="00BC5BC4">
        <w:t>–</w:t>
      </w:r>
      <w:r w:rsidRPr="00BC5BC4">
        <w:tab/>
      </w:r>
      <w:r w:rsidRPr="00BC5BC4">
        <w:rPr>
          <w:rFonts w:hint="eastAsia"/>
        </w:rPr>
        <w:t>对电信领域研究和开发工作的参与，</w:t>
      </w:r>
    </w:p>
    <w:p w:rsidR="00853B80" w:rsidRPr="00BC5BC4" w:rsidRDefault="00853B80" w:rsidP="00BC5BC4">
      <w:pPr>
        <w:pStyle w:val="enumlev1"/>
      </w:pPr>
      <w:r w:rsidRPr="00BC5BC4">
        <w:t>–</w:t>
      </w:r>
      <w:r w:rsidRPr="00BC5BC4">
        <w:tab/>
      </w:r>
      <w:r w:rsidRPr="00BC5BC4">
        <w:rPr>
          <w:rFonts w:hint="eastAsia"/>
        </w:rPr>
        <w:t>附加限制（免费拨打特定号码、号码携带</w:t>
      </w:r>
      <w:r w:rsidRPr="00BC5BC4">
        <w:t>…</w:t>
      </w:r>
      <w:r w:rsidRPr="00BC5BC4">
        <w:rPr>
          <w:rFonts w:hint="eastAsia"/>
        </w:rPr>
        <w:t>）。</w:t>
      </w:r>
    </w:p>
    <w:p w:rsidR="00853B80" w:rsidRPr="00C23A7B" w:rsidRDefault="00853B80" w:rsidP="00BC5BC4">
      <w:pPr>
        <w:pStyle w:val="Heading1"/>
        <w:rPr>
          <w:b w:val="0"/>
        </w:rPr>
      </w:pPr>
      <w:bookmarkStart w:id="70" w:name="_Toc208990120"/>
      <w:bookmarkStart w:id="71" w:name="_Toc208990924"/>
      <w:bookmarkStart w:id="72" w:name="_Toc223163244"/>
      <w:bookmarkStart w:id="73" w:name="_Toc288642967"/>
      <w:r w:rsidRPr="00C23A7B">
        <w:t>4</w:t>
      </w:r>
      <w:r w:rsidRPr="00C23A7B">
        <w:tab/>
      </w:r>
      <w:r w:rsidRPr="00BC5BC4">
        <w:rPr>
          <w:rFonts w:hint="eastAsia"/>
        </w:rPr>
        <w:t>收费水平的比较</w:t>
      </w:r>
      <w:r w:rsidRPr="00C23A7B">
        <w:t>/</w:t>
      </w:r>
      <w:r w:rsidRPr="00C23A7B">
        <w:rPr>
          <w:rFonts w:hint="eastAsia"/>
        </w:rPr>
        <w:t>互换</w:t>
      </w:r>
      <w:bookmarkEnd w:id="70"/>
      <w:bookmarkEnd w:id="71"/>
      <w:bookmarkEnd w:id="72"/>
      <w:bookmarkEnd w:id="73"/>
    </w:p>
    <w:p w:rsidR="00853B80" w:rsidRPr="002C4984" w:rsidRDefault="00853B80" w:rsidP="00A228DD">
      <w:pPr>
        <w:pStyle w:val="normal0"/>
      </w:pPr>
      <w:r w:rsidRPr="002C4984">
        <w:rPr>
          <w:rFonts w:hint="eastAsia"/>
        </w:rPr>
        <w:t>下面的表格说明了许可运营周围经济条件对运营商支付费用倾向产生的影响。</w:t>
      </w:r>
    </w:p>
    <w:p w:rsidR="00853B80" w:rsidRPr="002C4984" w:rsidRDefault="00853B80" w:rsidP="00A228DD">
      <w:pPr>
        <w:pStyle w:val="normal0"/>
      </w:pPr>
      <w:r w:rsidRPr="002C4984">
        <w:rPr>
          <w:rFonts w:hint="eastAsia"/>
        </w:rPr>
        <w:t>很明显，这些有助于提高营业额的因素将帮助提高这种支付倾向，而那些增加运营成本的因素则将使支付倾向下滑。</w:t>
      </w:r>
    </w:p>
    <w:p w:rsidR="00853B80" w:rsidRPr="00C23A7B" w:rsidRDefault="00853B80" w:rsidP="00853B80">
      <w:pPr>
        <w:pStyle w:val="Heading1"/>
        <w:spacing w:before="240" w:after="120"/>
        <w:rPr>
          <w:b w:val="0"/>
          <w:szCs w:val="24"/>
        </w:rPr>
      </w:pPr>
      <w:bookmarkStart w:id="74" w:name="_Toc208990121"/>
      <w:bookmarkStart w:id="75" w:name="_Toc208990925"/>
      <w:bookmarkStart w:id="76" w:name="_Toc223163245"/>
      <w:bookmarkStart w:id="77" w:name="_Toc288642968"/>
      <w:r w:rsidRPr="00C23A7B">
        <w:rPr>
          <w:szCs w:val="24"/>
        </w:rPr>
        <w:t>5</w:t>
      </w:r>
      <w:r w:rsidRPr="00C23A7B">
        <w:rPr>
          <w:szCs w:val="24"/>
        </w:rPr>
        <w:tab/>
      </w:r>
      <w:r w:rsidRPr="00C23A7B">
        <w:rPr>
          <w:rFonts w:hint="eastAsia"/>
          <w:szCs w:val="24"/>
        </w:rPr>
        <w:t>结论</w:t>
      </w:r>
      <w:bookmarkEnd w:id="74"/>
      <w:bookmarkEnd w:id="75"/>
      <w:bookmarkEnd w:id="76"/>
      <w:bookmarkEnd w:id="77"/>
    </w:p>
    <w:p w:rsidR="00853B80" w:rsidRPr="002C4984" w:rsidRDefault="00853B80" w:rsidP="00A228DD">
      <w:pPr>
        <w:pStyle w:val="normal0"/>
      </w:pPr>
      <w:r w:rsidRPr="002C4984">
        <w:rPr>
          <w:rFonts w:hint="eastAsia"/>
        </w:rPr>
        <w:t>尽管区分许可经营周围经济条件驱使运营商支付倾向的方向非常容易，即向上或向下，但是在没有相关数据的情况下，要准确度量化这种影响并不是一件容易的事。</w:t>
      </w:r>
    </w:p>
    <w:p w:rsidR="00853B80" w:rsidRPr="002C4984" w:rsidRDefault="00853B80" w:rsidP="00A228DD">
      <w:pPr>
        <w:pStyle w:val="normal0"/>
      </w:pPr>
      <w:r w:rsidRPr="002C4984">
        <w:rPr>
          <w:rFonts w:hint="eastAsia"/>
        </w:rPr>
        <w:t>为完成对收费水平的比较或互换，我们因而可以集中于第</w:t>
      </w:r>
      <w:r w:rsidRPr="002C4984">
        <w:t>4</w:t>
      </w:r>
      <w:r w:rsidRPr="002C4984">
        <w:rPr>
          <w:rFonts w:hint="eastAsia"/>
        </w:rPr>
        <w:t>段中提出的一个或多个因素，根据可获得的数据应用一种简明的计算规则，例如基于比例的计算规则。</w:t>
      </w:r>
    </w:p>
    <w:p w:rsidR="00853B80" w:rsidRPr="002C4984" w:rsidRDefault="00853B80" w:rsidP="00853B80">
      <w:pPr>
        <w:tabs>
          <w:tab w:val="left" w:pos="-1190"/>
          <w:tab w:val="left" w:pos="0"/>
        </w:tabs>
        <w:ind w:firstLineChars="200" w:firstLine="480"/>
        <w:rPr>
          <w:sz w:val="24"/>
          <w:szCs w:val="24"/>
        </w:rPr>
      </w:pPr>
    </w:p>
    <w:p w:rsidR="001C387C" w:rsidRDefault="001C387C">
      <w:pPr>
        <w:tabs>
          <w:tab w:val="clear" w:pos="794"/>
          <w:tab w:val="clear" w:pos="1191"/>
          <w:tab w:val="clear" w:pos="1588"/>
          <w:tab w:val="clear" w:pos="1985"/>
        </w:tabs>
        <w:overflowPunct/>
        <w:autoSpaceDE/>
        <w:autoSpaceDN/>
        <w:adjustRightInd/>
        <w:spacing w:before="0"/>
        <w:jc w:val="left"/>
        <w:textAlignment w:val="auto"/>
        <w:rPr>
          <w:b/>
          <w:bCs/>
          <w:sz w:val="24"/>
          <w:szCs w:val="24"/>
        </w:rPr>
      </w:pPr>
      <w:r>
        <w:rPr>
          <w:b/>
          <w:bCs/>
          <w:sz w:val="24"/>
          <w:szCs w:val="24"/>
        </w:rPr>
        <w:br w:type="page"/>
      </w:r>
    </w:p>
    <w:p w:rsidR="00853B80" w:rsidRPr="002C4984" w:rsidRDefault="00853B80" w:rsidP="001C387C">
      <w:pPr>
        <w:pStyle w:val="normal0"/>
      </w:pPr>
    </w:p>
    <w:p w:rsidR="00853B80" w:rsidRDefault="00853B80" w:rsidP="001C387C">
      <w:pPr>
        <w:pStyle w:val="Tabletitle"/>
        <w:rPr>
          <w:rFonts w:eastAsia="SimSun"/>
          <w:lang w:eastAsia="zh-CN"/>
        </w:rPr>
      </w:pPr>
      <w:r w:rsidRPr="002C4984">
        <w:rPr>
          <w:rFonts w:ascii="SimSun" w:eastAsia="SimSun" w:hAnsi="SimSun" w:cs="SimSun" w:hint="eastAsia"/>
        </w:rPr>
        <w:t>比较或互换收费水平时可考虑的因素</w:t>
      </w:r>
      <w:r w:rsidRPr="002C4984">
        <w:br/>
      </w:r>
    </w:p>
    <w:p w:rsidR="001C387C" w:rsidRPr="001C387C" w:rsidRDefault="001C387C" w:rsidP="00871CE0">
      <w:pPr>
        <w:pStyle w:val="FigureTitle"/>
        <w:rPr>
          <w:lang w:eastAsia="zh-CN"/>
        </w:rPr>
      </w:pP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3073"/>
        <w:gridCol w:w="6415"/>
      </w:tblGrid>
      <w:tr w:rsidR="00853B80" w:rsidRPr="002C4984" w:rsidTr="001C387C">
        <w:trPr>
          <w:trHeight w:val="359"/>
          <w:jc w:val="center"/>
        </w:trPr>
        <w:tc>
          <w:tcPr>
            <w:tcW w:w="3073" w:type="dxa"/>
            <w:vAlign w:val="center"/>
          </w:tcPr>
          <w:p w:rsidR="00853B80" w:rsidRPr="001C387C" w:rsidRDefault="00853B80" w:rsidP="001C387C">
            <w:pPr>
              <w:pStyle w:val="Tablehead"/>
            </w:pPr>
            <w:r w:rsidRPr="001C387C">
              <w:rPr>
                <w:rFonts w:hint="eastAsia"/>
              </w:rPr>
              <w:t>考虑中的国家内的</w:t>
            </w:r>
            <w:r w:rsidR="001C387C">
              <w:rPr>
                <w:lang w:eastAsia="zh-CN"/>
              </w:rPr>
              <w:br/>
            </w:r>
            <w:r w:rsidRPr="001C387C">
              <w:rPr>
                <w:rFonts w:hint="eastAsia"/>
              </w:rPr>
              <w:t>社会经济因素</w:t>
            </w:r>
          </w:p>
        </w:tc>
        <w:tc>
          <w:tcPr>
            <w:tcW w:w="6415" w:type="dxa"/>
            <w:vAlign w:val="center"/>
          </w:tcPr>
          <w:p w:rsidR="00853B80" w:rsidRPr="001C387C" w:rsidRDefault="00853B80" w:rsidP="001C387C">
            <w:pPr>
              <w:pStyle w:val="Tablehead"/>
            </w:pPr>
            <w:r w:rsidRPr="001C387C">
              <w:rPr>
                <w:rFonts w:hint="eastAsia"/>
              </w:rPr>
              <w:t>备注</w:t>
            </w:r>
          </w:p>
        </w:tc>
      </w:tr>
      <w:tr w:rsidR="00853B80" w:rsidRPr="002C4984" w:rsidTr="001C387C">
        <w:trPr>
          <w:trHeight w:val="520"/>
          <w:jc w:val="center"/>
        </w:trPr>
        <w:tc>
          <w:tcPr>
            <w:tcW w:w="3073" w:type="dxa"/>
            <w:vAlign w:val="center"/>
          </w:tcPr>
          <w:p w:rsidR="00853B80" w:rsidRPr="001C387C" w:rsidRDefault="00853B80" w:rsidP="001C387C">
            <w:pPr>
              <w:pStyle w:val="Tabletext"/>
              <w:jc w:val="left"/>
            </w:pPr>
            <w:r w:rsidRPr="001C387C">
              <w:t>GDP</w:t>
            </w:r>
            <w:r w:rsidRPr="001C387C">
              <w:rPr>
                <w:rFonts w:hint="eastAsia"/>
              </w:rPr>
              <w:t>或</w:t>
            </w:r>
            <w:r w:rsidRPr="001C387C">
              <w:t>GDP/</w:t>
            </w:r>
            <w:r w:rsidRPr="001C387C">
              <w:rPr>
                <w:rFonts w:hint="eastAsia"/>
              </w:rPr>
              <w:t>居民数</w:t>
            </w:r>
          </w:p>
        </w:tc>
        <w:tc>
          <w:tcPr>
            <w:tcW w:w="6415" w:type="dxa"/>
          </w:tcPr>
          <w:p w:rsidR="00853B80" w:rsidRPr="001C387C" w:rsidRDefault="00853B80" w:rsidP="001C387C">
            <w:pPr>
              <w:pStyle w:val="Tabletext"/>
            </w:pPr>
            <w:r w:rsidRPr="001C387C">
              <w:rPr>
                <w:rFonts w:hint="eastAsia"/>
              </w:rPr>
              <w:t>由于潜在营业额随着</w:t>
            </w:r>
            <w:r w:rsidRPr="001C387C">
              <w:t>GDP</w:t>
            </w:r>
            <w:r w:rsidRPr="001C387C">
              <w:rPr>
                <w:rFonts w:hint="eastAsia"/>
              </w:rPr>
              <w:t>的增加而增加，因此运营商的付费倾向也随着</w:t>
            </w:r>
            <w:r w:rsidRPr="001C387C">
              <w:t>GDP</w:t>
            </w:r>
            <w:r w:rsidRPr="001C387C">
              <w:rPr>
                <w:rFonts w:hint="eastAsia"/>
              </w:rPr>
              <w:t>的增加而增加。</w:t>
            </w:r>
          </w:p>
          <w:p w:rsidR="00853B80" w:rsidRPr="001C387C" w:rsidRDefault="00853B80" w:rsidP="001C387C">
            <w:pPr>
              <w:pStyle w:val="Tabletext"/>
            </w:pPr>
            <w:r w:rsidRPr="001C387C">
              <w:rPr>
                <w:rFonts w:hint="eastAsia"/>
              </w:rPr>
              <w:t>备注：对销制度的存在可能导致计算得出的</w:t>
            </w:r>
            <w:r w:rsidRPr="001C387C">
              <w:t>GDP</w:t>
            </w:r>
            <w:r w:rsidRPr="001C387C">
              <w:rPr>
                <w:rFonts w:hint="eastAsia"/>
              </w:rPr>
              <w:t>低于实际</w:t>
            </w:r>
            <w:r w:rsidRPr="001C387C">
              <w:t>GDP</w:t>
            </w:r>
            <w:r w:rsidRPr="001C387C">
              <w:rPr>
                <w:rFonts w:hint="eastAsia"/>
              </w:rPr>
              <w:t>。</w:t>
            </w:r>
          </w:p>
          <w:p w:rsidR="00853B80" w:rsidRPr="001C387C" w:rsidRDefault="00853B80" w:rsidP="001C387C">
            <w:pPr>
              <w:pStyle w:val="Tabletext"/>
            </w:pPr>
          </w:p>
        </w:tc>
      </w:tr>
      <w:tr w:rsidR="00853B80" w:rsidRPr="002C4984" w:rsidTr="001C387C">
        <w:trPr>
          <w:trHeight w:val="949"/>
          <w:jc w:val="center"/>
        </w:trPr>
        <w:tc>
          <w:tcPr>
            <w:tcW w:w="3073" w:type="dxa"/>
            <w:vAlign w:val="center"/>
          </w:tcPr>
          <w:p w:rsidR="00853B80" w:rsidRPr="001C387C" w:rsidRDefault="00853B80" w:rsidP="001C387C">
            <w:pPr>
              <w:pStyle w:val="Tabletext"/>
              <w:jc w:val="left"/>
            </w:pPr>
            <w:r w:rsidRPr="001C387C">
              <w:rPr>
                <w:rFonts w:hint="eastAsia"/>
              </w:rPr>
              <w:t>总人口；人口密集度</w:t>
            </w:r>
          </w:p>
        </w:tc>
        <w:tc>
          <w:tcPr>
            <w:tcW w:w="6415" w:type="dxa"/>
          </w:tcPr>
          <w:p w:rsidR="00853B80" w:rsidRPr="001C387C" w:rsidRDefault="00853B80" w:rsidP="001C387C">
            <w:pPr>
              <w:pStyle w:val="Tabletext"/>
            </w:pPr>
            <w:r w:rsidRPr="001C387C">
              <w:rPr>
                <w:rFonts w:hint="eastAsia"/>
              </w:rPr>
              <w:t>一般而言，潜在的营业额会随着人口规模的增加而增加，因此运营商的付费倾向也随着人口规模的增加而增加。</w:t>
            </w:r>
          </w:p>
          <w:p w:rsidR="00853B80" w:rsidRPr="001C387C" w:rsidRDefault="00853B80" w:rsidP="001C387C">
            <w:pPr>
              <w:pStyle w:val="Tabletext"/>
            </w:pPr>
          </w:p>
        </w:tc>
      </w:tr>
      <w:tr w:rsidR="00853B80" w:rsidRPr="002C4984" w:rsidTr="001C387C">
        <w:trPr>
          <w:trHeight w:val="949"/>
          <w:jc w:val="center"/>
        </w:trPr>
        <w:tc>
          <w:tcPr>
            <w:tcW w:w="3073" w:type="dxa"/>
            <w:vAlign w:val="center"/>
          </w:tcPr>
          <w:p w:rsidR="00853B80" w:rsidRPr="001C387C" w:rsidRDefault="00853B80" w:rsidP="001C387C">
            <w:pPr>
              <w:pStyle w:val="Tabletext"/>
              <w:jc w:val="left"/>
            </w:pPr>
            <w:r w:rsidRPr="001C387C">
              <w:rPr>
                <w:rFonts w:hint="eastAsia"/>
              </w:rPr>
              <w:t>人口的地理分布（集中于少数地区、分散</w:t>
            </w:r>
            <w:r w:rsidRPr="001C387C">
              <w:t>…</w:t>
            </w:r>
            <w:r w:rsidRPr="001C387C">
              <w:rPr>
                <w:rFonts w:hint="eastAsia"/>
              </w:rPr>
              <w:t>）</w:t>
            </w:r>
          </w:p>
        </w:tc>
        <w:tc>
          <w:tcPr>
            <w:tcW w:w="6415" w:type="dxa"/>
          </w:tcPr>
          <w:p w:rsidR="00853B80" w:rsidRPr="001C387C" w:rsidRDefault="00853B80" w:rsidP="001C387C">
            <w:pPr>
              <w:pStyle w:val="Tabletext"/>
            </w:pPr>
            <w:r w:rsidRPr="001C387C">
              <w:rPr>
                <w:rFonts w:hint="eastAsia"/>
              </w:rPr>
              <w:t>一般而言，网络部署的成本随着集中度的增加而减少，因此运营商的付费倾向也随着集中度的增加而增加</w:t>
            </w:r>
          </w:p>
          <w:p w:rsidR="00853B80" w:rsidRPr="001C387C" w:rsidRDefault="00853B80" w:rsidP="001C387C">
            <w:pPr>
              <w:pStyle w:val="Tabletext"/>
            </w:pPr>
          </w:p>
        </w:tc>
      </w:tr>
      <w:tr w:rsidR="00853B80" w:rsidRPr="002C4984" w:rsidTr="001C387C">
        <w:trPr>
          <w:trHeight w:val="949"/>
          <w:jc w:val="center"/>
        </w:trPr>
        <w:tc>
          <w:tcPr>
            <w:tcW w:w="3073" w:type="dxa"/>
            <w:vAlign w:val="center"/>
          </w:tcPr>
          <w:p w:rsidR="00853B80" w:rsidRPr="001C387C" w:rsidRDefault="00853B80" w:rsidP="001C387C">
            <w:pPr>
              <w:pStyle w:val="Tabletext"/>
              <w:jc w:val="left"/>
            </w:pPr>
            <w:r w:rsidRPr="001C387C">
              <w:rPr>
                <w:rFonts w:hint="eastAsia"/>
              </w:rPr>
              <w:t>国家大小、地形和岛国程度</w:t>
            </w:r>
          </w:p>
        </w:tc>
        <w:tc>
          <w:tcPr>
            <w:tcW w:w="6415" w:type="dxa"/>
          </w:tcPr>
          <w:p w:rsidR="00853B80" w:rsidRPr="001C387C" w:rsidRDefault="00853B80" w:rsidP="001C387C">
            <w:pPr>
              <w:pStyle w:val="Tabletext"/>
            </w:pPr>
            <w:r w:rsidRPr="001C387C">
              <w:rPr>
                <w:rFonts w:hint="eastAsia"/>
              </w:rPr>
              <w:t>一般而言，网络部署的成本随着国家面积和地形复杂程度的减少而减少，因此运营商的付费倾向也随着这些参数的增加而增加。</w:t>
            </w:r>
          </w:p>
          <w:p w:rsidR="00853B80" w:rsidRPr="001C387C" w:rsidRDefault="00853B80" w:rsidP="001C387C">
            <w:pPr>
              <w:pStyle w:val="Tabletext"/>
            </w:pPr>
          </w:p>
        </w:tc>
      </w:tr>
      <w:tr w:rsidR="00853B80" w:rsidRPr="002C4984" w:rsidTr="001C387C">
        <w:trPr>
          <w:trHeight w:val="297"/>
          <w:jc w:val="center"/>
        </w:trPr>
        <w:tc>
          <w:tcPr>
            <w:tcW w:w="3073" w:type="dxa"/>
            <w:vAlign w:val="center"/>
          </w:tcPr>
          <w:p w:rsidR="00853B80" w:rsidRPr="002C4984" w:rsidRDefault="00853B80" w:rsidP="001C387C">
            <w:pPr>
              <w:pStyle w:val="Tablehead"/>
              <w:rPr>
                <w:lang w:eastAsia="zh-CN"/>
              </w:rPr>
            </w:pPr>
            <w:r w:rsidRPr="002C4984">
              <w:rPr>
                <w:rFonts w:hint="eastAsia"/>
                <w:lang w:eastAsia="zh-CN"/>
              </w:rPr>
              <w:t>授权或执照的特点</w:t>
            </w:r>
          </w:p>
        </w:tc>
        <w:tc>
          <w:tcPr>
            <w:tcW w:w="6415" w:type="dxa"/>
          </w:tcPr>
          <w:p w:rsidR="00853B80" w:rsidRPr="002C4984" w:rsidRDefault="00853B80" w:rsidP="001C387C">
            <w:pPr>
              <w:pStyle w:val="Tabletext"/>
            </w:pPr>
          </w:p>
        </w:tc>
      </w:tr>
      <w:tr w:rsidR="00853B80" w:rsidRPr="002C4984" w:rsidTr="001C387C">
        <w:trPr>
          <w:trHeight w:val="949"/>
          <w:jc w:val="center"/>
        </w:trPr>
        <w:tc>
          <w:tcPr>
            <w:tcW w:w="3073" w:type="dxa"/>
            <w:vAlign w:val="center"/>
          </w:tcPr>
          <w:p w:rsidR="00853B80" w:rsidRPr="001C387C" w:rsidRDefault="00853B80" w:rsidP="001C387C">
            <w:pPr>
              <w:pStyle w:val="Tabletext"/>
              <w:jc w:val="left"/>
            </w:pPr>
            <w:r w:rsidRPr="001C387C">
              <w:rPr>
                <w:rFonts w:hint="eastAsia"/>
              </w:rPr>
              <w:t>授权的有效期</w:t>
            </w:r>
          </w:p>
        </w:tc>
        <w:tc>
          <w:tcPr>
            <w:tcW w:w="6415" w:type="dxa"/>
          </w:tcPr>
          <w:p w:rsidR="00853B80" w:rsidRPr="001C387C" w:rsidRDefault="00853B80" w:rsidP="001C387C">
            <w:pPr>
              <w:pStyle w:val="Tabletext"/>
            </w:pPr>
            <w:r w:rsidRPr="001C387C">
              <w:rPr>
                <w:rFonts w:hint="eastAsia"/>
              </w:rPr>
              <w:t>由于设备摊销得到更好的保证，且运营的最后几年的获利远远超过开始的几年，运营商的付费倾向会随着有效期的增加而增加。</w:t>
            </w:r>
          </w:p>
          <w:p w:rsidR="00853B80" w:rsidRPr="001C387C" w:rsidRDefault="00853B80" w:rsidP="001C387C">
            <w:pPr>
              <w:pStyle w:val="Tabletext"/>
            </w:pPr>
          </w:p>
        </w:tc>
      </w:tr>
      <w:tr w:rsidR="00853B80" w:rsidRPr="002C4984" w:rsidTr="001C387C">
        <w:trPr>
          <w:trHeight w:val="949"/>
          <w:jc w:val="center"/>
        </w:trPr>
        <w:tc>
          <w:tcPr>
            <w:tcW w:w="3073" w:type="dxa"/>
            <w:vAlign w:val="center"/>
          </w:tcPr>
          <w:p w:rsidR="00853B80" w:rsidRPr="001C387C" w:rsidRDefault="00853B80" w:rsidP="001C387C">
            <w:pPr>
              <w:pStyle w:val="Tabletext"/>
              <w:jc w:val="left"/>
            </w:pPr>
            <w:r w:rsidRPr="001C387C">
              <w:rPr>
                <w:rFonts w:hint="eastAsia"/>
              </w:rPr>
              <w:t>运营条件的稳定性</w:t>
            </w:r>
          </w:p>
        </w:tc>
        <w:tc>
          <w:tcPr>
            <w:tcW w:w="6415" w:type="dxa"/>
          </w:tcPr>
          <w:p w:rsidR="00853B80" w:rsidRPr="001C387C" w:rsidRDefault="00853B80" w:rsidP="001C387C">
            <w:pPr>
              <w:pStyle w:val="Tabletext"/>
            </w:pPr>
            <w:r w:rsidRPr="001C387C">
              <w:rPr>
                <w:rFonts w:hint="eastAsia"/>
              </w:rPr>
              <w:t>由于不稳定性会导致运营商需要自己弥补固有风险所带来的损</w:t>
            </w:r>
            <w:r w:rsidR="001C387C">
              <w:rPr>
                <w:lang w:eastAsia="zh-CN"/>
              </w:rPr>
              <w:br/>
            </w:r>
            <w:r w:rsidRPr="001C387C">
              <w:rPr>
                <w:rFonts w:hint="eastAsia"/>
              </w:rPr>
              <w:t>失，运营商的付费倾向随着稳定程度的增加而增加。</w:t>
            </w:r>
          </w:p>
          <w:p w:rsidR="00853B80" w:rsidRPr="001C387C" w:rsidRDefault="00853B80" w:rsidP="001C387C">
            <w:pPr>
              <w:pStyle w:val="Tabletext"/>
            </w:pPr>
          </w:p>
        </w:tc>
      </w:tr>
      <w:tr w:rsidR="00853B80" w:rsidRPr="002C4984" w:rsidTr="001C387C">
        <w:trPr>
          <w:trHeight w:val="362"/>
          <w:jc w:val="center"/>
        </w:trPr>
        <w:tc>
          <w:tcPr>
            <w:tcW w:w="3073" w:type="dxa"/>
            <w:vAlign w:val="center"/>
          </w:tcPr>
          <w:p w:rsidR="00853B80" w:rsidRPr="001C387C" w:rsidRDefault="00853B80" w:rsidP="001C387C">
            <w:pPr>
              <w:pStyle w:val="Tabletext"/>
              <w:jc w:val="left"/>
            </w:pPr>
            <w:r w:rsidRPr="001C387C">
              <w:rPr>
                <w:rFonts w:hint="eastAsia"/>
              </w:rPr>
              <w:t>授权的可延期性</w:t>
            </w:r>
          </w:p>
        </w:tc>
        <w:tc>
          <w:tcPr>
            <w:tcW w:w="6415" w:type="dxa"/>
          </w:tcPr>
          <w:p w:rsidR="00853B80" w:rsidRPr="001C387C" w:rsidRDefault="00853B80" w:rsidP="001C387C">
            <w:pPr>
              <w:pStyle w:val="Tabletext"/>
            </w:pPr>
            <w:r w:rsidRPr="001C387C">
              <w:rPr>
                <w:rFonts w:hint="eastAsia"/>
              </w:rPr>
              <w:t>这种因素的影响与有效期的影响类似。</w:t>
            </w:r>
          </w:p>
        </w:tc>
      </w:tr>
      <w:tr w:rsidR="00853B80" w:rsidRPr="002C4984" w:rsidTr="001C387C">
        <w:trPr>
          <w:trHeight w:val="255"/>
          <w:jc w:val="center"/>
        </w:trPr>
        <w:tc>
          <w:tcPr>
            <w:tcW w:w="3073" w:type="dxa"/>
            <w:vAlign w:val="center"/>
          </w:tcPr>
          <w:p w:rsidR="00853B80" w:rsidRPr="002C4984" w:rsidRDefault="00853B80" w:rsidP="001C387C">
            <w:pPr>
              <w:pStyle w:val="Tablehead"/>
              <w:keepNext w:val="0"/>
              <w:pageBreakBefore/>
              <w:rPr>
                <w:lang w:eastAsia="zh-CN"/>
              </w:rPr>
            </w:pPr>
            <w:r w:rsidRPr="002C4984">
              <w:rPr>
                <w:rFonts w:hint="eastAsia"/>
                <w:lang w:eastAsia="zh-CN"/>
              </w:rPr>
              <w:lastRenderedPageBreak/>
              <w:t>授权运营商</w:t>
            </w:r>
            <w:r w:rsidRPr="001C387C">
              <w:rPr>
                <w:rFonts w:hint="eastAsia"/>
              </w:rPr>
              <w:t>职权</w:t>
            </w:r>
            <w:r w:rsidR="00E10A58">
              <w:rPr>
                <w:lang w:eastAsia="zh-CN"/>
              </w:rPr>
              <w:br/>
            </w:r>
            <w:r w:rsidRPr="002C4984">
              <w:rPr>
                <w:rFonts w:hint="eastAsia"/>
                <w:lang w:eastAsia="zh-CN"/>
              </w:rPr>
              <w:t>范围的内容</w:t>
            </w:r>
          </w:p>
        </w:tc>
        <w:tc>
          <w:tcPr>
            <w:tcW w:w="6415" w:type="dxa"/>
          </w:tcPr>
          <w:p w:rsidR="00853B80" w:rsidRPr="002C4984" w:rsidRDefault="00853B80" w:rsidP="001C387C">
            <w:pPr>
              <w:pStyle w:val="Tabletext"/>
              <w:rPr>
                <w:sz w:val="24"/>
                <w:szCs w:val="24"/>
                <w:lang w:eastAsia="zh-CN"/>
              </w:rPr>
            </w:pPr>
          </w:p>
        </w:tc>
      </w:tr>
      <w:tr w:rsidR="00853B80" w:rsidRPr="002C4984" w:rsidTr="001C387C">
        <w:trPr>
          <w:trHeight w:hRule="exact" w:val="467"/>
          <w:jc w:val="center"/>
        </w:trPr>
        <w:tc>
          <w:tcPr>
            <w:tcW w:w="3073" w:type="dxa"/>
            <w:vAlign w:val="center"/>
          </w:tcPr>
          <w:p w:rsidR="00853B80" w:rsidRPr="001C387C" w:rsidRDefault="00853B80" w:rsidP="001C387C">
            <w:pPr>
              <w:pStyle w:val="Tabletext"/>
              <w:rPr>
                <w:szCs w:val="24"/>
              </w:rPr>
            </w:pPr>
            <w:r w:rsidRPr="001C387C">
              <w:rPr>
                <w:rFonts w:hint="eastAsia"/>
                <w:szCs w:val="24"/>
              </w:rPr>
              <w:t>正在讨论中的区域覆盖范围</w:t>
            </w:r>
          </w:p>
        </w:tc>
        <w:tc>
          <w:tcPr>
            <w:tcW w:w="6415" w:type="dxa"/>
            <w:vMerge w:val="restart"/>
          </w:tcPr>
          <w:p w:rsidR="00853B80" w:rsidRDefault="00853B80" w:rsidP="001C387C">
            <w:pPr>
              <w:pStyle w:val="Tabletext"/>
              <w:rPr>
                <w:szCs w:val="24"/>
                <w:lang w:eastAsia="zh-CN"/>
              </w:rPr>
            </w:pPr>
            <w:r w:rsidRPr="001C387C">
              <w:rPr>
                <w:rFonts w:hint="eastAsia"/>
                <w:szCs w:val="24"/>
              </w:rPr>
              <w:t>职权范围内加入这类义务增加了运营成本，运营成本随着义务强制程度的增加而增加，并对运营商的付费倾向产生相应的负面作用。</w:t>
            </w:r>
          </w:p>
          <w:p w:rsidR="001C387C" w:rsidRPr="001C387C" w:rsidRDefault="001C387C" w:rsidP="001C387C">
            <w:pPr>
              <w:pStyle w:val="Tabletext"/>
              <w:rPr>
                <w:szCs w:val="24"/>
                <w:lang w:eastAsia="zh-CN"/>
              </w:rPr>
            </w:pPr>
          </w:p>
          <w:p w:rsidR="00853B80" w:rsidRDefault="00853B80" w:rsidP="001C387C">
            <w:pPr>
              <w:pStyle w:val="Tabletext"/>
              <w:rPr>
                <w:szCs w:val="24"/>
                <w:lang w:eastAsia="zh-CN"/>
              </w:rPr>
            </w:pPr>
            <w:r w:rsidRPr="001C387C">
              <w:rPr>
                <w:rFonts w:hint="eastAsia"/>
                <w:szCs w:val="24"/>
              </w:rPr>
              <w:t>为了进行更为详细的比较，有必要对每个这类义务的强制程度做出分析，并特别考虑到以下方面：</w:t>
            </w:r>
          </w:p>
          <w:p w:rsidR="001C387C" w:rsidRPr="001C387C" w:rsidRDefault="001C387C" w:rsidP="001C387C">
            <w:pPr>
              <w:pStyle w:val="Tabletext"/>
              <w:rPr>
                <w:szCs w:val="24"/>
                <w:lang w:eastAsia="zh-CN"/>
              </w:rPr>
            </w:pPr>
          </w:p>
          <w:p w:rsidR="00853B80" w:rsidRPr="001C387C" w:rsidRDefault="00853B80" w:rsidP="001C387C">
            <w:pPr>
              <w:pStyle w:val="Tabletext"/>
              <w:rPr>
                <w:szCs w:val="24"/>
              </w:rPr>
            </w:pPr>
            <w:r w:rsidRPr="001C387C">
              <w:rPr>
                <w:szCs w:val="24"/>
              </w:rPr>
              <w:t>–</w:t>
            </w:r>
            <w:r w:rsidRPr="001C387C">
              <w:rPr>
                <w:szCs w:val="24"/>
              </w:rPr>
              <w:tab/>
            </w:r>
            <w:r w:rsidRPr="001C387C">
              <w:rPr>
                <w:rFonts w:hint="eastAsia"/>
                <w:szCs w:val="24"/>
              </w:rPr>
              <w:t>管理国际进入的条件，它可能影响服务质量；</w:t>
            </w:r>
          </w:p>
          <w:p w:rsidR="00853B80" w:rsidRPr="001C387C" w:rsidRDefault="00853B80" w:rsidP="001C387C">
            <w:pPr>
              <w:pStyle w:val="Tabletext"/>
              <w:spacing w:before="120"/>
              <w:rPr>
                <w:szCs w:val="24"/>
              </w:rPr>
            </w:pPr>
            <w:r w:rsidRPr="001C387C">
              <w:rPr>
                <w:szCs w:val="24"/>
              </w:rPr>
              <w:t>–</w:t>
            </w:r>
            <w:r w:rsidRPr="001C387C">
              <w:rPr>
                <w:szCs w:val="24"/>
              </w:rPr>
              <w:tab/>
            </w:r>
            <w:r w:rsidRPr="001C387C">
              <w:rPr>
                <w:rFonts w:hint="eastAsia"/>
                <w:szCs w:val="24"/>
              </w:rPr>
              <w:t>本地惯例</w:t>
            </w:r>
            <w:r w:rsidRPr="001C387C">
              <w:rPr>
                <w:szCs w:val="24"/>
              </w:rPr>
              <w:t>/</w:t>
            </w:r>
            <w:r w:rsidRPr="001C387C">
              <w:rPr>
                <w:rFonts w:hint="eastAsia"/>
                <w:szCs w:val="24"/>
              </w:rPr>
              <w:t>习惯的存在，如特定类别用户的免费业务，其效果可能会减少运营结果。</w:t>
            </w:r>
          </w:p>
        </w:tc>
      </w:tr>
      <w:tr w:rsidR="00853B80" w:rsidRPr="002C4984" w:rsidTr="001C387C">
        <w:trPr>
          <w:trHeight w:hRule="exact" w:val="467"/>
          <w:jc w:val="center"/>
        </w:trPr>
        <w:tc>
          <w:tcPr>
            <w:tcW w:w="3073" w:type="dxa"/>
            <w:vAlign w:val="center"/>
          </w:tcPr>
          <w:p w:rsidR="00853B80" w:rsidRPr="001C387C" w:rsidRDefault="00853B80" w:rsidP="001C387C">
            <w:pPr>
              <w:pStyle w:val="Tabletext"/>
              <w:rPr>
                <w:szCs w:val="24"/>
              </w:rPr>
            </w:pPr>
            <w:r w:rsidRPr="001C387C">
              <w:rPr>
                <w:rFonts w:hint="eastAsia"/>
                <w:szCs w:val="24"/>
              </w:rPr>
              <w:t>服务质量</w:t>
            </w:r>
          </w:p>
        </w:tc>
        <w:tc>
          <w:tcPr>
            <w:tcW w:w="6415" w:type="dxa"/>
            <w:vMerge/>
            <w:vAlign w:val="center"/>
          </w:tcPr>
          <w:p w:rsidR="00853B80" w:rsidRPr="001C387C" w:rsidRDefault="00853B80" w:rsidP="001C387C">
            <w:pPr>
              <w:pStyle w:val="Tabletext"/>
              <w:rPr>
                <w:szCs w:val="19"/>
              </w:rPr>
            </w:pPr>
          </w:p>
        </w:tc>
      </w:tr>
      <w:tr w:rsidR="00853B80" w:rsidRPr="002C4984" w:rsidTr="001C387C">
        <w:trPr>
          <w:trHeight w:hRule="exact" w:val="467"/>
          <w:jc w:val="center"/>
        </w:trPr>
        <w:tc>
          <w:tcPr>
            <w:tcW w:w="3073" w:type="dxa"/>
            <w:vAlign w:val="center"/>
          </w:tcPr>
          <w:p w:rsidR="00853B80" w:rsidRPr="001C387C" w:rsidRDefault="00853B80" w:rsidP="001C387C">
            <w:pPr>
              <w:pStyle w:val="Tabletext"/>
              <w:rPr>
                <w:szCs w:val="24"/>
              </w:rPr>
            </w:pPr>
            <w:r w:rsidRPr="001C387C">
              <w:rPr>
                <w:rFonts w:hint="eastAsia"/>
                <w:szCs w:val="24"/>
              </w:rPr>
              <w:t>对普遍服务的参与</w:t>
            </w:r>
          </w:p>
        </w:tc>
        <w:tc>
          <w:tcPr>
            <w:tcW w:w="6415" w:type="dxa"/>
            <w:vMerge/>
            <w:vAlign w:val="center"/>
          </w:tcPr>
          <w:p w:rsidR="00853B80" w:rsidRPr="001C387C" w:rsidRDefault="00853B80" w:rsidP="001C387C">
            <w:pPr>
              <w:pStyle w:val="Tabletext"/>
              <w:rPr>
                <w:szCs w:val="19"/>
              </w:rPr>
            </w:pPr>
          </w:p>
        </w:tc>
      </w:tr>
      <w:tr w:rsidR="00853B80" w:rsidRPr="002C4984" w:rsidTr="001C387C">
        <w:trPr>
          <w:trHeight w:hRule="exact" w:val="674"/>
          <w:jc w:val="center"/>
        </w:trPr>
        <w:tc>
          <w:tcPr>
            <w:tcW w:w="3073" w:type="dxa"/>
            <w:vAlign w:val="center"/>
          </w:tcPr>
          <w:p w:rsidR="00853B80" w:rsidRPr="001C387C" w:rsidRDefault="00853B80" w:rsidP="001C387C">
            <w:pPr>
              <w:pStyle w:val="Tabletext"/>
              <w:jc w:val="left"/>
              <w:rPr>
                <w:szCs w:val="24"/>
              </w:rPr>
            </w:pPr>
            <w:r w:rsidRPr="001C387C">
              <w:rPr>
                <w:rFonts w:hint="eastAsia"/>
                <w:szCs w:val="24"/>
              </w:rPr>
              <w:t>对电信领域内研究和开发工作的参与</w:t>
            </w:r>
          </w:p>
        </w:tc>
        <w:tc>
          <w:tcPr>
            <w:tcW w:w="6415" w:type="dxa"/>
            <w:vMerge/>
            <w:vAlign w:val="center"/>
          </w:tcPr>
          <w:p w:rsidR="00853B80" w:rsidRPr="001C387C" w:rsidRDefault="00853B80" w:rsidP="001C387C">
            <w:pPr>
              <w:pStyle w:val="Tabletext"/>
              <w:rPr>
                <w:szCs w:val="19"/>
              </w:rPr>
            </w:pPr>
          </w:p>
        </w:tc>
      </w:tr>
      <w:tr w:rsidR="00853B80" w:rsidRPr="002C4984" w:rsidTr="001C387C">
        <w:trPr>
          <w:trHeight w:hRule="exact" w:val="1014"/>
          <w:jc w:val="center"/>
        </w:trPr>
        <w:tc>
          <w:tcPr>
            <w:tcW w:w="3073" w:type="dxa"/>
            <w:vAlign w:val="center"/>
          </w:tcPr>
          <w:p w:rsidR="00853B80" w:rsidRPr="001C387C" w:rsidRDefault="00853B80" w:rsidP="001C387C">
            <w:pPr>
              <w:pStyle w:val="Tabletext"/>
              <w:jc w:val="left"/>
              <w:rPr>
                <w:szCs w:val="24"/>
              </w:rPr>
            </w:pPr>
            <w:r w:rsidRPr="001C387C">
              <w:rPr>
                <w:rFonts w:hint="eastAsia"/>
                <w:szCs w:val="24"/>
              </w:rPr>
              <w:t>其它义务（免费拨打特定号</w:t>
            </w:r>
            <w:r w:rsidR="001C387C">
              <w:rPr>
                <w:szCs w:val="24"/>
                <w:lang w:eastAsia="zh-CN"/>
              </w:rPr>
              <w:br/>
            </w:r>
            <w:r w:rsidRPr="001C387C">
              <w:rPr>
                <w:rFonts w:hint="eastAsia"/>
                <w:szCs w:val="24"/>
              </w:rPr>
              <w:t>码、号码携带、频谱监视</w:t>
            </w:r>
            <w:r w:rsidRPr="001C387C">
              <w:rPr>
                <w:szCs w:val="24"/>
              </w:rPr>
              <w:t>…</w:t>
            </w:r>
            <w:r w:rsidRPr="001C387C">
              <w:rPr>
                <w:rFonts w:hint="eastAsia"/>
                <w:szCs w:val="24"/>
              </w:rPr>
              <w:t>）</w:t>
            </w:r>
          </w:p>
        </w:tc>
        <w:tc>
          <w:tcPr>
            <w:tcW w:w="6415" w:type="dxa"/>
            <w:vMerge/>
            <w:vAlign w:val="center"/>
          </w:tcPr>
          <w:p w:rsidR="00853B80" w:rsidRPr="001C387C" w:rsidRDefault="00853B80" w:rsidP="001C387C">
            <w:pPr>
              <w:pStyle w:val="Tabletext"/>
              <w:rPr>
                <w:szCs w:val="19"/>
              </w:rPr>
            </w:pPr>
          </w:p>
        </w:tc>
      </w:tr>
    </w:tbl>
    <w:p w:rsidR="00853B80" w:rsidRDefault="00853B80" w:rsidP="00853B80">
      <w:pPr>
        <w:tabs>
          <w:tab w:val="left" w:pos="-1190"/>
          <w:tab w:val="left" w:pos="0"/>
        </w:tabs>
        <w:spacing w:before="0"/>
        <w:jc w:val="center"/>
        <w:rPr>
          <w:szCs w:val="19"/>
          <w:lang w:eastAsia="zh-CN"/>
        </w:rPr>
      </w:pPr>
      <w:bookmarkStart w:id="78" w:name="dsource"/>
      <w:bookmarkStart w:id="79" w:name="dnum"/>
      <w:bookmarkStart w:id="80" w:name="dorlang"/>
      <w:bookmarkEnd w:id="78"/>
      <w:bookmarkEnd w:id="79"/>
      <w:bookmarkEnd w:id="80"/>
    </w:p>
    <w:p w:rsidR="001C387C" w:rsidRDefault="001C387C" w:rsidP="001C387C">
      <w:pPr>
        <w:pStyle w:val="FigureSource"/>
        <w:rPr>
          <w:lang w:eastAsia="zh-CN"/>
        </w:rPr>
      </w:pPr>
    </w:p>
    <w:p w:rsidR="001C387C" w:rsidRDefault="001C387C" w:rsidP="00853B80">
      <w:pPr>
        <w:tabs>
          <w:tab w:val="left" w:pos="-1190"/>
          <w:tab w:val="left" w:pos="0"/>
        </w:tabs>
        <w:spacing w:before="0"/>
        <w:jc w:val="center"/>
        <w:rPr>
          <w:szCs w:val="19"/>
          <w:lang w:eastAsia="zh-CN"/>
        </w:rPr>
      </w:pPr>
    </w:p>
    <w:p w:rsidR="001C387C" w:rsidRPr="00495ECE" w:rsidRDefault="001C387C" w:rsidP="00853B80">
      <w:pPr>
        <w:tabs>
          <w:tab w:val="left" w:pos="-1190"/>
          <w:tab w:val="left" w:pos="0"/>
        </w:tabs>
        <w:spacing w:before="0"/>
        <w:jc w:val="center"/>
        <w:rPr>
          <w:szCs w:val="19"/>
          <w:lang w:eastAsia="zh-CN"/>
        </w:rPr>
        <w:sectPr w:rsidR="001C387C" w:rsidRPr="00495ECE" w:rsidSect="00842F5F">
          <w:headerReference w:type="even" r:id="rId19"/>
          <w:headerReference w:type="default" r:id="rId20"/>
          <w:footerReference w:type="default" r:id="rId21"/>
          <w:headerReference w:type="first" r:id="rId22"/>
          <w:footerReference w:type="first" r:id="rId23"/>
          <w:pgSz w:w="11909" w:h="16834" w:code="9"/>
          <w:pgMar w:top="1418" w:right="1134" w:bottom="1418" w:left="1134" w:header="720" w:footer="720" w:gutter="0"/>
          <w:pgNumType w:start="1"/>
          <w:cols w:space="720"/>
          <w:docGrid w:linePitch="299"/>
        </w:sectPr>
      </w:pPr>
    </w:p>
    <w:p w:rsidR="00E56335" w:rsidRPr="007542AE" w:rsidDel="004D11AA" w:rsidRDefault="00E56335" w:rsidP="00B10C36">
      <w:pPr>
        <w:pStyle w:val="AppendixNotitle"/>
        <w:spacing w:before="240"/>
        <w:rPr>
          <w:bCs/>
        </w:rPr>
      </w:pPr>
      <w:bookmarkStart w:id="81" w:name="_Toc280260011"/>
      <w:bookmarkStart w:id="82" w:name="_Toc280260873"/>
      <w:bookmarkStart w:id="83" w:name="_Toc280272472"/>
      <w:bookmarkStart w:id="84" w:name="_Toc288642969"/>
      <w:r>
        <w:lastRenderedPageBreak/>
        <w:t>Appendix 1.1 (English)</w:t>
      </w:r>
      <w:r>
        <w:br/>
      </w:r>
      <w:r>
        <w:rPr>
          <w:bCs/>
          <w:sz w:val="24"/>
          <w:szCs w:val="24"/>
        </w:rPr>
        <w:br/>
      </w:r>
      <w:r w:rsidRPr="007542AE">
        <w:t>United Arab Emirates: Basic elements of spectrum fees policy</w:t>
      </w:r>
      <w:bookmarkEnd w:id="81"/>
      <w:bookmarkEnd w:id="82"/>
      <w:bookmarkEnd w:id="83"/>
      <w:bookmarkEnd w:id="84"/>
    </w:p>
    <w:p w:rsidR="00E56335" w:rsidRPr="009227FD" w:rsidRDefault="00E56335" w:rsidP="00E56335">
      <w:pPr>
        <w:pStyle w:val="Heading1"/>
        <w:rPr>
          <w:lang w:val="en-US"/>
        </w:rPr>
      </w:pPr>
      <w:bookmarkStart w:id="85" w:name="_Toc280260012"/>
      <w:bookmarkStart w:id="86" w:name="_Toc280260874"/>
      <w:bookmarkStart w:id="87" w:name="_Toc280272473"/>
      <w:bookmarkStart w:id="88" w:name="_Toc288642970"/>
      <w:r w:rsidRPr="009227FD">
        <w:rPr>
          <w:lang w:val="en-US"/>
        </w:rPr>
        <w:t>Introduction:</w:t>
      </w:r>
      <w:bookmarkEnd w:id="85"/>
      <w:bookmarkEnd w:id="86"/>
      <w:bookmarkEnd w:id="87"/>
      <w:bookmarkEnd w:id="88"/>
    </w:p>
    <w:p w:rsidR="00E56335" w:rsidRPr="009227FD" w:rsidRDefault="00E56335" w:rsidP="00E56335">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This document and its to serve the work of preparing the Guidelines for the System of Fees for the Use of the Radio Frequency Spectrum, with the aim to give an actual &amp; comprehensive guidelines as well as example of Spectrum Fees Policy that could be helpful to consider or to use by some of the countries, in particular developing and least developed countries, while drafting new SF policies or revising them.</w:t>
      </w:r>
    </w:p>
    <w:p w:rsidR="00E56335" w:rsidRPr="009227FD" w:rsidRDefault="00E56335" w:rsidP="00E56335">
      <w:pPr>
        <w:pStyle w:val="Heading1"/>
      </w:pPr>
      <w:bookmarkStart w:id="89" w:name="_Toc280260013"/>
      <w:bookmarkStart w:id="90" w:name="_Toc280260875"/>
      <w:bookmarkStart w:id="91" w:name="_Toc280272474"/>
      <w:bookmarkStart w:id="92" w:name="_Toc288642971"/>
      <w:r w:rsidRPr="009227FD">
        <w:t>Basic Elements of SF Policy:</w:t>
      </w:r>
      <w:bookmarkEnd w:id="89"/>
      <w:bookmarkEnd w:id="90"/>
      <w:bookmarkEnd w:id="91"/>
      <w:bookmarkEnd w:id="92"/>
    </w:p>
    <w:p w:rsidR="00E56335" w:rsidRPr="009227FD" w:rsidRDefault="00E56335" w:rsidP="00E56335">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 xml:space="preserve">It is very important to mention in the beginning of this document that there is ’no one solution fits all’ in spectrum economics. </w:t>
      </w:r>
      <w:r w:rsidRPr="009227FD">
        <w:rPr>
          <w:rFonts w:asciiTheme="majorBidi" w:hAnsiTheme="majorBidi" w:cstheme="majorBidi"/>
          <w:sz w:val="22"/>
          <w:szCs w:val="22"/>
          <w:u w:val="single"/>
          <w:lang w:val="en-US"/>
        </w:rPr>
        <w:t>Each country has its own legal, regulatory and economic objectives, and prevalent conditions based on which a customized solution has to be prepared with provisions to improve upon and at the same time maintaining assurance of stability in the fees regime</w:t>
      </w:r>
      <w:r w:rsidRPr="009227FD">
        <w:rPr>
          <w:rFonts w:asciiTheme="majorBidi" w:hAnsiTheme="majorBidi" w:cstheme="majorBidi"/>
          <w:sz w:val="22"/>
          <w:szCs w:val="22"/>
          <w:lang w:val="en-US"/>
        </w:rPr>
        <w:t xml:space="preserve">. </w:t>
      </w:r>
    </w:p>
    <w:p w:rsidR="00E56335" w:rsidRPr="009227FD" w:rsidRDefault="00E56335" w:rsidP="00E56335">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These guidelines propose some of the essential elements that are considered to be essential for any SF Policy:</w:t>
      </w:r>
    </w:p>
    <w:p w:rsidR="00E56335" w:rsidRPr="009227FD" w:rsidRDefault="00E56335" w:rsidP="00E56335">
      <w:pPr>
        <w:pStyle w:val="Heading1"/>
        <w:rPr>
          <w:lang w:val="en-US"/>
        </w:rPr>
      </w:pPr>
      <w:bookmarkStart w:id="93" w:name="_Toc280260014"/>
      <w:bookmarkStart w:id="94" w:name="_Toc280260876"/>
      <w:bookmarkStart w:id="95" w:name="_Toc280272475"/>
      <w:bookmarkStart w:id="96" w:name="_Toc288642972"/>
      <w:r w:rsidRPr="009227FD">
        <w:rPr>
          <w:lang w:val="en-US"/>
        </w:rPr>
        <w:t>1</w:t>
      </w:r>
      <w:r>
        <w:rPr>
          <w:lang w:val="en-US"/>
        </w:rPr>
        <w:tab/>
      </w:r>
      <w:r w:rsidRPr="009227FD">
        <w:rPr>
          <w:lang w:val="en-US"/>
        </w:rPr>
        <w:t>Reference to the Law</w:t>
      </w:r>
      <w:bookmarkEnd w:id="93"/>
      <w:bookmarkEnd w:id="94"/>
      <w:bookmarkEnd w:id="95"/>
      <w:bookmarkEnd w:id="96"/>
    </w:p>
    <w:p w:rsidR="00E56335" w:rsidRPr="009227FD" w:rsidRDefault="00E56335" w:rsidP="00E56335">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It is important to highlight in the beginning of SF Policy the LAW or the legal authority from where the power to charge for the spectrum management activities are derived.</w:t>
      </w:r>
    </w:p>
    <w:p w:rsidR="00E56335" w:rsidRPr="009227FD" w:rsidRDefault="00E56335" w:rsidP="00E56335">
      <w:pPr>
        <w:pStyle w:val="Heading1"/>
        <w:rPr>
          <w:lang w:val="en-US"/>
        </w:rPr>
      </w:pPr>
      <w:bookmarkStart w:id="97" w:name="_Toc280260015"/>
      <w:bookmarkStart w:id="98" w:name="_Toc280260877"/>
      <w:bookmarkStart w:id="99" w:name="_Toc280272476"/>
      <w:bookmarkStart w:id="100" w:name="_Toc288642973"/>
      <w:r w:rsidRPr="009227FD">
        <w:rPr>
          <w:lang w:val="en-US"/>
        </w:rPr>
        <w:t>2</w:t>
      </w:r>
      <w:r>
        <w:rPr>
          <w:lang w:val="en-US"/>
        </w:rPr>
        <w:tab/>
      </w:r>
      <w:r w:rsidRPr="009227FD">
        <w:rPr>
          <w:lang w:val="en-US"/>
        </w:rPr>
        <w:t>Important Definitions</w:t>
      </w:r>
      <w:bookmarkEnd w:id="97"/>
      <w:bookmarkEnd w:id="98"/>
      <w:bookmarkEnd w:id="99"/>
      <w:bookmarkEnd w:id="100"/>
    </w:p>
    <w:p w:rsidR="00E56335" w:rsidRPr="009227FD" w:rsidRDefault="00E56335" w:rsidP="00E56335">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It is important to have such part, not only to shorten the size of the Policy document but more importantly to remove any ambiguity on the meaning of any of the terms used.</w:t>
      </w:r>
    </w:p>
    <w:p w:rsidR="00E56335" w:rsidRPr="009227FD" w:rsidRDefault="00E56335" w:rsidP="00E56335">
      <w:pPr>
        <w:pStyle w:val="Heading1"/>
        <w:rPr>
          <w:lang w:val="en-US"/>
        </w:rPr>
      </w:pPr>
      <w:bookmarkStart w:id="101" w:name="_Toc280260016"/>
      <w:bookmarkStart w:id="102" w:name="_Toc280260878"/>
      <w:bookmarkStart w:id="103" w:name="_Toc280272477"/>
      <w:bookmarkStart w:id="104" w:name="_Toc288642974"/>
      <w:r w:rsidRPr="009227FD">
        <w:rPr>
          <w:lang w:val="en-US"/>
        </w:rPr>
        <w:t>3</w:t>
      </w:r>
      <w:r>
        <w:rPr>
          <w:lang w:val="en-US"/>
        </w:rPr>
        <w:tab/>
      </w:r>
      <w:r w:rsidRPr="009227FD">
        <w:rPr>
          <w:lang w:val="en-US"/>
        </w:rPr>
        <w:t>Type of Fees</w:t>
      </w:r>
      <w:bookmarkEnd w:id="101"/>
      <w:bookmarkEnd w:id="102"/>
      <w:bookmarkEnd w:id="103"/>
      <w:bookmarkEnd w:id="104"/>
    </w:p>
    <w:p w:rsidR="00E56335" w:rsidRPr="009227FD" w:rsidRDefault="00E56335" w:rsidP="00E56335">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It is useful to divide the fees categories of administrative fees for SM activities into components and details of the factors used for charging the spectrum usage fees; such as:</w:t>
      </w:r>
    </w:p>
    <w:p w:rsidR="00E56335" w:rsidRPr="009227FD" w:rsidRDefault="00E56335" w:rsidP="00E56335">
      <w:pPr>
        <w:pStyle w:val="Heading2"/>
      </w:pPr>
      <w:bookmarkStart w:id="105" w:name="_Toc280260017"/>
      <w:bookmarkStart w:id="106" w:name="_Toc280272478"/>
      <w:bookmarkStart w:id="107" w:name="_Toc288642975"/>
      <w:r>
        <w:t>A</w:t>
      </w:r>
      <w:r>
        <w:tab/>
      </w:r>
      <w:r w:rsidRPr="009227FD">
        <w:t>Basic Fees</w:t>
      </w:r>
      <w:bookmarkEnd w:id="105"/>
      <w:bookmarkEnd w:id="106"/>
      <w:bookmarkEnd w:id="107"/>
    </w:p>
    <w:p w:rsidR="00E56335" w:rsidRPr="009227FD" w:rsidRDefault="00E56335" w:rsidP="00B10C36">
      <w:pPr>
        <w:pStyle w:val="enumlev1"/>
        <w:spacing w:before="80"/>
      </w:pPr>
      <w:r>
        <w:t>–</w:t>
      </w:r>
      <w:r>
        <w:tab/>
      </w:r>
      <w:r w:rsidRPr="009227FD">
        <w:t>Application Processing Fees: flat non-refundable fee for processing the application irrespective of the final status.</w:t>
      </w:r>
    </w:p>
    <w:p w:rsidR="00E56335" w:rsidRPr="009227FD" w:rsidRDefault="00E56335" w:rsidP="00B10C36">
      <w:pPr>
        <w:pStyle w:val="enumlev1"/>
        <w:spacing w:before="80"/>
      </w:pPr>
      <w:r>
        <w:t>–</w:t>
      </w:r>
      <w:r>
        <w:tab/>
      </w:r>
      <w:r w:rsidRPr="009227FD">
        <w:t>Spectrum Fees: fees relative to the utilization of the spectrum.</w:t>
      </w:r>
    </w:p>
    <w:p w:rsidR="00E56335" w:rsidRPr="00CC5008" w:rsidRDefault="00E56335" w:rsidP="00E56335">
      <w:pPr>
        <w:pStyle w:val="Heading2"/>
      </w:pPr>
      <w:bookmarkStart w:id="108" w:name="_Toc280260018"/>
      <w:bookmarkStart w:id="109" w:name="_Toc280272479"/>
      <w:bookmarkStart w:id="110" w:name="_Toc288642976"/>
      <w:r w:rsidRPr="00CC5008">
        <w:t>B</w:t>
      </w:r>
      <w:r w:rsidRPr="00CC5008">
        <w:tab/>
        <w:t>Additional Fees</w:t>
      </w:r>
      <w:bookmarkEnd w:id="108"/>
      <w:bookmarkEnd w:id="109"/>
      <w:bookmarkEnd w:id="110"/>
    </w:p>
    <w:p w:rsidR="00E56335" w:rsidRPr="009227FD" w:rsidRDefault="00E56335" w:rsidP="00B10C36">
      <w:pPr>
        <w:pStyle w:val="enumlev1"/>
        <w:spacing w:before="80"/>
      </w:pPr>
      <w:r>
        <w:t>–</w:t>
      </w:r>
      <w:r>
        <w:tab/>
      </w:r>
      <w:r w:rsidRPr="009227FD">
        <w:t>Reproduction, Modifications, Cancellation fees: the definition and applied fees for each should be specified.</w:t>
      </w:r>
    </w:p>
    <w:p w:rsidR="00E56335" w:rsidRPr="009227FD" w:rsidRDefault="00E56335" w:rsidP="00B10C36">
      <w:pPr>
        <w:pStyle w:val="enumlev1"/>
        <w:spacing w:before="80"/>
      </w:pPr>
      <w:r>
        <w:t>–</w:t>
      </w:r>
      <w:r>
        <w:tab/>
      </w:r>
      <w:r w:rsidRPr="009227FD">
        <w:t xml:space="preserve">Other Fees due to special services requested from the Authority, such Interference Complaints processing and monitoring, Site Surveys, etc. </w:t>
      </w:r>
    </w:p>
    <w:p w:rsidR="00E56335" w:rsidRPr="00CC5008" w:rsidRDefault="00E56335" w:rsidP="00E56335">
      <w:pPr>
        <w:pStyle w:val="Heading1"/>
        <w:rPr>
          <w:lang w:val="en-US"/>
        </w:rPr>
      </w:pPr>
      <w:bookmarkStart w:id="111" w:name="_Toc280260019"/>
      <w:bookmarkStart w:id="112" w:name="_Toc280260879"/>
      <w:bookmarkStart w:id="113" w:name="_Toc280272480"/>
      <w:bookmarkStart w:id="114" w:name="_Toc288642977"/>
      <w:r w:rsidRPr="00CC5008">
        <w:rPr>
          <w:lang w:val="en-US"/>
        </w:rPr>
        <w:t>4</w:t>
      </w:r>
      <w:r w:rsidRPr="00CC5008">
        <w:rPr>
          <w:lang w:val="en-US"/>
        </w:rPr>
        <w:tab/>
        <w:t>Method of payment</w:t>
      </w:r>
      <w:bookmarkEnd w:id="111"/>
      <w:bookmarkEnd w:id="112"/>
      <w:bookmarkEnd w:id="113"/>
      <w:bookmarkEnd w:id="114"/>
    </w:p>
    <w:p w:rsidR="00E56335" w:rsidRPr="009227FD" w:rsidRDefault="00E56335" w:rsidP="00E56335">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It should be clear how the Authority would like to receive any of the above fees, for example:</w:t>
      </w:r>
    </w:p>
    <w:p w:rsidR="00E56335" w:rsidRPr="009227FD" w:rsidRDefault="00E56335" w:rsidP="00B10C36">
      <w:pPr>
        <w:pStyle w:val="enumlev1"/>
        <w:spacing w:before="80"/>
      </w:pPr>
      <w:r>
        <w:t>–</w:t>
      </w:r>
      <w:r>
        <w:tab/>
      </w:r>
      <w:r w:rsidRPr="009227FD">
        <w:t>In advance or post payment, etc.</w:t>
      </w:r>
    </w:p>
    <w:p w:rsidR="00E56335" w:rsidRPr="009227FD" w:rsidRDefault="00E56335" w:rsidP="00B10C36">
      <w:pPr>
        <w:pStyle w:val="enumlev1"/>
        <w:spacing w:before="80"/>
        <w:rPr>
          <w:lang w:val="fr-FR"/>
        </w:rPr>
      </w:pPr>
      <w:r>
        <w:rPr>
          <w:lang w:val="fr-FR"/>
        </w:rPr>
        <w:t>–</w:t>
      </w:r>
      <w:r>
        <w:rPr>
          <w:lang w:val="fr-FR"/>
        </w:rPr>
        <w:tab/>
      </w:r>
      <w:r w:rsidRPr="009227FD">
        <w:rPr>
          <w:lang w:val="fr-FR"/>
        </w:rPr>
        <w:t>Cheque, direct bank deposits, etc.</w:t>
      </w:r>
    </w:p>
    <w:p w:rsidR="00E56335" w:rsidRPr="009227FD" w:rsidRDefault="00E56335" w:rsidP="00B10C36">
      <w:pPr>
        <w:pStyle w:val="enumlev1"/>
        <w:spacing w:before="80"/>
      </w:pPr>
      <w:r>
        <w:lastRenderedPageBreak/>
        <w:t>–</w:t>
      </w:r>
      <w:r>
        <w:tab/>
      </w:r>
      <w:r w:rsidRPr="009227FD">
        <w:t>Deadline before which the payment should be received the further actions to be taken if the deadline was not met.</w:t>
      </w:r>
    </w:p>
    <w:p w:rsidR="00E56335" w:rsidRPr="006C412F" w:rsidRDefault="00E56335" w:rsidP="00E56335">
      <w:pPr>
        <w:pStyle w:val="Heading1"/>
        <w:rPr>
          <w:lang w:val="en-US"/>
        </w:rPr>
      </w:pPr>
      <w:bookmarkStart w:id="115" w:name="_Toc280260020"/>
      <w:bookmarkStart w:id="116" w:name="_Toc280260880"/>
      <w:bookmarkStart w:id="117" w:name="_Toc280272481"/>
      <w:bookmarkStart w:id="118" w:name="_Toc288642978"/>
      <w:r w:rsidRPr="006C412F">
        <w:rPr>
          <w:lang w:val="en-US"/>
        </w:rPr>
        <w:t>5</w:t>
      </w:r>
      <w:r w:rsidRPr="006C412F">
        <w:rPr>
          <w:lang w:val="en-US"/>
        </w:rPr>
        <w:tab/>
        <w:t>Fees Exemptions</w:t>
      </w:r>
      <w:bookmarkEnd w:id="115"/>
      <w:bookmarkEnd w:id="116"/>
      <w:bookmarkEnd w:id="117"/>
      <w:bookmarkEnd w:id="118"/>
    </w:p>
    <w:p w:rsidR="00E56335" w:rsidRPr="009227FD" w:rsidRDefault="00E56335" w:rsidP="00E56335">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Exemption of any of the Fees for particular services and/or particular individuals should be indicated clearly in the policy along with any conditions associated with it.</w:t>
      </w:r>
    </w:p>
    <w:p w:rsidR="00E56335" w:rsidRPr="00E76BAC" w:rsidRDefault="00E56335" w:rsidP="00E56335">
      <w:pPr>
        <w:pStyle w:val="Heading1"/>
        <w:rPr>
          <w:lang w:val="en-US"/>
        </w:rPr>
      </w:pPr>
      <w:bookmarkStart w:id="119" w:name="_Toc280260021"/>
      <w:bookmarkStart w:id="120" w:name="_Toc280260881"/>
      <w:bookmarkStart w:id="121" w:name="_Toc280272482"/>
      <w:bookmarkStart w:id="122" w:name="_Toc288642979"/>
      <w:r w:rsidRPr="00E76BAC">
        <w:rPr>
          <w:lang w:val="en-US"/>
        </w:rPr>
        <w:t>6</w:t>
      </w:r>
      <w:r w:rsidRPr="00E76BAC">
        <w:rPr>
          <w:lang w:val="en-US"/>
        </w:rPr>
        <w:tab/>
        <w:t>Spectrum fees calculation</w:t>
      </w:r>
      <w:bookmarkEnd w:id="119"/>
      <w:bookmarkEnd w:id="120"/>
      <w:bookmarkEnd w:id="121"/>
      <w:bookmarkEnd w:id="122"/>
    </w:p>
    <w:p w:rsidR="00E56335" w:rsidRPr="009227FD" w:rsidRDefault="00E56335" w:rsidP="00E56335">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The calculation of such fees should reflect both Administrative Cost for Spectrum Management activities, as well as the Spectrum Market value.</w:t>
      </w:r>
    </w:p>
    <w:p w:rsidR="00E56335" w:rsidRPr="009227FD" w:rsidRDefault="00E56335" w:rsidP="00E56335">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Method of calculating the Spectrum Fees should be given clearly for each service and its relevant frequency band(s), and should be based on a rational.</w:t>
      </w:r>
    </w:p>
    <w:p w:rsidR="00E56335" w:rsidRPr="009227FD" w:rsidRDefault="00E56335" w:rsidP="00E56335">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There are various calculation methods for Spectrum Fees, varying from having a flat rate to applying very complex formulas.</w:t>
      </w:r>
    </w:p>
    <w:p w:rsidR="00E56335" w:rsidRPr="009227FD" w:rsidRDefault="00E56335" w:rsidP="00E56335">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Some of the factors that could be considered in developing such calculations are:</w:t>
      </w:r>
    </w:p>
    <w:p w:rsidR="00E56335" w:rsidRPr="009227FD" w:rsidRDefault="00E56335" w:rsidP="00462254">
      <w:pPr>
        <w:pStyle w:val="enumlev1"/>
        <w:spacing w:before="80"/>
      </w:pPr>
      <w:r>
        <w:t>–</w:t>
      </w:r>
      <w:r>
        <w:tab/>
      </w:r>
      <w:r w:rsidRPr="009227FD">
        <w:t>Frequency band (Spectrum demand and congestion)</w:t>
      </w:r>
    </w:p>
    <w:p w:rsidR="00E56335" w:rsidRPr="009227FD" w:rsidRDefault="00E56335" w:rsidP="00462254">
      <w:pPr>
        <w:pStyle w:val="enumlev1"/>
        <w:spacing w:before="80"/>
      </w:pPr>
      <w:r>
        <w:t>–</w:t>
      </w:r>
      <w:r>
        <w:tab/>
      </w:r>
      <w:r w:rsidRPr="009227FD">
        <w:t>Bandwidth</w:t>
      </w:r>
    </w:p>
    <w:p w:rsidR="00E56335" w:rsidRPr="009227FD" w:rsidRDefault="00E56335" w:rsidP="00462254">
      <w:pPr>
        <w:pStyle w:val="enumlev1"/>
        <w:spacing w:before="80"/>
      </w:pPr>
      <w:r>
        <w:t>–</w:t>
      </w:r>
      <w:r>
        <w:tab/>
      </w:r>
      <w:r w:rsidRPr="009227FD">
        <w:t>Power, Height, and resulted coverage area</w:t>
      </w:r>
    </w:p>
    <w:p w:rsidR="00E56335" w:rsidRPr="009227FD" w:rsidRDefault="00E56335" w:rsidP="00462254">
      <w:pPr>
        <w:pStyle w:val="enumlev1"/>
        <w:spacing w:before="80"/>
      </w:pPr>
      <w:r>
        <w:t>–</w:t>
      </w:r>
      <w:r>
        <w:tab/>
      </w:r>
      <w:r w:rsidRPr="009227FD">
        <w:t>Location (Spectrum demand and congestion)</w:t>
      </w:r>
    </w:p>
    <w:p w:rsidR="00E56335" w:rsidRPr="009227FD" w:rsidRDefault="00E56335" w:rsidP="00E56335">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Bonus factors as well as special temporary discounts could be proposed to encourage the use of some bands or the introduction of particular services.</w:t>
      </w:r>
    </w:p>
    <w:p w:rsidR="00E56335" w:rsidRPr="00692EFE" w:rsidRDefault="00E56335" w:rsidP="00E56335">
      <w:pPr>
        <w:pStyle w:val="Heading1"/>
        <w:rPr>
          <w:lang w:val="en-US"/>
        </w:rPr>
      </w:pPr>
      <w:bookmarkStart w:id="123" w:name="_Toc280260022"/>
      <w:bookmarkStart w:id="124" w:name="_Toc280260882"/>
      <w:bookmarkStart w:id="125" w:name="_Toc280272483"/>
      <w:bookmarkStart w:id="126" w:name="_Toc288642980"/>
      <w:r w:rsidRPr="00692EFE">
        <w:rPr>
          <w:lang w:val="en-US"/>
        </w:rPr>
        <w:t>7</w:t>
      </w:r>
      <w:r w:rsidRPr="00692EFE">
        <w:rPr>
          <w:lang w:val="en-US"/>
        </w:rPr>
        <w:tab/>
        <w:t>Low Power &amp; Short Range Devices</w:t>
      </w:r>
      <w:bookmarkEnd w:id="123"/>
      <w:bookmarkEnd w:id="124"/>
      <w:bookmarkEnd w:id="125"/>
      <w:bookmarkEnd w:id="126"/>
    </w:p>
    <w:p w:rsidR="00E56335" w:rsidRPr="009227FD" w:rsidRDefault="00E56335" w:rsidP="00E56335">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Treatment of short range devices as well as services which are exempted from the above fees should also be clearly mentioned and any associated conditions could be specified.</w:t>
      </w:r>
    </w:p>
    <w:p w:rsidR="00E56335" w:rsidRPr="00692EFE" w:rsidRDefault="00E56335" w:rsidP="00E56335">
      <w:pPr>
        <w:pStyle w:val="Heading1"/>
        <w:rPr>
          <w:lang w:val="en-US"/>
        </w:rPr>
      </w:pPr>
      <w:bookmarkStart w:id="127" w:name="_Toc280260023"/>
      <w:bookmarkStart w:id="128" w:name="_Toc280260883"/>
      <w:bookmarkStart w:id="129" w:name="_Toc280272484"/>
      <w:bookmarkStart w:id="130" w:name="_Toc288642981"/>
      <w:r w:rsidRPr="00692EFE">
        <w:rPr>
          <w:lang w:val="en-US"/>
        </w:rPr>
        <w:t>8</w:t>
      </w:r>
      <w:r w:rsidRPr="00692EFE">
        <w:rPr>
          <w:lang w:val="en-US"/>
        </w:rPr>
        <w:tab/>
        <w:t>Fees due to Cancellation, Reproduction, and Modification of an Authorization</w:t>
      </w:r>
      <w:bookmarkEnd w:id="127"/>
      <w:bookmarkEnd w:id="128"/>
      <w:bookmarkEnd w:id="129"/>
      <w:bookmarkEnd w:id="130"/>
    </w:p>
    <w:p w:rsidR="00E56335" w:rsidRPr="009227FD" w:rsidRDefault="00E56335" w:rsidP="00E56335">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The definition and the associated fees, if any, of each should be clearly indicated.</w:t>
      </w:r>
    </w:p>
    <w:p w:rsidR="00E56335" w:rsidRPr="009227FD" w:rsidRDefault="00E56335" w:rsidP="00E56335">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 xml:space="preserve">Furthermore, it should be clear if a Modification results more Spectrum fees, how the difference to be paid by the user,is calculated. And in case the modification results in less Spectrum fees wither the Telecom Authority has to reimburse the difference back to the user, and if that is the case how it should reimburse the amount. . </w:t>
      </w:r>
    </w:p>
    <w:p w:rsidR="00E56335" w:rsidRPr="00692EFE" w:rsidRDefault="00E56335" w:rsidP="00E56335">
      <w:pPr>
        <w:pStyle w:val="Heading1"/>
        <w:rPr>
          <w:lang w:val="en-US"/>
        </w:rPr>
      </w:pPr>
      <w:bookmarkStart w:id="131" w:name="_Toc280260024"/>
      <w:bookmarkStart w:id="132" w:name="_Toc280260884"/>
      <w:bookmarkStart w:id="133" w:name="_Toc280272485"/>
      <w:bookmarkStart w:id="134" w:name="_Toc288642982"/>
      <w:r w:rsidRPr="00692EFE">
        <w:rPr>
          <w:lang w:val="en-US"/>
        </w:rPr>
        <w:t>9</w:t>
      </w:r>
      <w:r w:rsidRPr="00692EFE">
        <w:rPr>
          <w:lang w:val="en-US"/>
        </w:rPr>
        <w:tab/>
        <w:t>Treatment of Emergency and Disaster frequencies</w:t>
      </w:r>
      <w:bookmarkEnd w:id="131"/>
      <w:bookmarkEnd w:id="132"/>
      <w:bookmarkEnd w:id="133"/>
      <w:bookmarkEnd w:id="134"/>
    </w:p>
    <w:p w:rsidR="00E56335" w:rsidRPr="009227FD" w:rsidRDefault="00E56335" w:rsidP="00E56335">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It is maybe helpful to mention that all such authorized frequencies and equipments are exempted of any fees, or otherwise as the Authority wishes to treat such frequency usage.</w:t>
      </w:r>
    </w:p>
    <w:p w:rsidR="00E56335" w:rsidRPr="00692EFE" w:rsidRDefault="00E56335" w:rsidP="00E56335">
      <w:pPr>
        <w:pStyle w:val="Heading1"/>
        <w:rPr>
          <w:lang w:val="en-US"/>
        </w:rPr>
      </w:pPr>
      <w:bookmarkStart w:id="135" w:name="_Toc280260025"/>
      <w:bookmarkStart w:id="136" w:name="_Toc280260885"/>
      <w:bookmarkStart w:id="137" w:name="_Toc280272486"/>
      <w:bookmarkStart w:id="138" w:name="_Toc288642983"/>
      <w:r w:rsidRPr="00692EFE">
        <w:rPr>
          <w:lang w:val="en-US"/>
        </w:rPr>
        <w:t>10</w:t>
      </w:r>
      <w:r w:rsidRPr="00692EFE">
        <w:rPr>
          <w:lang w:val="en-US"/>
        </w:rPr>
        <w:tab/>
        <w:t>Temporary Authorizations</w:t>
      </w:r>
      <w:bookmarkEnd w:id="135"/>
      <w:bookmarkEnd w:id="136"/>
      <w:bookmarkEnd w:id="137"/>
      <w:bookmarkEnd w:id="138"/>
    </w:p>
    <w:p w:rsidR="00E56335" w:rsidRPr="009227FD" w:rsidRDefault="00E56335" w:rsidP="00E56335">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 xml:space="preserve">Calculation of fees to be applied for such cases should be clearly specified. </w:t>
      </w:r>
    </w:p>
    <w:p w:rsidR="00E56335" w:rsidRPr="009227FD" w:rsidRDefault="00E56335" w:rsidP="00E56335">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Minimum Fees, Minimum Time Unit used to calculate such Authorizations and other major associated conditions, maybe useful to indicate.</w:t>
      </w:r>
    </w:p>
    <w:p w:rsidR="00E56335" w:rsidRPr="00692EFE" w:rsidRDefault="00E56335" w:rsidP="00E56335">
      <w:pPr>
        <w:pStyle w:val="Heading1"/>
        <w:rPr>
          <w:lang w:val="en-US"/>
        </w:rPr>
      </w:pPr>
      <w:bookmarkStart w:id="139" w:name="_Toc280260026"/>
      <w:bookmarkStart w:id="140" w:name="_Toc280260886"/>
      <w:bookmarkStart w:id="141" w:name="_Toc280272487"/>
      <w:bookmarkStart w:id="142" w:name="_Toc288642984"/>
      <w:r w:rsidRPr="00692EFE">
        <w:rPr>
          <w:lang w:val="en-US"/>
        </w:rPr>
        <w:lastRenderedPageBreak/>
        <w:t>11</w:t>
      </w:r>
      <w:r w:rsidRPr="00692EFE">
        <w:rPr>
          <w:lang w:val="en-US"/>
        </w:rPr>
        <w:tab/>
        <w:t>Catering for any other Radio Services that are not mentioned</w:t>
      </w:r>
      <w:bookmarkEnd w:id="139"/>
      <w:bookmarkEnd w:id="140"/>
      <w:bookmarkEnd w:id="141"/>
      <w:bookmarkEnd w:id="142"/>
    </w:p>
    <w:p w:rsidR="00E56335" w:rsidRPr="009227FD" w:rsidRDefault="00E56335" w:rsidP="00E56335">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The Policy could include an Article that gives the Authority the total right to decide and apply the appropriate fees for any other Radio/wireless Services that are not mentioned in the policy.</w:t>
      </w:r>
    </w:p>
    <w:p w:rsidR="00E56335" w:rsidRPr="00692EFE" w:rsidRDefault="00E56335" w:rsidP="00E56335">
      <w:pPr>
        <w:pStyle w:val="Heading1"/>
        <w:rPr>
          <w:lang w:val="en-US"/>
        </w:rPr>
      </w:pPr>
      <w:bookmarkStart w:id="143" w:name="_Toc280260027"/>
      <w:bookmarkStart w:id="144" w:name="_Toc280260887"/>
      <w:bookmarkStart w:id="145" w:name="_Toc280272488"/>
      <w:bookmarkStart w:id="146" w:name="_Toc288642985"/>
      <w:r w:rsidRPr="00692EFE">
        <w:rPr>
          <w:lang w:val="en-US"/>
        </w:rPr>
        <w:t>12</w:t>
      </w:r>
      <w:r w:rsidRPr="00692EFE">
        <w:rPr>
          <w:lang w:val="en-US"/>
        </w:rPr>
        <w:tab/>
        <w:t>Other Fees</w:t>
      </w:r>
      <w:bookmarkEnd w:id="143"/>
      <w:bookmarkEnd w:id="144"/>
      <w:bookmarkEnd w:id="145"/>
      <w:bookmarkEnd w:id="146"/>
    </w:p>
    <w:p w:rsidR="00E56335" w:rsidRPr="009227FD" w:rsidRDefault="00E56335" w:rsidP="00E56335">
      <w:pPr>
        <w:pStyle w:val="CEONormal"/>
        <w:jc w:val="both"/>
        <w:rPr>
          <w:rFonts w:asciiTheme="majorBidi" w:hAnsiTheme="majorBidi" w:cstheme="majorBidi"/>
          <w:sz w:val="22"/>
          <w:szCs w:val="22"/>
          <w:lang w:val="en-US"/>
        </w:rPr>
      </w:pPr>
      <w:r w:rsidRPr="009227FD">
        <w:rPr>
          <w:rFonts w:asciiTheme="majorBidi" w:hAnsiTheme="majorBidi" w:cstheme="majorBidi"/>
          <w:sz w:val="22"/>
          <w:szCs w:val="22"/>
          <w:lang w:val="en-US"/>
        </w:rPr>
        <w:t>Applying of Fees due to special services requested from the Authority, such as Interference Complaints Processing and Monitoring, and making Site Surveys could be mentioned as well.</w:t>
      </w:r>
    </w:p>
    <w:p w:rsidR="00E56335" w:rsidRDefault="00E56335" w:rsidP="00E56335">
      <w:pPr>
        <w:tabs>
          <w:tab w:val="clear" w:pos="794"/>
          <w:tab w:val="clear" w:pos="1191"/>
          <w:tab w:val="clear" w:pos="1588"/>
          <w:tab w:val="clear" w:pos="1985"/>
        </w:tabs>
        <w:overflowPunct/>
        <w:autoSpaceDE/>
        <w:autoSpaceDN/>
        <w:adjustRightInd/>
        <w:spacing w:before="0"/>
        <w:jc w:val="left"/>
        <w:textAlignment w:val="auto"/>
        <w:rPr>
          <w:b/>
          <w:szCs w:val="19"/>
        </w:rPr>
      </w:pPr>
      <w:r>
        <w:rPr>
          <w:b/>
          <w:szCs w:val="19"/>
        </w:rPr>
        <w:br w:type="page"/>
      </w:r>
    </w:p>
    <w:p w:rsidR="00E56335" w:rsidRPr="007D7851" w:rsidRDefault="00E56335" w:rsidP="00E56335">
      <w:pPr>
        <w:pStyle w:val="AppendixNotitle"/>
      </w:pPr>
      <w:bookmarkStart w:id="147" w:name="_Toc280260028"/>
      <w:bookmarkStart w:id="148" w:name="_Toc280260888"/>
      <w:bookmarkStart w:id="149" w:name="_Toc280272489"/>
      <w:bookmarkStart w:id="150" w:name="_Toc288642986"/>
      <w:r w:rsidRPr="00A81A9F">
        <w:lastRenderedPageBreak/>
        <w:t>Appendice 1.1 (Français)</w:t>
      </w:r>
      <w:r>
        <w:br/>
      </w:r>
      <w:r>
        <w:br/>
      </w:r>
      <w:r w:rsidRPr="007D7851">
        <w:t>Emirats Arabes Unis:</w:t>
      </w:r>
      <w:r>
        <w:t xml:space="preserve"> </w:t>
      </w:r>
      <w:r w:rsidRPr="007D7851">
        <w:t>Eléments fondamentaux de la politique en matière</w:t>
      </w:r>
      <w:r>
        <w:br/>
      </w:r>
      <w:r w:rsidRPr="007D7851">
        <w:t>de redevances d'utilisation du spectre</w:t>
      </w:r>
      <w:bookmarkEnd w:id="147"/>
      <w:bookmarkEnd w:id="148"/>
      <w:bookmarkEnd w:id="149"/>
      <w:bookmarkEnd w:id="150"/>
    </w:p>
    <w:p w:rsidR="00E56335" w:rsidRPr="008E172E" w:rsidRDefault="00E56335" w:rsidP="00E56335">
      <w:pPr>
        <w:pStyle w:val="Heading1"/>
        <w:rPr>
          <w:lang w:val="fr-CH"/>
        </w:rPr>
      </w:pPr>
      <w:bookmarkStart w:id="151" w:name="_Toc280260029"/>
      <w:bookmarkStart w:id="152" w:name="_Toc280260889"/>
      <w:bookmarkStart w:id="153" w:name="_Toc280272490"/>
      <w:bookmarkStart w:id="154" w:name="_Toc288642987"/>
      <w:r w:rsidRPr="008E172E">
        <w:rPr>
          <w:lang w:val="fr-CH"/>
        </w:rPr>
        <w:t>Introduction:</w:t>
      </w:r>
      <w:bookmarkEnd w:id="151"/>
      <w:bookmarkEnd w:id="152"/>
      <w:bookmarkEnd w:id="153"/>
      <w:bookmarkEnd w:id="154"/>
    </w:p>
    <w:p w:rsidR="00E56335" w:rsidRPr="007D7851" w:rsidRDefault="00E56335" w:rsidP="00E56335">
      <w:r w:rsidRPr="007D7851">
        <w:t>Le présent document et son Annexe, qui figurent dans le Document JGRES09/030, sont soumis en vue d'aider à élaborer les lignes directrices applicables au Système de redevances d'utilisation du spectre des fréquences radioélectriques, l'objectif étant d'établir des lignes directrices concrètes et complètes et de donner un exemple de politique en matière de redevances d'utilisation du spectre permettant d'aider certains pays, en particulier les pays en développement et les pays les moins avancés, à rédiger de nouvelles politiques de ce type ou réviser ces politiques.</w:t>
      </w:r>
    </w:p>
    <w:p w:rsidR="00E56335" w:rsidRPr="008E172E" w:rsidRDefault="00E56335" w:rsidP="00E56335">
      <w:pPr>
        <w:pStyle w:val="Heading1"/>
        <w:rPr>
          <w:lang w:val="fr-CH"/>
        </w:rPr>
      </w:pPr>
      <w:bookmarkStart w:id="155" w:name="_Toc280260030"/>
      <w:bookmarkStart w:id="156" w:name="_Toc280260890"/>
      <w:bookmarkStart w:id="157" w:name="_Toc280272491"/>
      <w:bookmarkStart w:id="158" w:name="_Toc288642988"/>
      <w:r w:rsidRPr="008E172E">
        <w:rPr>
          <w:lang w:val="fr-CH"/>
        </w:rPr>
        <w:t>Eléments fondamentaux de la politique en matière de redevances d'utilisation du spectre:</w:t>
      </w:r>
      <w:bookmarkEnd w:id="155"/>
      <w:bookmarkEnd w:id="156"/>
      <w:bookmarkEnd w:id="157"/>
      <w:bookmarkEnd w:id="158"/>
    </w:p>
    <w:p w:rsidR="00E56335" w:rsidRPr="007D7851" w:rsidRDefault="00E56335" w:rsidP="00E56335">
      <w:r w:rsidRPr="007D7851">
        <w:t xml:space="preserve">Il est très important de préciser dès le départ qu'il n'existe pas de solution unique concernant les aspects économiques de la gestion du spectre. </w:t>
      </w:r>
      <w:r w:rsidRPr="007D7851">
        <w:rPr>
          <w:u w:val="single"/>
        </w:rPr>
        <w:t>Chaque pays a ses propres objectifs juridiques, réglementaires et économiques et des conditions spécifiques dont il faut tenir compte pour élaborer une solution adaptée contenant des dispositions pouvant être améliorées tout en assurant la stabilité du système de redevances</w:t>
      </w:r>
      <w:r w:rsidRPr="007D7851">
        <w:t xml:space="preserve">. </w:t>
      </w:r>
    </w:p>
    <w:p w:rsidR="00E56335" w:rsidRPr="007D7851" w:rsidRDefault="00E56335" w:rsidP="00E56335">
      <w:r w:rsidRPr="007D7851">
        <w:t>Ces lignes directrices proposent certains éléments fondamentaux considérés comme étant indispensables pour l'établissement d'une politique en matière de redevances d'utilisation du spectre:</w:t>
      </w:r>
    </w:p>
    <w:p w:rsidR="00E56335" w:rsidRPr="007D7851" w:rsidRDefault="00E56335" w:rsidP="00E56335">
      <w:pPr>
        <w:pStyle w:val="Heading1"/>
      </w:pPr>
      <w:bookmarkStart w:id="159" w:name="_Toc280260031"/>
      <w:bookmarkStart w:id="160" w:name="_Toc280260891"/>
      <w:bookmarkStart w:id="161" w:name="_Toc280272492"/>
      <w:bookmarkStart w:id="162" w:name="_Toc288642989"/>
      <w:r w:rsidRPr="007D7851">
        <w:t>1</w:t>
      </w:r>
      <w:r w:rsidRPr="007D7851">
        <w:tab/>
        <w:t>Référence à la législation</w:t>
      </w:r>
      <w:bookmarkEnd w:id="159"/>
      <w:bookmarkEnd w:id="160"/>
      <w:bookmarkEnd w:id="161"/>
      <w:bookmarkEnd w:id="162"/>
    </w:p>
    <w:p w:rsidR="00E56335" w:rsidRPr="007D7851" w:rsidRDefault="00E56335" w:rsidP="00E56335">
      <w:r w:rsidRPr="007D7851">
        <w:t>Dans ce type de politique, il est important de commencer par indiquer la législation qui fixe les droits à percevoir pour la gestion du spectre ou l'autorité juridique qui est habilitée à les fixer.</w:t>
      </w:r>
    </w:p>
    <w:p w:rsidR="00E56335" w:rsidRPr="007D7851" w:rsidRDefault="00E56335" w:rsidP="00E56335">
      <w:pPr>
        <w:pStyle w:val="Heading1"/>
      </w:pPr>
      <w:bookmarkStart w:id="163" w:name="_Toc280260032"/>
      <w:bookmarkStart w:id="164" w:name="_Toc280260892"/>
      <w:bookmarkStart w:id="165" w:name="_Toc280272493"/>
      <w:bookmarkStart w:id="166" w:name="_Toc288642990"/>
      <w:r w:rsidRPr="007D7851">
        <w:t>2</w:t>
      </w:r>
      <w:r w:rsidRPr="007D7851">
        <w:tab/>
        <w:t>Définitions importantes</w:t>
      </w:r>
      <w:bookmarkEnd w:id="163"/>
      <w:bookmarkEnd w:id="164"/>
      <w:bookmarkEnd w:id="165"/>
      <w:bookmarkEnd w:id="166"/>
    </w:p>
    <w:p w:rsidR="00E56335" w:rsidRPr="007D7851" w:rsidRDefault="00E56335" w:rsidP="00E56335">
      <w:r w:rsidRPr="007D7851">
        <w:t>Cette partie permet, non seulement de réduire le volume du document relatif à la politique en question, mais, ce qui est plus important encore, de supprimer toute ambigüité quant à la signification des termes utilisés.</w:t>
      </w:r>
    </w:p>
    <w:p w:rsidR="00E56335" w:rsidRPr="007D7851" w:rsidRDefault="00E56335" w:rsidP="00E56335">
      <w:pPr>
        <w:pStyle w:val="Heading1"/>
      </w:pPr>
      <w:bookmarkStart w:id="167" w:name="_Toc280260033"/>
      <w:bookmarkStart w:id="168" w:name="_Toc280260893"/>
      <w:bookmarkStart w:id="169" w:name="_Toc280272494"/>
      <w:bookmarkStart w:id="170" w:name="_Toc288642991"/>
      <w:r w:rsidRPr="007D7851">
        <w:t>3</w:t>
      </w:r>
      <w:r w:rsidRPr="007D7851">
        <w:tab/>
        <w:t>Type de redevances</w:t>
      </w:r>
      <w:bookmarkEnd w:id="167"/>
      <w:bookmarkEnd w:id="168"/>
      <w:bookmarkEnd w:id="169"/>
      <w:bookmarkEnd w:id="170"/>
    </w:p>
    <w:p w:rsidR="00E56335" w:rsidRPr="007D7851" w:rsidRDefault="00E56335" w:rsidP="00E56335">
      <w:r w:rsidRPr="007D7851">
        <w:t>Il est utile de diviser les catégories de redevances administratives pour la gestion du spectre en composantes et en éléments détaillés utilisés pour percevoir les redevances d'utilisation du spectre, à savoir:</w:t>
      </w:r>
    </w:p>
    <w:p w:rsidR="00E56335" w:rsidRPr="008E172E" w:rsidRDefault="00E56335" w:rsidP="00E56335">
      <w:pPr>
        <w:pStyle w:val="Heading2"/>
      </w:pPr>
      <w:bookmarkStart w:id="171" w:name="_Toc280260034"/>
      <w:bookmarkStart w:id="172" w:name="_Toc280272495"/>
      <w:bookmarkStart w:id="173" w:name="_Toc288642992"/>
      <w:r w:rsidRPr="008E172E">
        <w:t>A</w:t>
      </w:r>
      <w:r>
        <w:tab/>
      </w:r>
      <w:r w:rsidRPr="008E172E">
        <w:t>Redevances de base</w:t>
      </w:r>
      <w:bookmarkEnd w:id="171"/>
      <w:bookmarkEnd w:id="172"/>
      <w:bookmarkEnd w:id="173"/>
    </w:p>
    <w:p w:rsidR="00E56335" w:rsidRPr="008E172E" w:rsidRDefault="00E56335" w:rsidP="00462254">
      <w:pPr>
        <w:pStyle w:val="enumlev1"/>
        <w:spacing w:before="80"/>
        <w:rPr>
          <w:lang w:val="fr-CH"/>
        </w:rPr>
      </w:pPr>
      <w:r>
        <w:rPr>
          <w:lang w:val="fr-CH"/>
        </w:rPr>
        <w:t>–</w:t>
      </w:r>
      <w:r>
        <w:rPr>
          <w:lang w:val="fr-CH"/>
        </w:rPr>
        <w:tab/>
      </w:r>
      <w:r w:rsidRPr="008E172E">
        <w:rPr>
          <w:lang w:val="fr-CH"/>
        </w:rPr>
        <w:t>Redevances pour le traitement des demandes: redevances forfaitaires non remboursables pour le traitement des demandes quel que soit le statut final.</w:t>
      </w:r>
    </w:p>
    <w:p w:rsidR="00E56335" w:rsidRPr="008E172E" w:rsidRDefault="00E56335" w:rsidP="00462254">
      <w:pPr>
        <w:pStyle w:val="enumlev1"/>
        <w:spacing w:before="80"/>
        <w:rPr>
          <w:lang w:val="fr-CH"/>
        </w:rPr>
      </w:pPr>
      <w:r>
        <w:rPr>
          <w:lang w:val="fr-CH"/>
        </w:rPr>
        <w:t>–</w:t>
      </w:r>
      <w:r>
        <w:rPr>
          <w:lang w:val="fr-CH"/>
        </w:rPr>
        <w:tab/>
      </w:r>
      <w:r w:rsidRPr="008E172E">
        <w:rPr>
          <w:lang w:val="fr-CH"/>
        </w:rPr>
        <w:t>Redevances d'utilisation du spectre: redevances liées à l'utilisation du spectre.</w:t>
      </w:r>
    </w:p>
    <w:p w:rsidR="00E56335" w:rsidRPr="008E172E" w:rsidRDefault="00E56335" w:rsidP="00E56335">
      <w:pPr>
        <w:pStyle w:val="Heading2"/>
      </w:pPr>
      <w:bookmarkStart w:id="174" w:name="_Toc280260035"/>
      <w:bookmarkStart w:id="175" w:name="_Toc280272496"/>
      <w:bookmarkStart w:id="176" w:name="_Toc288642993"/>
      <w:r w:rsidRPr="008E172E">
        <w:t>B</w:t>
      </w:r>
      <w:r>
        <w:tab/>
      </w:r>
      <w:r w:rsidRPr="008E172E">
        <w:t>Redevances additionnelles</w:t>
      </w:r>
      <w:bookmarkEnd w:id="174"/>
      <w:bookmarkEnd w:id="175"/>
      <w:bookmarkEnd w:id="176"/>
    </w:p>
    <w:p w:rsidR="00E56335" w:rsidRPr="008E172E" w:rsidRDefault="00E56335" w:rsidP="00462254">
      <w:pPr>
        <w:pStyle w:val="enumlev1"/>
        <w:spacing w:before="80"/>
        <w:rPr>
          <w:lang w:val="fr-CH"/>
        </w:rPr>
      </w:pPr>
      <w:r>
        <w:rPr>
          <w:lang w:val="fr-CH"/>
        </w:rPr>
        <w:t>–</w:t>
      </w:r>
      <w:r>
        <w:rPr>
          <w:lang w:val="fr-CH"/>
        </w:rPr>
        <w:tab/>
      </w:r>
      <w:r w:rsidRPr="008E172E">
        <w:rPr>
          <w:lang w:val="fr-CH"/>
        </w:rPr>
        <w:t>Redevances afférentes à la reproduction, la modification et l'annulation: il convient de définir et de spécifier les redevances appliquées dans chaque cas.</w:t>
      </w:r>
    </w:p>
    <w:p w:rsidR="00E56335" w:rsidRPr="008E172E" w:rsidRDefault="00E56335" w:rsidP="00462254">
      <w:pPr>
        <w:pStyle w:val="enumlev1"/>
        <w:spacing w:before="80"/>
        <w:rPr>
          <w:lang w:val="fr-CH"/>
        </w:rPr>
      </w:pPr>
      <w:r>
        <w:rPr>
          <w:lang w:val="fr-CH"/>
        </w:rPr>
        <w:t>–</w:t>
      </w:r>
      <w:r>
        <w:rPr>
          <w:lang w:val="fr-CH"/>
        </w:rPr>
        <w:tab/>
      </w:r>
      <w:r w:rsidRPr="008E172E">
        <w:rPr>
          <w:lang w:val="fr-CH"/>
        </w:rPr>
        <w:t xml:space="preserve">Autres redevances pour les services spéciaux demandés par l'Autorité, comme le traitement et le suivi des plaintes concernant les brouillages, les études de site, etc. </w:t>
      </w:r>
    </w:p>
    <w:p w:rsidR="00E56335" w:rsidRPr="007D7851" w:rsidRDefault="00E56335" w:rsidP="00E56335">
      <w:pPr>
        <w:pStyle w:val="Heading1"/>
      </w:pPr>
      <w:bookmarkStart w:id="177" w:name="_Toc280260036"/>
      <w:bookmarkStart w:id="178" w:name="_Toc280260894"/>
      <w:bookmarkStart w:id="179" w:name="_Toc280272497"/>
      <w:bookmarkStart w:id="180" w:name="_Toc288642994"/>
      <w:r w:rsidRPr="007D7851">
        <w:t>4</w:t>
      </w:r>
      <w:r w:rsidRPr="007D7851">
        <w:tab/>
        <w:t>Mode de paiement</w:t>
      </w:r>
      <w:bookmarkEnd w:id="177"/>
      <w:bookmarkEnd w:id="178"/>
      <w:bookmarkEnd w:id="179"/>
      <w:bookmarkEnd w:id="180"/>
    </w:p>
    <w:p w:rsidR="00E56335" w:rsidRPr="007D7851" w:rsidRDefault="00E56335" w:rsidP="00E56335">
      <w:r w:rsidRPr="007D7851">
        <w:t>Il faut préciser le mode de paiement choisi par l'Autorité pour la perception des redevances susmentionnées, par exemple:</w:t>
      </w:r>
    </w:p>
    <w:p w:rsidR="00E56335" w:rsidRPr="008E172E" w:rsidRDefault="00E56335" w:rsidP="00462254">
      <w:pPr>
        <w:pStyle w:val="enumlev1"/>
        <w:spacing w:before="80"/>
        <w:rPr>
          <w:lang w:val="fr-CH"/>
        </w:rPr>
      </w:pPr>
      <w:r>
        <w:rPr>
          <w:lang w:val="fr-CH"/>
        </w:rPr>
        <w:lastRenderedPageBreak/>
        <w:t>–</w:t>
      </w:r>
      <w:r>
        <w:rPr>
          <w:lang w:val="fr-CH"/>
        </w:rPr>
        <w:tab/>
      </w:r>
      <w:r w:rsidRPr="008E172E">
        <w:rPr>
          <w:lang w:val="fr-CH"/>
        </w:rPr>
        <w:t>paiement à l'avance ou postpaiement, etc.</w:t>
      </w:r>
    </w:p>
    <w:p w:rsidR="00E56335" w:rsidRPr="008E172E" w:rsidRDefault="00E56335" w:rsidP="00462254">
      <w:pPr>
        <w:pStyle w:val="enumlev1"/>
        <w:spacing w:before="80"/>
        <w:rPr>
          <w:lang w:val="fr-CH"/>
        </w:rPr>
      </w:pPr>
      <w:r>
        <w:rPr>
          <w:lang w:val="fr-CH"/>
        </w:rPr>
        <w:t>–</w:t>
      </w:r>
      <w:r>
        <w:rPr>
          <w:lang w:val="fr-CH"/>
        </w:rPr>
        <w:tab/>
      </w:r>
      <w:r w:rsidRPr="008E172E">
        <w:rPr>
          <w:lang w:val="fr-CH"/>
        </w:rPr>
        <w:t>chèque, dépôts bancaires directs, etc.</w:t>
      </w:r>
    </w:p>
    <w:p w:rsidR="00E56335" w:rsidRPr="008E172E" w:rsidRDefault="00E56335" w:rsidP="00462254">
      <w:pPr>
        <w:pStyle w:val="enumlev1"/>
        <w:spacing w:before="80"/>
        <w:rPr>
          <w:lang w:val="fr-CH"/>
        </w:rPr>
      </w:pPr>
      <w:r>
        <w:rPr>
          <w:lang w:val="fr-CH"/>
        </w:rPr>
        <w:t>–</w:t>
      </w:r>
      <w:r>
        <w:rPr>
          <w:lang w:val="fr-CH"/>
        </w:rPr>
        <w:tab/>
      </w:r>
      <w:r w:rsidRPr="008E172E">
        <w:rPr>
          <w:lang w:val="fr-CH"/>
        </w:rPr>
        <w:t>date limite avant laquelle le paiement doit être effectué, mesures à prendre si le délai n'est pas respecté.</w:t>
      </w:r>
    </w:p>
    <w:p w:rsidR="00E56335" w:rsidRPr="007D7851" w:rsidRDefault="00E56335" w:rsidP="00E56335">
      <w:pPr>
        <w:pStyle w:val="Heading1"/>
      </w:pPr>
      <w:bookmarkStart w:id="181" w:name="_Toc280260037"/>
      <w:bookmarkStart w:id="182" w:name="_Toc280260895"/>
      <w:bookmarkStart w:id="183" w:name="_Toc280272498"/>
      <w:bookmarkStart w:id="184" w:name="_Toc288642995"/>
      <w:r w:rsidRPr="007D7851">
        <w:t>5</w:t>
      </w:r>
      <w:r w:rsidRPr="007D7851">
        <w:tab/>
        <w:t>Exemption de redevances</w:t>
      </w:r>
      <w:bookmarkEnd w:id="181"/>
      <w:bookmarkEnd w:id="182"/>
      <w:bookmarkEnd w:id="183"/>
      <w:bookmarkEnd w:id="184"/>
    </w:p>
    <w:p w:rsidR="00E56335" w:rsidRPr="007D7851" w:rsidRDefault="00E56335" w:rsidP="00E56335">
      <w:r w:rsidRPr="007D7851">
        <w:t>L'exemption de tout type de redevances pour des services spécifiques et/ou des personnes données doit être clairement indiquée dans la politique ainsi que les conditions qui y sont associées.</w:t>
      </w:r>
    </w:p>
    <w:p w:rsidR="00E56335" w:rsidRPr="007D7851" w:rsidRDefault="00E56335" w:rsidP="00E56335">
      <w:pPr>
        <w:pStyle w:val="Heading1"/>
      </w:pPr>
      <w:bookmarkStart w:id="185" w:name="_Toc280260038"/>
      <w:bookmarkStart w:id="186" w:name="_Toc280260896"/>
      <w:bookmarkStart w:id="187" w:name="_Toc280272499"/>
      <w:bookmarkStart w:id="188" w:name="_Toc288642996"/>
      <w:r>
        <w:t>6</w:t>
      </w:r>
      <w:r w:rsidRPr="007D7851">
        <w:tab/>
        <w:t>Calcul des redevances d'utilisation du spectre</w:t>
      </w:r>
      <w:bookmarkEnd w:id="185"/>
      <w:bookmarkEnd w:id="186"/>
      <w:bookmarkEnd w:id="187"/>
      <w:bookmarkEnd w:id="188"/>
    </w:p>
    <w:p w:rsidR="00E56335" w:rsidRPr="008E172E" w:rsidRDefault="00E56335" w:rsidP="00E56335">
      <w:pPr>
        <w:rPr>
          <w:lang w:val="fr-CH"/>
        </w:rPr>
      </w:pPr>
      <w:r w:rsidRPr="008E172E">
        <w:rPr>
          <w:lang w:val="fr-CH"/>
        </w:rPr>
        <w:t>Pour calculer ces redevances, il faut tenir compte à la fois des frais administratifs de gestion du spectre et de la valeur du marché du spectre.</w:t>
      </w:r>
    </w:p>
    <w:p w:rsidR="00E56335" w:rsidRPr="008E172E" w:rsidRDefault="00E56335" w:rsidP="00E56335">
      <w:pPr>
        <w:rPr>
          <w:lang w:val="fr-CH"/>
        </w:rPr>
      </w:pPr>
      <w:r w:rsidRPr="008E172E">
        <w:rPr>
          <w:lang w:val="fr-CH"/>
        </w:rPr>
        <w:t>La méthode de calcul de ces redevances doit être clairement définie pour chaque service et sa (ses) bande(s) de fréquences pertinente(s) et doit être fondée sur une logique.</w:t>
      </w:r>
    </w:p>
    <w:p w:rsidR="00E56335" w:rsidRPr="008E172E" w:rsidRDefault="00E56335" w:rsidP="00E56335">
      <w:pPr>
        <w:rPr>
          <w:lang w:val="fr-CH"/>
        </w:rPr>
      </w:pPr>
      <w:r w:rsidRPr="008E172E">
        <w:rPr>
          <w:lang w:val="fr-CH"/>
        </w:rPr>
        <w:t>Il existe différentes méthodes de calcul allant du forfait à des formules très complexes.</w:t>
      </w:r>
    </w:p>
    <w:p w:rsidR="00E56335" w:rsidRPr="008E172E" w:rsidRDefault="00E56335" w:rsidP="00E56335">
      <w:pPr>
        <w:rPr>
          <w:lang w:val="fr-CH"/>
        </w:rPr>
      </w:pPr>
      <w:r w:rsidRPr="008E172E">
        <w:rPr>
          <w:lang w:val="fr-CH"/>
        </w:rPr>
        <w:t>Pour ces calculs, on pourrait tenir compte entre autres des facteurs suivants:</w:t>
      </w:r>
    </w:p>
    <w:p w:rsidR="00E56335" w:rsidRPr="008E172E" w:rsidRDefault="00E56335" w:rsidP="00462254">
      <w:pPr>
        <w:pStyle w:val="enumlev1"/>
        <w:spacing w:before="80"/>
        <w:rPr>
          <w:lang w:val="fr-CH"/>
        </w:rPr>
      </w:pPr>
      <w:r>
        <w:rPr>
          <w:lang w:val="fr-CH"/>
        </w:rPr>
        <w:t>–</w:t>
      </w:r>
      <w:r>
        <w:rPr>
          <w:lang w:val="fr-CH"/>
        </w:rPr>
        <w:tab/>
      </w:r>
      <w:r w:rsidRPr="008E172E">
        <w:rPr>
          <w:lang w:val="fr-CH"/>
        </w:rPr>
        <w:t>Bande de fréquences (demande de fréquences et encombrement du spectre).</w:t>
      </w:r>
    </w:p>
    <w:p w:rsidR="00E56335" w:rsidRPr="008E172E" w:rsidRDefault="00E56335" w:rsidP="00462254">
      <w:pPr>
        <w:pStyle w:val="enumlev1"/>
        <w:spacing w:before="80"/>
        <w:rPr>
          <w:lang w:val="fr-CH"/>
        </w:rPr>
      </w:pPr>
      <w:r>
        <w:rPr>
          <w:lang w:val="fr-CH"/>
        </w:rPr>
        <w:t>–</w:t>
      </w:r>
      <w:r>
        <w:rPr>
          <w:lang w:val="fr-CH"/>
        </w:rPr>
        <w:tab/>
      </w:r>
      <w:r w:rsidRPr="008E172E">
        <w:rPr>
          <w:lang w:val="fr-CH"/>
        </w:rPr>
        <w:t>Largeur de bande.</w:t>
      </w:r>
    </w:p>
    <w:p w:rsidR="00E56335" w:rsidRPr="008E172E" w:rsidRDefault="00E56335" w:rsidP="00462254">
      <w:pPr>
        <w:pStyle w:val="enumlev1"/>
        <w:spacing w:before="80"/>
        <w:rPr>
          <w:lang w:val="fr-CH"/>
        </w:rPr>
      </w:pPr>
      <w:r>
        <w:rPr>
          <w:lang w:val="fr-CH"/>
        </w:rPr>
        <w:t>–</w:t>
      </w:r>
      <w:r>
        <w:rPr>
          <w:lang w:val="fr-CH"/>
        </w:rPr>
        <w:tab/>
      </w:r>
      <w:r w:rsidRPr="008E172E">
        <w:rPr>
          <w:lang w:val="fr-CH"/>
        </w:rPr>
        <w:t>Puissance, hauteur et zone de couverture.</w:t>
      </w:r>
    </w:p>
    <w:p w:rsidR="00E56335" w:rsidRPr="008E172E" w:rsidRDefault="00E56335" w:rsidP="00462254">
      <w:pPr>
        <w:pStyle w:val="enumlev1"/>
        <w:spacing w:before="80"/>
        <w:rPr>
          <w:lang w:val="fr-CH"/>
        </w:rPr>
      </w:pPr>
      <w:r>
        <w:rPr>
          <w:lang w:val="fr-CH"/>
        </w:rPr>
        <w:t>–</w:t>
      </w:r>
      <w:r>
        <w:rPr>
          <w:lang w:val="fr-CH"/>
        </w:rPr>
        <w:tab/>
      </w:r>
      <w:r w:rsidRPr="008E172E">
        <w:rPr>
          <w:lang w:val="fr-CH"/>
        </w:rPr>
        <w:t>Lieu (demande de fréquences et encombrement du spectre).</w:t>
      </w:r>
    </w:p>
    <w:p w:rsidR="00E56335" w:rsidRPr="008E172E" w:rsidRDefault="00E56335" w:rsidP="00E56335">
      <w:pPr>
        <w:rPr>
          <w:lang w:val="fr-CH"/>
        </w:rPr>
      </w:pPr>
      <w:r w:rsidRPr="008E172E">
        <w:rPr>
          <w:lang w:val="fr-CH"/>
        </w:rPr>
        <w:t>Des primes ainsi que des réductions temporaires spéciales pourraient être proposées pour encourager l'utilisation de certaines bandes ou la mise en oeuvre de services spécifiques.</w:t>
      </w:r>
    </w:p>
    <w:p w:rsidR="00E56335" w:rsidRPr="007D7851" w:rsidRDefault="00E56335" w:rsidP="00E56335">
      <w:pPr>
        <w:pStyle w:val="Heading1"/>
      </w:pPr>
      <w:bookmarkStart w:id="189" w:name="_Toc280260039"/>
      <w:bookmarkStart w:id="190" w:name="_Toc280260897"/>
      <w:bookmarkStart w:id="191" w:name="_Toc280272500"/>
      <w:bookmarkStart w:id="192" w:name="_Toc288642997"/>
      <w:r w:rsidRPr="007D7851">
        <w:t>7</w:t>
      </w:r>
      <w:r w:rsidRPr="007D7851">
        <w:tab/>
        <w:t>Dispositifs à faible puissance et à faible portée</w:t>
      </w:r>
      <w:bookmarkEnd w:id="189"/>
      <w:bookmarkEnd w:id="190"/>
      <w:bookmarkEnd w:id="191"/>
      <w:bookmarkEnd w:id="192"/>
    </w:p>
    <w:p w:rsidR="00E56335" w:rsidRPr="008E172E" w:rsidRDefault="00E56335" w:rsidP="00E56335">
      <w:pPr>
        <w:rPr>
          <w:lang w:val="fr-CH"/>
        </w:rPr>
      </w:pPr>
      <w:r w:rsidRPr="008E172E">
        <w:rPr>
          <w:lang w:val="fr-CH"/>
        </w:rPr>
        <w:t>Le traitement des dispositifs à faible portée ainsi que des services qui bénéficient de l'exemption des redevances susmentionnées devrait également être clairement défini et les conditions associées pourraient être spécifiées.</w:t>
      </w:r>
    </w:p>
    <w:p w:rsidR="00E56335" w:rsidRPr="007D7851" w:rsidRDefault="00E56335" w:rsidP="00E56335">
      <w:pPr>
        <w:pStyle w:val="Heading1"/>
      </w:pPr>
      <w:bookmarkStart w:id="193" w:name="_Toc280260040"/>
      <w:bookmarkStart w:id="194" w:name="_Toc280260898"/>
      <w:bookmarkStart w:id="195" w:name="_Toc280272501"/>
      <w:bookmarkStart w:id="196" w:name="_Toc288642998"/>
      <w:r w:rsidRPr="007D7851">
        <w:t>8</w:t>
      </w:r>
      <w:r w:rsidRPr="007D7851">
        <w:tab/>
        <w:t>Redevances afférentes à l'annulation, la reproduction et la modification d'une autorisation</w:t>
      </w:r>
      <w:bookmarkEnd w:id="193"/>
      <w:bookmarkEnd w:id="194"/>
      <w:bookmarkEnd w:id="195"/>
      <w:bookmarkEnd w:id="196"/>
    </w:p>
    <w:p w:rsidR="00E56335" w:rsidRPr="008E172E" w:rsidRDefault="00E56335" w:rsidP="00E56335">
      <w:pPr>
        <w:rPr>
          <w:lang w:val="fr-CH"/>
        </w:rPr>
      </w:pPr>
      <w:r w:rsidRPr="008E172E">
        <w:rPr>
          <w:lang w:val="fr-CH"/>
        </w:rPr>
        <w:t>Il convient de définir et de spécifier les redevances éventuelles associées dans chaque cas.</w:t>
      </w:r>
    </w:p>
    <w:p w:rsidR="00E56335" w:rsidRPr="008E172E" w:rsidRDefault="00E56335" w:rsidP="00E56335">
      <w:pPr>
        <w:rPr>
          <w:lang w:val="fr-CH"/>
        </w:rPr>
      </w:pPr>
      <w:r w:rsidRPr="008E172E">
        <w:rPr>
          <w:lang w:val="fr-CH"/>
        </w:rPr>
        <w:t xml:space="preserve">En outre, il convient de préciser, dans le cas où une modification entraîne une augmentation des redevances d'utilisation du spectre, comment est calculée la différence que doit payer l'utilisateur. Dans le cas où la modification entraîne une diminution des redevances d'utilisation du spectre et que l'Autorité des </w:t>
      </w:r>
      <w:r w:rsidRPr="008E172E">
        <w:rPr>
          <w:szCs w:val="24"/>
          <w:lang w:val="fr-CH"/>
        </w:rPr>
        <w:t>télécommunications</w:t>
      </w:r>
      <w:r w:rsidRPr="008E172E">
        <w:rPr>
          <w:lang w:val="fr-CH"/>
        </w:rPr>
        <w:t xml:space="preserve"> doit rembourser la différence à l'utilisateur, il convient d'indiquer comment elle doit rembourser cette somme. </w:t>
      </w:r>
    </w:p>
    <w:p w:rsidR="00E56335" w:rsidRPr="007D7851" w:rsidRDefault="00E56335" w:rsidP="00E56335">
      <w:pPr>
        <w:pStyle w:val="Heading1"/>
      </w:pPr>
      <w:bookmarkStart w:id="197" w:name="_Toc280260041"/>
      <w:bookmarkStart w:id="198" w:name="_Toc280260899"/>
      <w:bookmarkStart w:id="199" w:name="_Toc280272502"/>
      <w:bookmarkStart w:id="200" w:name="_Toc288642999"/>
      <w:r w:rsidRPr="007D7851">
        <w:t>9</w:t>
      </w:r>
      <w:r w:rsidRPr="007D7851">
        <w:tab/>
        <w:t>Traitement des fréquences d'urgence et de détresse</w:t>
      </w:r>
      <w:bookmarkEnd w:id="197"/>
      <w:bookmarkEnd w:id="198"/>
      <w:bookmarkEnd w:id="199"/>
      <w:bookmarkEnd w:id="200"/>
    </w:p>
    <w:p w:rsidR="00E56335" w:rsidRPr="008E172E" w:rsidRDefault="00E56335" w:rsidP="00E56335">
      <w:pPr>
        <w:rPr>
          <w:lang w:val="fr-CH"/>
        </w:rPr>
      </w:pPr>
      <w:r w:rsidRPr="008E172E">
        <w:rPr>
          <w:lang w:val="fr-CH"/>
        </w:rPr>
        <w:t>Il peut être utile d'indiquer que les fréquences et les équipements autorisés de ce type bénéficient d'une exemption de redevances, ou de donner des indications sur la façon dont l'Autorité entend traiter l'utilisation de ces fréquences.</w:t>
      </w:r>
    </w:p>
    <w:p w:rsidR="00E56335" w:rsidRPr="007D7851" w:rsidRDefault="00E56335" w:rsidP="00E56335">
      <w:pPr>
        <w:pStyle w:val="Heading1"/>
      </w:pPr>
      <w:bookmarkStart w:id="201" w:name="_Toc280260042"/>
      <w:bookmarkStart w:id="202" w:name="_Toc280260900"/>
      <w:bookmarkStart w:id="203" w:name="_Toc280272503"/>
      <w:bookmarkStart w:id="204" w:name="_Toc288643000"/>
      <w:r w:rsidRPr="007D7851">
        <w:t>10</w:t>
      </w:r>
      <w:r w:rsidRPr="007D7851">
        <w:tab/>
        <w:t>Autorisations temporaires</w:t>
      </w:r>
      <w:bookmarkEnd w:id="201"/>
      <w:bookmarkEnd w:id="202"/>
      <w:bookmarkEnd w:id="203"/>
      <w:bookmarkEnd w:id="204"/>
    </w:p>
    <w:p w:rsidR="00E56335" w:rsidRPr="008E172E" w:rsidRDefault="00E56335" w:rsidP="00E56335">
      <w:pPr>
        <w:rPr>
          <w:lang w:val="fr-CH"/>
        </w:rPr>
      </w:pPr>
      <w:r w:rsidRPr="008E172E">
        <w:rPr>
          <w:lang w:val="fr-CH"/>
        </w:rPr>
        <w:t xml:space="preserve">Il convient de définir clairement le calcul des redevances à appliquer en pareils cas. </w:t>
      </w:r>
    </w:p>
    <w:p w:rsidR="00E56335" w:rsidRPr="008E172E" w:rsidRDefault="00E56335" w:rsidP="00E56335">
      <w:pPr>
        <w:rPr>
          <w:lang w:val="fr-CH"/>
        </w:rPr>
      </w:pPr>
      <w:r w:rsidRPr="008E172E">
        <w:rPr>
          <w:lang w:val="fr-CH"/>
        </w:rPr>
        <w:t>Il peut être utile d'indiquer les redevances minimales, l'unité de temps minimale utilisée pour calculer les redevances afférentes à ces autorisations, ainsi que d'autres conditions importantes associées.</w:t>
      </w:r>
    </w:p>
    <w:p w:rsidR="00E56335" w:rsidRPr="007D7851" w:rsidRDefault="00E56335" w:rsidP="00E56335">
      <w:pPr>
        <w:pStyle w:val="Heading1"/>
      </w:pPr>
      <w:bookmarkStart w:id="205" w:name="_Toc280260043"/>
      <w:bookmarkStart w:id="206" w:name="_Toc280260901"/>
      <w:bookmarkStart w:id="207" w:name="_Toc280272504"/>
      <w:bookmarkStart w:id="208" w:name="_Toc288643001"/>
      <w:r w:rsidRPr="007D7851">
        <w:lastRenderedPageBreak/>
        <w:t>11</w:t>
      </w:r>
      <w:r w:rsidRPr="007D7851">
        <w:tab/>
        <w:t>Répondre aux besoins d'autres services de radiocommunication qui ne sont pas mentionnés</w:t>
      </w:r>
      <w:bookmarkEnd w:id="205"/>
      <w:bookmarkEnd w:id="206"/>
      <w:bookmarkEnd w:id="207"/>
      <w:bookmarkEnd w:id="208"/>
      <w:r w:rsidRPr="007D7851">
        <w:t xml:space="preserve"> </w:t>
      </w:r>
    </w:p>
    <w:p w:rsidR="00E56335" w:rsidRPr="008E172E" w:rsidRDefault="00E56335" w:rsidP="00E56335">
      <w:pPr>
        <w:rPr>
          <w:lang w:val="fr-CH"/>
        </w:rPr>
      </w:pPr>
      <w:r w:rsidRPr="008E172E">
        <w:rPr>
          <w:lang w:val="fr-CH"/>
        </w:rPr>
        <w:t>La politique pourrait inclure un article habilitant l'Autorité à fixer et à appliquer les redevances appropriées pour tout autre service de radiocommunication/hertzien non mentionné dans ladite politique.</w:t>
      </w:r>
    </w:p>
    <w:p w:rsidR="00E56335" w:rsidRPr="007D7851" w:rsidRDefault="00E56335" w:rsidP="00E56335">
      <w:pPr>
        <w:pStyle w:val="Heading1"/>
      </w:pPr>
      <w:bookmarkStart w:id="209" w:name="_Toc280260044"/>
      <w:bookmarkStart w:id="210" w:name="_Toc280260902"/>
      <w:bookmarkStart w:id="211" w:name="_Toc280272505"/>
      <w:bookmarkStart w:id="212" w:name="_Toc288643002"/>
      <w:r w:rsidRPr="007D7851">
        <w:t>12</w:t>
      </w:r>
      <w:r w:rsidRPr="007D7851">
        <w:tab/>
        <w:t>Autres redevances</w:t>
      </w:r>
      <w:bookmarkEnd w:id="209"/>
      <w:bookmarkEnd w:id="210"/>
      <w:bookmarkEnd w:id="211"/>
      <w:bookmarkEnd w:id="212"/>
    </w:p>
    <w:p w:rsidR="00E56335" w:rsidRPr="00BB3B03" w:rsidRDefault="00E56335" w:rsidP="00E56335">
      <w:pPr>
        <w:rPr>
          <w:lang w:val="fr-CH"/>
        </w:rPr>
      </w:pPr>
      <w:r w:rsidRPr="008E172E">
        <w:rPr>
          <w:lang w:val="fr-CH"/>
        </w:rPr>
        <w:t>Il peut être également fait mention de l'application de redevances afférentes à des services spéciaux demandés par l'Autorité, comme le traitement et le suivi des plaintes concernant les brouillages et la réalisation d'études de site.</w:t>
      </w:r>
    </w:p>
    <w:p w:rsidR="00E56335" w:rsidRDefault="00E56335" w:rsidP="00E56335">
      <w:pPr>
        <w:tabs>
          <w:tab w:val="clear" w:pos="794"/>
          <w:tab w:val="clear" w:pos="1191"/>
          <w:tab w:val="clear" w:pos="1588"/>
          <w:tab w:val="clear" w:pos="1985"/>
        </w:tabs>
        <w:overflowPunct/>
        <w:autoSpaceDE/>
        <w:autoSpaceDN/>
        <w:adjustRightInd/>
        <w:spacing w:before="0"/>
        <w:jc w:val="left"/>
        <w:textAlignment w:val="auto"/>
        <w:rPr>
          <w:b/>
          <w:szCs w:val="19"/>
        </w:rPr>
      </w:pPr>
      <w:r>
        <w:rPr>
          <w:b/>
          <w:szCs w:val="19"/>
        </w:rPr>
        <w:br w:type="page"/>
      </w:r>
    </w:p>
    <w:p w:rsidR="00E56335" w:rsidRPr="00C92730" w:rsidRDefault="00E56335" w:rsidP="00E56335">
      <w:pPr>
        <w:pStyle w:val="AppendixNotitle"/>
        <w:rPr>
          <w:lang w:val="en-US"/>
        </w:rPr>
      </w:pPr>
      <w:bookmarkStart w:id="213" w:name="_Toc280260045"/>
      <w:bookmarkStart w:id="214" w:name="_Toc280260903"/>
      <w:bookmarkStart w:id="215" w:name="_Toc280272506"/>
      <w:bookmarkStart w:id="216" w:name="_Toc288643003"/>
      <w:r w:rsidRPr="00BB3B03">
        <w:lastRenderedPageBreak/>
        <w:t>Appendix 1.2</w:t>
      </w:r>
      <w:r>
        <w:t xml:space="preserve"> (English)</w:t>
      </w:r>
      <w:r>
        <w:rPr>
          <w:bCs/>
        </w:rPr>
        <w:br/>
      </w:r>
      <w:r>
        <w:rPr>
          <w:bCs/>
        </w:rPr>
        <w:br/>
      </w:r>
      <w:r w:rsidRPr="00C92730">
        <w:rPr>
          <w:lang w:val="en-US"/>
        </w:rPr>
        <w:t>United Arab Emirates: Proposed example on spectrum fees policy</w:t>
      </w:r>
      <w:bookmarkEnd w:id="213"/>
      <w:bookmarkEnd w:id="214"/>
      <w:bookmarkEnd w:id="215"/>
      <w:bookmarkEnd w:id="216"/>
    </w:p>
    <w:p w:rsidR="00E56335" w:rsidRPr="005948A4" w:rsidRDefault="00E56335" w:rsidP="00E56335"/>
    <w:p w:rsidR="00E56335" w:rsidRPr="002048E8" w:rsidRDefault="00E56335" w:rsidP="00E56335">
      <w:pPr>
        <w:suppressAutoHyphens/>
        <w:jc w:val="center"/>
        <w:rPr>
          <w:b/>
        </w:rPr>
      </w:pPr>
      <w:r w:rsidRPr="002048E8">
        <w:rPr>
          <w:b/>
        </w:rPr>
        <w:t>TABLE OF CONTENTS</w:t>
      </w:r>
    </w:p>
    <w:p w:rsidR="00E56335" w:rsidRDefault="00E56335" w:rsidP="00E56335">
      <w:pPr>
        <w:suppressAutoHyphens/>
        <w:rPr>
          <w:bCs/>
        </w:rPr>
      </w:pPr>
    </w:p>
    <w:p w:rsidR="00E56335" w:rsidRDefault="00E56335" w:rsidP="00E56335">
      <w:pPr>
        <w:pStyle w:val="Recdate"/>
        <w:keepLines w:val="0"/>
        <w:tabs>
          <w:tab w:val="right" w:pos="9639"/>
        </w:tabs>
        <w:jc w:val="left"/>
        <w:rPr>
          <w:b/>
          <w:iCs/>
        </w:rPr>
      </w:pPr>
      <w:r w:rsidRPr="0008342F">
        <w:rPr>
          <w:iCs/>
        </w:rPr>
        <w:tab/>
      </w:r>
      <w:r w:rsidRPr="00153922">
        <w:rPr>
          <w:b/>
          <w:iCs/>
        </w:rPr>
        <w:t>Page</w:t>
      </w:r>
    </w:p>
    <w:p w:rsidR="00E56335" w:rsidRDefault="00BA52D0" w:rsidP="00E56335">
      <w:pPr>
        <w:pStyle w:val="TOC1"/>
        <w:rPr>
          <w:rFonts w:asciiTheme="minorHAnsi" w:hAnsiTheme="minorHAnsi" w:cstheme="minorBidi"/>
          <w:noProof/>
          <w:szCs w:val="22"/>
          <w:lang w:eastAsia="zh-CN"/>
        </w:rPr>
      </w:pPr>
      <w:r w:rsidRPr="00BA52D0">
        <w:rPr>
          <w:noProof/>
        </w:rPr>
        <w:fldChar w:fldCharType="begin"/>
      </w:r>
      <w:r w:rsidR="00E56335">
        <w:instrText xml:space="preserve"> TOC \h \z \t "Art_title;1" </w:instrText>
      </w:r>
      <w:r w:rsidRPr="00BA52D0">
        <w:rPr>
          <w:noProof/>
        </w:rPr>
        <w:fldChar w:fldCharType="separate"/>
      </w:r>
      <w:hyperlink w:anchor="_Toc280272715" w:history="1">
        <w:r w:rsidR="00E56335" w:rsidRPr="009E336D">
          <w:rPr>
            <w:rStyle w:val="Hyperlink"/>
            <w:noProof/>
          </w:rPr>
          <w:t xml:space="preserve">Article 1 </w:t>
        </w:r>
        <w:r w:rsidR="00E56335">
          <w:rPr>
            <w:rStyle w:val="Hyperlink"/>
            <w:noProof/>
          </w:rPr>
          <w:t>–</w:t>
        </w:r>
        <w:r w:rsidR="00E56335" w:rsidRPr="009E336D">
          <w:rPr>
            <w:rStyle w:val="Hyperlink"/>
            <w:noProof/>
          </w:rPr>
          <w:t xml:space="preserve"> Purpose</w:t>
        </w:r>
        <w:r w:rsidR="00E56335">
          <w:rPr>
            <w:noProof/>
            <w:webHidden/>
          </w:rPr>
          <w:tab/>
        </w:r>
        <w:r w:rsidR="00E56335">
          <w:rPr>
            <w:noProof/>
            <w:webHidden/>
          </w:rPr>
          <w:tab/>
        </w:r>
        <w:r>
          <w:rPr>
            <w:noProof/>
            <w:webHidden/>
          </w:rPr>
          <w:fldChar w:fldCharType="begin"/>
        </w:r>
        <w:r w:rsidR="00E56335">
          <w:rPr>
            <w:noProof/>
            <w:webHidden/>
          </w:rPr>
          <w:instrText xml:space="preserve"> PAGEREF _Toc280272715 \h </w:instrText>
        </w:r>
        <w:r>
          <w:rPr>
            <w:noProof/>
            <w:webHidden/>
          </w:rPr>
        </w:r>
        <w:r>
          <w:rPr>
            <w:noProof/>
            <w:webHidden/>
          </w:rPr>
          <w:fldChar w:fldCharType="separate"/>
        </w:r>
        <w:r w:rsidR="00F73B36">
          <w:rPr>
            <w:noProof/>
            <w:webHidden/>
          </w:rPr>
          <w:t>27</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16" w:history="1">
        <w:r w:rsidR="00E56335" w:rsidRPr="009E336D">
          <w:rPr>
            <w:rStyle w:val="Hyperlink"/>
            <w:noProof/>
          </w:rPr>
          <w:t xml:space="preserve">Article 2 </w:t>
        </w:r>
        <w:r w:rsidR="00E56335">
          <w:rPr>
            <w:rStyle w:val="Hyperlink"/>
            <w:noProof/>
          </w:rPr>
          <w:t>–</w:t>
        </w:r>
        <w:r w:rsidR="00E56335" w:rsidRPr="009E336D">
          <w:rPr>
            <w:rStyle w:val="Hyperlink"/>
            <w:noProof/>
          </w:rPr>
          <w:t xml:space="preserve"> Definitions</w:t>
        </w:r>
        <w:r w:rsidR="00E56335">
          <w:rPr>
            <w:noProof/>
            <w:webHidden/>
          </w:rPr>
          <w:tab/>
        </w:r>
        <w:r w:rsidR="00E56335">
          <w:rPr>
            <w:noProof/>
            <w:webHidden/>
          </w:rPr>
          <w:tab/>
        </w:r>
        <w:r>
          <w:rPr>
            <w:noProof/>
            <w:webHidden/>
          </w:rPr>
          <w:fldChar w:fldCharType="begin"/>
        </w:r>
        <w:r w:rsidR="00E56335">
          <w:rPr>
            <w:noProof/>
            <w:webHidden/>
          </w:rPr>
          <w:instrText xml:space="preserve"> PAGEREF _Toc280272716 \h </w:instrText>
        </w:r>
        <w:r>
          <w:rPr>
            <w:noProof/>
            <w:webHidden/>
          </w:rPr>
        </w:r>
        <w:r>
          <w:rPr>
            <w:noProof/>
            <w:webHidden/>
          </w:rPr>
          <w:fldChar w:fldCharType="separate"/>
        </w:r>
        <w:r w:rsidR="00F73B36">
          <w:rPr>
            <w:noProof/>
            <w:webHidden/>
          </w:rPr>
          <w:t>27</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17" w:history="1">
        <w:r w:rsidR="00E56335" w:rsidRPr="009E336D">
          <w:rPr>
            <w:rStyle w:val="Hyperlink"/>
            <w:noProof/>
          </w:rPr>
          <w:t xml:space="preserve">Article 3 </w:t>
        </w:r>
        <w:r w:rsidR="00E56335">
          <w:rPr>
            <w:rStyle w:val="Hyperlink"/>
            <w:noProof/>
          </w:rPr>
          <w:t>–</w:t>
        </w:r>
        <w:r w:rsidR="00E56335" w:rsidRPr="009E336D">
          <w:rPr>
            <w:rStyle w:val="Hyperlink"/>
            <w:noProof/>
          </w:rPr>
          <w:t xml:space="preserve"> Application processing Fees</w:t>
        </w:r>
        <w:r w:rsidR="00E56335">
          <w:rPr>
            <w:noProof/>
            <w:webHidden/>
          </w:rPr>
          <w:tab/>
        </w:r>
        <w:r w:rsidR="00E56335">
          <w:rPr>
            <w:noProof/>
            <w:webHidden/>
          </w:rPr>
          <w:tab/>
        </w:r>
        <w:r>
          <w:rPr>
            <w:noProof/>
            <w:webHidden/>
          </w:rPr>
          <w:fldChar w:fldCharType="begin"/>
        </w:r>
        <w:r w:rsidR="00E56335">
          <w:rPr>
            <w:noProof/>
            <w:webHidden/>
          </w:rPr>
          <w:instrText xml:space="preserve"> PAGEREF _Toc280272717 \h </w:instrText>
        </w:r>
        <w:r>
          <w:rPr>
            <w:noProof/>
            <w:webHidden/>
          </w:rPr>
        </w:r>
        <w:r>
          <w:rPr>
            <w:noProof/>
            <w:webHidden/>
          </w:rPr>
          <w:fldChar w:fldCharType="separate"/>
        </w:r>
        <w:r w:rsidR="00F73B36">
          <w:rPr>
            <w:noProof/>
            <w:webHidden/>
          </w:rPr>
          <w:t>28</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18" w:history="1">
        <w:r w:rsidR="00E56335" w:rsidRPr="009E336D">
          <w:rPr>
            <w:rStyle w:val="Hyperlink"/>
            <w:noProof/>
          </w:rPr>
          <w:t xml:space="preserve">Article 4 </w:t>
        </w:r>
        <w:r w:rsidR="00E56335">
          <w:rPr>
            <w:rStyle w:val="Hyperlink"/>
            <w:noProof/>
          </w:rPr>
          <w:t>–</w:t>
        </w:r>
        <w:r w:rsidR="00E56335" w:rsidRPr="009E336D">
          <w:rPr>
            <w:rStyle w:val="Hyperlink"/>
            <w:noProof/>
          </w:rPr>
          <w:t xml:space="preserve"> Exemption from Application processing Fees</w:t>
        </w:r>
        <w:r w:rsidR="00E56335">
          <w:rPr>
            <w:noProof/>
            <w:webHidden/>
          </w:rPr>
          <w:tab/>
        </w:r>
        <w:r w:rsidR="00E56335">
          <w:rPr>
            <w:noProof/>
            <w:webHidden/>
          </w:rPr>
          <w:tab/>
        </w:r>
        <w:r>
          <w:rPr>
            <w:noProof/>
            <w:webHidden/>
          </w:rPr>
          <w:fldChar w:fldCharType="begin"/>
        </w:r>
        <w:r w:rsidR="00E56335">
          <w:rPr>
            <w:noProof/>
            <w:webHidden/>
          </w:rPr>
          <w:instrText xml:space="preserve"> PAGEREF _Toc280272718 \h </w:instrText>
        </w:r>
        <w:r>
          <w:rPr>
            <w:noProof/>
            <w:webHidden/>
          </w:rPr>
        </w:r>
        <w:r>
          <w:rPr>
            <w:noProof/>
            <w:webHidden/>
          </w:rPr>
          <w:fldChar w:fldCharType="separate"/>
        </w:r>
        <w:r w:rsidR="00F73B36">
          <w:rPr>
            <w:noProof/>
            <w:webHidden/>
          </w:rPr>
          <w:t>28</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19" w:history="1">
        <w:r w:rsidR="00E56335" w:rsidRPr="009E336D">
          <w:rPr>
            <w:rStyle w:val="Hyperlink"/>
            <w:noProof/>
          </w:rPr>
          <w:t xml:space="preserve">Article 5 </w:t>
        </w:r>
        <w:r w:rsidR="00E56335">
          <w:rPr>
            <w:rStyle w:val="Hyperlink"/>
            <w:noProof/>
          </w:rPr>
          <w:t>–</w:t>
        </w:r>
        <w:r w:rsidR="00E56335" w:rsidRPr="009E336D">
          <w:rPr>
            <w:rStyle w:val="Hyperlink"/>
            <w:noProof/>
          </w:rPr>
          <w:t xml:space="preserve"> Spectrum Fees for fresh Application</w:t>
        </w:r>
        <w:r w:rsidR="00E56335">
          <w:rPr>
            <w:noProof/>
            <w:webHidden/>
          </w:rPr>
          <w:tab/>
        </w:r>
        <w:r w:rsidR="00E56335">
          <w:rPr>
            <w:noProof/>
            <w:webHidden/>
          </w:rPr>
          <w:tab/>
        </w:r>
        <w:r>
          <w:rPr>
            <w:noProof/>
            <w:webHidden/>
          </w:rPr>
          <w:fldChar w:fldCharType="begin"/>
        </w:r>
        <w:r w:rsidR="00E56335">
          <w:rPr>
            <w:noProof/>
            <w:webHidden/>
          </w:rPr>
          <w:instrText xml:space="preserve"> PAGEREF _Toc280272719 \h </w:instrText>
        </w:r>
        <w:r>
          <w:rPr>
            <w:noProof/>
            <w:webHidden/>
          </w:rPr>
        </w:r>
        <w:r>
          <w:rPr>
            <w:noProof/>
            <w:webHidden/>
          </w:rPr>
          <w:fldChar w:fldCharType="separate"/>
        </w:r>
        <w:r w:rsidR="00F73B36">
          <w:rPr>
            <w:noProof/>
            <w:webHidden/>
          </w:rPr>
          <w:t>28</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20" w:history="1">
        <w:r w:rsidR="00E56335" w:rsidRPr="009E336D">
          <w:rPr>
            <w:rStyle w:val="Hyperlink"/>
            <w:noProof/>
          </w:rPr>
          <w:t xml:space="preserve">Article 6 </w:t>
        </w:r>
        <w:r w:rsidR="00E56335">
          <w:rPr>
            <w:rStyle w:val="Hyperlink"/>
            <w:noProof/>
          </w:rPr>
          <w:t>–</w:t>
        </w:r>
        <w:r w:rsidR="00E56335" w:rsidRPr="009E336D">
          <w:rPr>
            <w:rStyle w:val="Hyperlink"/>
            <w:noProof/>
          </w:rPr>
          <w:t xml:space="preserve"> Spectrum Fees for renewal of Authorization</w:t>
        </w:r>
        <w:r w:rsidR="00E56335">
          <w:rPr>
            <w:noProof/>
            <w:webHidden/>
          </w:rPr>
          <w:tab/>
        </w:r>
        <w:r w:rsidR="00E56335">
          <w:rPr>
            <w:noProof/>
            <w:webHidden/>
          </w:rPr>
          <w:tab/>
        </w:r>
        <w:r>
          <w:rPr>
            <w:noProof/>
            <w:webHidden/>
          </w:rPr>
          <w:fldChar w:fldCharType="begin"/>
        </w:r>
        <w:r w:rsidR="00E56335">
          <w:rPr>
            <w:noProof/>
            <w:webHidden/>
          </w:rPr>
          <w:instrText xml:space="preserve"> PAGEREF _Toc280272720 \h </w:instrText>
        </w:r>
        <w:r>
          <w:rPr>
            <w:noProof/>
            <w:webHidden/>
          </w:rPr>
        </w:r>
        <w:r>
          <w:rPr>
            <w:noProof/>
            <w:webHidden/>
          </w:rPr>
          <w:fldChar w:fldCharType="separate"/>
        </w:r>
        <w:r w:rsidR="00F73B36">
          <w:rPr>
            <w:noProof/>
            <w:webHidden/>
          </w:rPr>
          <w:t>29</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21" w:history="1">
        <w:r w:rsidR="00E56335" w:rsidRPr="009E336D">
          <w:rPr>
            <w:rStyle w:val="Hyperlink"/>
            <w:noProof/>
          </w:rPr>
          <w:t xml:space="preserve">Article 7 </w:t>
        </w:r>
        <w:r w:rsidR="00E56335">
          <w:rPr>
            <w:rStyle w:val="Hyperlink"/>
            <w:noProof/>
          </w:rPr>
          <w:t>–</w:t>
        </w:r>
        <w:r w:rsidR="00E56335" w:rsidRPr="009E336D">
          <w:rPr>
            <w:rStyle w:val="Hyperlink"/>
            <w:noProof/>
          </w:rPr>
          <w:t xml:space="preserve"> Additional Fees for delayed renewal of Authorization</w:t>
        </w:r>
        <w:r w:rsidR="00E56335">
          <w:rPr>
            <w:noProof/>
            <w:webHidden/>
          </w:rPr>
          <w:tab/>
        </w:r>
        <w:r w:rsidR="00E56335">
          <w:rPr>
            <w:noProof/>
            <w:webHidden/>
          </w:rPr>
          <w:tab/>
        </w:r>
        <w:r>
          <w:rPr>
            <w:noProof/>
            <w:webHidden/>
          </w:rPr>
          <w:fldChar w:fldCharType="begin"/>
        </w:r>
        <w:r w:rsidR="00E56335">
          <w:rPr>
            <w:noProof/>
            <w:webHidden/>
          </w:rPr>
          <w:instrText xml:space="preserve"> PAGEREF _Toc280272721 \h </w:instrText>
        </w:r>
        <w:r>
          <w:rPr>
            <w:noProof/>
            <w:webHidden/>
          </w:rPr>
        </w:r>
        <w:r>
          <w:rPr>
            <w:noProof/>
            <w:webHidden/>
          </w:rPr>
          <w:fldChar w:fldCharType="separate"/>
        </w:r>
        <w:r w:rsidR="00F73B36">
          <w:rPr>
            <w:noProof/>
            <w:webHidden/>
          </w:rPr>
          <w:t>29</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22" w:history="1">
        <w:r w:rsidR="00E56335" w:rsidRPr="009E336D">
          <w:rPr>
            <w:rStyle w:val="Hyperlink"/>
            <w:noProof/>
          </w:rPr>
          <w:t xml:space="preserve">Article 8 </w:t>
        </w:r>
        <w:r w:rsidR="00E56335">
          <w:rPr>
            <w:rStyle w:val="Hyperlink"/>
            <w:noProof/>
          </w:rPr>
          <w:t>–</w:t>
        </w:r>
        <w:r w:rsidR="00E56335" w:rsidRPr="009E336D">
          <w:rPr>
            <w:rStyle w:val="Hyperlink"/>
            <w:noProof/>
          </w:rPr>
          <w:t xml:space="preserve"> Authorization reproduction fees</w:t>
        </w:r>
        <w:r w:rsidR="00E56335">
          <w:rPr>
            <w:noProof/>
            <w:webHidden/>
          </w:rPr>
          <w:tab/>
        </w:r>
        <w:r w:rsidR="00E56335">
          <w:rPr>
            <w:noProof/>
            <w:webHidden/>
          </w:rPr>
          <w:tab/>
        </w:r>
        <w:r>
          <w:rPr>
            <w:noProof/>
            <w:webHidden/>
          </w:rPr>
          <w:fldChar w:fldCharType="begin"/>
        </w:r>
        <w:r w:rsidR="00E56335">
          <w:rPr>
            <w:noProof/>
            <w:webHidden/>
          </w:rPr>
          <w:instrText xml:space="preserve"> PAGEREF _Toc280272722 \h </w:instrText>
        </w:r>
        <w:r>
          <w:rPr>
            <w:noProof/>
            <w:webHidden/>
          </w:rPr>
        </w:r>
        <w:r>
          <w:rPr>
            <w:noProof/>
            <w:webHidden/>
          </w:rPr>
          <w:fldChar w:fldCharType="separate"/>
        </w:r>
        <w:r w:rsidR="00F73B36">
          <w:rPr>
            <w:noProof/>
            <w:webHidden/>
          </w:rPr>
          <w:t>29</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23" w:history="1">
        <w:r w:rsidR="00E56335" w:rsidRPr="009E336D">
          <w:rPr>
            <w:rStyle w:val="Hyperlink"/>
            <w:noProof/>
          </w:rPr>
          <w:t xml:space="preserve">Article 9 </w:t>
        </w:r>
        <w:r w:rsidR="00E56335">
          <w:rPr>
            <w:rStyle w:val="Hyperlink"/>
            <w:noProof/>
          </w:rPr>
          <w:t>–</w:t>
        </w:r>
        <w:r w:rsidR="00E56335" w:rsidRPr="009E336D">
          <w:rPr>
            <w:rStyle w:val="Hyperlink"/>
            <w:noProof/>
          </w:rPr>
          <w:t xml:space="preserve"> Authorization modification fees</w:t>
        </w:r>
        <w:r w:rsidR="00E56335">
          <w:rPr>
            <w:noProof/>
            <w:webHidden/>
          </w:rPr>
          <w:tab/>
        </w:r>
        <w:r w:rsidR="00E56335">
          <w:rPr>
            <w:noProof/>
            <w:webHidden/>
          </w:rPr>
          <w:tab/>
        </w:r>
        <w:r>
          <w:rPr>
            <w:noProof/>
            <w:webHidden/>
          </w:rPr>
          <w:fldChar w:fldCharType="begin"/>
        </w:r>
        <w:r w:rsidR="00E56335">
          <w:rPr>
            <w:noProof/>
            <w:webHidden/>
          </w:rPr>
          <w:instrText xml:space="preserve"> PAGEREF _Toc280272723 \h </w:instrText>
        </w:r>
        <w:r>
          <w:rPr>
            <w:noProof/>
            <w:webHidden/>
          </w:rPr>
        </w:r>
        <w:r>
          <w:rPr>
            <w:noProof/>
            <w:webHidden/>
          </w:rPr>
          <w:fldChar w:fldCharType="separate"/>
        </w:r>
        <w:r w:rsidR="00F73B36">
          <w:rPr>
            <w:noProof/>
            <w:webHidden/>
          </w:rPr>
          <w:t>29</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24" w:history="1">
        <w:r w:rsidR="00E56335" w:rsidRPr="009E336D">
          <w:rPr>
            <w:rStyle w:val="Hyperlink"/>
            <w:noProof/>
          </w:rPr>
          <w:t xml:space="preserve">Article 10 </w:t>
        </w:r>
        <w:r w:rsidR="00E56335">
          <w:rPr>
            <w:rStyle w:val="Hyperlink"/>
            <w:noProof/>
          </w:rPr>
          <w:t>–</w:t>
        </w:r>
        <w:r w:rsidR="00E56335" w:rsidRPr="009E336D">
          <w:rPr>
            <w:rStyle w:val="Hyperlink"/>
            <w:noProof/>
          </w:rPr>
          <w:t xml:space="preserve"> Authorization cancellation fees</w:t>
        </w:r>
        <w:r w:rsidR="00E56335">
          <w:rPr>
            <w:noProof/>
            <w:webHidden/>
          </w:rPr>
          <w:tab/>
        </w:r>
        <w:r w:rsidR="00E56335">
          <w:rPr>
            <w:noProof/>
            <w:webHidden/>
          </w:rPr>
          <w:tab/>
        </w:r>
        <w:r>
          <w:rPr>
            <w:noProof/>
            <w:webHidden/>
          </w:rPr>
          <w:fldChar w:fldCharType="begin"/>
        </w:r>
        <w:r w:rsidR="00E56335">
          <w:rPr>
            <w:noProof/>
            <w:webHidden/>
          </w:rPr>
          <w:instrText xml:space="preserve"> PAGEREF _Toc280272724 \h </w:instrText>
        </w:r>
        <w:r>
          <w:rPr>
            <w:noProof/>
            <w:webHidden/>
          </w:rPr>
        </w:r>
        <w:r>
          <w:rPr>
            <w:noProof/>
            <w:webHidden/>
          </w:rPr>
          <w:fldChar w:fldCharType="separate"/>
        </w:r>
        <w:r w:rsidR="00F73B36">
          <w:rPr>
            <w:noProof/>
            <w:webHidden/>
          </w:rPr>
          <w:t>29</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25" w:history="1">
        <w:r w:rsidR="00E56335" w:rsidRPr="009E336D">
          <w:rPr>
            <w:rStyle w:val="Hyperlink"/>
            <w:noProof/>
          </w:rPr>
          <w:t xml:space="preserve">Article 11 </w:t>
        </w:r>
        <w:r w:rsidR="00E56335">
          <w:rPr>
            <w:rStyle w:val="Hyperlink"/>
            <w:noProof/>
          </w:rPr>
          <w:t>–</w:t>
        </w:r>
        <w:r w:rsidR="00E56335" w:rsidRPr="009E336D">
          <w:rPr>
            <w:rStyle w:val="Hyperlink"/>
            <w:noProof/>
          </w:rPr>
          <w:t xml:space="preserve"> Spectrum Fees for Public Land Mobile (Cellular) Service</w:t>
        </w:r>
        <w:r w:rsidR="00E56335">
          <w:rPr>
            <w:noProof/>
            <w:webHidden/>
          </w:rPr>
          <w:tab/>
        </w:r>
        <w:r w:rsidR="00E56335">
          <w:rPr>
            <w:noProof/>
            <w:webHidden/>
          </w:rPr>
          <w:tab/>
        </w:r>
        <w:r>
          <w:rPr>
            <w:noProof/>
            <w:webHidden/>
          </w:rPr>
          <w:fldChar w:fldCharType="begin"/>
        </w:r>
        <w:r w:rsidR="00E56335">
          <w:rPr>
            <w:noProof/>
            <w:webHidden/>
          </w:rPr>
          <w:instrText xml:space="preserve"> PAGEREF _Toc280272725 \h </w:instrText>
        </w:r>
        <w:r>
          <w:rPr>
            <w:noProof/>
            <w:webHidden/>
          </w:rPr>
        </w:r>
        <w:r>
          <w:rPr>
            <w:noProof/>
            <w:webHidden/>
          </w:rPr>
          <w:fldChar w:fldCharType="separate"/>
        </w:r>
        <w:r w:rsidR="00F73B36">
          <w:rPr>
            <w:noProof/>
            <w:webHidden/>
          </w:rPr>
          <w:t>30</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26" w:history="1">
        <w:r w:rsidR="00E56335" w:rsidRPr="009E336D">
          <w:rPr>
            <w:rStyle w:val="Hyperlink"/>
            <w:noProof/>
          </w:rPr>
          <w:t xml:space="preserve">Article 12 </w:t>
        </w:r>
        <w:r w:rsidR="00E56335">
          <w:rPr>
            <w:rStyle w:val="Hyperlink"/>
            <w:noProof/>
          </w:rPr>
          <w:t>–</w:t>
        </w:r>
        <w:r w:rsidR="00E56335" w:rsidRPr="009E336D">
          <w:rPr>
            <w:rStyle w:val="Hyperlink"/>
            <w:noProof/>
          </w:rPr>
          <w:t xml:space="preserve"> Spectrum Fees for Private Mobile Radio, paging and trunking</w:t>
        </w:r>
        <w:r w:rsidR="00E56335">
          <w:rPr>
            <w:noProof/>
            <w:webHidden/>
          </w:rPr>
          <w:tab/>
        </w:r>
        <w:r w:rsidR="00E56335">
          <w:rPr>
            <w:noProof/>
            <w:webHidden/>
          </w:rPr>
          <w:tab/>
        </w:r>
        <w:r>
          <w:rPr>
            <w:noProof/>
            <w:webHidden/>
          </w:rPr>
          <w:fldChar w:fldCharType="begin"/>
        </w:r>
        <w:r w:rsidR="00E56335">
          <w:rPr>
            <w:noProof/>
            <w:webHidden/>
          </w:rPr>
          <w:instrText xml:space="preserve"> PAGEREF _Toc280272726 \h </w:instrText>
        </w:r>
        <w:r>
          <w:rPr>
            <w:noProof/>
            <w:webHidden/>
          </w:rPr>
        </w:r>
        <w:r>
          <w:rPr>
            <w:noProof/>
            <w:webHidden/>
          </w:rPr>
          <w:fldChar w:fldCharType="separate"/>
        </w:r>
        <w:r w:rsidR="00F73B36">
          <w:rPr>
            <w:noProof/>
            <w:webHidden/>
          </w:rPr>
          <w:t>30</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27" w:history="1">
        <w:r w:rsidR="00E56335" w:rsidRPr="009E336D">
          <w:rPr>
            <w:rStyle w:val="Hyperlink"/>
            <w:noProof/>
          </w:rPr>
          <w:t xml:space="preserve">Article 13 </w:t>
        </w:r>
        <w:r w:rsidR="00E56335">
          <w:rPr>
            <w:rStyle w:val="Hyperlink"/>
            <w:noProof/>
          </w:rPr>
          <w:t>–</w:t>
        </w:r>
        <w:r w:rsidR="00E56335" w:rsidRPr="009E336D">
          <w:rPr>
            <w:rStyle w:val="Hyperlink"/>
            <w:noProof/>
          </w:rPr>
          <w:t xml:space="preserve"> Spectrum Fees for Fixed (point to point) links</w:t>
        </w:r>
        <w:r w:rsidR="00E56335">
          <w:rPr>
            <w:noProof/>
            <w:webHidden/>
          </w:rPr>
          <w:tab/>
        </w:r>
        <w:r w:rsidR="00E56335">
          <w:rPr>
            <w:noProof/>
            <w:webHidden/>
          </w:rPr>
          <w:tab/>
        </w:r>
        <w:r>
          <w:rPr>
            <w:noProof/>
            <w:webHidden/>
          </w:rPr>
          <w:fldChar w:fldCharType="begin"/>
        </w:r>
        <w:r w:rsidR="00E56335">
          <w:rPr>
            <w:noProof/>
            <w:webHidden/>
          </w:rPr>
          <w:instrText xml:space="preserve"> PAGEREF _Toc280272727 \h </w:instrText>
        </w:r>
        <w:r>
          <w:rPr>
            <w:noProof/>
            <w:webHidden/>
          </w:rPr>
        </w:r>
        <w:r>
          <w:rPr>
            <w:noProof/>
            <w:webHidden/>
          </w:rPr>
          <w:fldChar w:fldCharType="separate"/>
        </w:r>
        <w:r w:rsidR="00F73B36">
          <w:rPr>
            <w:noProof/>
            <w:webHidden/>
          </w:rPr>
          <w:t>32</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28" w:history="1">
        <w:r w:rsidR="00E56335" w:rsidRPr="009E336D">
          <w:rPr>
            <w:rStyle w:val="Hyperlink"/>
            <w:noProof/>
          </w:rPr>
          <w:t xml:space="preserve">Article 14 </w:t>
        </w:r>
        <w:r w:rsidR="00E56335">
          <w:rPr>
            <w:rStyle w:val="Hyperlink"/>
            <w:noProof/>
          </w:rPr>
          <w:t>–</w:t>
        </w:r>
        <w:r w:rsidR="00E56335" w:rsidRPr="009E336D">
          <w:rPr>
            <w:rStyle w:val="Hyperlink"/>
            <w:noProof/>
          </w:rPr>
          <w:t xml:space="preserve"> Spectrum Fees for FWA, SCADA, Telemetry, Mesh Networks</w:t>
        </w:r>
        <w:r w:rsidR="00E56335">
          <w:rPr>
            <w:noProof/>
            <w:webHidden/>
          </w:rPr>
          <w:tab/>
        </w:r>
        <w:r w:rsidR="00E56335">
          <w:rPr>
            <w:noProof/>
            <w:webHidden/>
          </w:rPr>
          <w:tab/>
        </w:r>
        <w:r>
          <w:rPr>
            <w:noProof/>
            <w:webHidden/>
          </w:rPr>
          <w:fldChar w:fldCharType="begin"/>
        </w:r>
        <w:r w:rsidR="00E56335">
          <w:rPr>
            <w:noProof/>
            <w:webHidden/>
          </w:rPr>
          <w:instrText xml:space="preserve"> PAGEREF _Toc280272728 \h </w:instrText>
        </w:r>
        <w:r>
          <w:rPr>
            <w:noProof/>
            <w:webHidden/>
          </w:rPr>
        </w:r>
        <w:r>
          <w:rPr>
            <w:noProof/>
            <w:webHidden/>
          </w:rPr>
          <w:fldChar w:fldCharType="separate"/>
        </w:r>
        <w:r w:rsidR="00F73B36">
          <w:rPr>
            <w:noProof/>
            <w:webHidden/>
          </w:rPr>
          <w:t>33</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29" w:history="1">
        <w:r w:rsidR="00E56335" w:rsidRPr="009E336D">
          <w:rPr>
            <w:rStyle w:val="Hyperlink"/>
            <w:noProof/>
          </w:rPr>
          <w:t xml:space="preserve">Article 15 </w:t>
        </w:r>
        <w:r w:rsidR="00E56335">
          <w:rPr>
            <w:rStyle w:val="Hyperlink"/>
            <w:noProof/>
          </w:rPr>
          <w:t>–</w:t>
        </w:r>
        <w:r w:rsidR="00E56335" w:rsidRPr="009E336D">
          <w:rPr>
            <w:rStyle w:val="Hyperlink"/>
            <w:noProof/>
          </w:rPr>
          <w:t xml:space="preserve"> Spectrum Fees for Mobile Broadband Wireless Access</w:t>
        </w:r>
        <w:r w:rsidR="00E56335">
          <w:rPr>
            <w:noProof/>
            <w:webHidden/>
          </w:rPr>
          <w:tab/>
        </w:r>
        <w:r w:rsidR="00E56335">
          <w:rPr>
            <w:noProof/>
            <w:webHidden/>
          </w:rPr>
          <w:tab/>
        </w:r>
        <w:r>
          <w:rPr>
            <w:noProof/>
            <w:webHidden/>
          </w:rPr>
          <w:fldChar w:fldCharType="begin"/>
        </w:r>
        <w:r w:rsidR="00E56335">
          <w:rPr>
            <w:noProof/>
            <w:webHidden/>
          </w:rPr>
          <w:instrText xml:space="preserve"> PAGEREF _Toc280272729 \h </w:instrText>
        </w:r>
        <w:r>
          <w:rPr>
            <w:noProof/>
            <w:webHidden/>
          </w:rPr>
        </w:r>
        <w:r>
          <w:rPr>
            <w:noProof/>
            <w:webHidden/>
          </w:rPr>
          <w:fldChar w:fldCharType="separate"/>
        </w:r>
        <w:r w:rsidR="00F73B36">
          <w:rPr>
            <w:noProof/>
            <w:webHidden/>
          </w:rPr>
          <w:t>33</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30" w:history="1">
        <w:r w:rsidR="00E56335" w:rsidRPr="009E336D">
          <w:rPr>
            <w:rStyle w:val="Hyperlink"/>
            <w:noProof/>
          </w:rPr>
          <w:t xml:space="preserve">Article 16 </w:t>
        </w:r>
        <w:r w:rsidR="00E56335">
          <w:rPr>
            <w:rStyle w:val="Hyperlink"/>
            <w:noProof/>
          </w:rPr>
          <w:t>–</w:t>
        </w:r>
        <w:r w:rsidR="00E56335" w:rsidRPr="009E336D">
          <w:rPr>
            <w:rStyle w:val="Hyperlink"/>
            <w:noProof/>
          </w:rPr>
          <w:t xml:space="preserve"> Spectrum Fees for Optical and laser links</w:t>
        </w:r>
        <w:r w:rsidR="00E56335">
          <w:rPr>
            <w:noProof/>
            <w:webHidden/>
          </w:rPr>
          <w:tab/>
        </w:r>
        <w:r w:rsidR="00E56335">
          <w:rPr>
            <w:noProof/>
            <w:webHidden/>
          </w:rPr>
          <w:tab/>
        </w:r>
        <w:r>
          <w:rPr>
            <w:noProof/>
            <w:webHidden/>
          </w:rPr>
          <w:fldChar w:fldCharType="begin"/>
        </w:r>
        <w:r w:rsidR="00E56335">
          <w:rPr>
            <w:noProof/>
            <w:webHidden/>
          </w:rPr>
          <w:instrText xml:space="preserve"> PAGEREF _Toc280272730 \h </w:instrText>
        </w:r>
        <w:r>
          <w:rPr>
            <w:noProof/>
            <w:webHidden/>
          </w:rPr>
        </w:r>
        <w:r>
          <w:rPr>
            <w:noProof/>
            <w:webHidden/>
          </w:rPr>
          <w:fldChar w:fldCharType="separate"/>
        </w:r>
        <w:r w:rsidR="00F73B36">
          <w:rPr>
            <w:noProof/>
            <w:webHidden/>
          </w:rPr>
          <w:t>34</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31" w:history="1">
        <w:r w:rsidR="00E56335" w:rsidRPr="009E336D">
          <w:rPr>
            <w:rStyle w:val="Hyperlink"/>
            <w:noProof/>
          </w:rPr>
          <w:t xml:space="preserve">Article 17 </w:t>
        </w:r>
        <w:r w:rsidR="00E56335">
          <w:rPr>
            <w:rStyle w:val="Hyperlink"/>
            <w:noProof/>
          </w:rPr>
          <w:t>–</w:t>
        </w:r>
        <w:r w:rsidR="00E56335" w:rsidRPr="009E336D">
          <w:rPr>
            <w:rStyle w:val="Hyperlink"/>
            <w:noProof/>
          </w:rPr>
          <w:t xml:space="preserve"> Spectrum Fees for WLAN and cordless telephony</w:t>
        </w:r>
        <w:r w:rsidR="00E56335">
          <w:rPr>
            <w:noProof/>
            <w:webHidden/>
          </w:rPr>
          <w:tab/>
        </w:r>
        <w:r w:rsidR="00E56335">
          <w:rPr>
            <w:noProof/>
            <w:webHidden/>
          </w:rPr>
          <w:tab/>
        </w:r>
        <w:r>
          <w:rPr>
            <w:noProof/>
            <w:webHidden/>
          </w:rPr>
          <w:fldChar w:fldCharType="begin"/>
        </w:r>
        <w:r w:rsidR="00E56335">
          <w:rPr>
            <w:noProof/>
            <w:webHidden/>
          </w:rPr>
          <w:instrText xml:space="preserve"> PAGEREF _Toc280272731 \h </w:instrText>
        </w:r>
        <w:r>
          <w:rPr>
            <w:noProof/>
            <w:webHidden/>
          </w:rPr>
        </w:r>
        <w:r>
          <w:rPr>
            <w:noProof/>
            <w:webHidden/>
          </w:rPr>
          <w:fldChar w:fldCharType="separate"/>
        </w:r>
        <w:r w:rsidR="00F73B36">
          <w:rPr>
            <w:noProof/>
            <w:webHidden/>
          </w:rPr>
          <w:t>34</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32" w:history="1">
        <w:r w:rsidR="00E56335" w:rsidRPr="009E336D">
          <w:rPr>
            <w:rStyle w:val="Hyperlink"/>
            <w:noProof/>
          </w:rPr>
          <w:t xml:space="preserve">Article 18 </w:t>
        </w:r>
        <w:r w:rsidR="00E56335">
          <w:rPr>
            <w:rStyle w:val="Hyperlink"/>
            <w:noProof/>
          </w:rPr>
          <w:t>–</w:t>
        </w:r>
        <w:r w:rsidR="00E56335" w:rsidRPr="009E336D">
          <w:rPr>
            <w:rStyle w:val="Hyperlink"/>
            <w:noProof/>
          </w:rPr>
          <w:t xml:space="preserve"> Spectrum Fees for GMPCS</w:t>
        </w:r>
        <w:r w:rsidR="00E56335">
          <w:rPr>
            <w:noProof/>
            <w:webHidden/>
          </w:rPr>
          <w:tab/>
        </w:r>
        <w:r w:rsidR="00E56335">
          <w:rPr>
            <w:noProof/>
            <w:webHidden/>
          </w:rPr>
          <w:tab/>
        </w:r>
        <w:r>
          <w:rPr>
            <w:noProof/>
            <w:webHidden/>
          </w:rPr>
          <w:fldChar w:fldCharType="begin"/>
        </w:r>
        <w:r w:rsidR="00E56335">
          <w:rPr>
            <w:noProof/>
            <w:webHidden/>
          </w:rPr>
          <w:instrText xml:space="preserve"> PAGEREF _Toc280272732 \h </w:instrText>
        </w:r>
        <w:r>
          <w:rPr>
            <w:noProof/>
            <w:webHidden/>
          </w:rPr>
        </w:r>
        <w:r>
          <w:rPr>
            <w:noProof/>
            <w:webHidden/>
          </w:rPr>
          <w:fldChar w:fldCharType="separate"/>
        </w:r>
        <w:r w:rsidR="00F73B36">
          <w:rPr>
            <w:noProof/>
            <w:webHidden/>
          </w:rPr>
          <w:t>34</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33" w:history="1">
        <w:r w:rsidR="00E56335" w:rsidRPr="009E336D">
          <w:rPr>
            <w:rStyle w:val="Hyperlink"/>
            <w:noProof/>
          </w:rPr>
          <w:t xml:space="preserve">Article 19 </w:t>
        </w:r>
        <w:r w:rsidR="00E56335">
          <w:rPr>
            <w:rStyle w:val="Hyperlink"/>
            <w:noProof/>
          </w:rPr>
          <w:t>–</w:t>
        </w:r>
        <w:r w:rsidR="00E56335" w:rsidRPr="009E336D">
          <w:rPr>
            <w:rStyle w:val="Hyperlink"/>
            <w:noProof/>
          </w:rPr>
          <w:t xml:space="preserve"> Spectrum Fees for Amateur</w:t>
        </w:r>
        <w:r w:rsidR="00E56335">
          <w:rPr>
            <w:noProof/>
            <w:webHidden/>
          </w:rPr>
          <w:tab/>
        </w:r>
        <w:r w:rsidR="00E56335">
          <w:rPr>
            <w:noProof/>
            <w:webHidden/>
          </w:rPr>
          <w:tab/>
        </w:r>
        <w:r>
          <w:rPr>
            <w:noProof/>
            <w:webHidden/>
          </w:rPr>
          <w:fldChar w:fldCharType="begin"/>
        </w:r>
        <w:r w:rsidR="00E56335">
          <w:rPr>
            <w:noProof/>
            <w:webHidden/>
          </w:rPr>
          <w:instrText xml:space="preserve"> PAGEREF _Toc280272733 \h </w:instrText>
        </w:r>
        <w:r>
          <w:rPr>
            <w:noProof/>
            <w:webHidden/>
          </w:rPr>
        </w:r>
        <w:r>
          <w:rPr>
            <w:noProof/>
            <w:webHidden/>
          </w:rPr>
          <w:fldChar w:fldCharType="separate"/>
        </w:r>
        <w:r w:rsidR="00F73B36">
          <w:rPr>
            <w:noProof/>
            <w:webHidden/>
          </w:rPr>
          <w:t>35</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34" w:history="1">
        <w:r w:rsidR="00E56335" w:rsidRPr="009E336D">
          <w:rPr>
            <w:rStyle w:val="Hyperlink"/>
            <w:noProof/>
          </w:rPr>
          <w:t xml:space="preserve">Article 20 </w:t>
        </w:r>
        <w:r w:rsidR="00E56335">
          <w:rPr>
            <w:rStyle w:val="Hyperlink"/>
            <w:noProof/>
          </w:rPr>
          <w:t>–</w:t>
        </w:r>
        <w:r w:rsidR="00E56335" w:rsidRPr="009E336D">
          <w:rPr>
            <w:rStyle w:val="Hyperlink"/>
            <w:noProof/>
          </w:rPr>
          <w:t xml:space="preserve"> Spectrum Fees for Aeronautical Radio Stations</w:t>
        </w:r>
        <w:r w:rsidR="00E56335">
          <w:rPr>
            <w:noProof/>
            <w:webHidden/>
          </w:rPr>
          <w:tab/>
        </w:r>
        <w:r w:rsidR="00E56335">
          <w:rPr>
            <w:noProof/>
            <w:webHidden/>
          </w:rPr>
          <w:tab/>
        </w:r>
        <w:r>
          <w:rPr>
            <w:noProof/>
            <w:webHidden/>
          </w:rPr>
          <w:fldChar w:fldCharType="begin"/>
        </w:r>
        <w:r w:rsidR="00E56335">
          <w:rPr>
            <w:noProof/>
            <w:webHidden/>
          </w:rPr>
          <w:instrText xml:space="preserve"> PAGEREF _Toc280272734 \h </w:instrText>
        </w:r>
        <w:r>
          <w:rPr>
            <w:noProof/>
            <w:webHidden/>
          </w:rPr>
        </w:r>
        <w:r>
          <w:rPr>
            <w:noProof/>
            <w:webHidden/>
          </w:rPr>
          <w:fldChar w:fldCharType="separate"/>
        </w:r>
        <w:r w:rsidR="00F73B36">
          <w:rPr>
            <w:noProof/>
            <w:webHidden/>
          </w:rPr>
          <w:t>35</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35" w:history="1">
        <w:r w:rsidR="00E56335" w:rsidRPr="009E336D">
          <w:rPr>
            <w:rStyle w:val="Hyperlink"/>
            <w:noProof/>
          </w:rPr>
          <w:t xml:space="preserve">Article 21 </w:t>
        </w:r>
        <w:r w:rsidR="00E56335">
          <w:rPr>
            <w:rStyle w:val="Hyperlink"/>
            <w:noProof/>
          </w:rPr>
          <w:t>–</w:t>
        </w:r>
        <w:r w:rsidR="00E56335" w:rsidRPr="009E336D">
          <w:rPr>
            <w:rStyle w:val="Hyperlink"/>
            <w:noProof/>
          </w:rPr>
          <w:t xml:space="preserve"> Spectrum Fees for Maritime Radio Services</w:t>
        </w:r>
        <w:r w:rsidR="00E56335">
          <w:rPr>
            <w:noProof/>
            <w:webHidden/>
          </w:rPr>
          <w:tab/>
        </w:r>
        <w:r w:rsidR="00E56335">
          <w:rPr>
            <w:noProof/>
            <w:webHidden/>
          </w:rPr>
          <w:tab/>
        </w:r>
        <w:r>
          <w:rPr>
            <w:noProof/>
            <w:webHidden/>
          </w:rPr>
          <w:fldChar w:fldCharType="begin"/>
        </w:r>
        <w:r w:rsidR="00E56335">
          <w:rPr>
            <w:noProof/>
            <w:webHidden/>
          </w:rPr>
          <w:instrText xml:space="preserve"> PAGEREF _Toc280272735 \h </w:instrText>
        </w:r>
        <w:r>
          <w:rPr>
            <w:noProof/>
            <w:webHidden/>
          </w:rPr>
        </w:r>
        <w:r>
          <w:rPr>
            <w:noProof/>
            <w:webHidden/>
          </w:rPr>
          <w:fldChar w:fldCharType="separate"/>
        </w:r>
        <w:r w:rsidR="00F73B36">
          <w:rPr>
            <w:noProof/>
            <w:webHidden/>
          </w:rPr>
          <w:t>35</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36" w:history="1">
        <w:r w:rsidR="00E56335" w:rsidRPr="009E336D">
          <w:rPr>
            <w:rStyle w:val="Hyperlink"/>
            <w:noProof/>
          </w:rPr>
          <w:t xml:space="preserve">Article 22 </w:t>
        </w:r>
        <w:r w:rsidR="00E56335">
          <w:rPr>
            <w:rStyle w:val="Hyperlink"/>
            <w:noProof/>
          </w:rPr>
          <w:t>–</w:t>
        </w:r>
        <w:r w:rsidR="00E56335" w:rsidRPr="009E336D">
          <w:rPr>
            <w:rStyle w:val="Hyperlink"/>
            <w:noProof/>
          </w:rPr>
          <w:t xml:space="preserve"> Spectrum Fees for Space Services and Ancillary</w:t>
        </w:r>
        <w:r w:rsidR="00E56335">
          <w:rPr>
            <w:noProof/>
            <w:webHidden/>
          </w:rPr>
          <w:tab/>
        </w:r>
        <w:r w:rsidR="00E56335">
          <w:rPr>
            <w:noProof/>
            <w:webHidden/>
          </w:rPr>
          <w:tab/>
        </w:r>
        <w:r>
          <w:rPr>
            <w:noProof/>
            <w:webHidden/>
          </w:rPr>
          <w:fldChar w:fldCharType="begin"/>
        </w:r>
        <w:r w:rsidR="00E56335">
          <w:rPr>
            <w:noProof/>
            <w:webHidden/>
          </w:rPr>
          <w:instrText xml:space="preserve"> PAGEREF _Toc280272736 \h </w:instrText>
        </w:r>
        <w:r>
          <w:rPr>
            <w:noProof/>
            <w:webHidden/>
          </w:rPr>
        </w:r>
        <w:r>
          <w:rPr>
            <w:noProof/>
            <w:webHidden/>
          </w:rPr>
          <w:fldChar w:fldCharType="separate"/>
        </w:r>
        <w:r w:rsidR="00F73B36">
          <w:rPr>
            <w:noProof/>
            <w:webHidden/>
          </w:rPr>
          <w:t>36</w:t>
        </w:r>
        <w:r>
          <w:rPr>
            <w:noProof/>
            <w:webHidden/>
          </w:rPr>
          <w:fldChar w:fldCharType="end"/>
        </w:r>
      </w:hyperlink>
    </w:p>
    <w:p w:rsidR="00462254" w:rsidRDefault="00BA52D0" w:rsidP="008E2BAC">
      <w:pPr>
        <w:pStyle w:val="TOC1"/>
        <w:rPr>
          <w:i/>
          <w:iCs/>
          <w:noProof/>
        </w:rPr>
      </w:pPr>
      <w:hyperlink w:anchor="_Toc280272737" w:history="1">
        <w:r w:rsidR="00E56335" w:rsidRPr="009E336D">
          <w:rPr>
            <w:rStyle w:val="Hyperlink"/>
            <w:noProof/>
          </w:rPr>
          <w:t xml:space="preserve">Article 23 </w:t>
        </w:r>
        <w:r w:rsidR="00E56335">
          <w:rPr>
            <w:rStyle w:val="Hyperlink"/>
            <w:noProof/>
          </w:rPr>
          <w:t>–</w:t>
        </w:r>
        <w:r w:rsidR="00E56335" w:rsidRPr="009E336D">
          <w:rPr>
            <w:rStyle w:val="Hyperlink"/>
            <w:noProof/>
          </w:rPr>
          <w:t xml:space="preserve"> Spectrum Fees for Radionavigation stations</w:t>
        </w:r>
        <w:r w:rsidR="00E56335">
          <w:rPr>
            <w:noProof/>
            <w:webHidden/>
          </w:rPr>
          <w:tab/>
        </w:r>
        <w:r w:rsidR="00E56335">
          <w:rPr>
            <w:noProof/>
            <w:webHidden/>
          </w:rPr>
          <w:tab/>
        </w:r>
        <w:r>
          <w:rPr>
            <w:noProof/>
            <w:webHidden/>
          </w:rPr>
          <w:fldChar w:fldCharType="begin"/>
        </w:r>
        <w:r w:rsidR="00E56335">
          <w:rPr>
            <w:noProof/>
            <w:webHidden/>
          </w:rPr>
          <w:instrText xml:space="preserve"> PAGEREF _Toc280272737 \h </w:instrText>
        </w:r>
        <w:r>
          <w:rPr>
            <w:noProof/>
            <w:webHidden/>
          </w:rPr>
        </w:r>
        <w:r>
          <w:rPr>
            <w:noProof/>
            <w:webHidden/>
          </w:rPr>
          <w:fldChar w:fldCharType="separate"/>
        </w:r>
        <w:r w:rsidR="00F73B36">
          <w:rPr>
            <w:noProof/>
            <w:webHidden/>
          </w:rPr>
          <w:t>36</w:t>
        </w:r>
        <w:r>
          <w:rPr>
            <w:noProof/>
            <w:webHidden/>
          </w:rPr>
          <w:fldChar w:fldCharType="end"/>
        </w:r>
      </w:hyperlink>
      <w:r w:rsidR="00462254">
        <w:rPr>
          <w:iCs/>
          <w:noProof/>
        </w:rPr>
        <w:br w:type="page"/>
      </w:r>
    </w:p>
    <w:p w:rsidR="00E56335" w:rsidRDefault="00E56335" w:rsidP="00E56335">
      <w:pPr>
        <w:pStyle w:val="Recdate"/>
        <w:keepLines w:val="0"/>
        <w:tabs>
          <w:tab w:val="right" w:pos="9639"/>
        </w:tabs>
        <w:jc w:val="left"/>
        <w:rPr>
          <w:b/>
          <w:iCs/>
          <w:noProof/>
        </w:rPr>
      </w:pPr>
      <w:r w:rsidRPr="0008342F">
        <w:rPr>
          <w:iCs/>
          <w:noProof/>
        </w:rPr>
        <w:lastRenderedPageBreak/>
        <w:tab/>
      </w:r>
      <w:r w:rsidRPr="00153922">
        <w:rPr>
          <w:b/>
          <w:iCs/>
          <w:noProof/>
        </w:rPr>
        <w:t>Page</w:t>
      </w:r>
    </w:p>
    <w:p w:rsidR="00E56335" w:rsidRDefault="00BA52D0" w:rsidP="00E56335">
      <w:pPr>
        <w:pStyle w:val="TOC1"/>
        <w:rPr>
          <w:rFonts w:asciiTheme="minorHAnsi" w:hAnsiTheme="minorHAnsi" w:cstheme="minorBidi"/>
          <w:noProof/>
          <w:szCs w:val="22"/>
          <w:lang w:eastAsia="zh-CN"/>
        </w:rPr>
      </w:pPr>
      <w:hyperlink w:anchor="_Toc280272738" w:history="1">
        <w:r w:rsidR="00E56335" w:rsidRPr="009E336D">
          <w:rPr>
            <w:rStyle w:val="Hyperlink"/>
            <w:noProof/>
          </w:rPr>
          <w:t xml:space="preserve">Article 24 </w:t>
        </w:r>
        <w:r w:rsidR="00E56335">
          <w:rPr>
            <w:rStyle w:val="Hyperlink"/>
            <w:noProof/>
          </w:rPr>
          <w:t>–</w:t>
        </w:r>
        <w:r w:rsidR="00E56335" w:rsidRPr="009E336D">
          <w:rPr>
            <w:rStyle w:val="Hyperlink"/>
            <w:noProof/>
          </w:rPr>
          <w:t xml:space="preserve"> Spectrum Fees for Radio Astronomy stations</w:t>
        </w:r>
        <w:r w:rsidR="00E56335">
          <w:rPr>
            <w:noProof/>
            <w:webHidden/>
          </w:rPr>
          <w:tab/>
        </w:r>
        <w:r w:rsidR="00E56335">
          <w:rPr>
            <w:noProof/>
            <w:webHidden/>
          </w:rPr>
          <w:tab/>
        </w:r>
        <w:r>
          <w:rPr>
            <w:noProof/>
            <w:webHidden/>
          </w:rPr>
          <w:fldChar w:fldCharType="begin"/>
        </w:r>
        <w:r w:rsidR="00E56335">
          <w:rPr>
            <w:noProof/>
            <w:webHidden/>
          </w:rPr>
          <w:instrText xml:space="preserve"> PAGEREF _Toc280272738 \h </w:instrText>
        </w:r>
        <w:r>
          <w:rPr>
            <w:noProof/>
            <w:webHidden/>
          </w:rPr>
        </w:r>
        <w:r>
          <w:rPr>
            <w:noProof/>
            <w:webHidden/>
          </w:rPr>
          <w:fldChar w:fldCharType="separate"/>
        </w:r>
        <w:r w:rsidR="00F73B36">
          <w:rPr>
            <w:noProof/>
            <w:webHidden/>
          </w:rPr>
          <w:t>36</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39" w:history="1">
        <w:r w:rsidR="00E56335" w:rsidRPr="009E336D">
          <w:rPr>
            <w:rStyle w:val="Hyperlink"/>
            <w:noProof/>
          </w:rPr>
          <w:t xml:space="preserve">Article 25 </w:t>
        </w:r>
        <w:r w:rsidR="00E56335">
          <w:rPr>
            <w:rStyle w:val="Hyperlink"/>
            <w:noProof/>
          </w:rPr>
          <w:t>–</w:t>
        </w:r>
        <w:r w:rsidR="00E56335" w:rsidRPr="009E336D">
          <w:rPr>
            <w:rStyle w:val="Hyperlink"/>
            <w:noProof/>
          </w:rPr>
          <w:t xml:space="preserve"> Spectrum Fees for Radiolocation stations</w:t>
        </w:r>
        <w:r w:rsidR="00E56335">
          <w:rPr>
            <w:noProof/>
            <w:webHidden/>
          </w:rPr>
          <w:tab/>
        </w:r>
        <w:r w:rsidR="00E56335">
          <w:rPr>
            <w:noProof/>
            <w:webHidden/>
          </w:rPr>
          <w:tab/>
        </w:r>
        <w:r>
          <w:rPr>
            <w:noProof/>
            <w:webHidden/>
          </w:rPr>
          <w:fldChar w:fldCharType="begin"/>
        </w:r>
        <w:r w:rsidR="00E56335">
          <w:rPr>
            <w:noProof/>
            <w:webHidden/>
          </w:rPr>
          <w:instrText xml:space="preserve"> PAGEREF _Toc280272739 \h </w:instrText>
        </w:r>
        <w:r>
          <w:rPr>
            <w:noProof/>
            <w:webHidden/>
          </w:rPr>
        </w:r>
        <w:r>
          <w:rPr>
            <w:noProof/>
            <w:webHidden/>
          </w:rPr>
          <w:fldChar w:fldCharType="separate"/>
        </w:r>
        <w:r w:rsidR="00F73B36">
          <w:rPr>
            <w:noProof/>
            <w:webHidden/>
          </w:rPr>
          <w:t>36</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40" w:history="1">
        <w:r w:rsidR="00E56335" w:rsidRPr="009E336D">
          <w:rPr>
            <w:rStyle w:val="Hyperlink"/>
            <w:noProof/>
          </w:rPr>
          <w:t xml:space="preserve">Article 26 </w:t>
        </w:r>
        <w:r w:rsidR="00E56335">
          <w:rPr>
            <w:rStyle w:val="Hyperlink"/>
            <w:noProof/>
          </w:rPr>
          <w:t>–</w:t>
        </w:r>
        <w:r w:rsidR="00E56335" w:rsidRPr="009E336D">
          <w:rPr>
            <w:rStyle w:val="Hyperlink"/>
            <w:noProof/>
          </w:rPr>
          <w:t xml:space="preserve"> Spectrum Fees for Broadcasting Service</w:t>
        </w:r>
        <w:r w:rsidR="00E56335">
          <w:rPr>
            <w:noProof/>
            <w:webHidden/>
          </w:rPr>
          <w:tab/>
        </w:r>
        <w:r w:rsidR="00E56335">
          <w:rPr>
            <w:noProof/>
            <w:webHidden/>
          </w:rPr>
          <w:tab/>
        </w:r>
        <w:r>
          <w:rPr>
            <w:noProof/>
            <w:webHidden/>
          </w:rPr>
          <w:fldChar w:fldCharType="begin"/>
        </w:r>
        <w:r w:rsidR="00E56335">
          <w:rPr>
            <w:noProof/>
            <w:webHidden/>
          </w:rPr>
          <w:instrText xml:space="preserve"> PAGEREF _Toc280272740 \h </w:instrText>
        </w:r>
        <w:r>
          <w:rPr>
            <w:noProof/>
            <w:webHidden/>
          </w:rPr>
        </w:r>
        <w:r>
          <w:rPr>
            <w:noProof/>
            <w:webHidden/>
          </w:rPr>
          <w:fldChar w:fldCharType="separate"/>
        </w:r>
        <w:r w:rsidR="00F73B36">
          <w:rPr>
            <w:noProof/>
            <w:webHidden/>
          </w:rPr>
          <w:t>36</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41" w:history="1">
        <w:r w:rsidR="00E56335" w:rsidRPr="009E336D">
          <w:rPr>
            <w:rStyle w:val="Hyperlink"/>
            <w:noProof/>
          </w:rPr>
          <w:t xml:space="preserve">Article 27 </w:t>
        </w:r>
        <w:r w:rsidR="00E56335">
          <w:rPr>
            <w:rStyle w:val="Hyperlink"/>
            <w:noProof/>
          </w:rPr>
          <w:t>–</w:t>
        </w:r>
        <w:r w:rsidR="00E56335" w:rsidRPr="009E336D">
          <w:rPr>
            <w:rStyle w:val="Hyperlink"/>
            <w:noProof/>
          </w:rPr>
          <w:t xml:space="preserve"> Short Range Devices</w:t>
        </w:r>
        <w:r w:rsidR="00E56335">
          <w:rPr>
            <w:noProof/>
            <w:webHidden/>
          </w:rPr>
          <w:tab/>
        </w:r>
        <w:r w:rsidR="00E56335">
          <w:rPr>
            <w:noProof/>
            <w:webHidden/>
          </w:rPr>
          <w:tab/>
        </w:r>
        <w:r>
          <w:rPr>
            <w:noProof/>
            <w:webHidden/>
          </w:rPr>
          <w:fldChar w:fldCharType="begin"/>
        </w:r>
        <w:r w:rsidR="00E56335">
          <w:rPr>
            <w:noProof/>
            <w:webHidden/>
          </w:rPr>
          <w:instrText xml:space="preserve"> PAGEREF _Toc280272741 \h </w:instrText>
        </w:r>
        <w:r>
          <w:rPr>
            <w:noProof/>
            <w:webHidden/>
          </w:rPr>
        </w:r>
        <w:r>
          <w:rPr>
            <w:noProof/>
            <w:webHidden/>
          </w:rPr>
          <w:fldChar w:fldCharType="separate"/>
        </w:r>
        <w:r w:rsidR="00F73B36">
          <w:rPr>
            <w:noProof/>
            <w:webHidden/>
          </w:rPr>
          <w:t>40</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42" w:history="1">
        <w:r w:rsidR="00E56335" w:rsidRPr="009E336D">
          <w:rPr>
            <w:rStyle w:val="Hyperlink"/>
            <w:noProof/>
          </w:rPr>
          <w:t>Article 28</w:t>
        </w:r>
        <w:r w:rsidR="00E56335" w:rsidRPr="009E336D">
          <w:rPr>
            <w:rStyle w:val="Hyperlink"/>
            <w:bCs/>
            <w:noProof/>
          </w:rPr>
          <w:t xml:space="preserve"> </w:t>
        </w:r>
        <w:r w:rsidR="00E56335">
          <w:rPr>
            <w:rStyle w:val="Hyperlink"/>
            <w:bCs/>
            <w:noProof/>
          </w:rPr>
          <w:t>–</w:t>
        </w:r>
        <w:r w:rsidR="00E56335" w:rsidRPr="009E336D">
          <w:rPr>
            <w:rStyle w:val="Hyperlink"/>
            <w:bCs/>
            <w:noProof/>
          </w:rPr>
          <w:t xml:space="preserve"> </w:t>
        </w:r>
        <w:r w:rsidR="00E56335" w:rsidRPr="009E336D">
          <w:rPr>
            <w:rStyle w:val="Hyperlink"/>
            <w:noProof/>
          </w:rPr>
          <w:t>Emergency and disaster frequencies</w:t>
        </w:r>
        <w:r w:rsidR="00E56335">
          <w:rPr>
            <w:noProof/>
            <w:webHidden/>
          </w:rPr>
          <w:tab/>
        </w:r>
        <w:r w:rsidR="00E56335">
          <w:rPr>
            <w:noProof/>
            <w:webHidden/>
          </w:rPr>
          <w:tab/>
        </w:r>
        <w:r>
          <w:rPr>
            <w:noProof/>
            <w:webHidden/>
          </w:rPr>
          <w:fldChar w:fldCharType="begin"/>
        </w:r>
        <w:r w:rsidR="00E56335">
          <w:rPr>
            <w:noProof/>
            <w:webHidden/>
          </w:rPr>
          <w:instrText xml:space="preserve"> PAGEREF _Toc280272742 \h </w:instrText>
        </w:r>
        <w:r>
          <w:rPr>
            <w:noProof/>
            <w:webHidden/>
          </w:rPr>
        </w:r>
        <w:r>
          <w:rPr>
            <w:noProof/>
            <w:webHidden/>
          </w:rPr>
          <w:fldChar w:fldCharType="separate"/>
        </w:r>
        <w:r w:rsidR="00F73B36">
          <w:rPr>
            <w:noProof/>
            <w:webHidden/>
          </w:rPr>
          <w:t>40</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43" w:history="1">
        <w:r w:rsidR="00E56335" w:rsidRPr="009E336D">
          <w:rPr>
            <w:rStyle w:val="Hyperlink"/>
            <w:noProof/>
          </w:rPr>
          <w:t xml:space="preserve">Article 29 </w:t>
        </w:r>
        <w:r w:rsidR="00E56335">
          <w:rPr>
            <w:rStyle w:val="Hyperlink"/>
            <w:bCs/>
            <w:noProof/>
          </w:rPr>
          <w:t>–</w:t>
        </w:r>
        <w:r w:rsidR="00E56335" w:rsidRPr="009E336D">
          <w:rPr>
            <w:rStyle w:val="Hyperlink"/>
            <w:noProof/>
          </w:rPr>
          <w:t xml:space="preserve"> Temporary Authorization</w:t>
        </w:r>
        <w:r w:rsidR="00E56335">
          <w:rPr>
            <w:noProof/>
            <w:webHidden/>
          </w:rPr>
          <w:tab/>
        </w:r>
        <w:r w:rsidR="00E56335">
          <w:rPr>
            <w:noProof/>
            <w:webHidden/>
          </w:rPr>
          <w:tab/>
        </w:r>
        <w:r>
          <w:rPr>
            <w:noProof/>
            <w:webHidden/>
          </w:rPr>
          <w:fldChar w:fldCharType="begin"/>
        </w:r>
        <w:r w:rsidR="00E56335">
          <w:rPr>
            <w:noProof/>
            <w:webHidden/>
          </w:rPr>
          <w:instrText xml:space="preserve"> PAGEREF _Toc280272743 \h </w:instrText>
        </w:r>
        <w:r>
          <w:rPr>
            <w:noProof/>
            <w:webHidden/>
          </w:rPr>
        </w:r>
        <w:r>
          <w:rPr>
            <w:noProof/>
            <w:webHidden/>
          </w:rPr>
          <w:fldChar w:fldCharType="separate"/>
        </w:r>
        <w:r w:rsidR="00F73B36">
          <w:rPr>
            <w:noProof/>
            <w:webHidden/>
          </w:rPr>
          <w:t>41</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44" w:history="1">
        <w:r w:rsidR="00E56335" w:rsidRPr="009E336D">
          <w:rPr>
            <w:rStyle w:val="Hyperlink"/>
            <w:noProof/>
          </w:rPr>
          <w:t xml:space="preserve">Article 30 </w:t>
        </w:r>
        <w:r w:rsidR="00E56335">
          <w:rPr>
            <w:rStyle w:val="Hyperlink"/>
            <w:bCs/>
            <w:noProof/>
          </w:rPr>
          <w:t>–</w:t>
        </w:r>
        <w:r w:rsidR="00E56335" w:rsidRPr="009E336D">
          <w:rPr>
            <w:rStyle w:val="Hyperlink"/>
            <w:noProof/>
          </w:rPr>
          <w:t xml:space="preserve"> Other Radio Services</w:t>
        </w:r>
        <w:r w:rsidR="00E56335">
          <w:rPr>
            <w:noProof/>
            <w:webHidden/>
          </w:rPr>
          <w:tab/>
        </w:r>
        <w:r w:rsidR="00E56335">
          <w:rPr>
            <w:noProof/>
            <w:webHidden/>
          </w:rPr>
          <w:tab/>
        </w:r>
        <w:r>
          <w:rPr>
            <w:noProof/>
            <w:webHidden/>
          </w:rPr>
          <w:fldChar w:fldCharType="begin"/>
        </w:r>
        <w:r w:rsidR="00E56335">
          <w:rPr>
            <w:noProof/>
            <w:webHidden/>
          </w:rPr>
          <w:instrText xml:space="preserve"> PAGEREF _Toc280272744 \h </w:instrText>
        </w:r>
        <w:r>
          <w:rPr>
            <w:noProof/>
            <w:webHidden/>
          </w:rPr>
        </w:r>
        <w:r>
          <w:rPr>
            <w:noProof/>
            <w:webHidden/>
          </w:rPr>
          <w:fldChar w:fldCharType="separate"/>
        </w:r>
        <w:r w:rsidR="00F73B36">
          <w:rPr>
            <w:noProof/>
            <w:webHidden/>
          </w:rPr>
          <w:t>41</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45" w:history="1">
        <w:r w:rsidR="00E56335" w:rsidRPr="009E336D">
          <w:rPr>
            <w:rStyle w:val="Hyperlink"/>
            <w:noProof/>
          </w:rPr>
          <w:t xml:space="preserve">Article 31 </w:t>
        </w:r>
        <w:r w:rsidR="00E56335">
          <w:rPr>
            <w:rStyle w:val="Hyperlink"/>
            <w:bCs/>
            <w:noProof/>
          </w:rPr>
          <w:t>–</w:t>
        </w:r>
        <w:r w:rsidR="00E56335" w:rsidRPr="009E336D">
          <w:rPr>
            <w:rStyle w:val="Hyperlink"/>
            <w:noProof/>
          </w:rPr>
          <w:t xml:space="preserve"> Interference complaints processing and monitoring fees</w:t>
        </w:r>
        <w:r w:rsidR="00E56335">
          <w:rPr>
            <w:noProof/>
            <w:webHidden/>
          </w:rPr>
          <w:tab/>
        </w:r>
        <w:r w:rsidR="00E56335">
          <w:rPr>
            <w:noProof/>
            <w:webHidden/>
          </w:rPr>
          <w:tab/>
        </w:r>
        <w:r>
          <w:rPr>
            <w:noProof/>
            <w:webHidden/>
          </w:rPr>
          <w:fldChar w:fldCharType="begin"/>
        </w:r>
        <w:r w:rsidR="00E56335">
          <w:rPr>
            <w:noProof/>
            <w:webHidden/>
          </w:rPr>
          <w:instrText xml:space="preserve"> PAGEREF _Toc280272745 \h </w:instrText>
        </w:r>
        <w:r>
          <w:rPr>
            <w:noProof/>
            <w:webHidden/>
          </w:rPr>
        </w:r>
        <w:r>
          <w:rPr>
            <w:noProof/>
            <w:webHidden/>
          </w:rPr>
          <w:fldChar w:fldCharType="separate"/>
        </w:r>
        <w:r w:rsidR="00F73B36">
          <w:rPr>
            <w:noProof/>
            <w:webHidden/>
          </w:rPr>
          <w:t>41</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46" w:history="1">
        <w:r w:rsidR="00E56335" w:rsidRPr="009E336D">
          <w:rPr>
            <w:rStyle w:val="Hyperlink"/>
            <w:noProof/>
          </w:rPr>
          <w:t xml:space="preserve">Article 32 </w:t>
        </w:r>
        <w:r w:rsidR="00E56335">
          <w:rPr>
            <w:rStyle w:val="Hyperlink"/>
            <w:bCs/>
            <w:noProof/>
          </w:rPr>
          <w:t>–</w:t>
        </w:r>
        <w:r w:rsidR="00E56335" w:rsidRPr="009E336D">
          <w:rPr>
            <w:rStyle w:val="Hyperlink"/>
            <w:noProof/>
          </w:rPr>
          <w:t xml:space="preserve"> Fees for the Foreign Embassies, Consulates and Diplomatic Missions</w:t>
        </w:r>
        <w:r w:rsidR="00E56335">
          <w:rPr>
            <w:noProof/>
            <w:webHidden/>
          </w:rPr>
          <w:tab/>
        </w:r>
        <w:r w:rsidR="00E56335">
          <w:rPr>
            <w:noProof/>
            <w:webHidden/>
          </w:rPr>
          <w:tab/>
        </w:r>
        <w:r>
          <w:rPr>
            <w:noProof/>
            <w:webHidden/>
          </w:rPr>
          <w:fldChar w:fldCharType="begin"/>
        </w:r>
        <w:r w:rsidR="00E56335">
          <w:rPr>
            <w:noProof/>
            <w:webHidden/>
          </w:rPr>
          <w:instrText xml:space="preserve"> PAGEREF _Toc280272746 \h </w:instrText>
        </w:r>
        <w:r>
          <w:rPr>
            <w:noProof/>
            <w:webHidden/>
          </w:rPr>
        </w:r>
        <w:r>
          <w:rPr>
            <w:noProof/>
            <w:webHidden/>
          </w:rPr>
          <w:fldChar w:fldCharType="separate"/>
        </w:r>
        <w:r w:rsidR="00F73B36">
          <w:rPr>
            <w:noProof/>
            <w:webHidden/>
          </w:rPr>
          <w:t>41</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47" w:history="1">
        <w:r w:rsidR="00E56335" w:rsidRPr="009E336D">
          <w:rPr>
            <w:rStyle w:val="Hyperlink"/>
            <w:noProof/>
          </w:rPr>
          <w:t xml:space="preserve">Article 33 </w:t>
        </w:r>
        <w:r w:rsidR="00E56335">
          <w:rPr>
            <w:rStyle w:val="Hyperlink"/>
            <w:bCs/>
            <w:noProof/>
          </w:rPr>
          <w:t>–</w:t>
        </w:r>
        <w:r w:rsidR="00E56335" w:rsidRPr="009E336D">
          <w:rPr>
            <w:rStyle w:val="Hyperlink"/>
            <w:noProof/>
          </w:rPr>
          <w:t xml:space="preserve"> Fees for Site Surveys</w:t>
        </w:r>
        <w:r w:rsidR="00E56335">
          <w:rPr>
            <w:noProof/>
            <w:webHidden/>
          </w:rPr>
          <w:tab/>
        </w:r>
        <w:r w:rsidR="00E56335">
          <w:rPr>
            <w:noProof/>
            <w:webHidden/>
          </w:rPr>
          <w:tab/>
        </w:r>
        <w:r>
          <w:rPr>
            <w:noProof/>
            <w:webHidden/>
          </w:rPr>
          <w:fldChar w:fldCharType="begin"/>
        </w:r>
        <w:r w:rsidR="00E56335">
          <w:rPr>
            <w:noProof/>
            <w:webHidden/>
          </w:rPr>
          <w:instrText xml:space="preserve"> PAGEREF _Toc280272747 \h </w:instrText>
        </w:r>
        <w:r>
          <w:rPr>
            <w:noProof/>
            <w:webHidden/>
          </w:rPr>
        </w:r>
        <w:r>
          <w:rPr>
            <w:noProof/>
            <w:webHidden/>
          </w:rPr>
          <w:fldChar w:fldCharType="separate"/>
        </w:r>
        <w:r w:rsidR="00F73B36">
          <w:rPr>
            <w:noProof/>
            <w:webHidden/>
          </w:rPr>
          <w:t>41</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48" w:history="1">
        <w:r w:rsidR="00E56335" w:rsidRPr="009E336D">
          <w:rPr>
            <w:rStyle w:val="Hyperlink"/>
            <w:noProof/>
          </w:rPr>
          <w:t xml:space="preserve">Article 34 </w:t>
        </w:r>
        <w:r w:rsidR="00E56335">
          <w:rPr>
            <w:rStyle w:val="Hyperlink"/>
            <w:bCs/>
            <w:noProof/>
          </w:rPr>
          <w:t>–</w:t>
        </w:r>
        <w:r w:rsidR="00E56335" w:rsidRPr="009E336D">
          <w:rPr>
            <w:rStyle w:val="Hyperlink"/>
            <w:noProof/>
          </w:rPr>
          <w:t xml:space="preserve"> Obligation to pay</w:t>
        </w:r>
        <w:r w:rsidR="00E56335">
          <w:rPr>
            <w:noProof/>
            <w:webHidden/>
          </w:rPr>
          <w:tab/>
        </w:r>
        <w:r w:rsidR="00E56335">
          <w:rPr>
            <w:noProof/>
            <w:webHidden/>
          </w:rPr>
          <w:tab/>
        </w:r>
        <w:r>
          <w:rPr>
            <w:noProof/>
            <w:webHidden/>
          </w:rPr>
          <w:fldChar w:fldCharType="begin"/>
        </w:r>
        <w:r w:rsidR="00E56335">
          <w:rPr>
            <w:noProof/>
            <w:webHidden/>
          </w:rPr>
          <w:instrText xml:space="preserve"> PAGEREF _Toc280272748 \h </w:instrText>
        </w:r>
        <w:r>
          <w:rPr>
            <w:noProof/>
            <w:webHidden/>
          </w:rPr>
        </w:r>
        <w:r>
          <w:rPr>
            <w:noProof/>
            <w:webHidden/>
          </w:rPr>
          <w:fldChar w:fldCharType="separate"/>
        </w:r>
        <w:r w:rsidR="00F73B36">
          <w:rPr>
            <w:noProof/>
            <w:webHidden/>
          </w:rPr>
          <w:t>41</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49" w:history="1">
        <w:r w:rsidR="00E56335" w:rsidRPr="009E336D">
          <w:rPr>
            <w:rStyle w:val="Hyperlink"/>
            <w:noProof/>
          </w:rPr>
          <w:t>Article 35</w:t>
        </w:r>
        <w:r w:rsidR="00E56335" w:rsidRPr="009E336D">
          <w:rPr>
            <w:rStyle w:val="Hyperlink"/>
            <w:bCs/>
            <w:noProof/>
          </w:rPr>
          <w:t xml:space="preserve"> </w:t>
        </w:r>
        <w:r w:rsidR="00E56335">
          <w:rPr>
            <w:rStyle w:val="Hyperlink"/>
            <w:bCs/>
            <w:noProof/>
          </w:rPr>
          <w:t>–</w:t>
        </w:r>
        <w:r w:rsidR="00E56335" w:rsidRPr="009E336D">
          <w:rPr>
            <w:rStyle w:val="Hyperlink"/>
            <w:bCs/>
            <w:noProof/>
          </w:rPr>
          <w:t xml:space="preserve"> </w:t>
        </w:r>
        <w:r w:rsidR="00E56335" w:rsidRPr="009E336D">
          <w:rPr>
            <w:rStyle w:val="Hyperlink"/>
            <w:noProof/>
          </w:rPr>
          <w:t>Methods of payments</w:t>
        </w:r>
        <w:r w:rsidR="00E56335">
          <w:rPr>
            <w:noProof/>
            <w:webHidden/>
          </w:rPr>
          <w:tab/>
        </w:r>
        <w:r w:rsidR="00E56335">
          <w:rPr>
            <w:noProof/>
            <w:webHidden/>
          </w:rPr>
          <w:tab/>
        </w:r>
        <w:r>
          <w:rPr>
            <w:noProof/>
            <w:webHidden/>
          </w:rPr>
          <w:fldChar w:fldCharType="begin"/>
        </w:r>
        <w:r w:rsidR="00E56335">
          <w:rPr>
            <w:noProof/>
            <w:webHidden/>
          </w:rPr>
          <w:instrText xml:space="preserve"> PAGEREF _Toc280272749 \h </w:instrText>
        </w:r>
        <w:r>
          <w:rPr>
            <w:noProof/>
            <w:webHidden/>
          </w:rPr>
        </w:r>
        <w:r>
          <w:rPr>
            <w:noProof/>
            <w:webHidden/>
          </w:rPr>
          <w:fldChar w:fldCharType="separate"/>
        </w:r>
        <w:r w:rsidR="00F73B36">
          <w:rPr>
            <w:noProof/>
            <w:webHidden/>
          </w:rPr>
          <w:t>42</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50" w:history="1">
        <w:r w:rsidR="00E56335" w:rsidRPr="009E336D">
          <w:rPr>
            <w:rStyle w:val="Hyperlink"/>
            <w:noProof/>
          </w:rPr>
          <w:t xml:space="preserve">Article 36 </w:t>
        </w:r>
        <w:r w:rsidR="00E56335">
          <w:rPr>
            <w:rStyle w:val="Hyperlink"/>
            <w:bCs/>
            <w:noProof/>
          </w:rPr>
          <w:t>–</w:t>
        </w:r>
        <w:r w:rsidR="00E56335" w:rsidRPr="009E336D">
          <w:rPr>
            <w:rStyle w:val="Hyperlink"/>
            <w:noProof/>
          </w:rPr>
          <w:t xml:space="preserve"> Penalties</w:t>
        </w:r>
        <w:r w:rsidR="00E56335">
          <w:rPr>
            <w:noProof/>
            <w:webHidden/>
          </w:rPr>
          <w:tab/>
        </w:r>
        <w:r w:rsidR="00E56335">
          <w:rPr>
            <w:noProof/>
            <w:webHidden/>
          </w:rPr>
          <w:tab/>
        </w:r>
        <w:r>
          <w:rPr>
            <w:noProof/>
            <w:webHidden/>
          </w:rPr>
          <w:fldChar w:fldCharType="begin"/>
        </w:r>
        <w:r w:rsidR="00E56335">
          <w:rPr>
            <w:noProof/>
            <w:webHidden/>
          </w:rPr>
          <w:instrText xml:space="preserve"> PAGEREF _Toc280272750 \h </w:instrText>
        </w:r>
        <w:r>
          <w:rPr>
            <w:noProof/>
            <w:webHidden/>
          </w:rPr>
        </w:r>
        <w:r>
          <w:rPr>
            <w:noProof/>
            <w:webHidden/>
          </w:rPr>
          <w:fldChar w:fldCharType="separate"/>
        </w:r>
        <w:r w:rsidR="00F73B36">
          <w:rPr>
            <w:noProof/>
            <w:webHidden/>
          </w:rPr>
          <w:t>42</w:t>
        </w:r>
        <w:r>
          <w:rPr>
            <w:noProof/>
            <w:webHidden/>
          </w:rPr>
          <w:fldChar w:fldCharType="end"/>
        </w:r>
      </w:hyperlink>
    </w:p>
    <w:p w:rsidR="00E56335" w:rsidRDefault="00BA52D0" w:rsidP="00E56335">
      <w:pPr>
        <w:pStyle w:val="TOC1"/>
        <w:rPr>
          <w:rFonts w:asciiTheme="minorHAnsi" w:hAnsiTheme="minorHAnsi" w:cstheme="minorBidi"/>
          <w:noProof/>
          <w:szCs w:val="22"/>
          <w:lang w:eastAsia="zh-CN"/>
        </w:rPr>
      </w:pPr>
      <w:hyperlink w:anchor="_Toc280272751" w:history="1">
        <w:r w:rsidR="00E56335" w:rsidRPr="009E336D">
          <w:rPr>
            <w:rStyle w:val="Hyperlink"/>
            <w:noProof/>
          </w:rPr>
          <w:t xml:space="preserve">Article 37 </w:t>
        </w:r>
        <w:r w:rsidR="00E56335">
          <w:rPr>
            <w:rStyle w:val="Hyperlink"/>
            <w:bCs/>
            <w:noProof/>
          </w:rPr>
          <w:t>–</w:t>
        </w:r>
        <w:r w:rsidR="00E56335" w:rsidRPr="009E336D">
          <w:rPr>
            <w:rStyle w:val="Hyperlink"/>
            <w:noProof/>
          </w:rPr>
          <w:t xml:space="preserve"> Implementation</w:t>
        </w:r>
        <w:r w:rsidR="00E56335">
          <w:rPr>
            <w:noProof/>
            <w:webHidden/>
          </w:rPr>
          <w:tab/>
        </w:r>
        <w:r w:rsidR="00E56335">
          <w:rPr>
            <w:noProof/>
            <w:webHidden/>
          </w:rPr>
          <w:tab/>
        </w:r>
        <w:r>
          <w:rPr>
            <w:noProof/>
            <w:webHidden/>
          </w:rPr>
          <w:fldChar w:fldCharType="begin"/>
        </w:r>
        <w:r w:rsidR="00E56335">
          <w:rPr>
            <w:noProof/>
            <w:webHidden/>
          </w:rPr>
          <w:instrText xml:space="preserve"> PAGEREF _Toc280272751 \h </w:instrText>
        </w:r>
        <w:r>
          <w:rPr>
            <w:noProof/>
            <w:webHidden/>
          </w:rPr>
        </w:r>
        <w:r>
          <w:rPr>
            <w:noProof/>
            <w:webHidden/>
          </w:rPr>
          <w:fldChar w:fldCharType="separate"/>
        </w:r>
        <w:r w:rsidR="00F73B36">
          <w:rPr>
            <w:noProof/>
            <w:webHidden/>
          </w:rPr>
          <w:t>42</w:t>
        </w:r>
        <w:r>
          <w:rPr>
            <w:noProof/>
            <w:webHidden/>
          </w:rPr>
          <w:fldChar w:fldCharType="end"/>
        </w:r>
      </w:hyperlink>
    </w:p>
    <w:p w:rsidR="00E56335" w:rsidRDefault="00BA52D0" w:rsidP="00E56335">
      <w:r>
        <w:fldChar w:fldCharType="end"/>
      </w:r>
    </w:p>
    <w:p w:rsidR="00E56335" w:rsidRPr="002048E8" w:rsidRDefault="00E56335" w:rsidP="00E56335">
      <w:pPr>
        <w:pStyle w:val="Arttitle"/>
      </w:pPr>
      <w:r>
        <w:br w:type="page"/>
      </w:r>
      <w:bookmarkStart w:id="217" w:name="_Toc280261823"/>
      <w:bookmarkStart w:id="218" w:name="_Toc280262321"/>
      <w:bookmarkStart w:id="219" w:name="_Toc280272715"/>
      <w:bookmarkStart w:id="220" w:name="_Toc280272894"/>
      <w:r w:rsidRPr="002048E8">
        <w:lastRenderedPageBreak/>
        <w:t>Article 1</w:t>
      </w:r>
      <w:r>
        <w:br/>
      </w:r>
      <w:r>
        <w:br/>
      </w:r>
      <w:bookmarkStart w:id="221" w:name="_Toc199215024"/>
      <w:r w:rsidRPr="002048E8">
        <w:t>Purpose</w:t>
      </w:r>
      <w:bookmarkEnd w:id="217"/>
      <w:bookmarkEnd w:id="218"/>
      <w:bookmarkEnd w:id="219"/>
      <w:bookmarkEnd w:id="220"/>
      <w:bookmarkEnd w:id="221"/>
    </w:p>
    <w:p w:rsidR="00E56335" w:rsidRPr="002048E8" w:rsidRDefault="00E56335" w:rsidP="00E56335">
      <w:r w:rsidRPr="002048E8">
        <w:t xml:space="preserve">In accordance with the Federal Law by Decree No. 3 of 2003 as amended and its Executive Order, this Policy sets the </w:t>
      </w:r>
      <w:r>
        <w:t>s</w:t>
      </w:r>
      <w:r w:rsidRPr="002048E8">
        <w:t xml:space="preserve">pectrum </w:t>
      </w:r>
      <w:r>
        <w:t>f</w:t>
      </w:r>
      <w:r w:rsidRPr="002048E8">
        <w:t xml:space="preserve">ees </w:t>
      </w:r>
      <w:r>
        <w:t>s</w:t>
      </w:r>
      <w:r w:rsidRPr="002048E8">
        <w:t xml:space="preserve">chedule for </w:t>
      </w:r>
      <w:r>
        <w:t>Frequency</w:t>
      </w:r>
      <w:r w:rsidRPr="002048E8">
        <w:t xml:space="preserve"> Spectrum and Wireless </w:t>
      </w:r>
      <w:r>
        <w:t>E</w:t>
      </w:r>
      <w:r w:rsidRPr="002048E8">
        <w:t>quipment</w:t>
      </w:r>
      <w:r w:rsidRPr="002048E8" w:rsidDel="00475BFE">
        <w:t xml:space="preserve"> </w:t>
      </w:r>
      <w:r>
        <w:t>A</w:t>
      </w:r>
      <w:r w:rsidRPr="002048E8">
        <w:t xml:space="preserve">uthorization. The </w:t>
      </w:r>
      <w:r>
        <w:t>s</w:t>
      </w:r>
      <w:r w:rsidRPr="002048E8">
        <w:t xml:space="preserve">pectrum </w:t>
      </w:r>
      <w:r>
        <w:t>f</w:t>
      </w:r>
      <w:r w:rsidRPr="002048E8">
        <w:t xml:space="preserve">ees shall be collected in advance for </w:t>
      </w:r>
      <w:r>
        <w:t xml:space="preserve">applying, </w:t>
      </w:r>
      <w:r w:rsidRPr="002048E8">
        <w:t>registering, authorizing or renewing unless exempted in this Policy.</w:t>
      </w:r>
    </w:p>
    <w:p w:rsidR="00E56335" w:rsidRPr="001A775D" w:rsidRDefault="00E56335" w:rsidP="00E56335">
      <w:pPr>
        <w:pStyle w:val="Arttitle"/>
        <w:spacing w:before="400"/>
      </w:pPr>
      <w:bookmarkStart w:id="222" w:name="_Toc280261824"/>
      <w:bookmarkStart w:id="223" w:name="_Toc280262322"/>
      <w:bookmarkStart w:id="224" w:name="_Toc280272716"/>
      <w:bookmarkStart w:id="225" w:name="_Toc280272895"/>
      <w:r>
        <w:t xml:space="preserve">Article </w:t>
      </w:r>
      <w:r w:rsidRPr="002048E8">
        <w:t>2</w:t>
      </w:r>
      <w:r>
        <w:br/>
      </w:r>
      <w:r>
        <w:br/>
      </w:r>
      <w:bookmarkStart w:id="226" w:name="_Toc199215025"/>
      <w:r w:rsidRPr="004307D4">
        <w:t>Definiti</w:t>
      </w:r>
      <w:r w:rsidRPr="001A775D">
        <w:t>ons</w:t>
      </w:r>
      <w:bookmarkEnd w:id="222"/>
      <w:bookmarkEnd w:id="223"/>
      <w:bookmarkEnd w:id="224"/>
      <w:bookmarkEnd w:id="225"/>
      <w:bookmarkEnd w:id="226"/>
    </w:p>
    <w:p w:rsidR="00E56335" w:rsidRPr="002048E8" w:rsidRDefault="00E56335" w:rsidP="00E56335">
      <w:r w:rsidRPr="002048E8">
        <w:t>In applying this policy, the following terms shall have the following meanings unless the context requires otherwise, whereas any term undefined in the following shall be defined in</w:t>
      </w:r>
      <w:r>
        <w:noBreakHyphen/>
      </w:r>
      <w:r w:rsidRPr="002048E8">
        <w:t xml:space="preserve">line with the Federal Law by Decree </w:t>
      </w:r>
      <w:r>
        <w:t>No. 3 of 2003 as amended and it</w:t>
      </w:r>
      <w:r w:rsidRPr="002048E8">
        <w:t>s Executive Order:</w:t>
      </w:r>
    </w:p>
    <w:p w:rsidR="00E56335" w:rsidRPr="00FF2CC2" w:rsidRDefault="00E56335" w:rsidP="00462254">
      <w:pPr>
        <w:pStyle w:val="enumlev1"/>
        <w:spacing w:before="80"/>
        <w:rPr>
          <w:rFonts w:asciiTheme="majorBidi" w:hAnsiTheme="majorBidi" w:cstheme="majorBidi"/>
          <w:szCs w:val="22"/>
        </w:rPr>
      </w:pPr>
      <w:r w:rsidRPr="00FF2CC2">
        <w:rPr>
          <w:rFonts w:asciiTheme="majorBidi" w:hAnsiTheme="majorBidi" w:cstheme="majorBidi"/>
          <w:bCs/>
          <w:szCs w:val="22"/>
        </w:rPr>
        <w:t>2.1</w:t>
      </w:r>
      <w:r w:rsidRPr="00FF2CC2">
        <w:rPr>
          <w:rFonts w:asciiTheme="majorBidi" w:hAnsiTheme="majorBidi" w:cstheme="majorBidi"/>
          <w:b/>
          <w:szCs w:val="22"/>
        </w:rPr>
        <w:tab/>
        <w:t>"Allocation"</w:t>
      </w:r>
      <w:r w:rsidRPr="00FF2CC2">
        <w:rPr>
          <w:rFonts w:asciiTheme="majorBidi" w:hAnsiTheme="majorBidi" w:cstheme="majorBidi"/>
          <w:szCs w:val="22"/>
        </w:rPr>
        <w:t xml:space="preserve"> means the entry of a designated frequency or frequency band in the National Spectrum Plan for use by one or more users for a terrestrial or space Radiocommunication service in the UAE.</w:t>
      </w:r>
    </w:p>
    <w:p w:rsidR="00E56335" w:rsidRPr="00FF2CC2" w:rsidRDefault="00E56335" w:rsidP="00462254">
      <w:pPr>
        <w:pStyle w:val="enumlev1"/>
        <w:spacing w:before="80"/>
        <w:rPr>
          <w:rFonts w:asciiTheme="majorBidi" w:hAnsiTheme="majorBidi" w:cstheme="majorBidi"/>
          <w:szCs w:val="22"/>
        </w:rPr>
      </w:pPr>
      <w:r w:rsidRPr="00FF2CC2">
        <w:rPr>
          <w:rFonts w:asciiTheme="majorBidi" w:hAnsiTheme="majorBidi" w:cstheme="majorBidi"/>
          <w:bCs/>
          <w:szCs w:val="22"/>
        </w:rPr>
        <w:t>2.2</w:t>
      </w:r>
      <w:r w:rsidRPr="00FF2CC2">
        <w:rPr>
          <w:rFonts w:asciiTheme="majorBidi" w:hAnsiTheme="majorBidi" w:cstheme="majorBidi"/>
          <w:b/>
          <w:szCs w:val="22"/>
        </w:rPr>
        <w:tab/>
        <w:t>"Applicant"</w:t>
      </w:r>
      <w:r w:rsidRPr="00FF2CC2">
        <w:rPr>
          <w:rFonts w:asciiTheme="majorBidi" w:hAnsiTheme="majorBidi" w:cstheme="majorBidi"/>
          <w:szCs w:val="22"/>
        </w:rPr>
        <w:t xml:space="preserve"> means any Person who has applied for a License or an Authorization in accordance with the Telecom Law or other Policy Instruments issued by the TRA.</w:t>
      </w:r>
    </w:p>
    <w:p w:rsidR="00E56335" w:rsidRPr="00FF2CC2" w:rsidRDefault="00E56335" w:rsidP="00462254">
      <w:pPr>
        <w:pStyle w:val="enumlev1"/>
        <w:spacing w:before="80"/>
        <w:rPr>
          <w:rFonts w:asciiTheme="majorBidi" w:hAnsiTheme="majorBidi" w:cstheme="majorBidi"/>
          <w:szCs w:val="22"/>
        </w:rPr>
      </w:pPr>
      <w:r w:rsidRPr="00FF2CC2">
        <w:rPr>
          <w:rFonts w:asciiTheme="majorBidi" w:hAnsiTheme="majorBidi" w:cstheme="majorBidi"/>
          <w:bCs/>
          <w:szCs w:val="22"/>
        </w:rPr>
        <w:t>2.3</w:t>
      </w:r>
      <w:r w:rsidRPr="00FF2CC2">
        <w:rPr>
          <w:rFonts w:asciiTheme="majorBidi" w:hAnsiTheme="majorBidi" w:cstheme="majorBidi"/>
          <w:b/>
          <w:szCs w:val="22"/>
        </w:rPr>
        <w:tab/>
        <w:t xml:space="preserve">"Application" </w:t>
      </w:r>
      <w:r w:rsidRPr="00FF2CC2">
        <w:rPr>
          <w:rFonts w:asciiTheme="majorBidi" w:hAnsiTheme="majorBidi" w:cstheme="majorBidi"/>
          <w:szCs w:val="22"/>
        </w:rPr>
        <w:t>means the request for issuance of a License or an Authorization, received at the TRA on prescribed forms as per the procedure in vogue.</w:t>
      </w:r>
    </w:p>
    <w:p w:rsidR="00E56335" w:rsidRPr="00FF2CC2" w:rsidRDefault="00E56335" w:rsidP="00462254">
      <w:pPr>
        <w:pStyle w:val="enumlev1"/>
        <w:spacing w:before="80"/>
        <w:rPr>
          <w:rFonts w:asciiTheme="majorBidi" w:hAnsiTheme="majorBidi" w:cstheme="majorBidi"/>
          <w:szCs w:val="22"/>
        </w:rPr>
      </w:pPr>
      <w:r w:rsidRPr="00FF2CC2">
        <w:rPr>
          <w:rFonts w:asciiTheme="majorBidi" w:hAnsiTheme="majorBidi" w:cstheme="majorBidi"/>
          <w:bCs/>
          <w:szCs w:val="22"/>
        </w:rPr>
        <w:t>2.4</w:t>
      </w:r>
      <w:r w:rsidRPr="00FF2CC2">
        <w:rPr>
          <w:rFonts w:asciiTheme="majorBidi" w:hAnsiTheme="majorBidi" w:cstheme="majorBidi"/>
          <w:b/>
          <w:szCs w:val="22"/>
        </w:rPr>
        <w:tab/>
        <w:t xml:space="preserve">"Authorization" </w:t>
      </w:r>
      <w:r w:rsidRPr="00FF2CC2">
        <w:rPr>
          <w:rFonts w:asciiTheme="majorBidi" w:hAnsiTheme="majorBidi" w:cstheme="majorBidi"/>
          <w:szCs w:val="22"/>
        </w:rPr>
        <w:t>means a Radio Spectrum Authorization awarded by the TRA.</w:t>
      </w:r>
    </w:p>
    <w:p w:rsidR="00E56335" w:rsidRPr="00FF2CC2" w:rsidRDefault="00E56335" w:rsidP="00462254">
      <w:pPr>
        <w:pStyle w:val="enumlev1"/>
        <w:spacing w:before="80"/>
        <w:rPr>
          <w:rFonts w:asciiTheme="majorBidi" w:hAnsiTheme="majorBidi" w:cstheme="majorBidi"/>
          <w:szCs w:val="22"/>
        </w:rPr>
      </w:pPr>
      <w:r w:rsidRPr="00FF2CC2">
        <w:rPr>
          <w:rFonts w:asciiTheme="majorBidi" w:hAnsiTheme="majorBidi" w:cstheme="majorBidi"/>
          <w:bCs/>
          <w:szCs w:val="22"/>
        </w:rPr>
        <w:t>2.5</w:t>
      </w:r>
      <w:r w:rsidRPr="00FF2CC2">
        <w:rPr>
          <w:rFonts w:asciiTheme="majorBidi" w:hAnsiTheme="majorBidi" w:cstheme="majorBidi"/>
          <w:b/>
          <w:szCs w:val="22"/>
        </w:rPr>
        <w:tab/>
        <w:t xml:space="preserve">"Authorized User" </w:t>
      </w:r>
      <w:r w:rsidRPr="00FF2CC2">
        <w:rPr>
          <w:rFonts w:asciiTheme="majorBidi" w:hAnsiTheme="majorBidi" w:cstheme="majorBidi"/>
          <w:szCs w:val="22"/>
        </w:rPr>
        <w:t>means a Person that has been issued a Radio Spectrum Authorization by the TRA.</w:t>
      </w:r>
    </w:p>
    <w:p w:rsidR="00E56335" w:rsidRPr="00FF2CC2" w:rsidRDefault="00E56335" w:rsidP="00462254">
      <w:pPr>
        <w:pStyle w:val="enumlev1"/>
        <w:spacing w:before="80"/>
        <w:rPr>
          <w:rFonts w:asciiTheme="majorBidi" w:hAnsiTheme="majorBidi" w:cstheme="majorBidi"/>
          <w:szCs w:val="22"/>
        </w:rPr>
      </w:pPr>
      <w:r w:rsidRPr="00FF2CC2">
        <w:rPr>
          <w:rFonts w:asciiTheme="majorBidi" w:hAnsiTheme="majorBidi" w:cstheme="majorBidi"/>
          <w:bCs/>
          <w:szCs w:val="22"/>
        </w:rPr>
        <w:t>2.6</w:t>
      </w:r>
      <w:r w:rsidRPr="00FF2CC2">
        <w:rPr>
          <w:rFonts w:asciiTheme="majorBidi" w:hAnsiTheme="majorBidi" w:cstheme="majorBidi"/>
          <w:b/>
          <w:szCs w:val="22"/>
        </w:rPr>
        <w:tab/>
        <w:t>"Class Authorization"</w:t>
      </w:r>
      <w:r w:rsidRPr="00FF2CC2">
        <w:rPr>
          <w:rFonts w:asciiTheme="majorBidi" w:hAnsiTheme="majorBidi" w:cstheme="majorBidi"/>
          <w:szCs w:val="22"/>
        </w:rPr>
        <w:t xml:space="preserve"> means a Radio Spectrum Authorization which permits the operation of Wireless Equipment by any Person within designated frequency bands subject to any Terms and Conditions stipulated therein.</w:t>
      </w:r>
    </w:p>
    <w:p w:rsidR="00E56335" w:rsidRPr="00FF2CC2" w:rsidRDefault="00E56335" w:rsidP="00462254">
      <w:pPr>
        <w:pStyle w:val="enumlev1"/>
        <w:spacing w:before="80"/>
        <w:rPr>
          <w:rFonts w:asciiTheme="majorBidi" w:hAnsiTheme="majorBidi" w:cstheme="majorBidi"/>
          <w:szCs w:val="22"/>
        </w:rPr>
      </w:pPr>
      <w:r w:rsidRPr="00FF2CC2">
        <w:rPr>
          <w:rFonts w:asciiTheme="majorBidi" w:hAnsiTheme="majorBidi" w:cstheme="majorBidi"/>
          <w:bCs/>
          <w:szCs w:val="22"/>
        </w:rPr>
        <w:t>2.7</w:t>
      </w:r>
      <w:r w:rsidRPr="00FF2CC2">
        <w:rPr>
          <w:rFonts w:asciiTheme="majorBidi" w:hAnsiTheme="majorBidi" w:cstheme="majorBidi"/>
          <w:b/>
          <w:szCs w:val="22"/>
        </w:rPr>
        <w:tab/>
        <w:t>"Individual Authorization"</w:t>
      </w:r>
      <w:r w:rsidRPr="00FF2CC2">
        <w:rPr>
          <w:rFonts w:asciiTheme="majorBidi" w:hAnsiTheme="majorBidi" w:cstheme="majorBidi"/>
          <w:szCs w:val="22"/>
        </w:rPr>
        <w:t xml:space="preserve"> means a Radio Spectrum Authorization which permits the operation of Wireless Equipment by a specified Person to whom frequencies have been allocated or assigned, subject to any Terms and Conditions stipulated therein.</w:t>
      </w:r>
    </w:p>
    <w:p w:rsidR="00E56335" w:rsidRPr="00FF2CC2" w:rsidRDefault="00E56335" w:rsidP="00462254">
      <w:pPr>
        <w:pStyle w:val="enumlev1"/>
        <w:spacing w:before="80"/>
        <w:rPr>
          <w:rFonts w:asciiTheme="majorBidi" w:hAnsiTheme="majorBidi" w:cstheme="majorBidi"/>
          <w:szCs w:val="22"/>
        </w:rPr>
      </w:pPr>
      <w:r w:rsidRPr="00FF2CC2">
        <w:rPr>
          <w:rFonts w:asciiTheme="majorBidi" w:hAnsiTheme="majorBidi" w:cstheme="majorBidi"/>
          <w:bCs/>
          <w:szCs w:val="22"/>
        </w:rPr>
        <w:t>2.8</w:t>
      </w:r>
      <w:r w:rsidRPr="00FF2CC2">
        <w:rPr>
          <w:rFonts w:asciiTheme="majorBidi" w:hAnsiTheme="majorBidi" w:cstheme="majorBidi"/>
          <w:b/>
          <w:szCs w:val="22"/>
        </w:rPr>
        <w:tab/>
        <w:t>"National Spectrum Plan"</w:t>
      </w:r>
      <w:r w:rsidRPr="00FF2CC2">
        <w:rPr>
          <w:rFonts w:asciiTheme="majorBidi" w:hAnsiTheme="majorBidi" w:cstheme="majorBidi"/>
          <w:szCs w:val="22"/>
        </w:rPr>
        <w:t xml:space="preserve"> means Radio Frequency Allocation Plan for the UAE approved by the Supreme Committee and any modifications thereof.</w:t>
      </w:r>
    </w:p>
    <w:p w:rsidR="00E56335" w:rsidRPr="00FF2CC2" w:rsidRDefault="00E56335" w:rsidP="00462254">
      <w:pPr>
        <w:pStyle w:val="enumlev1"/>
        <w:spacing w:before="80"/>
        <w:rPr>
          <w:rFonts w:asciiTheme="majorBidi" w:hAnsiTheme="majorBidi" w:cstheme="majorBidi"/>
          <w:szCs w:val="22"/>
        </w:rPr>
      </w:pPr>
      <w:r w:rsidRPr="00FF2CC2">
        <w:rPr>
          <w:rFonts w:asciiTheme="majorBidi" w:hAnsiTheme="majorBidi" w:cstheme="majorBidi"/>
          <w:bCs/>
          <w:szCs w:val="22"/>
        </w:rPr>
        <w:t>2.9</w:t>
      </w:r>
      <w:r w:rsidRPr="00FF2CC2">
        <w:rPr>
          <w:rFonts w:asciiTheme="majorBidi" w:hAnsiTheme="majorBidi" w:cstheme="majorBidi"/>
          <w:b/>
          <w:szCs w:val="22"/>
        </w:rPr>
        <w:tab/>
        <w:t>"Person"</w:t>
      </w:r>
      <w:r w:rsidRPr="00FF2CC2">
        <w:rPr>
          <w:rFonts w:asciiTheme="majorBidi" w:hAnsiTheme="majorBidi" w:cstheme="majorBidi"/>
          <w:szCs w:val="22"/>
        </w:rPr>
        <w:t xml:space="preserve"> will include ‘juridical entities’ as well as ‘natural persons’.</w:t>
      </w:r>
    </w:p>
    <w:p w:rsidR="00E56335" w:rsidRPr="00FF2CC2" w:rsidRDefault="00E56335" w:rsidP="00462254">
      <w:pPr>
        <w:pStyle w:val="enumlev1"/>
        <w:spacing w:before="80"/>
        <w:rPr>
          <w:rFonts w:asciiTheme="majorBidi" w:hAnsiTheme="majorBidi" w:cstheme="majorBidi"/>
          <w:szCs w:val="22"/>
        </w:rPr>
      </w:pPr>
      <w:r w:rsidRPr="00FF2CC2">
        <w:rPr>
          <w:rFonts w:asciiTheme="majorBidi" w:hAnsiTheme="majorBidi" w:cstheme="majorBidi"/>
          <w:bCs/>
          <w:szCs w:val="22"/>
        </w:rPr>
        <w:t>2.10</w:t>
      </w:r>
      <w:r w:rsidRPr="00FF2CC2">
        <w:rPr>
          <w:rFonts w:asciiTheme="majorBidi" w:hAnsiTheme="majorBidi" w:cstheme="majorBidi"/>
          <w:b/>
          <w:szCs w:val="22"/>
        </w:rPr>
        <w:tab/>
        <w:t xml:space="preserve">"Radiocommunication" </w:t>
      </w:r>
      <w:r w:rsidRPr="00FF2CC2">
        <w:rPr>
          <w:rFonts w:asciiTheme="majorBidi" w:hAnsiTheme="majorBidi" w:cstheme="majorBidi"/>
          <w:szCs w:val="22"/>
        </w:rPr>
        <w:t>means Wireless Transmission by means of radio frequency.</w:t>
      </w:r>
    </w:p>
    <w:p w:rsidR="00E56335" w:rsidRPr="00FF2CC2" w:rsidRDefault="00E56335" w:rsidP="00462254">
      <w:pPr>
        <w:pStyle w:val="enumlev1"/>
        <w:spacing w:before="80"/>
        <w:rPr>
          <w:rFonts w:asciiTheme="majorBidi" w:hAnsiTheme="majorBidi" w:cstheme="majorBidi"/>
          <w:szCs w:val="22"/>
        </w:rPr>
      </w:pPr>
      <w:r w:rsidRPr="00FF2CC2">
        <w:rPr>
          <w:rFonts w:asciiTheme="majorBidi" w:hAnsiTheme="majorBidi" w:cstheme="majorBidi"/>
          <w:bCs/>
          <w:szCs w:val="22"/>
        </w:rPr>
        <w:t>2.11</w:t>
      </w:r>
      <w:r w:rsidRPr="00FF2CC2">
        <w:rPr>
          <w:rFonts w:asciiTheme="majorBidi" w:hAnsiTheme="majorBidi" w:cstheme="majorBidi"/>
          <w:b/>
          <w:szCs w:val="22"/>
        </w:rPr>
        <w:tab/>
        <w:t xml:space="preserve">"Radiocommunication service" </w:t>
      </w:r>
      <w:r w:rsidRPr="00FF2CC2">
        <w:rPr>
          <w:rFonts w:asciiTheme="majorBidi" w:hAnsiTheme="majorBidi" w:cstheme="majorBidi"/>
          <w:szCs w:val="22"/>
        </w:rPr>
        <w:t>means a service using Radiocommunication.</w:t>
      </w:r>
    </w:p>
    <w:p w:rsidR="00E56335" w:rsidRPr="00FF2CC2" w:rsidRDefault="00E56335" w:rsidP="00462254">
      <w:pPr>
        <w:pStyle w:val="enumlev1"/>
        <w:spacing w:before="80"/>
        <w:rPr>
          <w:rFonts w:asciiTheme="majorBidi" w:hAnsiTheme="majorBidi" w:cstheme="majorBidi"/>
          <w:szCs w:val="22"/>
        </w:rPr>
      </w:pPr>
      <w:r w:rsidRPr="00FF2CC2">
        <w:rPr>
          <w:rFonts w:asciiTheme="majorBidi" w:hAnsiTheme="majorBidi" w:cstheme="majorBidi"/>
          <w:bCs/>
          <w:szCs w:val="22"/>
        </w:rPr>
        <w:t>2.12</w:t>
      </w:r>
      <w:r w:rsidRPr="00FF2CC2">
        <w:rPr>
          <w:rFonts w:asciiTheme="majorBidi" w:hAnsiTheme="majorBidi" w:cstheme="majorBidi"/>
          <w:b/>
          <w:szCs w:val="22"/>
        </w:rPr>
        <w:tab/>
        <w:t xml:space="preserve">"Radio Frequency" </w:t>
      </w:r>
      <w:r w:rsidRPr="00FF2CC2">
        <w:rPr>
          <w:rFonts w:asciiTheme="majorBidi" w:hAnsiTheme="majorBidi" w:cstheme="majorBidi"/>
          <w:szCs w:val="22"/>
        </w:rPr>
        <w:t>means radiated electromagnetic energy measured in Hz or cycles / sec.</w:t>
      </w:r>
    </w:p>
    <w:p w:rsidR="00E56335" w:rsidRPr="00FF2CC2" w:rsidRDefault="00E56335" w:rsidP="00462254">
      <w:pPr>
        <w:pStyle w:val="enumlev1"/>
        <w:spacing w:before="80"/>
        <w:rPr>
          <w:rFonts w:asciiTheme="majorBidi" w:hAnsiTheme="majorBidi" w:cstheme="majorBidi"/>
          <w:szCs w:val="22"/>
        </w:rPr>
      </w:pPr>
      <w:r w:rsidRPr="00FF2CC2">
        <w:rPr>
          <w:rFonts w:asciiTheme="majorBidi" w:hAnsiTheme="majorBidi" w:cstheme="majorBidi"/>
          <w:bCs/>
          <w:szCs w:val="22"/>
        </w:rPr>
        <w:t>2.13</w:t>
      </w:r>
      <w:r w:rsidRPr="00FF2CC2">
        <w:rPr>
          <w:rFonts w:asciiTheme="majorBidi" w:hAnsiTheme="majorBidi" w:cstheme="majorBidi"/>
          <w:b/>
          <w:szCs w:val="22"/>
        </w:rPr>
        <w:tab/>
        <w:t xml:space="preserve">"Radio Spectrum Authorization" </w:t>
      </w:r>
      <w:r w:rsidRPr="00FF2CC2">
        <w:rPr>
          <w:rFonts w:asciiTheme="majorBidi" w:hAnsiTheme="majorBidi" w:cstheme="majorBidi"/>
          <w:szCs w:val="22"/>
        </w:rPr>
        <w:t>means a Radio Spectrum Authorization whether Individual or Class issued by the TRA, which permits the use of Radio Frequency subject to terms and conditions set out therein.</w:t>
      </w:r>
    </w:p>
    <w:p w:rsidR="00E56335" w:rsidRPr="00FF2CC2" w:rsidRDefault="00E56335" w:rsidP="00462254">
      <w:pPr>
        <w:pStyle w:val="enumlev1"/>
        <w:spacing w:before="80"/>
        <w:rPr>
          <w:rFonts w:asciiTheme="majorBidi" w:hAnsiTheme="majorBidi" w:cstheme="majorBidi"/>
          <w:szCs w:val="22"/>
        </w:rPr>
      </w:pPr>
      <w:r w:rsidRPr="00FF2CC2">
        <w:rPr>
          <w:rFonts w:asciiTheme="majorBidi" w:hAnsiTheme="majorBidi" w:cstheme="majorBidi"/>
          <w:bCs/>
          <w:szCs w:val="22"/>
        </w:rPr>
        <w:t>2.14</w:t>
      </w:r>
      <w:r w:rsidRPr="00FF2CC2">
        <w:rPr>
          <w:rFonts w:asciiTheme="majorBidi" w:hAnsiTheme="majorBidi" w:cstheme="majorBidi"/>
          <w:b/>
          <w:szCs w:val="22"/>
        </w:rPr>
        <w:tab/>
        <w:t xml:space="preserve">"Regulatory Instruments" </w:t>
      </w:r>
      <w:r w:rsidRPr="00FF2CC2">
        <w:rPr>
          <w:rFonts w:asciiTheme="majorBidi" w:hAnsiTheme="majorBidi" w:cstheme="majorBidi"/>
          <w:szCs w:val="22"/>
        </w:rPr>
        <w:t>means any instrument issued by the TRA under its powers, and includes without limitation; Regulations, violation decisions, directives, instructions, guidance and recommendations and regulatory policies.</w:t>
      </w:r>
    </w:p>
    <w:p w:rsidR="00E56335" w:rsidRPr="00FF2CC2" w:rsidRDefault="00E56335" w:rsidP="00462254">
      <w:pPr>
        <w:pStyle w:val="enumlev1"/>
        <w:spacing w:before="80"/>
        <w:rPr>
          <w:rFonts w:asciiTheme="majorBidi" w:hAnsiTheme="majorBidi" w:cstheme="majorBidi"/>
          <w:szCs w:val="22"/>
        </w:rPr>
      </w:pPr>
      <w:r w:rsidRPr="00FF2CC2">
        <w:rPr>
          <w:rFonts w:asciiTheme="majorBidi" w:hAnsiTheme="majorBidi" w:cstheme="majorBidi"/>
          <w:bCs/>
          <w:szCs w:val="22"/>
        </w:rPr>
        <w:t>2.15</w:t>
      </w:r>
      <w:r w:rsidRPr="00FF2CC2">
        <w:rPr>
          <w:rFonts w:asciiTheme="majorBidi" w:hAnsiTheme="majorBidi" w:cstheme="majorBidi"/>
          <w:b/>
          <w:szCs w:val="22"/>
        </w:rPr>
        <w:tab/>
        <w:t xml:space="preserve">"Station" </w:t>
      </w:r>
      <w:r w:rsidRPr="00FF2CC2">
        <w:rPr>
          <w:rFonts w:asciiTheme="majorBidi" w:hAnsiTheme="majorBidi" w:cstheme="majorBidi"/>
          <w:szCs w:val="22"/>
        </w:rPr>
        <w:t>means an installation operated by an authorized user, comprising a radio transmitting and or receiving apparatus and the necessary auxiliary equipment or one or more transmitters or receivers or a combination of transmitters or receivers, including the ancillary equipment, necessary at one location for carrying on a Radiocommunication service.</w:t>
      </w:r>
    </w:p>
    <w:p w:rsidR="00E56335" w:rsidRPr="00FF2CC2" w:rsidRDefault="00E56335" w:rsidP="00462254">
      <w:pPr>
        <w:pStyle w:val="enumlev1"/>
        <w:spacing w:before="80"/>
        <w:rPr>
          <w:rFonts w:asciiTheme="majorBidi" w:hAnsiTheme="majorBidi" w:cstheme="majorBidi"/>
          <w:szCs w:val="22"/>
        </w:rPr>
      </w:pPr>
      <w:r w:rsidRPr="00FF2CC2">
        <w:rPr>
          <w:rFonts w:asciiTheme="majorBidi" w:hAnsiTheme="majorBidi" w:cstheme="majorBidi"/>
          <w:bCs/>
          <w:szCs w:val="22"/>
        </w:rPr>
        <w:lastRenderedPageBreak/>
        <w:t>2.16</w:t>
      </w:r>
      <w:r w:rsidRPr="00FF2CC2">
        <w:rPr>
          <w:rFonts w:asciiTheme="majorBidi" w:hAnsiTheme="majorBidi" w:cstheme="majorBidi"/>
          <w:b/>
          <w:szCs w:val="22"/>
        </w:rPr>
        <w:tab/>
        <w:t xml:space="preserve">"Telecommunication" </w:t>
      </w:r>
      <w:r w:rsidRPr="00FF2CC2">
        <w:rPr>
          <w:rFonts w:asciiTheme="majorBidi" w:hAnsiTheme="majorBidi" w:cstheme="majorBidi"/>
          <w:szCs w:val="22"/>
        </w:rPr>
        <w:t>means any transmission, emission or reception of signs, signals, writings, images and sounds or intelligence of any nature by wire, radio, optical or other electromagnetic systems</w:t>
      </w:r>
    </w:p>
    <w:p w:rsidR="00E56335" w:rsidRPr="00836CFB" w:rsidRDefault="00E56335" w:rsidP="00462254">
      <w:pPr>
        <w:pStyle w:val="enumlev1"/>
        <w:spacing w:before="80"/>
        <w:rPr>
          <w:rFonts w:asciiTheme="majorBidi" w:hAnsiTheme="majorBidi" w:cstheme="majorBidi"/>
          <w:szCs w:val="22"/>
        </w:rPr>
      </w:pPr>
      <w:r w:rsidRPr="00836CFB">
        <w:rPr>
          <w:rFonts w:asciiTheme="majorBidi" w:hAnsiTheme="majorBidi" w:cstheme="majorBidi"/>
          <w:bCs/>
          <w:szCs w:val="22"/>
        </w:rPr>
        <w:t>2.17</w:t>
      </w:r>
      <w:r w:rsidRPr="00836CFB">
        <w:rPr>
          <w:rFonts w:asciiTheme="majorBidi" w:hAnsiTheme="majorBidi" w:cstheme="majorBidi"/>
          <w:b/>
          <w:szCs w:val="22"/>
        </w:rPr>
        <w:tab/>
        <w:t xml:space="preserve">"Temporary Authorization" </w:t>
      </w:r>
      <w:r w:rsidRPr="00836CFB">
        <w:rPr>
          <w:rFonts w:asciiTheme="majorBidi" w:hAnsiTheme="majorBidi" w:cstheme="majorBidi"/>
          <w:szCs w:val="22"/>
        </w:rPr>
        <w:t>means Radio Spectrum Authorization issued by the TRA which permits the use of assigned frequency for a period up to 90 days.</w:t>
      </w:r>
    </w:p>
    <w:p w:rsidR="00E56335" w:rsidRPr="00836CFB" w:rsidRDefault="00E56335" w:rsidP="00462254">
      <w:pPr>
        <w:pStyle w:val="enumlev1"/>
        <w:spacing w:before="80"/>
        <w:rPr>
          <w:rFonts w:asciiTheme="majorBidi" w:hAnsiTheme="majorBidi" w:cstheme="majorBidi"/>
          <w:szCs w:val="22"/>
        </w:rPr>
      </w:pPr>
      <w:r w:rsidRPr="00836CFB">
        <w:rPr>
          <w:rFonts w:asciiTheme="majorBidi" w:hAnsiTheme="majorBidi" w:cstheme="majorBidi"/>
          <w:bCs/>
          <w:szCs w:val="22"/>
        </w:rPr>
        <w:t>2.18</w:t>
      </w:r>
      <w:r w:rsidRPr="00836CFB">
        <w:rPr>
          <w:rFonts w:asciiTheme="majorBidi" w:hAnsiTheme="majorBidi" w:cstheme="majorBidi"/>
          <w:b/>
          <w:szCs w:val="22"/>
        </w:rPr>
        <w:tab/>
        <w:t xml:space="preserve">"The TRA" </w:t>
      </w:r>
      <w:r w:rsidRPr="00836CFB">
        <w:rPr>
          <w:rFonts w:asciiTheme="majorBidi" w:hAnsiTheme="majorBidi" w:cstheme="majorBidi"/>
          <w:szCs w:val="22"/>
        </w:rPr>
        <w:t>means the General Authority for Regulating the Telecommunication Sector known as Telecommunications Regulatory Authority (TRA) established pursuant to the provisions of Article 6 of Federal Law by Decree No. 3 of 2003.</w:t>
      </w:r>
    </w:p>
    <w:p w:rsidR="00E56335" w:rsidRPr="00836CFB" w:rsidRDefault="00E56335" w:rsidP="00462254">
      <w:pPr>
        <w:pStyle w:val="enumlev1"/>
        <w:spacing w:before="80"/>
        <w:rPr>
          <w:rFonts w:asciiTheme="majorBidi" w:hAnsiTheme="majorBidi" w:cstheme="majorBidi"/>
          <w:szCs w:val="22"/>
        </w:rPr>
      </w:pPr>
      <w:r w:rsidRPr="00836CFB">
        <w:rPr>
          <w:rFonts w:asciiTheme="majorBidi" w:hAnsiTheme="majorBidi" w:cstheme="majorBidi"/>
          <w:bCs/>
          <w:szCs w:val="22"/>
        </w:rPr>
        <w:t>2.19</w:t>
      </w:r>
      <w:r w:rsidRPr="00836CFB">
        <w:rPr>
          <w:rFonts w:asciiTheme="majorBidi" w:hAnsiTheme="majorBidi" w:cstheme="majorBidi"/>
          <w:b/>
          <w:szCs w:val="22"/>
        </w:rPr>
        <w:tab/>
        <w:t xml:space="preserve">"UAE" </w:t>
      </w:r>
      <w:r w:rsidRPr="00836CFB">
        <w:rPr>
          <w:rFonts w:asciiTheme="majorBidi" w:hAnsiTheme="majorBidi" w:cstheme="majorBidi"/>
          <w:szCs w:val="22"/>
        </w:rPr>
        <w:t>means the United Arab Emirates including its territorial waters and the airspace above.</w:t>
      </w:r>
    </w:p>
    <w:p w:rsidR="00E56335" w:rsidRPr="00836CFB" w:rsidRDefault="00E56335" w:rsidP="00462254">
      <w:pPr>
        <w:pStyle w:val="enumlev1"/>
        <w:spacing w:before="80"/>
        <w:rPr>
          <w:rFonts w:asciiTheme="majorBidi" w:hAnsiTheme="majorBidi" w:cstheme="majorBidi"/>
          <w:b/>
          <w:szCs w:val="22"/>
        </w:rPr>
      </w:pPr>
      <w:r w:rsidRPr="00836CFB">
        <w:rPr>
          <w:rFonts w:asciiTheme="majorBidi" w:hAnsiTheme="majorBidi" w:cstheme="majorBidi"/>
          <w:bCs/>
          <w:szCs w:val="22"/>
        </w:rPr>
        <w:t>2.20</w:t>
      </w:r>
      <w:r w:rsidRPr="00836CFB">
        <w:rPr>
          <w:rFonts w:asciiTheme="majorBidi" w:hAnsiTheme="majorBidi" w:cstheme="majorBidi"/>
          <w:b/>
          <w:szCs w:val="22"/>
        </w:rPr>
        <w:tab/>
        <w:t xml:space="preserve">"Wireless Equipment" </w:t>
      </w:r>
      <w:r w:rsidRPr="00836CFB">
        <w:rPr>
          <w:rFonts w:asciiTheme="majorBidi" w:hAnsiTheme="majorBidi" w:cstheme="majorBidi"/>
          <w:szCs w:val="22"/>
        </w:rPr>
        <w:t>means a category of Telecommunication Apparatus used for Radiocommunication.</w:t>
      </w:r>
    </w:p>
    <w:p w:rsidR="00E56335" w:rsidRPr="00F50942" w:rsidRDefault="00E56335" w:rsidP="00E56335">
      <w:pPr>
        <w:pStyle w:val="Arttitle"/>
        <w:spacing w:before="400"/>
      </w:pPr>
      <w:bookmarkStart w:id="227" w:name="_Toc280261825"/>
      <w:bookmarkStart w:id="228" w:name="_Toc280262323"/>
      <w:bookmarkStart w:id="229" w:name="_Toc280272717"/>
      <w:bookmarkStart w:id="230" w:name="_Toc280272896"/>
      <w:r>
        <w:t xml:space="preserve">Article </w:t>
      </w:r>
      <w:r w:rsidRPr="00F50942">
        <w:t>3</w:t>
      </w:r>
      <w:r>
        <w:br/>
      </w:r>
      <w:r>
        <w:br/>
      </w:r>
      <w:bookmarkStart w:id="231" w:name="_Toc199215026"/>
      <w:r w:rsidRPr="00F50942">
        <w:t>Application processing Fees</w:t>
      </w:r>
      <w:bookmarkEnd w:id="227"/>
      <w:bookmarkEnd w:id="228"/>
      <w:bookmarkEnd w:id="229"/>
      <w:bookmarkEnd w:id="230"/>
      <w:bookmarkEnd w:id="231"/>
    </w:p>
    <w:p w:rsidR="00E56335" w:rsidRPr="00F50942" w:rsidRDefault="00E56335" w:rsidP="00E56335">
      <w:pPr>
        <w:rPr>
          <w:szCs w:val="19"/>
        </w:rPr>
      </w:pPr>
      <w:r w:rsidRPr="00F50942">
        <w:rPr>
          <w:szCs w:val="19"/>
        </w:rPr>
        <w:t xml:space="preserve">Each application for the Radio Spectrum Authorization requires an advance non-refundable payment of Five Hundred </w:t>
      </w:r>
      <w:r w:rsidRPr="00F50942">
        <w:rPr>
          <w:b/>
          <w:szCs w:val="19"/>
        </w:rPr>
        <w:t xml:space="preserve">(500) Dirhams </w:t>
      </w:r>
      <w:r w:rsidRPr="00F50942">
        <w:rPr>
          <w:szCs w:val="19"/>
        </w:rPr>
        <w:t xml:space="preserve">for processing the application, irrespective of the final status of the application towards grant or rejection of the application. The TRA may advise certain Government organizations, licensed operators and any major user to accumulate the application processing fees for payment along with the spectrum fees. </w:t>
      </w:r>
    </w:p>
    <w:p w:rsidR="00E56335" w:rsidRPr="00F50942" w:rsidRDefault="00E56335" w:rsidP="00E56335">
      <w:pPr>
        <w:pStyle w:val="Arttitle"/>
        <w:spacing w:before="400"/>
      </w:pPr>
      <w:bookmarkStart w:id="232" w:name="_Toc280261826"/>
      <w:bookmarkStart w:id="233" w:name="_Toc280262324"/>
      <w:bookmarkStart w:id="234" w:name="_Toc280272718"/>
      <w:bookmarkStart w:id="235" w:name="_Toc280272897"/>
      <w:r>
        <w:t xml:space="preserve">Article </w:t>
      </w:r>
      <w:r w:rsidRPr="00F50942">
        <w:t>4</w:t>
      </w:r>
      <w:r>
        <w:br/>
      </w:r>
      <w:r>
        <w:br/>
      </w:r>
      <w:bookmarkStart w:id="236" w:name="_Toc199215027"/>
      <w:r w:rsidRPr="00F50942">
        <w:t>Exemption from Application processing Fees</w:t>
      </w:r>
      <w:bookmarkEnd w:id="232"/>
      <w:bookmarkEnd w:id="233"/>
      <w:bookmarkEnd w:id="234"/>
      <w:bookmarkEnd w:id="235"/>
      <w:bookmarkEnd w:id="236"/>
    </w:p>
    <w:p w:rsidR="00E56335" w:rsidRPr="00F50942" w:rsidRDefault="00E56335" w:rsidP="00E56335">
      <w:pPr>
        <w:rPr>
          <w:szCs w:val="19"/>
        </w:rPr>
      </w:pPr>
      <w:r w:rsidRPr="00F50942">
        <w:rPr>
          <w:szCs w:val="19"/>
        </w:rPr>
        <w:t>The following applications shall be exempted from the Application processing Fees:</w:t>
      </w:r>
    </w:p>
    <w:p w:rsidR="00E56335" w:rsidRPr="00976867" w:rsidRDefault="00E56335" w:rsidP="00462254">
      <w:pPr>
        <w:pStyle w:val="enumlev1"/>
        <w:spacing w:before="80"/>
        <w:rPr>
          <w:rFonts w:asciiTheme="majorBidi" w:hAnsiTheme="majorBidi" w:cstheme="majorBidi"/>
          <w:szCs w:val="22"/>
        </w:rPr>
      </w:pPr>
      <w:r w:rsidRPr="00976867">
        <w:rPr>
          <w:rFonts w:asciiTheme="majorBidi" w:hAnsiTheme="majorBidi" w:cstheme="majorBidi"/>
          <w:szCs w:val="22"/>
        </w:rPr>
        <w:t>4.1</w:t>
      </w:r>
      <w:r w:rsidRPr="00976867">
        <w:rPr>
          <w:rFonts w:asciiTheme="majorBidi" w:hAnsiTheme="majorBidi" w:cstheme="majorBidi"/>
          <w:szCs w:val="22"/>
        </w:rPr>
        <w:tab/>
        <w:t>Application for Small Boat which is categorized as fishing trawler in the Navigation license.</w:t>
      </w:r>
    </w:p>
    <w:p w:rsidR="00E56335" w:rsidRPr="00976867" w:rsidRDefault="00E56335" w:rsidP="00462254">
      <w:pPr>
        <w:pStyle w:val="enumlev1"/>
        <w:spacing w:before="80"/>
        <w:rPr>
          <w:rFonts w:asciiTheme="majorBidi" w:hAnsiTheme="majorBidi" w:cstheme="majorBidi"/>
          <w:szCs w:val="22"/>
        </w:rPr>
      </w:pPr>
      <w:r w:rsidRPr="00976867">
        <w:rPr>
          <w:rFonts w:asciiTheme="majorBidi" w:hAnsiTheme="majorBidi" w:cstheme="majorBidi"/>
          <w:szCs w:val="22"/>
        </w:rPr>
        <w:t>4.2</w:t>
      </w:r>
      <w:r w:rsidRPr="00976867">
        <w:rPr>
          <w:rFonts w:asciiTheme="majorBidi" w:hAnsiTheme="majorBidi" w:cstheme="majorBidi"/>
          <w:szCs w:val="22"/>
        </w:rPr>
        <w:tab/>
        <w:t>Application for Amateur Authorization if submitted through Emirates Amateur Radio Society.</w:t>
      </w:r>
    </w:p>
    <w:p w:rsidR="00E56335" w:rsidRPr="00976867" w:rsidRDefault="00E56335" w:rsidP="00462254">
      <w:pPr>
        <w:pStyle w:val="enumlev1"/>
        <w:spacing w:before="80"/>
        <w:rPr>
          <w:rFonts w:asciiTheme="majorBidi" w:hAnsiTheme="majorBidi" w:cstheme="majorBidi"/>
          <w:szCs w:val="22"/>
        </w:rPr>
      </w:pPr>
      <w:r w:rsidRPr="00976867">
        <w:rPr>
          <w:rFonts w:asciiTheme="majorBidi" w:hAnsiTheme="majorBidi" w:cstheme="majorBidi"/>
          <w:szCs w:val="22"/>
        </w:rPr>
        <w:t>4.3</w:t>
      </w:r>
      <w:r w:rsidRPr="00976867">
        <w:rPr>
          <w:rFonts w:asciiTheme="majorBidi" w:hAnsiTheme="majorBidi" w:cstheme="majorBidi"/>
          <w:szCs w:val="22"/>
        </w:rPr>
        <w:tab/>
        <w:t>Application for personal use of Private Mobile Radio for Camel jockeys.</w:t>
      </w:r>
    </w:p>
    <w:p w:rsidR="00E56335" w:rsidRPr="00976867" w:rsidRDefault="00E56335" w:rsidP="00462254">
      <w:pPr>
        <w:pStyle w:val="enumlev1"/>
        <w:spacing w:before="80"/>
        <w:rPr>
          <w:rFonts w:asciiTheme="majorBidi" w:hAnsiTheme="majorBidi" w:cstheme="majorBidi"/>
          <w:szCs w:val="22"/>
        </w:rPr>
      </w:pPr>
      <w:r w:rsidRPr="00976867">
        <w:rPr>
          <w:rFonts w:asciiTheme="majorBidi" w:hAnsiTheme="majorBidi" w:cstheme="majorBidi"/>
          <w:szCs w:val="22"/>
        </w:rPr>
        <w:t>4.4</w:t>
      </w:r>
      <w:r w:rsidRPr="00976867">
        <w:rPr>
          <w:rFonts w:asciiTheme="majorBidi" w:hAnsiTheme="majorBidi" w:cstheme="majorBidi"/>
          <w:szCs w:val="22"/>
        </w:rPr>
        <w:tab/>
        <w:t>Application by non-commercial clubs for hobbies like Aeromodelling.</w:t>
      </w:r>
    </w:p>
    <w:p w:rsidR="00E56335" w:rsidRPr="00976867" w:rsidRDefault="00E56335" w:rsidP="00462254">
      <w:pPr>
        <w:pStyle w:val="enumlev1"/>
        <w:spacing w:before="80"/>
        <w:rPr>
          <w:rFonts w:asciiTheme="majorBidi" w:hAnsiTheme="majorBidi" w:cstheme="majorBidi"/>
          <w:szCs w:val="22"/>
        </w:rPr>
      </w:pPr>
      <w:r w:rsidRPr="00976867">
        <w:rPr>
          <w:rFonts w:asciiTheme="majorBidi" w:hAnsiTheme="majorBidi" w:cstheme="majorBidi"/>
          <w:szCs w:val="22"/>
        </w:rPr>
        <w:t>4.5</w:t>
      </w:r>
      <w:r w:rsidRPr="00976867">
        <w:rPr>
          <w:rFonts w:asciiTheme="majorBidi" w:hAnsiTheme="majorBidi" w:cstheme="majorBidi"/>
          <w:szCs w:val="22"/>
        </w:rPr>
        <w:tab/>
        <w:t>Application by research and educational institutions for private use.</w:t>
      </w:r>
    </w:p>
    <w:p w:rsidR="00E56335" w:rsidRPr="00976867" w:rsidRDefault="00E56335" w:rsidP="00462254">
      <w:pPr>
        <w:pStyle w:val="enumlev1"/>
        <w:spacing w:before="80"/>
        <w:rPr>
          <w:rFonts w:asciiTheme="majorBidi" w:hAnsiTheme="majorBidi" w:cstheme="majorBidi"/>
          <w:szCs w:val="22"/>
        </w:rPr>
      </w:pPr>
      <w:r w:rsidRPr="00976867">
        <w:rPr>
          <w:rFonts w:asciiTheme="majorBidi" w:hAnsiTheme="majorBidi" w:cstheme="majorBidi"/>
          <w:szCs w:val="22"/>
        </w:rPr>
        <w:t>4.6</w:t>
      </w:r>
      <w:r w:rsidRPr="00976867">
        <w:rPr>
          <w:rFonts w:asciiTheme="majorBidi" w:hAnsiTheme="majorBidi" w:cstheme="majorBidi"/>
          <w:szCs w:val="22"/>
        </w:rPr>
        <w:tab/>
        <w:t>Application by Foreign Missions, Consulates and Embassies for official correspondence or visits of dignitaries when submitted through the UAE Ministry of Foreign Affairs.</w:t>
      </w:r>
    </w:p>
    <w:p w:rsidR="00E56335" w:rsidRPr="00F50942" w:rsidRDefault="00E56335" w:rsidP="00E56335">
      <w:pPr>
        <w:pStyle w:val="Arttitle"/>
        <w:spacing w:before="400"/>
      </w:pPr>
      <w:bookmarkStart w:id="237" w:name="_Toc280261827"/>
      <w:bookmarkStart w:id="238" w:name="_Toc280262325"/>
      <w:bookmarkStart w:id="239" w:name="_Toc280272719"/>
      <w:bookmarkStart w:id="240" w:name="_Toc280272898"/>
      <w:r>
        <w:t xml:space="preserve">Article </w:t>
      </w:r>
      <w:r w:rsidRPr="00F50942">
        <w:t>5</w:t>
      </w:r>
      <w:r>
        <w:br/>
      </w:r>
      <w:r>
        <w:br/>
      </w:r>
      <w:bookmarkStart w:id="241" w:name="_Toc199215028"/>
      <w:r w:rsidRPr="00F50942">
        <w:t>Spectrum Fees for fresh Application</w:t>
      </w:r>
      <w:bookmarkEnd w:id="237"/>
      <w:bookmarkEnd w:id="238"/>
      <w:bookmarkEnd w:id="239"/>
      <w:bookmarkEnd w:id="240"/>
      <w:bookmarkEnd w:id="241"/>
    </w:p>
    <w:p w:rsidR="00E56335" w:rsidRPr="00F50942" w:rsidRDefault="00E56335" w:rsidP="00E56335">
      <w:pPr>
        <w:rPr>
          <w:szCs w:val="19"/>
        </w:rPr>
      </w:pPr>
      <w:r w:rsidRPr="00F50942">
        <w:rPr>
          <w:szCs w:val="19"/>
        </w:rPr>
        <w:t>The spectrum fees shall be payable in advance. Upon successful processing of a fresh application, the TRA shall inform the Applicant of the spectrum fees in accordance with this policy calculated on prorate for the period of validity of the Authorization starting from the date of invoice. The Applicant shall submit to the TRA, the proof of payment immediately and not later than thirty (30) days. The receipt of the fees by the TRA based on verification by the TRA shall be considered as completion of the payment for issuance of the Authorization. If payment is not received, the TRA shall cancel the application. If the Applicant requires pursuing this Application, the Applicant shall be required to re-submit the application with application processing Fees.</w:t>
      </w:r>
    </w:p>
    <w:p w:rsidR="00E56335" w:rsidRPr="00F50942" w:rsidRDefault="00E56335" w:rsidP="00E56335">
      <w:pPr>
        <w:pStyle w:val="Arttitle"/>
        <w:spacing w:before="400"/>
      </w:pPr>
      <w:bookmarkStart w:id="242" w:name="_Toc280261828"/>
      <w:bookmarkStart w:id="243" w:name="_Toc280262326"/>
      <w:bookmarkStart w:id="244" w:name="_Toc280272720"/>
      <w:bookmarkStart w:id="245" w:name="_Toc280272899"/>
      <w:r>
        <w:lastRenderedPageBreak/>
        <w:t xml:space="preserve">Article </w:t>
      </w:r>
      <w:r w:rsidRPr="00F50942">
        <w:t>6</w:t>
      </w:r>
      <w:r>
        <w:br/>
      </w:r>
      <w:r>
        <w:br/>
      </w:r>
      <w:bookmarkStart w:id="246" w:name="_Toc199215029"/>
      <w:r w:rsidRPr="00F50942">
        <w:t>Spectrum Fees for renewal of Authorization</w:t>
      </w:r>
      <w:bookmarkEnd w:id="242"/>
      <w:bookmarkEnd w:id="243"/>
      <w:bookmarkEnd w:id="244"/>
      <w:bookmarkEnd w:id="245"/>
      <w:bookmarkEnd w:id="246"/>
    </w:p>
    <w:p w:rsidR="00E56335" w:rsidRPr="00F50942" w:rsidRDefault="00E56335" w:rsidP="00E56335">
      <w:pPr>
        <w:rPr>
          <w:szCs w:val="19"/>
        </w:rPr>
      </w:pPr>
      <w:r w:rsidRPr="00F50942">
        <w:rPr>
          <w:szCs w:val="19"/>
        </w:rPr>
        <w:t xml:space="preserve">The Authorized User shall be responsible to apply to the TRA for renewal of the Authorization, within the period, thirty (30) days before the expiry of the Authorization. Authorized User may also request for invoice of the Spectrum Fees for renewal of Authorization even before thirty (30) days of the expiry of the Authorization for a period as allowed for that Authorization in the Spectrum Allocation and Assignment Regulations of the TRA. The applicable Spectrum Fees are defined in the relevant articles of this policy. Wherever, the Spectrum Fees are inclusive of Wireless Equipment as a component, the annual renewal of the Spectrum Fees will include all components and not any part thereof. A grace period of fifteen (15) days after expiry may be given to the Authorized User by the TRA to pay the Spectrum Fees for renewal without any additional Fees. </w:t>
      </w:r>
    </w:p>
    <w:p w:rsidR="00E56335" w:rsidRPr="00F50942" w:rsidRDefault="00E56335" w:rsidP="00E56335">
      <w:pPr>
        <w:pStyle w:val="Arttitle"/>
        <w:spacing w:before="400"/>
      </w:pPr>
      <w:bookmarkStart w:id="247" w:name="_Toc280261829"/>
      <w:bookmarkStart w:id="248" w:name="_Toc280262327"/>
      <w:bookmarkStart w:id="249" w:name="_Toc280272721"/>
      <w:bookmarkStart w:id="250" w:name="_Toc280272900"/>
      <w:r>
        <w:t>Article 7</w:t>
      </w:r>
      <w:r>
        <w:br/>
      </w:r>
      <w:r>
        <w:br/>
      </w:r>
      <w:bookmarkStart w:id="251" w:name="_Toc199215030"/>
      <w:r w:rsidRPr="00F50942">
        <w:t>Additional Fees for delayed renewal of Authorization</w:t>
      </w:r>
      <w:bookmarkEnd w:id="247"/>
      <w:bookmarkEnd w:id="248"/>
      <w:bookmarkEnd w:id="249"/>
      <w:bookmarkEnd w:id="250"/>
      <w:bookmarkEnd w:id="251"/>
    </w:p>
    <w:p w:rsidR="00E56335" w:rsidRPr="00F50942" w:rsidRDefault="00E56335" w:rsidP="00E56335">
      <w:pPr>
        <w:rPr>
          <w:szCs w:val="19"/>
        </w:rPr>
      </w:pPr>
      <w:r w:rsidRPr="00F50942">
        <w:rPr>
          <w:szCs w:val="19"/>
        </w:rPr>
        <w:t xml:space="preserve">The TRA shall levy an additional fee of 10% of the amount due for Spectrum Fees if the Authorized User applies for renewal after fifteen days of expiry and before forty-five (45) days of expiry. The TRA shall cancel the Authorization if not applied for renewal within forty-five (45) days of expiry. The TRA shall levy additional fees of 20% of the amount due for Spectrum Fees if a cancelled Authorization is applied for renewal. </w:t>
      </w:r>
    </w:p>
    <w:p w:rsidR="00E56335" w:rsidRPr="00F50942" w:rsidRDefault="00E56335" w:rsidP="00E56335">
      <w:pPr>
        <w:pStyle w:val="Arttitle"/>
        <w:spacing w:before="400"/>
      </w:pPr>
      <w:bookmarkStart w:id="252" w:name="_Toc280261830"/>
      <w:bookmarkStart w:id="253" w:name="_Toc280262328"/>
      <w:bookmarkStart w:id="254" w:name="_Toc280272722"/>
      <w:bookmarkStart w:id="255" w:name="_Toc280272901"/>
      <w:r w:rsidRPr="00F50942">
        <w:t>Articl</w:t>
      </w:r>
      <w:r>
        <w:t xml:space="preserve">e </w:t>
      </w:r>
      <w:r w:rsidRPr="00F50942">
        <w:t>8</w:t>
      </w:r>
      <w:r>
        <w:br/>
      </w:r>
      <w:r>
        <w:br/>
      </w:r>
      <w:bookmarkStart w:id="256" w:name="_Toc199215031"/>
      <w:r w:rsidRPr="00F50942">
        <w:t>Authorization reproduction fees</w:t>
      </w:r>
      <w:bookmarkEnd w:id="252"/>
      <w:bookmarkEnd w:id="253"/>
      <w:bookmarkEnd w:id="254"/>
      <w:bookmarkEnd w:id="255"/>
      <w:bookmarkEnd w:id="256"/>
    </w:p>
    <w:p w:rsidR="00E56335" w:rsidRPr="00F50942" w:rsidRDefault="00E56335" w:rsidP="00E56335">
      <w:pPr>
        <w:rPr>
          <w:szCs w:val="19"/>
        </w:rPr>
      </w:pPr>
      <w:r w:rsidRPr="00F50942">
        <w:rPr>
          <w:szCs w:val="19"/>
        </w:rPr>
        <w:t>In case the Authorization is damaged or lost, the Authorized User can apply to the TRA for reproduction of the Authorization. An advance non-refundable payment of One Hundred (100) Dirhams</w:t>
      </w:r>
      <w:r w:rsidRPr="00F50942">
        <w:rPr>
          <w:b/>
          <w:szCs w:val="19"/>
        </w:rPr>
        <w:t xml:space="preserve"> </w:t>
      </w:r>
      <w:r w:rsidRPr="00F50942">
        <w:rPr>
          <w:szCs w:val="19"/>
        </w:rPr>
        <w:t>shall be levied</w:t>
      </w:r>
      <w:r w:rsidRPr="00F50942">
        <w:rPr>
          <w:b/>
          <w:szCs w:val="19"/>
        </w:rPr>
        <w:t xml:space="preserve"> </w:t>
      </w:r>
      <w:r w:rsidRPr="00F50942">
        <w:rPr>
          <w:szCs w:val="19"/>
        </w:rPr>
        <w:t xml:space="preserve">for each Authorization requested. </w:t>
      </w:r>
    </w:p>
    <w:p w:rsidR="00E56335" w:rsidRPr="00F50942" w:rsidRDefault="00E56335" w:rsidP="00E56335">
      <w:pPr>
        <w:pStyle w:val="Arttitle"/>
        <w:spacing w:before="400"/>
      </w:pPr>
      <w:bookmarkStart w:id="257" w:name="_Toc280261831"/>
      <w:bookmarkStart w:id="258" w:name="_Toc280262329"/>
      <w:bookmarkStart w:id="259" w:name="_Toc280272723"/>
      <w:bookmarkStart w:id="260" w:name="_Toc280272902"/>
      <w:r>
        <w:t xml:space="preserve">Article </w:t>
      </w:r>
      <w:r w:rsidRPr="00F50942">
        <w:t>9</w:t>
      </w:r>
      <w:r>
        <w:br/>
      </w:r>
      <w:r>
        <w:br/>
      </w:r>
      <w:bookmarkStart w:id="261" w:name="_Toc199215032"/>
      <w:r w:rsidRPr="00F50942">
        <w:t>Authorization modification fees</w:t>
      </w:r>
      <w:bookmarkEnd w:id="257"/>
      <w:bookmarkEnd w:id="258"/>
      <w:bookmarkEnd w:id="259"/>
      <w:bookmarkEnd w:id="260"/>
      <w:bookmarkEnd w:id="261"/>
    </w:p>
    <w:p w:rsidR="00E56335" w:rsidRPr="00F50942" w:rsidRDefault="00E56335" w:rsidP="00E56335">
      <w:pPr>
        <w:rPr>
          <w:szCs w:val="19"/>
        </w:rPr>
      </w:pPr>
      <w:r w:rsidRPr="00F50942">
        <w:rPr>
          <w:szCs w:val="19"/>
        </w:rPr>
        <w:t xml:space="preserve">The Authorized User can apply for modification of an Authorization. Modifications of contact details in the Authorization at the time of renewal shall not be charged. Modifications of contact details in the Authorization other than the time of renewal shall require the reproduction charges. The modification of any site data or addition of Wireless Equipment, change of technical data shall require payment of application processing fees. In case the modification is approved by the TRA, the annual Spectrum Fees shall be calculated on pro-rata basis. The Authorized User shall pay the difference in advance to the TRA. If the difference is in favor of the Authorized User, no reimbursement shall be made by the TRA and the annual Spectrum Fees for subsequent year shall be calculated based on the revised fees. </w:t>
      </w:r>
    </w:p>
    <w:p w:rsidR="00E56335" w:rsidRPr="00F50942" w:rsidRDefault="00E56335" w:rsidP="00E56335">
      <w:pPr>
        <w:pStyle w:val="Arttitle"/>
        <w:spacing w:before="400"/>
      </w:pPr>
      <w:bookmarkStart w:id="262" w:name="_Toc280261832"/>
      <w:bookmarkStart w:id="263" w:name="_Toc280262330"/>
      <w:bookmarkStart w:id="264" w:name="_Toc280272724"/>
      <w:bookmarkStart w:id="265" w:name="_Toc280272903"/>
      <w:r>
        <w:t>Article 10</w:t>
      </w:r>
      <w:r>
        <w:br/>
      </w:r>
      <w:r>
        <w:br/>
      </w:r>
      <w:bookmarkStart w:id="266" w:name="_Toc199215033"/>
      <w:r w:rsidRPr="00F50942">
        <w:t>Authorization cancellation fees</w:t>
      </w:r>
      <w:bookmarkEnd w:id="262"/>
      <w:bookmarkEnd w:id="263"/>
      <w:bookmarkEnd w:id="264"/>
      <w:bookmarkEnd w:id="265"/>
      <w:bookmarkEnd w:id="266"/>
    </w:p>
    <w:p w:rsidR="00E56335" w:rsidRPr="00F50942" w:rsidRDefault="00E56335" w:rsidP="00E56335">
      <w:pPr>
        <w:rPr>
          <w:szCs w:val="19"/>
        </w:rPr>
      </w:pPr>
      <w:r w:rsidRPr="00F50942">
        <w:rPr>
          <w:szCs w:val="19"/>
        </w:rPr>
        <w:t xml:space="preserve">The Authorized User can apply for cancellation of the Authorization. There will be no fees for cancellation and no re-imbursements shall be made by the TRA for any balance amount. </w:t>
      </w:r>
    </w:p>
    <w:p w:rsidR="00E56335" w:rsidRPr="00F50942" w:rsidRDefault="00E56335" w:rsidP="00F1510F">
      <w:pPr>
        <w:pStyle w:val="Arttitle"/>
        <w:spacing w:before="0"/>
      </w:pPr>
      <w:bookmarkStart w:id="267" w:name="_Toc280261833"/>
      <w:bookmarkStart w:id="268" w:name="_Toc280262331"/>
      <w:bookmarkStart w:id="269" w:name="_Toc280272725"/>
      <w:bookmarkStart w:id="270" w:name="_Toc280272904"/>
      <w:r>
        <w:lastRenderedPageBreak/>
        <w:t xml:space="preserve">Article </w:t>
      </w:r>
      <w:r w:rsidRPr="00F50942">
        <w:t>11</w:t>
      </w:r>
      <w:r>
        <w:br/>
      </w:r>
      <w:r>
        <w:br/>
      </w:r>
      <w:bookmarkStart w:id="271" w:name="_Toc199215034"/>
      <w:r w:rsidRPr="00F50942">
        <w:t xml:space="preserve">Spectrum Fees for </w:t>
      </w:r>
      <w:smartTag w:uri="urn:schemas-microsoft-com:office:smarttags" w:element="PlaceName">
        <w:r w:rsidRPr="00F50942">
          <w:t>Public</w:t>
        </w:r>
      </w:smartTag>
      <w:r w:rsidRPr="00F50942">
        <w:t xml:space="preserve"> </w:t>
      </w:r>
      <w:smartTag w:uri="urn:schemas-microsoft-com:office:smarttags" w:element="PlaceType">
        <w:r w:rsidRPr="00F50942">
          <w:t>Land</w:t>
        </w:r>
      </w:smartTag>
      <w:r w:rsidRPr="00F50942">
        <w:t xml:space="preserve"> </w:t>
      </w:r>
      <w:smartTag w:uri="urn:schemas-microsoft-com:office:smarttags" w:element="place">
        <w:r w:rsidRPr="00F50942">
          <w:t>Mobile</w:t>
        </w:r>
      </w:smartTag>
      <w:r w:rsidRPr="00F50942">
        <w:t xml:space="preserve"> (Cellular) Service</w:t>
      </w:r>
      <w:bookmarkEnd w:id="267"/>
      <w:bookmarkEnd w:id="268"/>
      <w:bookmarkEnd w:id="269"/>
      <w:bookmarkEnd w:id="270"/>
      <w:bookmarkEnd w:id="271"/>
    </w:p>
    <w:p w:rsidR="00E56335" w:rsidRPr="00917E34" w:rsidRDefault="00E56335" w:rsidP="00462254">
      <w:pPr>
        <w:pStyle w:val="enumlev1"/>
        <w:spacing w:before="80"/>
        <w:rPr>
          <w:rFonts w:asciiTheme="majorBidi" w:hAnsiTheme="majorBidi" w:cstheme="majorBidi"/>
          <w:szCs w:val="19"/>
        </w:rPr>
      </w:pPr>
      <w:r w:rsidRPr="00917E34">
        <w:rPr>
          <w:rFonts w:asciiTheme="majorBidi" w:hAnsiTheme="majorBidi" w:cstheme="majorBidi"/>
          <w:szCs w:val="19"/>
        </w:rPr>
        <w:t>11.1</w:t>
      </w:r>
      <w:r w:rsidRPr="00917E34">
        <w:rPr>
          <w:rFonts w:asciiTheme="majorBidi" w:hAnsiTheme="majorBidi" w:cstheme="majorBidi"/>
          <w:szCs w:val="19"/>
        </w:rPr>
        <w:tab/>
        <w:t xml:space="preserve">The Annual Spectrum Fees for the Public Land Mobile (cellular) services (including GSM, UMTS and IMT) shall be calculated as follows: </w:t>
      </w:r>
    </w:p>
    <w:p w:rsidR="00E56335" w:rsidRPr="00F50942" w:rsidRDefault="00E56335" w:rsidP="00E56335">
      <w:pPr>
        <w:jc w:val="center"/>
        <w:rPr>
          <w:color w:val="000000"/>
          <w:szCs w:val="19"/>
        </w:rPr>
      </w:pPr>
      <w:r w:rsidRPr="00F50942">
        <w:rPr>
          <w:b/>
          <w:color w:val="000000"/>
          <w:szCs w:val="19"/>
        </w:rPr>
        <w:t xml:space="preserve">Spectrum Price = [(P x MHz) </w:t>
      </w:r>
      <w:r w:rsidRPr="00F50942">
        <w:rPr>
          <w:b/>
          <w:color w:val="000000"/>
          <w:position w:val="10"/>
          <w:szCs w:val="19"/>
          <w:vertAlign w:val="superscript"/>
        </w:rPr>
        <w:t>EM</w:t>
      </w:r>
      <w:r w:rsidRPr="00F50942">
        <w:rPr>
          <w:b/>
          <w:color w:val="000000"/>
          <w:szCs w:val="19"/>
        </w:rPr>
        <w:t xml:space="preserve">] x [1 + (MC – CC) / CM] </w:t>
      </w:r>
      <w:r w:rsidRPr="00F50942">
        <w:rPr>
          <w:b/>
          <w:color w:val="000000"/>
          <w:position w:val="10"/>
          <w:szCs w:val="19"/>
          <w:vertAlign w:val="superscript"/>
        </w:rPr>
        <w:t xml:space="preserve">EC </w:t>
      </w:r>
    </w:p>
    <w:p w:rsidR="00E56335" w:rsidRPr="00F50942" w:rsidRDefault="00E56335" w:rsidP="00E56335">
      <w:pPr>
        <w:ind w:left="720"/>
        <w:rPr>
          <w:szCs w:val="19"/>
        </w:rPr>
      </w:pPr>
      <w:r w:rsidRPr="00F50942">
        <w:rPr>
          <w:szCs w:val="19"/>
        </w:rPr>
        <w:t xml:space="preserve">Where: </w:t>
      </w:r>
    </w:p>
    <w:p w:rsidR="00E56335" w:rsidRPr="00F50942" w:rsidRDefault="00E56335" w:rsidP="00E56335">
      <w:pPr>
        <w:ind w:left="720"/>
        <w:rPr>
          <w:szCs w:val="19"/>
        </w:rPr>
      </w:pPr>
      <w:r w:rsidRPr="00F50942">
        <w:rPr>
          <w:b/>
          <w:szCs w:val="19"/>
        </w:rPr>
        <w:t xml:space="preserve">P = </w:t>
      </w:r>
      <w:r w:rsidRPr="00F50942">
        <w:rPr>
          <w:szCs w:val="19"/>
        </w:rPr>
        <w:t xml:space="preserve">Price per MHz, presently set at 3,500,000.00 AED ( Three Million Five Hundred Thousand) per year </w:t>
      </w:r>
      <w:r w:rsidRPr="00F0529E">
        <w:rPr>
          <w:color w:val="000000"/>
          <w:szCs w:val="19"/>
        </w:rPr>
        <w:t>based</w:t>
      </w:r>
      <w:r w:rsidRPr="00F50942">
        <w:rPr>
          <w:szCs w:val="19"/>
        </w:rPr>
        <w:t xml:space="preserve"> on market study. The TRA may conduct a market study at appropriate intervals to review this price.  </w:t>
      </w:r>
    </w:p>
    <w:p w:rsidR="00E56335" w:rsidRPr="00F50942" w:rsidRDefault="00E56335" w:rsidP="00E56335">
      <w:pPr>
        <w:ind w:left="720"/>
        <w:rPr>
          <w:szCs w:val="19"/>
        </w:rPr>
      </w:pPr>
      <w:r w:rsidRPr="00F50942">
        <w:rPr>
          <w:b/>
          <w:szCs w:val="19"/>
        </w:rPr>
        <w:t>MHz</w:t>
      </w:r>
      <w:r w:rsidRPr="00F50942">
        <w:rPr>
          <w:szCs w:val="19"/>
        </w:rPr>
        <w:t>= Assigned Bandwidth (of Cellular service) where for duplex assignment of 2x20 MHz shall be taken as 40 MHz. Combined Bandwidth of GSM 900/1800 shall be used for each Licensed Operator. The bandwidth for UMTS and other IMT shall be charged separately.</w:t>
      </w:r>
    </w:p>
    <w:p w:rsidR="00E56335" w:rsidRPr="00F50942" w:rsidRDefault="00E56335" w:rsidP="00E56335">
      <w:pPr>
        <w:ind w:left="720"/>
        <w:rPr>
          <w:szCs w:val="19"/>
        </w:rPr>
      </w:pPr>
      <w:r w:rsidRPr="00F50942">
        <w:rPr>
          <w:b/>
          <w:szCs w:val="19"/>
        </w:rPr>
        <w:t>CC</w:t>
      </w:r>
      <w:r w:rsidRPr="00F50942">
        <w:rPr>
          <w:szCs w:val="19"/>
        </w:rPr>
        <w:t xml:space="preserve">= </w:t>
      </w:r>
      <w:r w:rsidRPr="00F0529E">
        <w:rPr>
          <w:color w:val="000000"/>
          <w:szCs w:val="19"/>
        </w:rPr>
        <w:t>Current</w:t>
      </w:r>
      <w:r w:rsidRPr="00F50942">
        <w:rPr>
          <w:szCs w:val="19"/>
        </w:rPr>
        <w:t xml:space="preserve"> Coverage of the operator in number of inhabitants covered by the radio network. </w:t>
      </w:r>
    </w:p>
    <w:p w:rsidR="00E56335" w:rsidRPr="00F50942" w:rsidRDefault="00E56335" w:rsidP="00E56335">
      <w:pPr>
        <w:ind w:left="720"/>
        <w:rPr>
          <w:szCs w:val="19"/>
        </w:rPr>
      </w:pPr>
      <w:r w:rsidRPr="00F50942">
        <w:rPr>
          <w:b/>
          <w:szCs w:val="19"/>
        </w:rPr>
        <w:t>CM</w:t>
      </w:r>
      <w:r w:rsidRPr="00F50942">
        <w:rPr>
          <w:szCs w:val="19"/>
        </w:rPr>
        <w:t xml:space="preserve">= </w:t>
      </w:r>
      <w:r w:rsidRPr="00F0529E">
        <w:rPr>
          <w:color w:val="000000"/>
          <w:szCs w:val="19"/>
        </w:rPr>
        <w:t>Maximum</w:t>
      </w:r>
      <w:r w:rsidRPr="00F50942">
        <w:rPr>
          <w:szCs w:val="19"/>
        </w:rPr>
        <w:t xml:space="preserve"> coverage in UAE is set as 4,912,000 inhabitants of UAE based on projected information from Ministry of Planning and shall be revised on results of Census or after three years from the date of this Policy.  </w:t>
      </w:r>
    </w:p>
    <w:p w:rsidR="00E56335" w:rsidRPr="00F50942" w:rsidRDefault="00E56335" w:rsidP="00E56335">
      <w:pPr>
        <w:ind w:left="720"/>
        <w:rPr>
          <w:szCs w:val="19"/>
        </w:rPr>
      </w:pPr>
      <w:r w:rsidRPr="00F50942">
        <w:rPr>
          <w:b/>
          <w:szCs w:val="19"/>
        </w:rPr>
        <w:t>MC</w:t>
      </w:r>
      <w:r w:rsidRPr="00F50942">
        <w:rPr>
          <w:szCs w:val="19"/>
        </w:rPr>
        <w:t xml:space="preserve">= </w:t>
      </w:r>
      <w:r w:rsidRPr="00F0529E">
        <w:rPr>
          <w:color w:val="000000"/>
          <w:szCs w:val="19"/>
        </w:rPr>
        <w:t>Minimum</w:t>
      </w:r>
      <w:r w:rsidRPr="00F50942">
        <w:rPr>
          <w:szCs w:val="19"/>
        </w:rPr>
        <w:t xml:space="preserve"> coverage which is set as 2,063,040 inhabitants of UAE (42% of the CM value). </w:t>
      </w:r>
    </w:p>
    <w:p w:rsidR="00E56335" w:rsidRPr="00F50942" w:rsidRDefault="00E56335" w:rsidP="00E56335">
      <w:pPr>
        <w:ind w:left="720"/>
        <w:rPr>
          <w:szCs w:val="19"/>
        </w:rPr>
      </w:pPr>
      <w:r w:rsidRPr="00F50942">
        <w:rPr>
          <w:b/>
          <w:szCs w:val="19"/>
        </w:rPr>
        <w:t>EC</w:t>
      </w:r>
      <w:r w:rsidRPr="00F50942">
        <w:rPr>
          <w:szCs w:val="19"/>
        </w:rPr>
        <w:t xml:space="preserve">= </w:t>
      </w:r>
      <w:r w:rsidRPr="00F0529E">
        <w:rPr>
          <w:color w:val="000000"/>
          <w:szCs w:val="19"/>
        </w:rPr>
        <w:t>Efficient</w:t>
      </w:r>
      <w:r w:rsidRPr="00F50942">
        <w:rPr>
          <w:szCs w:val="19"/>
        </w:rPr>
        <w:t xml:space="preserve"> Factor for coverage, calculated as EC= 1 + (CC/MC). </w:t>
      </w:r>
    </w:p>
    <w:p w:rsidR="00E56335" w:rsidRPr="00F50942" w:rsidRDefault="00E56335" w:rsidP="00E56335">
      <w:pPr>
        <w:ind w:left="720"/>
        <w:rPr>
          <w:szCs w:val="19"/>
        </w:rPr>
      </w:pPr>
      <w:r w:rsidRPr="00F50942">
        <w:rPr>
          <w:b/>
          <w:szCs w:val="19"/>
        </w:rPr>
        <w:t>EM</w:t>
      </w:r>
      <w:r w:rsidRPr="00F50942">
        <w:rPr>
          <w:szCs w:val="19"/>
        </w:rPr>
        <w:t xml:space="preserve">= </w:t>
      </w:r>
      <w:r w:rsidRPr="00F0529E">
        <w:rPr>
          <w:color w:val="000000"/>
          <w:szCs w:val="19"/>
        </w:rPr>
        <w:t>Efficiency</w:t>
      </w:r>
      <w:r w:rsidRPr="00F50942">
        <w:rPr>
          <w:szCs w:val="19"/>
        </w:rPr>
        <w:t xml:space="preserve"> factor for MHz, calculated as EM= 1 + (MHz/982.4) </w:t>
      </w:r>
    </w:p>
    <w:p w:rsidR="00E56335" w:rsidRPr="00F50942" w:rsidRDefault="00E56335" w:rsidP="00F1510F">
      <w:pPr>
        <w:spacing w:before="80"/>
        <w:ind w:left="720"/>
        <w:rPr>
          <w:szCs w:val="19"/>
        </w:rPr>
      </w:pPr>
      <w:r w:rsidRPr="00F50942">
        <w:rPr>
          <w:szCs w:val="19"/>
        </w:rPr>
        <w:t xml:space="preserve">982.4 </w:t>
      </w:r>
      <w:r w:rsidRPr="00F0529E">
        <w:rPr>
          <w:color w:val="000000"/>
          <w:szCs w:val="19"/>
        </w:rPr>
        <w:t>represent</w:t>
      </w:r>
      <w:r w:rsidRPr="00F50942">
        <w:rPr>
          <w:szCs w:val="19"/>
        </w:rPr>
        <w:t xml:space="preserve"> a value corresponding to 4.912 Million population of UAE. </w:t>
      </w:r>
    </w:p>
    <w:p w:rsidR="00E56335" w:rsidRPr="00DD5CDC" w:rsidRDefault="00E56335" w:rsidP="00462254">
      <w:pPr>
        <w:pStyle w:val="enumlev1"/>
        <w:spacing w:before="80"/>
        <w:rPr>
          <w:rFonts w:asciiTheme="majorBidi" w:hAnsiTheme="majorBidi" w:cstheme="majorBidi"/>
          <w:szCs w:val="22"/>
        </w:rPr>
      </w:pPr>
      <w:r w:rsidRPr="00DD5CDC">
        <w:rPr>
          <w:rFonts w:asciiTheme="majorBidi" w:hAnsiTheme="majorBidi" w:cstheme="majorBidi"/>
          <w:szCs w:val="22"/>
        </w:rPr>
        <w:t>11.2</w:t>
      </w:r>
      <w:r w:rsidRPr="00DD5CDC">
        <w:rPr>
          <w:rFonts w:asciiTheme="majorBidi" w:hAnsiTheme="majorBidi" w:cstheme="majorBidi"/>
          <w:szCs w:val="22"/>
        </w:rPr>
        <w:tab/>
        <w:t xml:space="preserve">The TRA regulations and guidelines for determination of the factors like coverage for calculation of Fees for Public Land Mobile (cellular) services shall apply. </w:t>
      </w:r>
    </w:p>
    <w:p w:rsidR="00E56335" w:rsidRPr="00F50942" w:rsidRDefault="00E56335" w:rsidP="00F1510F">
      <w:pPr>
        <w:pStyle w:val="Arttitle"/>
      </w:pPr>
      <w:bookmarkStart w:id="272" w:name="_Toc280261834"/>
      <w:bookmarkStart w:id="273" w:name="_Toc280262332"/>
      <w:bookmarkStart w:id="274" w:name="_Toc280272726"/>
      <w:bookmarkStart w:id="275" w:name="_Toc280272905"/>
      <w:r>
        <w:t xml:space="preserve">Article </w:t>
      </w:r>
      <w:r w:rsidRPr="00F50942">
        <w:t>12</w:t>
      </w:r>
      <w:r>
        <w:br/>
      </w:r>
      <w:r>
        <w:br/>
      </w:r>
      <w:bookmarkStart w:id="276" w:name="_Toc199215035"/>
      <w:r w:rsidRPr="00F50942">
        <w:t>Spectrum Fees for Private Mobile Radio, paging and trunking</w:t>
      </w:r>
      <w:bookmarkEnd w:id="272"/>
      <w:bookmarkEnd w:id="273"/>
      <w:bookmarkEnd w:id="274"/>
      <w:bookmarkEnd w:id="275"/>
      <w:bookmarkEnd w:id="276"/>
    </w:p>
    <w:p w:rsidR="00E56335" w:rsidRPr="00DD5CDC" w:rsidRDefault="00E56335" w:rsidP="00462254">
      <w:pPr>
        <w:pStyle w:val="enumlev1"/>
        <w:spacing w:before="80"/>
        <w:rPr>
          <w:rFonts w:asciiTheme="majorBidi" w:hAnsiTheme="majorBidi" w:cstheme="majorBidi"/>
          <w:szCs w:val="22"/>
        </w:rPr>
      </w:pPr>
      <w:r w:rsidRPr="00DD5CDC">
        <w:rPr>
          <w:rFonts w:asciiTheme="majorBidi" w:hAnsiTheme="majorBidi" w:cstheme="majorBidi"/>
          <w:szCs w:val="22"/>
        </w:rPr>
        <w:t>12.1</w:t>
      </w:r>
      <w:r w:rsidRPr="00DD5CDC">
        <w:rPr>
          <w:rFonts w:asciiTheme="majorBidi" w:hAnsiTheme="majorBidi" w:cstheme="majorBidi"/>
          <w:szCs w:val="22"/>
        </w:rPr>
        <w:tab/>
        <w:t xml:space="preserve">The Annual Spectrum Fees for Private Mobile Radio shall be calculated as follows: </w:t>
      </w:r>
    </w:p>
    <w:p w:rsidR="00E56335" w:rsidRPr="00F50942" w:rsidRDefault="00E56335" w:rsidP="00E56335">
      <w:pPr>
        <w:jc w:val="center"/>
        <w:rPr>
          <w:color w:val="000000"/>
          <w:szCs w:val="19"/>
        </w:rPr>
      </w:pPr>
      <w:r w:rsidRPr="00F50942">
        <w:rPr>
          <w:b/>
          <w:color w:val="000000"/>
          <w:szCs w:val="19"/>
        </w:rPr>
        <w:t xml:space="preserve">Spectrum Price = NC x CF + SUM (WE x 500 x PF) </w:t>
      </w:r>
    </w:p>
    <w:p w:rsidR="00E56335" w:rsidRPr="00F50942" w:rsidRDefault="00E56335" w:rsidP="00E56335">
      <w:pPr>
        <w:ind w:left="720"/>
        <w:rPr>
          <w:color w:val="000000"/>
          <w:szCs w:val="19"/>
        </w:rPr>
      </w:pPr>
      <w:r w:rsidRPr="00F50942">
        <w:rPr>
          <w:color w:val="000000"/>
          <w:szCs w:val="19"/>
        </w:rPr>
        <w:t xml:space="preserve">Where: </w:t>
      </w:r>
    </w:p>
    <w:p w:rsidR="00E56335" w:rsidRPr="00F50942" w:rsidRDefault="00E56335" w:rsidP="00E56335">
      <w:pPr>
        <w:ind w:left="720"/>
        <w:rPr>
          <w:color w:val="000000"/>
          <w:szCs w:val="19"/>
        </w:rPr>
      </w:pPr>
      <w:r w:rsidRPr="00F50942">
        <w:rPr>
          <w:b/>
          <w:color w:val="000000"/>
          <w:szCs w:val="19"/>
        </w:rPr>
        <w:t xml:space="preserve">NC= </w:t>
      </w:r>
      <w:r w:rsidRPr="00F50942">
        <w:rPr>
          <w:color w:val="000000"/>
          <w:szCs w:val="19"/>
        </w:rPr>
        <w:t xml:space="preserve">Number of Channels (12.5 kHz bandwidth equivalents each) that will be assigned to the user. </w:t>
      </w:r>
    </w:p>
    <w:p w:rsidR="00E56335" w:rsidRPr="00F50942" w:rsidRDefault="00E56335" w:rsidP="00E56335">
      <w:pPr>
        <w:ind w:left="720"/>
        <w:rPr>
          <w:color w:val="000000"/>
          <w:szCs w:val="19"/>
        </w:rPr>
      </w:pPr>
      <w:r w:rsidRPr="00F50942">
        <w:rPr>
          <w:b/>
          <w:color w:val="000000"/>
          <w:szCs w:val="19"/>
        </w:rPr>
        <w:t xml:space="preserve">WE = </w:t>
      </w:r>
      <w:r w:rsidRPr="00F50942">
        <w:rPr>
          <w:color w:val="000000"/>
          <w:szCs w:val="19"/>
        </w:rPr>
        <w:t xml:space="preserve">Wireless Equipment authorized (including handhelds) will be included in the calculation. </w:t>
      </w:r>
    </w:p>
    <w:p w:rsidR="00E56335" w:rsidRPr="00F50942" w:rsidRDefault="00E56335" w:rsidP="00E56335">
      <w:pPr>
        <w:ind w:left="720"/>
        <w:rPr>
          <w:color w:val="000000"/>
          <w:szCs w:val="19"/>
        </w:rPr>
      </w:pPr>
      <w:r w:rsidRPr="00F50942">
        <w:rPr>
          <w:b/>
          <w:color w:val="000000"/>
          <w:szCs w:val="19"/>
        </w:rPr>
        <w:t xml:space="preserve">SUM (WE x 500 x PF) = </w:t>
      </w:r>
      <w:r w:rsidRPr="00F50942">
        <w:rPr>
          <w:color w:val="000000"/>
          <w:szCs w:val="19"/>
        </w:rPr>
        <w:t xml:space="preserve">Total sum of (each Wireless Equipment authorized multiplied by 500 multiplied by Power Factor). </w:t>
      </w:r>
    </w:p>
    <w:p w:rsidR="00E56335" w:rsidRDefault="00E56335" w:rsidP="00E56335">
      <w:pPr>
        <w:ind w:left="720"/>
        <w:rPr>
          <w:color w:val="000000"/>
          <w:szCs w:val="19"/>
        </w:rPr>
      </w:pPr>
      <w:r w:rsidRPr="00F50942">
        <w:rPr>
          <w:b/>
          <w:color w:val="000000"/>
          <w:szCs w:val="19"/>
        </w:rPr>
        <w:t xml:space="preserve">PF= </w:t>
      </w:r>
      <w:r w:rsidRPr="00F50942">
        <w:rPr>
          <w:color w:val="000000"/>
          <w:szCs w:val="19"/>
        </w:rPr>
        <w:t xml:space="preserve">Power Factor depending on the authorized radiated power of the Equipment which will be determined as follows: </w:t>
      </w:r>
    </w:p>
    <w:p w:rsidR="00E56335" w:rsidRPr="00F1510F" w:rsidRDefault="00E56335" w:rsidP="00E56335">
      <w:pPr>
        <w:spacing w:before="0"/>
        <w:ind w:left="720"/>
        <w:rPr>
          <w:color w:val="000000"/>
          <w:szCs w:val="22"/>
        </w:rPr>
      </w:pPr>
    </w:p>
    <w:p w:rsidR="00E56335" w:rsidRPr="00F50942" w:rsidRDefault="00E56335" w:rsidP="00E56335">
      <w:pPr>
        <w:pStyle w:val="FigureTitle"/>
      </w:pPr>
    </w:p>
    <w:tbl>
      <w:tblPr>
        <w:tblW w:w="0" w:type="auto"/>
        <w:jc w:val="center"/>
        <w:tblInd w:w="900" w:type="dxa"/>
        <w:tblBorders>
          <w:top w:val="nil"/>
          <w:left w:val="nil"/>
          <w:bottom w:val="nil"/>
          <w:right w:val="nil"/>
        </w:tblBorders>
        <w:tblLook w:val="0000"/>
      </w:tblPr>
      <w:tblGrid>
        <w:gridCol w:w="815"/>
        <w:gridCol w:w="1555"/>
        <w:gridCol w:w="931"/>
        <w:gridCol w:w="1167"/>
        <w:gridCol w:w="1222"/>
        <w:gridCol w:w="782"/>
      </w:tblGrid>
      <w:tr w:rsidR="00E56335" w:rsidRPr="00F50942" w:rsidTr="00015D4C">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E56335" w:rsidRPr="00AA5846" w:rsidRDefault="00E56335" w:rsidP="00F1510F">
            <w:pPr>
              <w:pStyle w:val="Tablehead"/>
              <w:spacing w:before="40" w:after="40"/>
              <w:rPr>
                <w:rFonts w:asciiTheme="majorBidi" w:hAnsiTheme="majorBidi" w:cstheme="majorBidi"/>
                <w:szCs w:val="22"/>
              </w:rPr>
            </w:pPr>
            <w:r w:rsidRPr="00AA5846">
              <w:rPr>
                <w:rFonts w:asciiTheme="majorBidi" w:hAnsiTheme="majorBidi" w:cstheme="majorBidi"/>
                <w:szCs w:val="22"/>
              </w:rPr>
              <w:t xml:space="preserve">Power </w:t>
            </w:r>
          </w:p>
        </w:tc>
        <w:tc>
          <w:tcPr>
            <w:tcW w:w="0" w:type="auto"/>
            <w:tcBorders>
              <w:top w:val="single" w:sz="8" w:space="0" w:color="000000"/>
              <w:left w:val="single" w:sz="8" w:space="0" w:color="000000"/>
              <w:bottom w:val="single" w:sz="8" w:space="0" w:color="000000"/>
              <w:right w:val="single" w:sz="8" w:space="0" w:color="000000"/>
            </w:tcBorders>
          </w:tcPr>
          <w:p w:rsidR="00E56335" w:rsidRPr="00AA5846" w:rsidRDefault="00E56335" w:rsidP="00F1510F">
            <w:pPr>
              <w:pStyle w:val="Tablehead"/>
              <w:spacing w:before="40" w:after="40"/>
              <w:rPr>
                <w:rFonts w:asciiTheme="majorBidi" w:hAnsiTheme="majorBidi" w:cstheme="majorBidi"/>
                <w:szCs w:val="22"/>
              </w:rPr>
            </w:pPr>
            <w:r w:rsidRPr="00AA5846">
              <w:rPr>
                <w:rFonts w:asciiTheme="majorBidi" w:hAnsiTheme="majorBidi" w:cstheme="majorBidi"/>
                <w:szCs w:val="22"/>
              </w:rPr>
              <w:t>Less than 1 W</w:t>
            </w:r>
          </w:p>
        </w:tc>
        <w:tc>
          <w:tcPr>
            <w:tcW w:w="0" w:type="auto"/>
            <w:tcBorders>
              <w:top w:val="single" w:sz="8" w:space="0" w:color="000000"/>
              <w:left w:val="single" w:sz="8" w:space="0" w:color="000000"/>
              <w:bottom w:val="single" w:sz="8" w:space="0" w:color="000000"/>
              <w:right w:val="single" w:sz="8" w:space="0" w:color="000000"/>
            </w:tcBorders>
          </w:tcPr>
          <w:p w:rsidR="00E56335" w:rsidRPr="00AA5846" w:rsidRDefault="00E56335" w:rsidP="00F1510F">
            <w:pPr>
              <w:pStyle w:val="Tablehead"/>
              <w:spacing w:before="40" w:after="40"/>
              <w:rPr>
                <w:rFonts w:asciiTheme="majorBidi" w:hAnsiTheme="majorBidi" w:cstheme="majorBidi"/>
                <w:szCs w:val="22"/>
              </w:rPr>
            </w:pPr>
            <w:r w:rsidRPr="00AA5846">
              <w:rPr>
                <w:rFonts w:asciiTheme="majorBidi" w:hAnsiTheme="majorBidi" w:cstheme="majorBidi"/>
                <w:szCs w:val="22"/>
              </w:rPr>
              <w:t xml:space="preserve">1 – 5 W </w:t>
            </w:r>
          </w:p>
        </w:tc>
        <w:tc>
          <w:tcPr>
            <w:tcW w:w="0" w:type="auto"/>
            <w:tcBorders>
              <w:top w:val="single" w:sz="8" w:space="0" w:color="000000"/>
              <w:left w:val="single" w:sz="8" w:space="0" w:color="000000"/>
              <w:bottom w:val="single" w:sz="8" w:space="0" w:color="000000"/>
              <w:right w:val="single" w:sz="8" w:space="0" w:color="000000"/>
            </w:tcBorders>
          </w:tcPr>
          <w:p w:rsidR="00E56335" w:rsidRPr="00AA5846" w:rsidRDefault="00E56335" w:rsidP="00F1510F">
            <w:pPr>
              <w:pStyle w:val="Tablehead"/>
              <w:spacing w:before="40" w:after="40"/>
              <w:rPr>
                <w:rFonts w:asciiTheme="majorBidi" w:hAnsiTheme="majorBidi" w:cstheme="majorBidi"/>
                <w:szCs w:val="22"/>
              </w:rPr>
            </w:pPr>
            <w:r w:rsidRPr="00AA5846">
              <w:rPr>
                <w:rFonts w:asciiTheme="majorBidi" w:hAnsiTheme="majorBidi" w:cstheme="majorBidi"/>
                <w:szCs w:val="22"/>
              </w:rPr>
              <w:t xml:space="preserve">&gt;5 – 10 W </w:t>
            </w:r>
          </w:p>
        </w:tc>
        <w:tc>
          <w:tcPr>
            <w:tcW w:w="0" w:type="auto"/>
            <w:tcBorders>
              <w:top w:val="single" w:sz="8" w:space="0" w:color="000000"/>
              <w:left w:val="single" w:sz="8" w:space="0" w:color="000000"/>
              <w:bottom w:val="single" w:sz="8" w:space="0" w:color="000000"/>
              <w:right w:val="single" w:sz="8" w:space="0" w:color="000000"/>
            </w:tcBorders>
          </w:tcPr>
          <w:p w:rsidR="00E56335" w:rsidRPr="00AA5846" w:rsidRDefault="00E56335" w:rsidP="00F1510F">
            <w:pPr>
              <w:pStyle w:val="Tablehead"/>
              <w:spacing w:before="40" w:after="40"/>
              <w:rPr>
                <w:rFonts w:asciiTheme="majorBidi" w:hAnsiTheme="majorBidi" w:cstheme="majorBidi"/>
                <w:szCs w:val="22"/>
              </w:rPr>
            </w:pPr>
            <w:r w:rsidRPr="00AA5846">
              <w:rPr>
                <w:rFonts w:asciiTheme="majorBidi" w:hAnsiTheme="majorBidi" w:cstheme="majorBidi"/>
                <w:szCs w:val="22"/>
              </w:rPr>
              <w:t xml:space="preserve">&gt;10 – 20W </w:t>
            </w:r>
          </w:p>
        </w:tc>
        <w:tc>
          <w:tcPr>
            <w:tcW w:w="0" w:type="auto"/>
            <w:tcBorders>
              <w:top w:val="single" w:sz="8" w:space="0" w:color="000000"/>
              <w:left w:val="single" w:sz="8" w:space="0" w:color="000000"/>
              <w:bottom w:val="single" w:sz="8" w:space="0" w:color="000000"/>
              <w:right w:val="single" w:sz="8" w:space="0" w:color="000000"/>
            </w:tcBorders>
          </w:tcPr>
          <w:p w:rsidR="00E56335" w:rsidRPr="00AA5846" w:rsidRDefault="00E56335" w:rsidP="00F1510F">
            <w:pPr>
              <w:pStyle w:val="Tablehead"/>
              <w:spacing w:before="40" w:after="40"/>
              <w:rPr>
                <w:rFonts w:asciiTheme="majorBidi" w:hAnsiTheme="majorBidi" w:cstheme="majorBidi"/>
                <w:szCs w:val="22"/>
              </w:rPr>
            </w:pPr>
            <w:r w:rsidRPr="00AA5846">
              <w:rPr>
                <w:rFonts w:asciiTheme="majorBidi" w:hAnsiTheme="majorBidi" w:cstheme="majorBidi"/>
                <w:szCs w:val="22"/>
              </w:rPr>
              <w:t xml:space="preserve">&gt;20W </w:t>
            </w:r>
          </w:p>
        </w:tc>
      </w:tr>
      <w:tr w:rsidR="00E56335" w:rsidRPr="00F50942" w:rsidTr="00015D4C">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E56335" w:rsidRPr="00AA5846" w:rsidRDefault="00E56335" w:rsidP="00F1510F">
            <w:pPr>
              <w:pStyle w:val="Tabletext"/>
              <w:jc w:val="center"/>
              <w:rPr>
                <w:rFonts w:asciiTheme="majorBidi" w:hAnsiTheme="majorBidi" w:cstheme="majorBidi"/>
                <w:szCs w:val="22"/>
              </w:rPr>
            </w:pPr>
            <w:r w:rsidRPr="00AA5846">
              <w:rPr>
                <w:rFonts w:asciiTheme="majorBidi" w:hAnsiTheme="majorBidi" w:cstheme="majorBidi"/>
                <w:szCs w:val="22"/>
              </w:rPr>
              <w:t>PF</w:t>
            </w:r>
          </w:p>
        </w:tc>
        <w:tc>
          <w:tcPr>
            <w:tcW w:w="0" w:type="auto"/>
            <w:tcBorders>
              <w:top w:val="single" w:sz="8" w:space="0" w:color="000000"/>
              <w:left w:val="single" w:sz="8" w:space="0" w:color="000000"/>
              <w:bottom w:val="single" w:sz="8" w:space="0" w:color="000000"/>
              <w:right w:val="single" w:sz="8" w:space="0" w:color="000000"/>
            </w:tcBorders>
          </w:tcPr>
          <w:p w:rsidR="00E56335" w:rsidRPr="00AA5846" w:rsidRDefault="00E56335" w:rsidP="00F1510F">
            <w:pPr>
              <w:pStyle w:val="Tabletext"/>
              <w:jc w:val="center"/>
              <w:rPr>
                <w:rFonts w:asciiTheme="majorBidi" w:hAnsiTheme="majorBidi" w:cstheme="majorBidi"/>
                <w:szCs w:val="22"/>
              </w:rPr>
            </w:pPr>
            <w:r w:rsidRPr="00AA5846">
              <w:rPr>
                <w:rFonts w:asciiTheme="majorBidi" w:hAnsiTheme="majorBidi" w:cstheme="majorBidi"/>
                <w:szCs w:val="22"/>
              </w:rPr>
              <w:t>0.25</w:t>
            </w:r>
          </w:p>
        </w:tc>
        <w:tc>
          <w:tcPr>
            <w:tcW w:w="0" w:type="auto"/>
            <w:tcBorders>
              <w:top w:val="single" w:sz="8" w:space="0" w:color="000000"/>
              <w:left w:val="single" w:sz="8" w:space="0" w:color="000000"/>
              <w:bottom w:val="single" w:sz="8" w:space="0" w:color="000000"/>
              <w:right w:val="single" w:sz="8" w:space="0" w:color="000000"/>
            </w:tcBorders>
          </w:tcPr>
          <w:p w:rsidR="00E56335" w:rsidRPr="00AA5846" w:rsidRDefault="00E56335" w:rsidP="00F1510F">
            <w:pPr>
              <w:pStyle w:val="Tabletext"/>
              <w:jc w:val="center"/>
              <w:rPr>
                <w:rFonts w:asciiTheme="majorBidi" w:hAnsiTheme="majorBidi" w:cstheme="majorBidi"/>
                <w:szCs w:val="22"/>
              </w:rPr>
            </w:pPr>
            <w:r w:rsidRPr="00AA5846">
              <w:rPr>
                <w:rFonts w:asciiTheme="majorBidi" w:hAnsiTheme="majorBidi" w:cstheme="majorBidi"/>
                <w:szCs w:val="22"/>
              </w:rPr>
              <w:t>1</w:t>
            </w:r>
          </w:p>
        </w:tc>
        <w:tc>
          <w:tcPr>
            <w:tcW w:w="0" w:type="auto"/>
            <w:tcBorders>
              <w:top w:val="single" w:sz="8" w:space="0" w:color="000000"/>
              <w:left w:val="single" w:sz="8" w:space="0" w:color="000000"/>
              <w:bottom w:val="single" w:sz="8" w:space="0" w:color="000000"/>
              <w:right w:val="single" w:sz="8" w:space="0" w:color="000000"/>
            </w:tcBorders>
          </w:tcPr>
          <w:p w:rsidR="00E56335" w:rsidRPr="00AA5846" w:rsidRDefault="00E56335" w:rsidP="00F1510F">
            <w:pPr>
              <w:pStyle w:val="Tabletext"/>
              <w:jc w:val="center"/>
              <w:rPr>
                <w:rFonts w:asciiTheme="majorBidi" w:hAnsiTheme="majorBidi" w:cstheme="majorBidi"/>
                <w:szCs w:val="22"/>
              </w:rPr>
            </w:pPr>
            <w:r w:rsidRPr="00AA5846">
              <w:rPr>
                <w:rFonts w:asciiTheme="majorBidi" w:hAnsiTheme="majorBidi" w:cstheme="majorBidi"/>
                <w:szCs w:val="22"/>
              </w:rPr>
              <w:t>2</w:t>
            </w:r>
          </w:p>
        </w:tc>
        <w:tc>
          <w:tcPr>
            <w:tcW w:w="0" w:type="auto"/>
            <w:tcBorders>
              <w:top w:val="single" w:sz="8" w:space="0" w:color="000000"/>
              <w:left w:val="single" w:sz="8" w:space="0" w:color="000000"/>
              <w:bottom w:val="single" w:sz="8" w:space="0" w:color="000000"/>
              <w:right w:val="single" w:sz="8" w:space="0" w:color="000000"/>
            </w:tcBorders>
          </w:tcPr>
          <w:p w:rsidR="00E56335" w:rsidRPr="00AA5846" w:rsidRDefault="00E56335" w:rsidP="00F1510F">
            <w:pPr>
              <w:pStyle w:val="Tabletext"/>
              <w:jc w:val="center"/>
              <w:rPr>
                <w:rFonts w:asciiTheme="majorBidi" w:hAnsiTheme="majorBidi" w:cstheme="majorBidi"/>
                <w:szCs w:val="22"/>
              </w:rPr>
            </w:pPr>
            <w:r w:rsidRPr="00AA5846">
              <w:rPr>
                <w:rFonts w:asciiTheme="majorBidi" w:hAnsiTheme="majorBidi" w:cstheme="majorBidi"/>
                <w:szCs w:val="22"/>
              </w:rPr>
              <w:t>3</w:t>
            </w:r>
          </w:p>
        </w:tc>
        <w:tc>
          <w:tcPr>
            <w:tcW w:w="0" w:type="auto"/>
            <w:tcBorders>
              <w:top w:val="single" w:sz="8" w:space="0" w:color="000000"/>
              <w:left w:val="single" w:sz="8" w:space="0" w:color="000000"/>
              <w:bottom w:val="single" w:sz="8" w:space="0" w:color="000000"/>
              <w:right w:val="single" w:sz="8" w:space="0" w:color="000000"/>
            </w:tcBorders>
          </w:tcPr>
          <w:p w:rsidR="00E56335" w:rsidRPr="00AA5846" w:rsidRDefault="00E56335" w:rsidP="00F1510F">
            <w:pPr>
              <w:pStyle w:val="Tabletext"/>
              <w:jc w:val="center"/>
              <w:rPr>
                <w:rFonts w:asciiTheme="majorBidi" w:hAnsiTheme="majorBidi" w:cstheme="majorBidi"/>
                <w:szCs w:val="22"/>
              </w:rPr>
            </w:pPr>
            <w:r w:rsidRPr="00AA5846">
              <w:rPr>
                <w:rFonts w:asciiTheme="majorBidi" w:hAnsiTheme="majorBidi" w:cstheme="majorBidi"/>
                <w:szCs w:val="22"/>
              </w:rPr>
              <w:t>4</w:t>
            </w:r>
          </w:p>
        </w:tc>
      </w:tr>
    </w:tbl>
    <w:p w:rsidR="00E56335" w:rsidRPr="00F50942" w:rsidRDefault="00E56335" w:rsidP="00E56335">
      <w:pPr>
        <w:pStyle w:val="FigureSource"/>
      </w:pPr>
    </w:p>
    <w:p w:rsidR="00F1510F" w:rsidRDefault="00F1510F">
      <w:pPr>
        <w:tabs>
          <w:tab w:val="clear" w:pos="794"/>
          <w:tab w:val="clear" w:pos="1191"/>
          <w:tab w:val="clear" w:pos="1588"/>
          <w:tab w:val="clear" w:pos="1985"/>
        </w:tabs>
        <w:overflowPunct/>
        <w:autoSpaceDE/>
        <w:autoSpaceDN/>
        <w:adjustRightInd/>
        <w:spacing w:before="0"/>
        <w:jc w:val="left"/>
        <w:textAlignment w:val="auto"/>
        <w:rPr>
          <w:b/>
          <w:color w:val="000000"/>
          <w:szCs w:val="19"/>
        </w:rPr>
      </w:pPr>
      <w:r>
        <w:rPr>
          <w:b/>
          <w:color w:val="000000"/>
          <w:szCs w:val="19"/>
        </w:rPr>
        <w:br w:type="page"/>
      </w:r>
    </w:p>
    <w:p w:rsidR="00E56335" w:rsidRPr="00F50942" w:rsidRDefault="00E56335" w:rsidP="00E56335">
      <w:pPr>
        <w:ind w:left="720"/>
        <w:rPr>
          <w:color w:val="000000"/>
          <w:szCs w:val="19"/>
        </w:rPr>
      </w:pPr>
      <w:r w:rsidRPr="00F50942">
        <w:rPr>
          <w:b/>
          <w:color w:val="000000"/>
          <w:szCs w:val="19"/>
        </w:rPr>
        <w:lastRenderedPageBreak/>
        <w:t xml:space="preserve">CF= </w:t>
      </w:r>
      <w:r w:rsidRPr="00F50942">
        <w:rPr>
          <w:color w:val="000000"/>
          <w:szCs w:val="19"/>
        </w:rPr>
        <w:t xml:space="preserve">Coverage Factor depending on the geographical area which will be determined as follows: </w:t>
      </w:r>
    </w:p>
    <w:p w:rsidR="00E56335" w:rsidRDefault="00E56335" w:rsidP="00E56335">
      <w:pPr>
        <w:ind w:left="720"/>
        <w:rPr>
          <w:color w:val="000000"/>
          <w:szCs w:val="19"/>
        </w:rPr>
      </w:pPr>
    </w:p>
    <w:p w:rsidR="00E56335" w:rsidRPr="00F50942" w:rsidRDefault="00E56335" w:rsidP="00E56335">
      <w:pPr>
        <w:pStyle w:val="FigureTitle"/>
      </w:pPr>
    </w:p>
    <w:tbl>
      <w:tblPr>
        <w:tblW w:w="0" w:type="auto"/>
        <w:jc w:val="center"/>
        <w:tblInd w:w="900" w:type="dxa"/>
        <w:tblBorders>
          <w:top w:val="nil"/>
          <w:left w:val="nil"/>
          <w:bottom w:val="nil"/>
          <w:right w:val="nil"/>
        </w:tblBorders>
        <w:tblLook w:val="0000"/>
      </w:tblPr>
      <w:tblGrid>
        <w:gridCol w:w="681"/>
        <w:gridCol w:w="1475"/>
        <w:gridCol w:w="1523"/>
        <w:gridCol w:w="3268"/>
        <w:gridCol w:w="817"/>
      </w:tblGrid>
      <w:tr w:rsidR="00E56335" w:rsidRPr="00F50942" w:rsidTr="00015D4C">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E56335" w:rsidRPr="00AA5846" w:rsidRDefault="00E56335" w:rsidP="00015D4C">
            <w:pPr>
              <w:pStyle w:val="Tablehead"/>
              <w:rPr>
                <w:rFonts w:asciiTheme="majorBidi" w:hAnsiTheme="majorBidi" w:cstheme="majorBidi"/>
                <w:szCs w:val="22"/>
              </w:rPr>
            </w:pPr>
            <w:r w:rsidRPr="00AA5846">
              <w:rPr>
                <w:rFonts w:asciiTheme="majorBidi" w:hAnsiTheme="majorBidi" w:cstheme="majorBidi"/>
                <w:szCs w:val="22"/>
              </w:rPr>
              <w:t xml:space="preserve">Area </w:t>
            </w:r>
          </w:p>
        </w:tc>
        <w:tc>
          <w:tcPr>
            <w:tcW w:w="1475" w:type="dxa"/>
            <w:tcBorders>
              <w:top w:val="single" w:sz="8" w:space="0" w:color="000000"/>
              <w:left w:val="single" w:sz="8" w:space="0" w:color="000000"/>
              <w:bottom w:val="single" w:sz="8" w:space="0" w:color="000000"/>
              <w:right w:val="single" w:sz="8" w:space="0" w:color="000000"/>
            </w:tcBorders>
          </w:tcPr>
          <w:p w:rsidR="00E56335" w:rsidRPr="00AA5846" w:rsidRDefault="00E56335" w:rsidP="00015D4C">
            <w:pPr>
              <w:pStyle w:val="Tablehead"/>
              <w:rPr>
                <w:rFonts w:asciiTheme="majorBidi" w:hAnsiTheme="majorBidi" w:cstheme="majorBidi"/>
                <w:szCs w:val="22"/>
              </w:rPr>
            </w:pPr>
            <w:r w:rsidRPr="00AA5846">
              <w:rPr>
                <w:rFonts w:asciiTheme="majorBidi" w:hAnsiTheme="majorBidi" w:cstheme="majorBidi"/>
                <w:szCs w:val="22"/>
              </w:rPr>
              <w:t xml:space="preserve">Rural area or within premises </w:t>
            </w:r>
          </w:p>
        </w:tc>
        <w:tc>
          <w:tcPr>
            <w:tcW w:w="1523" w:type="dxa"/>
            <w:tcBorders>
              <w:top w:val="single" w:sz="8" w:space="0" w:color="000000"/>
              <w:left w:val="single" w:sz="8" w:space="0" w:color="000000"/>
              <w:bottom w:val="single" w:sz="8" w:space="0" w:color="000000"/>
              <w:right w:val="single" w:sz="8" w:space="0" w:color="000000"/>
            </w:tcBorders>
          </w:tcPr>
          <w:p w:rsidR="00E56335" w:rsidRPr="00AA5846" w:rsidRDefault="00E56335" w:rsidP="00015D4C">
            <w:pPr>
              <w:pStyle w:val="Tablehead"/>
              <w:rPr>
                <w:rFonts w:asciiTheme="majorBidi" w:hAnsiTheme="majorBidi" w:cstheme="majorBidi"/>
                <w:szCs w:val="22"/>
              </w:rPr>
            </w:pPr>
            <w:r w:rsidRPr="00AA5846">
              <w:rPr>
                <w:rFonts w:asciiTheme="majorBidi" w:hAnsiTheme="majorBidi" w:cstheme="majorBidi"/>
                <w:szCs w:val="22"/>
              </w:rPr>
              <w:t>Urban city area of one city</w:t>
            </w:r>
          </w:p>
        </w:tc>
        <w:tc>
          <w:tcPr>
            <w:tcW w:w="3268" w:type="dxa"/>
            <w:tcBorders>
              <w:top w:val="single" w:sz="8" w:space="0" w:color="000000"/>
              <w:left w:val="single" w:sz="8" w:space="0" w:color="000000"/>
              <w:bottom w:val="single" w:sz="8" w:space="0" w:color="000000"/>
              <w:right w:val="single" w:sz="8" w:space="0" w:color="000000"/>
            </w:tcBorders>
          </w:tcPr>
          <w:p w:rsidR="00E56335" w:rsidRPr="00AA5846" w:rsidRDefault="00E56335" w:rsidP="00015D4C">
            <w:pPr>
              <w:pStyle w:val="Tablehead"/>
              <w:rPr>
                <w:rFonts w:asciiTheme="majorBidi" w:hAnsiTheme="majorBidi" w:cstheme="majorBidi"/>
                <w:szCs w:val="22"/>
              </w:rPr>
            </w:pPr>
            <w:r w:rsidRPr="00AA5846">
              <w:rPr>
                <w:rFonts w:asciiTheme="majorBidi" w:hAnsiTheme="majorBidi" w:cstheme="majorBidi"/>
                <w:szCs w:val="22"/>
              </w:rPr>
              <w:t xml:space="preserve">Emirate wide </w:t>
            </w:r>
          </w:p>
        </w:tc>
        <w:tc>
          <w:tcPr>
            <w:tcW w:w="817" w:type="dxa"/>
            <w:tcBorders>
              <w:top w:val="single" w:sz="8" w:space="0" w:color="000000"/>
              <w:left w:val="single" w:sz="8" w:space="0" w:color="000000"/>
              <w:bottom w:val="single" w:sz="8" w:space="0" w:color="000000"/>
              <w:right w:val="single" w:sz="8" w:space="0" w:color="000000"/>
            </w:tcBorders>
          </w:tcPr>
          <w:p w:rsidR="00E56335" w:rsidRPr="00AA5846" w:rsidRDefault="00E56335" w:rsidP="00015D4C">
            <w:pPr>
              <w:pStyle w:val="Tablehead"/>
              <w:rPr>
                <w:rFonts w:asciiTheme="majorBidi" w:hAnsiTheme="majorBidi" w:cstheme="majorBidi"/>
                <w:szCs w:val="22"/>
              </w:rPr>
            </w:pPr>
            <w:r w:rsidRPr="00AA5846">
              <w:rPr>
                <w:rFonts w:asciiTheme="majorBidi" w:hAnsiTheme="majorBidi" w:cstheme="majorBidi"/>
                <w:szCs w:val="22"/>
              </w:rPr>
              <w:t xml:space="preserve">All UAE </w:t>
            </w:r>
          </w:p>
        </w:tc>
      </w:tr>
      <w:tr w:rsidR="00E56335" w:rsidRPr="00F50942" w:rsidTr="00015D4C">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E56335" w:rsidRPr="00AA5846" w:rsidRDefault="00E56335" w:rsidP="00015D4C">
            <w:pPr>
              <w:pStyle w:val="Tabletext"/>
              <w:rPr>
                <w:rFonts w:asciiTheme="majorBidi" w:hAnsiTheme="majorBidi" w:cstheme="majorBidi"/>
                <w:szCs w:val="22"/>
              </w:rPr>
            </w:pPr>
            <w:r w:rsidRPr="00AA5846">
              <w:rPr>
                <w:rFonts w:asciiTheme="majorBidi" w:hAnsiTheme="majorBidi" w:cstheme="majorBidi"/>
                <w:szCs w:val="22"/>
              </w:rPr>
              <w:t xml:space="preserve">CF </w:t>
            </w:r>
          </w:p>
        </w:tc>
        <w:tc>
          <w:tcPr>
            <w:tcW w:w="1475" w:type="dxa"/>
            <w:tcBorders>
              <w:top w:val="single" w:sz="8" w:space="0" w:color="000000"/>
              <w:left w:val="single" w:sz="8" w:space="0" w:color="000000"/>
              <w:bottom w:val="single" w:sz="8" w:space="0" w:color="000000"/>
              <w:right w:val="single" w:sz="8" w:space="0" w:color="000000"/>
            </w:tcBorders>
          </w:tcPr>
          <w:p w:rsidR="00E56335" w:rsidRPr="00AA5846" w:rsidRDefault="00E56335" w:rsidP="00015D4C">
            <w:pPr>
              <w:pStyle w:val="Tabletext"/>
              <w:rPr>
                <w:rFonts w:asciiTheme="majorBidi" w:hAnsiTheme="majorBidi" w:cstheme="majorBidi"/>
                <w:szCs w:val="22"/>
              </w:rPr>
            </w:pPr>
            <w:r w:rsidRPr="00AA5846">
              <w:rPr>
                <w:rFonts w:asciiTheme="majorBidi" w:hAnsiTheme="majorBidi" w:cstheme="majorBidi"/>
                <w:szCs w:val="22"/>
              </w:rPr>
              <w:t xml:space="preserve">100 </w:t>
            </w:r>
          </w:p>
        </w:tc>
        <w:tc>
          <w:tcPr>
            <w:tcW w:w="1523" w:type="dxa"/>
            <w:tcBorders>
              <w:top w:val="single" w:sz="8" w:space="0" w:color="000000"/>
              <w:left w:val="single" w:sz="8" w:space="0" w:color="000000"/>
              <w:bottom w:val="single" w:sz="8" w:space="0" w:color="000000"/>
              <w:right w:val="single" w:sz="8" w:space="0" w:color="000000"/>
            </w:tcBorders>
          </w:tcPr>
          <w:p w:rsidR="00E56335" w:rsidRPr="00AA5846" w:rsidRDefault="00E56335" w:rsidP="00015D4C">
            <w:pPr>
              <w:pStyle w:val="Tabletext"/>
              <w:rPr>
                <w:rFonts w:asciiTheme="majorBidi" w:hAnsiTheme="majorBidi" w:cstheme="majorBidi"/>
                <w:szCs w:val="22"/>
              </w:rPr>
            </w:pPr>
            <w:r w:rsidRPr="00AA5846">
              <w:rPr>
                <w:rFonts w:asciiTheme="majorBidi" w:hAnsiTheme="majorBidi" w:cstheme="majorBidi"/>
                <w:szCs w:val="22"/>
              </w:rPr>
              <w:t xml:space="preserve">500 </w:t>
            </w:r>
          </w:p>
        </w:tc>
        <w:tc>
          <w:tcPr>
            <w:tcW w:w="3268" w:type="dxa"/>
            <w:tcBorders>
              <w:top w:val="single" w:sz="8" w:space="0" w:color="000000"/>
              <w:left w:val="single" w:sz="8" w:space="0" w:color="000000"/>
              <w:bottom w:val="single" w:sz="8" w:space="0" w:color="000000"/>
              <w:right w:val="single" w:sz="8" w:space="0" w:color="000000"/>
            </w:tcBorders>
          </w:tcPr>
          <w:p w:rsidR="00E56335" w:rsidRPr="00AA5846" w:rsidRDefault="00E56335" w:rsidP="00015D4C">
            <w:pPr>
              <w:pStyle w:val="Tabletext"/>
              <w:rPr>
                <w:rFonts w:asciiTheme="majorBidi" w:hAnsiTheme="majorBidi" w:cstheme="majorBidi"/>
                <w:szCs w:val="22"/>
              </w:rPr>
            </w:pPr>
            <w:r w:rsidRPr="00AA5846">
              <w:rPr>
                <w:rFonts w:asciiTheme="majorBidi" w:hAnsiTheme="majorBidi" w:cstheme="majorBidi"/>
                <w:szCs w:val="22"/>
              </w:rPr>
              <w:t>2000 for Abu Dhabi or Dubai</w:t>
            </w:r>
          </w:p>
          <w:p w:rsidR="00E56335" w:rsidRPr="00AA5846" w:rsidRDefault="00E56335" w:rsidP="00015D4C">
            <w:pPr>
              <w:pStyle w:val="Tabletext"/>
              <w:rPr>
                <w:rFonts w:asciiTheme="majorBidi" w:hAnsiTheme="majorBidi" w:cstheme="majorBidi"/>
                <w:szCs w:val="22"/>
              </w:rPr>
            </w:pPr>
            <w:r w:rsidRPr="00AA5846">
              <w:rPr>
                <w:rFonts w:asciiTheme="majorBidi" w:hAnsiTheme="majorBidi" w:cstheme="majorBidi"/>
                <w:szCs w:val="22"/>
              </w:rPr>
              <w:t>1000 for other Emirates</w:t>
            </w:r>
          </w:p>
        </w:tc>
        <w:tc>
          <w:tcPr>
            <w:tcW w:w="817" w:type="dxa"/>
            <w:tcBorders>
              <w:top w:val="single" w:sz="8" w:space="0" w:color="000000"/>
              <w:left w:val="single" w:sz="8" w:space="0" w:color="000000"/>
              <w:bottom w:val="single" w:sz="8" w:space="0" w:color="000000"/>
              <w:right w:val="single" w:sz="8" w:space="0" w:color="000000"/>
            </w:tcBorders>
          </w:tcPr>
          <w:p w:rsidR="00E56335" w:rsidRPr="00AA5846" w:rsidRDefault="00E56335" w:rsidP="00015D4C">
            <w:pPr>
              <w:pStyle w:val="Tabletext"/>
              <w:rPr>
                <w:rFonts w:asciiTheme="majorBidi" w:hAnsiTheme="majorBidi" w:cstheme="majorBidi"/>
                <w:szCs w:val="22"/>
              </w:rPr>
            </w:pPr>
            <w:r w:rsidRPr="00AA5846">
              <w:rPr>
                <w:rFonts w:asciiTheme="majorBidi" w:hAnsiTheme="majorBidi" w:cstheme="majorBidi"/>
                <w:szCs w:val="22"/>
              </w:rPr>
              <w:t xml:space="preserve">4,000 </w:t>
            </w:r>
          </w:p>
        </w:tc>
      </w:tr>
    </w:tbl>
    <w:p w:rsidR="00E56335" w:rsidRPr="00F50942" w:rsidRDefault="00E56335" w:rsidP="00E56335">
      <w:pPr>
        <w:pStyle w:val="FigureSource"/>
      </w:pPr>
    </w:p>
    <w:p w:rsidR="00E56335" w:rsidRDefault="00E56335" w:rsidP="00E56335">
      <w:pPr>
        <w:ind w:left="720" w:hanging="720"/>
      </w:pPr>
    </w:p>
    <w:p w:rsidR="00E56335" w:rsidRPr="002048E8" w:rsidRDefault="00E56335" w:rsidP="00E56335">
      <w:pPr>
        <w:ind w:left="720" w:hanging="720"/>
      </w:pPr>
      <w:r w:rsidRPr="002048E8">
        <w:t>12.3</w:t>
      </w:r>
      <w:r w:rsidRPr="002048E8">
        <w:tab/>
        <w:t xml:space="preserve">The Annual Spectrum Fees for Private Mobile Radio (vehicles only) which are not localized shall be calculated as follows: </w:t>
      </w:r>
    </w:p>
    <w:p w:rsidR="00E56335" w:rsidRPr="002048E8" w:rsidRDefault="00E56335" w:rsidP="00E56335">
      <w:pPr>
        <w:ind w:firstLine="720"/>
        <w:jc w:val="center"/>
        <w:rPr>
          <w:color w:val="000000"/>
        </w:rPr>
      </w:pPr>
      <w:r w:rsidRPr="002048E8">
        <w:rPr>
          <w:b/>
          <w:color w:val="000000"/>
        </w:rPr>
        <w:t xml:space="preserve">Spectrum Fees = NC x </w:t>
      </w:r>
      <w:r>
        <w:rPr>
          <w:b/>
          <w:color w:val="000000"/>
        </w:rPr>
        <w:t>CF</w:t>
      </w:r>
    </w:p>
    <w:p w:rsidR="00E56335" w:rsidRPr="002048E8" w:rsidRDefault="00E56335" w:rsidP="00E56335">
      <w:pPr>
        <w:ind w:left="720"/>
        <w:rPr>
          <w:color w:val="000000"/>
        </w:rPr>
      </w:pPr>
      <w:r w:rsidRPr="002048E8">
        <w:rPr>
          <w:color w:val="000000"/>
        </w:rPr>
        <w:t xml:space="preserve">Where: </w:t>
      </w:r>
    </w:p>
    <w:p w:rsidR="00E56335" w:rsidRPr="002048E8" w:rsidRDefault="00E56335" w:rsidP="00E56335">
      <w:pPr>
        <w:ind w:left="720"/>
        <w:rPr>
          <w:color w:val="000000"/>
        </w:rPr>
      </w:pPr>
      <w:r w:rsidRPr="002048E8">
        <w:rPr>
          <w:b/>
          <w:color w:val="000000"/>
        </w:rPr>
        <w:t xml:space="preserve">NC= </w:t>
      </w:r>
      <w:r w:rsidRPr="002048E8">
        <w:rPr>
          <w:color w:val="000000"/>
        </w:rPr>
        <w:t xml:space="preserve">Number of Channels (12.5 kHz bandwidth equivalents each) that will be assigned to the user. </w:t>
      </w:r>
    </w:p>
    <w:p w:rsidR="00E56335" w:rsidRPr="002048E8" w:rsidRDefault="00E56335" w:rsidP="00E56335">
      <w:pPr>
        <w:ind w:left="720"/>
        <w:rPr>
          <w:color w:val="000000"/>
        </w:rPr>
      </w:pPr>
      <w:r w:rsidRPr="002048E8">
        <w:rPr>
          <w:b/>
          <w:color w:val="000000"/>
        </w:rPr>
        <w:t xml:space="preserve">CF= </w:t>
      </w:r>
      <w:r w:rsidRPr="002048E8">
        <w:rPr>
          <w:color w:val="000000"/>
        </w:rPr>
        <w:t xml:space="preserve">Coverage Factor depending on the geographical area which will be determined as follows: </w:t>
      </w:r>
    </w:p>
    <w:p w:rsidR="00E56335" w:rsidRDefault="00E56335" w:rsidP="00E56335"/>
    <w:p w:rsidR="00E56335" w:rsidRPr="00F50942" w:rsidRDefault="00E56335" w:rsidP="00E56335">
      <w:pPr>
        <w:pStyle w:val="FigureTitle"/>
      </w:pPr>
    </w:p>
    <w:tbl>
      <w:tblPr>
        <w:tblW w:w="0" w:type="auto"/>
        <w:tblInd w:w="925" w:type="dxa"/>
        <w:tblBorders>
          <w:top w:val="nil"/>
          <w:left w:val="nil"/>
          <w:bottom w:val="nil"/>
          <w:right w:val="nil"/>
        </w:tblBorders>
        <w:tblLook w:val="0000"/>
      </w:tblPr>
      <w:tblGrid>
        <w:gridCol w:w="681"/>
        <w:gridCol w:w="1475"/>
        <w:gridCol w:w="1523"/>
        <w:gridCol w:w="3268"/>
        <w:gridCol w:w="817"/>
      </w:tblGrid>
      <w:tr w:rsidR="00E56335" w:rsidRPr="00F50942" w:rsidTr="00015D4C">
        <w:trPr>
          <w:trHeight w:val="319"/>
        </w:trPr>
        <w:tc>
          <w:tcPr>
            <w:tcW w:w="0" w:type="auto"/>
            <w:tcBorders>
              <w:top w:val="single" w:sz="8" w:space="0" w:color="000000"/>
              <w:left w:val="single" w:sz="8" w:space="0" w:color="000000"/>
              <w:bottom w:val="single" w:sz="8" w:space="0" w:color="000000"/>
              <w:right w:val="single" w:sz="8" w:space="0" w:color="000000"/>
            </w:tcBorders>
          </w:tcPr>
          <w:p w:rsidR="00E56335" w:rsidRPr="00BD53B2" w:rsidRDefault="00E56335" w:rsidP="00015D4C">
            <w:pPr>
              <w:pStyle w:val="Tablehead"/>
              <w:rPr>
                <w:rFonts w:asciiTheme="majorBidi" w:hAnsiTheme="majorBidi" w:cstheme="majorBidi"/>
                <w:szCs w:val="22"/>
              </w:rPr>
            </w:pPr>
            <w:r w:rsidRPr="00BD53B2">
              <w:rPr>
                <w:rFonts w:asciiTheme="majorBidi" w:hAnsiTheme="majorBidi" w:cstheme="majorBidi"/>
                <w:szCs w:val="22"/>
              </w:rPr>
              <w:t xml:space="preserve">Area </w:t>
            </w:r>
          </w:p>
        </w:tc>
        <w:tc>
          <w:tcPr>
            <w:tcW w:w="1475" w:type="dxa"/>
            <w:tcBorders>
              <w:top w:val="single" w:sz="8" w:space="0" w:color="000000"/>
              <w:left w:val="single" w:sz="8" w:space="0" w:color="000000"/>
              <w:bottom w:val="single" w:sz="8" w:space="0" w:color="000000"/>
              <w:right w:val="single" w:sz="8" w:space="0" w:color="000000"/>
            </w:tcBorders>
          </w:tcPr>
          <w:p w:rsidR="00E56335" w:rsidRPr="00BD53B2" w:rsidRDefault="00E56335" w:rsidP="00015D4C">
            <w:pPr>
              <w:pStyle w:val="Tablehead"/>
              <w:rPr>
                <w:rFonts w:asciiTheme="majorBidi" w:hAnsiTheme="majorBidi" w:cstheme="majorBidi"/>
                <w:szCs w:val="22"/>
              </w:rPr>
            </w:pPr>
            <w:r w:rsidRPr="00BD53B2">
              <w:rPr>
                <w:rFonts w:asciiTheme="majorBidi" w:hAnsiTheme="majorBidi" w:cstheme="majorBidi"/>
                <w:szCs w:val="22"/>
              </w:rPr>
              <w:t xml:space="preserve">Rural area or within premises </w:t>
            </w:r>
          </w:p>
        </w:tc>
        <w:tc>
          <w:tcPr>
            <w:tcW w:w="1523" w:type="dxa"/>
            <w:tcBorders>
              <w:top w:val="single" w:sz="8" w:space="0" w:color="000000"/>
              <w:left w:val="single" w:sz="8" w:space="0" w:color="000000"/>
              <w:bottom w:val="single" w:sz="8" w:space="0" w:color="000000"/>
              <w:right w:val="single" w:sz="8" w:space="0" w:color="000000"/>
            </w:tcBorders>
          </w:tcPr>
          <w:p w:rsidR="00E56335" w:rsidRPr="00BD53B2" w:rsidRDefault="00E56335" w:rsidP="00015D4C">
            <w:pPr>
              <w:pStyle w:val="Tablehead"/>
              <w:rPr>
                <w:rFonts w:asciiTheme="majorBidi" w:hAnsiTheme="majorBidi" w:cstheme="majorBidi"/>
                <w:szCs w:val="22"/>
              </w:rPr>
            </w:pPr>
            <w:r w:rsidRPr="00BD53B2">
              <w:rPr>
                <w:rFonts w:asciiTheme="majorBidi" w:hAnsiTheme="majorBidi" w:cstheme="majorBidi"/>
                <w:szCs w:val="22"/>
              </w:rPr>
              <w:t>Urban city area of one city</w:t>
            </w:r>
          </w:p>
        </w:tc>
        <w:tc>
          <w:tcPr>
            <w:tcW w:w="3268" w:type="dxa"/>
            <w:tcBorders>
              <w:top w:val="single" w:sz="8" w:space="0" w:color="000000"/>
              <w:left w:val="single" w:sz="8" w:space="0" w:color="000000"/>
              <w:bottom w:val="single" w:sz="8" w:space="0" w:color="000000"/>
              <w:right w:val="single" w:sz="8" w:space="0" w:color="000000"/>
            </w:tcBorders>
          </w:tcPr>
          <w:p w:rsidR="00E56335" w:rsidRPr="00BD53B2" w:rsidRDefault="00E56335" w:rsidP="00015D4C">
            <w:pPr>
              <w:pStyle w:val="Tablehead"/>
              <w:rPr>
                <w:rFonts w:asciiTheme="majorBidi" w:hAnsiTheme="majorBidi" w:cstheme="majorBidi"/>
                <w:szCs w:val="22"/>
              </w:rPr>
            </w:pPr>
            <w:r w:rsidRPr="00BD53B2">
              <w:rPr>
                <w:rFonts w:asciiTheme="majorBidi" w:hAnsiTheme="majorBidi" w:cstheme="majorBidi"/>
                <w:szCs w:val="22"/>
              </w:rPr>
              <w:t xml:space="preserve">Emirate wide </w:t>
            </w:r>
          </w:p>
        </w:tc>
        <w:tc>
          <w:tcPr>
            <w:tcW w:w="817" w:type="dxa"/>
            <w:tcBorders>
              <w:top w:val="single" w:sz="8" w:space="0" w:color="000000"/>
              <w:left w:val="single" w:sz="8" w:space="0" w:color="000000"/>
              <w:bottom w:val="single" w:sz="8" w:space="0" w:color="000000"/>
              <w:right w:val="single" w:sz="8" w:space="0" w:color="000000"/>
            </w:tcBorders>
          </w:tcPr>
          <w:p w:rsidR="00E56335" w:rsidRPr="00BD53B2" w:rsidRDefault="00E56335" w:rsidP="00015D4C">
            <w:pPr>
              <w:pStyle w:val="Tablehead"/>
              <w:rPr>
                <w:rFonts w:asciiTheme="majorBidi" w:hAnsiTheme="majorBidi" w:cstheme="majorBidi"/>
                <w:szCs w:val="22"/>
              </w:rPr>
            </w:pPr>
            <w:r w:rsidRPr="00BD53B2">
              <w:rPr>
                <w:rFonts w:asciiTheme="majorBidi" w:hAnsiTheme="majorBidi" w:cstheme="majorBidi"/>
                <w:szCs w:val="22"/>
              </w:rPr>
              <w:t xml:space="preserve">All UAE </w:t>
            </w:r>
          </w:p>
        </w:tc>
      </w:tr>
      <w:tr w:rsidR="00E56335" w:rsidRPr="00F50942" w:rsidTr="00015D4C">
        <w:trPr>
          <w:trHeight w:val="319"/>
        </w:trPr>
        <w:tc>
          <w:tcPr>
            <w:tcW w:w="0" w:type="auto"/>
            <w:tcBorders>
              <w:top w:val="single" w:sz="8" w:space="0" w:color="000000"/>
              <w:left w:val="single" w:sz="8" w:space="0" w:color="000000"/>
              <w:bottom w:val="single" w:sz="8" w:space="0" w:color="000000"/>
              <w:right w:val="single" w:sz="8" w:space="0" w:color="000000"/>
            </w:tcBorders>
          </w:tcPr>
          <w:p w:rsidR="00E56335" w:rsidRPr="00BD53B2" w:rsidRDefault="00E56335" w:rsidP="00015D4C">
            <w:pPr>
              <w:pStyle w:val="Tabletext"/>
              <w:rPr>
                <w:rFonts w:asciiTheme="majorBidi" w:hAnsiTheme="majorBidi" w:cstheme="majorBidi"/>
                <w:szCs w:val="22"/>
              </w:rPr>
            </w:pPr>
            <w:r w:rsidRPr="00BD53B2">
              <w:rPr>
                <w:rFonts w:asciiTheme="majorBidi" w:hAnsiTheme="majorBidi" w:cstheme="majorBidi"/>
                <w:szCs w:val="22"/>
              </w:rPr>
              <w:t xml:space="preserve">CF </w:t>
            </w:r>
          </w:p>
        </w:tc>
        <w:tc>
          <w:tcPr>
            <w:tcW w:w="1475" w:type="dxa"/>
            <w:tcBorders>
              <w:top w:val="single" w:sz="8" w:space="0" w:color="000000"/>
              <w:left w:val="single" w:sz="8" w:space="0" w:color="000000"/>
              <w:bottom w:val="single" w:sz="8" w:space="0" w:color="000000"/>
              <w:right w:val="single" w:sz="8" w:space="0" w:color="000000"/>
            </w:tcBorders>
          </w:tcPr>
          <w:p w:rsidR="00E56335" w:rsidRPr="00BD53B2" w:rsidRDefault="00E56335" w:rsidP="00015D4C">
            <w:pPr>
              <w:pStyle w:val="Tabletext"/>
              <w:rPr>
                <w:rFonts w:asciiTheme="majorBidi" w:hAnsiTheme="majorBidi" w:cstheme="majorBidi"/>
                <w:szCs w:val="22"/>
              </w:rPr>
            </w:pPr>
            <w:r w:rsidRPr="00BD53B2">
              <w:rPr>
                <w:rFonts w:asciiTheme="majorBidi" w:hAnsiTheme="majorBidi" w:cstheme="majorBidi"/>
                <w:szCs w:val="22"/>
              </w:rPr>
              <w:t xml:space="preserve">100 </w:t>
            </w:r>
          </w:p>
        </w:tc>
        <w:tc>
          <w:tcPr>
            <w:tcW w:w="1523" w:type="dxa"/>
            <w:tcBorders>
              <w:top w:val="single" w:sz="8" w:space="0" w:color="000000"/>
              <w:left w:val="single" w:sz="8" w:space="0" w:color="000000"/>
              <w:bottom w:val="single" w:sz="8" w:space="0" w:color="000000"/>
              <w:right w:val="single" w:sz="8" w:space="0" w:color="000000"/>
            </w:tcBorders>
          </w:tcPr>
          <w:p w:rsidR="00E56335" w:rsidRPr="00BD53B2" w:rsidRDefault="00E56335" w:rsidP="00015D4C">
            <w:pPr>
              <w:pStyle w:val="Tabletext"/>
              <w:rPr>
                <w:rFonts w:asciiTheme="majorBidi" w:hAnsiTheme="majorBidi" w:cstheme="majorBidi"/>
                <w:szCs w:val="22"/>
              </w:rPr>
            </w:pPr>
            <w:r w:rsidRPr="00BD53B2">
              <w:rPr>
                <w:rFonts w:asciiTheme="majorBidi" w:hAnsiTheme="majorBidi" w:cstheme="majorBidi"/>
                <w:szCs w:val="22"/>
              </w:rPr>
              <w:t xml:space="preserve">500 </w:t>
            </w:r>
          </w:p>
        </w:tc>
        <w:tc>
          <w:tcPr>
            <w:tcW w:w="3268" w:type="dxa"/>
            <w:tcBorders>
              <w:top w:val="single" w:sz="8" w:space="0" w:color="000000"/>
              <w:left w:val="single" w:sz="8" w:space="0" w:color="000000"/>
              <w:bottom w:val="single" w:sz="8" w:space="0" w:color="000000"/>
              <w:right w:val="single" w:sz="8" w:space="0" w:color="000000"/>
            </w:tcBorders>
          </w:tcPr>
          <w:p w:rsidR="00E56335" w:rsidRPr="00BD53B2" w:rsidRDefault="00E56335" w:rsidP="00015D4C">
            <w:pPr>
              <w:pStyle w:val="Tabletext"/>
              <w:rPr>
                <w:rFonts w:asciiTheme="majorBidi" w:hAnsiTheme="majorBidi" w:cstheme="majorBidi"/>
                <w:szCs w:val="22"/>
              </w:rPr>
            </w:pPr>
            <w:r w:rsidRPr="00BD53B2">
              <w:rPr>
                <w:rFonts w:asciiTheme="majorBidi" w:hAnsiTheme="majorBidi" w:cstheme="majorBidi"/>
                <w:szCs w:val="22"/>
              </w:rPr>
              <w:t>2000 for Abu Dhabi or Dubai</w:t>
            </w:r>
          </w:p>
          <w:p w:rsidR="00E56335" w:rsidRPr="00BD53B2" w:rsidRDefault="00E56335" w:rsidP="00015D4C">
            <w:pPr>
              <w:pStyle w:val="Tabletext"/>
              <w:rPr>
                <w:rFonts w:asciiTheme="majorBidi" w:hAnsiTheme="majorBidi" w:cstheme="majorBidi"/>
                <w:szCs w:val="22"/>
              </w:rPr>
            </w:pPr>
            <w:r w:rsidRPr="00BD53B2">
              <w:rPr>
                <w:rFonts w:asciiTheme="majorBidi" w:hAnsiTheme="majorBidi" w:cstheme="majorBidi"/>
                <w:szCs w:val="22"/>
              </w:rPr>
              <w:t>1000 for other Emirates</w:t>
            </w:r>
          </w:p>
        </w:tc>
        <w:tc>
          <w:tcPr>
            <w:tcW w:w="817" w:type="dxa"/>
            <w:tcBorders>
              <w:top w:val="single" w:sz="8" w:space="0" w:color="000000"/>
              <w:left w:val="single" w:sz="8" w:space="0" w:color="000000"/>
              <w:bottom w:val="single" w:sz="8" w:space="0" w:color="000000"/>
              <w:right w:val="single" w:sz="8" w:space="0" w:color="000000"/>
            </w:tcBorders>
          </w:tcPr>
          <w:p w:rsidR="00E56335" w:rsidRPr="00BD53B2" w:rsidRDefault="00E56335" w:rsidP="00015D4C">
            <w:pPr>
              <w:pStyle w:val="Tabletext"/>
              <w:rPr>
                <w:rFonts w:asciiTheme="majorBidi" w:hAnsiTheme="majorBidi" w:cstheme="majorBidi"/>
                <w:szCs w:val="22"/>
              </w:rPr>
            </w:pPr>
            <w:r w:rsidRPr="00BD53B2">
              <w:rPr>
                <w:rFonts w:asciiTheme="majorBidi" w:hAnsiTheme="majorBidi" w:cstheme="majorBidi"/>
                <w:szCs w:val="22"/>
              </w:rPr>
              <w:t xml:space="preserve">4,000 </w:t>
            </w:r>
          </w:p>
        </w:tc>
      </w:tr>
    </w:tbl>
    <w:p w:rsidR="00E56335" w:rsidRDefault="00E56335" w:rsidP="00E56335">
      <w:pPr>
        <w:pStyle w:val="FigureSource"/>
      </w:pPr>
    </w:p>
    <w:p w:rsidR="00E56335" w:rsidRPr="00F50942" w:rsidRDefault="00E56335" w:rsidP="00E56335">
      <w:pPr>
        <w:suppressAutoHyphens/>
        <w:rPr>
          <w:szCs w:val="19"/>
        </w:rPr>
      </w:pPr>
    </w:p>
    <w:p w:rsidR="00E56335" w:rsidRPr="00967C11" w:rsidRDefault="00E56335" w:rsidP="00E56335">
      <w:pPr>
        <w:pStyle w:val="enumlev1"/>
        <w:rPr>
          <w:rFonts w:asciiTheme="majorBidi" w:hAnsiTheme="majorBidi" w:cstheme="majorBidi"/>
          <w:szCs w:val="22"/>
        </w:rPr>
      </w:pPr>
      <w:r w:rsidRPr="00967C11">
        <w:rPr>
          <w:rFonts w:asciiTheme="majorBidi" w:hAnsiTheme="majorBidi" w:cstheme="majorBidi"/>
          <w:szCs w:val="22"/>
        </w:rPr>
        <w:t>12.4</w:t>
      </w:r>
      <w:r w:rsidRPr="00967C11">
        <w:rPr>
          <w:rFonts w:asciiTheme="majorBidi" w:hAnsiTheme="majorBidi" w:cstheme="majorBidi"/>
          <w:szCs w:val="22"/>
        </w:rPr>
        <w:tab/>
        <w:t xml:space="preserve">The Annual Spectrum Fees for Private Mobile Radio used by the Taxi companies shall be calculated for the base station in accordance with the Article 12.1 and separate charges of 300 AED for each Taxi fitted with a radio. </w:t>
      </w:r>
    </w:p>
    <w:p w:rsidR="00E56335" w:rsidRPr="00967C11" w:rsidRDefault="00E56335" w:rsidP="00E56335">
      <w:pPr>
        <w:pStyle w:val="enumlev1"/>
        <w:rPr>
          <w:rFonts w:asciiTheme="majorBidi" w:hAnsiTheme="majorBidi" w:cstheme="majorBidi"/>
          <w:szCs w:val="22"/>
        </w:rPr>
      </w:pPr>
      <w:r w:rsidRPr="00967C11">
        <w:rPr>
          <w:rFonts w:asciiTheme="majorBidi" w:hAnsiTheme="majorBidi" w:cstheme="majorBidi"/>
          <w:szCs w:val="22"/>
        </w:rPr>
        <w:t>12.5</w:t>
      </w:r>
      <w:r w:rsidRPr="00967C11">
        <w:rPr>
          <w:rFonts w:asciiTheme="majorBidi" w:hAnsiTheme="majorBidi" w:cstheme="majorBidi"/>
          <w:szCs w:val="22"/>
        </w:rPr>
        <w:tab/>
        <w:t xml:space="preserve">The Annual Spectrum Fees for public paging and in house paging shall be calculated for the base station in accordance with the Article 12.1 with no additional charges for handheld pagers. </w:t>
      </w:r>
    </w:p>
    <w:p w:rsidR="00E56335" w:rsidRPr="00967C11" w:rsidRDefault="00E56335" w:rsidP="00E56335">
      <w:pPr>
        <w:pStyle w:val="enumlev1"/>
        <w:rPr>
          <w:rFonts w:asciiTheme="majorBidi" w:hAnsiTheme="majorBidi" w:cstheme="majorBidi"/>
          <w:szCs w:val="22"/>
        </w:rPr>
      </w:pPr>
      <w:r w:rsidRPr="00967C11">
        <w:rPr>
          <w:rFonts w:asciiTheme="majorBidi" w:hAnsiTheme="majorBidi" w:cstheme="majorBidi"/>
          <w:szCs w:val="22"/>
        </w:rPr>
        <w:t>12.6</w:t>
      </w:r>
      <w:r w:rsidRPr="00967C11">
        <w:rPr>
          <w:rFonts w:asciiTheme="majorBidi" w:hAnsiTheme="majorBidi" w:cstheme="majorBidi"/>
          <w:szCs w:val="22"/>
        </w:rPr>
        <w:tab/>
        <w:t xml:space="preserve">The Annual Spectrum Fees for analog trunking (like MPT 1327) shall be calculated in accordance with the Article 12.1 above. </w:t>
      </w:r>
    </w:p>
    <w:p w:rsidR="00E56335" w:rsidRPr="00967C11" w:rsidRDefault="00E56335" w:rsidP="00E56335">
      <w:pPr>
        <w:pStyle w:val="enumlev1"/>
        <w:rPr>
          <w:rFonts w:asciiTheme="majorBidi" w:hAnsiTheme="majorBidi" w:cstheme="majorBidi"/>
          <w:color w:val="000000"/>
          <w:szCs w:val="22"/>
        </w:rPr>
      </w:pPr>
      <w:r w:rsidRPr="00967C11">
        <w:rPr>
          <w:rFonts w:asciiTheme="majorBidi" w:hAnsiTheme="majorBidi" w:cstheme="majorBidi"/>
          <w:szCs w:val="22"/>
        </w:rPr>
        <w:t>12.7</w:t>
      </w:r>
      <w:r w:rsidRPr="00967C11">
        <w:rPr>
          <w:rFonts w:asciiTheme="majorBidi" w:hAnsiTheme="majorBidi" w:cstheme="majorBidi"/>
          <w:szCs w:val="22"/>
        </w:rPr>
        <w:tab/>
        <w:t>The Annual Spectrum Fees for digital trunking (like TETRA, TETRAPOL, EDACS, APCO, etc) shall be calculated as follows:</w:t>
      </w:r>
    </w:p>
    <w:p w:rsidR="00E56335" w:rsidRPr="00F50942" w:rsidRDefault="00E56335" w:rsidP="00E56335">
      <w:pPr>
        <w:ind w:left="720"/>
        <w:jc w:val="center"/>
        <w:rPr>
          <w:color w:val="000000"/>
          <w:szCs w:val="19"/>
        </w:rPr>
      </w:pPr>
      <w:r w:rsidRPr="00F50942">
        <w:rPr>
          <w:b/>
          <w:color w:val="000000"/>
          <w:szCs w:val="19"/>
        </w:rPr>
        <w:t>Spectrum Fees = NC x CF x 2.5</w:t>
      </w:r>
    </w:p>
    <w:p w:rsidR="00E56335" w:rsidRPr="00F50942" w:rsidRDefault="00E56335" w:rsidP="00E56335">
      <w:pPr>
        <w:ind w:left="720"/>
        <w:rPr>
          <w:color w:val="000000"/>
          <w:szCs w:val="19"/>
        </w:rPr>
      </w:pPr>
      <w:r w:rsidRPr="00F50942">
        <w:rPr>
          <w:color w:val="000000"/>
          <w:szCs w:val="19"/>
        </w:rPr>
        <w:t xml:space="preserve">Where: </w:t>
      </w:r>
    </w:p>
    <w:p w:rsidR="00E56335" w:rsidRPr="00F50942" w:rsidRDefault="00E56335" w:rsidP="00E56335">
      <w:pPr>
        <w:ind w:left="720"/>
        <w:rPr>
          <w:color w:val="000000"/>
          <w:szCs w:val="19"/>
        </w:rPr>
      </w:pPr>
      <w:r w:rsidRPr="00F50942">
        <w:rPr>
          <w:b/>
          <w:color w:val="000000"/>
          <w:szCs w:val="19"/>
        </w:rPr>
        <w:t>NC</w:t>
      </w:r>
      <w:r>
        <w:rPr>
          <w:b/>
          <w:color w:val="000000"/>
          <w:szCs w:val="19"/>
        </w:rPr>
        <w:t xml:space="preserve"> </w:t>
      </w:r>
      <w:r w:rsidRPr="00F50942">
        <w:rPr>
          <w:b/>
          <w:color w:val="000000"/>
          <w:szCs w:val="19"/>
        </w:rPr>
        <w:t xml:space="preserve">= </w:t>
      </w:r>
      <w:r w:rsidRPr="00F50942">
        <w:rPr>
          <w:color w:val="000000"/>
          <w:szCs w:val="19"/>
        </w:rPr>
        <w:t xml:space="preserve">Number of Channels (12.5 kHz unpaired bandwidth equivalents each) that will be assigned to the user. </w:t>
      </w:r>
    </w:p>
    <w:p w:rsidR="00E56335" w:rsidRPr="00F50942" w:rsidRDefault="00E56335" w:rsidP="00E56335">
      <w:pPr>
        <w:ind w:left="720"/>
        <w:rPr>
          <w:color w:val="000000"/>
          <w:szCs w:val="19"/>
        </w:rPr>
      </w:pPr>
      <w:r w:rsidRPr="00F50942">
        <w:rPr>
          <w:b/>
          <w:color w:val="000000"/>
          <w:szCs w:val="19"/>
        </w:rPr>
        <w:t>CF</w:t>
      </w:r>
      <w:r>
        <w:rPr>
          <w:b/>
          <w:color w:val="000000"/>
          <w:szCs w:val="19"/>
        </w:rPr>
        <w:t xml:space="preserve"> </w:t>
      </w:r>
      <w:r w:rsidRPr="00F50942">
        <w:rPr>
          <w:b/>
          <w:color w:val="000000"/>
          <w:szCs w:val="19"/>
        </w:rPr>
        <w:t xml:space="preserve">= </w:t>
      </w:r>
      <w:r w:rsidRPr="00F50942">
        <w:rPr>
          <w:color w:val="000000"/>
          <w:szCs w:val="19"/>
        </w:rPr>
        <w:t xml:space="preserve">Coverage Factor depending on the geographical area which will be determined as follows: </w:t>
      </w:r>
    </w:p>
    <w:p w:rsidR="00E56335" w:rsidRDefault="00E56335" w:rsidP="00E56335"/>
    <w:p w:rsidR="00E56335" w:rsidRPr="00F50942" w:rsidRDefault="00E56335" w:rsidP="00E56335">
      <w:pPr>
        <w:pStyle w:val="FigureTitle"/>
      </w:pPr>
    </w:p>
    <w:tbl>
      <w:tblPr>
        <w:tblW w:w="0" w:type="auto"/>
        <w:tblInd w:w="925" w:type="dxa"/>
        <w:tblBorders>
          <w:top w:val="nil"/>
          <w:left w:val="nil"/>
          <w:bottom w:val="nil"/>
          <w:right w:val="nil"/>
        </w:tblBorders>
        <w:tblLook w:val="0000"/>
      </w:tblPr>
      <w:tblGrid>
        <w:gridCol w:w="681"/>
        <w:gridCol w:w="1475"/>
        <w:gridCol w:w="1523"/>
        <w:gridCol w:w="3268"/>
        <w:gridCol w:w="817"/>
      </w:tblGrid>
      <w:tr w:rsidR="00E56335" w:rsidRPr="00F50942" w:rsidTr="00015D4C">
        <w:trPr>
          <w:trHeight w:val="319"/>
        </w:trPr>
        <w:tc>
          <w:tcPr>
            <w:tcW w:w="0" w:type="auto"/>
            <w:tcBorders>
              <w:top w:val="single" w:sz="8" w:space="0" w:color="000000"/>
              <w:left w:val="single" w:sz="8" w:space="0" w:color="000000"/>
              <w:bottom w:val="single" w:sz="8" w:space="0" w:color="000000"/>
              <w:right w:val="single" w:sz="8" w:space="0" w:color="000000"/>
            </w:tcBorders>
          </w:tcPr>
          <w:p w:rsidR="00E56335" w:rsidRPr="00025314" w:rsidRDefault="00E56335" w:rsidP="00015D4C">
            <w:pPr>
              <w:pStyle w:val="Tablehead"/>
              <w:rPr>
                <w:rFonts w:asciiTheme="majorBidi" w:hAnsiTheme="majorBidi" w:cstheme="majorBidi"/>
                <w:szCs w:val="22"/>
              </w:rPr>
            </w:pPr>
            <w:r w:rsidRPr="00025314">
              <w:rPr>
                <w:rFonts w:asciiTheme="majorBidi" w:hAnsiTheme="majorBidi" w:cstheme="majorBidi"/>
                <w:szCs w:val="22"/>
              </w:rPr>
              <w:t xml:space="preserve">Area </w:t>
            </w:r>
          </w:p>
        </w:tc>
        <w:tc>
          <w:tcPr>
            <w:tcW w:w="1475" w:type="dxa"/>
            <w:tcBorders>
              <w:top w:val="single" w:sz="8" w:space="0" w:color="000000"/>
              <w:left w:val="single" w:sz="8" w:space="0" w:color="000000"/>
              <w:bottom w:val="single" w:sz="8" w:space="0" w:color="000000"/>
              <w:right w:val="single" w:sz="8" w:space="0" w:color="000000"/>
            </w:tcBorders>
          </w:tcPr>
          <w:p w:rsidR="00E56335" w:rsidRPr="00025314" w:rsidRDefault="00E56335" w:rsidP="00015D4C">
            <w:pPr>
              <w:pStyle w:val="Tablehead"/>
              <w:rPr>
                <w:rFonts w:asciiTheme="majorBidi" w:hAnsiTheme="majorBidi" w:cstheme="majorBidi"/>
                <w:szCs w:val="22"/>
              </w:rPr>
            </w:pPr>
            <w:r w:rsidRPr="00025314">
              <w:rPr>
                <w:rFonts w:asciiTheme="majorBidi" w:hAnsiTheme="majorBidi" w:cstheme="majorBidi"/>
                <w:szCs w:val="22"/>
              </w:rPr>
              <w:t xml:space="preserve">Rural area or within premises </w:t>
            </w:r>
          </w:p>
        </w:tc>
        <w:tc>
          <w:tcPr>
            <w:tcW w:w="1523" w:type="dxa"/>
            <w:tcBorders>
              <w:top w:val="single" w:sz="8" w:space="0" w:color="000000"/>
              <w:left w:val="single" w:sz="8" w:space="0" w:color="000000"/>
              <w:bottom w:val="single" w:sz="8" w:space="0" w:color="000000"/>
              <w:right w:val="single" w:sz="8" w:space="0" w:color="000000"/>
            </w:tcBorders>
          </w:tcPr>
          <w:p w:rsidR="00E56335" w:rsidRPr="00025314" w:rsidRDefault="00E56335" w:rsidP="00015D4C">
            <w:pPr>
              <w:pStyle w:val="Tablehead"/>
              <w:rPr>
                <w:rFonts w:asciiTheme="majorBidi" w:hAnsiTheme="majorBidi" w:cstheme="majorBidi"/>
                <w:szCs w:val="22"/>
              </w:rPr>
            </w:pPr>
            <w:r w:rsidRPr="00025314">
              <w:rPr>
                <w:rFonts w:asciiTheme="majorBidi" w:hAnsiTheme="majorBidi" w:cstheme="majorBidi"/>
                <w:szCs w:val="22"/>
              </w:rPr>
              <w:t>Urban city area of one city</w:t>
            </w:r>
          </w:p>
        </w:tc>
        <w:tc>
          <w:tcPr>
            <w:tcW w:w="3268" w:type="dxa"/>
            <w:tcBorders>
              <w:top w:val="single" w:sz="8" w:space="0" w:color="000000"/>
              <w:left w:val="single" w:sz="8" w:space="0" w:color="000000"/>
              <w:bottom w:val="single" w:sz="8" w:space="0" w:color="000000"/>
              <w:right w:val="single" w:sz="8" w:space="0" w:color="000000"/>
            </w:tcBorders>
          </w:tcPr>
          <w:p w:rsidR="00E56335" w:rsidRPr="00025314" w:rsidRDefault="00E56335" w:rsidP="00015D4C">
            <w:pPr>
              <w:pStyle w:val="Tablehead"/>
              <w:rPr>
                <w:rFonts w:asciiTheme="majorBidi" w:hAnsiTheme="majorBidi" w:cstheme="majorBidi"/>
                <w:szCs w:val="22"/>
              </w:rPr>
            </w:pPr>
            <w:r w:rsidRPr="00025314">
              <w:rPr>
                <w:rFonts w:asciiTheme="majorBidi" w:hAnsiTheme="majorBidi" w:cstheme="majorBidi"/>
                <w:szCs w:val="22"/>
              </w:rPr>
              <w:t xml:space="preserve">Emirate wide </w:t>
            </w:r>
          </w:p>
        </w:tc>
        <w:tc>
          <w:tcPr>
            <w:tcW w:w="817" w:type="dxa"/>
            <w:tcBorders>
              <w:top w:val="single" w:sz="8" w:space="0" w:color="000000"/>
              <w:left w:val="single" w:sz="8" w:space="0" w:color="000000"/>
              <w:bottom w:val="single" w:sz="8" w:space="0" w:color="000000"/>
              <w:right w:val="single" w:sz="8" w:space="0" w:color="000000"/>
            </w:tcBorders>
          </w:tcPr>
          <w:p w:rsidR="00E56335" w:rsidRPr="00025314" w:rsidRDefault="00E56335" w:rsidP="00015D4C">
            <w:pPr>
              <w:pStyle w:val="Tablehead"/>
              <w:rPr>
                <w:rFonts w:asciiTheme="majorBidi" w:hAnsiTheme="majorBidi" w:cstheme="majorBidi"/>
                <w:szCs w:val="22"/>
              </w:rPr>
            </w:pPr>
            <w:r w:rsidRPr="00025314">
              <w:rPr>
                <w:rFonts w:asciiTheme="majorBidi" w:hAnsiTheme="majorBidi" w:cstheme="majorBidi"/>
                <w:szCs w:val="22"/>
              </w:rPr>
              <w:t xml:space="preserve">All UAE </w:t>
            </w:r>
          </w:p>
        </w:tc>
      </w:tr>
      <w:tr w:rsidR="00E56335" w:rsidRPr="00F50942" w:rsidTr="00015D4C">
        <w:trPr>
          <w:trHeight w:val="319"/>
        </w:trPr>
        <w:tc>
          <w:tcPr>
            <w:tcW w:w="0" w:type="auto"/>
            <w:tcBorders>
              <w:top w:val="single" w:sz="8" w:space="0" w:color="000000"/>
              <w:left w:val="single" w:sz="8" w:space="0" w:color="000000"/>
              <w:bottom w:val="single" w:sz="8" w:space="0" w:color="000000"/>
              <w:right w:val="single" w:sz="8" w:space="0" w:color="000000"/>
            </w:tcBorders>
          </w:tcPr>
          <w:p w:rsidR="00E56335" w:rsidRPr="00025314" w:rsidRDefault="00E56335" w:rsidP="00015D4C">
            <w:pPr>
              <w:pStyle w:val="Tabletext"/>
              <w:rPr>
                <w:rFonts w:asciiTheme="majorBidi" w:hAnsiTheme="majorBidi" w:cstheme="majorBidi"/>
                <w:szCs w:val="22"/>
              </w:rPr>
            </w:pPr>
            <w:r w:rsidRPr="00025314">
              <w:rPr>
                <w:rFonts w:asciiTheme="majorBidi" w:hAnsiTheme="majorBidi" w:cstheme="majorBidi"/>
                <w:szCs w:val="22"/>
              </w:rPr>
              <w:t xml:space="preserve">CF </w:t>
            </w:r>
          </w:p>
        </w:tc>
        <w:tc>
          <w:tcPr>
            <w:tcW w:w="1475" w:type="dxa"/>
            <w:tcBorders>
              <w:top w:val="single" w:sz="8" w:space="0" w:color="000000"/>
              <w:left w:val="single" w:sz="8" w:space="0" w:color="000000"/>
              <w:bottom w:val="single" w:sz="8" w:space="0" w:color="000000"/>
              <w:right w:val="single" w:sz="8" w:space="0" w:color="000000"/>
            </w:tcBorders>
          </w:tcPr>
          <w:p w:rsidR="00E56335" w:rsidRPr="00025314" w:rsidRDefault="00E56335" w:rsidP="00015D4C">
            <w:pPr>
              <w:pStyle w:val="Tabletext"/>
              <w:rPr>
                <w:rFonts w:asciiTheme="majorBidi" w:hAnsiTheme="majorBidi" w:cstheme="majorBidi"/>
                <w:szCs w:val="22"/>
              </w:rPr>
            </w:pPr>
            <w:r w:rsidRPr="00025314">
              <w:rPr>
                <w:rFonts w:asciiTheme="majorBidi" w:hAnsiTheme="majorBidi" w:cstheme="majorBidi"/>
                <w:szCs w:val="22"/>
              </w:rPr>
              <w:t xml:space="preserve">100 </w:t>
            </w:r>
          </w:p>
        </w:tc>
        <w:tc>
          <w:tcPr>
            <w:tcW w:w="1523" w:type="dxa"/>
            <w:tcBorders>
              <w:top w:val="single" w:sz="8" w:space="0" w:color="000000"/>
              <w:left w:val="single" w:sz="8" w:space="0" w:color="000000"/>
              <w:bottom w:val="single" w:sz="8" w:space="0" w:color="000000"/>
              <w:right w:val="single" w:sz="8" w:space="0" w:color="000000"/>
            </w:tcBorders>
          </w:tcPr>
          <w:p w:rsidR="00E56335" w:rsidRPr="00025314" w:rsidRDefault="00E56335" w:rsidP="00015D4C">
            <w:pPr>
              <w:pStyle w:val="Tabletext"/>
              <w:rPr>
                <w:rFonts w:asciiTheme="majorBidi" w:hAnsiTheme="majorBidi" w:cstheme="majorBidi"/>
                <w:szCs w:val="22"/>
              </w:rPr>
            </w:pPr>
            <w:r w:rsidRPr="00025314">
              <w:rPr>
                <w:rFonts w:asciiTheme="majorBidi" w:hAnsiTheme="majorBidi" w:cstheme="majorBidi"/>
                <w:szCs w:val="22"/>
              </w:rPr>
              <w:t xml:space="preserve">500 </w:t>
            </w:r>
          </w:p>
        </w:tc>
        <w:tc>
          <w:tcPr>
            <w:tcW w:w="3268" w:type="dxa"/>
            <w:tcBorders>
              <w:top w:val="single" w:sz="8" w:space="0" w:color="000000"/>
              <w:left w:val="single" w:sz="8" w:space="0" w:color="000000"/>
              <w:bottom w:val="single" w:sz="8" w:space="0" w:color="000000"/>
              <w:right w:val="single" w:sz="8" w:space="0" w:color="000000"/>
            </w:tcBorders>
          </w:tcPr>
          <w:p w:rsidR="00E56335" w:rsidRPr="00025314" w:rsidRDefault="00E56335" w:rsidP="00015D4C">
            <w:pPr>
              <w:pStyle w:val="Tabletext"/>
              <w:rPr>
                <w:rFonts w:asciiTheme="majorBidi" w:hAnsiTheme="majorBidi" w:cstheme="majorBidi"/>
                <w:szCs w:val="22"/>
              </w:rPr>
            </w:pPr>
            <w:r w:rsidRPr="00025314">
              <w:rPr>
                <w:rFonts w:asciiTheme="majorBidi" w:hAnsiTheme="majorBidi" w:cstheme="majorBidi"/>
                <w:szCs w:val="22"/>
              </w:rPr>
              <w:t>2000 for Abu Dhabi or Dubai</w:t>
            </w:r>
          </w:p>
          <w:p w:rsidR="00E56335" w:rsidRPr="00025314" w:rsidRDefault="00E56335" w:rsidP="00015D4C">
            <w:pPr>
              <w:pStyle w:val="Tabletext"/>
              <w:rPr>
                <w:rFonts w:asciiTheme="majorBidi" w:hAnsiTheme="majorBidi" w:cstheme="majorBidi"/>
                <w:szCs w:val="22"/>
              </w:rPr>
            </w:pPr>
            <w:r w:rsidRPr="00025314">
              <w:rPr>
                <w:rFonts w:asciiTheme="majorBidi" w:hAnsiTheme="majorBidi" w:cstheme="majorBidi"/>
                <w:szCs w:val="22"/>
              </w:rPr>
              <w:t>1000 for other Emirates</w:t>
            </w:r>
          </w:p>
        </w:tc>
        <w:tc>
          <w:tcPr>
            <w:tcW w:w="817" w:type="dxa"/>
            <w:tcBorders>
              <w:top w:val="single" w:sz="8" w:space="0" w:color="000000"/>
              <w:left w:val="single" w:sz="8" w:space="0" w:color="000000"/>
              <w:bottom w:val="single" w:sz="8" w:space="0" w:color="000000"/>
              <w:right w:val="single" w:sz="8" w:space="0" w:color="000000"/>
            </w:tcBorders>
          </w:tcPr>
          <w:p w:rsidR="00E56335" w:rsidRPr="00025314" w:rsidRDefault="00E56335" w:rsidP="00015D4C">
            <w:pPr>
              <w:pStyle w:val="Tabletext"/>
              <w:rPr>
                <w:rFonts w:asciiTheme="majorBidi" w:hAnsiTheme="majorBidi" w:cstheme="majorBidi"/>
                <w:szCs w:val="22"/>
              </w:rPr>
            </w:pPr>
            <w:r w:rsidRPr="00025314">
              <w:rPr>
                <w:rFonts w:asciiTheme="majorBidi" w:hAnsiTheme="majorBidi" w:cstheme="majorBidi"/>
                <w:szCs w:val="22"/>
              </w:rPr>
              <w:t xml:space="preserve">4,000 </w:t>
            </w:r>
          </w:p>
        </w:tc>
      </w:tr>
    </w:tbl>
    <w:p w:rsidR="00E56335" w:rsidRPr="00F50942" w:rsidRDefault="00E56335" w:rsidP="00E56335">
      <w:pPr>
        <w:pStyle w:val="FigureSource"/>
      </w:pPr>
    </w:p>
    <w:p w:rsidR="00E56335" w:rsidRPr="00F50942" w:rsidRDefault="00E56335" w:rsidP="00E56335">
      <w:pPr>
        <w:pStyle w:val="Arttitle"/>
        <w:spacing w:before="400"/>
      </w:pPr>
      <w:bookmarkStart w:id="277" w:name="_Toc280261835"/>
      <w:bookmarkStart w:id="278" w:name="_Toc280262333"/>
      <w:bookmarkStart w:id="279" w:name="_Toc280272727"/>
      <w:bookmarkStart w:id="280" w:name="_Toc280272906"/>
      <w:r>
        <w:t xml:space="preserve">Article </w:t>
      </w:r>
      <w:r w:rsidRPr="00F50942">
        <w:t>13</w:t>
      </w:r>
      <w:r>
        <w:br/>
      </w:r>
      <w:r>
        <w:br/>
      </w:r>
      <w:bookmarkStart w:id="281" w:name="_Toc199215036"/>
      <w:r w:rsidRPr="00F50942">
        <w:t>Spectrum Fees for Fixed (point to point) links</w:t>
      </w:r>
      <w:bookmarkEnd w:id="277"/>
      <w:bookmarkEnd w:id="278"/>
      <w:bookmarkEnd w:id="279"/>
      <w:bookmarkEnd w:id="280"/>
      <w:bookmarkEnd w:id="281"/>
    </w:p>
    <w:p w:rsidR="00E56335" w:rsidRPr="000A1098" w:rsidRDefault="00E56335" w:rsidP="00E56335">
      <w:pPr>
        <w:pStyle w:val="enumlev1"/>
        <w:rPr>
          <w:rFonts w:asciiTheme="majorBidi" w:hAnsiTheme="majorBidi" w:cstheme="majorBidi"/>
          <w:szCs w:val="22"/>
        </w:rPr>
      </w:pPr>
      <w:r w:rsidRPr="000A1098">
        <w:rPr>
          <w:rFonts w:asciiTheme="majorBidi" w:hAnsiTheme="majorBidi" w:cstheme="majorBidi"/>
          <w:szCs w:val="22"/>
        </w:rPr>
        <w:t>13.1</w:t>
      </w:r>
      <w:r w:rsidRPr="000A1098">
        <w:rPr>
          <w:rFonts w:asciiTheme="majorBidi" w:hAnsiTheme="majorBidi" w:cstheme="majorBidi"/>
          <w:szCs w:val="22"/>
        </w:rPr>
        <w:tab/>
        <w:t xml:space="preserve">The Annual Spectrum Fees for each fixed point to point link above 2 GHz shall be calculated as follows: </w:t>
      </w:r>
    </w:p>
    <w:p w:rsidR="00E56335" w:rsidRPr="00F50942" w:rsidRDefault="00E56335" w:rsidP="00E56335">
      <w:pPr>
        <w:jc w:val="center"/>
        <w:rPr>
          <w:b/>
          <w:bCs/>
          <w:szCs w:val="19"/>
        </w:rPr>
      </w:pPr>
      <w:r w:rsidRPr="00F50942">
        <w:rPr>
          <w:b/>
          <w:szCs w:val="19"/>
        </w:rPr>
        <w:t>Spectrum Fees = F x 2000 + BW x 1000</w:t>
      </w:r>
    </w:p>
    <w:p w:rsidR="00E56335" w:rsidRPr="00F50942" w:rsidRDefault="00E56335" w:rsidP="00E56335">
      <w:pPr>
        <w:ind w:left="720"/>
        <w:rPr>
          <w:szCs w:val="19"/>
        </w:rPr>
      </w:pPr>
      <w:r w:rsidRPr="00F50942">
        <w:rPr>
          <w:szCs w:val="19"/>
        </w:rPr>
        <w:t xml:space="preserve">Where: </w:t>
      </w:r>
    </w:p>
    <w:p w:rsidR="00E56335" w:rsidRDefault="00E56335" w:rsidP="00E56335">
      <w:pPr>
        <w:ind w:left="720"/>
        <w:rPr>
          <w:szCs w:val="19"/>
        </w:rPr>
      </w:pPr>
      <w:r w:rsidRPr="00F50942">
        <w:rPr>
          <w:b/>
          <w:szCs w:val="19"/>
        </w:rPr>
        <w:t xml:space="preserve">F= </w:t>
      </w:r>
      <w:r w:rsidRPr="00151874">
        <w:rPr>
          <w:lang w:val="fr-FR"/>
        </w:rPr>
        <w:t>Frequency</w:t>
      </w:r>
      <w:r w:rsidRPr="00F50942">
        <w:rPr>
          <w:szCs w:val="19"/>
        </w:rPr>
        <w:t xml:space="preserve"> range factor as follows: </w:t>
      </w:r>
      <w:r w:rsidRPr="00F50942">
        <w:rPr>
          <w:szCs w:val="19"/>
        </w:rPr>
        <w:tab/>
        <w:t xml:space="preserve"> </w:t>
      </w:r>
      <w:r w:rsidRPr="00F50942">
        <w:rPr>
          <w:b/>
          <w:szCs w:val="19"/>
        </w:rPr>
        <w:t xml:space="preserve">BW= </w:t>
      </w:r>
      <w:r w:rsidRPr="00F50942">
        <w:rPr>
          <w:szCs w:val="19"/>
        </w:rPr>
        <w:t xml:space="preserve">Bandwidth factor as follows: </w:t>
      </w:r>
    </w:p>
    <w:p w:rsidR="00E56335" w:rsidRPr="00F50942" w:rsidRDefault="00E56335" w:rsidP="00E56335">
      <w:pPr>
        <w:ind w:left="720"/>
        <w:rPr>
          <w:szCs w:val="19"/>
        </w:rPr>
      </w:pPr>
    </w:p>
    <w:p w:rsidR="00E56335" w:rsidRPr="00F50942" w:rsidRDefault="00E56335" w:rsidP="00E56335">
      <w:pPr>
        <w:pStyle w:val="FigureTitle"/>
      </w:pPr>
    </w:p>
    <w:tbl>
      <w:tblPr>
        <w:tblW w:w="0" w:type="auto"/>
        <w:tblInd w:w="828" w:type="dxa"/>
        <w:tblBorders>
          <w:top w:val="nil"/>
          <w:left w:val="nil"/>
          <w:bottom w:val="nil"/>
          <w:right w:val="nil"/>
        </w:tblBorders>
        <w:tblLook w:val="0000"/>
      </w:tblPr>
      <w:tblGrid>
        <w:gridCol w:w="2447"/>
        <w:gridCol w:w="1071"/>
        <w:gridCol w:w="1142"/>
        <w:gridCol w:w="2163"/>
        <w:gridCol w:w="1097"/>
      </w:tblGrid>
      <w:tr w:rsidR="00E56335" w:rsidRPr="00F50942" w:rsidTr="00015D4C">
        <w:trPr>
          <w:trHeight w:val="608"/>
        </w:trPr>
        <w:tc>
          <w:tcPr>
            <w:tcW w:w="2447" w:type="dxa"/>
            <w:tcBorders>
              <w:top w:val="single" w:sz="8" w:space="0" w:color="000000"/>
              <w:left w:val="single" w:sz="8" w:space="0" w:color="000000"/>
              <w:bottom w:val="single" w:sz="8" w:space="0" w:color="000000"/>
              <w:right w:val="single" w:sz="8" w:space="0" w:color="000000"/>
            </w:tcBorders>
          </w:tcPr>
          <w:p w:rsidR="00E56335" w:rsidRPr="00025314" w:rsidRDefault="00E56335" w:rsidP="00015D4C">
            <w:pPr>
              <w:pStyle w:val="Tablehead"/>
              <w:rPr>
                <w:rFonts w:asciiTheme="majorBidi" w:hAnsiTheme="majorBidi" w:cstheme="majorBidi"/>
                <w:szCs w:val="22"/>
              </w:rPr>
            </w:pPr>
            <w:r w:rsidRPr="00025314">
              <w:rPr>
                <w:rFonts w:asciiTheme="majorBidi" w:hAnsiTheme="majorBidi" w:cstheme="majorBidi"/>
                <w:szCs w:val="22"/>
              </w:rPr>
              <w:t xml:space="preserve">Frequency Range </w:t>
            </w:r>
          </w:p>
        </w:tc>
        <w:tc>
          <w:tcPr>
            <w:tcW w:w="1071" w:type="dxa"/>
            <w:tcBorders>
              <w:top w:val="single" w:sz="8" w:space="0" w:color="000000"/>
              <w:left w:val="single" w:sz="8" w:space="0" w:color="000000"/>
              <w:bottom w:val="single" w:sz="8" w:space="0" w:color="000000"/>
              <w:right w:val="single" w:sz="4" w:space="0" w:color="auto"/>
            </w:tcBorders>
          </w:tcPr>
          <w:p w:rsidR="00E56335" w:rsidRPr="00025314" w:rsidRDefault="00E56335" w:rsidP="00015D4C">
            <w:pPr>
              <w:pStyle w:val="Tablehead"/>
              <w:rPr>
                <w:rFonts w:asciiTheme="majorBidi" w:hAnsiTheme="majorBidi" w:cstheme="majorBidi"/>
                <w:szCs w:val="22"/>
              </w:rPr>
            </w:pPr>
            <w:r w:rsidRPr="00025314">
              <w:rPr>
                <w:rFonts w:asciiTheme="majorBidi" w:hAnsiTheme="majorBidi" w:cstheme="majorBidi"/>
                <w:szCs w:val="22"/>
              </w:rPr>
              <w:t xml:space="preserve">F </w:t>
            </w:r>
            <w:r w:rsidRPr="00025314">
              <w:rPr>
                <w:rFonts w:asciiTheme="majorBidi" w:hAnsiTheme="majorBidi" w:cstheme="majorBidi"/>
                <w:szCs w:val="22"/>
              </w:rPr>
              <w:br/>
              <w:t xml:space="preserve">Factor </w:t>
            </w:r>
          </w:p>
        </w:tc>
        <w:tc>
          <w:tcPr>
            <w:tcW w:w="1142" w:type="dxa"/>
            <w:tcBorders>
              <w:top w:val="nil"/>
              <w:left w:val="single" w:sz="4" w:space="0" w:color="auto"/>
              <w:bottom w:val="nil"/>
              <w:right w:val="single" w:sz="4" w:space="0" w:color="auto"/>
            </w:tcBorders>
          </w:tcPr>
          <w:p w:rsidR="00E56335" w:rsidRPr="00F50942" w:rsidRDefault="00E56335" w:rsidP="00015D4C">
            <w:pPr>
              <w:pStyle w:val="Tablehead"/>
              <w:rPr>
                <w:rFonts w:ascii="Verdana" w:hAnsi="Verdana"/>
                <w:sz w:val="19"/>
                <w:szCs w:val="19"/>
              </w:rPr>
            </w:pPr>
          </w:p>
        </w:tc>
        <w:tc>
          <w:tcPr>
            <w:tcW w:w="2163" w:type="dxa"/>
            <w:tcBorders>
              <w:top w:val="single" w:sz="8" w:space="0" w:color="000000"/>
              <w:left w:val="single" w:sz="4" w:space="0" w:color="auto"/>
              <w:bottom w:val="single" w:sz="8" w:space="0" w:color="000000"/>
              <w:right w:val="single" w:sz="8" w:space="0" w:color="000000"/>
            </w:tcBorders>
          </w:tcPr>
          <w:p w:rsidR="00E56335" w:rsidRPr="00025314" w:rsidRDefault="00E56335" w:rsidP="00015D4C">
            <w:pPr>
              <w:pStyle w:val="Tablehead"/>
              <w:rPr>
                <w:rFonts w:asciiTheme="majorBidi" w:hAnsiTheme="majorBidi" w:cstheme="majorBidi"/>
                <w:szCs w:val="22"/>
              </w:rPr>
            </w:pPr>
            <w:r w:rsidRPr="00025314">
              <w:rPr>
                <w:rFonts w:asciiTheme="majorBidi" w:hAnsiTheme="majorBidi" w:cstheme="majorBidi"/>
                <w:szCs w:val="22"/>
              </w:rPr>
              <w:t xml:space="preserve">Bandwidth </w:t>
            </w:r>
          </w:p>
        </w:tc>
        <w:tc>
          <w:tcPr>
            <w:tcW w:w="1097" w:type="dxa"/>
            <w:tcBorders>
              <w:top w:val="single" w:sz="8" w:space="0" w:color="000000"/>
              <w:left w:val="single" w:sz="8" w:space="0" w:color="000000"/>
              <w:bottom w:val="single" w:sz="8" w:space="0" w:color="000000"/>
              <w:right w:val="single" w:sz="8" w:space="0" w:color="000000"/>
            </w:tcBorders>
          </w:tcPr>
          <w:p w:rsidR="00E56335" w:rsidRPr="00025314" w:rsidRDefault="00E56335" w:rsidP="00015D4C">
            <w:pPr>
              <w:pStyle w:val="Tablehead"/>
              <w:rPr>
                <w:rFonts w:asciiTheme="majorBidi" w:hAnsiTheme="majorBidi" w:cstheme="majorBidi"/>
                <w:szCs w:val="22"/>
              </w:rPr>
            </w:pPr>
            <w:r w:rsidRPr="00025314">
              <w:rPr>
                <w:rFonts w:asciiTheme="majorBidi" w:hAnsiTheme="majorBidi" w:cstheme="majorBidi"/>
                <w:szCs w:val="22"/>
              </w:rPr>
              <w:t xml:space="preserve">BW </w:t>
            </w:r>
            <w:r w:rsidRPr="00025314">
              <w:rPr>
                <w:rFonts w:asciiTheme="majorBidi" w:hAnsiTheme="majorBidi" w:cstheme="majorBidi"/>
                <w:szCs w:val="22"/>
              </w:rPr>
              <w:br/>
              <w:t xml:space="preserve">Factor </w:t>
            </w:r>
          </w:p>
        </w:tc>
      </w:tr>
      <w:tr w:rsidR="00E56335" w:rsidRPr="00F50942" w:rsidTr="00015D4C">
        <w:trPr>
          <w:trHeight w:val="319"/>
        </w:trPr>
        <w:tc>
          <w:tcPr>
            <w:tcW w:w="2447" w:type="dxa"/>
            <w:tcBorders>
              <w:top w:val="single" w:sz="8" w:space="0" w:color="000000"/>
              <w:left w:val="single" w:sz="8" w:space="0" w:color="000000"/>
              <w:bottom w:val="single" w:sz="8" w:space="0" w:color="000000"/>
              <w:right w:val="single" w:sz="8" w:space="0" w:color="000000"/>
            </w:tcBorders>
          </w:tcPr>
          <w:p w:rsidR="00E56335" w:rsidRPr="00025314" w:rsidRDefault="00E56335" w:rsidP="00015D4C">
            <w:pPr>
              <w:pStyle w:val="Tabletext"/>
              <w:rPr>
                <w:rFonts w:asciiTheme="majorBidi" w:hAnsiTheme="majorBidi" w:cstheme="majorBidi"/>
                <w:szCs w:val="22"/>
              </w:rPr>
            </w:pPr>
            <w:r w:rsidRPr="00025314">
              <w:rPr>
                <w:rFonts w:asciiTheme="majorBidi" w:hAnsiTheme="majorBidi" w:cstheme="majorBidi"/>
                <w:szCs w:val="22"/>
              </w:rPr>
              <w:t xml:space="preserve">2 GHz - 3 GHz </w:t>
            </w:r>
          </w:p>
        </w:tc>
        <w:tc>
          <w:tcPr>
            <w:tcW w:w="1071" w:type="dxa"/>
            <w:tcBorders>
              <w:top w:val="single" w:sz="8" w:space="0" w:color="000000"/>
              <w:left w:val="single" w:sz="8" w:space="0" w:color="000000"/>
              <w:bottom w:val="single" w:sz="8" w:space="0" w:color="000000"/>
              <w:right w:val="single" w:sz="4" w:space="0" w:color="auto"/>
            </w:tcBorders>
          </w:tcPr>
          <w:p w:rsidR="00E56335" w:rsidRPr="00025314" w:rsidRDefault="00E56335" w:rsidP="00015D4C">
            <w:pPr>
              <w:pStyle w:val="Tabletext"/>
              <w:jc w:val="center"/>
              <w:rPr>
                <w:rFonts w:asciiTheme="majorBidi" w:hAnsiTheme="majorBidi" w:cstheme="majorBidi"/>
                <w:szCs w:val="22"/>
              </w:rPr>
            </w:pPr>
            <w:r w:rsidRPr="00025314">
              <w:rPr>
                <w:rFonts w:asciiTheme="majorBidi" w:hAnsiTheme="majorBidi" w:cstheme="majorBidi"/>
                <w:szCs w:val="22"/>
              </w:rPr>
              <w:t>4</w:t>
            </w:r>
          </w:p>
        </w:tc>
        <w:tc>
          <w:tcPr>
            <w:tcW w:w="1142" w:type="dxa"/>
            <w:tcBorders>
              <w:top w:val="nil"/>
              <w:left w:val="single" w:sz="4" w:space="0" w:color="auto"/>
              <w:bottom w:val="nil"/>
              <w:right w:val="single" w:sz="4" w:space="0" w:color="auto"/>
            </w:tcBorders>
          </w:tcPr>
          <w:p w:rsidR="00E56335" w:rsidRPr="00F50942" w:rsidRDefault="00E56335" w:rsidP="00015D4C">
            <w:pPr>
              <w:pStyle w:val="Tabletext"/>
              <w:rPr>
                <w:rFonts w:ascii="Verdana" w:hAnsi="Verdana"/>
                <w:sz w:val="19"/>
                <w:szCs w:val="19"/>
              </w:rPr>
            </w:pPr>
          </w:p>
        </w:tc>
        <w:tc>
          <w:tcPr>
            <w:tcW w:w="2163" w:type="dxa"/>
            <w:tcBorders>
              <w:top w:val="single" w:sz="8" w:space="0" w:color="000000"/>
              <w:left w:val="single" w:sz="4" w:space="0" w:color="auto"/>
              <w:bottom w:val="single" w:sz="8" w:space="0" w:color="000000"/>
              <w:right w:val="single" w:sz="8" w:space="0" w:color="000000"/>
            </w:tcBorders>
          </w:tcPr>
          <w:p w:rsidR="00E56335" w:rsidRPr="00025314" w:rsidRDefault="00E56335" w:rsidP="00015D4C">
            <w:pPr>
              <w:pStyle w:val="Tabletext"/>
              <w:rPr>
                <w:rFonts w:asciiTheme="majorBidi" w:hAnsiTheme="majorBidi" w:cstheme="majorBidi"/>
                <w:szCs w:val="22"/>
              </w:rPr>
            </w:pPr>
            <w:r w:rsidRPr="00025314">
              <w:rPr>
                <w:rFonts w:asciiTheme="majorBidi" w:hAnsiTheme="majorBidi" w:cstheme="majorBidi"/>
                <w:szCs w:val="22"/>
              </w:rPr>
              <w:t xml:space="preserve">7 MHz or less </w:t>
            </w:r>
          </w:p>
        </w:tc>
        <w:tc>
          <w:tcPr>
            <w:tcW w:w="1097" w:type="dxa"/>
            <w:tcBorders>
              <w:top w:val="single" w:sz="8" w:space="0" w:color="000000"/>
              <w:left w:val="single" w:sz="8" w:space="0" w:color="000000"/>
              <w:bottom w:val="single" w:sz="8" w:space="0" w:color="000000"/>
              <w:right w:val="single" w:sz="8" w:space="0" w:color="000000"/>
            </w:tcBorders>
          </w:tcPr>
          <w:p w:rsidR="00E56335" w:rsidRPr="00025314" w:rsidRDefault="00E56335" w:rsidP="00015D4C">
            <w:pPr>
              <w:pStyle w:val="Tabletext"/>
              <w:jc w:val="center"/>
              <w:rPr>
                <w:rFonts w:asciiTheme="majorBidi" w:hAnsiTheme="majorBidi" w:cstheme="majorBidi"/>
                <w:szCs w:val="22"/>
              </w:rPr>
            </w:pPr>
            <w:r w:rsidRPr="00025314">
              <w:rPr>
                <w:rFonts w:asciiTheme="majorBidi" w:hAnsiTheme="majorBidi" w:cstheme="majorBidi"/>
                <w:szCs w:val="22"/>
              </w:rPr>
              <w:t>1</w:t>
            </w:r>
          </w:p>
        </w:tc>
      </w:tr>
      <w:tr w:rsidR="00E56335" w:rsidRPr="00F50942" w:rsidTr="00015D4C">
        <w:trPr>
          <w:trHeight w:val="319"/>
        </w:trPr>
        <w:tc>
          <w:tcPr>
            <w:tcW w:w="2447" w:type="dxa"/>
            <w:tcBorders>
              <w:top w:val="single" w:sz="8" w:space="0" w:color="000000"/>
              <w:left w:val="single" w:sz="8" w:space="0" w:color="000000"/>
              <w:bottom w:val="single" w:sz="8" w:space="0" w:color="000000"/>
              <w:right w:val="single" w:sz="8" w:space="0" w:color="000000"/>
            </w:tcBorders>
          </w:tcPr>
          <w:p w:rsidR="00E56335" w:rsidRPr="00025314" w:rsidRDefault="00E56335" w:rsidP="00015D4C">
            <w:pPr>
              <w:pStyle w:val="Tabletext"/>
              <w:rPr>
                <w:rFonts w:asciiTheme="majorBidi" w:hAnsiTheme="majorBidi" w:cstheme="majorBidi"/>
                <w:szCs w:val="22"/>
              </w:rPr>
            </w:pPr>
            <w:r w:rsidRPr="00025314">
              <w:rPr>
                <w:rFonts w:asciiTheme="majorBidi" w:hAnsiTheme="majorBidi" w:cstheme="majorBidi"/>
                <w:szCs w:val="22"/>
              </w:rPr>
              <w:t xml:space="preserve">&gt;3 GHz – 14 GHz </w:t>
            </w:r>
          </w:p>
        </w:tc>
        <w:tc>
          <w:tcPr>
            <w:tcW w:w="1071" w:type="dxa"/>
            <w:tcBorders>
              <w:top w:val="single" w:sz="8" w:space="0" w:color="000000"/>
              <w:left w:val="single" w:sz="8" w:space="0" w:color="000000"/>
              <w:bottom w:val="single" w:sz="8" w:space="0" w:color="000000"/>
              <w:right w:val="single" w:sz="4" w:space="0" w:color="auto"/>
            </w:tcBorders>
          </w:tcPr>
          <w:p w:rsidR="00E56335" w:rsidRPr="00025314" w:rsidRDefault="00E56335" w:rsidP="00015D4C">
            <w:pPr>
              <w:pStyle w:val="Tabletext"/>
              <w:jc w:val="center"/>
              <w:rPr>
                <w:rFonts w:asciiTheme="majorBidi" w:hAnsiTheme="majorBidi" w:cstheme="majorBidi"/>
                <w:szCs w:val="22"/>
              </w:rPr>
            </w:pPr>
            <w:r w:rsidRPr="00025314">
              <w:rPr>
                <w:rFonts w:asciiTheme="majorBidi" w:hAnsiTheme="majorBidi" w:cstheme="majorBidi"/>
                <w:szCs w:val="22"/>
              </w:rPr>
              <w:t>3</w:t>
            </w:r>
          </w:p>
        </w:tc>
        <w:tc>
          <w:tcPr>
            <w:tcW w:w="1142" w:type="dxa"/>
            <w:tcBorders>
              <w:top w:val="nil"/>
              <w:left w:val="single" w:sz="4" w:space="0" w:color="auto"/>
              <w:bottom w:val="nil"/>
              <w:right w:val="single" w:sz="4" w:space="0" w:color="auto"/>
            </w:tcBorders>
          </w:tcPr>
          <w:p w:rsidR="00E56335" w:rsidRPr="00F50942" w:rsidRDefault="00E56335" w:rsidP="00015D4C">
            <w:pPr>
              <w:pStyle w:val="Tabletext"/>
              <w:rPr>
                <w:rFonts w:ascii="Verdana" w:hAnsi="Verdana"/>
                <w:sz w:val="19"/>
                <w:szCs w:val="19"/>
              </w:rPr>
            </w:pPr>
          </w:p>
        </w:tc>
        <w:tc>
          <w:tcPr>
            <w:tcW w:w="2163" w:type="dxa"/>
            <w:tcBorders>
              <w:top w:val="single" w:sz="8" w:space="0" w:color="000000"/>
              <w:left w:val="single" w:sz="4" w:space="0" w:color="auto"/>
              <w:bottom w:val="single" w:sz="8" w:space="0" w:color="000000"/>
              <w:right w:val="single" w:sz="8" w:space="0" w:color="000000"/>
            </w:tcBorders>
          </w:tcPr>
          <w:p w:rsidR="00E56335" w:rsidRPr="00025314" w:rsidRDefault="00E56335" w:rsidP="00015D4C">
            <w:pPr>
              <w:pStyle w:val="Tabletext"/>
              <w:rPr>
                <w:rFonts w:asciiTheme="majorBidi" w:hAnsiTheme="majorBidi" w:cstheme="majorBidi"/>
                <w:szCs w:val="22"/>
              </w:rPr>
            </w:pPr>
            <w:r w:rsidRPr="00025314">
              <w:rPr>
                <w:rFonts w:asciiTheme="majorBidi" w:hAnsiTheme="majorBidi" w:cstheme="majorBidi"/>
                <w:szCs w:val="22"/>
              </w:rPr>
              <w:t xml:space="preserve">&gt;7 MHz -28 MHz </w:t>
            </w:r>
          </w:p>
        </w:tc>
        <w:tc>
          <w:tcPr>
            <w:tcW w:w="1097" w:type="dxa"/>
            <w:tcBorders>
              <w:top w:val="single" w:sz="8" w:space="0" w:color="000000"/>
              <w:left w:val="single" w:sz="8" w:space="0" w:color="000000"/>
              <w:bottom w:val="single" w:sz="8" w:space="0" w:color="000000"/>
              <w:right w:val="single" w:sz="8" w:space="0" w:color="000000"/>
            </w:tcBorders>
          </w:tcPr>
          <w:p w:rsidR="00E56335" w:rsidRPr="00025314" w:rsidRDefault="00E56335" w:rsidP="00015D4C">
            <w:pPr>
              <w:pStyle w:val="Tabletext"/>
              <w:jc w:val="center"/>
              <w:rPr>
                <w:rFonts w:asciiTheme="majorBidi" w:hAnsiTheme="majorBidi" w:cstheme="majorBidi"/>
                <w:szCs w:val="22"/>
              </w:rPr>
            </w:pPr>
            <w:r w:rsidRPr="00025314">
              <w:rPr>
                <w:rFonts w:asciiTheme="majorBidi" w:hAnsiTheme="majorBidi" w:cstheme="majorBidi"/>
                <w:szCs w:val="22"/>
              </w:rPr>
              <w:t>2</w:t>
            </w:r>
          </w:p>
        </w:tc>
      </w:tr>
      <w:tr w:rsidR="00E56335" w:rsidRPr="00F50942" w:rsidTr="00015D4C">
        <w:trPr>
          <w:trHeight w:val="319"/>
        </w:trPr>
        <w:tc>
          <w:tcPr>
            <w:tcW w:w="2447" w:type="dxa"/>
            <w:tcBorders>
              <w:top w:val="single" w:sz="8" w:space="0" w:color="000000"/>
              <w:left w:val="single" w:sz="8" w:space="0" w:color="000000"/>
              <w:bottom w:val="single" w:sz="8" w:space="0" w:color="000000"/>
              <w:right w:val="single" w:sz="8" w:space="0" w:color="000000"/>
            </w:tcBorders>
          </w:tcPr>
          <w:p w:rsidR="00E56335" w:rsidRPr="00025314" w:rsidRDefault="00E56335" w:rsidP="00015D4C">
            <w:pPr>
              <w:pStyle w:val="Tabletext"/>
              <w:rPr>
                <w:rFonts w:asciiTheme="majorBidi" w:hAnsiTheme="majorBidi" w:cstheme="majorBidi"/>
                <w:szCs w:val="22"/>
              </w:rPr>
            </w:pPr>
            <w:r w:rsidRPr="00025314">
              <w:rPr>
                <w:rFonts w:asciiTheme="majorBidi" w:hAnsiTheme="majorBidi" w:cstheme="majorBidi"/>
                <w:szCs w:val="22"/>
              </w:rPr>
              <w:t xml:space="preserve">&gt;14 GHz – 40 GHz </w:t>
            </w:r>
          </w:p>
        </w:tc>
        <w:tc>
          <w:tcPr>
            <w:tcW w:w="1071" w:type="dxa"/>
            <w:tcBorders>
              <w:top w:val="single" w:sz="8" w:space="0" w:color="000000"/>
              <w:left w:val="single" w:sz="8" w:space="0" w:color="000000"/>
              <w:bottom w:val="single" w:sz="8" w:space="0" w:color="000000"/>
              <w:right w:val="single" w:sz="4" w:space="0" w:color="auto"/>
            </w:tcBorders>
          </w:tcPr>
          <w:p w:rsidR="00E56335" w:rsidRPr="00025314" w:rsidRDefault="00E56335" w:rsidP="00015D4C">
            <w:pPr>
              <w:pStyle w:val="Tabletext"/>
              <w:jc w:val="center"/>
              <w:rPr>
                <w:rFonts w:asciiTheme="majorBidi" w:hAnsiTheme="majorBidi" w:cstheme="majorBidi"/>
                <w:szCs w:val="22"/>
              </w:rPr>
            </w:pPr>
            <w:r w:rsidRPr="00025314">
              <w:rPr>
                <w:rFonts w:asciiTheme="majorBidi" w:hAnsiTheme="majorBidi" w:cstheme="majorBidi"/>
                <w:szCs w:val="22"/>
              </w:rPr>
              <w:t>2</w:t>
            </w:r>
          </w:p>
        </w:tc>
        <w:tc>
          <w:tcPr>
            <w:tcW w:w="1142" w:type="dxa"/>
            <w:tcBorders>
              <w:top w:val="nil"/>
              <w:left w:val="single" w:sz="4" w:space="0" w:color="auto"/>
              <w:bottom w:val="nil"/>
              <w:right w:val="single" w:sz="4" w:space="0" w:color="auto"/>
            </w:tcBorders>
          </w:tcPr>
          <w:p w:rsidR="00E56335" w:rsidRPr="00F50942" w:rsidRDefault="00E56335" w:rsidP="00015D4C">
            <w:pPr>
              <w:pStyle w:val="Tabletext"/>
              <w:rPr>
                <w:rFonts w:ascii="Verdana" w:hAnsi="Verdana"/>
                <w:sz w:val="19"/>
                <w:szCs w:val="19"/>
              </w:rPr>
            </w:pPr>
          </w:p>
        </w:tc>
        <w:tc>
          <w:tcPr>
            <w:tcW w:w="2163" w:type="dxa"/>
            <w:tcBorders>
              <w:top w:val="single" w:sz="8" w:space="0" w:color="000000"/>
              <w:left w:val="single" w:sz="4" w:space="0" w:color="auto"/>
              <w:bottom w:val="single" w:sz="8" w:space="0" w:color="000000"/>
              <w:right w:val="single" w:sz="8" w:space="0" w:color="000000"/>
            </w:tcBorders>
          </w:tcPr>
          <w:p w:rsidR="00E56335" w:rsidRPr="00025314" w:rsidRDefault="00E56335" w:rsidP="00015D4C">
            <w:pPr>
              <w:pStyle w:val="Tabletext"/>
              <w:rPr>
                <w:rFonts w:asciiTheme="majorBidi" w:hAnsiTheme="majorBidi" w:cstheme="majorBidi"/>
                <w:szCs w:val="22"/>
              </w:rPr>
            </w:pPr>
            <w:r w:rsidRPr="00025314">
              <w:rPr>
                <w:rFonts w:asciiTheme="majorBidi" w:hAnsiTheme="majorBidi" w:cstheme="majorBidi"/>
                <w:szCs w:val="22"/>
              </w:rPr>
              <w:t xml:space="preserve">&gt;28 MHz – 56 MHz </w:t>
            </w:r>
          </w:p>
        </w:tc>
        <w:tc>
          <w:tcPr>
            <w:tcW w:w="1097" w:type="dxa"/>
            <w:tcBorders>
              <w:top w:val="single" w:sz="8" w:space="0" w:color="000000"/>
              <w:left w:val="single" w:sz="8" w:space="0" w:color="000000"/>
              <w:bottom w:val="single" w:sz="8" w:space="0" w:color="000000"/>
              <w:right w:val="single" w:sz="8" w:space="0" w:color="000000"/>
            </w:tcBorders>
          </w:tcPr>
          <w:p w:rsidR="00E56335" w:rsidRPr="00025314" w:rsidRDefault="00E56335" w:rsidP="00015D4C">
            <w:pPr>
              <w:pStyle w:val="Tabletext"/>
              <w:jc w:val="center"/>
              <w:rPr>
                <w:rFonts w:asciiTheme="majorBidi" w:hAnsiTheme="majorBidi" w:cstheme="majorBidi"/>
                <w:szCs w:val="22"/>
              </w:rPr>
            </w:pPr>
            <w:r w:rsidRPr="00025314">
              <w:rPr>
                <w:rFonts w:asciiTheme="majorBidi" w:hAnsiTheme="majorBidi" w:cstheme="majorBidi"/>
                <w:szCs w:val="22"/>
              </w:rPr>
              <w:t>3</w:t>
            </w:r>
          </w:p>
        </w:tc>
      </w:tr>
      <w:tr w:rsidR="00E56335" w:rsidRPr="00F50942" w:rsidTr="00015D4C">
        <w:trPr>
          <w:trHeight w:val="319"/>
        </w:trPr>
        <w:tc>
          <w:tcPr>
            <w:tcW w:w="2447" w:type="dxa"/>
            <w:tcBorders>
              <w:top w:val="single" w:sz="8" w:space="0" w:color="000000"/>
              <w:left w:val="single" w:sz="8" w:space="0" w:color="000000"/>
              <w:bottom w:val="single" w:sz="8" w:space="0" w:color="000000"/>
              <w:right w:val="single" w:sz="8" w:space="0" w:color="000000"/>
            </w:tcBorders>
          </w:tcPr>
          <w:p w:rsidR="00E56335" w:rsidRPr="00025314" w:rsidRDefault="00E56335" w:rsidP="00015D4C">
            <w:pPr>
              <w:pStyle w:val="Tabletext"/>
              <w:rPr>
                <w:rFonts w:asciiTheme="majorBidi" w:hAnsiTheme="majorBidi" w:cstheme="majorBidi"/>
                <w:szCs w:val="22"/>
              </w:rPr>
            </w:pPr>
            <w:r w:rsidRPr="00025314">
              <w:rPr>
                <w:rFonts w:asciiTheme="majorBidi" w:hAnsiTheme="majorBidi" w:cstheme="majorBidi"/>
                <w:szCs w:val="22"/>
              </w:rPr>
              <w:t xml:space="preserve">Above 40 GHz </w:t>
            </w:r>
          </w:p>
        </w:tc>
        <w:tc>
          <w:tcPr>
            <w:tcW w:w="1071" w:type="dxa"/>
            <w:tcBorders>
              <w:top w:val="single" w:sz="8" w:space="0" w:color="000000"/>
              <w:left w:val="single" w:sz="8" w:space="0" w:color="000000"/>
              <w:bottom w:val="single" w:sz="8" w:space="0" w:color="000000"/>
              <w:right w:val="single" w:sz="4" w:space="0" w:color="auto"/>
            </w:tcBorders>
          </w:tcPr>
          <w:p w:rsidR="00E56335" w:rsidRPr="00025314" w:rsidRDefault="00E56335" w:rsidP="00015D4C">
            <w:pPr>
              <w:pStyle w:val="Tabletext"/>
              <w:jc w:val="center"/>
              <w:rPr>
                <w:rFonts w:asciiTheme="majorBidi" w:hAnsiTheme="majorBidi" w:cstheme="majorBidi"/>
                <w:szCs w:val="22"/>
              </w:rPr>
            </w:pPr>
            <w:r w:rsidRPr="00025314">
              <w:rPr>
                <w:rFonts w:asciiTheme="majorBidi" w:hAnsiTheme="majorBidi" w:cstheme="majorBidi"/>
                <w:szCs w:val="22"/>
              </w:rPr>
              <w:t>1</w:t>
            </w:r>
          </w:p>
        </w:tc>
        <w:tc>
          <w:tcPr>
            <w:tcW w:w="1142" w:type="dxa"/>
            <w:tcBorders>
              <w:top w:val="nil"/>
              <w:left w:val="single" w:sz="4" w:space="0" w:color="auto"/>
              <w:bottom w:val="nil"/>
              <w:right w:val="single" w:sz="4" w:space="0" w:color="auto"/>
            </w:tcBorders>
          </w:tcPr>
          <w:p w:rsidR="00E56335" w:rsidRPr="00F50942" w:rsidRDefault="00E56335" w:rsidP="00015D4C">
            <w:pPr>
              <w:pStyle w:val="Tabletext"/>
              <w:rPr>
                <w:rFonts w:ascii="Verdana" w:hAnsi="Verdana"/>
                <w:sz w:val="19"/>
                <w:szCs w:val="19"/>
              </w:rPr>
            </w:pPr>
          </w:p>
        </w:tc>
        <w:tc>
          <w:tcPr>
            <w:tcW w:w="2163" w:type="dxa"/>
            <w:tcBorders>
              <w:top w:val="single" w:sz="8" w:space="0" w:color="000000"/>
              <w:left w:val="single" w:sz="4" w:space="0" w:color="auto"/>
              <w:bottom w:val="single" w:sz="8" w:space="0" w:color="000000"/>
              <w:right w:val="single" w:sz="8" w:space="0" w:color="000000"/>
            </w:tcBorders>
          </w:tcPr>
          <w:p w:rsidR="00E56335" w:rsidRPr="00025314" w:rsidRDefault="00E56335" w:rsidP="00015D4C">
            <w:pPr>
              <w:pStyle w:val="Tabletext"/>
              <w:rPr>
                <w:rFonts w:asciiTheme="majorBidi" w:hAnsiTheme="majorBidi" w:cstheme="majorBidi"/>
                <w:szCs w:val="22"/>
              </w:rPr>
            </w:pPr>
            <w:r w:rsidRPr="00025314">
              <w:rPr>
                <w:rFonts w:asciiTheme="majorBidi" w:hAnsiTheme="majorBidi" w:cstheme="majorBidi"/>
                <w:szCs w:val="22"/>
              </w:rPr>
              <w:t xml:space="preserve">More than 56 MHz </w:t>
            </w:r>
          </w:p>
        </w:tc>
        <w:tc>
          <w:tcPr>
            <w:tcW w:w="1097" w:type="dxa"/>
            <w:tcBorders>
              <w:top w:val="single" w:sz="8" w:space="0" w:color="000000"/>
              <w:left w:val="single" w:sz="8" w:space="0" w:color="000000"/>
              <w:bottom w:val="single" w:sz="8" w:space="0" w:color="000000"/>
              <w:right w:val="single" w:sz="8" w:space="0" w:color="000000"/>
            </w:tcBorders>
          </w:tcPr>
          <w:p w:rsidR="00E56335" w:rsidRPr="00025314" w:rsidRDefault="00E56335" w:rsidP="00015D4C">
            <w:pPr>
              <w:pStyle w:val="Tabletext"/>
              <w:jc w:val="center"/>
              <w:rPr>
                <w:rFonts w:asciiTheme="majorBidi" w:hAnsiTheme="majorBidi" w:cstheme="majorBidi"/>
                <w:szCs w:val="22"/>
              </w:rPr>
            </w:pPr>
            <w:r w:rsidRPr="00025314">
              <w:rPr>
                <w:rFonts w:asciiTheme="majorBidi" w:hAnsiTheme="majorBidi" w:cstheme="majorBidi"/>
                <w:szCs w:val="22"/>
              </w:rPr>
              <w:t>4</w:t>
            </w:r>
          </w:p>
        </w:tc>
      </w:tr>
    </w:tbl>
    <w:p w:rsidR="00E56335" w:rsidRPr="00F50942" w:rsidRDefault="00E56335" w:rsidP="00E56335">
      <w:pPr>
        <w:pStyle w:val="FigureSource"/>
      </w:pPr>
    </w:p>
    <w:p w:rsidR="00E56335" w:rsidRDefault="00E56335" w:rsidP="00E56335">
      <w:pPr>
        <w:pStyle w:val="enumlev1"/>
        <w:rPr>
          <w:rFonts w:ascii="Verdana" w:hAnsi="Verdana"/>
          <w:sz w:val="19"/>
          <w:szCs w:val="19"/>
        </w:rPr>
      </w:pPr>
    </w:p>
    <w:p w:rsidR="00E56335" w:rsidRPr="005079AE" w:rsidRDefault="00E56335" w:rsidP="00E56335">
      <w:pPr>
        <w:pStyle w:val="enumlev1"/>
        <w:rPr>
          <w:rFonts w:asciiTheme="majorBidi" w:hAnsiTheme="majorBidi" w:cstheme="majorBidi"/>
          <w:szCs w:val="22"/>
        </w:rPr>
      </w:pPr>
      <w:r w:rsidRPr="005079AE">
        <w:rPr>
          <w:rFonts w:asciiTheme="majorBidi" w:hAnsiTheme="majorBidi" w:cstheme="majorBidi"/>
          <w:szCs w:val="22"/>
        </w:rPr>
        <w:t>13.2</w:t>
      </w:r>
      <w:r w:rsidRPr="005079AE">
        <w:rPr>
          <w:rFonts w:asciiTheme="majorBidi" w:hAnsiTheme="majorBidi" w:cstheme="majorBidi"/>
          <w:szCs w:val="22"/>
        </w:rPr>
        <w:tab/>
        <w:t>The bandwidth for each fixed point to point link above 2 GHz shall be calculated based on the channel bandwidth (e.g. frequency pair with each frequency of 3.5 MHz + 3.5 MHz = 7 MHz shall be having BW factor of 1). The frequency diversity shall be charged as a separate link but space diversity and hot standby operations shall not add to the fees.</w:t>
      </w:r>
    </w:p>
    <w:p w:rsidR="00E56335" w:rsidRPr="005079AE" w:rsidRDefault="00E56335" w:rsidP="00E56335">
      <w:pPr>
        <w:pStyle w:val="enumlev1"/>
        <w:rPr>
          <w:rFonts w:asciiTheme="majorBidi" w:hAnsiTheme="majorBidi" w:cstheme="majorBidi"/>
          <w:szCs w:val="22"/>
        </w:rPr>
      </w:pPr>
      <w:r w:rsidRPr="005079AE">
        <w:rPr>
          <w:rFonts w:asciiTheme="majorBidi" w:hAnsiTheme="majorBidi" w:cstheme="majorBidi"/>
          <w:szCs w:val="22"/>
        </w:rPr>
        <w:t>13.3</w:t>
      </w:r>
      <w:r w:rsidRPr="005079AE">
        <w:rPr>
          <w:rFonts w:asciiTheme="majorBidi" w:hAnsiTheme="majorBidi" w:cstheme="majorBidi"/>
          <w:szCs w:val="22"/>
        </w:rPr>
        <w:tab/>
        <w:t>In exceptional cases where frequency pairs are assigned for all UAE point-to-point links above 2 GHz, the annual spectrum fees shall be ten times the annual spectrum fees for one link (same parameters) based on a re-use factor of 10.</w:t>
      </w:r>
    </w:p>
    <w:p w:rsidR="00E56335" w:rsidRPr="005079AE" w:rsidRDefault="00E56335" w:rsidP="00E56335">
      <w:pPr>
        <w:pStyle w:val="enumlev1"/>
        <w:rPr>
          <w:rFonts w:asciiTheme="majorBidi" w:hAnsiTheme="majorBidi" w:cstheme="majorBidi"/>
          <w:szCs w:val="22"/>
        </w:rPr>
      </w:pPr>
      <w:r w:rsidRPr="005079AE">
        <w:rPr>
          <w:rFonts w:asciiTheme="majorBidi" w:hAnsiTheme="majorBidi" w:cstheme="majorBidi"/>
          <w:szCs w:val="22"/>
        </w:rPr>
        <w:t>13.4</w:t>
      </w:r>
      <w:r w:rsidRPr="005079AE">
        <w:rPr>
          <w:rFonts w:asciiTheme="majorBidi" w:hAnsiTheme="majorBidi" w:cstheme="majorBidi"/>
          <w:szCs w:val="22"/>
        </w:rPr>
        <w:tab/>
        <w:t xml:space="preserve">The Annual Spectrum Fees for each HF fixed point to point link below 30 MHz shall be calculated as follows: </w:t>
      </w:r>
    </w:p>
    <w:p w:rsidR="00E56335" w:rsidRPr="00F50942" w:rsidRDefault="00E56335" w:rsidP="00E56335">
      <w:pPr>
        <w:jc w:val="center"/>
        <w:rPr>
          <w:b/>
          <w:bCs/>
          <w:szCs w:val="19"/>
        </w:rPr>
      </w:pPr>
      <w:r w:rsidRPr="00F50942">
        <w:rPr>
          <w:b/>
          <w:szCs w:val="19"/>
        </w:rPr>
        <w:t>Spectrum Fees = BW x 1000</w:t>
      </w:r>
    </w:p>
    <w:p w:rsidR="00E56335" w:rsidRPr="00F50942" w:rsidRDefault="00E56335" w:rsidP="00E56335">
      <w:pPr>
        <w:rPr>
          <w:szCs w:val="19"/>
        </w:rPr>
      </w:pPr>
      <w:r w:rsidRPr="00F50942">
        <w:rPr>
          <w:szCs w:val="19"/>
        </w:rPr>
        <w:tab/>
        <w:t>Where: BW is in kHz for all channels of that link</w:t>
      </w:r>
    </w:p>
    <w:p w:rsidR="00E56335" w:rsidRDefault="00E56335" w:rsidP="00E56335">
      <w:pPr>
        <w:tabs>
          <w:tab w:val="clear" w:pos="794"/>
          <w:tab w:val="clear" w:pos="1191"/>
          <w:tab w:val="clear" w:pos="1588"/>
          <w:tab w:val="clear" w:pos="1985"/>
        </w:tabs>
        <w:overflowPunct/>
        <w:autoSpaceDE/>
        <w:autoSpaceDN/>
        <w:adjustRightInd/>
        <w:spacing w:before="0"/>
        <w:jc w:val="left"/>
        <w:textAlignment w:val="auto"/>
        <w:rPr>
          <w:rFonts w:asciiTheme="majorBidi" w:hAnsiTheme="majorBidi" w:cstheme="majorBidi"/>
          <w:szCs w:val="22"/>
        </w:rPr>
      </w:pPr>
      <w:r>
        <w:rPr>
          <w:rFonts w:asciiTheme="majorBidi" w:hAnsiTheme="majorBidi" w:cstheme="majorBidi"/>
          <w:szCs w:val="22"/>
        </w:rPr>
        <w:br w:type="page"/>
      </w:r>
    </w:p>
    <w:p w:rsidR="00E56335" w:rsidRPr="005079AE" w:rsidRDefault="00E56335" w:rsidP="00E56335">
      <w:pPr>
        <w:pStyle w:val="enumlev1"/>
        <w:rPr>
          <w:rFonts w:asciiTheme="majorBidi" w:hAnsiTheme="majorBidi" w:cstheme="majorBidi"/>
          <w:szCs w:val="22"/>
        </w:rPr>
      </w:pPr>
      <w:r w:rsidRPr="005079AE">
        <w:rPr>
          <w:rFonts w:asciiTheme="majorBidi" w:hAnsiTheme="majorBidi" w:cstheme="majorBidi"/>
          <w:szCs w:val="22"/>
        </w:rPr>
        <w:lastRenderedPageBreak/>
        <w:t>13.5</w:t>
      </w:r>
      <w:r w:rsidRPr="005079AE">
        <w:rPr>
          <w:rFonts w:asciiTheme="majorBidi" w:hAnsiTheme="majorBidi" w:cstheme="majorBidi"/>
          <w:szCs w:val="22"/>
        </w:rPr>
        <w:tab/>
        <w:t xml:space="preserve">The Annual Spectrum Fees for each VHF and UHF fixed point to point link below 2 GHz shall be calculated as follows: </w:t>
      </w:r>
    </w:p>
    <w:p w:rsidR="00E56335" w:rsidRPr="00382736" w:rsidRDefault="00E56335" w:rsidP="00E56335">
      <w:pPr>
        <w:pStyle w:val="Headingb"/>
        <w:jc w:val="center"/>
        <w:rPr>
          <w:szCs w:val="22"/>
        </w:rPr>
      </w:pPr>
      <w:r w:rsidRPr="00382736">
        <w:rPr>
          <w:szCs w:val="22"/>
        </w:rPr>
        <w:t>Spectrum Fees = BW x 500</w:t>
      </w:r>
    </w:p>
    <w:p w:rsidR="00E56335" w:rsidRPr="00F50942" w:rsidRDefault="00E56335" w:rsidP="00E56335">
      <w:pPr>
        <w:rPr>
          <w:szCs w:val="19"/>
        </w:rPr>
      </w:pPr>
      <w:r w:rsidRPr="00F50942">
        <w:rPr>
          <w:szCs w:val="19"/>
        </w:rPr>
        <w:tab/>
        <w:t>Where: BW is in kHz for all channels of that link</w:t>
      </w:r>
    </w:p>
    <w:p w:rsidR="00E56335" w:rsidRPr="00F50942" w:rsidRDefault="00E56335" w:rsidP="00E56335">
      <w:pPr>
        <w:pStyle w:val="Arttitle"/>
        <w:spacing w:before="400"/>
      </w:pPr>
      <w:bookmarkStart w:id="282" w:name="_Toc280261836"/>
      <w:bookmarkStart w:id="283" w:name="_Toc280262334"/>
      <w:bookmarkStart w:id="284" w:name="_Toc280272728"/>
      <w:bookmarkStart w:id="285" w:name="_Toc280272907"/>
      <w:r>
        <w:t>Article 14</w:t>
      </w:r>
      <w:r>
        <w:br/>
      </w:r>
      <w:r>
        <w:br/>
      </w:r>
      <w:bookmarkStart w:id="286" w:name="_Toc199215037"/>
      <w:r w:rsidRPr="00F50942">
        <w:t>Spectrum Fees for FWA, SCADA, Telemetry, Mesh Networks</w:t>
      </w:r>
      <w:bookmarkEnd w:id="282"/>
      <w:bookmarkEnd w:id="283"/>
      <w:bookmarkEnd w:id="284"/>
      <w:bookmarkEnd w:id="285"/>
      <w:bookmarkEnd w:id="286"/>
    </w:p>
    <w:p w:rsidR="00E56335" w:rsidRPr="00A025FD" w:rsidRDefault="00E56335" w:rsidP="00E56335">
      <w:pPr>
        <w:pStyle w:val="enumlev1"/>
        <w:rPr>
          <w:rFonts w:asciiTheme="majorBidi" w:hAnsiTheme="majorBidi" w:cstheme="majorBidi"/>
          <w:szCs w:val="22"/>
        </w:rPr>
      </w:pPr>
      <w:r w:rsidRPr="00A025FD">
        <w:rPr>
          <w:rFonts w:asciiTheme="majorBidi" w:hAnsiTheme="majorBidi" w:cstheme="majorBidi"/>
          <w:szCs w:val="22"/>
        </w:rPr>
        <w:t>14.1</w:t>
      </w:r>
      <w:r w:rsidRPr="00A025FD">
        <w:rPr>
          <w:rFonts w:asciiTheme="majorBidi" w:hAnsiTheme="majorBidi" w:cstheme="majorBidi"/>
          <w:szCs w:val="22"/>
        </w:rPr>
        <w:tab/>
        <w:t xml:space="preserve">The Annual Spectrum Fees for Fixed Wireless Access (including Wireless Local loop and Point to multipoint), SCADA, Telemetry and mesh networks below 1 GHz shall be calculated as follows: </w:t>
      </w:r>
    </w:p>
    <w:p w:rsidR="00E56335" w:rsidRPr="00A025FD" w:rsidRDefault="00E56335" w:rsidP="00E56335">
      <w:pPr>
        <w:pStyle w:val="Headingb"/>
        <w:jc w:val="center"/>
        <w:rPr>
          <w:szCs w:val="22"/>
          <w:lang w:val="en-US"/>
        </w:rPr>
      </w:pPr>
      <w:r w:rsidRPr="00A025FD">
        <w:rPr>
          <w:szCs w:val="22"/>
          <w:lang w:val="en-US"/>
        </w:rPr>
        <w:t>Spectrum Fees = BW x 2000</w:t>
      </w:r>
    </w:p>
    <w:p w:rsidR="00E56335" w:rsidRPr="00796467" w:rsidRDefault="00E56335" w:rsidP="00E56335">
      <w:pPr>
        <w:rPr>
          <w:rFonts w:asciiTheme="majorBidi" w:hAnsiTheme="majorBidi" w:cstheme="majorBidi"/>
          <w:szCs w:val="22"/>
        </w:rPr>
      </w:pPr>
      <w:r w:rsidRPr="00F50942">
        <w:rPr>
          <w:rFonts w:ascii="Verdana" w:hAnsi="Verdana"/>
          <w:sz w:val="19"/>
          <w:szCs w:val="19"/>
        </w:rPr>
        <w:tab/>
      </w:r>
      <w:r w:rsidRPr="00796467">
        <w:rPr>
          <w:rFonts w:asciiTheme="majorBidi" w:hAnsiTheme="majorBidi" w:cstheme="majorBidi"/>
          <w:szCs w:val="22"/>
        </w:rPr>
        <w:t>Where</w:t>
      </w:r>
      <w:r w:rsidRPr="00796467">
        <w:rPr>
          <w:rFonts w:asciiTheme="majorBidi" w:hAnsiTheme="majorBidi" w:cstheme="majorBidi"/>
          <w:b/>
          <w:bCs/>
          <w:szCs w:val="22"/>
        </w:rPr>
        <w:t xml:space="preserve"> BW = </w:t>
      </w:r>
      <w:r w:rsidRPr="00796467">
        <w:rPr>
          <w:rFonts w:asciiTheme="majorBidi" w:hAnsiTheme="majorBidi" w:cstheme="majorBidi"/>
          <w:szCs w:val="22"/>
        </w:rPr>
        <w:t xml:space="preserve">Total Bandwidth in kHz </w:t>
      </w:r>
    </w:p>
    <w:p w:rsidR="00E56335" w:rsidRPr="00F50942" w:rsidRDefault="00E56335" w:rsidP="00E56335">
      <w:pPr>
        <w:ind w:left="720" w:hanging="720"/>
        <w:rPr>
          <w:szCs w:val="19"/>
        </w:rPr>
      </w:pPr>
      <w:r w:rsidRPr="00F50942">
        <w:rPr>
          <w:szCs w:val="19"/>
        </w:rPr>
        <w:t>14.2</w:t>
      </w:r>
      <w:r w:rsidRPr="00F50942">
        <w:rPr>
          <w:szCs w:val="19"/>
        </w:rPr>
        <w:tab/>
        <w:t xml:space="preserve">The Annual Spectrum Fees for Fixed Wireless Access (including Wireless Local loop and Point to multipoint), SCADA, Fixed Broadband and mesh networks between 1 GHz and 4 GHz shall be calculated as follows: </w:t>
      </w:r>
    </w:p>
    <w:p w:rsidR="00E56335" w:rsidRPr="00F50942" w:rsidRDefault="00E56335" w:rsidP="00E56335">
      <w:pPr>
        <w:jc w:val="center"/>
        <w:rPr>
          <w:color w:val="000000"/>
          <w:szCs w:val="19"/>
        </w:rPr>
      </w:pPr>
      <w:r w:rsidRPr="00F50942">
        <w:rPr>
          <w:b/>
          <w:color w:val="000000"/>
          <w:szCs w:val="19"/>
        </w:rPr>
        <w:t>Spectrum Fees = BW x CF x 5</w:t>
      </w:r>
    </w:p>
    <w:p w:rsidR="00E56335" w:rsidRPr="00F50942" w:rsidRDefault="00E56335" w:rsidP="00E56335">
      <w:pPr>
        <w:rPr>
          <w:b/>
          <w:bCs/>
          <w:color w:val="000000"/>
          <w:szCs w:val="19"/>
        </w:rPr>
      </w:pPr>
      <w:r w:rsidRPr="00F50942">
        <w:rPr>
          <w:szCs w:val="19"/>
        </w:rPr>
        <w:tab/>
        <w:t>Where</w:t>
      </w:r>
      <w:r w:rsidRPr="00F50942">
        <w:rPr>
          <w:b/>
          <w:color w:val="000000"/>
          <w:szCs w:val="19"/>
        </w:rPr>
        <w:t xml:space="preserve"> </w:t>
      </w:r>
    </w:p>
    <w:p w:rsidR="00E56335" w:rsidRPr="00F50942" w:rsidRDefault="00E56335" w:rsidP="00E56335">
      <w:pPr>
        <w:ind w:firstLine="720"/>
        <w:rPr>
          <w:color w:val="000000"/>
          <w:szCs w:val="19"/>
        </w:rPr>
      </w:pPr>
      <w:r w:rsidRPr="00F50942">
        <w:rPr>
          <w:b/>
          <w:color w:val="000000"/>
          <w:szCs w:val="19"/>
        </w:rPr>
        <w:t xml:space="preserve">BW = </w:t>
      </w:r>
      <w:r w:rsidRPr="00F50942">
        <w:rPr>
          <w:color w:val="000000"/>
          <w:szCs w:val="19"/>
        </w:rPr>
        <w:t>Total Bandwidth in MHz</w:t>
      </w:r>
    </w:p>
    <w:p w:rsidR="00E56335" w:rsidRDefault="00E56335" w:rsidP="00E56335">
      <w:pPr>
        <w:ind w:left="720"/>
        <w:rPr>
          <w:color w:val="000000"/>
          <w:szCs w:val="19"/>
        </w:rPr>
      </w:pPr>
      <w:r w:rsidRPr="00F50942">
        <w:rPr>
          <w:b/>
          <w:color w:val="000000"/>
          <w:szCs w:val="19"/>
        </w:rPr>
        <w:t xml:space="preserve">CF= </w:t>
      </w:r>
      <w:r w:rsidRPr="00F50942">
        <w:rPr>
          <w:color w:val="000000"/>
          <w:szCs w:val="19"/>
        </w:rPr>
        <w:t xml:space="preserve">Coverage Factor depending on the geographical area which will be determined as follows: </w:t>
      </w:r>
    </w:p>
    <w:p w:rsidR="00E56335" w:rsidRPr="00F50942" w:rsidRDefault="00E56335" w:rsidP="00E56335">
      <w:pPr>
        <w:ind w:left="720"/>
        <w:rPr>
          <w:color w:val="000000"/>
          <w:szCs w:val="19"/>
        </w:rPr>
      </w:pPr>
    </w:p>
    <w:p w:rsidR="00E56335" w:rsidRPr="00F50942" w:rsidRDefault="00E56335" w:rsidP="00E56335">
      <w:pPr>
        <w:pStyle w:val="FigureTitle"/>
      </w:pPr>
    </w:p>
    <w:tbl>
      <w:tblPr>
        <w:tblW w:w="0" w:type="auto"/>
        <w:tblInd w:w="925" w:type="dxa"/>
        <w:tblBorders>
          <w:top w:val="nil"/>
          <w:left w:val="nil"/>
          <w:bottom w:val="nil"/>
          <w:right w:val="nil"/>
        </w:tblBorders>
        <w:tblLook w:val="0000"/>
      </w:tblPr>
      <w:tblGrid>
        <w:gridCol w:w="681"/>
        <w:gridCol w:w="1475"/>
        <w:gridCol w:w="1523"/>
        <w:gridCol w:w="3268"/>
        <w:gridCol w:w="817"/>
      </w:tblGrid>
      <w:tr w:rsidR="00E56335" w:rsidRPr="00F50942" w:rsidTr="00015D4C">
        <w:trPr>
          <w:trHeight w:val="319"/>
        </w:trPr>
        <w:tc>
          <w:tcPr>
            <w:tcW w:w="0" w:type="auto"/>
            <w:tcBorders>
              <w:top w:val="single" w:sz="8" w:space="0" w:color="000000"/>
              <w:left w:val="single" w:sz="8" w:space="0" w:color="000000"/>
              <w:bottom w:val="single" w:sz="8" w:space="0" w:color="000000"/>
              <w:right w:val="single" w:sz="8" w:space="0" w:color="000000"/>
            </w:tcBorders>
          </w:tcPr>
          <w:p w:rsidR="00E56335" w:rsidRPr="00AE5B8E" w:rsidRDefault="00E56335" w:rsidP="00015D4C">
            <w:pPr>
              <w:pStyle w:val="Tablehead"/>
              <w:rPr>
                <w:rFonts w:asciiTheme="majorBidi" w:hAnsiTheme="majorBidi" w:cstheme="majorBidi"/>
                <w:szCs w:val="22"/>
              </w:rPr>
            </w:pPr>
            <w:r w:rsidRPr="00AE5B8E">
              <w:rPr>
                <w:rFonts w:asciiTheme="majorBidi" w:hAnsiTheme="majorBidi" w:cstheme="majorBidi"/>
                <w:szCs w:val="22"/>
              </w:rPr>
              <w:t xml:space="preserve">Area </w:t>
            </w:r>
          </w:p>
        </w:tc>
        <w:tc>
          <w:tcPr>
            <w:tcW w:w="1475" w:type="dxa"/>
            <w:tcBorders>
              <w:top w:val="single" w:sz="8" w:space="0" w:color="000000"/>
              <w:left w:val="single" w:sz="8" w:space="0" w:color="000000"/>
              <w:bottom w:val="single" w:sz="8" w:space="0" w:color="000000"/>
              <w:right w:val="single" w:sz="8" w:space="0" w:color="000000"/>
            </w:tcBorders>
          </w:tcPr>
          <w:p w:rsidR="00E56335" w:rsidRPr="00AE5B8E" w:rsidRDefault="00E56335" w:rsidP="00015D4C">
            <w:pPr>
              <w:pStyle w:val="Tablehead"/>
              <w:rPr>
                <w:rFonts w:asciiTheme="majorBidi" w:hAnsiTheme="majorBidi" w:cstheme="majorBidi"/>
                <w:szCs w:val="22"/>
              </w:rPr>
            </w:pPr>
            <w:r w:rsidRPr="00AE5B8E">
              <w:rPr>
                <w:rFonts w:asciiTheme="majorBidi" w:hAnsiTheme="majorBidi" w:cstheme="majorBidi"/>
                <w:szCs w:val="22"/>
              </w:rPr>
              <w:t xml:space="preserve">Rural area or within premises </w:t>
            </w:r>
          </w:p>
        </w:tc>
        <w:tc>
          <w:tcPr>
            <w:tcW w:w="1523" w:type="dxa"/>
            <w:tcBorders>
              <w:top w:val="single" w:sz="8" w:space="0" w:color="000000"/>
              <w:left w:val="single" w:sz="8" w:space="0" w:color="000000"/>
              <w:bottom w:val="single" w:sz="8" w:space="0" w:color="000000"/>
              <w:right w:val="single" w:sz="8" w:space="0" w:color="000000"/>
            </w:tcBorders>
          </w:tcPr>
          <w:p w:rsidR="00E56335" w:rsidRPr="00AE5B8E" w:rsidRDefault="00E56335" w:rsidP="00015D4C">
            <w:pPr>
              <w:pStyle w:val="Tablehead"/>
              <w:rPr>
                <w:rFonts w:asciiTheme="majorBidi" w:hAnsiTheme="majorBidi" w:cstheme="majorBidi"/>
                <w:szCs w:val="22"/>
              </w:rPr>
            </w:pPr>
            <w:r w:rsidRPr="00AE5B8E">
              <w:rPr>
                <w:rFonts w:asciiTheme="majorBidi" w:hAnsiTheme="majorBidi" w:cstheme="majorBidi"/>
                <w:szCs w:val="22"/>
              </w:rPr>
              <w:t>Urban city area of one city</w:t>
            </w:r>
          </w:p>
        </w:tc>
        <w:tc>
          <w:tcPr>
            <w:tcW w:w="3268" w:type="dxa"/>
            <w:tcBorders>
              <w:top w:val="single" w:sz="8" w:space="0" w:color="000000"/>
              <w:left w:val="single" w:sz="8" w:space="0" w:color="000000"/>
              <w:bottom w:val="single" w:sz="8" w:space="0" w:color="000000"/>
              <w:right w:val="single" w:sz="8" w:space="0" w:color="000000"/>
            </w:tcBorders>
          </w:tcPr>
          <w:p w:rsidR="00E56335" w:rsidRPr="00AE5B8E" w:rsidRDefault="00E56335" w:rsidP="00015D4C">
            <w:pPr>
              <w:pStyle w:val="Tablehead"/>
              <w:rPr>
                <w:rFonts w:asciiTheme="majorBidi" w:hAnsiTheme="majorBidi" w:cstheme="majorBidi"/>
                <w:szCs w:val="22"/>
              </w:rPr>
            </w:pPr>
            <w:r w:rsidRPr="00AE5B8E">
              <w:rPr>
                <w:rFonts w:asciiTheme="majorBidi" w:hAnsiTheme="majorBidi" w:cstheme="majorBidi"/>
                <w:szCs w:val="22"/>
              </w:rPr>
              <w:t xml:space="preserve">Emirate wide </w:t>
            </w:r>
          </w:p>
        </w:tc>
        <w:tc>
          <w:tcPr>
            <w:tcW w:w="817" w:type="dxa"/>
            <w:tcBorders>
              <w:top w:val="single" w:sz="8" w:space="0" w:color="000000"/>
              <w:left w:val="single" w:sz="8" w:space="0" w:color="000000"/>
              <w:bottom w:val="single" w:sz="8" w:space="0" w:color="000000"/>
              <w:right w:val="single" w:sz="8" w:space="0" w:color="000000"/>
            </w:tcBorders>
          </w:tcPr>
          <w:p w:rsidR="00E56335" w:rsidRPr="00AE5B8E" w:rsidRDefault="00E56335" w:rsidP="00015D4C">
            <w:pPr>
              <w:pStyle w:val="Tablehead"/>
              <w:rPr>
                <w:rFonts w:asciiTheme="majorBidi" w:hAnsiTheme="majorBidi" w:cstheme="majorBidi"/>
                <w:szCs w:val="22"/>
              </w:rPr>
            </w:pPr>
            <w:r w:rsidRPr="00AE5B8E">
              <w:rPr>
                <w:rFonts w:asciiTheme="majorBidi" w:hAnsiTheme="majorBidi" w:cstheme="majorBidi"/>
                <w:szCs w:val="22"/>
              </w:rPr>
              <w:t xml:space="preserve">All UAE </w:t>
            </w:r>
          </w:p>
        </w:tc>
      </w:tr>
      <w:tr w:rsidR="00E56335" w:rsidRPr="00F50942" w:rsidTr="00015D4C">
        <w:trPr>
          <w:trHeight w:val="319"/>
        </w:trPr>
        <w:tc>
          <w:tcPr>
            <w:tcW w:w="0" w:type="auto"/>
            <w:tcBorders>
              <w:top w:val="single" w:sz="8" w:space="0" w:color="000000"/>
              <w:left w:val="single" w:sz="8" w:space="0" w:color="000000"/>
              <w:bottom w:val="single" w:sz="8" w:space="0" w:color="000000"/>
              <w:right w:val="single" w:sz="8" w:space="0" w:color="000000"/>
            </w:tcBorders>
          </w:tcPr>
          <w:p w:rsidR="00E56335" w:rsidRPr="00AE5B8E" w:rsidRDefault="00E56335" w:rsidP="00015D4C">
            <w:pPr>
              <w:pStyle w:val="Tabletext"/>
              <w:rPr>
                <w:rFonts w:asciiTheme="majorBidi" w:hAnsiTheme="majorBidi" w:cstheme="majorBidi"/>
                <w:szCs w:val="22"/>
              </w:rPr>
            </w:pPr>
            <w:r w:rsidRPr="00AE5B8E">
              <w:rPr>
                <w:rFonts w:asciiTheme="majorBidi" w:hAnsiTheme="majorBidi" w:cstheme="majorBidi"/>
                <w:szCs w:val="22"/>
              </w:rPr>
              <w:t xml:space="preserve">CF </w:t>
            </w:r>
          </w:p>
        </w:tc>
        <w:tc>
          <w:tcPr>
            <w:tcW w:w="1475" w:type="dxa"/>
            <w:tcBorders>
              <w:top w:val="single" w:sz="8" w:space="0" w:color="000000"/>
              <w:left w:val="single" w:sz="8" w:space="0" w:color="000000"/>
              <w:bottom w:val="single" w:sz="8" w:space="0" w:color="000000"/>
              <w:right w:val="single" w:sz="8" w:space="0" w:color="000000"/>
            </w:tcBorders>
          </w:tcPr>
          <w:p w:rsidR="00E56335" w:rsidRPr="00AE5B8E" w:rsidRDefault="00E56335" w:rsidP="00015D4C">
            <w:pPr>
              <w:pStyle w:val="Tabletext"/>
              <w:rPr>
                <w:rFonts w:asciiTheme="majorBidi" w:hAnsiTheme="majorBidi" w:cstheme="majorBidi"/>
                <w:szCs w:val="22"/>
              </w:rPr>
            </w:pPr>
            <w:r w:rsidRPr="00AE5B8E">
              <w:rPr>
                <w:rFonts w:asciiTheme="majorBidi" w:hAnsiTheme="majorBidi" w:cstheme="majorBidi"/>
                <w:szCs w:val="22"/>
              </w:rPr>
              <w:t xml:space="preserve">100 </w:t>
            </w:r>
          </w:p>
        </w:tc>
        <w:tc>
          <w:tcPr>
            <w:tcW w:w="1523" w:type="dxa"/>
            <w:tcBorders>
              <w:top w:val="single" w:sz="8" w:space="0" w:color="000000"/>
              <w:left w:val="single" w:sz="8" w:space="0" w:color="000000"/>
              <w:bottom w:val="single" w:sz="8" w:space="0" w:color="000000"/>
              <w:right w:val="single" w:sz="8" w:space="0" w:color="000000"/>
            </w:tcBorders>
          </w:tcPr>
          <w:p w:rsidR="00E56335" w:rsidRPr="00AE5B8E" w:rsidRDefault="00E56335" w:rsidP="00015D4C">
            <w:pPr>
              <w:pStyle w:val="Tabletext"/>
              <w:rPr>
                <w:rFonts w:asciiTheme="majorBidi" w:hAnsiTheme="majorBidi" w:cstheme="majorBidi"/>
                <w:szCs w:val="22"/>
              </w:rPr>
            </w:pPr>
            <w:r w:rsidRPr="00AE5B8E">
              <w:rPr>
                <w:rFonts w:asciiTheme="majorBidi" w:hAnsiTheme="majorBidi" w:cstheme="majorBidi"/>
                <w:szCs w:val="22"/>
              </w:rPr>
              <w:t xml:space="preserve">500 </w:t>
            </w:r>
          </w:p>
        </w:tc>
        <w:tc>
          <w:tcPr>
            <w:tcW w:w="3268" w:type="dxa"/>
            <w:tcBorders>
              <w:top w:val="single" w:sz="8" w:space="0" w:color="000000"/>
              <w:left w:val="single" w:sz="8" w:space="0" w:color="000000"/>
              <w:bottom w:val="single" w:sz="8" w:space="0" w:color="000000"/>
              <w:right w:val="single" w:sz="8" w:space="0" w:color="000000"/>
            </w:tcBorders>
          </w:tcPr>
          <w:p w:rsidR="00E56335" w:rsidRPr="00AE5B8E" w:rsidRDefault="00E56335" w:rsidP="00015D4C">
            <w:pPr>
              <w:pStyle w:val="Tabletext"/>
              <w:rPr>
                <w:rFonts w:asciiTheme="majorBidi" w:hAnsiTheme="majorBidi" w:cstheme="majorBidi"/>
                <w:szCs w:val="22"/>
              </w:rPr>
            </w:pPr>
            <w:r w:rsidRPr="00AE5B8E">
              <w:rPr>
                <w:rFonts w:asciiTheme="majorBidi" w:hAnsiTheme="majorBidi" w:cstheme="majorBidi"/>
                <w:szCs w:val="22"/>
              </w:rPr>
              <w:t>2000 for Abu Dhabi or Dubai</w:t>
            </w:r>
          </w:p>
          <w:p w:rsidR="00E56335" w:rsidRPr="00AE5B8E" w:rsidRDefault="00E56335" w:rsidP="00015D4C">
            <w:pPr>
              <w:pStyle w:val="Tabletext"/>
              <w:rPr>
                <w:rFonts w:asciiTheme="majorBidi" w:hAnsiTheme="majorBidi" w:cstheme="majorBidi"/>
                <w:szCs w:val="22"/>
              </w:rPr>
            </w:pPr>
            <w:r w:rsidRPr="00AE5B8E">
              <w:rPr>
                <w:rFonts w:asciiTheme="majorBidi" w:hAnsiTheme="majorBidi" w:cstheme="majorBidi"/>
                <w:szCs w:val="22"/>
              </w:rPr>
              <w:t>1000 for other Emirates</w:t>
            </w:r>
          </w:p>
        </w:tc>
        <w:tc>
          <w:tcPr>
            <w:tcW w:w="817" w:type="dxa"/>
            <w:tcBorders>
              <w:top w:val="single" w:sz="8" w:space="0" w:color="000000"/>
              <w:left w:val="single" w:sz="8" w:space="0" w:color="000000"/>
              <w:bottom w:val="single" w:sz="8" w:space="0" w:color="000000"/>
              <w:right w:val="single" w:sz="8" w:space="0" w:color="000000"/>
            </w:tcBorders>
          </w:tcPr>
          <w:p w:rsidR="00E56335" w:rsidRPr="00AE5B8E" w:rsidRDefault="00E56335" w:rsidP="00015D4C">
            <w:pPr>
              <w:pStyle w:val="Tabletext"/>
              <w:rPr>
                <w:rFonts w:asciiTheme="majorBidi" w:hAnsiTheme="majorBidi" w:cstheme="majorBidi"/>
                <w:szCs w:val="22"/>
              </w:rPr>
            </w:pPr>
            <w:r w:rsidRPr="00AE5B8E">
              <w:rPr>
                <w:rFonts w:asciiTheme="majorBidi" w:hAnsiTheme="majorBidi" w:cstheme="majorBidi"/>
                <w:szCs w:val="22"/>
              </w:rPr>
              <w:t xml:space="preserve">4,000 </w:t>
            </w:r>
          </w:p>
        </w:tc>
      </w:tr>
    </w:tbl>
    <w:p w:rsidR="00E56335" w:rsidRDefault="00E56335" w:rsidP="00E56335">
      <w:pPr>
        <w:pStyle w:val="FigureSource"/>
      </w:pPr>
    </w:p>
    <w:p w:rsidR="00E56335" w:rsidRPr="00F50942" w:rsidRDefault="00E56335" w:rsidP="00E56335">
      <w:pPr>
        <w:pStyle w:val="Arttitle"/>
        <w:spacing w:before="400"/>
      </w:pPr>
      <w:bookmarkStart w:id="287" w:name="_Toc280261837"/>
      <w:bookmarkStart w:id="288" w:name="_Toc280262335"/>
      <w:bookmarkStart w:id="289" w:name="_Toc280272729"/>
      <w:bookmarkStart w:id="290" w:name="_Toc280272908"/>
      <w:r>
        <w:t xml:space="preserve">Article </w:t>
      </w:r>
      <w:r w:rsidRPr="00F50942">
        <w:rPr>
          <w:color w:val="000000"/>
          <w:lang w:val="en-US"/>
        </w:rPr>
        <w:t>15</w:t>
      </w:r>
      <w:r>
        <w:rPr>
          <w:color w:val="000000"/>
          <w:lang w:val="en-US"/>
        </w:rPr>
        <w:br/>
      </w:r>
      <w:r>
        <w:rPr>
          <w:color w:val="000000"/>
          <w:lang w:val="en-US"/>
        </w:rPr>
        <w:br/>
      </w:r>
      <w:bookmarkStart w:id="291" w:name="_Toc199215038"/>
      <w:r w:rsidRPr="00F50942">
        <w:t xml:space="preserve">Spectrum Fees for </w:t>
      </w:r>
      <w:smartTag w:uri="urn:schemas-microsoft-com:office:smarttags" w:element="place">
        <w:r w:rsidRPr="00F50942">
          <w:t>Mobile</w:t>
        </w:r>
      </w:smartTag>
      <w:r w:rsidRPr="00F50942">
        <w:t xml:space="preserve"> Broadband Wireless Access</w:t>
      </w:r>
      <w:bookmarkEnd w:id="287"/>
      <w:bookmarkEnd w:id="288"/>
      <w:bookmarkEnd w:id="289"/>
      <w:bookmarkEnd w:id="290"/>
      <w:bookmarkEnd w:id="291"/>
    </w:p>
    <w:p w:rsidR="00E56335" w:rsidRPr="00C70806" w:rsidRDefault="00E56335" w:rsidP="00E56335">
      <w:pPr>
        <w:pStyle w:val="enumlev1"/>
        <w:rPr>
          <w:rFonts w:asciiTheme="majorBidi" w:hAnsiTheme="majorBidi" w:cstheme="majorBidi"/>
          <w:szCs w:val="22"/>
        </w:rPr>
      </w:pPr>
      <w:r w:rsidRPr="00C70806">
        <w:rPr>
          <w:rFonts w:asciiTheme="majorBidi" w:hAnsiTheme="majorBidi" w:cstheme="majorBidi"/>
          <w:szCs w:val="22"/>
        </w:rPr>
        <w:t>15.1</w:t>
      </w:r>
      <w:r w:rsidRPr="00C70806">
        <w:rPr>
          <w:rFonts w:asciiTheme="majorBidi" w:hAnsiTheme="majorBidi" w:cstheme="majorBidi"/>
          <w:szCs w:val="22"/>
        </w:rPr>
        <w:tab/>
        <w:t xml:space="preserve">The Annual Spectrum Fees for Mobile Broadband Wireless Access between 2 GHz to 4 GHz shall be calculated as follows: </w:t>
      </w:r>
    </w:p>
    <w:p w:rsidR="00E56335" w:rsidRPr="00F50942" w:rsidRDefault="00E56335" w:rsidP="00E56335">
      <w:pPr>
        <w:jc w:val="center"/>
        <w:rPr>
          <w:color w:val="000000"/>
          <w:szCs w:val="19"/>
        </w:rPr>
      </w:pPr>
      <w:r w:rsidRPr="00F50942">
        <w:rPr>
          <w:b/>
          <w:color w:val="000000"/>
          <w:szCs w:val="19"/>
        </w:rPr>
        <w:t>Spectrum Fees = BW x CF x 10</w:t>
      </w:r>
    </w:p>
    <w:p w:rsidR="00E56335" w:rsidRPr="00F50942" w:rsidRDefault="00E56335" w:rsidP="00E56335">
      <w:pPr>
        <w:ind w:firstLine="720"/>
        <w:rPr>
          <w:b/>
          <w:bCs/>
          <w:color w:val="000000"/>
          <w:szCs w:val="19"/>
        </w:rPr>
      </w:pPr>
      <w:r w:rsidRPr="00F50942">
        <w:rPr>
          <w:szCs w:val="19"/>
        </w:rPr>
        <w:t>Where</w:t>
      </w:r>
      <w:r w:rsidRPr="00F50942">
        <w:rPr>
          <w:b/>
          <w:color w:val="000000"/>
          <w:szCs w:val="19"/>
        </w:rPr>
        <w:t xml:space="preserve"> </w:t>
      </w:r>
    </w:p>
    <w:p w:rsidR="00E56335" w:rsidRPr="00F50942" w:rsidRDefault="00E56335" w:rsidP="00E56335">
      <w:pPr>
        <w:ind w:firstLine="720"/>
        <w:rPr>
          <w:color w:val="000000"/>
          <w:szCs w:val="19"/>
        </w:rPr>
      </w:pPr>
      <w:r w:rsidRPr="00F50942">
        <w:rPr>
          <w:b/>
          <w:color w:val="000000"/>
          <w:szCs w:val="19"/>
        </w:rPr>
        <w:t xml:space="preserve">BW = </w:t>
      </w:r>
      <w:r w:rsidRPr="00F50942">
        <w:rPr>
          <w:color w:val="000000"/>
          <w:szCs w:val="19"/>
        </w:rPr>
        <w:t>Total Bandwidth in MHz</w:t>
      </w:r>
    </w:p>
    <w:p w:rsidR="00E56335" w:rsidRPr="00F50942" w:rsidRDefault="00E56335" w:rsidP="00E56335">
      <w:pPr>
        <w:ind w:left="720"/>
        <w:rPr>
          <w:color w:val="000000"/>
          <w:szCs w:val="19"/>
        </w:rPr>
      </w:pPr>
      <w:r w:rsidRPr="00F50942">
        <w:rPr>
          <w:b/>
          <w:color w:val="000000"/>
          <w:szCs w:val="19"/>
        </w:rPr>
        <w:t xml:space="preserve">CF= </w:t>
      </w:r>
      <w:r w:rsidRPr="00F50942">
        <w:rPr>
          <w:color w:val="000000"/>
          <w:szCs w:val="19"/>
        </w:rPr>
        <w:t xml:space="preserve">Coverage Factor depending on the geographical area which will be determined as follows: </w:t>
      </w:r>
    </w:p>
    <w:p w:rsidR="00E56335" w:rsidRDefault="00E56335" w:rsidP="00E56335"/>
    <w:p w:rsidR="00E56335" w:rsidRPr="00F50942" w:rsidRDefault="00E56335" w:rsidP="00E56335">
      <w:pPr>
        <w:pStyle w:val="FigureTitle"/>
      </w:pPr>
    </w:p>
    <w:tbl>
      <w:tblPr>
        <w:tblW w:w="0" w:type="auto"/>
        <w:tblInd w:w="925" w:type="dxa"/>
        <w:tblBorders>
          <w:top w:val="nil"/>
          <w:left w:val="nil"/>
          <w:bottom w:val="nil"/>
          <w:right w:val="nil"/>
        </w:tblBorders>
        <w:tblLook w:val="0000"/>
      </w:tblPr>
      <w:tblGrid>
        <w:gridCol w:w="681"/>
        <w:gridCol w:w="1475"/>
        <w:gridCol w:w="1523"/>
        <w:gridCol w:w="3268"/>
        <w:gridCol w:w="817"/>
      </w:tblGrid>
      <w:tr w:rsidR="00E56335" w:rsidRPr="00F50942" w:rsidTr="00015D4C">
        <w:trPr>
          <w:trHeight w:val="319"/>
        </w:trPr>
        <w:tc>
          <w:tcPr>
            <w:tcW w:w="0" w:type="auto"/>
            <w:tcBorders>
              <w:top w:val="single" w:sz="8" w:space="0" w:color="000000"/>
              <w:left w:val="single" w:sz="8" w:space="0" w:color="000000"/>
              <w:bottom w:val="single" w:sz="8" w:space="0" w:color="000000"/>
              <w:right w:val="single" w:sz="8" w:space="0" w:color="000000"/>
            </w:tcBorders>
          </w:tcPr>
          <w:p w:rsidR="00E56335" w:rsidRPr="0092737A" w:rsidRDefault="00E56335" w:rsidP="00015D4C">
            <w:pPr>
              <w:pStyle w:val="Tablehead"/>
              <w:rPr>
                <w:rFonts w:asciiTheme="majorBidi" w:hAnsiTheme="majorBidi" w:cstheme="majorBidi"/>
                <w:szCs w:val="22"/>
              </w:rPr>
            </w:pPr>
            <w:r w:rsidRPr="0092737A">
              <w:rPr>
                <w:rFonts w:asciiTheme="majorBidi" w:hAnsiTheme="majorBidi" w:cstheme="majorBidi"/>
                <w:szCs w:val="22"/>
              </w:rPr>
              <w:t xml:space="preserve">Area </w:t>
            </w:r>
          </w:p>
        </w:tc>
        <w:tc>
          <w:tcPr>
            <w:tcW w:w="1475" w:type="dxa"/>
            <w:tcBorders>
              <w:top w:val="single" w:sz="8" w:space="0" w:color="000000"/>
              <w:left w:val="single" w:sz="8" w:space="0" w:color="000000"/>
              <w:bottom w:val="single" w:sz="8" w:space="0" w:color="000000"/>
              <w:right w:val="single" w:sz="8" w:space="0" w:color="000000"/>
            </w:tcBorders>
          </w:tcPr>
          <w:p w:rsidR="00E56335" w:rsidRPr="0092737A" w:rsidRDefault="00E56335" w:rsidP="00015D4C">
            <w:pPr>
              <w:pStyle w:val="Tablehead"/>
              <w:rPr>
                <w:rFonts w:asciiTheme="majorBidi" w:hAnsiTheme="majorBidi" w:cstheme="majorBidi"/>
                <w:szCs w:val="22"/>
              </w:rPr>
            </w:pPr>
            <w:r w:rsidRPr="0092737A">
              <w:rPr>
                <w:rFonts w:asciiTheme="majorBidi" w:hAnsiTheme="majorBidi" w:cstheme="majorBidi"/>
                <w:szCs w:val="22"/>
              </w:rPr>
              <w:t xml:space="preserve">Rural area or within premises </w:t>
            </w:r>
          </w:p>
        </w:tc>
        <w:tc>
          <w:tcPr>
            <w:tcW w:w="1523" w:type="dxa"/>
            <w:tcBorders>
              <w:top w:val="single" w:sz="8" w:space="0" w:color="000000"/>
              <w:left w:val="single" w:sz="8" w:space="0" w:color="000000"/>
              <w:bottom w:val="single" w:sz="8" w:space="0" w:color="000000"/>
              <w:right w:val="single" w:sz="8" w:space="0" w:color="000000"/>
            </w:tcBorders>
          </w:tcPr>
          <w:p w:rsidR="00E56335" w:rsidRPr="0092737A" w:rsidRDefault="00E56335" w:rsidP="00015D4C">
            <w:pPr>
              <w:pStyle w:val="Tablehead"/>
              <w:rPr>
                <w:rFonts w:asciiTheme="majorBidi" w:hAnsiTheme="majorBidi" w:cstheme="majorBidi"/>
                <w:szCs w:val="22"/>
              </w:rPr>
            </w:pPr>
            <w:r w:rsidRPr="0092737A">
              <w:rPr>
                <w:rFonts w:asciiTheme="majorBidi" w:hAnsiTheme="majorBidi" w:cstheme="majorBidi"/>
                <w:szCs w:val="22"/>
              </w:rPr>
              <w:t>Urban city area of one city</w:t>
            </w:r>
          </w:p>
        </w:tc>
        <w:tc>
          <w:tcPr>
            <w:tcW w:w="3268" w:type="dxa"/>
            <w:tcBorders>
              <w:top w:val="single" w:sz="8" w:space="0" w:color="000000"/>
              <w:left w:val="single" w:sz="8" w:space="0" w:color="000000"/>
              <w:bottom w:val="single" w:sz="8" w:space="0" w:color="000000"/>
              <w:right w:val="single" w:sz="8" w:space="0" w:color="000000"/>
            </w:tcBorders>
          </w:tcPr>
          <w:p w:rsidR="00E56335" w:rsidRPr="0092737A" w:rsidRDefault="00E56335" w:rsidP="00015D4C">
            <w:pPr>
              <w:pStyle w:val="Tablehead"/>
              <w:rPr>
                <w:rFonts w:asciiTheme="majorBidi" w:hAnsiTheme="majorBidi" w:cstheme="majorBidi"/>
                <w:szCs w:val="22"/>
              </w:rPr>
            </w:pPr>
            <w:r w:rsidRPr="0092737A">
              <w:rPr>
                <w:rFonts w:asciiTheme="majorBidi" w:hAnsiTheme="majorBidi" w:cstheme="majorBidi"/>
                <w:szCs w:val="22"/>
              </w:rPr>
              <w:t xml:space="preserve">Emirate wide </w:t>
            </w:r>
          </w:p>
        </w:tc>
        <w:tc>
          <w:tcPr>
            <w:tcW w:w="817" w:type="dxa"/>
            <w:tcBorders>
              <w:top w:val="single" w:sz="8" w:space="0" w:color="000000"/>
              <w:left w:val="single" w:sz="8" w:space="0" w:color="000000"/>
              <w:bottom w:val="single" w:sz="8" w:space="0" w:color="000000"/>
              <w:right w:val="single" w:sz="8" w:space="0" w:color="000000"/>
            </w:tcBorders>
          </w:tcPr>
          <w:p w:rsidR="00E56335" w:rsidRPr="0092737A" w:rsidRDefault="00E56335" w:rsidP="00015D4C">
            <w:pPr>
              <w:pStyle w:val="Tablehead"/>
              <w:rPr>
                <w:rFonts w:asciiTheme="majorBidi" w:hAnsiTheme="majorBidi" w:cstheme="majorBidi"/>
                <w:szCs w:val="22"/>
              </w:rPr>
            </w:pPr>
            <w:r w:rsidRPr="0092737A">
              <w:rPr>
                <w:rFonts w:asciiTheme="majorBidi" w:hAnsiTheme="majorBidi" w:cstheme="majorBidi"/>
                <w:szCs w:val="22"/>
              </w:rPr>
              <w:t xml:space="preserve">All UAE </w:t>
            </w:r>
          </w:p>
        </w:tc>
      </w:tr>
      <w:tr w:rsidR="00E56335" w:rsidRPr="00F50942" w:rsidTr="00015D4C">
        <w:trPr>
          <w:trHeight w:val="319"/>
        </w:trPr>
        <w:tc>
          <w:tcPr>
            <w:tcW w:w="0" w:type="auto"/>
            <w:tcBorders>
              <w:top w:val="single" w:sz="8" w:space="0" w:color="000000"/>
              <w:left w:val="single" w:sz="8" w:space="0" w:color="000000"/>
              <w:bottom w:val="single" w:sz="8" w:space="0" w:color="000000"/>
              <w:right w:val="single" w:sz="8" w:space="0" w:color="000000"/>
            </w:tcBorders>
          </w:tcPr>
          <w:p w:rsidR="00E56335" w:rsidRPr="0092737A" w:rsidRDefault="00E56335" w:rsidP="00015D4C">
            <w:pPr>
              <w:pStyle w:val="Tabletext"/>
              <w:rPr>
                <w:rFonts w:asciiTheme="majorBidi" w:hAnsiTheme="majorBidi" w:cstheme="majorBidi"/>
                <w:szCs w:val="22"/>
              </w:rPr>
            </w:pPr>
            <w:r w:rsidRPr="0092737A">
              <w:rPr>
                <w:rFonts w:asciiTheme="majorBidi" w:hAnsiTheme="majorBidi" w:cstheme="majorBidi"/>
                <w:szCs w:val="22"/>
              </w:rPr>
              <w:t xml:space="preserve">CF </w:t>
            </w:r>
          </w:p>
        </w:tc>
        <w:tc>
          <w:tcPr>
            <w:tcW w:w="1475" w:type="dxa"/>
            <w:tcBorders>
              <w:top w:val="single" w:sz="8" w:space="0" w:color="000000"/>
              <w:left w:val="single" w:sz="8" w:space="0" w:color="000000"/>
              <w:bottom w:val="single" w:sz="8" w:space="0" w:color="000000"/>
              <w:right w:val="single" w:sz="8" w:space="0" w:color="000000"/>
            </w:tcBorders>
          </w:tcPr>
          <w:p w:rsidR="00E56335" w:rsidRPr="0092737A" w:rsidRDefault="00E56335" w:rsidP="00015D4C">
            <w:pPr>
              <w:pStyle w:val="Tabletext"/>
              <w:rPr>
                <w:rFonts w:asciiTheme="majorBidi" w:hAnsiTheme="majorBidi" w:cstheme="majorBidi"/>
                <w:szCs w:val="22"/>
              </w:rPr>
            </w:pPr>
            <w:r w:rsidRPr="0092737A">
              <w:rPr>
                <w:rFonts w:asciiTheme="majorBidi" w:hAnsiTheme="majorBidi" w:cstheme="majorBidi"/>
                <w:szCs w:val="22"/>
              </w:rPr>
              <w:t xml:space="preserve">100 </w:t>
            </w:r>
          </w:p>
        </w:tc>
        <w:tc>
          <w:tcPr>
            <w:tcW w:w="1523" w:type="dxa"/>
            <w:tcBorders>
              <w:top w:val="single" w:sz="8" w:space="0" w:color="000000"/>
              <w:left w:val="single" w:sz="8" w:space="0" w:color="000000"/>
              <w:bottom w:val="single" w:sz="8" w:space="0" w:color="000000"/>
              <w:right w:val="single" w:sz="8" w:space="0" w:color="000000"/>
            </w:tcBorders>
          </w:tcPr>
          <w:p w:rsidR="00E56335" w:rsidRPr="0092737A" w:rsidRDefault="00E56335" w:rsidP="00015D4C">
            <w:pPr>
              <w:pStyle w:val="Tabletext"/>
              <w:rPr>
                <w:rFonts w:asciiTheme="majorBidi" w:hAnsiTheme="majorBidi" w:cstheme="majorBidi"/>
                <w:szCs w:val="22"/>
              </w:rPr>
            </w:pPr>
            <w:r w:rsidRPr="0092737A">
              <w:rPr>
                <w:rFonts w:asciiTheme="majorBidi" w:hAnsiTheme="majorBidi" w:cstheme="majorBidi"/>
                <w:szCs w:val="22"/>
              </w:rPr>
              <w:t xml:space="preserve">500 </w:t>
            </w:r>
          </w:p>
        </w:tc>
        <w:tc>
          <w:tcPr>
            <w:tcW w:w="3268" w:type="dxa"/>
            <w:tcBorders>
              <w:top w:val="single" w:sz="8" w:space="0" w:color="000000"/>
              <w:left w:val="single" w:sz="8" w:space="0" w:color="000000"/>
              <w:bottom w:val="single" w:sz="8" w:space="0" w:color="000000"/>
              <w:right w:val="single" w:sz="8" w:space="0" w:color="000000"/>
            </w:tcBorders>
          </w:tcPr>
          <w:p w:rsidR="00E56335" w:rsidRPr="0092737A" w:rsidRDefault="00E56335" w:rsidP="00015D4C">
            <w:pPr>
              <w:pStyle w:val="Tabletext"/>
              <w:rPr>
                <w:rFonts w:asciiTheme="majorBidi" w:hAnsiTheme="majorBidi" w:cstheme="majorBidi"/>
                <w:szCs w:val="22"/>
              </w:rPr>
            </w:pPr>
            <w:r w:rsidRPr="0092737A">
              <w:rPr>
                <w:rFonts w:asciiTheme="majorBidi" w:hAnsiTheme="majorBidi" w:cstheme="majorBidi"/>
                <w:szCs w:val="22"/>
              </w:rPr>
              <w:t>2000 for Abu Dhabi or Dubai</w:t>
            </w:r>
          </w:p>
          <w:p w:rsidR="00E56335" w:rsidRPr="0092737A" w:rsidRDefault="00E56335" w:rsidP="00015D4C">
            <w:pPr>
              <w:pStyle w:val="Tabletext"/>
              <w:rPr>
                <w:rFonts w:asciiTheme="majorBidi" w:hAnsiTheme="majorBidi" w:cstheme="majorBidi"/>
                <w:szCs w:val="22"/>
              </w:rPr>
            </w:pPr>
            <w:r w:rsidRPr="0092737A">
              <w:rPr>
                <w:rFonts w:asciiTheme="majorBidi" w:hAnsiTheme="majorBidi" w:cstheme="majorBidi"/>
                <w:szCs w:val="22"/>
              </w:rPr>
              <w:t>1000 for other Emirates</w:t>
            </w:r>
          </w:p>
        </w:tc>
        <w:tc>
          <w:tcPr>
            <w:tcW w:w="817" w:type="dxa"/>
            <w:tcBorders>
              <w:top w:val="single" w:sz="8" w:space="0" w:color="000000"/>
              <w:left w:val="single" w:sz="8" w:space="0" w:color="000000"/>
              <w:bottom w:val="single" w:sz="8" w:space="0" w:color="000000"/>
              <w:right w:val="single" w:sz="8" w:space="0" w:color="000000"/>
            </w:tcBorders>
          </w:tcPr>
          <w:p w:rsidR="00E56335" w:rsidRPr="0092737A" w:rsidRDefault="00E56335" w:rsidP="00015D4C">
            <w:pPr>
              <w:pStyle w:val="Tabletext"/>
              <w:rPr>
                <w:rFonts w:asciiTheme="majorBidi" w:hAnsiTheme="majorBidi" w:cstheme="majorBidi"/>
                <w:szCs w:val="22"/>
              </w:rPr>
            </w:pPr>
            <w:r w:rsidRPr="0092737A">
              <w:rPr>
                <w:rFonts w:asciiTheme="majorBidi" w:hAnsiTheme="majorBidi" w:cstheme="majorBidi"/>
                <w:szCs w:val="22"/>
              </w:rPr>
              <w:t xml:space="preserve">4,000 </w:t>
            </w:r>
          </w:p>
        </w:tc>
      </w:tr>
    </w:tbl>
    <w:p w:rsidR="00E56335" w:rsidRDefault="00E56335" w:rsidP="00E56335">
      <w:pPr>
        <w:pStyle w:val="FigureSource"/>
      </w:pPr>
    </w:p>
    <w:p w:rsidR="00E56335" w:rsidRPr="00F50942" w:rsidRDefault="00E56335" w:rsidP="00E56335">
      <w:pPr>
        <w:pStyle w:val="Arttitle"/>
        <w:spacing w:before="400"/>
      </w:pPr>
      <w:bookmarkStart w:id="292" w:name="_Toc280261838"/>
      <w:bookmarkStart w:id="293" w:name="_Toc280262336"/>
      <w:bookmarkStart w:id="294" w:name="_Toc280272730"/>
      <w:bookmarkStart w:id="295" w:name="_Toc280272909"/>
      <w:r>
        <w:t>Article 16</w:t>
      </w:r>
      <w:r>
        <w:br/>
      </w:r>
      <w:r>
        <w:br/>
      </w:r>
      <w:bookmarkStart w:id="296" w:name="_Toc199215039"/>
      <w:r w:rsidRPr="00F50942">
        <w:t>Spectrum Fees for Optical and laser links</w:t>
      </w:r>
      <w:bookmarkEnd w:id="292"/>
      <w:bookmarkEnd w:id="293"/>
      <w:bookmarkEnd w:id="294"/>
      <w:bookmarkEnd w:id="295"/>
      <w:bookmarkEnd w:id="296"/>
    </w:p>
    <w:p w:rsidR="00E56335" w:rsidRPr="00F50942" w:rsidRDefault="00E56335" w:rsidP="00E56335">
      <w:pPr>
        <w:rPr>
          <w:b/>
          <w:bCs/>
          <w:color w:val="000000"/>
          <w:szCs w:val="19"/>
        </w:rPr>
      </w:pPr>
      <w:r w:rsidRPr="00F50942">
        <w:rPr>
          <w:szCs w:val="19"/>
        </w:rPr>
        <w:t xml:space="preserve">The Annual Fees for free space optical and laser links shall be </w:t>
      </w:r>
      <w:r w:rsidRPr="00F50942">
        <w:rPr>
          <w:color w:val="000000"/>
          <w:szCs w:val="19"/>
        </w:rPr>
        <w:t>fifty (50) Dirhams.</w:t>
      </w:r>
      <w:r w:rsidRPr="00F50942">
        <w:rPr>
          <w:b/>
          <w:color w:val="000000"/>
          <w:szCs w:val="19"/>
        </w:rPr>
        <w:t xml:space="preserve"> </w:t>
      </w:r>
    </w:p>
    <w:p w:rsidR="00E56335" w:rsidRPr="00F50942" w:rsidRDefault="00E56335" w:rsidP="00E56335">
      <w:pPr>
        <w:pStyle w:val="Arttitle"/>
        <w:spacing w:before="400"/>
      </w:pPr>
      <w:bookmarkStart w:id="297" w:name="_Toc280261839"/>
      <w:bookmarkStart w:id="298" w:name="_Toc280262337"/>
      <w:bookmarkStart w:id="299" w:name="_Toc280272731"/>
      <w:bookmarkStart w:id="300" w:name="_Toc280272910"/>
      <w:r>
        <w:t xml:space="preserve">Article </w:t>
      </w:r>
      <w:r w:rsidRPr="00F50942">
        <w:t>17</w:t>
      </w:r>
      <w:r>
        <w:br/>
      </w:r>
      <w:r>
        <w:br/>
      </w:r>
      <w:bookmarkStart w:id="301" w:name="_Toc199215040"/>
      <w:r w:rsidRPr="00F50942">
        <w:t>Spectrum Fees for WLAN and cordless telephony</w:t>
      </w:r>
      <w:bookmarkEnd w:id="297"/>
      <w:bookmarkEnd w:id="298"/>
      <w:bookmarkEnd w:id="299"/>
      <w:bookmarkEnd w:id="300"/>
      <w:bookmarkEnd w:id="301"/>
    </w:p>
    <w:p w:rsidR="00E56335" w:rsidRPr="00F50942" w:rsidRDefault="00E56335" w:rsidP="00E56335">
      <w:pPr>
        <w:rPr>
          <w:b/>
          <w:bCs/>
          <w:color w:val="000000"/>
          <w:szCs w:val="19"/>
        </w:rPr>
      </w:pPr>
      <w:r w:rsidRPr="00F50942">
        <w:rPr>
          <w:szCs w:val="19"/>
        </w:rPr>
        <w:t>The indoor use of WLAN and DECT based cordless telephony shall be exempted from the Spectrum Fees.</w:t>
      </w:r>
      <w:r w:rsidRPr="00F50942">
        <w:rPr>
          <w:b/>
          <w:color w:val="000000"/>
          <w:szCs w:val="19"/>
        </w:rPr>
        <w:t xml:space="preserve"> </w:t>
      </w:r>
    </w:p>
    <w:p w:rsidR="00E56335" w:rsidRPr="00F50942" w:rsidRDefault="00E56335" w:rsidP="00E56335">
      <w:pPr>
        <w:pStyle w:val="Arttitle"/>
        <w:spacing w:before="400"/>
      </w:pPr>
      <w:bookmarkStart w:id="302" w:name="_Toc280261840"/>
      <w:bookmarkStart w:id="303" w:name="_Toc280262338"/>
      <w:bookmarkStart w:id="304" w:name="_Toc280272732"/>
      <w:bookmarkStart w:id="305" w:name="_Toc280272911"/>
      <w:r>
        <w:t xml:space="preserve">Article </w:t>
      </w:r>
      <w:r w:rsidRPr="00F50942">
        <w:t>18</w:t>
      </w:r>
      <w:r>
        <w:br/>
      </w:r>
      <w:r>
        <w:br/>
      </w:r>
      <w:bookmarkStart w:id="306" w:name="_Toc199215041"/>
      <w:r w:rsidRPr="00F50942">
        <w:t>Spectrum Fees for GMPCS</w:t>
      </w:r>
      <w:bookmarkEnd w:id="302"/>
      <w:bookmarkEnd w:id="303"/>
      <w:bookmarkEnd w:id="304"/>
      <w:bookmarkEnd w:id="305"/>
      <w:bookmarkEnd w:id="306"/>
    </w:p>
    <w:p w:rsidR="00E56335" w:rsidRPr="00F50942" w:rsidRDefault="00E56335" w:rsidP="00E56335">
      <w:pPr>
        <w:rPr>
          <w:szCs w:val="19"/>
        </w:rPr>
      </w:pPr>
      <w:r w:rsidRPr="00F50942">
        <w:rPr>
          <w:szCs w:val="19"/>
        </w:rPr>
        <w:t xml:space="preserve">The Annual Spectrum Fees for Global Mobile Personal Communication Service (GMPCS) shall be calculated as follows: </w:t>
      </w:r>
    </w:p>
    <w:p w:rsidR="00E56335" w:rsidRPr="00F50942" w:rsidRDefault="00E56335" w:rsidP="00E56335">
      <w:pPr>
        <w:jc w:val="center"/>
        <w:rPr>
          <w:b/>
          <w:bCs/>
          <w:color w:val="000000"/>
          <w:szCs w:val="19"/>
        </w:rPr>
      </w:pPr>
      <w:r w:rsidRPr="00F50942">
        <w:rPr>
          <w:b/>
          <w:color w:val="000000"/>
          <w:szCs w:val="19"/>
        </w:rPr>
        <w:t>Spectrum Fees = BW x 5000</w:t>
      </w:r>
    </w:p>
    <w:p w:rsidR="00E56335" w:rsidRPr="00F50942" w:rsidRDefault="00E56335" w:rsidP="00E56335">
      <w:pPr>
        <w:rPr>
          <w:color w:val="000000"/>
          <w:szCs w:val="19"/>
        </w:rPr>
      </w:pPr>
      <w:r w:rsidRPr="00F50942">
        <w:rPr>
          <w:color w:val="000000"/>
          <w:szCs w:val="19"/>
        </w:rPr>
        <w:tab/>
        <w:t xml:space="preserve">Where </w:t>
      </w:r>
      <w:r w:rsidRPr="00F50942">
        <w:rPr>
          <w:b/>
          <w:color w:val="000000"/>
          <w:szCs w:val="19"/>
        </w:rPr>
        <w:t xml:space="preserve">BW= </w:t>
      </w:r>
      <w:r w:rsidRPr="00F50942">
        <w:rPr>
          <w:color w:val="000000"/>
          <w:szCs w:val="19"/>
        </w:rPr>
        <w:t xml:space="preserve">Bandwidth Factor based on 2x1 MHz Bandwidth used </w:t>
      </w:r>
    </w:p>
    <w:p w:rsidR="00E56335" w:rsidRDefault="00E56335" w:rsidP="00E56335">
      <w:pPr>
        <w:tabs>
          <w:tab w:val="clear" w:pos="794"/>
          <w:tab w:val="clear" w:pos="1191"/>
          <w:tab w:val="clear" w:pos="1588"/>
          <w:tab w:val="clear" w:pos="1985"/>
        </w:tabs>
        <w:overflowPunct/>
        <w:autoSpaceDE/>
        <w:autoSpaceDN/>
        <w:adjustRightInd/>
        <w:spacing w:before="0"/>
        <w:jc w:val="left"/>
        <w:textAlignment w:val="auto"/>
        <w:rPr>
          <w:color w:val="000000"/>
          <w:szCs w:val="19"/>
        </w:rPr>
      </w:pPr>
      <w:r>
        <w:rPr>
          <w:color w:val="000000"/>
          <w:szCs w:val="19"/>
        </w:rPr>
        <w:br w:type="page"/>
      </w:r>
    </w:p>
    <w:p w:rsidR="00E56335" w:rsidRPr="00765C45" w:rsidRDefault="00E56335" w:rsidP="00E56335">
      <w:pPr>
        <w:spacing w:before="0"/>
        <w:rPr>
          <w:color w:val="000000"/>
          <w:sz w:val="2"/>
          <w:szCs w:val="19"/>
        </w:rPr>
      </w:pPr>
    </w:p>
    <w:p w:rsidR="00E56335" w:rsidRPr="00F50942" w:rsidRDefault="00E56335" w:rsidP="00E56335">
      <w:pPr>
        <w:pStyle w:val="FigureTitle"/>
      </w:pPr>
    </w:p>
    <w:tbl>
      <w:tblPr>
        <w:tblW w:w="0" w:type="auto"/>
        <w:jc w:val="center"/>
        <w:tblInd w:w="1440" w:type="dxa"/>
        <w:tblBorders>
          <w:top w:val="nil"/>
          <w:left w:val="nil"/>
          <w:bottom w:val="nil"/>
          <w:right w:val="nil"/>
        </w:tblBorders>
        <w:tblLook w:val="0000"/>
      </w:tblPr>
      <w:tblGrid>
        <w:gridCol w:w="3333"/>
        <w:gridCol w:w="1261"/>
      </w:tblGrid>
      <w:tr w:rsidR="00E56335" w:rsidRPr="00F50942" w:rsidTr="00015D4C">
        <w:trPr>
          <w:trHeight w:val="332"/>
          <w:tblHeader/>
          <w:jc w:val="center"/>
        </w:trPr>
        <w:tc>
          <w:tcPr>
            <w:tcW w:w="0" w:type="auto"/>
            <w:tcBorders>
              <w:top w:val="single" w:sz="8" w:space="0" w:color="000000"/>
              <w:left w:val="single" w:sz="8" w:space="0" w:color="000000"/>
              <w:bottom w:val="single" w:sz="8" w:space="0" w:color="000000"/>
              <w:right w:val="single" w:sz="8" w:space="0" w:color="000000"/>
            </w:tcBorders>
          </w:tcPr>
          <w:p w:rsidR="00E56335" w:rsidRPr="00765C45" w:rsidRDefault="00E56335" w:rsidP="00015D4C">
            <w:pPr>
              <w:pStyle w:val="Tablehead"/>
              <w:rPr>
                <w:rFonts w:asciiTheme="majorBidi" w:hAnsiTheme="majorBidi" w:cstheme="majorBidi"/>
                <w:szCs w:val="22"/>
              </w:rPr>
            </w:pPr>
            <w:r w:rsidRPr="00765C45">
              <w:rPr>
                <w:rFonts w:asciiTheme="majorBidi" w:hAnsiTheme="majorBidi" w:cstheme="majorBidi"/>
                <w:szCs w:val="22"/>
              </w:rPr>
              <w:t xml:space="preserve">Bandwidth </w:t>
            </w:r>
          </w:p>
        </w:tc>
        <w:tc>
          <w:tcPr>
            <w:tcW w:w="0" w:type="auto"/>
            <w:tcBorders>
              <w:top w:val="single" w:sz="8" w:space="0" w:color="000000"/>
              <w:left w:val="single" w:sz="8" w:space="0" w:color="000000"/>
              <w:bottom w:val="single" w:sz="8" w:space="0" w:color="000000"/>
              <w:right w:val="single" w:sz="8" w:space="0" w:color="000000"/>
            </w:tcBorders>
          </w:tcPr>
          <w:p w:rsidR="00E56335" w:rsidRPr="00765C45" w:rsidRDefault="00E56335" w:rsidP="00015D4C">
            <w:pPr>
              <w:pStyle w:val="Tablehead"/>
              <w:rPr>
                <w:rFonts w:asciiTheme="majorBidi" w:hAnsiTheme="majorBidi" w:cstheme="majorBidi"/>
                <w:szCs w:val="22"/>
              </w:rPr>
            </w:pPr>
            <w:r w:rsidRPr="00765C45">
              <w:rPr>
                <w:rFonts w:asciiTheme="majorBidi" w:hAnsiTheme="majorBidi" w:cstheme="majorBidi"/>
                <w:szCs w:val="22"/>
              </w:rPr>
              <w:t>BW Factor</w:t>
            </w:r>
          </w:p>
        </w:tc>
      </w:tr>
      <w:tr w:rsidR="00E56335" w:rsidRPr="00F50942" w:rsidTr="00015D4C">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E56335" w:rsidRPr="00765C45" w:rsidRDefault="00E56335" w:rsidP="00015D4C">
            <w:pPr>
              <w:pStyle w:val="Tabletext"/>
              <w:rPr>
                <w:rFonts w:asciiTheme="majorBidi" w:hAnsiTheme="majorBidi" w:cstheme="majorBidi"/>
                <w:szCs w:val="22"/>
              </w:rPr>
            </w:pPr>
            <w:r w:rsidRPr="00765C45">
              <w:rPr>
                <w:rFonts w:asciiTheme="majorBidi" w:hAnsiTheme="majorBidi" w:cstheme="majorBidi"/>
                <w:szCs w:val="22"/>
              </w:rPr>
              <w:t xml:space="preserve">Less than 2 x 1 MHz </w:t>
            </w:r>
          </w:p>
        </w:tc>
        <w:tc>
          <w:tcPr>
            <w:tcW w:w="0" w:type="auto"/>
            <w:tcBorders>
              <w:top w:val="single" w:sz="8" w:space="0" w:color="000000"/>
              <w:left w:val="single" w:sz="8" w:space="0" w:color="000000"/>
              <w:bottom w:val="single" w:sz="8" w:space="0" w:color="000000"/>
              <w:right w:val="single" w:sz="8" w:space="0" w:color="000000"/>
            </w:tcBorders>
          </w:tcPr>
          <w:p w:rsidR="00E56335" w:rsidRPr="00765C45" w:rsidRDefault="00E56335" w:rsidP="00015D4C">
            <w:pPr>
              <w:pStyle w:val="Tabletext"/>
              <w:jc w:val="center"/>
              <w:rPr>
                <w:rFonts w:asciiTheme="majorBidi" w:hAnsiTheme="majorBidi" w:cstheme="majorBidi"/>
                <w:szCs w:val="22"/>
              </w:rPr>
            </w:pPr>
            <w:r w:rsidRPr="00765C45">
              <w:rPr>
                <w:rFonts w:asciiTheme="majorBidi" w:hAnsiTheme="majorBidi" w:cstheme="majorBidi"/>
                <w:szCs w:val="22"/>
              </w:rPr>
              <w:t>3</w:t>
            </w:r>
          </w:p>
        </w:tc>
      </w:tr>
      <w:tr w:rsidR="00E56335" w:rsidRPr="00F50942" w:rsidTr="00015D4C">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E56335" w:rsidRPr="00765C45" w:rsidRDefault="00E56335" w:rsidP="00015D4C">
            <w:pPr>
              <w:pStyle w:val="Tabletext"/>
              <w:rPr>
                <w:rFonts w:asciiTheme="majorBidi" w:hAnsiTheme="majorBidi" w:cstheme="majorBidi"/>
                <w:szCs w:val="22"/>
              </w:rPr>
            </w:pPr>
            <w:r w:rsidRPr="00765C45">
              <w:rPr>
                <w:rFonts w:asciiTheme="majorBidi" w:hAnsiTheme="majorBidi" w:cstheme="majorBidi"/>
                <w:szCs w:val="22"/>
              </w:rPr>
              <w:t xml:space="preserve">2 x 1 MHz </w:t>
            </w:r>
            <w:r>
              <w:rPr>
                <w:rFonts w:asciiTheme="majorBidi" w:hAnsiTheme="majorBidi" w:cstheme="majorBidi"/>
                <w:szCs w:val="22"/>
              </w:rPr>
              <w:t>–</w:t>
            </w:r>
            <w:r w:rsidRPr="00765C45">
              <w:rPr>
                <w:rFonts w:asciiTheme="majorBidi" w:hAnsiTheme="majorBidi" w:cstheme="majorBidi"/>
                <w:szCs w:val="22"/>
              </w:rPr>
              <w:t xml:space="preserve"> Less than 4 x 1 MHz </w:t>
            </w:r>
          </w:p>
        </w:tc>
        <w:tc>
          <w:tcPr>
            <w:tcW w:w="0" w:type="auto"/>
            <w:tcBorders>
              <w:top w:val="single" w:sz="8" w:space="0" w:color="000000"/>
              <w:left w:val="single" w:sz="8" w:space="0" w:color="000000"/>
              <w:bottom w:val="single" w:sz="8" w:space="0" w:color="000000"/>
              <w:right w:val="single" w:sz="8" w:space="0" w:color="000000"/>
            </w:tcBorders>
          </w:tcPr>
          <w:p w:rsidR="00E56335" w:rsidRPr="00765C45" w:rsidRDefault="00E56335" w:rsidP="00015D4C">
            <w:pPr>
              <w:pStyle w:val="Tabletext"/>
              <w:jc w:val="center"/>
              <w:rPr>
                <w:rFonts w:asciiTheme="majorBidi" w:hAnsiTheme="majorBidi" w:cstheme="majorBidi"/>
                <w:szCs w:val="22"/>
              </w:rPr>
            </w:pPr>
            <w:r w:rsidRPr="00765C45">
              <w:rPr>
                <w:rFonts w:asciiTheme="majorBidi" w:hAnsiTheme="majorBidi" w:cstheme="majorBidi"/>
                <w:szCs w:val="22"/>
              </w:rPr>
              <w:t>6</w:t>
            </w:r>
          </w:p>
        </w:tc>
      </w:tr>
      <w:tr w:rsidR="00E56335" w:rsidRPr="00F50942" w:rsidTr="00015D4C">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E56335" w:rsidRPr="00765C45" w:rsidRDefault="00E56335" w:rsidP="00015D4C">
            <w:pPr>
              <w:pStyle w:val="Tabletext"/>
              <w:rPr>
                <w:rFonts w:asciiTheme="majorBidi" w:hAnsiTheme="majorBidi" w:cstheme="majorBidi"/>
                <w:szCs w:val="22"/>
              </w:rPr>
            </w:pPr>
            <w:r>
              <w:rPr>
                <w:rFonts w:asciiTheme="majorBidi" w:hAnsiTheme="majorBidi" w:cstheme="majorBidi"/>
                <w:szCs w:val="22"/>
              </w:rPr>
              <w:t>4 x 1 MHz –</w:t>
            </w:r>
            <w:r w:rsidRPr="00765C45">
              <w:rPr>
                <w:rFonts w:asciiTheme="majorBidi" w:hAnsiTheme="majorBidi" w:cstheme="majorBidi"/>
                <w:szCs w:val="22"/>
              </w:rPr>
              <w:t xml:space="preserve"> Less than 6 x 1 MHz </w:t>
            </w:r>
          </w:p>
        </w:tc>
        <w:tc>
          <w:tcPr>
            <w:tcW w:w="0" w:type="auto"/>
            <w:tcBorders>
              <w:top w:val="single" w:sz="8" w:space="0" w:color="000000"/>
              <w:left w:val="single" w:sz="8" w:space="0" w:color="000000"/>
              <w:bottom w:val="single" w:sz="8" w:space="0" w:color="000000"/>
              <w:right w:val="single" w:sz="8" w:space="0" w:color="000000"/>
            </w:tcBorders>
          </w:tcPr>
          <w:p w:rsidR="00E56335" w:rsidRPr="00765C45" w:rsidRDefault="00E56335" w:rsidP="00015D4C">
            <w:pPr>
              <w:pStyle w:val="Tabletext"/>
              <w:jc w:val="center"/>
              <w:rPr>
                <w:rFonts w:asciiTheme="majorBidi" w:hAnsiTheme="majorBidi" w:cstheme="majorBidi"/>
                <w:szCs w:val="22"/>
              </w:rPr>
            </w:pPr>
            <w:r w:rsidRPr="00765C45">
              <w:rPr>
                <w:rFonts w:asciiTheme="majorBidi" w:hAnsiTheme="majorBidi" w:cstheme="majorBidi"/>
                <w:szCs w:val="22"/>
              </w:rPr>
              <w:t>9</w:t>
            </w:r>
          </w:p>
        </w:tc>
      </w:tr>
      <w:tr w:rsidR="00E56335" w:rsidRPr="00F50942" w:rsidTr="00015D4C">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E56335" w:rsidRPr="00765C45" w:rsidRDefault="00E56335" w:rsidP="00015D4C">
            <w:pPr>
              <w:pStyle w:val="Tabletext"/>
              <w:rPr>
                <w:rFonts w:asciiTheme="majorBidi" w:hAnsiTheme="majorBidi" w:cstheme="majorBidi"/>
                <w:szCs w:val="22"/>
              </w:rPr>
            </w:pPr>
            <w:r>
              <w:rPr>
                <w:rFonts w:asciiTheme="majorBidi" w:hAnsiTheme="majorBidi" w:cstheme="majorBidi"/>
                <w:szCs w:val="22"/>
              </w:rPr>
              <w:t>6 x 1 MHz –</w:t>
            </w:r>
            <w:r w:rsidRPr="00765C45">
              <w:rPr>
                <w:rFonts w:asciiTheme="majorBidi" w:hAnsiTheme="majorBidi" w:cstheme="majorBidi"/>
                <w:szCs w:val="22"/>
              </w:rPr>
              <w:t xml:space="preserve"> Less than 8 x 1 MHz </w:t>
            </w:r>
          </w:p>
        </w:tc>
        <w:tc>
          <w:tcPr>
            <w:tcW w:w="0" w:type="auto"/>
            <w:tcBorders>
              <w:top w:val="single" w:sz="8" w:space="0" w:color="000000"/>
              <w:left w:val="single" w:sz="8" w:space="0" w:color="000000"/>
              <w:bottom w:val="single" w:sz="8" w:space="0" w:color="000000"/>
              <w:right w:val="single" w:sz="8" w:space="0" w:color="000000"/>
            </w:tcBorders>
          </w:tcPr>
          <w:p w:rsidR="00E56335" w:rsidRPr="00765C45" w:rsidRDefault="00E56335" w:rsidP="00015D4C">
            <w:pPr>
              <w:pStyle w:val="Tabletext"/>
              <w:jc w:val="center"/>
              <w:rPr>
                <w:rFonts w:asciiTheme="majorBidi" w:hAnsiTheme="majorBidi" w:cstheme="majorBidi"/>
                <w:szCs w:val="22"/>
              </w:rPr>
            </w:pPr>
            <w:r w:rsidRPr="00765C45">
              <w:rPr>
                <w:rFonts w:asciiTheme="majorBidi" w:hAnsiTheme="majorBidi" w:cstheme="majorBidi"/>
                <w:szCs w:val="22"/>
              </w:rPr>
              <w:t>12</w:t>
            </w:r>
          </w:p>
        </w:tc>
      </w:tr>
      <w:tr w:rsidR="00E56335" w:rsidRPr="00F50942" w:rsidTr="00015D4C">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E56335" w:rsidRPr="00765C45" w:rsidRDefault="00E56335" w:rsidP="00015D4C">
            <w:pPr>
              <w:pStyle w:val="Tabletext"/>
              <w:rPr>
                <w:rFonts w:asciiTheme="majorBidi" w:hAnsiTheme="majorBidi" w:cstheme="majorBidi"/>
                <w:szCs w:val="22"/>
              </w:rPr>
            </w:pPr>
            <w:r>
              <w:rPr>
                <w:rFonts w:asciiTheme="majorBidi" w:hAnsiTheme="majorBidi" w:cstheme="majorBidi"/>
                <w:szCs w:val="22"/>
              </w:rPr>
              <w:t>8 x 1 MHz –</w:t>
            </w:r>
            <w:r w:rsidRPr="00765C45">
              <w:rPr>
                <w:rFonts w:asciiTheme="majorBidi" w:hAnsiTheme="majorBidi" w:cstheme="majorBidi"/>
                <w:szCs w:val="22"/>
              </w:rPr>
              <w:t xml:space="preserve"> Less than 10 x 1 MHz </w:t>
            </w:r>
          </w:p>
        </w:tc>
        <w:tc>
          <w:tcPr>
            <w:tcW w:w="0" w:type="auto"/>
            <w:tcBorders>
              <w:top w:val="single" w:sz="8" w:space="0" w:color="000000"/>
              <w:left w:val="single" w:sz="8" w:space="0" w:color="000000"/>
              <w:bottom w:val="single" w:sz="8" w:space="0" w:color="000000"/>
              <w:right w:val="single" w:sz="8" w:space="0" w:color="000000"/>
            </w:tcBorders>
          </w:tcPr>
          <w:p w:rsidR="00E56335" w:rsidRPr="00765C45" w:rsidRDefault="00E56335" w:rsidP="00015D4C">
            <w:pPr>
              <w:pStyle w:val="Tabletext"/>
              <w:jc w:val="center"/>
              <w:rPr>
                <w:rFonts w:asciiTheme="majorBidi" w:hAnsiTheme="majorBidi" w:cstheme="majorBidi"/>
                <w:szCs w:val="22"/>
              </w:rPr>
            </w:pPr>
            <w:r w:rsidRPr="00765C45">
              <w:rPr>
                <w:rFonts w:asciiTheme="majorBidi" w:hAnsiTheme="majorBidi" w:cstheme="majorBidi"/>
                <w:szCs w:val="22"/>
              </w:rPr>
              <w:t>15</w:t>
            </w:r>
          </w:p>
        </w:tc>
      </w:tr>
      <w:tr w:rsidR="00E56335" w:rsidRPr="00F50942" w:rsidTr="00015D4C">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E56335" w:rsidRPr="00765C45" w:rsidRDefault="00E56335" w:rsidP="00015D4C">
            <w:pPr>
              <w:pStyle w:val="Tabletext"/>
              <w:rPr>
                <w:rFonts w:asciiTheme="majorBidi" w:hAnsiTheme="majorBidi" w:cstheme="majorBidi"/>
                <w:szCs w:val="22"/>
              </w:rPr>
            </w:pPr>
            <w:r w:rsidRPr="00765C45">
              <w:rPr>
                <w:rFonts w:asciiTheme="majorBidi" w:hAnsiTheme="majorBidi" w:cstheme="majorBidi"/>
                <w:szCs w:val="22"/>
              </w:rPr>
              <w:t xml:space="preserve">10 x 1 MHz </w:t>
            </w:r>
          </w:p>
        </w:tc>
        <w:tc>
          <w:tcPr>
            <w:tcW w:w="0" w:type="auto"/>
            <w:tcBorders>
              <w:top w:val="single" w:sz="8" w:space="0" w:color="000000"/>
              <w:left w:val="single" w:sz="8" w:space="0" w:color="000000"/>
              <w:bottom w:val="single" w:sz="8" w:space="0" w:color="000000"/>
              <w:right w:val="single" w:sz="8" w:space="0" w:color="000000"/>
            </w:tcBorders>
          </w:tcPr>
          <w:p w:rsidR="00E56335" w:rsidRPr="00765C45" w:rsidRDefault="00E56335" w:rsidP="00015D4C">
            <w:pPr>
              <w:pStyle w:val="Tabletext"/>
              <w:jc w:val="center"/>
              <w:rPr>
                <w:rFonts w:asciiTheme="majorBidi" w:hAnsiTheme="majorBidi" w:cstheme="majorBidi"/>
                <w:szCs w:val="22"/>
              </w:rPr>
            </w:pPr>
            <w:r w:rsidRPr="00765C45">
              <w:rPr>
                <w:rFonts w:asciiTheme="majorBidi" w:hAnsiTheme="majorBidi" w:cstheme="majorBidi"/>
                <w:szCs w:val="22"/>
              </w:rPr>
              <w:t>18</w:t>
            </w:r>
          </w:p>
        </w:tc>
      </w:tr>
      <w:tr w:rsidR="00E56335" w:rsidRPr="00F50942" w:rsidTr="00015D4C">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E56335" w:rsidRPr="00765C45" w:rsidRDefault="00E56335" w:rsidP="00015D4C">
            <w:pPr>
              <w:pStyle w:val="Tabletext"/>
              <w:rPr>
                <w:rFonts w:asciiTheme="majorBidi" w:hAnsiTheme="majorBidi" w:cstheme="majorBidi"/>
                <w:szCs w:val="22"/>
              </w:rPr>
            </w:pPr>
            <w:r w:rsidRPr="00765C45">
              <w:rPr>
                <w:rFonts w:asciiTheme="majorBidi" w:hAnsiTheme="majorBidi" w:cstheme="majorBidi"/>
                <w:szCs w:val="22"/>
              </w:rPr>
              <w:t xml:space="preserve">For each additional 2x1 MHz </w:t>
            </w:r>
          </w:p>
        </w:tc>
        <w:tc>
          <w:tcPr>
            <w:tcW w:w="0" w:type="auto"/>
            <w:tcBorders>
              <w:top w:val="single" w:sz="8" w:space="0" w:color="000000"/>
              <w:left w:val="single" w:sz="8" w:space="0" w:color="000000"/>
              <w:bottom w:val="single" w:sz="8" w:space="0" w:color="000000"/>
              <w:right w:val="single" w:sz="8" w:space="0" w:color="000000"/>
            </w:tcBorders>
          </w:tcPr>
          <w:p w:rsidR="00E56335" w:rsidRPr="00765C45" w:rsidRDefault="00E56335" w:rsidP="00015D4C">
            <w:pPr>
              <w:pStyle w:val="Tabletext"/>
              <w:jc w:val="center"/>
              <w:rPr>
                <w:rFonts w:asciiTheme="majorBidi" w:hAnsiTheme="majorBidi" w:cstheme="majorBidi"/>
                <w:szCs w:val="22"/>
              </w:rPr>
            </w:pPr>
            <w:r w:rsidRPr="00765C45">
              <w:rPr>
                <w:rFonts w:asciiTheme="majorBidi" w:hAnsiTheme="majorBidi" w:cstheme="majorBidi"/>
                <w:szCs w:val="22"/>
              </w:rPr>
              <w:t>3</w:t>
            </w:r>
          </w:p>
        </w:tc>
      </w:tr>
    </w:tbl>
    <w:p w:rsidR="00E56335" w:rsidRPr="00F50942" w:rsidRDefault="00E56335" w:rsidP="00E56335">
      <w:pPr>
        <w:pStyle w:val="FigureSource"/>
      </w:pPr>
    </w:p>
    <w:p w:rsidR="00E56335" w:rsidRPr="00F50942" w:rsidRDefault="00E56335" w:rsidP="00E56335">
      <w:pPr>
        <w:pStyle w:val="Arttitle"/>
        <w:spacing w:before="400"/>
      </w:pPr>
      <w:bookmarkStart w:id="307" w:name="_Toc280261841"/>
      <w:bookmarkStart w:id="308" w:name="_Toc280262339"/>
      <w:bookmarkStart w:id="309" w:name="_Toc280272733"/>
      <w:bookmarkStart w:id="310" w:name="_Toc280272912"/>
      <w:r>
        <w:t>Article 19</w:t>
      </w:r>
      <w:r>
        <w:br/>
      </w:r>
      <w:r>
        <w:br/>
      </w:r>
      <w:bookmarkStart w:id="311" w:name="_Toc199215042"/>
      <w:r w:rsidRPr="00F50942">
        <w:t>Spectrum Fees for Amateur</w:t>
      </w:r>
      <w:bookmarkEnd w:id="307"/>
      <w:bookmarkEnd w:id="308"/>
      <w:bookmarkEnd w:id="309"/>
      <w:bookmarkEnd w:id="310"/>
      <w:bookmarkEnd w:id="311"/>
    </w:p>
    <w:p w:rsidR="00E56335" w:rsidRPr="00F50942" w:rsidRDefault="00E56335" w:rsidP="00E56335">
      <w:pPr>
        <w:rPr>
          <w:szCs w:val="19"/>
        </w:rPr>
      </w:pPr>
      <w:r w:rsidRPr="00F50942">
        <w:rPr>
          <w:szCs w:val="19"/>
        </w:rPr>
        <w:t xml:space="preserve">The Annual fees for Amateur license shall be Two Hundred (200) AED per wireless equipment payable in advance. </w:t>
      </w:r>
    </w:p>
    <w:p w:rsidR="00E56335" w:rsidRPr="00F50942" w:rsidRDefault="00E56335" w:rsidP="00E56335">
      <w:pPr>
        <w:pStyle w:val="Arttitle"/>
        <w:spacing w:before="400"/>
      </w:pPr>
      <w:bookmarkStart w:id="312" w:name="_Toc280261842"/>
      <w:bookmarkStart w:id="313" w:name="_Toc280262340"/>
      <w:bookmarkStart w:id="314" w:name="_Toc280272734"/>
      <w:bookmarkStart w:id="315" w:name="_Toc280272913"/>
      <w:r>
        <w:t>Article 20</w:t>
      </w:r>
      <w:r>
        <w:br/>
      </w:r>
      <w:r>
        <w:br/>
      </w:r>
      <w:bookmarkStart w:id="316" w:name="_Toc199215043"/>
      <w:r w:rsidRPr="00F50942">
        <w:t xml:space="preserve">Spectrum Fees for Aeronautical Radio </w:t>
      </w:r>
      <w:bookmarkEnd w:id="316"/>
      <w:r w:rsidRPr="00F50942">
        <w:t>Stations</w:t>
      </w:r>
      <w:bookmarkEnd w:id="312"/>
      <w:bookmarkEnd w:id="313"/>
      <w:bookmarkEnd w:id="314"/>
      <w:bookmarkEnd w:id="315"/>
    </w:p>
    <w:p w:rsidR="00E56335" w:rsidRPr="00057B18" w:rsidRDefault="00E56335" w:rsidP="00E56335">
      <w:pPr>
        <w:pStyle w:val="enumlev1"/>
        <w:rPr>
          <w:rFonts w:asciiTheme="majorBidi" w:hAnsiTheme="majorBidi" w:cstheme="majorBidi"/>
          <w:szCs w:val="22"/>
        </w:rPr>
      </w:pPr>
      <w:r w:rsidRPr="00057B18">
        <w:rPr>
          <w:rFonts w:asciiTheme="majorBidi" w:hAnsiTheme="majorBidi" w:cstheme="majorBidi"/>
          <w:szCs w:val="22"/>
        </w:rPr>
        <w:t>20.1</w:t>
      </w:r>
      <w:r w:rsidRPr="00057B18">
        <w:rPr>
          <w:rFonts w:asciiTheme="majorBidi" w:hAnsiTheme="majorBidi" w:cstheme="majorBidi"/>
          <w:szCs w:val="22"/>
        </w:rPr>
        <w:tab/>
        <w:t>The annual fees for each aircraft and helicopter license shall be one thousand (1000) Dirhams. This shall deem to include all Wireless Equipment onboard.</w:t>
      </w:r>
    </w:p>
    <w:p w:rsidR="00E56335" w:rsidRPr="00057B18" w:rsidRDefault="00E56335" w:rsidP="00E56335">
      <w:pPr>
        <w:pStyle w:val="enumlev1"/>
        <w:rPr>
          <w:rFonts w:asciiTheme="majorBidi" w:hAnsiTheme="majorBidi" w:cstheme="majorBidi"/>
          <w:szCs w:val="22"/>
        </w:rPr>
      </w:pPr>
      <w:r w:rsidRPr="00057B18">
        <w:rPr>
          <w:rFonts w:asciiTheme="majorBidi" w:hAnsiTheme="majorBidi" w:cstheme="majorBidi"/>
          <w:szCs w:val="22"/>
        </w:rPr>
        <w:t>20.2</w:t>
      </w:r>
      <w:r w:rsidRPr="00057B18">
        <w:rPr>
          <w:rFonts w:asciiTheme="majorBidi" w:hAnsiTheme="majorBidi" w:cstheme="majorBidi"/>
          <w:szCs w:val="22"/>
        </w:rPr>
        <w:tab/>
        <w:t xml:space="preserve">The annual fees for gliders and balloons shall be three hundred (300) Dirhams. </w:t>
      </w:r>
    </w:p>
    <w:p w:rsidR="00E56335" w:rsidRPr="00057B18" w:rsidRDefault="00E56335" w:rsidP="00E56335">
      <w:pPr>
        <w:pStyle w:val="enumlev1"/>
        <w:rPr>
          <w:rFonts w:asciiTheme="majorBidi" w:hAnsiTheme="majorBidi" w:cstheme="majorBidi"/>
          <w:szCs w:val="22"/>
        </w:rPr>
      </w:pPr>
      <w:r w:rsidRPr="00057B18">
        <w:rPr>
          <w:rFonts w:asciiTheme="majorBidi" w:hAnsiTheme="majorBidi" w:cstheme="majorBidi"/>
          <w:szCs w:val="22"/>
        </w:rPr>
        <w:t>20.3</w:t>
      </w:r>
      <w:r w:rsidRPr="00057B18">
        <w:rPr>
          <w:rFonts w:asciiTheme="majorBidi" w:hAnsiTheme="majorBidi" w:cstheme="majorBidi"/>
          <w:szCs w:val="22"/>
        </w:rPr>
        <w:tab/>
        <w:t>The annual fees for ground to air links shall be in accordance with the private mobile radio. The ground to air HF links shall be charged in accordance with HF fixed point to point links.</w:t>
      </w:r>
    </w:p>
    <w:p w:rsidR="00E56335" w:rsidRPr="00057B18" w:rsidRDefault="00E56335" w:rsidP="00E56335">
      <w:pPr>
        <w:pStyle w:val="enumlev1"/>
        <w:rPr>
          <w:rFonts w:asciiTheme="majorBidi" w:hAnsiTheme="majorBidi" w:cstheme="majorBidi"/>
          <w:color w:val="000000"/>
          <w:szCs w:val="22"/>
        </w:rPr>
      </w:pPr>
      <w:r w:rsidRPr="00057B18">
        <w:rPr>
          <w:rFonts w:asciiTheme="majorBidi" w:hAnsiTheme="majorBidi" w:cstheme="majorBidi"/>
          <w:color w:val="000000"/>
          <w:szCs w:val="22"/>
        </w:rPr>
        <w:t>20.4</w:t>
      </w:r>
      <w:r w:rsidRPr="00057B18">
        <w:rPr>
          <w:rFonts w:asciiTheme="majorBidi" w:hAnsiTheme="majorBidi" w:cstheme="majorBidi"/>
          <w:color w:val="000000"/>
          <w:szCs w:val="22"/>
        </w:rPr>
        <w:tab/>
        <w:t xml:space="preserve">The annual fees for High Altitude Platform System (HAPS) shall be considered under satellite services for charging. </w:t>
      </w:r>
    </w:p>
    <w:p w:rsidR="00E56335" w:rsidRPr="00F50942" w:rsidRDefault="00E56335" w:rsidP="00E56335">
      <w:pPr>
        <w:pStyle w:val="Arttitle"/>
      </w:pPr>
      <w:bookmarkStart w:id="317" w:name="_Toc280261843"/>
      <w:bookmarkStart w:id="318" w:name="_Toc280262341"/>
      <w:bookmarkStart w:id="319" w:name="_Toc280272735"/>
      <w:bookmarkStart w:id="320" w:name="_Toc280272914"/>
      <w:r>
        <w:t>Article 21</w:t>
      </w:r>
      <w:r>
        <w:br/>
      </w:r>
      <w:r>
        <w:br/>
      </w:r>
      <w:bookmarkStart w:id="321" w:name="_Toc199215044"/>
      <w:r w:rsidRPr="00F50942">
        <w:t>Spectrum Fees for Maritime Radio Services</w:t>
      </w:r>
      <w:bookmarkEnd w:id="317"/>
      <w:bookmarkEnd w:id="318"/>
      <w:bookmarkEnd w:id="319"/>
      <w:bookmarkEnd w:id="320"/>
      <w:bookmarkEnd w:id="321"/>
    </w:p>
    <w:p w:rsidR="00E56335" w:rsidRPr="00057B18" w:rsidRDefault="00E56335" w:rsidP="00E56335">
      <w:pPr>
        <w:pStyle w:val="enumlev1"/>
        <w:rPr>
          <w:rFonts w:asciiTheme="majorBidi" w:hAnsiTheme="majorBidi" w:cstheme="majorBidi"/>
          <w:szCs w:val="22"/>
        </w:rPr>
      </w:pPr>
      <w:r w:rsidRPr="00057B18">
        <w:rPr>
          <w:rFonts w:asciiTheme="majorBidi" w:hAnsiTheme="majorBidi" w:cstheme="majorBidi"/>
          <w:szCs w:val="22"/>
        </w:rPr>
        <w:t>21.1</w:t>
      </w:r>
      <w:r w:rsidRPr="00057B18">
        <w:rPr>
          <w:rFonts w:asciiTheme="majorBidi" w:hAnsiTheme="majorBidi" w:cstheme="majorBidi"/>
          <w:szCs w:val="22"/>
        </w:rPr>
        <w:tab/>
        <w:t xml:space="preserve">The annual fees for each small boat license shall be two hundred (200) Dirhams. </w:t>
      </w:r>
    </w:p>
    <w:p w:rsidR="00E56335" w:rsidRPr="00057B18" w:rsidRDefault="00E56335" w:rsidP="00E56335">
      <w:pPr>
        <w:pStyle w:val="enumlev1"/>
        <w:rPr>
          <w:rFonts w:asciiTheme="majorBidi" w:hAnsiTheme="majorBidi" w:cstheme="majorBidi"/>
          <w:szCs w:val="22"/>
        </w:rPr>
      </w:pPr>
      <w:r w:rsidRPr="00057B18">
        <w:rPr>
          <w:rFonts w:asciiTheme="majorBidi" w:hAnsiTheme="majorBidi" w:cstheme="majorBidi"/>
          <w:szCs w:val="22"/>
        </w:rPr>
        <w:t>21.2</w:t>
      </w:r>
      <w:r w:rsidRPr="00057B18">
        <w:rPr>
          <w:rFonts w:asciiTheme="majorBidi" w:hAnsiTheme="majorBidi" w:cstheme="majorBidi"/>
          <w:szCs w:val="22"/>
        </w:rPr>
        <w:tab/>
        <w:t xml:space="preserve">The annual fees for each Coastal ship </w:t>
      </w:r>
      <w:r w:rsidRPr="00057B18">
        <w:rPr>
          <w:rFonts w:asciiTheme="majorBidi" w:hAnsiTheme="majorBidi" w:cstheme="majorBidi"/>
          <w:color w:val="000000"/>
          <w:szCs w:val="22"/>
        </w:rPr>
        <w:t xml:space="preserve">(within domestic water and without MMSI) </w:t>
      </w:r>
      <w:r w:rsidRPr="00057B18">
        <w:rPr>
          <w:rFonts w:asciiTheme="majorBidi" w:hAnsiTheme="majorBidi" w:cstheme="majorBidi"/>
          <w:szCs w:val="22"/>
        </w:rPr>
        <w:t xml:space="preserve">license shall be Five Hundred and Fifty (550) Dirhams. </w:t>
      </w:r>
    </w:p>
    <w:p w:rsidR="00E56335" w:rsidRPr="00057B18" w:rsidRDefault="00E56335" w:rsidP="00E56335">
      <w:pPr>
        <w:pStyle w:val="enumlev1"/>
        <w:rPr>
          <w:rFonts w:asciiTheme="majorBidi" w:hAnsiTheme="majorBidi" w:cstheme="majorBidi"/>
          <w:szCs w:val="22"/>
        </w:rPr>
      </w:pPr>
      <w:r w:rsidRPr="00057B18">
        <w:rPr>
          <w:rFonts w:asciiTheme="majorBidi" w:hAnsiTheme="majorBidi" w:cstheme="majorBidi"/>
          <w:szCs w:val="22"/>
        </w:rPr>
        <w:t>21.3</w:t>
      </w:r>
      <w:r w:rsidRPr="00057B18">
        <w:rPr>
          <w:rFonts w:asciiTheme="majorBidi" w:hAnsiTheme="majorBidi" w:cstheme="majorBidi"/>
          <w:szCs w:val="22"/>
        </w:rPr>
        <w:tab/>
        <w:t xml:space="preserve">The annual fees for each Ship </w:t>
      </w:r>
      <w:r w:rsidRPr="00057B18">
        <w:rPr>
          <w:rFonts w:asciiTheme="majorBidi" w:hAnsiTheme="majorBidi" w:cstheme="majorBidi"/>
          <w:color w:val="000000"/>
          <w:szCs w:val="22"/>
        </w:rPr>
        <w:t xml:space="preserve">(goes outside domestic water and with MMSI) </w:t>
      </w:r>
      <w:r w:rsidRPr="00057B18">
        <w:rPr>
          <w:rFonts w:asciiTheme="majorBidi" w:hAnsiTheme="majorBidi" w:cstheme="majorBidi"/>
          <w:szCs w:val="22"/>
        </w:rPr>
        <w:t xml:space="preserve">license shall be One Thousand (1000) Dirhams. </w:t>
      </w:r>
    </w:p>
    <w:p w:rsidR="00E56335" w:rsidRDefault="00E56335" w:rsidP="00E56335">
      <w:pPr>
        <w:tabs>
          <w:tab w:val="clear" w:pos="794"/>
          <w:tab w:val="clear" w:pos="1191"/>
          <w:tab w:val="clear" w:pos="1588"/>
          <w:tab w:val="clear" w:pos="1985"/>
        </w:tabs>
        <w:overflowPunct/>
        <w:autoSpaceDE/>
        <w:autoSpaceDN/>
        <w:adjustRightInd/>
        <w:spacing w:before="0"/>
        <w:jc w:val="left"/>
        <w:textAlignment w:val="auto"/>
        <w:rPr>
          <w:b/>
          <w:sz w:val="28"/>
        </w:rPr>
      </w:pPr>
      <w:r>
        <w:br w:type="page"/>
      </w:r>
    </w:p>
    <w:p w:rsidR="00E56335" w:rsidRPr="00F50942" w:rsidRDefault="00E56335" w:rsidP="00E56335">
      <w:pPr>
        <w:pStyle w:val="Arttitle"/>
        <w:spacing w:before="400"/>
      </w:pPr>
      <w:bookmarkStart w:id="322" w:name="_Toc280261844"/>
      <w:bookmarkStart w:id="323" w:name="_Toc280262342"/>
      <w:bookmarkStart w:id="324" w:name="_Toc280272736"/>
      <w:bookmarkStart w:id="325" w:name="_Toc280272915"/>
      <w:r>
        <w:lastRenderedPageBreak/>
        <w:t>Article 22</w:t>
      </w:r>
      <w:r>
        <w:br/>
      </w:r>
      <w:r>
        <w:br/>
      </w:r>
      <w:bookmarkStart w:id="326" w:name="_Toc199215045"/>
      <w:r w:rsidRPr="00F50942">
        <w:t>Spectrum Fees for Space Services and Ancillary</w:t>
      </w:r>
      <w:bookmarkEnd w:id="322"/>
      <w:bookmarkEnd w:id="323"/>
      <w:bookmarkEnd w:id="324"/>
      <w:bookmarkEnd w:id="325"/>
      <w:bookmarkEnd w:id="326"/>
    </w:p>
    <w:p w:rsidR="00E56335" w:rsidRPr="00285EB6" w:rsidRDefault="00E56335" w:rsidP="00E56335">
      <w:pPr>
        <w:pStyle w:val="enumlev1"/>
        <w:rPr>
          <w:rFonts w:asciiTheme="majorBidi" w:hAnsiTheme="majorBidi" w:cstheme="majorBidi"/>
          <w:szCs w:val="22"/>
        </w:rPr>
      </w:pPr>
      <w:r w:rsidRPr="00285EB6">
        <w:rPr>
          <w:rFonts w:asciiTheme="majorBidi" w:hAnsiTheme="majorBidi" w:cstheme="majorBidi"/>
          <w:szCs w:val="22"/>
        </w:rPr>
        <w:t>22.1</w:t>
      </w:r>
      <w:r w:rsidRPr="00285EB6">
        <w:rPr>
          <w:rFonts w:asciiTheme="majorBidi" w:hAnsiTheme="majorBidi" w:cstheme="majorBidi"/>
          <w:szCs w:val="22"/>
        </w:rPr>
        <w:tab/>
        <w:t xml:space="preserve">The annual fees for each VSAT shall be five thousand (5000) Dirhams. </w:t>
      </w:r>
    </w:p>
    <w:p w:rsidR="00E56335" w:rsidRPr="00285EB6" w:rsidRDefault="00E56335" w:rsidP="00E56335">
      <w:pPr>
        <w:pStyle w:val="enumlev1"/>
        <w:rPr>
          <w:rFonts w:asciiTheme="majorBidi" w:hAnsiTheme="majorBidi" w:cstheme="majorBidi"/>
          <w:szCs w:val="22"/>
        </w:rPr>
      </w:pPr>
      <w:r w:rsidRPr="00285EB6">
        <w:rPr>
          <w:rFonts w:asciiTheme="majorBidi" w:hAnsiTheme="majorBidi" w:cstheme="majorBidi"/>
          <w:szCs w:val="22"/>
        </w:rPr>
        <w:t>22.2</w:t>
      </w:r>
      <w:r w:rsidRPr="00285EB6">
        <w:rPr>
          <w:rFonts w:asciiTheme="majorBidi" w:hAnsiTheme="majorBidi" w:cstheme="majorBidi"/>
          <w:szCs w:val="22"/>
        </w:rPr>
        <w:tab/>
        <w:t xml:space="preserve">The annual fees for each Earth Station antenna shall be fifty thousand (50000) Dirhams. </w:t>
      </w:r>
    </w:p>
    <w:p w:rsidR="00E56335" w:rsidRPr="00285EB6" w:rsidRDefault="00E56335" w:rsidP="00E56335">
      <w:pPr>
        <w:pStyle w:val="enumlev1"/>
        <w:rPr>
          <w:rFonts w:asciiTheme="majorBidi" w:hAnsiTheme="majorBidi" w:cstheme="majorBidi"/>
          <w:szCs w:val="22"/>
        </w:rPr>
      </w:pPr>
      <w:r w:rsidRPr="00285EB6">
        <w:rPr>
          <w:rFonts w:asciiTheme="majorBidi" w:hAnsiTheme="majorBidi" w:cstheme="majorBidi"/>
          <w:szCs w:val="22"/>
        </w:rPr>
        <w:t>22.3</w:t>
      </w:r>
      <w:r w:rsidRPr="00285EB6">
        <w:rPr>
          <w:rFonts w:asciiTheme="majorBidi" w:hAnsiTheme="majorBidi" w:cstheme="majorBidi"/>
          <w:szCs w:val="22"/>
        </w:rPr>
        <w:tab/>
        <w:t xml:space="preserve">The TVRO (Television receive only) shall not be charged. </w:t>
      </w:r>
    </w:p>
    <w:p w:rsidR="00E56335" w:rsidRPr="00285EB6" w:rsidRDefault="00E56335" w:rsidP="00E56335">
      <w:pPr>
        <w:pStyle w:val="enumlev1"/>
        <w:rPr>
          <w:rFonts w:asciiTheme="majorBidi" w:hAnsiTheme="majorBidi" w:cstheme="majorBidi"/>
          <w:szCs w:val="22"/>
        </w:rPr>
      </w:pPr>
      <w:r w:rsidRPr="00285EB6">
        <w:rPr>
          <w:rFonts w:asciiTheme="majorBidi" w:hAnsiTheme="majorBidi" w:cstheme="majorBidi"/>
          <w:szCs w:val="22"/>
        </w:rPr>
        <w:t>22.4</w:t>
      </w:r>
      <w:r w:rsidRPr="00285EB6">
        <w:rPr>
          <w:rFonts w:asciiTheme="majorBidi" w:hAnsiTheme="majorBidi" w:cstheme="majorBidi"/>
          <w:szCs w:val="22"/>
        </w:rPr>
        <w:tab/>
        <w:t>The annual fees for each DSNG shall be five thousand (5000) Dirhams.</w:t>
      </w:r>
    </w:p>
    <w:p w:rsidR="00E56335" w:rsidRPr="00285EB6" w:rsidRDefault="00E56335" w:rsidP="00E56335">
      <w:pPr>
        <w:pStyle w:val="enumlev1"/>
        <w:rPr>
          <w:rFonts w:asciiTheme="majorBidi" w:hAnsiTheme="majorBidi" w:cstheme="majorBidi"/>
          <w:szCs w:val="22"/>
        </w:rPr>
      </w:pPr>
      <w:r w:rsidRPr="00285EB6">
        <w:rPr>
          <w:rFonts w:asciiTheme="majorBidi" w:hAnsiTheme="majorBidi" w:cstheme="majorBidi"/>
          <w:szCs w:val="22"/>
        </w:rPr>
        <w:t>22.5</w:t>
      </w:r>
      <w:r w:rsidRPr="00285EB6">
        <w:rPr>
          <w:rFonts w:asciiTheme="majorBidi" w:hAnsiTheme="majorBidi" w:cstheme="majorBidi"/>
          <w:szCs w:val="22"/>
        </w:rPr>
        <w:tab/>
        <w:t>The annual Spectrum Fees for offering Aeronautical Mobile Satellite service shall be ten thousand (10000) Dirhams.</w:t>
      </w:r>
    </w:p>
    <w:p w:rsidR="00E56335" w:rsidRPr="00285EB6" w:rsidRDefault="00E56335" w:rsidP="00E56335">
      <w:pPr>
        <w:pStyle w:val="enumlev1"/>
        <w:rPr>
          <w:rFonts w:asciiTheme="majorBidi" w:hAnsiTheme="majorBidi" w:cstheme="majorBidi"/>
          <w:szCs w:val="22"/>
        </w:rPr>
      </w:pPr>
      <w:r w:rsidRPr="00285EB6">
        <w:rPr>
          <w:rFonts w:asciiTheme="majorBidi" w:hAnsiTheme="majorBidi" w:cstheme="majorBidi"/>
          <w:szCs w:val="22"/>
        </w:rPr>
        <w:t>22.6</w:t>
      </w:r>
      <w:r w:rsidRPr="00285EB6">
        <w:rPr>
          <w:rFonts w:asciiTheme="majorBidi" w:hAnsiTheme="majorBidi" w:cstheme="majorBidi"/>
          <w:szCs w:val="22"/>
        </w:rPr>
        <w:tab/>
        <w:t>The annual Spectrum Fees for offering Maritime Mobile Satellite service shall be ten thousand (10000) Dirhams.</w:t>
      </w:r>
    </w:p>
    <w:p w:rsidR="00E56335" w:rsidRPr="00285EB6" w:rsidRDefault="00E56335" w:rsidP="00E56335">
      <w:pPr>
        <w:pStyle w:val="enumlev1"/>
        <w:rPr>
          <w:rFonts w:asciiTheme="majorBidi" w:hAnsiTheme="majorBidi" w:cstheme="majorBidi"/>
          <w:szCs w:val="22"/>
        </w:rPr>
      </w:pPr>
      <w:r w:rsidRPr="00285EB6">
        <w:rPr>
          <w:rFonts w:asciiTheme="majorBidi" w:hAnsiTheme="majorBidi" w:cstheme="majorBidi"/>
          <w:szCs w:val="22"/>
        </w:rPr>
        <w:t>22.7</w:t>
      </w:r>
      <w:r w:rsidRPr="00285EB6">
        <w:rPr>
          <w:rFonts w:asciiTheme="majorBidi" w:hAnsiTheme="majorBidi" w:cstheme="majorBidi"/>
          <w:szCs w:val="22"/>
        </w:rPr>
        <w:tab/>
        <w:t>The annual Spectrum Fees for offering Earth Exploration Satellite service shall be ten thousand (10000) Dirhams.</w:t>
      </w:r>
    </w:p>
    <w:p w:rsidR="00E56335" w:rsidRPr="00285EB6" w:rsidRDefault="00E56335" w:rsidP="00E56335">
      <w:pPr>
        <w:pStyle w:val="enumlev1"/>
        <w:rPr>
          <w:rFonts w:asciiTheme="majorBidi" w:hAnsiTheme="majorBidi" w:cstheme="majorBidi"/>
          <w:szCs w:val="22"/>
        </w:rPr>
      </w:pPr>
      <w:r w:rsidRPr="00285EB6">
        <w:rPr>
          <w:rFonts w:asciiTheme="majorBidi" w:hAnsiTheme="majorBidi" w:cstheme="majorBidi"/>
          <w:szCs w:val="22"/>
        </w:rPr>
        <w:t>22.8</w:t>
      </w:r>
      <w:r w:rsidRPr="00285EB6">
        <w:rPr>
          <w:rFonts w:asciiTheme="majorBidi" w:hAnsiTheme="majorBidi" w:cstheme="majorBidi"/>
          <w:szCs w:val="22"/>
        </w:rPr>
        <w:tab/>
        <w:t>The annual Spectrum Fees for HAPS shall be determined by the TRA based on the purpose of use.</w:t>
      </w:r>
    </w:p>
    <w:p w:rsidR="00E56335" w:rsidRPr="00F50942" w:rsidRDefault="00E56335" w:rsidP="00E56335">
      <w:pPr>
        <w:pStyle w:val="Arttitle"/>
        <w:spacing w:before="400"/>
      </w:pPr>
      <w:bookmarkStart w:id="327" w:name="_Toc280261845"/>
      <w:bookmarkStart w:id="328" w:name="_Toc280262343"/>
      <w:bookmarkStart w:id="329" w:name="_Toc280272737"/>
      <w:bookmarkStart w:id="330" w:name="_Toc280272916"/>
      <w:r>
        <w:t>Article 23</w:t>
      </w:r>
      <w:r>
        <w:br/>
      </w:r>
      <w:r>
        <w:br/>
      </w:r>
      <w:bookmarkStart w:id="331" w:name="_Toc199215046"/>
      <w:r w:rsidRPr="00F50942">
        <w:t>Spectrum Fees for Radionavigation stations</w:t>
      </w:r>
      <w:bookmarkEnd w:id="327"/>
      <w:bookmarkEnd w:id="328"/>
      <w:bookmarkEnd w:id="329"/>
      <w:bookmarkEnd w:id="330"/>
      <w:bookmarkEnd w:id="331"/>
    </w:p>
    <w:p w:rsidR="00E56335" w:rsidRPr="00F50942" w:rsidRDefault="00E56335" w:rsidP="00E56335">
      <w:pPr>
        <w:rPr>
          <w:color w:val="000000"/>
          <w:szCs w:val="19"/>
        </w:rPr>
      </w:pPr>
      <w:r w:rsidRPr="00F50942">
        <w:rPr>
          <w:szCs w:val="19"/>
        </w:rPr>
        <w:t>The annual fees for each Radionavigation Station shall be One thousand (1000) Dirhams.</w:t>
      </w:r>
    </w:p>
    <w:p w:rsidR="00E56335" w:rsidRPr="00F50942" w:rsidRDefault="00E56335" w:rsidP="00E56335">
      <w:pPr>
        <w:pStyle w:val="Arttitle"/>
        <w:spacing w:before="400"/>
      </w:pPr>
      <w:bookmarkStart w:id="332" w:name="_Toc280261846"/>
      <w:bookmarkStart w:id="333" w:name="_Toc280262344"/>
      <w:bookmarkStart w:id="334" w:name="_Toc280272738"/>
      <w:bookmarkStart w:id="335" w:name="_Toc280272917"/>
      <w:r>
        <w:t>Article 24</w:t>
      </w:r>
      <w:r>
        <w:br/>
      </w:r>
      <w:r>
        <w:br/>
      </w:r>
      <w:bookmarkStart w:id="336" w:name="_Toc199215047"/>
      <w:r w:rsidRPr="00F50942">
        <w:t>Spectrum Fees for Radio Astronomy stations</w:t>
      </w:r>
      <w:bookmarkEnd w:id="332"/>
      <w:bookmarkEnd w:id="333"/>
      <w:bookmarkEnd w:id="334"/>
      <w:bookmarkEnd w:id="335"/>
      <w:bookmarkEnd w:id="336"/>
    </w:p>
    <w:p w:rsidR="00E56335" w:rsidRPr="00F50942" w:rsidRDefault="00E56335" w:rsidP="00E56335">
      <w:pPr>
        <w:rPr>
          <w:color w:val="000000"/>
          <w:szCs w:val="19"/>
        </w:rPr>
      </w:pPr>
      <w:r w:rsidRPr="00F50942">
        <w:rPr>
          <w:szCs w:val="19"/>
        </w:rPr>
        <w:t>The annual fees for each Radio Astronomy Station shall be five hundred (500) Dirhams.</w:t>
      </w:r>
    </w:p>
    <w:p w:rsidR="00E56335" w:rsidRPr="00F50942" w:rsidRDefault="00E56335" w:rsidP="00E56335">
      <w:pPr>
        <w:pStyle w:val="Arttitle"/>
        <w:spacing w:before="400"/>
      </w:pPr>
      <w:bookmarkStart w:id="337" w:name="_Toc280261847"/>
      <w:bookmarkStart w:id="338" w:name="_Toc280262345"/>
      <w:bookmarkStart w:id="339" w:name="_Toc280272739"/>
      <w:bookmarkStart w:id="340" w:name="_Toc280272918"/>
      <w:r>
        <w:t>Article 25</w:t>
      </w:r>
      <w:r>
        <w:br/>
      </w:r>
      <w:r>
        <w:br/>
      </w:r>
      <w:bookmarkStart w:id="341" w:name="_Toc199215048"/>
      <w:r w:rsidRPr="00F50942">
        <w:t>Spectrum Fees for Radiolocation stations</w:t>
      </w:r>
      <w:bookmarkEnd w:id="337"/>
      <w:bookmarkEnd w:id="338"/>
      <w:bookmarkEnd w:id="339"/>
      <w:bookmarkEnd w:id="340"/>
      <w:bookmarkEnd w:id="341"/>
    </w:p>
    <w:p w:rsidR="00E56335" w:rsidRPr="00F50942" w:rsidRDefault="00E56335" w:rsidP="00E56335">
      <w:pPr>
        <w:rPr>
          <w:color w:val="000000"/>
          <w:szCs w:val="19"/>
        </w:rPr>
      </w:pPr>
      <w:r w:rsidRPr="00F50942">
        <w:rPr>
          <w:szCs w:val="19"/>
        </w:rPr>
        <w:t>The annual fees for each maritime coastal radar, weather radar, ground based radar, aeronautical surveillance, approach control, oceanic, surface movement and tracking shall be five thousand (5000) Dirhams.</w:t>
      </w:r>
    </w:p>
    <w:p w:rsidR="00E56335" w:rsidRPr="00F50942" w:rsidRDefault="00E56335" w:rsidP="00E56335">
      <w:pPr>
        <w:pStyle w:val="Arttitle"/>
        <w:spacing w:before="400"/>
      </w:pPr>
      <w:bookmarkStart w:id="342" w:name="_Toc280261848"/>
      <w:bookmarkStart w:id="343" w:name="_Toc280262346"/>
      <w:bookmarkStart w:id="344" w:name="_Toc280272740"/>
      <w:bookmarkStart w:id="345" w:name="_Toc280272919"/>
      <w:r>
        <w:t>Article 26</w:t>
      </w:r>
      <w:r>
        <w:br/>
      </w:r>
      <w:r>
        <w:br/>
      </w:r>
      <w:bookmarkStart w:id="346" w:name="_Toc199215049"/>
      <w:r w:rsidRPr="00F50942">
        <w:t>Spectrum Fees for Broadcasting Service</w:t>
      </w:r>
      <w:bookmarkEnd w:id="342"/>
      <w:bookmarkEnd w:id="343"/>
      <w:bookmarkEnd w:id="344"/>
      <w:bookmarkEnd w:id="345"/>
      <w:bookmarkEnd w:id="346"/>
    </w:p>
    <w:p w:rsidR="00E56335" w:rsidRPr="003A3389" w:rsidRDefault="00E56335" w:rsidP="00E56335">
      <w:pPr>
        <w:pStyle w:val="enumlev1"/>
        <w:rPr>
          <w:rFonts w:asciiTheme="majorBidi" w:hAnsiTheme="majorBidi" w:cstheme="majorBidi"/>
          <w:szCs w:val="22"/>
        </w:rPr>
      </w:pPr>
      <w:bookmarkStart w:id="347" w:name="_Toc195057825"/>
      <w:r w:rsidRPr="003A3389">
        <w:rPr>
          <w:rFonts w:asciiTheme="majorBidi" w:hAnsiTheme="majorBidi" w:cstheme="majorBidi"/>
          <w:szCs w:val="22"/>
        </w:rPr>
        <w:t>26.1</w:t>
      </w:r>
      <w:r w:rsidRPr="003A3389">
        <w:rPr>
          <w:rFonts w:asciiTheme="majorBidi" w:hAnsiTheme="majorBidi" w:cstheme="majorBidi"/>
          <w:szCs w:val="22"/>
        </w:rPr>
        <w:tab/>
        <w:t>Terrestrial Radio and Television Broadcasting</w:t>
      </w:r>
      <w:bookmarkEnd w:id="347"/>
    </w:p>
    <w:p w:rsidR="00E56335" w:rsidRPr="003A3389" w:rsidRDefault="00E56335" w:rsidP="00E56335">
      <w:pPr>
        <w:pStyle w:val="enumlev1"/>
        <w:rPr>
          <w:rFonts w:asciiTheme="majorBidi" w:hAnsiTheme="majorBidi" w:cstheme="majorBidi"/>
          <w:b/>
          <w:szCs w:val="22"/>
        </w:rPr>
      </w:pPr>
      <w:r w:rsidRPr="003A3389">
        <w:rPr>
          <w:rFonts w:asciiTheme="majorBidi" w:hAnsiTheme="majorBidi" w:cstheme="majorBidi"/>
          <w:szCs w:val="22"/>
        </w:rPr>
        <w:tab/>
        <w:t>Annual fees of Radio Spectrum Authorization for an individual Broadcasting Station shall be calculated as follows:-</w:t>
      </w:r>
    </w:p>
    <w:p w:rsidR="00E56335" w:rsidRPr="00F50942" w:rsidRDefault="00E56335" w:rsidP="00E56335">
      <w:pPr>
        <w:suppressAutoHyphens/>
        <w:ind w:left="851"/>
        <w:rPr>
          <w:b/>
          <w:szCs w:val="19"/>
        </w:rPr>
      </w:pPr>
      <w:r w:rsidRPr="00F50942">
        <w:rPr>
          <w:b/>
          <w:szCs w:val="19"/>
        </w:rPr>
        <w:tab/>
        <w:t>Spectrum Fees (per Station) = A + B * C * D * E * F</w:t>
      </w:r>
    </w:p>
    <w:p w:rsidR="00E56335" w:rsidRPr="00F50942" w:rsidRDefault="00E56335" w:rsidP="00E56335">
      <w:pPr>
        <w:tabs>
          <w:tab w:val="left" w:pos="851"/>
        </w:tabs>
        <w:ind w:left="851"/>
        <w:rPr>
          <w:szCs w:val="19"/>
        </w:rPr>
      </w:pPr>
      <w:r w:rsidRPr="00F50942">
        <w:rPr>
          <w:b/>
          <w:szCs w:val="19"/>
        </w:rPr>
        <w:tab/>
        <w:t xml:space="preserve">A = Basic Fee = </w:t>
      </w:r>
      <w:r w:rsidRPr="00F50942">
        <w:rPr>
          <w:szCs w:val="19"/>
        </w:rPr>
        <w:t>30,000 AED.</w:t>
      </w:r>
    </w:p>
    <w:p w:rsidR="00E56335" w:rsidRPr="00F50942" w:rsidRDefault="00E56335" w:rsidP="00E56335">
      <w:pPr>
        <w:ind w:left="1191" w:hanging="1191"/>
        <w:rPr>
          <w:szCs w:val="19"/>
        </w:rPr>
      </w:pPr>
      <w:r w:rsidRPr="00F50942">
        <w:rPr>
          <w:b/>
          <w:szCs w:val="19"/>
        </w:rPr>
        <w:lastRenderedPageBreak/>
        <w:tab/>
      </w:r>
      <w:r w:rsidRPr="00F50942">
        <w:rPr>
          <w:b/>
          <w:szCs w:val="19"/>
        </w:rPr>
        <w:tab/>
        <w:t>Note:</w:t>
      </w:r>
      <w:r w:rsidRPr="00F50942">
        <w:rPr>
          <w:szCs w:val="19"/>
        </w:rPr>
        <w:t xml:space="preserve"> In case of using Single Frequency Network (SFN) the complete network shall be treated as one single transmitter and the Basic Fee shall be charged once for that SFN whereas the remaining part of Spectrum Fees shall be charged per station.</w:t>
      </w:r>
    </w:p>
    <w:p w:rsidR="00E56335" w:rsidRPr="00F50942" w:rsidRDefault="00E56335" w:rsidP="00E56335">
      <w:pPr>
        <w:ind w:left="1191" w:hanging="1191"/>
        <w:rPr>
          <w:szCs w:val="19"/>
        </w:rPr>
      </w:pPr>
      <w:r w:rsidRPr="00F50942">
        <w:rPr>
          <w:b/>
          <w:szCs w:val="19"/>
        </w:rPr>
        <w:tab/>
      </w:r>
      <w:r w:rsidRPr="00F50942">
        <w:rPr>
          <w:b/>
          <w:szCs w:val="19"/>
        </w:rPr>
        <w:tab/>
        <w:t xml:space="preserve">B = Power Factor </w:t>
      </w:r>
      <w:r w:rsidRPr="00F50942">
        <w:rPr>
          <w:szCs w:val="19"/>
        </w:rPr>
        <w:t xml:space="preserve">= The power, expressed in kilowatts [kW] equals the </w:t>
      </w:r>
      <w:r w:rsidRPr="00F50942">
        <w:rPr>
          <w:szCs w:val="19"/>
        </w:rPr>
        <w:tab/>
        <w:t xml:space="preserve">transmitter output power (in case of LW, MW  or SW transmissions) and effective </w:t>
      </w:r>
      <w:r w:rsidRPr="00F50942">
        <w:rPr>
          <w:szCs w:val="19"/>
        </w:rPr>
        <w:tab/>
        <w:t>radiated power (ERP) in all other cases.</w:t>
      </w:r>
    </w:p>
    <w:p w:rsidR="00E56335" w:rsidRPr="00F50942" w:rsidRDefault="00E56335" w:rsidP="00E56335">
      <w:pPr>
        <w:rPr>
          <w:szCs w:val="19"/>
        </w:rPr>
      </w:pPr>
      <w:r w:rsidRPr="00F50942">
        <w:rPr>
          <w:szCs w:val="19"/>
        </w:rPr>
        <w:tab/>
      </w:r>
      <w:r w:rsidRPr="00F50942">
        <w:rPr>
          <w:szCs w:val="19"/>
        </w:rPr>
        <w:tab/>
      </w:r>
      <w:r w:rsidRPr="00F50942">
        <w:rPr>
          <w:b/>
          <w:szCs w:val="19"/>
        </w:rPr>
        <w:t xml:space="preserve">C = Service Type Factor </w:t>
      </w:r>
      <w:r w:rsidRPr="00F50942">
        <w:rPr>
          <w:szCs w:val="19"/>
        </w:rPr>
        <w:t xml:space="preserve">as follows: </w:t>
      </w:r>
    </w:p>
    <w:p w:rsidR="00E56335" w:rsidRDefault="00E56335" w:rsidP="00E56335">
      <w:pPr>
        <w:rPr>
          <w:szCs w:val="19"/>
        </w:rPr>
      </w:pPr>
    </w:p>
    <w:p w:rsidR="00E56335" w:rsidRDefault="00E56335" w:rsidP="00E56335">
      <w:pPr>
        <w:pStyle w:val="FigureTitle"/>
      </w:pPr>
      <w:bookmarkStart w:id="348" w:name="_Toc195057726"/>
      <w:r w:rsidRPr="00F50942">
        <w:t xml:space="preserve">Table </w:t>
      </w:r>
      <w:fldSimple w:instr=" SEQ Figure \* ARABIC ">
        <w:r>
          <w:rPr>
            <w:noProof/>
          </w:rPr>
          <w:t>1</w:t>
        </w:r>
      </w:fldSimple>
      <w:r w:rsidRPr="00F50942">
        <w:t xml:space="preserve"> – Definition of Service Type Factors (C) for </w:t>
      </w:r>
      <w:bookmarkEnd w:id="348"/>
      <w:r w:rsidRPr="00F50942">
        <w:t>Sound Broadcasting Services</w:t>
      </w:r>
    </w:p>
    <w:p w:rsidR="00E56335" w:rsidRPr="00D018D4" w:rsidRDefault="00E56335" w:rsidP="00E56335">
      <w:pPr>
        <w:rPr>
          <w:lang w:val="en-US"/>
        </w:rPr>
      </w:pPr>
    </w:p>
    <w:tbl>
      <w:tblPr>
        <w:tblW w:w="0" w:type="auto"/>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2"/>
        <w:gridCol w:w="2496"/>
        <w:gridCol w:w="1620"/>
        <w:gridCol w:w="1829"/>
      </w:tblGrid>
      <w:tr w:rsidR="00E56335" w:rsidRPr="00F50942" w:rsidTr="00015D4C">
        <w:trPr>
          <w:trHeight w:val="397"/>
          <w:jc w:val="center"/>
        </w:trPr>
        <w:tc>
          <w:tcPr>
            <w:tcW w:w="7517" w:type="dxa"/>
            <w:gridSpan w:val="4"/>
            <w:tcBorders>
              <w:bottom w:val="single" w:sz="4" w:space="0" w:color="auto"/>
            </w:tcBorders>
            <w:shd w:val="clear" w:color="auto" w:fill="E6E6E6"/>
            <w:vAlign w:val="center"/>
          </w:tcPr>
          <w:p w:rsidR="00E56335" w:rsidRPr="00B5798C" w:rsidRDefault="00E56335" w:rsidP="00015D4C">
            <w:pPr>
              <w:pStyle w:val="Tablehead"/>
              <w:rPr>
                <w:rFonts w:asciiTheme="majorBidi" w:hAnsiTheme="majorBidi" w:cstheme="majorBidi"/>
                <w:szCs w:val="22"/>
              </w:rPr>
            </w:pPr>
            <w:r w:rsidRPr="00B5798C">
              <w:rPr>
                <w:rFonts w:asciiTheme="majorBidi" w:hAnsiTheme="majorBidi" w:cstheme="majorBidi"/>
                <w:szCs w:val="22"/>
              </w:rPr>
              <w:t>Sound Broadcasting Service</w:t>
            </w:r>
          </w:p>
        </w:tc>
      </w:tr>
      <w:tr w:rsidR="00E56335" w:rsidRPr="00F50942" w:rsidTr="00015D4C">
        <w:trPr>
          <w:trHeight w:val="397"/>
          <w:jc w:val="center"/>
        </w:trPr>
        <w:tc>
          <w:tcPr>
            <w:tcW w:w="1572" w:type="dxa"/>
            <w:shd w:val="clear" w:color="auto" w:fill="E6E6E6"/>
            <w:vAlign w:val="center"/>
          </w:tcPr>
          <w:p w:rsidR="00E56335" w:rsidRPr="00B5798C" w:rsidRDefault="00E56335" w:rsidP="00015D4C">
            <w:pPr>
              <w:pStyle w:val="Tablehead"/>
              <w:rPr>
                <w:rFonts w:asciiTheme="majorBidi" w:hAnsiTheme="majorBidi" w:cstheme="majorBidi"/>
                <w:szCs w:val="22"/>
              </w:rPr>
            </w:pPr>
            <w:r w:rsidRPr="00B5798C">
              <w:rPr>
                <w:rFonts w:asciiTheme="majorBidi" w:hAnsiTheme="majorBidi" w:cstheme="majorBidi"/>
                <w:szCs w:val="22"/>
              </w:rPr>
              <w:t>Service Type</w:t>
            </w:r>
          </w:p>
        </w:tc>
        <w:tc>
          <w:tcPr>
            <w:tcW w:w="2496" w:type="dxa"/>
            <w:shd w:val="clear" w:color="auto" w:fill="E6E6E6"/>
            <w:vAlign w:val="center"/>
          </w:tcPr>
          <w:p w:rsidR="00E56335" w:rsidRPr="00B5798C" w:rsidRDefault="00E56335" w:rsidP="00015D4C">
            <w:pPr>
              <w:pStyle w:val="Tablehead"/>
              <w:rPr>
                <w:rFonts w:asciiTheme="majorBidi" w:hAnsiTheme="majorBidi" w:cstheme="majorBidi"/>
                <w:szCs w:val="22"/>
              </w:rPr>
            </w:pPr>
            <w:r w:rsidRPr="00B5798C">
              <w:rPr>
                <w:rFonts w:asciiTheme="majorBidi" w:hAnsiTheme="majorBidi" w:cstheme="majorBidi"/>
                <w:szCs w:val="22"/>
              </w:rPr>
              <w:t>Frequency Range</w:t>
            </w:r>
          </w:p>
        </w:tc>
        <w:tc>
          <w:tcPr>
            <w:tcW w:w="1620" w:type="dxa"/>
            <w:shd w:val="clear" w:color="auto" w:fill="E6E6E6"/>
            <w:vAlign w:val="center"/>
          </w:tcPr>
          <w:p w:rsidR="00E56335" w:rsidRPr="00B5798C" w:rsidRDefault="00E56335" w:rsidP="00015D4C">
            <w:pPr>
              <w:pStyle w:val="Tablehead"/>
              <w:rPr>
                <w:rFonts w:asciiTheme="majorBidi" w:hAnsiTheme="majorBidi" w:cstheme="majorBidi"/>
                <w:szCs w:val="22"/>
              </w:rPr>
            </w:pPr>
            <w:r w:rsidRPr="00B5798C">
              <w:rPr>
                <w:rFonts w:asciiTheme="majorBidi" w:hAnsiTheme="majorBidi" w:cstheme="majorBidi"/>
                <w:szCs w:val="22"/>
              </w:rPr>
              <w:t>Bandwidth</w:t>
            </w:r>
          </w:p>
        </w:tc>
        <w:tc>
          <w:tcPr>
            <w:tcW w:w="1829" w:type="dxa"/>
            <w:shd w:val="clear" w:color="auto" w:fill="E6E6E6"/>
            <w:vAlign w:val="center"/>
          </w:tcPr>
          <w:p w:rsidR="00E56335" w:rsidRPr="00B5798C" w:rsidRDefault="00E56335" w:rsidP="00015D4C">
            <w:pPr>
              <w:pStyle w:val="Tablehead"/>
              <w:rPr>
                <w:rFonts w:asciiTheme="majorBidi" w:hAnsiTheme="majorBidi" w:cstheme="majorBidi"/>
                <w:szCs w:val="22"/>
              </w:rPr>
            </w:pPr>
            <w:r w:rsidRPr="00B5798C">
              <w:rPr>
                <w:rFonts w:asciiTheme="majorBidi" w:hAnsiTheme="majorBidi" w:cstheme="majorBidi"/>
                <w:szCs w:val="22"/>
              </w:rPr>
              <w:t>Service Type Factor (C)</w:t>
            </w:r>
          </w:p>
        </w:tc>
      </w:tr>
      <w:tr w:rsidR="00E56335" w:rsidRPr="00F50942" w:rsidTr="00015D4C">
        <w:trPr>
          <w:trHeight w:val="368"/>
          <w:jc w:val="center"/>
        </w:trPr>
        <w:tc>
          <w:tcPr>
            <w:tcW w:w="1572" w:type="dxa"/>
            <w:vMerge w:val="restart"/>
          </w:tcPr>
          <w:p w:rsidR="00E56335" w:rsidRPr="00B5798C" w:rsidRDefault="00E56335" w:rsidP="00015D4C">
            <w:pPr>
              <w:pStyle w:val="Tabletext"/>
              <w:jc w:val="center"/>
              <w:rPr>
                <w:rFonts w:asciiTheme="majorBidi" w:hAnsiTheme="majorBidi" w:cstheme="majorBidi"/>
                <w:szCs w:val="22"/>
              </w:rPr>
            </w:pPr>
            <w:r w:rsidRPr="00B5798C">
              <w:rPr>
                <w:rFonts w:asciiTheme="majorBidi" w:hAnsiTheme="majorBidi" w:cstheme="majorBidi"/>
                <w:szCs w:val="22"/>
              </w:rPr>
              <w:br/>
              <w:t>LF/MF</w:t>
            </w:r>
          </w:p>
        </w:tc>
        <w:tc>
          <w:tcPr>
            <w:tcW w:w="2496" w:type="dxa"/>
            <w:shd w:val="clear" w:color="auto" w:fill="auto"/>
          </w:tcPr>
          <w:p w:rsidR="00E56335" w:rsidRPr="00B5798C" w:rsidRDefault="00E56335" w:rsidP="00015D4C">
            <w:pPr>
              <w:pStyle w:val="Tabletext"/>
              <w:jc w:val="center"/>
              <w:rPr>
                <w:rFonts w:asciiTheme="majorBidi" w:hAnsiTheme="majorBidi" w:cstheme="majorBidi"/>
                <w:szCs w:val="22"/>
              </w:rPr>
            </w:pPr>
            <w:r w:rsidRPr="00B5798C">
              <w:rPr>
                <w:rFonts w:asciiTheme="majorBidi" w:hAnsiTheme="majorBidi" w:cstheme="majorBidi"/>
                <w:szCs w:val="22"/>
              </w:rPr>
              <w:t>148.5 – 283.5 kHz</w:t>
            </w:r>
          </w:p>
        </w:tc>
        <w:tc>
          <w:tcPr>
            <w:tcW w:w="1620" w:type="dxa"/>
            <w:shd w:val="clear" w:color="auto" w:fill="auto"/>
          </w:tcPr>
          <w:p w:rsidR="00E56335" w:rsidRPr="00B5798C" w:rsidRDefault="00E56335" w:rsidP="00015D4C">
            <w:pPr>
              <w:pStyle w:val="Tabletext"/>
              <w:jc w:val="center"/>
              <w:rPr>
                <w:rFonts w:asciiTheme="majorBidi" w:hAnsiTheme="majorBidi" w:cstheme="majorBidi"/>
                <w:szCs w:val="22"/>
              </w:rPr>
            </w:pPr>
            <w:r w:rsidRPr="00B5798C">
              <w:rPr>
                <w:rFonts w:asciiTheme="majorBidi" w:hAnsiTheme="majorBidi" w:cstheme="majorBidi"/>
                <w:szCs w:val="22"/>
              </w:rPr>
              <w:t>9 kHz</w:t>
            </w:r>
          </w:p>
        </w:tc>
        <w:tc>
          <w:tcPr>
            <w:tcW w:w="1829" w:type="dxa"/>
            <w:vMerge w:val="restart"/>
            <w:vAlign w:val="center"/>
          </w:tcPr>
          <w:p w:rsidR="00E56335" w:rsidRPr="00B5798C" w:rsidRDefault="00E56335" w:rsidP="00015D4C">
            <w:pPr>
              <w:pStyle w:val="Tabletext"/>
              <w:jc w:val="center"/>
              <w:rPr>
                <w:rFonts w:asciiTheme="majorBidi" w:hAnsiTheme="majorBidi" w:cstheme="majorBidi"/>
                <w:szCs w:val="22"/>
              </w:rPr>
            </w:pPr>
            <w:r w:rsidRPr="00B5798C">
              <w:rPr>
                <w:rFonts w:asciiTheme="majorBidi" w:hAnsiTheme="majorBidi" w:cstheme="majorBidi"/>
                <w:szCs w:val="22"/>
              </w:rPr>
              <w:t>8</w:t>
            </w:r>
          </w:p>
        </w:tc>
      </w:tr>
      <w:tr w:rsidR="00E56335" w:rsidRPr="00F50942" w:rsidTr="00015D4C">
        <w:trPr>
          <w:jc w:val="center"/>
        </w:trPr>
        <w:tc>
          <w:tcPr>
            <w:tcW w:w="1572" w:type="dxa"/>
            <w:vMerge/>
          </w:tcPr>
          <w:p w:rsidR="00E56335" w:rsidRPr="00B5798C" w:rsidRDefault="00E56335" w:rsidP="00015D4C">
            <w:pPr>
              <w:pStyle w:val="Tabletext"/>
              <w:jc w:val="center"/>
              <w:rPr>
                <w:rFonts w:asciiTheme="majorBidi" w:hAnsiTheme="majorBidi" w:cstheme="majorBidi"/>
                <w:szCs w:val="22"/>
              </w:rPr>
            </w:pPr>
          </w:p>
        </w:tc>
        <w:tc>
          <w:tcPr>
            <w:tcW w:w="2496" w:type="dxa"/>
            <w:shd w:val="clear" w:color="auto" w:fill="auto"/>
          </w:tcPr>
          <w:p w:rsidR="00E56335" w:rsidRPr="00B5798C" w:rsidRDefault="00E56335" w:rsidP="00015D4C">
            <w:pPr>
              <w:pStyle w:val="Tabletext"/>
              <w:jc w:val="center"/>
              <w:rPr>
                <w:rFonts w:asciiTheme="majorBidi" w:hAnsiTheme="majorBidi" w:cstheme="majorBidi"/>
                <w:szCs w:val="22"/>
              </w:rPr>
            </w:pPr>
            <w:r w:rsidRPr="00B5798C">
              <w:rPr>
                <w:rFonts w:asciiTheme="majorBidi" w:hAnsiTheme="majorBidi" w:cstheme="majorBidi"/>
                <w:szCs w:val="22"/>
              </w:rPr>
              <w:t>526.5 – 1,606.5 kHz</w:t>
            </w:r>
          </w:p>
        </w:tc>
        <w:tc>
          <w:tcPr>
            <w:tcW w:w="1620" w:type="dxa"/>
            <w:shd w:val="clear" w:color="auto" w:fill="auto"/>
          </w:tcPr>
          <w:p w:rsidR="00E56335" w:rsidRPr="00B5798C" w:rsidRDefault="00E56335" w:rsidP="00015D4C">
            <w:pPr>
              <w:pStyle w:val="Tabletext"/>
              <w:jc w:val="center"/>
              <w:rPr>
                <w:rFonts w:asciiTheme="majorBidi" w:hAnsiTheme="majorBidi" w:cstheme="majorBidi"/>
                <w:szCs w:val="22"/>
              </w:rPr>
            </w:pPr>
            <w:r w:rsidRPr="00B5798C">
              <w:rPr>
                <w:rFonts w:asciiTheme="majorBidi" w:hAnsiTheme="majorBidi" w:cstheme="majorBidi"/>
                <w:szCs w:val="22"/>
              </w:rPr>
              <w:t>9 kHz</w:t>
            </w:r>
          </w:p>
        </w:tc>
        <w:tc>
          <w:tcPr>
            <w:tcW w:w="1829" w:type="dxa"/>
            <w:vMerge/>
            <w:vAlign w:val="center"/>
          </w:tcPr>
          <w:p w:rsidR="00E56335" w:rsidRPr="00B5798C" w:rsidRDefault="00E56335" w:rsidP="00015D4C">
            <w:pPr>
              <w:pStyle w:val="Tabletext"/>
              <w:jc w:val="center"/>
              <w:rPr>
                <w:rFonts w:asciiTheme="majorBidi" w:hAnsiTheme="majorBidi" w:cstheme="majorBidi"/>
                <w:szCs w:val="22"/>
              </w:rPr>
            </w:pPr>
          </w:p>
        </w:tc>
      </w:tr>
      <w:tr w:rsidR="00E56335" w:rsidRPr="00F50942" w:rsidTr="00015D4C">
        <w:trPr>
          <w:trHeight w:val="233"/>
          <w:jc w:val="center"/>
        </w:trPr>
        <w:tc>
          <w:tcPr>
            <w:tcW w:w="1572" w:type="dxa"/>
            <w:vMerge w:val="restart"/>
          </w:tcPr>
          <w:p w:rsidR="00E56335" w:rsidRPr="00B5798C" w:rsidRDefault="00E56335" w:rsidP="00015D4C">
            <w:pPr>
              <w:pStyle w:val="Tabletext"/>
              <w:jc w:val="center"/>
              <w:rPr>
                <w:rFonts w:asciiTheme="majorBidi" w:hAnsiTheme="majorBidi" w:cstheme="majorBidi"/>
                <w:szCs w:val="22"/>
              </w:rPr>
            </w:pPr>
            <w:r w:rsidRPr="00B5798C">
              <w:rPr>
                <w:rFonts w:asciiTheme="majorBidi" w:hAnsiTheme="majorBidi" w:cstheme="majorBidi"/>
                <w:szCs w:val="22"/>
              </w:rPr>
              <w:br/>
              <w:t>VHF</w:t>
            </w:r>
          </w:p>
        </w:tc>
        <w:tc>
          <w:tcPr>
            <w:tcW w:w="2496" w:type="dxa"/>
            <w:shd w:val="clear" w:color="auto" w:fill="auto"/>
          </w:tcPr>
          <w:p w:rsidR="00E56335" w:rsidRPr="00B5798C" w:rsidRDefault="00E56335" w:rsidP="00015D4C">
            <w:pPr>
              <w:pStyle w:val="Tabletext"/>
              <w:jc w:val="center"/>
              <w:rPr>
                <w:rFonts w:asciiTheme="majorBidi" w:hAnsiTheme="majorBidi" w:cstheme="majorBidi"/>
                <w:szCs w:val="22"/>
              </w:rPr>
            </w:pPr>
            <w:r w:rsidRPr="00B5798C">
              <w:rPr>
                <w:rFonts w:asciiTheme="majorBidi" w:hAnsiTheme="majorBidi" w:cstheme="majorBidi"/>
                <w:szCs w:val="22"/>
              </w:rPr>
              <w:t>87.5 – 108 MHz</w:t>
            </w:r>
          </w:p>
        </w:tc>
        <w:tc>
          <w:tcPr>
            <w:tcW w:w="1620" w:type="dxa"/>
            <w:shd w:val="clear" w:color="auto" w:fill="auto"/>
          </w:tcPr>
          <w:p w:rsidR="00E56335" w:rsidRPr="00B5798C" w:rsidRDefault="00E56335" w:rsidP="00015D4C">
            <w:pPr>
              <w:pStyle w:val="Tabletext"/>
              <w:jc w:val="center"/>
              <w:rPr>
                <w:rFonts w:asciiTheme="majorBidi" w:hAnsiTheme="majorBidi" w:cstheme="majorBidi"/>
                <w:szCs w:val="22"/>
              </w:rPr>
            </w:pPr>
            <w:r w:rsidRPr="00B5798C">
              <w:rPr>
                <w:rFonts w:asciiTheme="majorBidi" w:hAnsiTheme="majorBidi" w:cstheme="majorBidi"/>
                <w:szCs w:val="22"/>
              </w:rPr>
              <w:t>200 kHz</w:t>
            </w:r>
          </w:p>
        </w:tc>
        <w:tc>
          <w:tcPr>
            <w:tcW w:w="1829" w:type="dxa"/>
          </w:tcPr>
          <w:p w:rsidR="00E56335" w:rsidRPr="00B5798C" w:rsidRDefault="00E56335" w:rsidP="00015D4C">
            <w:pPr>
              <w:pStyle w:val="Tabletext"/>
              <w:jc w:val="center"/>
              <w:rPr>
                <w:rFonts w:asciiTheme="majorBidi" w:hAnsiTheme="majorBidi" w:cstheme="majorBidi"/>
                <w:szCs w:val="22"/>
              </w:rPr>
            </w:pPr>
            <w:r w:rsidRPr="00B5798C">
              <w:rPr>
                <w:rFonts w:asciiTheme="majorBidi" w:hAnsiTheme="majorBidi" w:cstheme="majorBidi"/>
                <w:szCs w:val="22"/>
              </w:rPr>
              <w:t>16</w:t>
            </w:r>
          </w:p>
        </w:tc>
      </w:tr>
      <w:tr w:rsidR="00E56335" w:rsidRPr="00F50942" w:rsidTr="00015D4C">
        <w:trPr>
          <w:trHeight w:val="305"/>
          <w:jc w:val="center"/>
        </w:trPr>
        <w:tc>
          <w:tcPr>
            <w:tcW w:w="1572" w:type="dxa"/>
            <w:vMerge/>
          </w:tcPr>
          <w:p w:rsidR="00E56335" w:rsidRPr="00F50942" w:rsidDel="00192A8E" w:rsidRDefault="00E56335" w:rsidP="00015D4C">
            <w:pPr>
              <w:pStyle w:val="Tabletext"/>
              <w:jc w:val="center"/>
              <w:rPr>
                <w:rFonts w:ascii="Verdana" w:hAnsi="Verdana"/>
                <w:sz w:val="19"/>
                <w:szCs w:val="19"/>
              </w:rPr>
            </w:pPr>
          </w:p>
        </w:tc>
        <w:tc>
          <w:tcPr>
            <w:tcW w:w="2496" w:type="dxa"/>
            <w:shd w:val="clear" w:color="auto" w:fill="auto"/>
          </w:tcPr>
          <w:p w:rsidR="00E56335" w:rsidRPr="00B5798C" w:rsidRDefault="00E56335" w:rsidP="00015D4C">
            <w:pPr>
              <w:pStyle w:val="Tabletext"/>
              <w:jc w:val="center"/>
              <w:rPr>
                <w:rFonts w:asciiTheme="majorBidi" w:hAnsiTheme="majorBidi" w:cstheme="majorBidi"/>
                <w:szCs w:val="22"/>
              </w:rPr>
            </w:pPr>
            <w:r w:rsidRPr="00B5798C">
              <w:rPr>
                <w:rFonts w:asciiTheme="majorBidi" w:hAnsiTheme="majorBidi" w:cstheme="majorBidi"/>
                <w:szCs w:val="22"/>
              </w:rPr>
              <w:t>174 – 230 MHz</w:t>
            </w:r>
          </w:p>
        </w:tc>
        <w:tc>
          <w:tcPr>
            <w:tcW w:w="1620" w:type="dxa"/>
            <w:shd w:val="clear" w:color="auto" w:fill="auto"/>
          </w:tcPr>
          <w:p w:rsidR="00E56335" w:rsidRPr="00B5798C" w:rsidRDefault="00E56335" w:rsidP="00015D4C">
            <w:pPr>
              <w:pStyle w:val="Tabletext"/>
              <w:jc w:val="center"/>
              <w:rPr>
                <w:rFonts w:asciiTheme="majorBidi" w:hAnsiTheme="majorBidi" w:cstheme="majorBidi"/>
                <w:szCs w:val="22"/>
              </w:rPr>
            </w:pPr>
            <w:r w:rsidRPr="00B5798C">
              <w:rPr>
                <w:rFonts w:asciiTheme="majorBidi" w:hAnsiTheme="majorBidi" w:cstheme="majorBidi"/>
                <w:szCs w:val="22"/>
              </w:rPr>
              <w:t>1.536 MHz</w:t>
            </w:r>
          </w:p>
        </w:tc>
        <w:tc>
          <w:tcPr>
            <w:tcW w:w="1829" w:type="dxa"/>
          </w:tcPr>
          <w:p w:rsidR="00E56335" w:rsidRPr="00B5798C" w:rsidRDefault="00E56335" w:rsidP="00015D4C">
            <w:pPr>
              <w:pStyle w:val="Tabletext"/>
              <w:jc w:val="center"/>
              <w:rPr>
                <w:rFonts w:asciiTheme="majorBidi" w:hAnsiTheme="majorBidi" w:cstheme="majorBidi"/>
                <w:szCs w:val="22"/>
              </w:rPr>
            </w:pPr>
            <w:r w:rsidRPr="00B5798C">
              <w:rPr>
                <w:rFonts w:asciiTheme="majorBidi" w:hAnsiTheme="majorBidi" w:cstheme="majorBidi"/>
                <w:szCs w:val="22"/>
              </w:rPr>
              <w:t>18</w:t>
            </w:r>
          </w:p>
        </w:tc>
      </w:tr>
    </w:tbl>
    <w:p w:rsidR="00E56335" w:rsidRDefault="00E56335" w:rsidP="00E56335">
      <w:pPr>
        <w:pStyle w:val="FigureSource"/>
      </w:pPr>
    </w:p>
    <w:p w:rsidR="00E56335" w:rsidRDefault="00E56335" w:rsidP="00E56335"/>
    <w:p w:rsidR="00E56335" w:rsidRDefault="00E56335" w:rsidP="00E56335">
      <w:pPr>
        <w:pStyle w:val="FigureTitle"/>
      </w:pPr>
      <w:r w:rsidRPr="00F50942">
        <w:t xml:space="preserve">Table </w:t>
      </w:r>
      <w:fldSimple w:instr=" SEQ Figure \* ARABIC ">
        <w:r>
          <w:rPr>
            <w:noProof/>
          </w:rPr>
          <w:t>2</w:t>
        </w:r>
      </w:fldSimple>
      <w:r w:rsidRPr="00F50942">
        <w:t xml:space="preserve"> – Definition of Service Type Factors (C) for TV Broadcasting Services</w:t>
      </w:r>
    </w:p>
    <w:p w:rsidR="00E56335" w:rsidRPr="00B5798C" w:rsidRDefault="00E56335" w:rsidP="00E56335">
      <w:pPr>
        <w:rPr>
          <w:lang w:val="en-US"/>
        </w:rPr>
      </w:pPr>
    </w:p>
    <w:tbl>
      <w:tblPr>
        <w:tblW w:w="0" w:type="auto"/>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9"/>
        <w:gridCol w:w="2568"/>
        <w:gridCol w:w="1443"/>
        <w:gridCol w:w="2117"/>
      </w:tblGrid>
      <w:tr w:rsidR="00E56335" w:rsidRPr="00F50942" w:rsidTr="00015D4C">
        <w:trPr>
          <w:trHeight w:val="397"/>
          <w:jc w:val="center"/>
        </w:trPr>
        <w:tc>
          <w:tcPr>
            <w:tcW w:w="7577" w:type="dxa"/>
            <w:gridSpan w:val="4"/>
            <w:tcBorders>
              <w:bottom w:val="single" w:sz="4" w:space="0" w:color="auto"/>
            </w:tcBorders>
            <w:shd w:val="clear" w:color="auto" w:fill="E6E6E6"/>
            <w:vAlign w:val="center"/>
          </w:tcPr>
          <w:p w:rsidR="00E56335" w:rsidRPr="000A39EC" w:rsidRDefault="00E56335" w:rsidP="00015D4C">
            <w:pPr>
              <w:pStyle w:val="Tablehead"/>
              <w:rPr>
                <w:rFonts w:asciiTheme="majorBidi" w:hAnsiTheme="majorBidi" w:cstheme="majorBidi"/>
                <w:szCs w:val="22"/>
              </w:rPr>
            </w:pPr>
            <w:r w:rsidRPr="000A39EC">
              <w:rPr>
                <w:rFonts w:asciiTheme="majorBidi" w:hAnsiTheme="majorBidi" w:cstheme="majorBidi"/>
                <w:szCs w:val="22"/>
              </w:rPr>
              <w:t>TV Broadcasting Service</w:t>
            </w:r>
          </w:p>
        </w:tc>
      </w:tr>
      <w:tr w:rsidR="00E56335" w:rsidRPr="00F50942" w:rsidTr="00015D4C">
        <w:trPr>
          <w:trHeight w:val="397"/>
          <w:jc w:val="center"/>
        </w:trPr>
        <w:tc>
          <w:tcPr>
            <w:tcW w:w="1449" w:type="dxa"/>
            <w:shd w:val="clear" w:color="auto" w:fill="E6E6E6"/>
            <w:vAlign w:val="center"/>
          </w:tcPr>
          <w:p w:rsidR="00E56335" w:rsidRPr="000A39EC" w:rsidRDefault="00E56335" w:rsidP="00015D4C">
            <w:pPr>
              <w:pStyle w:val="Tablehead"/>
              <w:rPr>
                <w:rFonts w:asciiTheme="majorBidi" w:hAnsiTheme="majorBidi" w:cstheme="majorBidi"/>
                <w:szCs w:val="22"/>
              </w:rPr>
            </w:pPr>
            <w:r w:rsidRPr="000A39EC">
              <w:rPr>
                <w:rFonts w:asciiTheme="majorBidi" w:hAnsiTheme="majorBidi" w:cstheme="majorBidi"/>
                <w:szCs w:val="22"/>
              </w:rPr>
              <w:t>Service Type</w:t>
            </w:r>
          </w:p>
        </w:tc>
        <w:tc>
          <w:tcPr>
            <w:tcW w:w="2568" w:type="dxa"/>
            <w:shd w:val="clear" w:color="auto" w:fill="E6E6E6"/>
            <w:vAlign w:val="center"/>
          </w:tcPr>
          <w:p w:rsidR="00E56335" w:rsidRPr="000A39EC" w:rsidRDefault="00E56335" w:rsidP="00015D4C">
            <w:pPr>
              <w:pStyle w:val="Tablehead"/>
              <w:rPr>
                <w:rFonts w:asciiTheme="majorBidi" w:hAnsiTheme="majorBidi" w:cstheme="majorBidi"/>
                <w:szCs w:val="22"/>
              </w:rPr>
            </w:pPr>
            <w:r w:rsidRPr="000A39EC">
              <w:rPr>
                <w:rFonts w:asciiTheme="majorBidi" w:hAnsiTheme="majorBidi" w:cstheme="majorBidi"/>
                <w:szCs w:val="22"/>
              </w:rPr>
              <w:t>Frequency Range</w:t>
            </w:r>
          </w:p>
        </w:tc>
        <w:tc>
          <w:tcPr>
            <w:tcW w:w="1443" w:type="dxa"/>
            <w:shd w:val="clear" w:color="auto" w:fill="E6E6E6"/>
            <w:vAlign w:val="center"/>
          </w:tcPr>
          <w:p w:rsidR="00E56335" w:rsidRPr="000A39EC" w:rsidRDefault="00E56335" w:rsidP="00015D4C">
            <w:pPr>
              <w:pStyle w:val="Tablehead"/>
              <w:rPr>
                <w:rFonts w:asciiTheme="majorBidi" w:hAnsiTheme="majorBidi" w:cstheme="majorBidi"/>
                <w:szCs w:val="22"/>
              </w:rPr>
            </w:pPr>
            <w:r w:rsidRPr="000A39EC">
              <w:rPr>
                <w:rFonts w:asciiTheme="majorBidi" w:hAnsiTheme="majorBidi" w:cstheme="majorBidi"/>
                <w:szCs w:val="22"/>
              </w:rPr>
              <w:t>Bandwidth</w:t>
            </w:r>
          </w:p>
        </w:tc>
        <w:tc>
          <w:tcPr>
            <w:tcW w:w="2117" w:type="dxa"/>
            <w:shd w:val="clear" w:color="auto" w:fill="E6E6E6"/>
            <w:vAlign w:val="center"/>
          </w:tcPr>
          <w:p w:rsidR="00E56335" w:rsidRPr="000A39EC" w:rsidRDefault="00E56335" w:rsidP="00015D4C">
            <w:pPr>
              <w:pStyle w:val="Tablehead"/>
              <w:rPr>
                <w:rFonts w:asciiTheme="majorBidi" w:hAnsiTheme="majorBidi" w:cstheme="majorBidi"/>
                <w:szCs w:val="22"/>
              </w:rPr>
            </w:pPr>
            <w:r w:rsidRPr="000A39EC">
              <w:rPr>
                <w:rFonts w:asciiTheme="majorBidi" w:hAnsiTheme="majorBidi" w:cstheme="majorBidi"/>
                <w:szCs w:val="22"/>
              </w:rPr>
              <w:t>Service Type Factor (C)</w:t>
            </w:r>
          </w:p>
        </w:tc>
      </w:tr>
      <w:tr w:rsidR="00E56335" w:rsidRPr="00F50942" w:rsidTr="00015D4C">
        <w:trPr>
          <w:jc w:val="center"/>
        </w:trPr>
        <w:tc>
          <w:tcPr>
            <w:tcW w:w="1449" w:type="dxa"/>
            <w:vMerge w:val="restart"/>
            <w:shd w:val="clear" w:color="auto" w:fill="auto"/>
            <w:vAlign w:val="center"/>
          </w:tcPr>
          <w:p w:rsidR="00E56335" w:rsidRPr="000A39EC" w:rsidRDefault="00E56335" w:rsidP="00015D4C">
            <w:pPr>
              <w:pStyle w:val="Tabletext"/>
              <w:jc w:val="center"/>
              <w:rPr>
                <w:rFonts w:asciiTheme="majorBidi" w:hAnsiTheme="majorBidi" w:cstheme="majorBidi"/>
                <w:szCs w:val="22"/>
              </w:rPr>
            </w:pPr>
            <w:r w:rsidRPr="000A39EC">
              <w:rPr>
                <w:rFonts w:asciiTheme="majorBidi" w:hAnsiTheme="majorBidi" w:cstheme="majorBidi"/>
                <w:szCs w:val="22"/>
              </w:rPr>
              <w:t>VHF</w:t>
            </w:r>
          </w:p>
        </w:tc>
        <w:tc>
          <w:tcPr>
            <w:tcW w:w="2568" w:type="dxa"/>
            <w:shd w:val="clear" w:color="auto" w:fill="auto"/>
          </w:tcPr>
          <w:p w:rsidR="00E56335" w:rsidRPr="000A39EC" w:rsidRDefault="00E56335" w:rsidP="00015D4C">
            <w:pPr>
              <w:pStyle w:val="Tabletext"/>
              <w:jc w:val="center"/>
              <w:rPr>
                <w:rFonts w:asciiTheme="majorBidi" w:hAnsiTheme="majorBidi" w:cstheme="majorBidi"/>
                <w:szCs w:val="22"/>
              </w:rPr>
            </w:pPr>
            <w:r w:rsidRPr="000A39EC">
              <w:rPr>
                <w:rFonts w:asciiTheme="majorBidi" w:hAnsiTheme="majorBidi" w:cstheme="majorBidi"/>
                <w:szCs w:val="22"/>
              </w:rPr>
              <w:t>47 – 68 MHz</w:t>
            </w:r>
          </w:p>
        </w:tc>
        <w:tc>
          <w:tcPr>
            <w:tcW w:w="1443" w:type="dxa"/>
            <w:vMerge w:val="restart"/>
            <w:shd w:val="clear" w:color="auto" w:fill="auto"/>
            <w:vAlign w:val="center"/>
          </w:tcPr>
          <w:p w:rsidR="00E56335" w:rsidRPr="000A39EC" w:rsidRDefault="00E56335" w:rsidP="00015D4C">
            <w:pPr>
              <w:pStyle w:val="Tabletext"/>
              <w:jc w:val="center"/>
              <w:rPr>
                <w:rFonts w:asciiTheme="majorBidi" w:hAnsiTheme="majorBidi" w:cstheme="majorBidi"/>
                <w:szCs w:val="22"/>
              </w:rPr>
            </w:pPr>
            <w:r w:rsidRPr="000A39EC">
              <w:rPr>
                <w:rFonts w:asciiTheme="majorBidi" w:hAnsiTheme="majorBidi" w:cstheme="majorBidi"/>
                <w:szCs w:val="22"/>
              </w:rPr>
              <w:t>7 MHz</w:t>
            </w:r>
          </w:p>
        </w:tc>
        <w:tc>
          <w:tcPr>
            <w:tcW w:w="2117" w:type="dxa"/>
            <w:vMerge w:val="restart"/>
            <w:vAlign w:val="center"/>
          </w:tcPr>
          <w:p w:rsidR="00E56335" w:rsidRPr="000A39EC" w:rsidRDefault="00E56335" w:rsidP="00015D4C">
            <w:pPr>
              <w:pStyle w:val="Tabletext"/>
              <w:jc w:val="center"/>
              <w:rPr>
                <w:rFonts w:asciiTheme="majorBidi" w:hAnsiTheme="majorBidi" w:cstheme="majorBidi"/>
                <w:szCs w:val="22"/>
              </w:rPr>
            </w:pPr>
            <w:r w:rsidRPr="000A39EC">
              <w:rPr>
                <w:rFonts w:asciiTheme="majorBidi" w:hAnsiTheme="majorBidi" w:cstheme="majorBidi"/>
                <w:szCs w:val="22"/>
              </w:rPr>
              <w:t>24</w:t>
            </w:r>
          </w:p>
        </w:tc>
      </w:tr>
      <w:tr w:rsidR="00E56335" w:rsidRPr="00F50942" w:rsidTr="00015D4C">
        <w:trPr>
          <w:trHeight w:val="377"/>
          <w:jc w:val="center"/>
        </w:trPr>
        <w:tc>
          <w:tcPr>
            <w:tcW w:w="1449" w:type="dxa"/>
            <w:vMerge/>
            <w:shd w:val="clear" w:color="auto" w:fill="auto"/>
          </w:tcPr>
          <w:p w:rsidR="00E56335" w:rsidRPr="000A39EC" w:rsidRDefault="00E56335" w:rsidP="00015D4C">
            <w:pPr>
              <w:pStyle w:val="Tabletext"/>
              <w:jc w:val="center"/>
              <w:rPr>
                <w:rFonts w:asciiTheme="majorBidi" w:hAnsiTheme="majorBidi" w:cstheme="majorBidi"/>
                <w:szCs w:val="22"/>
              </w:rPr>
            </w:pPr>
          </w:p>
        </w:tc>
        <w:tc>
          <w:tcPr>
            <w:tcW w:w="2568" w:type="dxa"/>
            <w:shd w:val="clear" w:color="auto" w:fill="auto"/>
          </w:tcPr>
          <w:p w:rsidR="00E56335" w:rsidRPr="000A39EC" w:rsidRDefault="00E56335" w:rsidP="00015D4C">
            <w:pPr>
              <w:pStyle w:val="Tabletext"/>
              <w:jc w:val="center"/>
              <w:rPr>
                <w:rFonts w:asciiTheme="majorBidi" w:hAnsiTheme="majorBidi" w:cstheme="majorBidi"/>
                <w:szCs w:val="22"/>
              </w:rPr>
            </w:pPr>
            <w:r w:rsidRPr="000A39EC">
              <w:rPr>
                <w:rFonts w:asciiTheme="majorBidi" w:hAnsiTheme="majorBidi" w:cstheme="majorBidi"/>
                <w:szCs w:val="22"/>
              </w:rPr>
              <w:t>174 – 230 MHz</w:t>
            </w:r>
          </w:p>
        </w:tc>
        <w:tc>
          <w:tcPr>
            <w:tcW w:w="1443" w:type="dxa"/>
            <w:vMerge/>
            <w:shd w:val="clear" w:color="auto" w:fill="auto"/>
            <w:vAlign w:val="center"/>
          </w:tcPr>
          <w:p w:rsidR="00E56335" w:rsidRPr="000A39EC" w:rsidRDefault="00E56335" w:rsidP="00015D4C">
            <w:pPr>
              <w:pStyle w:val="Tabletext"/>
              <w:jc w:val="center"/>
              <w:rPr>
                <w:rFonts w:asciiTheme="majorBidi" w:hAnsiTheme="majorBidi" w:cstheme="majorBidi"/>
                <w:szCs w:val="22"/>
              </w:rPr>
            </w:pPr>
          </w:p>
        </w:tc>
        <w:tc>
          <w:tcPr>
            <w:tcW w:w="2117" w:type="dxa"/>
            <w:vMerge/>
          </w:tcPr>
          <w:p w:rsidR="00E56335" w:rsidRPr="000A39EC" w:rsidRDefault="00E56335" w:rsidP="00015D4C">
            <w:pPr>
              <w:pStyle w:val="Tabletext"/>
              <w:jc w:val="center"/>
              <w:rPr>
                <w:rFonts w:asciiTheme="majorBidi" w:hAnsiTheme="majorBidi" w:cstheme="majorBidi"/>
                <w:szCs w:val="22"/>
              </w:rPr>
            </w:pPr>
          </w:p>
        </w:tc>
      </w:tr>
      <w:tr w:rsidR="00E56335" w:rsidRPr="00F50942" w:rsidTr="00015D4C">
        <w:trPr>
          <w:trHeight w:val="485"/>
          <w:jc w:val="center"/>
        </w:trPr>
        <w:tc>
          <w:tcPr>
            <w:tcW w:w="1449" w:type="dxa"/>
            <w:shd w:val="clear" w:color="auto" w:fill="auto"/>
          </w:tcPr>
          <w:p w:rsidR="00E56335" w:rsidRPr="000A39EC" w:rsidRDefault="00E56335" w:rsidP="00015D4C">
            <w:pPr>
              <w:pStyle w:val="Tabletext"/>
              <w:jc w:val="center"/>
              <w:rPr>
                <w:rFonts w:asciiTheme="majorBidi" w:hAnsiTheme="majorBidi" w:cstheme="majorBidi"/>
                <w:szCs w:val="22"/>
              </w:rPr>
            </w:pPr>
            <w:r w:rsidRPr="000A39EC">
              <w:rPr>
                <w:rFonts w:asciiTheme="majorBidi" w:hAnsiTheme="majorBidi" w:cstheme="majorBidi"/>
                <w:szCs w:val="22"/>
              </w:rPr>
              <w:t>UHF</w:t>
            </w:r>
          </w:p>
        </w:tc>
        <w:tc>
          <w:tcPr>
            <w:tcW w:w="2568" w:type="dxa"/>
            <w:shd w:val="clear" w:color="auto" w:fill="auto"/>
          </w:tcPr>
          <w:p w:rsidR="00E56335" w:rsidRPr="000A39EC" w:rsidRDefault="00E56335" w:rsidP="00015D4C">
            <w:pPr>
              <w:pStyle w:val="Tabletext"/>
              <w:jc w:val="center"/>
              <w:rPr>
                <w:rFonts w:asciiTheme="majorBidi" w:hAnsiTheme="majorBidi" w:cstheme="majorBidi"/>
                <w:szCs w:val="22"/>
              </w:rPr>
            </w:pPr>
            <w:r w:rsidRPr="000A39EC">
              <w:rPr>
                <w:rFonts w:asciiTheme="majorBidi" w:hAnsiTheme="majorBidi" w:cstheme="majorBidi"/>
                <w:szCs w:val="22"/>
              </w:rPr>
              <w:t>470 – 862 MHz</w:t>
            </w:r>
          </w:p>
        </w:tc>
        <w:tc>
          <w:tcPr>
            <w:tcW w:w="1443" w:type="dxa"/>
            <w:shd w:val="clear" w:color="auto" w:fill="auto"/>
            <w:vAlign w:val="center"/>
          </w:tcPr>
          <w:p w:rsidR="00E56335" w:rsidRPr="000A39EC" w:rsidRDefault="00E56335" w:rsidP="00015D4C">
            <w:pPr>
              <w:pStyle w:val="Tabletext"/>
              <w:jc w:val="center"/>
              <w:rPr>
                <w:rFonts w:asciiTheme="majorBidi" w:hAnsiTheme="majorBidi" w:cstheme="majorBidi"/>
                <w:szCs w:val="22"/>
              </w:rPr>
            </w:pPr>
            <w:r w:rsidRPr="000A39EC">
              <w:rPr>
                <w:rFonts w:asciiTheme="majorBidi" w:hAnsiTheme="majorBidi" w:cstheme="majorBidi"/>
                <w:szCs w:val="22"/>
              </w:rPr>
              <w:t>8 MHz</w:t>
            </w:r>
          </w:p>
        </w:tc>
        <w:tc>
          <w:tcPr>
            <w:tcW w:w="2117" w:type="dxa"/>
          </w:tcPr>
          <w:p w:rsidR="00E56335" w:rsidRPr="000A39EC" w:rsidRDefault="00E56335" w:rsidP="00015D4C">
            <w:pPr>
              <w:pStyle w:val="Tabletext"/>
              <w:jc w:val="center"/>
              <w:rPr>
                <w:rFonts w:asciiTheme="majorBidi" w:hAnsiTheme="majorBidi" w:cstheme="majorBidi"/>
                <w:szCs w:val="22"/>
              </w:rPr>
            </w:pPr>
            <w:r w:rsidRPr="000A39EC">
              <w:rPr>
                <w:rFonts w:asciiTheme="majorBidi" w:hAnsiTheme="majorBidi" w:cstheme="majorBidi"/>
                <w:szCs w:val="22"/>
              </w:rPr>
              <w:t>36</w:t>
            </w:r>
          </w:p>
        </w:tc>
      </w:tr>
    </w:tbl>
    <w:p w:rsidR="00E56335" w:rsidRDefault="00E56335" w:rsidP="00E56335">
      <w:pPr>
        <w:pStyle w:val="FigureSource"/>
      </w:pPr>
    </w:p>
    <w:p w:rsidR="00E56335" w:rsidRDefault="00E56335" w:rsidP="00E56335">
      <w:pPr>
        <w:tabs>
          <w:tab w:val="clear" w:pos="794"/>
          <w:tab w:val="clear" w:pos="1191"/>
          <w:tab w:val="clear" w:pos="1588"/>
          <w:tab w:val="clear" w:pos="1985"/>
        </w:tabs>
        <w:overflowPunct/>
        <w:autoSpaceDE/>
        <w:autoSpaceDN/>
        <w:adjustRightInd/>
        <w:spacing w:before="0"/>
        <w:jc w:val="left"/>
        <w:textAlignment w:val="auto"/>
        <w:rPr>
          <w:b/>
          <w:szCs w:val="19"/>
        </w:rPr>
      </w:pPr>
      <w:r>
        <w:rPr>
          <w:b/>
          <w:szCs w:val="19"/>
        </w:rPr>
        <w:br w:type="page"/>
      </w:r>
    </w:p>
    <w:p w:rsidR="00E56335" w:rsidRPr="00F50942" w:rsidRDefault="00E56335" w:rsidP="00E56335">
      <w:pPr>
        <w:ind w:left="1599" w:hanging="159"/>
        <w:rPr>
          <w:szCs w:val="19"/>
        </w:rPr>
      </w:pPr>
      <w:r w:rsidRPr="00F50942">
        <w:rPr>
          <w:b/>
          <w:szCs w:val="19"/>
        </w:rPr>
        <w:lastRenderedPageBreak/>
        <w:t>D = Service Zone Factor as follows:</w:t>
      </w:r>
    </w:p>
    <w:p w:rsidR="00E56335" w:rsidRPr="00F25A74" w:rsidRDefault="00E56335" w:rsidP="00E56335">
      <w:pPr>
        <w:rPr>
          <w:sz w:val="2"/>
        </w:rPr>
      </w:pPr>
    </w:p>
    <w:p w:rsidR="00E56335" w:rsidRDefault="00E56335" w:rsidP="00E56335">
      <w:pPr>
        <w:pStyle w:val="FigureTitle"/>
      </w:pPr>
      <w:bookmarkStart w:id="349" w:name="_Toc195057730"/>
      <w:r w:rsidRPr="00F50942">
        <w:t xml:space="preserve">Table </w:t>
      </w:r>
      <w:fldSimple w:instr=" SEQ Figure \* ARABIC ">
        <w:r>
          <w:rPr>
            <w:noProof/>
          </w:rPr>
          <w:t>3</w:t>
        </w:r>
      </w:fldSimple>
      <w:r w:rsidRPr="00F50942">
        <w:t xml:space="preserve"> – Definition of Service Zones Factors (D)</w:t>
      </w:r>
      <w:bookmarkEnd w:id="349"/>
    </w:p>
    <w:p w:rsidR="00E56335" w:rsidRPr="00CC5F10" w:rsidRDefault="00E56335" w:rsidP="00E56335">
      <w:pPr>
        <w:rPr>
          <w:lang w:val="en-US"/>
        </w:rPr>
      </w:pPr>
    </w:p>
    <w:tbl>
      <w:tblPr>
        <w:tblW w:w="0" w:type="auto"/>
        <w:tblInd w:w="1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3"/>
        <w:gridCol w:w="2807"/>
        <w:gridCol w:w="2628"/>
      </w:tblGrid>
      <w:tr w:rsidR="00E56335" w:rsidRPr="00F50942" w:rsidTr="00015D4C">
        <w:trPr>
          <w:trHeight w:val="680"/>
        </w:trPr>
        <w:tc>
          <w:tcPr>
            <w:tcW w:w="1713" w:type="dxa"/>
            <w:shd w:val="clear" w:color="auto" w:fill="E6E6E6"/>
            <w:vAlign w:val="center"/>
          </w:tcPr>
          <w:p w:rsidR="00E56335" w:rsidRPr="00F25A74" w:rsidRDefault="00E56335" w:rsidP="00015D4C">
            <w:pPr>
              <w:pStyle w:val="Tablehead"/>
              <w:rPr>
                <w:rFonts w:asciiTheme="majorBidi" w:hAnsiTheme="majorBidi" w:cstheme="majorBidi"/>
                <w:szCs w:val="22"/>
              </w:rPr>
            </w:pPr>
            <w:r w:rsidRPr="00F25A74">
              <w:rPr>
                <w:rFonts w:asciiTheme="majorBidi" w:hAnsiTheme="majorBidi" w:cstheme="majorBidi"/>
                <w:szCs w:val="22"/>
              </w:rPr>
              <w:t>Service Zone Factor (D)</w:t>
            </w:r>
          </w:p>
        </w:tc>
        <w:tc>
          <w:tcPr>
            <w:tcW w:w="2807" w:type="dxa"/>
            <w:shd w:val="clear" w:color="auto" w:fill="E6E6E6"/>
            <w:vAlign w:val="center"/>
          </w:tcPr>
          <w:p w:rsidR="00E56335" w:rsidRPr="00F25A74" w:rsidRDefault="00E56335" w:rsidP="00015D4C">
            <w:pPr>
              <w:pStyle w:val="Tablehead"/>
              <w:rPr>
                <w:rFonts w:asciiTheme="majorBidi" w:hAnsiTheme="majorBidi" w:cstheme="majorBidi"/>
                <w:szCs w:val="22"/>
              </w:rPr>
            </w:pPr>
            <w:r w:rsidRPr="00F25A74">
              <w:rPr>
                <w:rFonts w:asciiTheme="majorBidi" w:hAnsiTheme="majorBidi" w:cstheme="majorBidi"/>
                <w:szCs w:val="22"/>
              </w:rPr>
              <w:t>Service Zone</w:t>
            </w:r>
          </w:p>
        </w:tc>
        <w:tc>
          <w:tcPr>
            <w:tcW w:w="2628" w:type="dxa"/>
            <w:shd w:val="clear" w:color="auto" w:fill="E6E6E6"/>
            <w:vAlign w:val="center"/>
          </w:tcPr>
          <w:p w:rsidR="00E56335" w:rsidRPr="00F25A74" w:rsidRDefault="00E56335" w:rsidP="00015D4C">
            <w:pPr>
              <w:pStyle w:val="Tablehead"/>
              <w:rPr>
                <w:rFonts w:asciiTheme="majorBidi" w:hAnsiTheme="majorBidi" w:cstheme="majorBidi"/>
                <w:szCs w:val="22"/>
              </w:rPr>
            </w:pPr>
            <w:r w:rsidRPr="00F25A74">
              <w:rPr>
                <w:rFonts w:asciiTheme="majorBidi" w:hAnsiTheme="majorBidi" w:cstheme="majorBidi"/>
                <w:szCs w:val="22"/>
              </w:rPr>
              <w:t>Polygon Corners</w:t>
            </w:r>
          </w:p>
        </w:tc>
      </w:tr>
      <w:tr w:rsidR="00E56335" w:rsidRPr="00F50942" w:rsidTr="00015D4C">
        <w:trPr>
          <w:trHeight w:val="1142"/>
        </w:trPr>
        <w:tc>
          <w:tcPr>
            <w:tcW w:w="1713" w:type="dxa"/>
            <w:vMerge w:val="restart"/>
          </w:tcPr>
          <w:p w:rsidR="00E56335" w:rsidRPr="00F25A74" w:rsidRDefault="00E56335" w:rsidP="00015D4C">
            <w:pPr>
              <w:pStyle w:val="Tabletext"/>
              <w:rPr>
                <w:rFonts w:asciiTheme="majorBidi" w:hAnsiTheme="majorBidi" w:cstheme="majorBidi"/>
                <w:b/>
                <w:bCs/>
                <w:szCs w:val="22"/>
                <w:lang w:eastAsia="de-DE"/>
              </w:rPr>
            </w:pPr>
            <w:r w:rsidRPr="00F25A74">
              <w:rPr>
                <w:rFonts w:asciiTheme="majorBidi" w:hAnsiTheme="majorBidi" w:cstheme="majorBidi"/>
                <w:b/>
                <w:bCs/>
                <w:szCs w:val="22"/>
                <w:lang w:eastAsia="de-DE"/>
              </w:rPr>
              <w:t>1.00 (high)</w:t>
            </w:r>
          </w:p>
        </w:tc>
        <w:tc>
          <w:tcPr>
            <w:tcW w:w="2807" w:type="dxa"/>
          </w:tcPr>
          <w:p w:rsidR="00E56335" w:rsidRPr="00F25A74" w:rsidRDefault="00E56335" w:rsidP="00015D4C">
            <w:pPr>
              <w:pStyle w:val="Tabletext"/>
              <w:rPr>
                <w:rFonts w:asciiTheme="majorBidi" w:hAnsiTheme="majorBidi" w:cstheme="majorBidi"/>
                <w:szCs w:val="22"/>
                <w:lang w:eastAsia="de-DE"/>
              </w:rPr>
            </w:pPr>
            <w:r w:rsidRPr="00F25A74">
              <w:rPr>
                <w:rFonts w:asciiTheme="majorBidi" w:hAnsiTheme="majorBidi" w:cstheme="majorBidi"/>
                <w:szCs w:val="22"/>
                <w:lang w:eastAsia="de-DE"/>
              </w:rPr>
              <w:t>City and environs of Abu Dhabi</w:t>
            </w:r>
          </w:p>
        </w:tc>
        <w:tc>
          <w:tcPr>
            <w:tcW w:w="2628" w:type="dxa"/>
          </w:tcPr>
          <w:p w:rsidR="00E56335" w:rsidRPr="00F25A74" w:rsidRDefault="00E56335" w:rsidP="00015D4C">
            <w:pPr>
              <w:pStyle w:val="Tabletext"/>
              <w:rPr>
                <w:rFonts w:asciiTheme="majorBidi" w:hAnsiTheme="majorBidi" w:cstheme="majorBidi"/>
                <w:szCs w:val="22"/>
                <w:lang w:val="pt-BR"/>
              </w:rPr>
            </w:pPr>
            <w:r w:rsidRPr="00F25A74">
              <w:rPr>
                <w:rFonts w:asciiTheme="majorBidi" w:hAnsiTheme="majorBidi" w:cstheme="majorBidi"/>
                <w:szCs w:val="22"/>
                <w:lang w:val="pt-BR"/>
              </w:rPr>
              <w:t>54° 30’ E – 24° 45’ N</w:t>
            </w:r>
          </w:p>
          <w:p w:rsidR="00E56335" w:rsidRPr="00F25A74" w:rsidRDefault="00E56335" w:rsidP="00015D4C">
            <w:pPr>
              <w:pStyle w:val="Tabletext"/>
              <w:rPr>
                <w:rFonts w:asciiTheme="majorBidi" w:hAnsiTheme="majorBidi" w:cstheme="majorBidi"/>
                <w:szCs w:val="22"/>
                <w:lang w:val="pt-BR"/>
              </w:rPr>
            </w:pPr>
            <w:r w:rsidRPr="00F25A74">
              <w:rPr>
                <w:rFonts w:asciiTheme="majorBidi" w:hAnsiTheme="majorBidi" w:cstheme="majorBidi"/>
                <w:szCs w:val="22"/>
                <w:lang w:val="pt-BR"/>
              </w:rPr>
              <w:t>55° 00’ E – 24° 45’ N</w:t>
            </w:r>
          </w:p>
          <w:p w:rsidR="00E56335" w:rsidRPr="00F25A74" w:rsidRDefault="00E56335" w:rsidP="00015D4C">
            <w:pPr>
              <w:pStyle w:val="Tabletext"/>
              <w:rPr>
                <w:rFonts w:asciiTheme="majorBidi" w:hAnsiTheme="majorBidi" w:cstheme="majorBidi"/>
                <w:szCs w:val="22"/>
                <w:lang w:val="pt-BR"/>
              </w:rPr>
            </w:pPr>
            <w:r w:rsidRPr="00F25A74">
              <w:rPr>
                <w:rFonts w:asciiTheme="majorBidi" w:hAnsiTheme="majorBidi" w:cstheme="majorBidi"/>
                <w:szCs w:val="22"/>
                <w:lang w:val="pt-BR"/>
              </w:rPr>
              <w:t>55° 00’ E – 24° 05’ N</w:t>
            </w:r>
          </w:p>
          <w:p w:rsidR="00E56335" w:rsidRPr="00F25A74" w:rsidRDefault="00E56335" w:rsidP="00015D4C">
            <w:pPr>
              <w:pStyle w:val="Tabletext"/>
              <w:rPr>
                <w:rFonts w:asciiTheme="majorBidi" w:hAnsiTheme="majorBidi" w:cstheme="majorBidi"/>
                <w:szCs w:val="22"/>
              </w:rPr>
            </w:pPr>
            <w:r w:rsidRPr="00F25A74">
              <w:rPr>
                <w:rFonts w:asciiTheme="majorBidi" w:hAnsiTheme="majorBidi" w:cstheme="majorBidi"/>
                <w:szCs w:val="22"/>
              </w:rPr>
              <w:t>54° 00’ E – 24° 20’ N</w:t>
            </w:r>
          </w:p>
        </w:tc>
      </w:tr>
      <w:tr w:rsidR="00E56335" w:rsidRPr="00F50942" w:rsidTr="00015D4C">
        <w:trPr>
          <w:trHeight w:val="1250"/>
        </w:trPr>
        <w:tc>
          <w:tcPr>
            <w:tcW w:w="1713" w:type="dxa"/>
            <w:vMerge/>
          </w:tcPr>
          <w:p w:rsidR="00E56335" w:rsidRPr="00F25A74" w:rsidRDefault="00E56335" w:rsidP="00015D4C">
            <w:pPr>
              <w:pStyle w:val="Tabletext"/>
              <w:rPr>
                <w:rFonts w:asciiTheme="majorBidi" w:hAnsiTheme="majorBidi" w:cstheme="majorBidi"/>
                <w:szCs w:val="22"/>
              </w:rPr>
            </w:pPr>
          </w:p>
        </w:tc>
        <w:tc>
          <w:tcPr>
            <w:tcW w:w="2807" w:type="dxa"/>
          </w:tcPr>
          <w:p w:rsidR="00E56335" w:rsidRPr="00F25A74" w:rsidRDefault="00E56335" w:rsidP="00015D4C">
            <w:pPr>
              <w:pStyle w:val="Tabletext"/>
              <w:rPr>
                <w:rFonts w:asciiTheme="majorBidi" w:hAnsiTheme="majorBidi" w:cstheme="majorBidi"/>
                <w:szCs w:val="22"/>
              </w:rPr>
            </w:pPr>
            <w:r w:rsidRPr="00F25A74">
              <w:rPr>
                <w:rFonts w:asciiTheme="majorBidi" w:hAnsiTheme="majorBidi" w:cstheme="majorBidi"/>
                <w:szCs w:val="22"/>
              </w:rPr>
              <w:t>Cities and environs of Dubai, Sharjah, Ajman and Umm Al Qaiwain</w:t>
            </w:r>
          </w:p>
        </w:tc>
        <w:tc>
          <w:tcPr>
            <w:tcW w:w="2628" w:type="dxa"/>
          </w:tcPr>
          <w:p w:rsidR="00E56335" w:rsidRPr="00F25A74" w:rsidRDefault="00E56335" w:rsidP="00015D4C">
            <w:pPr>
              <w:pStyle w:val="Tabletext"/>
              <w:rPr>
                <w:rFonts w:asciiTheme="majorBidi" w:hAnsiTheme="majorBidi" w:cstheme="majorBidi"/>
                <w:szCs w:val="22"/>
                <w:lang w:val="pt-BR"/>
              </w:rPr>
            </w:pPr>
            <w:r w:rsidRPr="00F25A74">
              <w:rPr>
                <w:rFonts w:asciiTheme="majorBidi" w:hAnsiTheme="majorBidi" w:cstheme="majorBidi"/>
                <w:szCs w:val="22"/>
                <w:lang w:val="pt-BR"/>
              </w:rPr>
              <w:t>55° 30’ E – 25° 40’ N</w:t>
            </w:r>
          </w:p>
          <w:p w:rsidR="00E56335" w:rsidRPr="00F25A74" w:rsidRDefault="00E56335" w:rsidP="00015D4C">
            <w:pPr>
              <w:pStyle w:val="Tabletext"/>
              <w:rPr>
                <w:rFonts w:asciiTheme="majorBidi" w:hAnsiTheme="majorBidi" w:cstheme="majorBidi"/>
                <w:szCs w:val="22"/>
                <w:lang w:val="pt-BR"/>
              </w:rPr>
            </w:pPr>
            <w:r w:rsidRPr="00F25A74">
              <w:rPr>
                <w:rFonts w:asciiTheme="majorBidi" w:hAnsiTheme="majorBidi" w:cstheme="majorBidi"/>
                <w:szCs w:val="22"/>
                <w:lang w:val="pt-BR"/>
              </w:rPr>
              <w:t>55° 55’ E – 25° 20’ N</w:t>
            </w:r>
          </w:p>
          <w:p w:rsidR="00E56335" w:rsidRPr="00F25A74" w:rsidRDefault="00E56335" w:rsidP="00015D4C">
            <w:pPr>
              <w:pStyle w:val="Tabletext"/>
              <w:rPr>
                <w:rFonts w:asciiTheme="majorBidi" w:hAnsiTheme="majorBidi" w:cstheme="majorBidi"/>
                <w:szCs w:val="22"/>
                <w:lang w:val="pt-BR"/>
              </w:rPr>
            </w:pPr>
            <w:r w:rsidRPr="00F25A74">
              <w:rPr>
                <w:rFonts w:asciiTheme="majorBidi" w:hAnsiTheme="majorBidi" w:cstheme="majorBidi"/>
                <w:szCs w:val="22"/>
                <w:lang w:val="pt-BR"/>
              </w:rPr>
              <w:t>55° 00’ E – 24° 45’ N</w:t>
            </w:r>
          </w:p>
          <w:p w:rsidR="00E56335" w:rsidRPr="00F25A74" w:rsidRDefault="00E56335" w:rsidP="00015D4C">
            <w:pPr>
              <w:pStyle w:val="Tabletext"/>
              <w:rPr>
                <w:rFonts w:asciiTheme="majorBidi" w:hAnsiTheme="majorBidi" w:cstheme="majorBidi"/>
                <w:szCs w:val="22"/>
              </w:rPr>
            </w:pPr>
            <w:r w:rsidRPr="00F25A74">
              <w:rPr>
                <w:rFonts w:asciiTheme="majorBidi" w:hAnsiTheme="majorBidi" w:cstheme="majorBidi"/>
                <w:szCs w:val="22"/>
              </w:rPr>
              <w:t>54° 30’ E – 24° 45’ N</w:t>
            </w:r>
          </w:p>
        </w:tc>
      </w:tr>
      <w:tr w:rsidR="00E56335" w:rsidRPr="00F50942" w:rsidTr="00015D4C">
        <w:trPr>
          <w:trHeight w:val="1250"/>
        </w:trPr>
        <w:tc>
          <w:tcPr>
            <w:tcW w:w="1713" w:type="dxa"/>
            <w:vMerge/>
          </w:tcPr>
          <w:p w:rsidR="00E56335" w:rsidRPr="00F25A74" w:rsidRDefault="00E56335" w:rsidP="00015D4C">
            <w:pPr>
              <w:pStyle w:val="Tabletext"/>
              <w:rPr>
                <w:rFonts w:asciiTheme="majorBidi" w:hAnsiTheme="majorBidi" w:cstheme="majorBidi"/>
                <w:szCs w:val="22"/>
                <w:lang w:val="pt-BR"/>
              </w:rPr>
            </w:pPr>
          </w:p>
        </w:tc>
        <w:tc>
          <w:tcPr>
            <w:tcW w:w="2807" w:type="dxa"/>
          </w:tcPr>
          <w:p w:rsidR="00E56335" w:rsidRPr="00F25A74" w:rsidRDefault="00E56335" w:rsidP="00015D4C">
            <w:pPr>
              <w:pStyle w:val="Tabletext"/>
              <w:rPr>
                <w:rFonts w:asciiTheme="majorBidi" w:hAnsiTheme="majorBidi" w:cstheme="majorBidi"/>
                <w:szCs w:val="22"/>
              </w:rPr>
            </w:pPr>
            <w:r w:rsidRPr="00F25A74">
              <w:rPr>
                <w:rFonts w:asciiTheme="majorBidi" w:hAnsiTheme="majorBidi" w:cstheme="majorBidi"/>
                <w:szCs w:val="22"/>
                <w:lang w:eastAsia="de-DE"/>
              </w:rPr>
              <w:t>City and environs of Al Ain</w:t>
            </w:r>
          </w:p>
        </w:tc>
        <w:tc>
          <w:tcPr>
            <w:tcW w:w="2628" w:type="dxa"/>
          </w:tcPr>
          <w:p w:rsidR="00E56335" w:rsidRPr="00F25A74" w:rsidRDefault="00E56335" w:rsidP="00015D4C">
            <w:pPr>
              <w:pStyle w:val="Tabletext"/>
              <w:rPr>
                <w:rFonts w:asciiTheme="majorBidi" w:hAnsiTheme="majorBidi" w:cstheme="majorBidi"/>
                <w:szCs w:val="22"/>
                <w:lang w:val="pt-BR"/>
              </w:rPr>
            </w:pPr>
            <w:r w:rsidRPr="00F25A74">
              <w:rPr>
                <w:rFonts w:asciiTheme="majorBidi" w:hAnsiTheme="majorBidi" w:cstheme="majorBidi"/>
                <w:szCs w:val="22"/>
                <w:lang w:val="pt-BR"/>
              </w:rPr>
              <w:t>55° 30’ E – 24° 20’ N</w:t>
            </w:r>
          </w:p>
          <w:p w:rsidR="00E56335" w:rsidRPr="00F25A74" w:rsidRDefault="00E56335" w:rsidP="00015D4C">
            <w:pPr>
              <w:pStyle w:val="Tabletext"/>
              <w:rPr>
                <w:rFonts w:asciiTheme="majorBidi" w:hAnsiTheme="majorBidi" w:cstheme="majorBidi"/>
                <w:szCs w:val="22"/>
                <w:lang w:val="pt-BR"/>
              </w:rPr>
            </w:pPr>
            <w:r w:rsidRPr="00F25A74">
              <w:rPr>
                <w:rFonts w:asciiTheme="majorBidi" w:hAnsiTheme="majorBidi" w:cstheme="majorBidi"/>
                <w:szCs w:val="22"/>
                <w:lang w:val="pt-BR"/>
              </w:rPr>
              <w:t>55° 50’ E – 24° 20’ N</w:t>
            </w:r>
          </w:p>
          <w:p w:rsidR="00E56335" w:rsidRPr="00F25A74" w:rsidRDefault="00E56335" w:rsidP="00015D4C">
            <w:pPr>
              <w:pStyle w:val="Tabletext"/>
              <w:rPr>
                <w:rFonts w:asciiTheme="majorBidi" w:hAnsiTheme="majorBidi" w:cstheme="majorBidi"/>
                <w:szCs w:val="22"/>
                <w:lang w:val="pt-BR"/>
              </w:rPr>
            </w:pPr>
            <w:r w:rsidRPr="00F25A74">
              <w:rPr>
                <w:rFonts w:asciiTheme="majorBidi" w:hAnsiTheme="majorBidi" w:cstheme="majorBidi"/>
                <w:szCs w:val="22"/>
                <w:lang w:val="pt-BR"/>
              </w:rPr>
              <w:t>55° 50’ E – 24° 00’ N</w:t>
            </w:r>
          </w:p>
          <w:p w:rsidR="00E56335" w:rsidRPr="00F25A74" w:rsidRDefault="00E56335" w:rsidP="00015D4C">
            <w:pPr>
              <w:pStyle w:val="Tabletext"/>
              <w:rPr>
                <w:rFonts w:asciiTheme="majorBidi" w:hAnsiTheme="majorBidi" w:cstheme="majorBidi"/>
                <w:szCs w:val="22"/>
              </w:rPr>
            </w:pPr>
            <w:r w:rsidRPr="00F25A74">
              <w:rPr>
                <w:rFonts w:asciiTheme="majorBidi" w:hAnsiTheme="majorBidi" w:cstheme="majorBidi"/>
                <w:szCs w:val="22"/>
              </w:rPr>
              <w:t>55° 30’ E – 24° 00’ N</w:t>
            </w:r>
          </w:p>
        </w:tc>
      </w:tr>
      <w:tr w:rsidR="00E56335" w:rsidRPr="00F50942" w:rsidTr="00015D4C">
        <w:trPr>
          <w:trHeight w:val="1250"/>
        </w:trPr>
        <w:tc>
          <w:tcPr>
            <w:tcW w:w="1713" w:type="dxa"/>
            <w:vMerge w:val="restart"/>
          </w:tcPr>
          <w:p w:rsidR="00E56335" w:rsidRPr="00F25A74" w:rsidRDefault="00E56335" w:rsidP="00015D4C">
            <w:pPr>
              <w:pStyle w:val="Tabletext"/>
              <w:rPr>
                <w:rFonts w:asciiTheme="majorBidi" w:hAnsiTheme="majorBidi" w:cstheme="majorBidi"/>
                <w:b/>
                <w:bCs/>
                <w:szCs w:val="22"/>
              </w:rPr>
            </w:pPr>
            <w:r w:rsidRPr="00F25A74">
              <w:rPr>
                <w:rFonts w:asciiTheme="majorBidi" w:hAnsiTheme="majorBidi" w:cstheme="majorBidi"/>
                <w:b/>
                <w:bCs/>
                <w:szCs w:val="22"/>
              </w:rPr>
              <w:t>0.75(medium)</w:t>
            </w:r>
          </w:p>
        </w:tc>
        <w:tc>
          <w:tcPr>
            <w:tcW w:w="2807" w:type="dxa"/>
          </w:tcPr>
          <w:p w:rsidR="00E56335" w:rsidRPr="00F25A74" w:rsidRDefault="00E56335" w:rsidP="00015D4C">
            <w:pPr>
              <w:pStyle w:val="Tabletext"/>
              <w:rPr>
                <w:rFonts w:asciiTheme="majorBidi" w:hAnsiTheme="majorBidi" w:cstheme="majorBidi"/>
                <w:szCs w:val="22"/>
              </w:rPr>
            </w:pPr>
            <w:r w:rsidRPr="00F25A74">
              <w:rPr>
                <w:rFonts w:asciiTheme="majorBidi" w:hAnsiTheme="majorBidi" w:cstheme="majorBidi"/>
                <w:szCs w:val="22"/>
              </w:rPr>
              <w:t>Area between Abu Dhabi and Al Ain</w:t>
            </w:r>
          </w:p>
        </w:tc>
        <w:tc>
          <w:tcPr>
            <w:tcW w:w="2628" w:type="dxa"/>
          </w:tcPr>
          <w:p w:rsidR="00E56335" w:rsidRPr="00F25A74" w:rsidRDefault="00E56335" w:rsidP="00015D4C">
            <w:pPr>
              <w:pStyle w:val="Tabletext"/>
              <w:rPr>
                <w:rFonts w:asciiTheme="majorBidi" w:hAnsiTheme="majorBidi" w:cstheme="majorBidi"/>
                <w:szCs w:val="22"/>
                <w:lang w:val="pt-BR"/>
              </w:rPr>
            </w:pPr>
            <w:r w:rsidRPr="00F25A74">
              <w:rPr>
                <w:rFonts w:asciiTheme="majorBidi" w:hAnsiTheme="majorBidi" w:cstheme="majorBidi"/>
                <w:szCs w:val="22"/>
                <w:lang w:val="pt-BR"/>
              </w:rPr>
              <w:t>55° 00’ E – 24° 20’ N</w:t>
            </w:r>
          </w:p>
          <w:p w:rsidR="00E56335" w:rsidRPr="00F25A74" w:rsidRDefault="00E56335" w:rsidP="00015D4C">
            <w:pPr>
              <w:pStyle w:val="Tabletext"/>
              <w:rPr>
                <w:rFonts w:asciiTheme="majorBidi" w:hAnsiTheme="majorBidi" w:cstheme="majorBidi"/>
                <w:szCs w:val="22"/>
                <w:lang w:val="pt-BR"/>
              </w:rPr>
            </w:pPr>
            <w:r w:rsidRPr="00F25A74">
              <w:rPr>
                <w:rFonts w:asciiTheme="majorBidi" w:hAnsiTheme="majorBidi" w:cstheme="majorBidi"/>
                <w:szCs w:val="22"/>
                <w:lang w:val="pt-BR"/>
              </w:rPr>
              <w:t>55° 30’ E – 24° 20’ N</w:t>
            </w:r>
          </w:p>
          <w:p w:rsidR="00E56335" w:rsidRPr="00F25A74" w:rsidRDefault="00E56335" w:rsidP="00015D4C">
            <w:pPr>
              <w:pStyle w:val="Tabletext"/>
              <w:rPr>
                <w:rFonts w:asciiTheme="majorBidi" w:hAnsiTheme="majorBidi" w:cstheme="majorBidi"/>
                <w:szCs w:val="22"/>
                <w:lang w:val="pt-BR"/>
              </w:rPr>
            </w:pPr>
            <w:r w:rsidRPr="00F25A74">
              <w:rPr>
                <w:rFonts w:asciiTheme="majorBidi" w:hAnsiTheme="majorBidi" w:cstheme="majorBidi"/>
                <w:szCs w:val="22"/>
                <w:lang w:val="pt-BR"/>
              </w:rPr>
              <w:t>55° 30’ E – 24° 00’ N</w:t>
            </w:r>
          </w:p>
          <w:p w:rsidR="00E56335" w:rsidRPr="00F25A74" w:rsidRDefault="00E56335" w:rsidP="00015D4C">
            <w:pPr>
              <w:pStyle w:val="Tabletext"/>
              <w:rPr>
                <w:rFonts w:asciiTheme="majorBidi" w:hAnsiTheme="majorBidi" w:cstheme="majorBidi"/>
                <w:szCs w:val="22"/>
              </w:rPr>
            </w:pPr>
            <w:r w:rsidRPr="00F25A74">
              <w:rPr>
                <w:rFonts w:asciiTheme="majorBidi" w:hAnsiTheme="majorBidi" w:cstheme="majorBidi"/>
                <w:szCs w:val="22"/>
              </w:rPr>
              <w:t>55° 00’ E – 24° 05’ N</w:t>
            </w:r>
          </w:p>
        </w:tc>
      </w:tr>
      <w:tr w:rsidR="00E56335" w:rsidRPr="00F50942" w:rsidTr="00015D4C">
        <w:trPr>
          <w:trHeight w:val="1430"/>
        </w:trPr>
        <w:tc>
          <w:tcPr>
            <w:tcW w:w="1713" w:type="dxa"/>
            <w:vMerge/>
          </w:tcPr>
          <w:p w:rsidR="00E56335" w:rsidRPr="00F25A74" w:rsidRDefault="00E56335" w:rsidP="00015D4C">
            <w:pPr>
              <w:pStyle w:val="Tabletext"/>
              <w:rPr>
                <w:rFonts w:asciiTheme="majorBidi" w:hAnsiTheme="majorBidi" w:cstheme="majorBidi"/>
                <w:szCs w:val="22"/>
                <w:lang w:val="pt-BR"/>
              </w:rPr>
            </w:pPr>
          </w:p>
        </w:tc>
        <w:tc>
          <w:tcPr>
            <w:tcW w:w="2807" w:type="dxa"/>
          </w:tcPr>
          <w:p w:rsidR="00E56335" w:rsidRPr="00F25A74" w:rsidRDefault="00E56335" w:rsidP="00015D4C">
            <w:pPr>
              <w:pStyle w:val="Tabletext"/>
              <w:rPr>
                <w:rFonts w:asciiTheme="majorBidi" w:hAnsiTheme="majorBidi" w:cstheme="majorBidi"/>
                <w:szCs w:val="22"/>
                <w:lang w:eastAsia="de-DE"/>
              </w:rPr>
            </w:pPr>
            <w:r w:rsidRPr="00F25A74">
              <w:rPr>
                <w:rFonts w:asciiTheme="majorBidi" w:hAnsiTheme="majorBidi" w:cstheme="majorBidi"/>
                <w:szCs w:val="22"/>
                <w:lang w:eastAsia="de-DE"/>
              </w:rPr>
              <w:t>City and environs of Fujairah</w:t>
            </w:r>
          </w:p>
        </w:tc>
        <w:tc>
          <w:tcPr>
            <w:tcW w:w="2628" w:type="dxa"/>
            <w:vAlign w:val="center"/>
          </w:tcPr>
          <w:p w:rsidR="00E56335" w:rsidRPr="00F25A74" w:rsidRDefault="00E56335" w:rsidP="00015D4C">
            <w:pPr>
              <w:pStyle w:val="Tabletext"/>
              <w:rPr>
                <w:rFonts w:asciiTheme="majorBidi" w:hAnsiTheme="majorBidi" w:cstheme="majorBidi"/>
                <w:szCs w:val="22"/>
                <w:lang w:val="pt-BR"/>
              </w:rPr>
            </w:pPr>
            <w:r w:rsidRPr="00F25A74">
              <w:rPr>
                <w:rFonts w:asciiTheme="majorBidi" w:hAnsiTheme="majorBidi" w:cstheme="majorBidi"/>
                <w:szCs w:val="22"/>
                <w:lang w:val="pt-BR"/>
              </w:rPr>
              <w:t>56° 15’ E – 25° 15’ N</w:t>
            </w:r>
          </w:p>
          <w:p w:rsidR="00E56335" w:rsidRPr="00F25A74" w:rsidRDefault="00E56335" w:rsidP="00015D4C">
            <w:pPr>
              <w:pStyle w:val="Tabletext"/>
              <w:rPr>
                <w:rFonts w:asciiTheme="majorBidi" w:hAnsiTheme="majorBidi" w:cstheme="majorBidi"/>
                <w:szCs w:val="22"/>
                <w:lang w:val="pt-BR"/>
              </w:rPr>
            </w:pPr>
            <w:r w:rsidRPr="00F25A74">
              <w:rPr>
                <w:rFonts w:asciiTheme="majorBidi" w:hAnsiTheme="majorBidi" w:cstheme="majorBidi"/>
                <w:szCs w:val="22"/>
                <w:lang w:val="pt-BR"/>
              </w:rPr>
              <w:t>56° 25’ E – 25° 15’ N</w:t>
            </w:r>
          </w:p>
          <w:p w:rsidR="00E56335" w:rsidRPr="00F25A74" w:rsidRDefault="00E56335" w:rsidP="00015D4C">
            <w:pPr>
              <w:pStyle w:val="Tabletext"/>
              <w:rPr>
                <w:rFonts w:asciiTheme="majorBidi" w:hAnsiTheme="majorBidi" w:cstheme="majorBidi"/>
                <w:szCs w:val="22"/>
                <w:lang w:val="pt-BR"/>
              </w:rPr>
            </w:pPr>
            <w:r w:rsidRPr="00F25A74">
              <w:rPr>
                <w:rFonts w:asciiTheme="majorBidi" w:hAnsiTheme="majorBidi" w:cstheme="majorBidi"/>
                <w:szCs w:val="22"/>
                <w:lang w:val="pt-BR"/>
              </w:rPr>
              <w:t>56° 25’ E – 25° 00’ N</w:t>
            </w:r>
          </w:p>
          <w:p w:rsidR="00E56335" w:rsidRPr="00F25A74" w:rsidRDefault="00E56335" w:rsidP="00015D4C">
            <w:pPr>
              <w:pStyle w:val="Tabletext"/>
              <w:rPr>
                <w:rFonts w:asciiTheme="majorBidi" w:hAnsiTheme="majorBidi" w:cstheme="majorBidi"/>
                <w:szCs w:val="22"/>
              </w:rPr>
            </w:pPr>
            <w:r w:rsidRPr="00F25A74">
              <w:rPr>
                <w:rFonts w:asciiTheme="majorBidi" w:hAnsiTheme="majorBidi" w:cstheme="majorBidi"/>
                <w:szCs w:val="22"/>
              </w:rPr>
              <w:t>56° 15’ E – 25° 00’ N</w:t>
            </w:r>
          </w:p>
        </w:tc>
      </w:tr>
      <w:tr w:rsidR="00E56335" w:rsidRPr="00F50942" w:rsidTr="00015D4C">
        <w:trPr>
          <w:trHeight w:val="1250"/>
        </w:trPr>
        <w:tc>
          <w:tcPr>
            <w:tcW w:w="1713" w:type="dxa"/>
            <w:vMerge/>
          </w:tcPr>
          <w:p w:rsidR="00E56335" w:rsidRPr="00F25A74" w:rsidRDefault="00E56335" w:rsidP="00015D4C">
            <w:pPr>
              <w:pStyle w:val="Tabletext"/>
              <w:rPr>
                <w:rFonts w:asciiTheme="majorBidi" w:hAnsiTheme="majorBidi" w:cstheme="majorBidi"/>
                <w:szCs w:val="22"/>
                <w:lang w:val="pt-BR"/>
              </w:rPr>
            </w:pPr>
          </w:p>
        </w:tc>
        <w:tc>
          <w:tcPr>
            <w:tcW w:w="2807" w:type="dxa"/>
          </w:tcPr>
          <w:p w:rsidR="00E56335" w:rsidRPr="00F25A74" w:rsidRDefault="00E56335" w:rsidP="00015D4C">
            <w:pPr>
              <w:pStyle w:val="Tabletext"/>
              <w:rPr>
                <w:rFonts w:asciiTheme="majorBidi" w:hAnsiTheme="majorBidi" w:cstheme="majorBidi"/>
                <w:szCs w:val="22"/>
                <w:lang w:eastAsia="de-DE"/>
              </w:rPr>
            </w:pPr>
            <w:r w:rsidRPr="00F25A74">
              <w:rPr>
                <w:rFonts w:asciiTheme="majorBidi" w:hAnsiTheme="majorBidi" w:cstheme="majorBidi"/>
                <w:szCs w:val="22"/>
                <w:lang w:eastAsia="de-DE"/>
              </w:rPr>
              <w:t>City and environs of Ras Al Khaimah</w:t>
            </w:r>
          </w:p>
        </w:tc>
        <w:tc>
          <w:tcPr>
            <w:tcW w:w="2628" w:type="dxa"/>
            <w:vAlign w:val="center"/>
          </w:tcPr>
          <w:p w:rsidR="00E56335" w:rsidRPr="00F25A74" w:rsidRDefault="00E56335" w:rsidP="00015D4C">
            <w:pPr>
              <w:pStyle w:val="Tabletext"/>
              <w:rPr>
                <w:rFonts w:asciiTheme="majorBidi" w:hAnsiTheme="majorBidi" w:cstheme="majorBidi"/>
                <w:szCs w:val="22"/>
                <w:lang w:val="pt-BR" w:eastAsia="de-DE"/>
              </w:rPr>
            </w:pPr>
            <w:r w:rsidRPr="00F25A74">
              <w:rPr>
                <w:rFonts w:asciiTheme="majorBidi" w:hAnsiTheme="majorBidi" w:cstheme="majorBidi"/>
                <w:szCs w:val="22"/>
                <w:lang w:val="pt-BR" w:eastAsia="de-DE"/>
              </w:rPr>
              <w:t>55° 50’ E – 25° 55’ N</w:t>
            </w:r>
          </w:p>
          <w:p w:rsidR="00E56335" w:rsidRPr="00F25A74" w:rsidRDefault="00E56335" w:rsidP="00015D4C">
            <w:pPr>
              <w:pStyle w:val="Tabletext"/>
              <w:rPr>
                <w:rFonts w:asciiTheme="majorBidi" w:hAnsiTheme="majorBidi" w:cstheme="majorBidi"/>
                <w:szCs w:val="22"/>
                <w:lang w:val="pt-BR" w:eastAsia="de-DE"/>
              </w:rPr>
            </w:pPr>
            <w:r w:rsidRPr="00F25A74">
              <w:rPr>
                <w:rFonts w:asciiTheme="majorBidi" w:hAnsiTheme="majorBidi" w:cstheme="majorBidi"/>
                <w:szCs w:val="22"/>
                <w:lang w:val="pt-BR" w:eastAsia="de-DE"/>
              </w:rPr>
              <w:t>56° 05’ E – 25° 55’ N</w:t>
            </w:r>
          </w:p>
          <w:p w:rsidR="00E56335" w:rsidRPr="00F25A74" w:rsidRDefault="00E56335" w:rsidP="00015D4C">
            <w:pPr>
              <w:pStyle w:val="Tabletext"/>
              <w:rPr>
                <w:rFonts w:asciiTheme="majorBidi" w:hAnsiTheme="majorBidi" w:cstheme="majorBidi"/>
                <w:szCs w:val="22"/>
                <w:lang w:val="pt-BR" w:eastAsia="de-DE"/>
              </w:rPr>
            </w:pPr>
            <w:r w:rsidRPr="00F25A74">
              <w:rPr>
                <w:rFonts w:asciiTheme="majorBidi" w:hAnsiTheme="majorBidi" w:cstheme="majorBidi"/>
                <w:szCs w:val="22"/>
                <w:lang w:val="pt-BR" w:eastAsia="de-DE"/>
              </w:rPr>
              <w:t>56° 05’ E – 25° 40’ N</w:t>
            </w:r>
          </w:p>
          <w:p w:rsidR="00E56335" w:rsidRPr="00F25A74" w:rsidRDefault="00E56335" w:rsidP="00015D4C">
            <w:pPr>
              <w:pStyle w:val="Tabletext"/>
              <w:rPr>
                <w:rFonts w:asciiTheme="majorBidi" w:hAnsiTheme="majorBidi" w:cstheme="majorBidi"/>
                <w:szCs w:val="22"/>
                <w:lang w:val="pt-BR" w:eastAsia="de-DE"/>
              </w:rPr>
            </w:pPr>
            <w:r w:rsidRPr="00F25A74">
              <w:rPr>
                <w:rFonts w:asciiTheme="majorBidi" w:hAnsiTheme="majorBidi" w:cstheme="majorBidi"/>
                <w:szCs w:val="22"/>
                <w:lang w:val="pt-BR" w:eastAsia="de-DE"/>
              </w:rPr>
              <w:t>55° 50’ E – 25° 40’ N</w:t>
            </w:r>
          </w:p>
        </w:tc>
      </w:tr>
      <w:tr w:rsidR="00E56335" w:rsidRPr="007E2B73" w:rsidTr="00015D4C">
        <w:trPr>
          <w:trHeight w:val="1070"/>
        </w:trPr>
        <w:tc>
          <w:tcPr>
            <w:tcW w:w="1713" w:type="dxa"/>
            <w:vMerge/>
          </w:tcPr>
          <w:p w:rsidR="00E56335" w:rsidRPr="00F25A74" w:rsidRDefault="00E56335" w:rsidP="00015D4C">
            <w:pPr>
              <w:pStyle w:val="Tabletext"/>
              <w:rPr>
                <w:rFonts w:asciiTheme="majorBidi" w:hAnsiTheme="majorBidi" w:cstheme="majorBidi"/>
                <w:szCs w:val="22"/>
                <w:lang w:val="pt-BR"/>
              </w:rPr>
            </w:pPr>
          </w:p>
        </w:tc>
        <w:tc>
          <w:tcPr>
            <w:tcW w:w="2807" w:type="dxa"/>
            <w:vAlign w:val="center"/>
          </w:tcPr>
          <w:p w:rsidR="00E56335" w:rsidRPr="00F25A74" w:rsidRDefault="00E56335" w:rsidP="00015D4C">
            <w:pPr>
              <w:pStyle w:val="Tabletext"/>
              <w:rPr>
                <w:rFonts w:asciiTheme="majorBidi" w:hAnsiTheme="majorBidi" w:cstheme="majorBidi"/>
                <w:szCs w:val="22"/>
                <w:lang w:eastAsia="de-DE"/>
              </w:rPr>
            </w:pPr>
            <w:r w:rsidRPr="00F25A74">
              <w:rPr>
                <w:rFonts w:asciiTheme="majorBidi" w:hAnsiTheme="majorBidi" w:cstheme="majorBidi"/>
                <w:szCs w:val="22"/>
                <w:lang w:eastAsia="de-DE"/>
              </w:rPr>
              <w:t xml:space="preserve">Area between </w:t>
            </w:r>
            <w:r w:rsidRPr="00F25A74">
              <w:rPr>
                <w:rFonts w:asciiTheme="majorBidi" w:hAnsiTheme="majorBidi" w:cstheme="majorBidi"/>
                <w:szCs w:val="22"/>
              </w:rPr>
              <w:t xml:space="preserve">Umm Al Qaiwain and </w:t>
            </w:r>
            <w:r w:rsidRPr="00F25A74">
              <w:rPr>
                <w:rFonts w:asciiTheme="majorBidi" w:hAnsiTheme="majorBidi" w:cstheme="majorBidi"/>
                <w:szCs w:val="22"/>
                <w:lang w:eastAsia="de-DE"/>
              </w:rPr>
              <w:t>Ras Al Khaimah</w:t>
            </w:r>
          </w:p>
        </w:tc>
        <w:tc>
          <w:tcPr>
            <w:tcW w:w="2628" w:type="dxa"/>
          </w:tcPr>
          <w:p w:rsidR="00E56335" w:rsidRPr="00F25A74" w:rsidRDefault="00E56335" w:rsidP="00015D4C">
            <w:pPr>
              <w:pStyle w:val="Tabletext"/>
              <w:rPr>
                <w:rFonts w:asciiTheme="majorBidi" w:hAnsiTheme="majorBidi" w:cstheme="majorBidi"/>
                <w:szCs w:val="22"/>
                <w:lang w:val="pt-BR"/>
              </w:rPr>
            </w:pPr>
            <w:r w:rsidRPr="00F25A74">
              <w:rPr>
                <w:rFonts w:asciiTheme="majorBidi" w:hAnsiTheme="majorBidi" w:cstheme="majorBidi"/>
                <w:szCs w:val="22"/>
                <w:lang w:val="pt-BR"/>
              </w:rPr>
              <w:t>55° 30’ E – 25° 40’ N</w:t>
            </w:r>
          </w:p>
          <w:p w:rsidR="00E56335" w:rsidRPr="00F25A74" w:rsidRDefault="00E56335" w:rsidP="00015D4C">
            <w:pPr>
              <w:pStyle w:val="Tabletext"/>
              <w:rPr>
                <w:rFonts w:asciiTheme="majorBidi" w:hAnsiTheme="majorBidi" w:cstheme="majorBidi"/>
                <w:szCs w:val="22"/>
                <w:lang w:val="pt-BR"/>
              </w:rPr>
            </w:pPr>
            <w:r w:rsidRPr="00F25A74">
              <w:rPr>
                <w:rFonts w:asciiTheme="majorBidi" w:hAnsiTheme="majorBidi" w:cstheme="majorBidi"/>
                <w:szCs w:val="22"/>
                <w:lang w:val="pt-BR"/>
              </w:rPr>
              <w:t>56° 05’ E – 25° 40’ N</w:t>
            </w:r>
          </w:p>
          <w:p w:rsidR="00E56335" w:rsidRPr="00F25A74" w:rsidRDefault="00E56335" w:rsidP="00015D4C">
            <w:pPr>
              <w:pStyle w:val="Tabletext"/>
              <w:rPr>
                <w:rFonts w:asciiTheme="majorBidi" w:hAnsiTheme="majorBidi" w:cstheme="majorBidi"/>
                <w:szCs w:val="22"/>
                <w:lang w:val="pt-BR"/>
              </w:rPr>
            </w:pPr>
            <w:r w:rsidRPr="00F25A74">
              <w:rPr>
                <w:rFonts w:asciiTheme="majorBidi" w:hAnsiTheme="majorBidi" w:cstheme="majorBidi"/>
                <w:szCs w:val="22"/>
                <w:lang w:val="pt-BR"/>
              </w:rPr>
              <w:t>55° 55’ E – 25° 20’ N</w:t>
            </w:r>
          </w:p>
        </w:tc>
      </w:tr>
      <w:tr w:rsidR="00E56335" w:rsidRPr="00F50942" w:rsidTr="00015D4C">
        <w:trPr>
          <w:trHeight w:val="350"/>
        </w:trPr>
        <w:tc>
          <w:tcPr>
            <w:tcW w:w="1713" w:type="dxa"/>
            <w:vAlign w:val="center"/>
          </w:tcPr>
          <w:p w:rsidR="00E56335" w:rsidRPr="00F25A74" w:rsidRDefault="00E56335" w:rsidP="00015D4C">
            <w:pPr>
              <w:pStyle w:val="Tabletext"/>
              <w:rPr>
                <w:rFonts w:asciiTheme="majorBidi" w:hAnsiTheme="majorBidi" w:cstheme="majorBidi"/>
                <w:b/>
                <w:bCs/>
                <w:szCs w:val="22"/>
                <w:lang w:eastAsia="de-DE"/>
              </w:rPr>
            </w:pPr>
            <w:r w:rsidRPr="00F25A74">
              <w:rPr>
                <w:rFonts w:asciiTheme="majorBidi" w:hAnsiTheme="majorBidi" w:cstheme="majorBidi"/>
                <w:b/>
                <w:bCs/>
                <w:szCs w:val="22"/>
                <w:lang w:eastAsia="de-DE"/>
              </w:rPr>
              <w:t>0.50 (low)</w:t>
            </w:r>
          </w:p>
        </w:tc>
        <w:tc>
          <w:tcPr>
            <w:tcW w:w="5435" w:type="dxa"/>
            <w:gridSpan w:val="2"/>
            <w:vAlign w:val="center"/>
          </w:tcPr>
          <w:p w:rsidR="00E56335" w:rsidRPr="00F25A74" w:rsidRDefault="00E56335" w:rsidP="00015D4C">
            <w:pPr>
              <w:pStyle w:val="Tabletext"/>
              <w:rPr>
                <w:rFonts w:asciiTheme="majorBidi" w:hAnsiTheme="majorBidi" w:cstheme="majorBidi"/>
                <w:szCs w:val="22"/>
                <w:lang w:eastAsia="de-DE"/>
              </w:rPr>
            </w:pPr>
            <w:r w:rsidRPr="00F25A74">
              <w:rPr>
                <w:rFonts w:asciiTheme="majorBidi" w:hAnsiTheme="majorBidi" w:cstheme="majorBidi"/>
                <w:szCs w:val="22"/>
                <w:lang w:eastAsia="de-DE"/>
              </w:rPr>
              <w:t>All remaining areas</w:t>
            </w:r>
          </w:p>
        </w:tc>
      </w:tr>
    </w:tbl>
    <w:p w:rsidR="00E56335" w:rsidRDefault="00E56335" w:rsidP="00E56335">
      <w:pPr>
        <w:pStyle w:val="FigureSource"/>
        <w:rPr>
          <w:lang w:eastAsia="zh-CN"/>
        </w:rPr>
      </w:pPr>
    </w:p>
    <w:p w:rsidR="008E2BAC" w:rsidRPr="008E2BAC" w:rsidRDefault="008E2BAC" w:rsidP="008E2BAC">
      <w:pPr>
        <w:rPr>
          <w:lang w:val="en-US" w:eastAsia="zh-CN"/>
        </w:rPr>
      </w:pPr>
    </w:p>
    <w:p w:rsidR="00E56335" w:rsidRPr="00F50942" w:rsidRDefault="00E56335" w:rsidP="00E56335">
      <w:pPr>
        <w:pStyle w:val="FigureTitle"/>
      </w:pPr>
    </w:p>
    <w:p w:rsidR="00E56335" w:rsidRPr="00F50942" w:rsidRDefault="00E56335" w:rsidP="00E56335">
      <w:pPr>
        <w:ind w:left="1599" w:hanging="902"/>
        <w:jc w:val="center"/>
        <w:rPr>
          <w:szCs w:val="19"/>
        </w:rPr>
      </w:pPr>
      <w:r>
        <w:rPr>
          <w:noProof/>
          <w:szCs w:val="19"/>
          <w:lang w:val="en-US" w:eastAsia="zh-CN"/>
        </w:rPr>
        <w:drawing>
          <wp:inline distT="0" distB="0" distL="0" distR="0">
            <wp:extent cx="4933950" cy="4267200"/>
            <wp:effectExtent l="19050" t="0" r="0" b="0"/>
            <wp:docPr id="14" name="Picture 2" descr="UAE-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E-TRA"/>
                    <pic:cNvPicPr>
                      <a:picLocks noChangeAspect="1" noChangeArrowheads="1"/>
                    </pic:cNvPicPr>
                  </pic:nvPicPr>
                  <pic:blipFill>
                    <a:blip r:embed="rId24" cstate="print"/>
                    <a:srcRect/>
                    <a:stretch>
                      <a:fillRect/>
                    </a:stretch>
                  </pic:blipFill>
                  <pic:spPr bwMode="auto">
                    <a:xfrm>
                      <a:off x="0" y="0"/>
                      <a:ext cx="4933950" cy="4267200"/>
                    </a:xfrm>
                    <a:prstGeom prst="rect">
                      <a:avLst/>
                    </a:prstGeom>
                    <a:noFill/>
                    <a:ln w="9525">
                      <a:noFill/>
                      <a:miter lim="800000"/>
                      <a:headEnd/>
                      <a:tailEnd/>
                    </a:ln>
                  </pic:spPr>
                </pic:pic>
              </a:graphicData>
            </a:graphic>
          </wp:inline>
        </w:drawing>
      </w:r>
    </w:p>
    <w:p w:rsidR="00E56335" w:rsidRPr="00F50942" w:rsidRDefault="00E56335" w:rsidP="00E56335">
      <w:pPr>
        <w:pStyle w:val="TableNotitle"/>
        <w:rPr>
          <w:sz w:val="19"/>
          <w:szCs w:val="19"/>
        </w:rPr>
      </w:pPr>
      <w:r w:rsidRPr="00F50942">
        <w:rPr>
          <w:sz w:val="19"/>
          <w:szCs w:val="19"/>
        </w:rPr>
        <w:t xml:space="preserve">Satellite view of the </w:t>
      </w:r>
      <w:smartTag w:uri="urn:schemas-microsoft-com:office:smarttags" w:element="place">
        <w:smartTag w:uri="urn:schemas-microsoft-com:office:smarttags" w:element="country-region">
          <w:r w:rsidRPr="00F50942">
            <w:rPr>
              <w:sz w:val="19"/>
              <w:szCs w:val="19"/>
            </w:rPr>
            <w:t>United Arab Emirates</w:t>
          </w:r>
        </w:smartTag>
      </w:smartTag>
      <w:r w:rsidRPr="00F50942">
        <w:rPr>
          <w:sz w:val="19"/>
          <w:szCs w:val="19"/>
        </w:rPr>
        <w:t xml:space="preserve"> with marked Service Zones</w:t>
      </w:r>
    </w:p>
    <w:p w:rsidR="00E56335" w:rsidRPr="00F50942" w:rsidRDefault="00E56335" w:rsidP="00E56335">
      <w:pPr>
        <w:ind w:left="3800" w:hanging="2200"/>
        <w:rPr>
          <w:b/>
          <w:szCs w:val="19"/>
        </w:rPr>
      </w:pPr>
      <w:r w:rsidRPr="00F50942">
        <w:rPr>
          <w:b/>
          <w:szCs w:val="19"/>
        </w:rPr>
        <w:t>Red Zones:</w:t>
      </w:r>
      <w:r w:rsidRPr="00F50942">
        <w:rPr>
          <w:b/>
          <w:szCs w:val="19"/>
        </w:rPr>
        <w:tab/>
        <w:t>Service Zone Factor D high (1.00)</w:t>
      </w:r>
    </w:p>
    <w:p w:rsidR="00E56335" w:rsidRPr="00F50942" w:rsidRDefault="00E56335" w:rsidP="00E56335">
      <w:pPr>
        <w:ind w:left="3800" w:hanging="2200"/>
        <w:rPr>
          <w:b/>
          <w:szCs w:val="19"/>
        </w:rPr>
      </w:pPr>
      <w:r w:rsidRPr="00F50942">
        <w:rPr>
          <w:b/>
          <w:szCs w:val="19"/>
        </w:rPr>
        <w:t>Green Zones:</w:t>
      </w:r>
      <w:r w:rsidRPr="00F50942">
        <w:rPr>
          <w:b/>
          <w:szCs w:val="19"/>
        </w:rPr>
        <w:tab/>
        <w:t>Service Zone Factor D medium (0.75)</w:t>
      </w:r>
    </w:p>
    <w:p w:rsidR="00E56335" w:rsidRPr="00F50942" w:rsidRDefault="00E56335" w:rsidP="00E56335">
      <w:pPr>
        <w:ind w:left="3800" w:hanging="2200"/>
        <w:rPr>
          <w:b/>
          <w:szCs w:val="19"/>
        </w:rPr>
      </w:pPr>
      <w:r w:rsidRPr="00F50942">
        <w:rPr>
          <w:b/>
          <w:szCs w:val="19"/>
        </w:rPr>
        <w:t>Remaining Zones:</w:t>
      </w:r>
      <w:r w:rsidRPr="00F50942">
        <w:rPr>
          <w:b/>
          <w:szCs w:val="19"/>
        </w:rPr>
        <w:tab/>
        <w:t>Service Zone Factor D low (0.50)</w:t>
      </w:r>
    </w:p>
    <w:p w:rsidR="00E56335" w:rsidRDefault="00E56335" w:rsidP="00E56335">
      <w:pPr>
        <w:pStyle w:val="FigureSource"/>
      </w:pPr>
    </w:p>
    <w:p w:rsidR="00E56335" w:rsidRPr="00F50942" w:rsidRDefault="00E56335" w:rsidP="00E56335">
      <w:pPr>
        <w:ind w:left="1191" w:hanging="1191"/>
        <w:rPr>
          <w:szCs w:val="19"/>
        </w:rPr>
      </w:pPr>
      <w:r w:rsidRPr="00F50942">
        <w:rPr>
          <w:b/>
          <w:szCs w:val="19"/>
        </w:rPr>
        <w:tab/>
      </w:r>
      <w:r w:rsidRPr="00F50942">
        <w:rPr>
          <w:b/>
          <w:szCs w:val="19"/>
        </w:rPr>
        <w:tab/>
        <w:t>Note 1:</w:t>
      </w:r>
      <w:r w:rsidRPr="00F50942">
        <w:rPr>
          <w:szCs w:val="19"/>
        </w:rPr>
        <w:tab/>
        <w:t>Any transmission from a certain location having medium or low Service Zone Factor into (partly or entirely) a Service Zone of higher level will upgrade this particular station in Service Zone Factor to the higher level which may be also a two step increase.</w:t>
      </w:r>
    </w:p>
    <w:p w:rsidR="00E56335" w:rsidRPr="00F50942" w:rsidRDefault="00E56335" w:rsidP="00E56335">
      <w:pPr>
        <w:ind w:left="1191" w:hanging="1191"/>
        <w:rPr>
          <w:szCs w:val="19"/>
        </w:rPr>
      </w:pPr>
      <w:r w:rsidRPr="00F50942">
        <w:rPr>
          <w:b/>
          <w:szCs w:val="19"/>
        </w:rPr>
        <w:tab/>
      </w:r>
      <w:r w:rsidRPr="00F50942">
        <w:rPr>
          <w:b/>
          <w:szCs w:val="19"/>
        </w:rPr>
        <w:tab/>
        <w:t>Note 2:</w:t>
      </w:r>
      <w:r w:rsidRPr="00F50942">
        <w:rPr>
          <w:szCs w:val="19"/>
        </w:rPr>
        <w:tab/>
        <w:t xml:space="preserve">For Broadcasting Services in the HF and lower frequency bands, the Service Zone Factor = 1. </w:t>
      </w:r>
    </w:p>
    <w:p w:rsidR="00E56335" w:rsidRPr="00F50942" w:rsidRDefault="00E56335" w:rsidP="00E56335">
      <w:pPr>
        <w:ind w:left="1191" w:hanging="1191"/>
        <w:rPr>
          <w:b/>
          <w:bCs/>
          <w:szCs w:val="19"/>
        </w:rPr>
      </w:pPr>
      <w:r w:rsidRPr="00F50942">
        <w:rPr>
          <w:b/>
          <w:szCs w:val="19"/>
        </w:rPr>
        <w:tab/>
      </w:r>
      <w:r w:rsidRPr="00F50942">
        <w:rPr>
          <w:b/>
          <w:szCs w:val="19"/>
        </w:rPr>
        <w:tab/>
        <w:t>E = Antenna Height Factor as follows:</w:t>
      </w:r>
    </w:p>
    <w:p w:rsidR="00E56335" w:rsidRPr="00F50942" w:rsidRDefault="00E56335" w:rsidP="00E56335">
      <w:pPr>
        <w:ind w:left="1191" w:hanging="1191"/>
        <w:rPr>
          <w:szCs w:val="19"/>
        </w:rPr>
      </w:pPr>
      <w:r w:rsidRPr="00F50942">
        <w:rPr>
          <w:szCs w:val="19"/>
        </w:rPr>
        <w:tab/>
      </w:r>
      <w:r w:rsidRPr="00F50942">
        <w:rPr>
          <w:szCs w:val="19"/>
        </w:rPr>
        <w:tab/>
        <w:t>The Antenna Height Factor is calculated as follows:</w:t>
      </w:r>
    </w:p>
    <w:p w:rsidR="00E56335" w:rsidRPr="00F50942" w:rsidRDefault="00E56335" w:rsidP="00E56335">
      <w:pPr>
        <w:ind w:left="2160" w:hanging="1463"/>
        <w:rPr>
          <w:b/>
          <w:bCs/>
          <w:szCs w:val="19"/>
          <w:vertAlign w:val="subscript"/>
        </w:rPr>
      </w:pPr>
      <w:r w:rsidRPr="00F50942">
        <w:rPr>
          <w:b/>
          <w:szCs w:val="19"/>
        </w:rPr>
        <w:tab/>
      </w:r>
      <w:r w:rsidRPr="00F50942">
        <w:rPr>
          <w:b/>
          <w:szCs w:val="19"/>
        </w:rPr>
        <w:tab/>
        <w:t>E = H</w:t>
      </w:r>
      <w:r w:rsidRPr="00F50942">
        <w:rPr>
          <w:b/>
          <w:szCs w:val="19"/>
          <w:vertAlign w:val="subscript"/>
        </w:rPr>
        <w:t>ASL</w:t>
      </w:r>
      <w:r w:rsidRPr="00F50942">
        <w:rPr>
          <w:b/>
          <w:szCs w:val="19"/>
        </w:rPr>
        <w:t xml:space="preserve"> + H</w:t>
      </w:r>
      <w:r w:rsidRPr="00F50942">
        <w:rPr>
          <w:b/>
          <w:szCs w:val="19"/>
          <w:vertAlign w:val="subscript"/>
        </w:rPr>
        <w:t>AGL</w:t>
      </w:r>
    </w:p>
    <w:p w:rsidR="00E56335" w:rsidRPr="00F50942" w:rsidRDefault="00E56335" w:rsidP="00E56335">
      <w:pPr>
        <w:ind w:left="1191" w:hanging="1191"/>
        <w:rPr>
          <w:szCs w:val="19"/>
        </w:rPr>
      </w:pPr>
      <w:r w:rsidRPr="00F50942">
        <w:rPr>
          <w:szCs w:val="19"/>
        </w:rPr>
        <w:tab/>
      </w:r>
      <w:r w:rsidRPr="00F50942">
        <w:rPr>
          <w:szCs w:val="19"/>
        </w:rPr>
        <w:tab/>
        <w:t xml:space="preserve">whereby </w:t>
      </w:r>
      <w:r w:rsidRPr="00F50942">
        <w:rPr>
          <w:b/>
          <w:szCs w:val="19"/>
        </w:rPr>
        <w:t>H</w:t>
      </w:r>
      <w:r w:rsidRPr="00F50942">
        <w:rPr>
          <w:b/>
          <w:szCs w:val="19"/>
          <w:vertAlign w:val="subscript"/>
        </w:rPr>
        <w:t>ASL</w:t>
      </w:r>
      <w:r w:rsidRPr="00F50942">
        <w:rPr>
          <w:szCs w:val="19"/>
        </w:rPr>
        <w:t xml:space="preserve"> is the height above sea level in meters and </w:t>
      </w:r>
      <w:r w:rsidRPr="00F50942">
        <w:rPr>
          <w:b/>
          <w:szCs w:val="19"/>
        </w:rPr>
        <w:t>H</w:t>
      </w:r>
      <w:r w:rsidRPr="00F50942">
        <w:rPr>
          <w:b/>
          <w:szCs w:val="19"/>
          <w:vertAlign w:val="subscript"/>
        </w:rPr>
        <w:t>AGL</w:t>
      </w:r>
      <w:r w:rsidRPr="00F50942">
        <w:rPr>
          <w:szCs w:val="19"/>
        </w:rPr>
        <w:t xml:space="preserve"> is the height above ground level in meters.</w:t>
      </w:r>
    </w:p>
    <w:p w:rsidR="00E56335" w:rsidRPr="00F50942" w:rsidRDefault="00E56335" w:rsidP="00E56335">
      <w:pPr>
        <w:ind w:left="1191" w:hanging="1191"/>
        <w:rPr>
          <w:szCs w:val="19"/>
        </w:rPr>
      </w:pPr>
      <w:r w:rsidRPr="00F50942">
        <w:rPr>
          <w:szCs w:val="19"/>
        </w:rPr>
        <w:tab/>
      </w:r>
      <w:r w:rsidRPr="00F50942">
        <w:rPr>
          <w:szCs w:val="19"/>
        </w:rPr>
        <w:tab/>
      </w:r>
      <w:r w:rsidRPr="00F50942">
        <w:rPr>
          <w:b/>
          <w:szCs w:val="19"/>
        </w:rPr>
        <w:t>F = Correction Factor</w:t>
      </w:r>
      <w:r w:rsidRPr="00F50942">
        <w:rPr>
          <w:szCs w:val="19"/>
        </w:rPr>
        <w:t xml:space="preserve"> as follows:</w:t>
      </w:r>
    </w:p>
    <w:p w:rsidR="00E56335" w:rsidRPr="007408F0" w:rsidRDefault="00E56335" w:rsidP="00E56335">
      <w:pPr>
        <w:pStyle w:val="enumlev1"/>
        <w:ind w:left="1588" w:hanging="1588"/>
        <w:rPr>
          <w:rFonts w:asciiTheme="majorBidi" w:hAnsiTheme="majorBidi" w:cstheme="majorBidi"/>
          <w:szCs w:val="22"/>
        </w:rPr>
      </w:pPr>
      <w:r w:rsidRPr="007408F0">
        <w:rPr>
          <w:rFonts w:asciiTheme="majorBidi" w:hAnsiTheme="majorBidi" w:cstheme="majorBidi"/>
          <w:szCs w:val="22"/>
        </w:rPr>
        <w:tab/>
      </w:r>
      <w:r w:rsidRPr="007408F0">
        <w:rPr>
          <w:rFonts w:asciiTheme="majorBidi" w:hAnsiTheme="majorBidi" w:cstheme="majorBidi"/>
          <w:szCs w:val="22"/>
        </w:rPr>
        <w:tab/>
        <w:t>a)</w:t>
      </w:r>
      <w:r w:rsidRPr="007408F0">
        <w:rPr>
          <w:rFonts w:asciiTheme="majorBidi" w:hAnsiTheme="majorBidi" w:cstheme="majorBidi"/>
          <w:szCs w:val="22"/>
        </w:rPr>
        <w:tab/>
        <w:t>For Governmental Broadcasting Stations which are operating on a non-commercial base, a Correction Factor (F) of 0.5 shall be applied.</w:t>
      </w:r>
    </w:p>
    <w:p w:rsidR="00E56335" w:rsidRPr="007408F0" w:rsidRDefault="00E56335" w:rsidP="00E56335">
      <w:pPr>
        <w:pStyle w:val="enumlev1"/>
        <w:ind w:left="1588" w:hanging="1588"/>
        <w:rPr>
          <w:rFonts w:asciiTheme="majorBidi" w:hAnsiTheme="majorBidi" w:cstheme="majorBidi"/>
          <w:szCs w:val="22"/>
        </w:rPr>
      </w:pPr>
      <w:r w:rsidRPr="007408F0">
        <w:rPr>
          <w:rFonts w:asciiTheme="majorBidi" w:hAnsiTheme="majorBidi" w:cstheme="majorBidi"/>
          <w:szCs w:val="22"/>
        </w:rPr>
        <w:lastRenderedPageBreak/>
        <w:tab/>
      </w:r>
      <w:r w:rsidRPr="007408F0">
        <w:rPr>
          <w:rFonts w:asciiTheme="majorBidi" w:hAnsiTheme="majorBidi" w:cstheme="majorBidi"/>
          <w:szCs w:val="22"/>
        </w:rPr>
        <w:tab/>
        <w:t>b)</w:t>
      </w:r>
      <w:r w:rsidRPr="007408F0">
        <w:rPr>
          <w:rFonts w:asciiTheme="majorBidi" w:hAnsiTheme="majorBidi" w:cstheme="majorBidi"/>
          <w:szCs w:val="22"/>
        </w:rPr>
        <w:tab/>
        <w:t>For promoting new digital terrestrial audio and video broadcasting technologies, a reduction of 25% shall be granted during the period before 2015; (i.e. Correction Factor = 0.75). This reduction is only limited to the above specified period and maybe accompanied with other conditions made by the TRA.</w:t>
      </w:r>
    </w:p>
    <w:p w:rsidR="00E56335" w:rsidRPr="007408F0" w:rsidRDefault="00E56335" w:rsidP="00E56335">
      <w:pPr>
        <w:pStyle w:val="enumlev1"/>
        <w:ind w:left="1588" w:hanging="1588"/>
        <w:rPr>
          <w:rFonts w:asciiTheme="majorBidi" w:hAnsiTheme="majorBidi" w:cstheme="majorBidi"/>
          <w:szCs w:val="22"/>
        </w:rPr>
      </w:pPr>
      <w:r w:rsidRPr="007408F0">
        <w:rPr>
          <w:rFonts w:asciiTheme="majorBidi" w:hAnsiTheme="majorBidi" w:cstheme="majorBidi"/>
          <w:szCs w:val="22"/>
        </w:rPr>
        <w:tab/>
      </w:r>
      <w:r w:rsidRPr="007408F0">
        <w:rPr>
          <w:rFonts w:asciiTheme="majorBidi" w:hAnsiTheme="majorBidi" w:cstheme="majorBidi"/>
          <w:szCs w:val="22"/>
        </w:rPr>
        <w:tab/>
        <w:t>c)</w:t>
      </w:r>
      <w:r w:rsidRPr="007408F0">
        <w:rPr>
          <w:rFonts w:asciiTheme="majorBidi" w:hAnsiTheme="majorBidi" w:cstheme="majorBidi"/>
          <w:szCs w:val="22"/>
        </w:rPr>
        <w:tab/>
        <w:t>For all other assignments, the value of Correction Factor = 1.</w:t>
      </w:r>
    </w:p>
    <w:p w:rsidR="00E56335" w:rsidRPr="00F50942" w:rsidRDefault="00E56335" w:rsidP="00E56335">
      <w:pPr>
        <w:pStyle w:val="Heading2"/>
      </w:pPr>
      <w:bookmarkStart w:id="350" w:name="_Toc280260046"/>
      <w:bookmarkStart w:id="351" w:name="_Toc280272507"/>
      <w:bookmarkStart w:id="352" w:name="_Toc288643004"/>
      <w:bookmarkStart w:id="353" w:name="_Toc195057826"/>
      <w:r w:rsidRPr="00F50942">
        <w:t>26.2</w:t>
      </w:r>
      <w:r w:rsidRPr="00F50942">
        <w:tab/>
        <w:t>HF Seasonal Sound Broadcasting:</w:t>
      </w:r>
      <w:bookmarkEnd w:id="350"/>
      <w:bookmarkEnd w:id="351"/>
      <w:bookmarkEnd w:id="352"/>
    </w:p>
    <w:p w:rsidR="00E56335" w:rsidRPr="00F50942" w:rsidRDefault="00E56335" w:rsidP="00E56335">
      <w:pPr>
        <w:rPr>
          <w:szCs w:val="19"/>
        </w:rPr>
      </w:pPr>
      <w:r w:rsidRPr="00F50942">
        <w:rPr>
          <w:szCs w:val="19"/>
        </w:rPr>
        <w:t>For HF Seasonal Sound Broadcasting Services, the Spectrum Fee shall be charged per transmitter basis and for each transmitter the annual Spectrum Fees shall be:</w:t>
      </w:r>
    </w:p>
    <w:p w:rsidR="00E56335" w:rsidRPr="00F50942" w:rsidRDefault="00E56335" w:rsidP="00E56335">
      <w:pPr>
        <w:rPr>
          <w:szCs w:val="19"/>
        </w:rPr>
      </w:pPr>
      <w:r w:rsidRPr="00F50942">
        <w:rPr>
          <w:szCs w:val="19"/>
        </w:rPr>
        <w:t xml:space="preserve">Spectrum Fees = AED 30,000/-  </w:t>
      </w:r>
    </w:p>
    <w:p w:rsidR="00E56335" w:rsidRPr="00F50942" w:rsidRDefault="00E56335" w:rsidP="00E56335">
      <w:pPr>
        <w:pStyle w:val="Heading2"/>
      </w:pPr>
      <w:bookmarkStart w:id="354" w:name="_Toc280260047"/>
      <w:bookmarkStart w:id="355" w:name="_Toc280272508"/>
      <w:bookmarkStart w:id="356" w:name="_Toc288643005"/>
      <w:bookmarkEnd w:id="353"/>
      <w:r w:rsidRPr="00F50942">
        <w:t>26.3</w:t>
      </w:r>
      <w:r w:rsidRPr="00F50942">
        <w:tab/>
        <w:t>Satellite Radio and Television Broadcasting</w:t>
      </w:r>
      <w:bookmarkEnd w:id="354"/>
      <w:bookmarkEnd w:id="355"/>
      <w:bookmarkEnd w:id="356"/>
    </w:p>
    <w:p w:rsidR="00E56335" w:rsidRPr="00F50942" w:rsidRDefault="00E56335" w:rsidP="00E56335">
      <w:pPr>
        <w:rPr>
          <w:szCs w:val="19"/>
        </w:rPr>
      </w:pPr>
      <w:r w:rsidRPr="00F50942">
        <w:rPr>
          <w:szCs w:val="19"/>
        </w:rPr>
        <w:t>Up linking of DAB and DVB-SH shall be charged at 200,000 AED per multiplex unit, DVB-S and DVB-RCS by 400,000 AED per multiplex unit.</w:t>
      </w:r>
    </w:p>
    <w:p w:rsidR="00E56335" w:rsidRPr="00F50942" w:rsidRDefault="00E56335" w:rsidP="00E56335">
      <w:pPr>
        <w:rPr>
          <w:szCs w:val="19"/>
        </w:rPr>
      </w:pPr>
      <w:r w:rsidRPr="00F50942">
        <w:rPr>
          <w:szCs w:val="19"/>
        </w:rPr>
        <w:t>A multiplex unit is defined as one channel (signal) with appropriate bandwidth containing several programmes combined by digital multiplexing and compressing.</w:t>
      </w:r>
    </w:p>
    <w:p w:rsidR="00E56335" w:rsidRPr="00F50942" w:rsidRDefault="00E56335" w:rsidP="00E56335">
      <w:pPr>
        <w:pStyle w:val="Arttitle"/>
        <w:spacing w:before="400"/>
      </w:pPr>
      <w:bookmarkStart w:id="357" w:name="_Toc280261849"/>
      <w:bookmarkStart w:id="358" w:name="_Toc280262347"/>
      <w:bookmarkStart w:id="359" w:name="_Toc280272741"/>
      <w:bookmarkStart w:id="360" w:name="_Toc280272920"/>
      <w:r w:rsidRPr="00F50942">
        <w:t>Article 27</w:t>
      </w:r>
      <w:r>
        <w:br/>
      </w:r>
      <w:r>
        <w:br/>
      </w:r>
      <w:bookmarkStart w:id="361" w:name="_Toc199215050"/>
      <w:r w:rsidRPr="00F50942">
        <w:t xml:space="preserve">Short </w:t>
      </w:r>
      <w:smartTag w:uri="urn:schemas-microsoft-com:office:smarttags" w:element="PlaceType">
        <w:r w:rsidRPr="00F50942">
          <w:t>Range</w:t>
        </w:r>
      </w:smartTag>
      <w:r w:rsidRPr="00F50942">
        <w:t xml:space="preserve"> Devices</w:t>
      </w:r>
      <w:bookmarkEnd w:id="357"/>
      <w:bookmarkEnd w:id="358"/>
      <w:bookmarkEnd w:id="359"/>
      <w:bookmarkEnd w:id="360"/>
      <w:bookmarkEnd w:id="361"/>
    </w:p>
    <w:p w:rsidR="00E56335" w:rsidRPr="00CA4845" w:rsidRDefault="00E56335" w:rsidP="00E56335">
      <w:pPr>
        <w:pStyle w:val="enumlev1"/>
        <w:rPr>
          <w:rFonts w:asciiTheme="majorBidi" w:hAnsiTheme="majorBidi" w:cstheme="majorBidi"/>
          <w:szCs w:val="22"/>
        </w:rPr>
      </w:pPr>
      <w:r w:rsidRPr="00CA4845">
        <w:rPr>
          <w:rFonts w:asciiTheme="majorBidi" w:hAnsiTheme="majorBidi" w:cstheme="majorBidi"/>
          <w:szCs w:val="22"/>
        </w:rPr>
        <w:t>27.1</w:t>
      </w:r>
      <w:r w:rsidRPr="00CA4845">
        <w:rPr>
          <w:rFonts w:asciiTheme="majorBidi" w:hAnsiTheme="majorBidi" w:cstheme="majorBidi"/>
          <w:szCs w:val="22"/>
        </w:rPr>
        <w:tab/>
        <w:t>All Wireless Transmission equipment meeting the criteria of the Short Range Devices as determined by the TRA shall be exempted from the annual Spectrum Fees. Class Authorization shall be issued for such Wireless Transmission equipment.</w:t>
      </w:r>
    </w:p>
    <w:p w:rsidR="00E56335" w:rsidRPr="00CA4845" w:rsidRDefault="00E56335" w:rsidP="00E56335">
      <w:pPr>
        <w:pStyle w:val="enumlev1"/>
        <w:rPr>
          <w:rFonts w:asciiTheme="majorBidi" w:hAnsiTheme="majorBidi" w:cstheme="majorBidi"/>
          <w:szCs w:val="22"/>
        </w:rPr>
      </w:pPr>
      <w:r w:rsidRPr="00CA4845">
        <w:rPr>
          <w:rFonts w:asciiTheme="majorBidi" w:hAnsiTheme="majorBidi" w:cstheme="majorBidi"/>
          <w:szCs w:val="22"/>
        </w:rPr>
        <w:t>27.2</w:t>
      </w:r>
      <w:r w:rsidRPr="00CA4845">
        <w:rPr>
          <w:rFonts w:asciiTheme="majorBidi" w:hAnsiTheme="majorBidi" w:cstheme="majorBidi"/>
          <w:szCs w:val="22"/>
        </w:rPr>
        <w:tab/>
        <w:t>Low Power Transmitting Equipment intended for strictly indoor use having less than 1 W effective radiated power and not categorized as short range device shall be charged as follows:</w:t>
      </w:r>
    </w:p>
    <w:p w:rsidR="00E56335" w:rsidRDefault="00E56335" w:rsidP="00E56335"/>
    <w:p w:rsidR="00E56335" w:rsidRDefault="00E56335" w:rsidP="00E56335">
      <w:pPr>
        <w:pStyle w:val="FigureTitle"/>
      </w:pPr>
      <w:r w:rsidRPr="00F50942">
        <w:t xml:space="preserve">Table </w:t>
      </w:r>
      <w:fldSimple w:instr=" SEQ Figure \* ARABIC ">
        <w:r>
          <w:rPr>
            <w:noProof/>
          </w:rPr>
          <w:t>4</w:t>
        </w:r>
      </w:fldSimple>
      <w:r w:rsidRPr="00F50942">
        <w:t xml:space="preserve"> – Annual Fee for Low Power Equipment</w:t>
      </w:r>
    </w:p>
    <w:p w:rsidR="00E56335" w:rsidRPr="00D125D9" w:rsidRDefault="00E56335" w:rsidP="00E56335">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0"/>
        <w:gridCol w:w="1628"/>
      </w:tblGrid>
      <w:tr w:rsidR="00E56335" w:rsidRPr="00F50942" w:rsidTr="00015D4C">
        <w:trPr>
          <w:jc w:val="center"/>
        </w:trPr>
        <w:tc>
          <w:tcPr>
            <w:tcW w:w="2470" w:type="dxa"/>
            <w:shd w:val="clear" w:color="auto" w:fill="E6E6E6"/>
            <w:vAlign w:val="center"/>
          </w:tcPr>
          <w:p w:rsidR="00E56335" w:rsidRPr="00D125D9" w:rsidRDefault="00E56335" w:rsidP="00015D4C">
            <w:pPr>
              <w:pStyle w:val="Tablehead"/>
              <w:spacing w:before="120" w:after="120"/>
              <w:rPr>
                <w:rFonts w:asciiTheme="majorBidi" w:hAnsiTheme="majorBidi" w:cstheme="majorBidi"/>
                <w:szCs w:val="22"/>
              </w:rPr>
            </w:pPr>
            <w:r w:rsidRPr="00D125D9">
              <w:rPr>
                <w:rFonts w:asciiTheme="majorBidi" w:hAnsiTheme="majorBidi" w:cstheme="majorBidi"/>
                <w:szCs w:val="22"/>
              </w:rPr>
              <w:t>Radiated Power</w:t>
            </w:r>
          </w:p>
        </w:tc>
        <w:tc>
          <w:tcPr>
            <w:tcW w:w="1628" w:type="dxa"/>
            <w:shd w:val="clear" w:color="auto" w:fill="E6E6E6"/>
            <w:vAlign w:val="center"/>
          </w:tcPr>
          <w:p w:rsidR="00E56335" w:rsidRPr="00D125D9" w:rsidRDefault="00E56335" w:rsidP="00015D4C">
            <w:pPr>
              <w:pStyle w:val="Tablehead"/>
              <w:spacing w:before="120" w:after="120"/>
              <w:rPr>
                <w:rFonts w:asciiTheme="majorBidi" w:hAnsiTheme="majorBidi" w:cstheme="majorBidi"/>
                <w:szCs w:val="22"/>
              </w:rPr>
            </w:pPr>
            <w:r w:rsidRPr="00D125D9">
              <w:rPr>
                <w:rFonts w:asciiTheme="majorBidi" w:hAnsiTheme="majorBidi" w:cstheme="majorBidi"/>
                <w:szCs w:val="22"/>
              </w:rPr>
              <w:t>Annual Fee</w:t>
            </w:r>
          </w:p>
        </w:tc>
      </w:tr>
      <w:tr w:rsidR="00E56335" w:rsidRPr="00F50942" w:rsidTr="00015D4C">
        <w:trPr>
          <w:trHeight w:val="340"/>
          <w:jc w:val="center"/>
        </w:trPr>
        <w:tc>
          <w:tcPr>
            <w:tcW w:w="2470" w:type="dxa"/>
            <w:vAlign w:val="center"/>
          </w:tcPr>
          <w:p w:rsidR="00E56335" w:rsidRPr="00D125D9" w:rsidRDefault="00E56335" w:rsidP="00015D4C">
            <w:pPr>
              <w:pStyle w:val="Tabletext"/>
              <w:rPr>
                <w:rFonts w:asciiTheme="majorBidi" w:hAnsiTheme="majorBidi" w:cstheme="majorBidi"/>
                <w:szCs w:val="22"/>
              </w:rPr>
            </w:pPr>
            <w:r w:rsidRPr="00D125D9">
              <w:rPr>
                <w:rFonts w:asciiTheme="majorBidi" w:hAnsiTheme="majorBidi" w:cstheme="majorBidi"/>
                <w:szCs w:val="22"/>
              </w:rPr>
              <w:t>up to 10 mW</w:t>
            </w:r>
          </w:p>
        </w:tc>
        <w:tc>
          <w:tcPr>
            <w:tcW w:w="1628" w:type="dxa"/>
            <w:vAlign w:val="center"/>
          </w:tcPr>
          <w:p w:rsidR="00E56335" w:rsidRPr="00D125D9" w:rsidRDefault="00E56335" w:rsidP="00015D4C">
            <w:pPr>
              <w:pStyle w:val="Tabletext"/>
              <w:jc w:val="center"/>
              <w:rPr>
                <w:rFonts w:asciiTheme="majorBidi" w:hAnsiTheme="majorBidi" w:cstheme="majorBidi"/>
                <w:szCs w:val="22"/>
              </w:rPr>
            </w:pPr>
            <w:r w:rsidRPr="00D125D9">
              <w:rPr>
                <w:rFonts w:asciiTheme="majorBidi" w:hAnsiTheme="majorBidi" w:cstheme="majorBidi"/>
                <w:szCs w:val="22"/>
              </w:rPr>
              <w:t>100 AED</w:t>
            </w:r>
          </w:p>
        </w:tc>
      </w:tr>
      <w:tr w:rsidR="00E56335" w:rsidRPr="00F50942" w:rsidTr="00015D4C">
        <w:trPr>
          <w:trHeight w:val="340"/>
          <w:jc w:val="center"/>
        </w:trPr>
        <w:tc>
          <w:tcPr>
            <w:tcW w:w="2470" w:type="dxa"/>
            <w:vAlign w:val="center"/>
          </w:tcPr>
          <w:p w:rsidR="00E56335" w:rsidRPr="00D125D9" w:rsidRDefault="00E56335" w:rsidP="00015D4C">
            <w:pPr>
              <w:pStyle w:val="Tabletext"/>
              <w:rPr>
                <w:rFonts w:asciiTheme="majorBidi" w:hAnsiTheme="majorBidi" w:cstheme="majorBidi"/>
                <w:szCs w:val="22"/>
              </w:rPr>
            </w:pPr>
            <w:r w:rsidRPr="00D125D9">
              <w:rPr>
                <w:rFonts w:asciiTheme="majorBidi" w:hAnsiTheme="majorBidi" w:cstheme="majorBidi"/>
                <w:szCs w:val="22"/>
              </w:rPr>
              <w:t>10 mW to 100 mW</w:t>
            </w:r>
          </w:p>
        </w:tc>
        <w:tc>
          <w:tcPr>
            <w:tcW w:w="1628" w:type="dxa"/>
            <w:vAlign w:val="center"/>
          </w:tcPr>
          <w:p w:rsidR="00E56335" w:rsidRPr="00D125D9" w:rsidRDefault="00E56335" w:rsidP="00015D4C">
            <w:pPr>
              <w:pStyle w:val="Tabletext"/>
              <w:jc w:val="center"/>
              <w:rPr>
                <w:rFonts w:asciiTheme="majorBidi" w:hAnsiTheme="majorBidi" w:cstheme="majorBidi"/>
                <w:szCs w:val="22"/>
              </w:rPr>
            </w:pPr>
            <w:r w:rsidRPr="00D125D9">
              <w:rPr>
                <w:rFonts w:asciiTheme="majorBidi" w:hAnsiTheme="majorBidi" w:cstheme="majorBidi"/>
                <w:szCs w:val="22"/>
              </w:rPr>
              <w:t>200 AED</w:t>
            </w:r>
          </w:p>
        </w:tc>
      </w:tr>
      <w:tr w:rsidR="00E56335" w:rsidRPr="00F50942" w:rsidTr="00015D4C">
        <w:trPr>
          <w:trHeight w:val="340"/>
          <w:jc w:val="center"/>
        </w:trPr>
        <w:tc>
          <w:tcPr>
            <w:tcW w:w="2470" w:type="dxa"/>
            <w:vAlign w:val="center"/>
          </w:tcPr>
          <w:p w:rsidR="00E56335" w:rsidRPr="00D125D9" w:rsidRDefault="00E56335" w:rsidP="00015D4C">
            <w:pPr>
              <w:pStyle w:val="Tabletext"/>
              <w:rPr>
                <w:rFonts w:asciiTheme="majorBidi" w:hAnsiTheme="majorBidi" w:cstheme="majorBidi"/>
                <w:szCs w:val="22"/>
              </w:rPr>
            </w:pPr>
            <w:r w:rsidRPr="00D125D9">
              <w:rPr>
                <w:rFonts w:asciiTheme="majorBidi" w:hAnsiTheme="majorBidi" w:cstheme="majorBidi"/>
                <w:szCs w:val="22"/>
              </w:rPr>
              <w:t>100 mW to 1 W</w:t>
            </w:r>
          </w:p>
        </w:tc>
        <w:tc>
          <w:tcPr>
            <w:tcW w:w="1628" w:type="dxa"/>
            <w:vAlign w:val="center"/>
          </w:tcPr>
          <w:p w:rsidR="00E56335" w:rsidRPr="00D125D9" w:rsidRDefault="00E56335" w:rsidP="00015D4C">
            <w:pPr>
              <w:pStyle w:val="Tabletext"/>
              <w:jc w:val="center"/>
              <w:rPr>
                <w:rFonts w:asciiTheme="majorBidi" w:hAnsiTheme="majorBidi" w:cstheme="majorBidi"/>
                <w:szCs w:val="22"/>
              </w:rPr>
            </w:pPr>
            <w:r w:rsidRPr="00D125D9">
              <w:rPr>
                <w:rFonts w:asciiTheme="majorBidi" w:hAnsiTheme="majorBidi" w:cstheme="majorBidi"/>
                <w:szCs w:val="22"/>
              </w:rPr>
              <w:t>400 AED</w:t>
            </w:r>
          </w:p>
        </w:tc>
      </w:tr>
    </w:tbl>
    <w:p w:rsidR="00E56335" w:rsidRDefault="00E56335" w:rsidP="00E56335">
      <w:pPr>
        <w:pStyle w:val="FigureSource"/>
      </w:pPr>
    </w:p>
    <w:p w:rsidR="00E56335" w:rsidRPr="00F50942" w:rsidRDefault="00E56335" w:rsidP="00E56335">
      <w:pPr>
        <w:pStyle w:val="Arttitle"/>
        <w:spacing w:before="400"/>
        <w:rPr>
          <w:bCs/>
        </w:rPr>
      </w:pPr>
      <w:bookmarkStart w:id="362" w:name="_Toc280261850"/>
      <w:bookmarkStart w:id="363" w:name="_Toc280262348"/>
      <w:bookmarkStart w:id="364" w:name="_Toc280272742"/>
      <w:bookmarkStart w:id="365" w:name="_Toc280272921"/>
      <w:r w:rsidRPr="00F50942">
        <w:t>Article 28</w:t>
      </w:r>
      <w:r>
        <w:rPr>
          <w:bCs/>
        </w:rPr>
        <w:br/>
      </w:r>
      <w:r>
        <w:rPr>
          <w:bCs/>
        </w:rPr>
        <w:br/>
      </w:r>
      <w:bookmarkStart w:id="366" w:name="_Toc199215051"/>
      <w:r w:rsidRPr="00F50942">
        <w:t>Emergency and disaster frequencies</w:t>
      </w:r>
      <w:bookmarkEnd w:id="362"/>
      <w:bookmarkEnd w:id="363"/>
      <w:bookmarkEnd w:id="364"/>
      <w:bookmarkEnd w:id="365"/>
      <w:bookmarkEnd w:id="366"/>
    </w:p>
    <w:p w:rsidR="00E56335" w:rsidRPr="00F50942" w:rsidRDefault="00E56335" w:rsidP="00E56335">
      <w:pPr>
        <w:rPr>
          <w:szCs w:val="19"/>
        </w:rPr>
      </w:pPr>
      <w:r w:rsidRPr="00F50942">
        <w:rPr>
          <w:szCs w:val="19"/>
        </w:rPr>
        <w:t xml:space="preserve">All emergency, distress and safety of life frequencies identified within the National Spectrum Plan and the National Table of Frequency Allocation shall not be charged. All Wireless Transmission equipment made exclusively for safety of life and accepted by the Director General of the TRA as falling within this category shall be exempted from the spectrum Fees. </w:t>
      </w:r>
    </w:p>
    <w:p w:rsidR="00E56335" w:rsidRPr="00F50942" w:rsidRDefault="00E56335" w:rsidP="00E56335">
      <w:pPr>
        <w:pStyle w:val="Arttitle"/>
        <w:spacing w:before="400"/>
      </w:pPr>
      <w:bookmarkStart w:id="367" w:name="_Toc280261851"/>
      <w:bookmarkStart w:id="368" w:name="_Toc280262349"/>
      <w:bookmarkStart w:id="369" w:name="_Toc280272743"/>
      <w:bookmarkStart w:id="370" w:name="_Toc280272922"/>
      <w:r w:rsidRPr="00F50942">
        <w:lastRenderedPageBreak/>
        <w:t>Article 29</w:t>
      </w:r>
      <w:r>
        <w:br/>
      </w:r>
      <w:r>
        <w:br/>
      </w:r>
      <w:bookmarkStart w:id="371" w:name="_Toc199215052"/>
      <w:r w:rsidRPr="00F50942">
        <w:t>Temporary Authorization</w:t>
      </w:r>
      <w:bookmarkEnd w:id="367"/>
      <w:bookmarkEnd w:id="368"/>
      <w:bookmarkEnd w:id="369"/>
      <w:bookmarkEnd w:id="370"/>
      <w:bookmarkEnd w:id="371"/>
    </w:p>
    <w:p w:rsidR="00E56335" w:rsidRPr="00F50942" w:rsidRDefault="00E56335" w:rsidP="00E56335">
      <w:pPr>
        <w:rPr>
          <w:szCs w:val="19"/>
        </w:rPr>
      </w:pPr>
      <w:r w:rsidRPr="00F50942">
        <w:rPr>
          <w:szCs w:val="19"/>
        </w:rPr>
        <w:t xml:space="preserve">Spectrum fees for temporary authorization will be calculated on pro-rata basis of the annual fees in accordance to the radio services. However, a minimum of 100 AED will be charged as spectrum fees in case the amount is less than 100 AED. The temporary spectrum charge will be in addition to the application processing fees. </w:t>
      </w:r>
    </w:p>
    <w:p w:rsidR="00E56335" w:rsidRPr="00F50942" w:rsidRDefault="00E56335" w:rsidP="00E56335">
      <w:pPr>
        <w:pStyle w:val="Arttitle"/>
        <w:spacing w:before="400"/>
      </w:pPr>
      <w:bookmarkStart w:id="372" w:name="_Toc280261852"/>
      <w:bookmarkStart w:id="373" w:name="_Toc280262350"/>
      <w:bookmarkStart w:id="374" w:name="_Toc280272744"/>
      <w:bookmarkStart w:id="375" w:name="_Toc280272923"/>
      <w:r w:rsidRPr="00F50942">
        <w:t>Article 30</w:t>
      </w:r>
      <w:r>
        <w:br/>
      </w:r>
      <w:r>
        <w:br/>
      </w:r>
      <w:bookmarkStart w:id="376" w:name="_Toc199215053"/>
      <w:r w:rsidRPr="00F50942">
        <w:t>Other Radio Services</w:t>
      </w:r>
      <w:bookmarkEnd w:id="372"/>
      <w:bookmarkEnd w:id="373"/>
      <w:bookmarkEnd w:id="374"/>
      <w:bookmarkEnd w:id="375"/>
      <w:bookmarkEnd w:id="376"/>
    </w:p>
    <w:p w:rsidR="00E56335" w:rsidRPr="00F50942" w:rsidRDefault="00E56335" w:rsidP="00E56335">
      <w:pPr>
        <w:rPr>
          <w:szCs w:val="19"/>
        </w:rPr>
      </w:pPr>
      <w:r w:rsidRPr="00F50942">
        <w:rPr>
          <w:szCs w:val="19"/>
        </w:rPr>
        <w:t xml:space="preserve">The annual fees of Radio Spectrum Authorization for any other Radio Services which are not covered above shall be determined by the TRA and shall be applicable on approval by the Director General, even before inclusion in the revised issue of this policy. </w:t>
      </w:r>
    </w:p>
    <w:p w:rsidR="00E56335" w:rsidRPr="00F50942" w:rsidRDefault="00E56335" w:rsidP="00E56335">
      <w:pPr>
        <w:pStyle w:val="Arttitle"/>
        <w:spacing w:before="400"/>
      </w:pPr>
      <w:bookmarkStart w:id="377" w:name="_Toc280261853"/>
      <w:bookmarkStart w:id="378" w:name="_Toc280262351"/>
      <w:bookmarkStart w:id="379" w:name="_Toc280272745"/>
      <w:bookmarkStart w:id="380" w:name="_Toc280272924"/>
      <w:r w:rsidRPr="00F50942">
        <w:t>Article 31</w:t>
      </w:r>
      <w:r>
        <w:br/>
      </w:r>
      <w:r>
        <w:br/>
      </w:r>
      <w:bookmarkStart w:id="381" w:name="_Toc199215054"/>
      <w:r w:rsidRPr="00F50942">
        <w:t>Interference complaints processing and monitoring fees</w:t>
      </w:r>
      <w:bookmarkEnd w:id="377"/>
      <w:bookmarkEnd w:id="378"/>
      <w:bookmarkEnd w:id="379"/>
      <w:bookmarkEnd w:id="380"/>
      <w:bookmarkEnd w:id="381"/>
    </w:p>
    <w:p w:rsidR="00E56335" w:rsidRPr="00F50942" w:rsidRDefault="00E56335" w:rsidP="00E56335">
      <w:pPr>
        <w:rPr>
          <w:color w:val="000000"/>
          <w:szCs w:val="19"/>
        </w:rPr>
      </w:pPr>
      <w:r w:rsidRPr="00F50942">
        <w:rPr>
          <w:szCs w:val="19"/>
        </w:rPr>
        <w:t>The TRA shall determine the interference complaints processing and monitoring fees on case to case basis subject to the approval by the</w:t>
      </w:r>
      <w:r w:rsidRPr="00F50942">
        <w:rPr>
          <w:color w:val="000000"/>
          <w:szCs w:val="19"/>
        </w:rPr>
        <w:t xml:space="preserve"> Director General. </w:t>
      </w:r>
    </w:p>
    <w:p w:rsidR="00E56335" w:rsidRPr="00F50942" w:rsidRDefault="00E56335" w:rsidP="00E56335">
      <w:pPr>
        <w:pStyle w:val="Arttitle"/>
        <w:spacing w:before="400"/>
      </w:pPr>
      <w:bookmarkStart w:id="382" w:name="_Toc280261854"/>
      <w:bookmarkStart w:id="383" w:name="_Toc280262352"/>
      <w:bookmarkStart w:id="384" w:name="_Toc280272746"/>
      <w:bookmarkStart w:id="385" w:name="_Toc280272925"/>
      <w:r w:rsidRPr="00F50942">
        <w:t>Article 32</w:t>
      </w:r>
      <w:r>
        <w:br/>
      </w:r>
      <w:bookmarkStart w:id="386" w:name="_Toc199215055"/>
      <w:r>
        <w:br/>
      </w:r>
      <w:r w:rsidRPr="00F50942">
        <w:t>Fees for the Foreign Embassies, Consulates and Diplomatic Missions</w:t>
      </w:r>
      <w:bookmarkEnd w:id="382"/>
      <w:bookmarkEnd w:id="383"/>
      <w:bookmarkEnd w:id="384"/>
      <w:bookmarkEnd w:id="385"/>
      <w:bookmarkEnd w:id="386"/>
    </w:p>
    <w:p w:rsidR="00E56335" w:rsidRPr="00F50942" w:rsidRDefault="00E56335" w:rsidP="00E56335">
      <w:pPr>
        <w:rPr>
          <w:szCs w:val="19"/>
        </w:rPr>
      </w:pPr>
      <w:r w:rsidRPr="00F50942">
        <w:rPr>
          <w:szCs w:val="19"/>
        </w:rPr>
        <w:t xml:space="preserve">The Foreign Embassies, Consulates, Diplomatic Missions and the State visits of dignitaries shall be exempted from the Spectrum Fees provided the same exemption is available for the UAE Embassy, Consulate and </w:t>
      </w:r>
      <w:smartTag w:uri="urn:schemas-microsoft-com:office:smarttags" w:element="place">
        <w:smartTag w:uri="urn:schemas-microsoft-com:office:smarttags" w:element="City">
          <w:r w:rsidRPr="00F50942">
            <w:rPr>
              <w:szCs w:val="19"/>
            </w:rPr>
            <w:t>Mission</w:t>
          </w:r>
        </w:smartTag>
      </w:smartTag>
      <w:r w:rsidRPr="00F50942">
        <w:rPr>
          <w:szCs w:val="19"/>
        </w:rPr>
        <w:t xml:space="preserve"> in the country of origin. This exemption shall be applicable for official correspondence which falls within the scope of the Vienna Convention for diplomatic correspondence and forwarded through the Ministry of Foreign Affairs of the UAE. </w:t>
      </w:r>
    </w:p>
    <w:p w:rsidR="00E56335" w:rsidRPr="00F50942" w:rsidRDefault="00E56335" w:rsidP="00E56335">
      <w:pPr>
        <w:pStyle w:val="Arttitle"/>
        <w:spacing w:before="400"/>
      </w:pPr>
      <w:bookmarkStart w:id="387" w:name="_Toc280261855"/>
      <w:bookmarkStart w:id="388" w:name="_Toc280262353"/>
      <w:bookmarkStart w:id="389" w:name="_Toc280272747"/>
      <w:bookmarkStart w:id="390" w:name="_Toc280272926"/>
      <w:r w:rsidRPr="00F50942">
        <w:t>Article 33</w:t>
      </w:r>
      <w:r>
        <w:br/>
      </w:r>
      <w:r>
        <w:br/>
      </w:r>
      <w:r w:rsidRPr="00F50942">
        <w:t>Fees for Site Surveys</w:t>
      </w:r>
      <w:bookmarkEnd w:id="387"/>
      <w:bookmarkEnd w:id="388"/>
      <w:bookmarkEnd w:id="389"/>
      <w:bookmarkEnd w:id="390"/>
    </w:p>
    <w:p w:rsidR="00E56335" w:rsidRPr="00F50942" w:rsidRDefault="00E56335" w:rsidP="00E56335">
      <w:pPr>
        <w:rPr>
          <w:szCs w:val="19"/>
        </w:rPr>
      </w:pPr>
      <w:r w:rsidRPr="00F50942">
        <w:rPr>
          <w:szCs w:val="19"/>
        </w:rPr>
        <w:t>The following fees shall be charged for the site survey conducted by the Authority upon request from the Authorized User for technical assistance:</w:t>
      </w:r>
    </w:p>
    <w:p w:rsidR="00E56335" w:rsidRPr="00F50942" w:rsidRDefault="00E56335" w:rsidP="00E56335">
      <w:pPr>
        <w:ind w:left="1191" w:hanging="1191"/>
        <w:rPr>
          <w:szCs w:val="19"/>
        </w:rPr>
      </w:pPr>
      <w:r w:rsidRPr="00F50942">
        <w:rPr>
          <w:b/>
          <w:szCs w:val="19"/>
        </w:rPr>
        <w:tab/>
      </w:r>
      <w:r w:rsidRPr="00F50942">
        <w:rPr>
          <w:b/>
          <w:szCs w:val="19"/>
        </w:rPr>
        <w:tab/>
        <w:t>Site Survey Fee</w:t>
      </w:r>
      <w:r w:rsidRPr="00F50942">
        <w:rPr>
          <w:szCs w:val="19"/>
        </w:rPr>
        <w:t xml:space="preserve"> = 5,000 AED per day for each visit </w:t>
      </w:r>
    </w:p>
    <w:p w:rsidR="00E56335" w:rsidRPr="00F50942" w:rsidRDefault="00E56335" w:rsidP="00E56335">
      <w:pPr>
        <w:pStyle w:val="Arttitle"/>
        <w:spacing w:before="400"/>
      </w:pPr>
      <w:bookmarkStart w:id="391" w:name="_Toc280261856"/>
      <w:bookmarkStart w:id="392" w:name="_Toc280262354"/>
      <w:bookmarkStart w:id="393" w:name="_Toc280272748"/>
      <w:bookmarkStart w:id="394" w:name="_Toc280272927"/>
      <w:r w:rsidRPr="00F50942">
        <w:t>Article 34</w:t>
      </w:r>
      <w:r>
        <w:br/>
      </w:r>
      <w:r>
        <w:br/>
      </w:r>
      <w:bookmarkStart w:id="395" w:name="_Toc199215056"/>
      <w:r w:rsidRPr="00F50942">
        <w:t>Obligation to pay</w:t>
      </w:r>
      <w:bookmarkEnd w:id="391"/>
      <w:bookmarkEnd w:id="392"/>
      <w:bookmarkEnd w:id="393"/>
      <w:bookmarkEnd w:id="394"/>
      <w:bookmarkEnd w:id="395"/>
    </w:p>
    <w:p w:rsidR="00E56335" w:rsidRPr="00F50942" w:rsidRDefault="00E56335" w:rsidP="00E56335">
      <w:pPr>
        <w:rPr>
          <w:szCs w:val="19"/>
        </w:rPr>
      </w:pPr>
      <w:r w:rsidRPr="00F50942">
        <w:rPr>
          <w:szCs w:val="19"/>
        </w:rPr>
        <w:t xml:space="preserve">The Spectrum Fees shall be payable in advance by all without any exemption except as determined in this Policy. The Spectrum Fees shall not be construed as Federal Tax or any Local Tax and shall be considered as charge for the use of a scarce national resource. Authorized Users should pay the full dues within the stipulated time, even in cases where the Authorised User contests the amount either wholly or partially. In </w:t>
      </w:r>
      <w:r w:rsidRPr="00F50942">
        <w:rPr>
          <w:szCs w:val="19"/>
        </w:rPr>
        <w:lastRenderedPageBreak/>
        <w:t xml:space="preserve">case the amount is contested and a refund is due to the Authorised User, the amount shall be paid by the TRA within one month of settlement. </w:t>
      </w:r>
    </w:p>
    <w:p w:rsidR="00E56335" w:rsidRPr="00F50942" w:rsidRDefault="00E56335" w:rsidP="00E56335">
      <w:pPr>
        <w:pStyle w:val="Arttitle"/>
        <w:spacing w:before="400"/>
        <w:rPr>
          <w:bCs/>
        </w:rPr>
      </w:pPr>
      <w:bookmarkStart w:id="396" w:name="_Toc280261857"/>
      <w:bookmarkStart w:id="397" w:name="_Toc280262355"/>
      <w:bookmarkStart w:id="398" w:name="_Toc280272749"/>
      <w:bookmarkStart w:id="399" w:name="_Toc280272928"/>
      <w:r w:rsidRPr="00F50942">
        <w:t>Article 35</w:t>
      </w:r>
      <w:r>
        <w:rPr>
          <w:bCs/>
        </w:rPr>
        <w:br/>
      </w:r>
      <w:r>
        <w:rPr>
          <w:bCs/>
        </w:rPr>
        <w:br/>
      </w:r>
      <w:bookmarkStart w:id="400" w:name="_Toc199215057"/>
      <w:r w:rsidRPr="00F50942">
        <w:t>Methods of payments</w:t>
      </w:r>
      <w:bookmarkEnd w:id="396"/>
      <w:bookmarkEnd w:id="397"/>
      <w:bookmarkEnd w:id="398"/>
      <w:bookmarkEnd w:id="399"/>
      <w:bookmarkEnd w:id="400"/>
    </w:p>
    <w:p w:rsidR="00E56335" w:rsidRPr="00F50942" w:rsidRDefault="00E56335" w:rsidP="00E56335">
      <w:pPr>
        <w:rPr>
          <w:szCs w:val="19"/>
        </w:rPr>
      </w:pPr>
      <w:r w:rsidRPr="00F50942">
        <w:rPr>
          <w:szCs w:val="19"/>
        </w:rPr>
        <w:t xml:space="preserve">Cash payment to the TRA shall not be acceptable and spectrum fees and other associated shall be payable to the TRA in one of the following methods: </w:t>
      </w:r>
    </w:p>
    <w:p w:rsidR="00E56335" w:rsidRPr="00BD3C28" w:rsidRDefault="00E56335" w:rsidP="00E56335">
      <w:pPr>
        <w:pStyle w:val="enumlev1"/>
      </w:pPr>
      <w:r>
        <w:t>–</w:t>
      </w:r>
      <w:r w:rsidRPr="00BD3C28">
        <w:tab/>
        <w:t xml:space="preserve">E-Dirham </w:t>
      </w:r>
    </w:p>
    <w:p w:rsidR="00E56335" w:rsidRPr="00BD3C28" w:rsidRDefault="00E56335" w:rsidP="00E56335">
      <w:pPr>
        <w:pStyle w:val="enumlev1"/>
      </w:pPr>
      <w:r>
        <w:t>–</w:t>
      </w:r>
      <w:r w:rsidRPr="00BD3C28">
        <w:tab/>
        <w:t xml:space="preserve">Cheque </w:t>
      </w:r>
    </w:p>
    <w:p w:rsidR="00E56335" w:rsidRPr="00BD3C28" w:rsidRDefault="00E56335" w:rsidP="00E56335">
      <w:pPr>
        <w:pStyle w:val="enumlev1"/>
      </w:pPr>
      <w:r>
        <w:t>–</w:t>
      </w:r>
      <w:r w:rsidRPr="00BD3C28">
        <w:tab/>
        <w:t xml:space="preserve">Deposit into the TRA’s bank account </w:t>
      </w:r>
    </w:p>
    <w:p w:rsidR="00E56335" w:rsidRPr="00F50942" w:rsidRDefault="00E56335" w:rsidP="00E56335">
      <w:pPr>
        <w:pStyle w:val="Arttitle"/>
        <w:spacing w:before="400"/>
      </w:pPr>
      <w:bookmarkStart w:id="401" w:name="_Toc280261858"/>
      <w:bookmarkStart w:id="402" w:name="_Toc280262356"/>
      <w:bookmarkStart w:id="403" w:name="_Toc280272750"/>
      <w:bookmarkStart w:id="404" w:name="_Toc280272929"/>
      <w:r w:rsidRPr="00F50942">
        <w:t>Article 36</w:t>
      </w:r>
      <w:r>
        <w:br/>
      </w:r>
      <w:r>
        <w:br/>
      </w:r>
      <w:bookmarkStart w:id="405" w:name="_Toc199215058"/>
      <w:r w:rsidRPr="00F50942">
        <w:t>Penalties</w:t>
      </w:r>
      <w:bookmarkEnd w:id="401"/>
      <w:bookmarkEnd w:id="402"/>
      <w:bookmarkEnd w:id="403"/>
      <w:bookmarkEnd w:id="404"/>
      <w:bookmarkEnd w:id="405"/>
    </w:p>
    <w:p w:rsidR="00E56335" w:rsidRPr="00F50942" w:rsidRDefault="00E56335" w:rsidP="00E56335">
      <w:pPr>
        <w:rPr>
          <w:szCs w:val="19"/>
        </w:rPr>
      </w:pPr>
      <w:r w:rsidRPr="00F50942">
        <w:rPr>
          <w:szCs w:val="19"/>
        </w:rPr>
        <w:t>The TRA has the power to impose penalties upon any instance of non-observation of the terms and conditions of this Policy and any other Regulatory Instrument issued by the TRA. The manner and circumstances upon which the penalty should be imposed and the amount of such penalty is specified in the articles of the Federal Law issued by the Decree 3 of 2003 as amended.</w:t>
      </w:r>
    </w:p>
    <w:p w:rsidR="00E56335" w:rsidRPr="00F50942" w:rsidRDefault="00E56335" w:rsidP="00E56335">
      <w:pPr>
        <w:pStyle w:val="Arttitle"/>
        <w:spacing w:before="400"/>
      </w:pPr>
      <w:bookmarkStart w:id="406" w:name="_Toc280261859"/>
      <w:bookmarkStart w:id="407" w:name="_Toc280262357"/>
      <w:bookmarkStart w:id="408" w:name="_Toc280272751"/>
      <w:bookmarkStart w:id="409" w:name="_Toc280272930"/>
      <w:r w:rsidRPr="00F50942">
        <w:t>Article 37</w:t>
      </w:r>
      <w:r>
        <w:br/>
      </w:r>
      <w:r>
        <w:br/>
      </w:r>
      <w:bookmarkStart w:id="410" w:name="_Toc199215060"/>
      <w:r w:rsidRPr="00F50942">
        <w:t>Implementation</w:t>
      </w:r>
      <w:bookmarkEnd w:id="406"/>
      <w:bookmarkEnd w:id="407"/>
      <w:bookmarkEnd w:id="408"/>
      <w:bookmarkEnd w:id="409"/>
      <w:bookmarkEnd w:id="410"/>
    </w:p>
    <w:p w:rsidR="00E56335" w:rsidRPr="00F50942" w:rsidRDefault="00E56335" w:rsidP="00E56335">
      <w:pPr>
        <w:rPr>
          <w:szCs w:val="19"/>
        </w:rPr>
      </w:pPr>
      <w:r w:rsidRPr="00F50942">
        <w:rPr>
          <w:szCs w:val="19"/>
        </w:rPr>
        <w:t>All invoices raised for the period starting from 1st January 2009 shall be in accordance with this Policy. The invoices raised for the period starting before 1st January 2009 shall be in accordance with the Spectrum Fees Policy Version 1.0</w:t>
      </w:r>
    </w:p>
    <w:p w:rsidR="00E56335" w:rsidRDefault="00E56335" w:rsidP="00E56335">
      <w:pPr>
        <w:tabs>
          <w:tab w:val="clear" w:pos="794"/>
          <w:tab w:val="clear" w:pos="1191"/>
          <w:tab w:val="clear" w:pos="1588"/>
          <w:tab w:val="clear" w:pos="1985"/>
        </w:tabs>
        <w:overflowPunct/>
        <w:autoSpaceDE/>
        <w:autoSpaceDN/>
        <w:adjustRightInd/>
        <w:spacing w:before="0"/>
        <w:jc w:val="left"/>
        <w:textAlignment w:val="auto"/>
        <w:rPr>
          <w:b/>
        </w:rPr>
      </w:pPr>
      <w:r>
        <w:rPr>
          <w:b/>
        </w:rPr>
        <w:br w:type="page"/>
      </w:r>
    </w:p>
    <w:p w:rsidR="00E56335" w:rsidRDefault="00E56335" w:rsidP="00E56335">
      <w:pPr>
        <w:pStyle w:val="AppendixNotitle"/>
        <w:rPr>
          <w:lang w:val="fr-FR"/>
        </w:rPr>
      </w:pPr>
      <w:bookmarkStart w:id="411" w:name="_Toc280260048"/>
      <w:bookmarkStart w:id="412" w:name="_Toc280260904"/>
      <w:bookmarkStart w:id="413" w:name="_Toc280272509"/>
      <w:bookmarkStart w:id="414" w:name="_Toc288643006"/>
      <w:r w:rsidRPr="006E1EDC">
        <w:lastRenderedPageBreak/>
        <w:t>Appendice 1.2 (Français)</w:t>
      </w:r>
      <w:r>
        <w:br/>
      </w:r>
      <w:r>
        <w:br/>
      </w:r>
      <w:r w:rsidRPr="00205BD7">
        <w:rPr>
          <w:lang w:val="fr-FR"/>
        </w:rPr>
        <w:t>Emirats arabes unis: Exemple de directive en matière</w:t>
      </w:r>
      <w:r>
        <w:rPr>
          <w:lang w:val="fr-FR"/>
        </w:rPr>
        <w:br/>
      </w:r>
      <w:r w:rsidRPr="00205BD7">
        <w:rPr>
          <w:lang w:val="fr-FR"/>
        </w:rPr>
        <w:t>de droits d'utilisation du spectre</w:t>
      </w:r>
      <w:bookmarkEnd w:id="411"/>
      <w:bookmarkEnd w:id="412"/>
      <w:bookmarkEnd w:id="413"/>
      <w:bookmarkEnd w:id="414"/>
    </w:p>
    <w:p w:rsidR="00E56335" w:rsidRPr="004A1D01" w:rsidRDefault="00E56335" w:rsidP="00E56335">
      <w:pPr>
        <w:pStyle w:val="Normalaftertitle0"/>
        <w:rPr>
          <w:lang w:val="fr-FR"/>
        </w:rPr>
      </w:pPr>
    </w:p>
    <w:p w:rsidR="00E56335" w:rsidRPr="00D50570" w:rsidRDefault="00E56335" w:rsidP="00E56335">
      <w:pPr>
        <w:suppressAutoHyphens/>
        <w:jc w:val="center"/>
        <w:rPr>
          <w:b/>
        </w:rPr>
      </w:pPr>
      <w:r w:rsidRPr="00D50570">
        <w:rPr>
          <w:b/>
        </w:rPr>
        <w:t>TABLE DES MATIÈRES</w:t>
      </w:r>
    </w:p>
    <w:p w:rsidR="00E56335" w:rsidRDefault="00E56335" w:rsidP="00E56335">
      <w:pPr>
        <w:widowControl w:val="0"/>
        <w:snapToGrid w:val="0"/>
        <w:rPr>
          <w:lang w:val="fr-FR"/>
        </w:rPr>
      </w:pPr>
    </w:p>
    <w:p w:rsidR="00E56335" w:rsidRDefault="00E56335" w:rsidP="00E56335">
      <w:pPr>
        <w:pStyle w:val="Recdate"/>
        <w:keepLines w:val="0"/>
        <w:tabs>
          <w:tab w:val="right" w:pos="9639"/>
        </w:tabs>
        <w:jc w:val="left"/>
        <w:rPr>
          <w:b/>
          <w:iCs/>
        </w:rPr>
      </w:pPr>
      <w:r w:rsidRPr="0008342F">
        <w:rPr>
          <w:iCs/>
        </w:rPr>
        <w:tab/>
      </w:r>
      <w:r w:rsidRPr="00153922">
        <w:rPr>
          <w:b/>
          <w:iCs/>
        </w:rPr>
        <w:t>Page</w:t>
      </w:r>
    </w:p>
    <w:p w:rsidR="00E56335" w:rsidRDefault="00BA52D0" w:rsidP="00E56335">
      <w:pPr>
        <w:pStyle w:val="TOC1"/>
        <w:rPr>
          <w:rFonts w:asciiTheme="minorHAnsi" w:hAnsiTheme="minorHAnsi" w:cstheme="minorBidi"/>
          <w:szCs w:val="22"/>
          <w:lang w:eastAsia="zh-CN"/>
        </w:rPr>
      </w:pPr>
      <w:r w:rsidRPr="00BA52D0">
        <w:rPr>
          <w:noProof/>
          <w:lang w:val="fr-FR"/>
        </w:rPr>
        <w:fldChar w:fldCharType="begin"/>
      </w:r>
      <w:r w:rsidR="00E56335">
        <w:rPr>
          <w:lang w:val="fr-FR"/>
        </w:rPr>
        <w:instrText xml:space="preserve"> TOC \h \z \t "Art_title;1" </w:instrText>
      </w:r>
      <w:r w:rsidRPr="00BA52D0">
        <w:rPr>
          <w:noProof/>
          <w:lang w:val="fr-FR"/>
        </w:rPr>
        <w:fldChar w:fldCharType="separate"/>
      </w:r>
      <w:hyperlink w:anchor="_Toc280272931" w:history="1">
        <w:r w:rsidR="00E56335" w:rsidRPr="005522B1">
          <w:rPr>
            <w:rStyle w:val="Hyperlink"/>
          </w:rPr>
          <w:t xml:space="preserve">Article 1 </w:t>
        </w:r>
        <w:r w:rsidR="00E56335">
          <w:rPr>
            <w:rStyle w:val="Hyperlink"/>
          </w:rPr>
          <w:t>–</w:t>
        </w:r>
        <w:r w:rsidR="00E56335" w:rsidRPr="005522B1">
          <w:rPr>
            <w:rStyle w:val="Hyperlink"/>
          </w:rPr>
          <w:t xml:space="preserve"> Objet</w:t>
        </w:r>
        <w:r w:rsidR="00E56335">
          <w:rPr>
            <w:webHidden/>
          </w:rPr>
          <w:tab/>
        </w:r>
        <w:r w:rsidR="00E56335">
          <w:rPr>
            <w:webHidden/>
          </w:rPr>
          <w:tab/>
        </w:r>
        <w:r>
          <w:rPr>
            <w:webHidden/>
          </w:rPr>
          <w:fldChar w:fldCharType="begin"/>
        </w:r>
        <w:r w:rsidR="00E56335">
          <w:rPr>
            <w:webHidden/>
          </w:rPr>
          <w:instrText xml:space="preserve"> PAGEREF _Toc280272931 \h </w:instrText>
        </w:r>
        <w:r>
          <w:rPr>
            <w:webHidden/>
          </w:rPr>
        </w:r>
        <w:r>
          <w:rPr>
            <w:webHidden/>
          </w:rPr>
          <w:fldChar w:fldCharType="separate"/>
        </w:r>
        <w:r w:rsidR="00E56335">
          <w:rPr>
            <w:webHidden/>
          </w:rPr>
          <w:t>46</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32" w:history="1">
        <w:r w:rsidR="00E56335" w:rsidRPr="005522B1">
          <w:rPr>
            <w:rStyle w:val="Hyperlink"/>
          </w:rPr>
          <w:t xml:space="preserve">Article 2 </w:t>
        </w:r>
        <w:r w:rsidR="00E56335" w:rsidRPr="005A07CE">
          <w:rPr>
            <w:rStyle w:val="Hyperlink"/>
          </w:rPr>
          <w:t>–</w:t>
        </w:r>
        <w:r w:rsidR="00E56335" w:rsidRPr="005522B1">
          <w:rPr>
            <w:rStyle w:val="Hyperlink"/>
          </w:rPr>
          <w:t xml:space="preserve"> Définitions</w:t>
        </w:r>
        <w:r w:rsidR="00E56335">
          <w:rPr>
            <w:webHidden/>
          </w:rPr>
          <w:tab/>
        </w:r>
        <w:r w:rsidR="00E56335">
          <w:rPr>
            <w:webHidden/>
          </w:rPr>
          <w:tab/>
        </w:r>
        <w:r>
          <w:rPr>
            <w:webHidden/>
          </w:rPr>
          <w:fldChar w:fldCharType="begin"/>
        </w:r>
        <w:r w:rsidR="00E56335">
          <w:rPr>
            <w:webHidden/>
          </w:rPr>
          <w:instrText xml:space="preserve"> PAGEREF _Toc280272932 \h </w:instrText>
        </w:r>
        <w:r>
          <w:rPr>
            <w:webHidden/>
          </w:rPr>
        </w:r>
        <w:r>
          <w:rPr>
            <w:webHidden/>
          </w:rPr>
          <w:fldChar w:fldCharType="separate"/>
        </w:r>
        <w:r w:rsidR="00E56335">
          <w:rPr>
            <w:webHidden/>
          </w:rPr>
          <w:t>46</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33" w:history="1">
        <w:r w:rsidR="00E56335" w:rsidRPr="005522B1">
          <w:rPr>
            <w:rStyle w:val="Hyperlink"/>
          </w:rPr>
          <w:t xml:space="preserve">Article 3 </w:t>
        </w:r>
        <w:r w:rsidR="00E56335" w:rsidRPr="005A07CE">
          <w:rPr>
            <w:rStyle w:val="Hyperlink"/>
          </w:rPr>
          <w:t>–</w:t>
        </w:r>
        <w:r w:rsidR="00E56335" w:rsidRPr="005522B1">
          <w:rPr>
            <w:rStyle w:val="Hyperlink"/>
          </w:rPr>
          <w:t xml:space="preserve"> Droits à acquitter pour le traitement des demandes</w:t>
        </w:r>
        <w:r w:rsidR="00E56335">
          <w:rPr>
            <w:webHidden/>
          </w:rPr>
          <w:tab/>
        </w:r>
        <w:r w:rsidR="00E56335">
          <w:rPr>
            <w:webHidden/>
          </w:rPr>
          <w:tab/>
        </w:r>
        <w:r>
          <w:rPr>
            <w:webHidden/>
          </w:rPr>
          <w:fldChar w:fldCharType="begin"/>
        </w:r>
        <w:r w:rsidR="00E56335">
          <w:rPr>
            <w:webHidden/>
          </w:rPr>
          <w:instrText xml:space="preserve"> PAGEREF _Toc280272933 \h </w:instrText>
        </w:r>
        <w:r>
          <w:rPr>
            <w:webHidden/>
          </w:rPr>
        </w:r>
        <w:r>
          <w:rPr>
            <w:webHidden/>
          </w:rPr>
          <w:fldChar w:fldCharType="separate"/>
        </w:r>
        <w:r w:rsidR="00E56335">
          <w:rPr>
            <w:webHidden/>
          </w:rPr>
          <w:t>47</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34" w:history="1">
        <w:r w:rsidR="00E56335" w:rsidRPr="005522B1">
          <w:rPr>
            <w:rStyle w:val="Hyperlink"/>
          </w:rPr>
          <w:t xml:space="preserve">Article 4 </w:t>
        </w:r>
        <w:r w:rsidR="00E56335" w:rsidRPr="005A07CE">
          <w:rPr>
            <w:rStyle w:val="Hyperlink"/>
          </w:rPr>
          <w:t>–</w:t>
        </w:r>
        <w:r w:rsidR="00E56335" w:rsidRPr="005522B1">
          <w:rPr>
            <w:rStyle w:val="Hyperlink"/>
          </w:rPr>
          <w:t xml:space="preserve"> Exemption des droits à acquitter pour le traitement des demandes</w:t>
        </w:r>
        <w:r w:rsidR="00E56335">
          <w:rPr>
            <w:webHidden/>
          </w:rPr>
          <w:tab/>
        </w:r>
        <w:r w:rsidR="00E56335">
          <w:rPr>
            <w:webHidden/>
          </w:rPr>
          <w:tab/>
        </w:r>
        <w:r>
          <w:rPr>
            <w:webHidden/>
          </w:rPr>
          <w:fldChar w:fldCharType="begin"/>
        </w:r>
        <w:r w:rsidR="00E56335">
          <w:rPr>
            <w:webHidden/>
          </w:rPr>
          <w:instrText xml:space="preserve"> PAGEREF _Toc280272934 \h </w:instrText>
        </w:r>
        <w:r>
          <w:rPr>
            <w:webHidden/>
          </w:rPr>
        </w:r>
        <w:r>
          <w:rPr>
            <w:webHidden/>
          </w:rPr>
          <w:fldChar w:fldCharType="separate"/>
        </w:r>
        <w:r w:rsidR="00E56335">
          <w:rPr>
            <w:webHidden/>
          </w:rPr>
          <w:t>47</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35" w:history="1">
        <w:r w:rsidR="00E56335" w:rsidRPr="005522B1">
          <w:rPr>
            <w:rStyle w:val="Hyperlink"/>
          </w:rPr>
          <w:t xml:space="preserve">Article 5 </w:t>
        </w:r>
        <w:r w:rsidR="00E56335" w:rsidRPr="005A07CE">
          <w:rPr>
            <w:rStyle w:val="Hyperlink"/>
          </w:rPr>
          <w:t>–</w:t>
        </w:r>
        <w:r w:rsidR="00E56335" w:rsidRPr="005522B1">
          <w:rPr>
            <w:rStyle w:val="Hyperlink"/>
          </w:rPr>
          <w:t xml:space="preserve"> Droits d'utilisation du spectre à acquitter en cas de nouvelle demande</w:t>
        </w:r>
        <w:r w:rsidR="00E56335">
          <w:rPr>
            <w:webHidden/>
          </w:rPr>
          <w:tab/>
        </w:r>
        <w:r w:rsidR="00E56335">
          <w:rPr>
            <w:webHidden/>
          </w:rPr>
          <w:tab/>
        </w:r>
        <w:r>
          <w:rPr>
            <w:webHidden/>
          </w:rPr>
          <w:fldChar w:fldCharType="begin"/>
        </w:r>
        <w:r w:rsidR="00E56335">
          <w:rPr>
            <w:webHidden/>
          </w:rPr>
          <w:instrText xml:space="preserve"> PAGEREF _Toc280272935 \h </w:instrText>
        </w:r>
        <w:r>
          <w:rPr>
            <w:webHidden/>
          </w:rPr>
        </w:r>
        <w:r>
          <w:rPr>
            <w:webHidden/>
          </w:rPr>
          <w:fldChar w:fldCharType="separate"/>
        </w:r>
        <w:r w:rsidR="00E56335">
          <w:rPr>
            <w:webHidden/>
          </w:rPr>
          <w:t>48</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36" w:history="1">
        <w:r w:rsidR="00E56335" w:rsidRPr="005522B1">
          <w:rPr>
            <w:rStyle w:val="Hyperlink"/>
          </w:rPr>
          <w:t xml:space="preserve">Article 6 </w:t>
        </w:r>
        <w:r w:rsidR="00E56335" w:rsidRPr="005A07CE">
          <w:rPr>
            <w:rStyle w:val="Hyperlink"/>
          </w:rPr>
          <w:t>–</w:t>
        </w:r>
        <w:r w:rsidR="00E56335" w:rsidRPr="005522B1">
          <w:rPr>
            <w:rStyle w:val="Hyperlink"/>
          </w:rPr>
          <w:t xml:space="preserve"> Montant des droits à acquitter pour le renouvellement d'une autorisation</w:t>
        </w:r>
        <w:r w:rsidR="00E56335">
          <w:rPr>
            <w:webHidden/>
          </w:rPr>
          <w:tab/>
        </w:r>
        <w:r w:rsidR="00E56335">
          <w:rPr>
            <w:webHidden/>
          </w:rPr>
          <w:tab/>
        </w:r>
        <w:r>
          <w:rPr>
            <w:webHidden/>
          </w:rPr>
          <w:fldChar w:fldCharType="begin"/>
        </w:r>
        <w:r w:rsidR="00E56335">
          <w:rPr>
            <w:webHidden/>
          </w:rPr>
          <w:instrText xml:space="preserve"> PAGEREF _Toc280272936 \h </w:instrText>
        </w:r>
        <w:r>
          <w:rPr>
            <w:webHidden/>
          </w:rPr>
        </w:r>
        <w:r>
          <w:rPr>
            <w:webHidden/>
          </w:rPr>
          <w:fldChar w:fldCharType="separate"/>
        </w:r>
        <w:r w:rsidR="00E56335">
          <w:rPr>
            <w:webHidden/>
          </w:rPr>
          <w:t>48</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37" w:history="1">
        <w:r w:rsidR="00E56335" w:rsidRPr="005522B1">
          <w:rPr>
            <w:rStyle w:val="Hyperlink"/>
          </w:rPr>
          <w:t xml:space="preserve">Article 7 </w:t>
        </w:r>
        <w:r w:rsidR="00E56335" w:rsidRPr="005A07CE">
          <w:rPr>
            <w:rStyle w:val="Hyperlink"/>
          </w:rPr>
          <w:t>–</w:t>
        </w:r>
        <w:r w:rsidR="00E56335" w:rsidRPr="005522B1">
          <w:rPr>
            <w:rStyle w:val="Hyperlink"/>
          </w:rPr>
          <w:t xml:space="preserve"> Droits supplémentaires à acquitter en cas de retard  du renouvellement de l'autorisation</w:t>
        </w:r>
        <w:r w:rsidR="00E56335">
          <w:rPr>
            <w:webHidden/>
          </w:rPr>
          <w:tab/>
        </w:r>
        <w:r w:rsidR="00E56335">
          <w:rPr>
            <w:webHidden/>
          </w:rPr>
          <w:tab/>
        </w:r>
        <w:r>
          <w:rPr>
            <w:webHidden/>
          </w:rPr>
          <w:fldChar w:fldCharType="begin"/>
        </w:r>
        <w:r w:rsidR="00E56335">
          <w:rPr>
            <w:webHidden/>
          </w:rPr>
          <w:instrText xml:space="preserve"> PAGEREF _Toc280272937 \h </w:instrText>
        </w:r>
        <w:r>
          <w:rPr>
            <w:webHidden/>
          </w:rPr>
        </w:r>
        <w:r>
          <w:rPr>
            <w:webHidden/>
          </w:rPr>
          <w:fldChar w:fldCharType="separate"/>
        </w:r>
        <w:r w:rsidR="00E56335">
          <w:rPr>
            <w:webHidden/>
          </w:rPr>
          <w:t>48</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38" w:history="1">
        <w:r w:rsidR="00E56335" w:rsidRPr="005522B1">
          <w:rPr>
            <w:rStyle w:val="Hyperlink"/>
          </w:rPr>
          <w:t xml:space="preserve">Article 8 </w:t>
        </w:r>
        <w:r w:rsidR="00E56335" w:rsidRPr="005A07CE">
          <w:rPr>
            <w:rStyle w:val="Hyperlink"/>
          </w:rPr>
          <w:t>–</w:t>
        </w:r>
        <w:r w:rsidR="00E56335" w:rsidRPr="005522B1">
          <w:rPr>
            <w:rStyle w:val="Hyperlink"/>
          </w:rPr>
          <w:t xml:space="preserve"> Droits à acquitter pour obtenir une copie d'une autorisation</w:t>
        </w:r>
        <w:r w:rsidR="00E56335">
          <w:rPr>
            <w:webHidden/>
          </w:rPr>
          <w:tab/>
        </w:r>
        <w:r w:rsidR="00E56335">
          <w:rPr>
            <w:webHidden/>
          </w:rPr>
          <w:tab/>
        </w:r>
        <w:r>
          <w:rPr>
            <w:webHidden/>
          </w:rPr>
          <w:fldChar w:fldCharType="begin"/>
        </w:r>
        <w:r w:rsidR="00E56335">
          <w:rPr>
            <w:webHidden/>
          </w:rPr>
          <w:instrText xml:space="preserve"> PAGEREF _Toc280272938 \h </w:instrText>
        </w:r>
        <w:r>
          <w:rPr>
            <w:webHidden/>
          </w:rPr>
        </w:r>
        <w:r>
          <w:rPr>
            <w:webHidden/>
          </w:rPr>
          <w:fldChar w:fldCharType="separate"/>
        </w:r>
        <w:r w:rsidR="00E56335">
          <w:rPr>
            <w:webHidden/>
          </w:rPr>
          <w:t>48</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39" w:history="1">
        <w:r w:rsidR="00E56335" w:rsidRPr="005522B1">
          <w:rPr>
            <w:rStyle w:val="Hyperlink"/>
          </w:rPr>
          <w:t xml:space="preserve">Article 9 </w:t>
        </w:r>
        <w:r w:rsidR="00E56335" w:rsidRPr="005A07CE">
          <w:rPr>
            <w:rStyle w:val="Hyperlink"/>
          </w:rPr>
          <w:t>–</w:t>
        </w:r>
        <w:r w:rsidR="00E56335" w:rsidRPr="005522B1">
          <w:rPr>
            <w:rStyle w:val="Hyperlink"/>
          </w:rPr>
          <w:t xml:space="preserve"> Droits à acquitter pour modifier l'autorisation</w:t>
        </w:r>
        <w:r w:rsidR="00E56335">
          <w:rPr>
            <w:webHidden/>
          </w:rPr>
          <w:tab/>
        </w:r>
        <w:r w:rsidR="00E56335">
          <w:rPr>
            <w:webHidden/>
          </w:rPr>
          <w:tab/>
        </w:r>
        <w:r>
          <w:rPr>
            <w:webHidden/>
          </w:rPr>
          <w:fldChar w:fldCharType="begin"/>
        </w:r>
        <w:r w:rsidR="00E56335">
          <w:rPr>
            <w:webHidden/>
          </w:rPr>
          <w:instrText xml:space="preserve"> PAGEREF _Toc280272939 \h </w:instrText>
        </w:r>
        <w:r>
          <w:rPr>
            <w:webHidden/>
          </w:rPr>
        </w:r>
        <w:r>
          <w:rPr>
            <w:webHidden/>
          </w:rPr>
          <w:fldChar w:fldCharType="separate"/>
        </w:r>
        <w:r w:rsidR="00E56335">
          <w:rPr>
            <w:webHidden/>
          </w:rPr>
          <w:t>49</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40" w:history="1">
        <w:r w:rsidR="00E56335" w:rsidRPr="005522B1">
          <w:rPr>
            <w:rStyle w:val="Hyperlink"/>
          </w:rPr>
          <w:t xml:space="preserve">Article 10 </w:t>
        </w:r>
        <w:r w:rsidR="00E56335" w:rsidRPr="005A07CE">
          <w:rPr>
            <w:rStyle w:val="Hyperlink"/>
          </w:rPr>
          <w:t>–</w:t>
        </w:r>
        <w:r w:rsidR="00E56335" w:rsidRPr="005522B1">
          <w:rPr>
            <w:rStyle w:val="Hyperlink"/>
          </w:rPr>
          <w:t xml:space="preserve"> Droits à acquitter pour l'annulation d'une autorisation</w:t>
        </w:r>
        <w:r w:rsidR="00E56335">
          <w:rPr>
            <w:webHidden/>
          </w:rPr>
          <w:tab/>
        </w:r>
        <w:r w:rsidR="00E56335">
          <w:rPr>
            <w:webHidden/>
          </w:rPr>
          <w:tab/>
        </w:r>
        <w:r>
          <w:rPr>
            <w:webHidden/>
          </w:rPr>
          <w:fldChar w:fldCharType="begin"/>
        </w:r>
        <w:r w:rsidR="00E56335">
          <w:rPr>
            <w:webHidden/>
          </w:rPr>
          <w:instrText xml:space="preserve"> PAGEREF _Toc280272940 \h </w:instrText>
        </w:r>
        <w:r>
          <w:rPr>
            <w:webHidden/>
          </w:rPr>
        </w:r>
        <w:r>
          <w:rPr>
            <w:webHidden/>
          </w:rPr>
          <w:fldChar w:fldCharType="separate"/>
        </w:r>
        <w:r w:rsidR="00E56335">
          <w:rPr>
            <w:webHidden/>
          </w:rPr>
          <w:t>49</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41" w:history="1">
        <w:r w:rsidR="00E56335" w:rsidRPr="005522B1">
          <w:rPr>
            <w:rStyle w:val="Hyperlink"/>
          </w:rPr>
          <w:t xml:space="preserve">Article 11 </w:t>
        </w:r>
        <w:r w:rsidR="00E56335" w:rsidRPr="005A07CE">
          <w:rPr>
            <w:rStyle w:val="Hyperlink"/>
          </w:rPr>
          <w:t>–</w:t>
        </w:r>
        <w:r w:rsidR="00E56335" w:rsidRPr="005522B1">
          <w:rPr>
            <w:rStyle w:val="Hyperlink"/>
          </w:rPr>
          <w:t xml:space="preserve"> Droits à acquitter pour l'utilisation du spectre pour le service mobile terrestre public (cellulaire)</w:t>
        </w:r>
        <w:r w:rsidR="00E56335">
          <w:rPr>
            <w:webHidden/>
          </w:rPr>
          <w:tab/>
        </w:r>
        <w:r w:rsidR="00E56335">
          <w:rPr>
            <w:webHidden/>
          </w:rPr>
          <w:tab/>
        </w:r>
        <w:r>
          <w:rPr>
            <w:webHidden/>
          </w:rPr>
          <w:fldChar w:fldCharType="begin"/>
        </w:r>
        <w:r w:rsidR="00E56335">
          <w:rPr>
            <w:webHidden/>
          </w:rPr>
          <w:instrText xml:space="preserve"> PAGEREF _Toc280272941 \h </w:instrText>
        </w:r>
        <w:r>
          <w:rPr>
            <w:webHidden/>
          </w:rPr>
        </w:r>
        <w:r>
          <w:rPr>
            <w:webHidden/>
          </w:rPr>
          <w:fldChar w:fldCharType="separate"/>
        </w:r>
        <w:r w:rsidR="00E56335">
          <w:rPr>
            <w:webHidden/>
          </w:rPr>
          <w:t>49</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42" w:history="1">
        <w:r w:rsidR="00E56335" w:rsidRPr="005522B1">
          <w:rPr>
            <w:rStyle w:val="Hyperlink"/>
          </w:rPr>
          <w:t xml:space="preserve">Article 12 </w:t>
        </w:r>
        <w:r w:rsidR="00E56335" w:rsidRPr="005A07CE">
          <w:rPr>
            <w:rStyle w:val="Hyperlink"/>
          </w:rPr>
          <w:t>–</w:t>
        </w:r>
        <w:r w:rsidR="00E56335" w:rsidRPr="005522B1">
          <w:rPr>
            <w:rStyle w:val="Hyperlink"/>
          </w:rPr>
          <w:t xml:space="preserve"> Droits à acquitter pour les radiocommunications mobiles privées,  la radiomessagerie et les systèmes à ressources partagées</w:t>
        </w:r>
        <w:r w:rsidR="00E56335">
          <w:rPr>
            <w:webHidden/>
          </w:rPr>
          <w:tab/>
        </w:r>
        <w:r w:rsidR="00E56335">
          <w:rPr>
            <w:webHidden/>
          </w:rPr>
          <w:tab/>
        </w:r>
        <w:r>
          <w:rPr>
            <w:webHidden/>
          </w:rPr>
          <w:fldChar w:fldCharType="begin"/>
        </w:r>
        <w:r w:rsidR="00E56335">
          <w:rPr>
            <w:webHidden/>
          </w:rPr>
          <w:instrText xml:space="preserve"> PAGEREF _Toc280272942 \h </w:instrText>
        </w:r>
        <w:r>
          <w:rPr>
            <w:webHidden/>
          </w:rPr>
        </w:r>
        <w:r>
          <w:rPr>
            <w:webHidden/>
          </w:rPr>
          <w:fldChar w:fldCharType="separate"/>
        </w:r>
        <w:r w:rsidR="00E56335">
          <w:rPr>
            <w:webHidden/>
          </w:rPr>
          <w:t>50</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43" w:history="1">
        <w:r w:rsidR="00E56335" w:rsidRPr="005522B1">
          <w:rPr>
            <w:rStyle w:val="Hyperlink"/>
          </w:rPr>
          <w:t xml:space="preserve">Article 13 </w:t>
        </w:r>
        <w:r w:rsidR="00E56335" w:rsidRPr="005A07CE">
          <w:rPr>
            <w:rStyle w:val="Hyperlink"/>
          </w:rPr>
          <w:t>–</w:t>
        </w:r>
        <w:r w:rsidR="00E56335" w:rsidRPr="005522B1">
          <w:rPr>
            <w:rStyle w:val="Hyperlink"/>
          </w:rPr>
          <w:t xml:space="preserve"> Droits à acquitter pour l'utilisation du spectre pour des liaisons fixes (point à point)</w:t>
        </w:r>
        <w:r w:rsidR="00E56335">
          <w:rPr>
            <w:webHidden/>
          </w:rPr>
          <w:tab/>
        </w:r>
        <w:r w:rsidR="00E56335">
          <w:rPr>
            <w:webHidden/>
          </w:rPr>
          <w:tab/>
        </w:r>
        <w:r>
          <w:rPr>
            <w:webHidden/>
          </w:rPr>
          <w:fldChar w:fldCharType="begin"/>
        </w:r>
        <w:r w:rsidR="00E56335">
          <w:rPr>
            <w:webHidden/>
          </w:rPr>
          <w:instrText xml:space="preserve"> PAGEREF _Toc280272943 \h </w:instrText>
        </w:r>
        <w:r>
          <w:rPr>
            <w:webHidden/>
          </w:rPr>
        </w:r>
        <w:r>
          <w:rPr>
            <w:webHidden/>
          </w:rPr>
          <w:fldChar w:fldCharType="separate"/>
        </w:r>
        <w:r w:rsidR="00E56335">
          <w:rPr>
            <w:webHidden/>
          </w:rPr>
          <w:t>52</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44" w:history="1">
        <w:r w:rsidR="00E56335" w:rsidRPr="005522B1">
          <w:rPr>
            <w:rStyle w:val="Hyperlink"/>
          </w:rPr>
          <w:t xml:space="preserve">Article 14 </w:t>
        </w:r>
        <w:r w:rsidR="00E56335" w:rsidRPr="005A07CE">
          <w:rPr>
            <w:rStyle w:val="Hyperlink"/>
          </w:rPr>
          <w:t>–</w:t>
        </w:r>
        <w:r w:rsidR="00E56335" w:rsidRPr="005522B1">
          <w:rPr>
            <w:rStyle w:val="Hyperlink"/>
          </w:rPr>
          <w:t xml:space="preserve"> Droits d'utilisation du spectre à acquitter pour l'accès hertzien fixe,  les systèmes de surveillance et d'acquisition de données (SCADA), la télémesure et les réseaux maillés</w:t>
        </w:r>
        <w:r w:rsidR="00E56335">
          <w:rPr>
            <w:webHidden/>
          </w:rPr>
          <w:tab/>
        </w:r>
        <w:r w:rsidR="00E56335">
          <w:rPr>
            <w:webHidden/>
          </w:rPr>
          <w:tab/>
        </w:r>
        <w:r>
          <w:rPr>
            <w:webHidden/>
          </w:rPr>
          <w:fldChar w:fldCharType="begin"/>
        </w:r>
        <w:r w:rsidR="00E56335">
          <w:rPr>
            <w:webHidden/>
          </w:rPr>
          <w:instrText xml:space="preserve"> PAGEREF _Toc280272944 \h </w:instrText>
        </w:r>
        <w:r>
          <w:rPr>
            <w:webHidden/>
          </w:rPr>
        </w:r>
        <w:r>
          <w:rPr>
            <w:webHidden/>
          </w:rPr>
          <w:fldChar w:fldCharType="separate"/>
        </w:r>
        <w:r w:rsidR="00E56335">
          <w:rPr>
            <w:webHidden/>
          </w:rPr>
          <w:t>53</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45" w:history="1">
        <w:r w:rsidR="00E56335" w:rsidRPr="005522B1">
          <w:rPr>
            <w:rStyle w:val="Hyperlink"/>
          </w:rPr>
          <w:t xml:space="preserve">Article 15 </w:t>
        </w:r>
        <w:r w:rsidR="00E56335" w:rsidRPr="005A07CE">
          <w:rPr>
            <w:rStyle w:val="Hyperlink"/>
          </w:rPr>
          <w:t>–</w:t>
        </w:r>
        <w:r w:rsidR="00E56335" w:rsidRPr="005522B1">
          <w:rPr>
            <w:rStyle w:val="Hyperlink"/>
          </w:rPr>
          <w:t xml:space="preserve"> Droits d'utilisation du spectre à acquitter pour l'accès hertzien large bande mobile</w:t>
        </w:r>
        <w:r w:rsidR="00E56335">
          <w:rPr>
            <w:webHidden/>
          </w:rPr>
          <w:tab/>
        </w:r>
        <w:r w:rsidR="00E56335">
          <w:rPr>
            <w:webHidden/>
          </w:rPr>
          <w:tab/>
        </w:r>
        <w:r>
          <w:rPr>
            <w:webHidden/>
          </w:rPr>
          <w:fldChar w:fldCharType="begin"/>
        </w:r>
        <w:r w:rsidR="00E56335">
          <w:rPr>
            <w:webHidden/>
          </w:rPr>
          <w:instrText xml:space="preserve"> PAGEREF _Toc280272945 \h </w:instrText>
        </w:r>
        <w:r>
          <w:rPr>
            <w:webHidden/>
          </w:rPr>
        </w:r>
        <w:r>
          <w:rPr>
            <w:webHidden/>
          </w:rPr>
          <w:fldChar w:fldCharType="separate"/>
        </w:r>
        <w:r w:rsidR="00E56335">
          <w:rPr>
            <w:webHidden/>
          </w:rPr>
          <w:t>53</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46" w:history="1">
        <w:r w:rsidR="00E56335" w:rsidRPr="005522B1">
          <w:rPr>
            <w:rStyle w:val="Hyperlink"/>
          </w:rPr>
          <w:t xml:space="preserve">Article 16 </w:t>
        </w:r>
        <w:r w:rsidR="00E56335" w:rsidRPr="005A07CE">
          <w:rPr>
            <w:rStyle w:val="Hyperlink"/>
          </w:rPr>
          <w:t>–</w:t>
        </w:r>
        <w:r w:rsidR="00E56335" w:rsidRPr="005522B1">
          <w:rPr>
            <w:rStyle w:val="Hyperlink"/>
          </w:rPr>
          <w:t xml:space="preserve"> Droits d'utilisation du spectre pour les liaisons à fibre optique et les liaisons laser</w:t>
        </w:r>
        <w:r w:rsidR="00E56335">
          <w:rPr>
            <w:webHidden/>
          </w:rPr>
          <w:tab/>
        </w:r>
        <w:r w:rsidR="00E56335">
          <w:rPr>
            <w:webHidden/>
          </w:rPr>
          <w:tab/>
        </w:r>
        <w:r>
          <w:rPr>
            <w:webHidden/>
          </w:rPr>
          <w:fldChar w:fldCharType="begin"/>
        </w:r>
        <w:r w:rsidR="00E56335">
          <w:rPr>
            <w:webHidden/>
          </w:rPr>
          <w:instrText xml:space="preserve"> PAGEREF _Toc280272946 \h </w:instrText>
        </w:r>
        <w:r>
          <w:rPr>
            <w:webHidden/>
          </w:rPr>
        </w:r>
        <w:r>
          <w:rPr>
            <w:webHidden/>
          </w:rPr>
          <w:fldChar w:fldCharType="separate"/>
        </w:r>
        <w:r w:rsidR="00E56335">
          <w:rPr>
            <w:webHidden/>
          </w:rPr>
          <w:t>54</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47" w:history="1">
        <w:r w:rsidR="00E56335" w:rsidRPr="005522B1">
          <w:rPr>
            <w:rStyle w:val="Hyperlink"/>
          </w:rPr>
          <w:t xml:space="preserve">Article 17 </w:t>
        </w:r>
        <w:r w:rsidR="00E56335" w:rsidRPr="005A07CE">
          <w:rPr>
            <w:rStyle w:val="Hyperlink"/>
          </w:rPr>
          <w:t>–</w:t>
        </w:r>
        <w:r w:rsidR="00E56335" w:rsidRPr="005522B1">
          <w:rPr>
            <w:rStyle w:val="Hyperlink"/>
          </w:rPr>
          <w:t xml:space="preserve"> Droits d'utilisation du spectre pour les réseaux WLAN et la téléphonie sans fil</w:t>
        </w:r>
        <w:r w:rsidR="00E56335">
          <w:rPr>
            <w:webHidden/>
          </w:rPr>
          <w:tab/>
        </w:r>
        <w:r w:rsidR="00E56335">
          <w:rPr>
            <w:webHidden/>
          </w:rPr>
          <w:tab/>
        </w:r>
        <w:r>
          <w:rPr>
            <w:webHidden/>
          </w:rPr>
          <w:fldChar w:fldCharType="begin"/>
        </w:r>
        <w:r w:rsidR="00E56335">
          <w:rPr>
            <w:webHidden/>
          </w:rPr>
          <w:instrText xml:space="preserve"> PAGEREF _Toc280272947 \h </w:instrText>
        </w:r>
        <w:r>
          <w:rPr>
            <w:webHidden/>
          </w:rPr>
        </w:r>
        <w:r>
          <w:rPr>
            <w:webHidden/>
          </w:rPr>
          <w:fldChar w:fldCharType="separate"/>
        </w:r>
        <w:r w:rsidR="00E56335">
          <w:rPr>
            <w:webHidden/>
          </w:rPr>
          <w:t>54</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48" w:history="1">
        <w:r w:rsidR="00E56335" w:rsidRPr="005522B1">
          <w:rPr>
            <w:rStyle w:val="Hyperlink"/>
          </w:rPr>
          <w:t xml:space="preserve">Article 18 </w:t>
        </w:r>
        <w:r w:rsidR="00E56335" w:rsidRPr="005A07CE">
          <w:rPr>
            <w:rStyle w:val="Hyperlink"/>
          </w:rPr>
          <w:t>–</w:t>
        </w:r>
        <w:r w:rsidR="00E56335" w:rsidRPr="005522B1">
          <w:rPr>
            <w:rStyle w:val="Hyperlink"/>
          </w:rPr>
          <w:t xml:space="preserve"> Droits d'utilisation du spectre pour les systèmes GMPCS</w:t>
        </w:r>
        <w:r w:rsidR="00E56335">
          <w:rPr>
            <w:webHidden/>
          </w:rPr>
          <w:tab/>
        </w:r>
        <w:r w:rsidR="00E56335">
          <w:rPr>
            <w:webHidden/>
          </w:rPr>
          <w:tab/>
        </w:r>
        <w:r>
          <w:rPr>
            <w:webHidden/>
          </w:rPr>
          <w:fldChar w:fldCharType="begin"/>
        </w:r>
        <w:r w:rsidR="00E56335">
          <w:rPr>
            <w:webHidden/>
          </w:rPr>
          <w:instrText xml:space="preserve"> PAGEREF _Toc280272948 \h </w:instrText>
        </w:r>
        <w:r>
          <w:rPr>
            <w:webHidden/>
          </w:rPr>
        </w:r>
        <w:r>
          <w:rPr>
            <w:webHidden/>
          </w:rPr>
          <w:fldChar w:fldCharType="separate"/>
        </w:r>
        <w:r w:rsidR="00E56335">
          <w:rPr>
            <w:webHidden/>
          </w:rPr>
          <w:t>54</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49" w:history="1">
        <w:r w:rsidR="00E56335" w:rsidRPr="005522B1">
          <w:rPr>
            <w:rStyle w:val="Hyperlink"/>
          </w:rPr>
          <w:t xml:space="preserve">Article 19 </w:t>
        </w:r>
        <w:r w:rsidR="00E56335" w:rsidRPr="005A07CE">
          <w:rPr>
            <w:rStyle w:val="Hyperlink"/>
          </w:rPr>
          <w:t>–</w:t>
        </w:r>
        <w:r w:rsidR="00E56335" w:rsidRPr="005522B1">
          <w:rPr>
            <w:rStyle w:val="Hyperlink"/>
          </w:rPr>
          <w:t xml:space="preserve"> Droits d'utilisation du spectre pour le Service d'amateur</w:t>
        </w:r>
        <w:r w:rsidR="00E56335">
          <w:rPr>
            <w:webHidden/>
          </w:rPr>
          <w:tab/>
        </w:r>
        <w:r w:rsidR="00E56335">
          <w:rPr>
            <w:webHidden/>
          </w:rPr>
          <w:tab/>
        </w:r>
        <w:r>
          <w:rPr>
            <w:webHidden/>
          </w:rPr>
          <w:fldChar w:fldCharType="begin"/>
        </w:r>
        <w:r w:rsidR="00E56335">
          <w:rPr>
            <w:webHidden/>
          </w:rPr>
          <w:instrText xml:space="preserve"> PAGEREF _Toc280272949 \h </w:instrText>
        </w:r>
        <w:r>
          <w:rPr>
            <w:webHidden/>
          </w:rPr>
        </w:r>
        <w:r>
          <w:rPr>
            <w:webHidden/>
          </w:rPr>
          <w:fldChar w:fldCharType="separate"/>
        </w:r>
        <w:r w:rsidR="00E56335">
          <w:rPr>
            <w:webHidden/>
          </w:rPr>
          <w:t>55</w:t>
        </w:r>
        <w:r>
          <w:rPr>
            <w:webHidden/>
          </w:rPr>
          <w:fldChar w:fldCharType="end"/>
        </w:r>
      </w:hyperlink>
    </w:p>
    <w:p w:rsidR="008E2BAC" w:rsidRDefault="00BA52D0" w:rsidP="008E2BAC">
      <w:pPr>
        <w:pStyle w:val="TOC1"/>
        <w:rPr>
          <w:i/>
          <w:iCs/>
        </w:rPr>
      </w:pPr>
      <w:hyperlink w:anchor="_Toc280272950" w:history="1">
        <w:r w:rsidR="00E56335" w:rsidRPr="005522B1">
          <w:rPr>
            <w:rStyle w:val="Hyperlink"/>
          </w:rPr>
          <w:t xml:space="preserve">Article 20 </w:t>
        </w:r>
        <w:r w:rsidR="00E56335" w:rsidRPr="005A07CE">
          <w:rPr>
            <w:rStyle w:val="Hyperlink"/>
          </w:rPr>
          <w:t>–</w:t>
        </w:r>
        <w:r w:rsidR="00E56335" w:rsidRPr="005522B1">
          <w:rPr>
            <w:rStyle w:val="Hyperlink"/>
          </w:rPr>
          <w:t xml:space="preserve"> Droits d'utilisation du spectre à acquitter pour les stations  de radiocommunication aéronautiques</w:t>
        </w:r>
        <w:r w:rsidR="00E56335">
          <w:rPr>
            <w:webHidden/>
          </w:rPr>
          <w:tab/>
        </w:r>
        <w:r w:rsidR="00E56335">
          <w:rPr>
            <w:webHidden/>
          </w:rPr>
          <w:tab/>
        </w:r>
        <w:r>
          <w:rPr>
            <w:webHidden/>
          </w:rPr>
          <w:fldChar w:fldCharType="begin"/>
        </w:r>
        <w:r w:rsidR="00E56335">
          <w:rPr>
            <w:webHidden/>
          </w:rPr>
          <w:instrText xml:space="preserve"> PAGEREF _Toc280272950 \h </w:instrText>
        </w:r>
        <w:r>
          <w:rPr>
            <w:webHidden/>
          </w:rPr>
        </w:r>
        <w:r>
          <w:rPr>
            <w:webHidden/>
          </w:rPr>
          <w:fldChar w:fldCharType="separate"/>
        </w:r>
        <w:r w:rsidR="00E56335">
          <w:rPr>
            <w:webHidden/>
          </w:rPr>
          <w:t>55</w:t>
        </w:r>
        <w:r>
          <w:rPr>
            <w:webHidden/>
          </w:rPr>
          <w:fldChar w:fldCharType="end"/>
        </w:r>
      </w:hyperlink>
      <w:r w:rsidR="008E2BAC">
        <w:rPr>
          <w:iCs/>
        </w:rPr>
        <w:br w:type="page"/>
      </w:r>
    </w:p>
    <w:p w:rsidR="00E56335" w:rsidRDefault="00E56335" w:rsidP="00E56335">
      <w:pPr>
        <w:pStyle w:val="Recdate"/>
        <w:keepLines w:val="0"/>
        <w:tabs>
          <w:tab w:val="right" w:pos="9639"/>
        </w:tabs>
        <w:jc w:val="left"/>
        <w:rPr>
          <w:b/>
          <w:iCs/>
        </w:rPr>
      </w:pPr>
      <w:r w:rsidRPr="0008342F">
        <w:rPr>
          <w:iCs/>
        </w:rPr>
        <w:lastRenderedPageBreak/>
        <w:tab/>
      </w:r>
      <w:r w:rsidRPr="00153922">
        <w:rPr>
          <w:b/>
          <w:iCs/>
        </w:rPr>
        <w:t>Page</w:t>
      </w:r>
    </w:p>
    <w:p w:rsidR="00E56335" w:rsidRDefault="00BA52D0" w:rsidP="00E56335">
      <w:pPr>
        <w:pStyle w:val="TOC1"/>
        <w:rPr>
          <w:rFonts w:asciiTheme="minorHAnsi" w:hAnsiTheme="minorHAnsi" w:cstheme="minorBidi"/>
          <w:szCs w:val="22"/>
          <w:lang w:eastAsia="zh-CN"/>
        </w:rPr>
      </w:pPr>
      <w:hyperlink w:anchor="_Toc280272951" w:history="1">
        <w:r w:rsidR="00E56335" w:rsidRPr="005522B1">
          <w:rPr>
            <w:rStyle w:val="Hyperlink"/>
          </w:rPr>
          <w:t xml:space="preserve">Article 21 </w:t>
        </w:r>
        <w:r w:rsidR="00E56335" w:rsidRPr="005A07CE">
          <w:rPr>
            <w:rStyle w:val="Hyperlink"/>
          </w:rPr>
          <w:t>–</w:t>
        </w:r>
        <w:r w:rsidR="00E56335" w:rsidRPr="005522B1">
          <w:rPr>
            <w:rStyle w:val="Hyperlink"/>
          </w:rPr>
          <w:t xml:space="preserve"> Droits d'utilisation du spectre pour les services de radiocommunication maritimes</w:t>
        </w:r>
        <w:r w:rsidR="00E56335">
          <w:rPr>
            <w:webHidden/>
          </w:rPr>
          <w:tab/>
        </w:r>
        <w:r w:rsidR="00E56335">
          <w:rPr>
            <w:webHidden/>
          </w:rPr>
          <w:tab/>
        </w:r>
        <w:r>
          <w:rPr>
            <w:webHidden/>
          </w:rPr>
          <w:fldChar w:fldCharType="begin"/>
        </w:r>
        <w:r w:rsidR="00E56335">
          <w:rPr>
            <w:webHidden/>
          </w:rPr>
          <w:instrText xml:space="preserve"> PAGEREF _Toc280272951 \h </w:instrText>
        </w:r>
        <w:r>
          <w:rPr>
            <w:webHidden/>
          </w:rPr>
        </w:r>
        <w:r>
          <w:rPr>
            <w:webHidden/>
          </w:rPr>
          <w:fldChar w:fldCharType="separate"/>
        </w:r>
        <w:r w:rsidR="00E56335">
          <w:rPr>
            <w:webHidden/>
          </w:rPr>
          <w:t>55</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52" w:history="1">
        <w:r w:rsidR="00E56335" w:rsidRPr="005522B1">
          <w:rPr>
            <w:rStyle w:val="Hyperlink"/>
          </w:rPr>
          <w:t xml:space="preserve">Article 22 </w:t>
        </w:r>
        <w:r w:rsidR="00E56335" w:rsidRPr="005A07CE">
          <w:rPr>
            <w:rStyle w:val="Hyperlink"/>
          </w:rPr>
          <w:t>–</w:t>
        </w:r>
        <w:r w:rsidR="00E56335" w:rsidRPr="005522B1">
          <w:rPr>
            <w:rStyle w:val="Hyperlink"/>
          </w:rPr>
          <w:t xml:space="preserve"> Droits d'utilisation du spectre à acquitter pour les services spatiaux  et les services auxiliaires</w:t>
        </w:r>
        <w:r w:rsidR="00E56335">
          <w:rPr>
            <w:webHidden/>
          </w:rPr>
          <w:tab/>
        </w:r>
        <w:r w:rsidR="00E56335">
          <w:rPr>
            <w:webHidden/>
          </w:rPr>
          <w:tab/>
        </w:r>
        <w:r>
          <w:rPr>
            <w:webHidden/>
          </w:rPr>
          <w:fldChar w:fldCharType="begin"/>
        </w:r>
        <w:r w:rsidR="00E56335">
          <w:rPr>
            <w:webHidden/>
          </w:rPr>
          <w:instrText xml:space="preserve"> PAGEREF _Toc280272952 \h </w:instrText>
        </w:r>
        <w:r>
          <w:rPr>
            <w:webHidden/>
          </w:rPr>
        </w:r>
        <w:r>
          <w:rPr>
            <w:webHidden/>
          </w:rPr>
          <w:fldChar w:fldCharType="separate"/>
        </w:r>
        <w:r w:rsidR="00E56335">
          <w:rPr>
            <w:webHidden/>
          </w:rPr>
          <w:t>55</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53" w:history="1">
        <w:r w:rsidR="00E56335" w:rsidRPr="005522B1">
          <w:rPr>
            <w:rStyle w:val="Hyperlink"/>
          </w:rPr>
          <w:t xml:space="preserve">Article 23 </w:t>
        </w:r>
        <w:r w:rsidR="00E56335" w:rsidRPr="005A07CE">
          <w:rPr>
            <w:rStyle w:val="Hyperlink"/>
          </w:rPr>
          <w:t>–</w:t>
        </w:r>
        <w:r w:rsidR="00E56335" w:rsidRPr="005522B1">
          <w:rPr>
            <w:rStyle w:val="Hyperlink"/>
          </w:rPr>
          <w:t xml:space="preserve"> Droits à acquitter pour les stations de radionavigation</w:t>
        </w:r>
        <w:r w:rsidR="00E56335">
          <w:rPr>
            <w:webHidden/>
          </w:rPr>
          <w:tab/>
        </w:r>
        <w:r w:rsidR="00E56335">
          <w:rPr>
            <w:webHidden/>
          </w:rPr>
          <w:tab/>
        </w:r>
        <w:r>
          <w:rPr>
            <w:webHidden/>
          </w:rPr>
          <w:fldChar w:fldCharType="begin"/>
        </w:r>
        <w:r w:rsidR="00E56335">
          <w:rPr>
            <w:webHidden/>
          </w:rPr>
          <w:instrText xml:space="preserve"> PAGEREF _Toc280272953 \h </w:instrText>
        </w:r>
        <w:r>
          <w:rPr>
            <w:webHidden/>
          </w:rPr>
        </w:r>
        <w:r>
          <w:rPr>
            <w:webHidden/>
          </w:rPr>
          <w:fldChar w:fldCharType="separate"/>
        </w:r>
        <w:r w:rsidR="00E56335">
          <w:rPr>
            <w:webHidden/>
          </w:rPr>
          <w:t>56</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54" w:history="1">
        <w:r w:rsidR="00E56335" w:rsidRPr="005522B1">
          <w:rPr>
            <w:rStyle w:val="Hyperlink"/>
          </w:rPr>
          <w:t xml:space="preserve">Article 24 </w:t>
        </w:r>
        <w:r w:rsidR="00E56335" w:rsidRPr="005A07CE">
          <w:rPr>
            <w:rStyle w:val="Hyperlink"/>
          </w:rPr>
          <w:t>–</w:t>
        </w:r>
        <w:r w:rsidR="00E56335" w:rsidRPr="005522B1">
          <w:rPr>
            <w:rStyle w:val="Hyperlink"/>
          </w:rPr>
          <w:t xml:space="preserve"> Droits à acquitter pour les stations de radioastronomie</w:t>
        </w:r>
        <w:r w:rsidR="00E56335">
          <w:rPr>
            <w:webHidden/>
          </w:rPr>
          <w:tab/>
        </w:r>
        <w:r w:rsidR="00E56335">
          <w:rPr>
            <w:webHidden/>
          </w:rPr>
          <w:tab/>
        </w:r>
        <w:r>
          <w:rPr>
            <w:webHidden/>
          </w:rPr>
          <w:fldChar w:fldCharType="begin"/>
        </w:r>
        <w:r w:rsidR="00E56335">
          <w:rPr>
            <w:webHidden/>
          </w:rPr>
          <w:instrText xml:space="preserve"> PAGEREF _Toc280272954 \h </w:instrText>
        </w:r>
        <w:r>
          <w:rPr>
            <w:webHidden/>
          </w:rPr>
        </w:r>
        <w:r>
          <w:rPr>
            <w:webHidden/>
          </w:rPr>
          <w:fldChar w:fldCharType="separate"/>
        </w:r>
        <w:r w:rsidR="00E56335">
          <w:rPr>
            <w:webHidden/>
          </w:rPr>
          <w:t>56</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55" w:history="1">
        <w:r w:rsidR="00E56335" w:rsidRPr="005522B1">
          <w:rPr>
            <w:rStyle w:val="Hyperlink"/>
          </w:rPr>
          <w:t xml:space="preserve">Article 25 </w:t>
        </w:r>
        <w:r w:rsidR="00E56335" w:rsidRPr="005A07CE">
          <w:rPr>
            <w:rStyle w:val="Hyperlink"/>
          </w:rPr>
          <w:t>–</w:t>
        </w:r>
        <w:r w:rsidR="00E56335" w:rsidRPr="005522B1">
          <w:rPr>
            <w:rStyle w:val="Hyperlink"/>
          </w:rPr>
          <w:t xml:space="preserve"> Droits à acquitter pour les stations de radiolocalisation</w:t>
        </w:r>
        <w:r w:rsidR="00E56335">
          <w:rPr>
            <w:webHidden/>
          </w:rPr>
          <w:tab/>
        </w:r>
        <w:r w:rsidR="00E56335">
          <w:rPr>
            <w:webHidden/>
          </w:rPr>
          <w:tab/>
        </w:r>
        <w:r>
          <w:rPr>
            <w:webHidden/>
          </w:rPr>
          <w:fldChar w:fldCharType="begin"/>
        </w:r>
        <w:r w:rsidR="00E56335">
          <w:rPr>
            <w:webHidden/>
          </w:rPr>
          <w:instrText xml:space="preserve"> PAGEREF _Toc280272955 \h </w:instrText>
        </w:r>
        <w:r>
          <w:rPr>
            <w:webHidden/>
          </w:rPr>
        </w:r>
        <w:r>
          <w:rPr>
            <w:webHidden/>
          </w:rPr>
          <w:fldChar w:fldCharType="separate"/>
        </w:r>
        <w:r w:rsidR="00E56335">
          <w:rPr>
            <w:webHidden/>
          </w:rPr>
          <w:t>56</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56" w:history="1">
        <w:r w:rsidR="00E56335" w:rsidRPr="005522B1">
          <w:rPr>
            <w:rStyle w:val="Hyperlink"/>
          </w:rPr>
          <w:t xml:space="preserve">Article 26 </w:t>
        </w:r>
        <w:r w:rsidR="00E56335" w:rsidRPr="005A07CE">
          <w:rPr>
            <w:rStyle w:val="Hyperlink"/>
          </w:rPr>
          <w:t>–</w:t>
        </w:r>
        <w:r w:rsidR="00E56335" w:rsidRPr="005522B1">
          <w:rPr>
            <w:rStyle w:val="Hyperlink"/>
          </w:rPr>
          <w:t xml:space="preserve"> Droits à acquitter pour le service de radiodiffusion</w:t>
        </w:r>
        <w:r w:rsidR="00E56335">
          <w:rPr>
            <w:webHidden/>
          </w:rPr>
          <w:tab/>
        </w:r>
        <w:r w:rsidR="00E56335">
          <w:rPr>
            <w:webHidden/>
          </w:rPr>
          <w:tab/>
        </w:r>
        <w:r>
          <w:rPr>
            <w:webHidden/>
          </w:rPr>
          <w:fldChar w:fldCharType="begin"/>
        </w:r>
        <w:r w:rsidR="00E56335">
          <w:rPr>
            <w:webHidden/>
          </w:rPr>
          <w:instrText xml:space="preserve"> PAGEREF _Toc280272956 \h </w:instrText>
        </w:r>
        <w:r>
          <w:rPr>
            <w:webHidden/>
          </w:rPr>
        </w:r>
        <w:r>
          <w:rPr>
            <w:webHidden/>
          </w:rPr>
          <w:fldChar w:fldCharType="separate"/>
        </w:r>
        <w:r w:rsidR="00E56335">
          <w:rPr>
            <w:webHidden/>
          </w:rPr>
          <w:t>56</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57" w:history="1">
        <w:r w:rsidR="00E56335" w:rsidRPr="005522B1">
          <w:rPr>
            <w:rStyle w:val="Hyperlink"/>
          </w:rPr>
          <w:t xml:space="preserve">Article 27 </w:t>
        </w:r>
        <w:r w:rsidR="00E56335" w:rsidRPr="005A07CE">
          <w:rPr>
            <w:rStyle w:val="Hyperlink"/>
          </w:rPr>
          <w:t>–</w:t>
        </w:r>
        <w:r w:rsidR="00E56335" w:rsidRPr="005522B1">
          <w:rPr>
            <w:rStyle w:val="Hyperlink"/>
          </w:rPr>
          <w:t xml:space="preserve"> Systèmes à courte portée</w:t>
        </w:r>
        <w:r w:rsidR="00E56335">
          <w:rPr>
            <w:webHidden/>
          </w:rPr>
          <w:tab/>
        </w:r>
        <w:r w:rsidR="00E56335">
          <w:rPr>
            <w:webHidden/>
          </w:rPr>
          <w:tab/>
        </w:r>
        <w:r>
          <w:rPr>
            <w:webHidden/>
          </w:rPr>
          <w:fldChar w:fldCharType="begin"/>
        </w:r>
        <w:r w:rsidR="00E56335">
          <w:rPr>
            <w:webHidden/>
          </w:rPr>
          <w:instrText xml:space="preserve"> PAGEREF _Toc280272957 \h </w:instrText>
        </w:r>
        <w:r>
          <w:rPr>
            <w:webHidden/>
          </w:rPr>
        </w:r>
        <w:r>
          <w:rPr>
            <w:webHidden/>
          </w:rPr>
          <w:fldChar w:fldCharType="separate"/>
        </w:r>
        <w:r w:rsidR="00E56335">
          <w:rPr>
            <w:webHidden/>
          </w:rPr>
          <w:t>60</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58" w:history="1">
        <w:r w:rsidR="00E56335" w:rsidRPr="005522B1">
          <w:rPr>
            <w:rStyle w:val="Hyperlink"/>
          </w:rPr>
          <w:t xml:space="preserve">Article 28 </w:t>
        </w:r>
        <w:r w:rsidR="00E56335" w:rsidRPr="005A07CE">
          <w:rPr>
            <w:rStyle w:val="Hyperlink"/>
          </w:rPr>
          <w:t>–</w:t>
        </w:r>
        <w:r w:rsidR="00E56335" w:rsidRPr="005522B1">
          <w:rPr>
            <w:rStyle w:val="Hyperlink"/>
          </w:rPr>
          <w:t xml:space="preserve"> Fréquences à utiliser en cas d'urgence et de catastrophe</w:t>
        </w:r>
        <w:r w:rsidR="00E56335">
          <w:rPr>
            <w:webHidden/>
          </w:rPr>
          <w:tab/>
        </w:r>
        <w:r w:rsidR="00E56335">
          <w:rPr>
            <w:webHidden/>
          </w:rPr>
          <w:tab/>
        </w:r>
        <w:r>
          <w:rPr>
            <w:webHidden/>
          </w:rPr>
          <w:fldChar w:fldCharType="begin"/>
        </w:r>
        <w:r w:rsidR="00E56335">
          <w:rPr>
            <w:webHidden/>
          </w:rPr>
          <w:instrText xml:space="preserve"> PAGEREF _Toc280272958 \h </w:instrText>
        </w:r>
        <w:r>
          <w:rPr>
            <w:webHidden/>
          </w:rPr>
        </w:r>
        <w:r>
          <w:rPr>
            <w:webHidden/>
          </w:rPr>
          <w:fldChar w:fldCharType="separate"/>
        </w:r>
        <w:r w:rsidR="00E56335">
          <w:rPr>
            <w:webHidden/>
          </w:rPr>
          <w:t>60</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59" w:history="1">
        <w:r w:rsidR="00E56335" w:rsidRPr="005522B1">
          <w:rPr>
            <w:rStyle w:val="Hyperlink"/>
          </w:rPr>
          <w:t xml:space="preserve">Article 29 </w:t>
        </w:r>
        <w:r w:rsidR="00E56335" w:rsidRPr="005A07CE">
          <w:rPr>
            <w:rStyle w:val="Hyperlink"/>
          </w:rPr>
          <w:t>–</w:t>
        </w:r>
        <w:r w:rsidR="00E56335" w:rsidRPr="005522B1">
          <w:rPr>
            <w:rStyle w:val="Hyperlink"/>
          </w:rPr>
          <w:t xml:space="preserve"> Autorisation temporaire</w:t>
        </w:r>
        <w:r w:rsidR="00E56335">
          <w:rPr>
            <w:webHidden/>
          </w:rPr>
          <w:tab/>
        </w:r>
        <w:r w:rsidR="00E56335">
          <w:rPr>
            <w:webHidden/>
          </w:rPr>
          <w:tab/>
        </w:r>
        <w:r>
          <w:rPr>
            <w:webHidden/>
          </w:rPr>
          <w:fldChar w:fldCharType="begin"/>
        </w:r>
        <w:r w:rsidR="00E56335">
          <w:rPr>
            <w:webHidden/>
          </w:rPr>
          <w:instrText xml:space="preserve"> PAGEREF _Toc280272959 \h </w:instrText>
        </w:r>
        <w:r>
          <w:rPr>
            <w:webHidden/>
          </w:rPr>
        </w:r>
        <w:r>
          <w:rPr>
            <w:webHidden/>
          </w:rPr>
          <w:fldChar w:fldCharType="separate"/>
        </w:r>
        <w:r w:rsidR="00E56335">
          <w:rPr>
            <w:webHidden/>
          </w:rPr>
          <w:t>61</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60" w:history="1">
        <w:r w:rsidR="00E56335" w:rsidRPr="005522B1">
          <w:rPr>
            <w:rStyle w:val="Hyperlink"/>
          </w:rPr>
          <w:t xml:space="preserve">Article 30 </w:t>
        </w:r>
        <w:r w:rsidR="00E56335" w:rsidRPr="005A07CE">
          <w:rPr>
            <w:rStyle w:val="Hyperlink"/>
          </w:rPr>
          <w:t>–</w:t>
        </w:r>
        <w:r w:rsidR="00E56335" w:rsidRPr="005522B1">
          <w:rPr>
            <w:rStyle w:val="Hyperlink"/>
          </w:rPr>
          <w:t xml:space="preserve"> Autres services de radiocommunication</w:t>
        </w:r>
        <w:r w:rsidR="00E56335">
          <w:rPr>
            <w:webHidden/>
          </w:rPr>
          <w:tab/>
        </w:r>
        <w:r w:rsidR="00E56335">
          <w:rPr>
            <w:webHidden/>
          </w:rPr>
          <w:tab/>
        </w:r>
        <w:r>
          <w:rPr>
            <w:webHidden/>
          </w:rPr>
          <w:fldChar w:fldCharType="begin"/>
        </w:r>
        <w:r w:rsidR="00E56335">
          <w:rPr>
            <w:webHidden/>
          </w:rPr>
          <w:instrText xml:space="preserve"> PAGEREF _Toc280272960 \h </w:instrText>
        </w:r>
        <w:r>
          <w:rPr>
            <w:webHidden/>
          </w:rPr>
        </w:r>
        <w:r>
          <w:rPr>
            <w:webHidden/>
          </w:rPr>
          <w:fldChar w:fldCharType="separate"/>
        </w:r>
        <w:r w:rsidR="00E56335">
          <w:rPr>
            <w:webHidden/>
          </w:rPr>
          <w:t>61</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61" w:history="1">
        <w:r w:rsidR="00E56335" w:rsidRPr="005522B1">
          <w:rPr>
            <w:rStyle w:val="Hyperlink"/>
          </w:rPr>
          <w:t xml:space="preserve">Article 31 </w:t>
        </w:r>
        <w:r w:rsidR="00E56335" w:rsidRPr="005A07CE">
          <w:rPr>
            <w:rStyle w:val="Hyperlink"/>
          </w:rPr>
          <w:t>–</w:t>
        </w:r>
        <w:r w:rsidR="00E56335" w:rsidRPr="005522B1">
          <w:rPr>
            <w:rStyle w:val="Hyperlink"/>
          </w:rPr>
          <w:t xml:space="preserve"> Traitement des plaintes pour brouillages et droits applicables</w:t>
        </w:r>
        <w:r w:rsidR="00E56335">
          <w:rPr>
            <w:webHidden/>
          </w:rPr>
          <w:tab/>
        </w:r>
        <w:r w:rsidR="00E56335">
          <w:rPr>
            <w:webHidden/>
          </w:rPr>
          <w:tab/>
        </w:r>
        <w:r>
          <w:rPr>
            <w:webHidden/>
          </w:rPr>
          <w:fldChar w:fldCharType="begin"/>
        </w:r>
        <w:r w:rsidR="00E56335">
          <w:rPr>
            <w:webHidden/>
          </w:rPr>
          <w:instrText xml:space="preserve"> PAGEREF _Toc280272961 \h </w:instrText>
        </w:r>
        <w:r>
          <w:rPr>
            <w:webHidden/>
          </w:rPr>
        </w:r>
        <w:r>
          <w:rPr>
            <w:webHidden/>
          </w:rPr>
          <w:fldChar w:fldCharType="separate"/>
        </w:r>
        <w:r w:rsidR="00E56335">
          <w:rPr>
            <w:webHidden/>
          </w:rPr>
          <w:t>61</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62" w:history="1">
        <w:r w:rsidR="00E56335" w:rsidRPr="005522B1">
          <w:rPr>
            <w:rStyle w:val="Hyperlink"/>
          </w:rPr>
          <w:t xml:space="preserve">Article 32 </w:t>
        </w:r>
        <w:r w:rsidR="00E56335" w:rsidRPr="005A07CE">
          <w:rPr>
            <w:rStyle w:val="Hyperlink"/>
          </w:rPr>
          <w:t>–</w:t>
        </w:r>
        <w:r w:rsidR="00E56335" w:rsidRPr="005522B1">
          <w:rPr>
            <w:rStyle w:val="Hyperlink"/>
          </w:rPr>
          <w:t xml:space="preserve"> Droits à acquitter par les ambassades et consulats de pays étrangers  et par les missions diplomatiques</w:t>
        </w:r>
        <w:r w:rsidR="00E56335">
          <w:rPr>
            <w:webHidden/>
          </w:rPr>
          <w:tab/>
        </w:r>
        <w:r w:rsidR="00E56335">
          <w:rPr>
            <w:webHidden/>
          </w:rPr>
          <w:tab/>
        </w:r>
        <w:r>
          <w:rPr>
            <w:webHidden/>
          </w:rPr>
          <w:fldChar w:fldCharType="begin"/>
        </w:r>
        <w:r w:rsidR="00E56335">
          <w:rPr>
            <w:webHidden/>
          </w:rPr>
          <w:instrText xml:space="preserve"> PAGEREF _Toc280272962 \h </w:instrText>
        </w:r>
        <w:r>
          <w:rPr>
            <w:webHidden/>
          </w:rPr>
        </w:r>
        <w:r>
          <w:rPr>
            <w:webHidden/>
          </w:rPr>
          <w:fldChar w:fldCharType="separate"/>
        </w:r>
        <w:r w:rsidR="00E56335">
          <w:rPr>
            <w:webHidden/>
          </w:rPr>
          <w:t>61</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63" w:history="1">
        <w:r w:rsidR="00E56335" w:rsidRPr="005522B1">
          <w:rPr>
            <w:rStyle w:val="Hyperlink"/>
          </w:rPr>
          <w:t xml:space="preserve">Article 33 </w:t>
        </w:r>
        <w:r w:rsidR="00E56335" w:rsidRPr="005A07CE">
          <w:rPr>
            <w:rStyle w:val="Hyperlink"/>
          </w:rPr>
          <w:t>–</w:t>
        </w:r>
        <w:r w:rsidR="00E56335" w:rsidRPr="005522B1">
          <w:rPr>
            <w:rStyle w:val="Hyperlink"/>
          </w:rPr>
          <w:t xml:space="preserve"> Droits à acquitter pour la visite des emplacements</w:t>
        </w:r>
        <w:r w:rsidR="00E56335">
          <w:rPr>
            <w:webHidden/>
          </w:rPr>
          <w:tab/>
        </w:r>
        <w:r w:rsidR="00E56335">
          <w:rPr>
            <w:webHidden/>
          </w:rPr>
          <w:tab/>
        </w:r>
        <w:r>
          <w:rPr>
            <w:webHidden/>
          </w:rPr>
          <w:fldChar w:fldCharType="begin"/>
        </w:r>
        <w:r w:rsidR="00E56335">
          <w:rPr>
            <w:webHidden/>
          </w:rPr>
          <w:instrText xml:space="preserve"> PAGEREF _Toc280272963 \h </w:instrText>
        </w:r>
        <w:r>
          <w:rPr>
            <w:webHidden/>
          </w:rPr>
        </w:r>
        <w:r>
          <w:rPr>
            <w:webHidden/>
          </w:rPr>
          <w:fldChar w:fldCharType="separate"/>
        </w:r>
        <w:r w:rsidR="00E56335">
          <w:rPr>
            <w:webHidden/>
          </w:rPr>
          <w:t>61</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64" w:history="1">
        <w:r w:rsidR="00E56335" w:rsidRPr="005522B1">
          <w:rPr>
            <w:rStyle w:val="Hyperlink"/>
          </w:rPr>
          <w:t xml:space="preserve">Article 34 </w:t>
        </w:r>
        <w:r w:rsidR="00E56335" w:rsidRPr="005A07CE">
          <w:rPr>
            <w:rStyle w:val="Hyperlink"/>
          </w:rPr>
          <w:t>–</w:t>
        </w:r>
        <w:r w:rsidR="00E56335" w:rsidRPr="005522B1">
          <w:rPr>
            <w:rStyle w:val="Hyperlink"/>
          </w:rPr>
          <w:t xml:space="preserve"> Obligation de paiement</w:t>
        </w:r>
        <w:r w:rsidR="00E56335">
          <w:rPr>
            <w:webHidden/>
          </w:rPr>
          <w:tab/>
        </w:r>
        <w:r w:rsidR="00E56335">
          <w:rPr>
            <w:webHidden/>
          </w:rPr>
          <w:tab/>
        </w:r>
        <w:r>
          <w:rPr>
            <w:webHidden/>
          </w:rPr>
          <w:fldChar w:fldCharType="begin"/>
        </w:r>
        <w:r w:rsidR="00E56335">
          <w:rPr>
            <w:webHidden/>
          </w:rPr>
          <w:instrText xml:space="preserve"> PAGEREF _Toc280272964 \h </w:instrText>
        </w:r>
        <w:r>
          <w:rPr>
            <w:webHidden/>
          </w:rPr>
        </w:r>
        <w:r>
          <w:rPr>
            <w:webHidden/>
          </w:rPr>
          <w:fldChar w:fldCharType="separate"/>
        </w:r>
        <w:r w:rsidR="00E56335">
          <w:rPr>
            <w:webHidden/>
          </w:rPr>
          <w:t>61</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65" w:history="1">
        <w:r w:rsidR="00E56335" w:rsidRPr="005522B1">
          <w:rPr>
            <w:rStyle w:val="Hyperlink"/>
          </w:rPr>
          <w:t xml:space="preserve">Article 35 </w:t>
        </w:r>
        <w:r w:rsidR="00E56335" w:rsidRPr="005A07CE">
          <w:rPr>
            <w:rStyle w:val="Hyperlink"/>
          </w:rPr>
          <w:t>–</w:t>
        </w:r>
        <w:r w:rsidR="00E56335" w:rsidRPr="005522B1">
          <w:rPr>
            <w:rStyle w:val="Hyperlink"/>
          </w:rPr>
          <w:t xml:space="preserve"> Méthodes de paiement</w:t>
        </w:r>
        <w:r w:rsidR="00E56335">
          <w:rPr>
            <w:webHidden/>
          </w:rPr>
          <w:tab/>
        </w:r>
        <w:r w:rsidR="00E56335">
          <w:rPr>
            <w:webHidden/>
          </w:rPr>
          <w:tab/>
        </w:r>
        <w:r>
          <w:rPr>
            <w:webHidden/>
          </w:rPr>
          <w:fldChar w:fldCharType="begin"/>
        </w:r>
        <w:r w:rsidR="00E56335">
          <w:rPr>
            <w:webHidden/>
          </w:rPr>
          <w:instrText xml:space="preserve"> PAGEREF _Toc280272965 \h </w:instrText>
        </w:r>
        <w:r>
          <w:rPr>
            <w:webHidden/>
          </w:rPr>
        </w:r>
        <w:r>
          <w:rPr>
            <w:webHidden/>
          </w:rPr>
          <w:fldChar w:fldCharType="separate"/>
        </w:r>
        <w:r w:rsidR="00E56335">
          <w:rPr>
            <w:webHidden/>
          </w:rPr>
          <w:t>62</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66" w:history="1">
        <w:r w:rsidR="00E56335" w:rsidRPr="005522B1">
          <w:rPr>
            <w:rStyle w:val="Hyperlink"/>
          </w:rPr>
          <w:t xml:space="preserve">Article 36 </w:t>
        </w:r>
        <w:r w:rsidR="00E56335" w:rsidRPr="005A07CE">
          <w:rPr>
            <w:rStyle w:val="Hyperlink"/>
          </w:rPr>
          <w:t>–</w:t>
        </w:r>
        <w:r w:rsidR="00E56335" w:rsidRPr="005522B1">
          <w:rPr>
            <w:rStyle w:val="Hyperlink"/>
          </w:rPr>
          <w:t xml:space="preserve"> Sanctions</w:t>
        </w:r>
        <w:r w:rsidR="00E56335">
          <w:rPr>
            <w:webHidden/>
          </w:rPr>
          <w:tab/>
        </w:r>
        <w:r w:rsidR="00E56335">
          <w:rPr>
            <w:webHidden/>
          </w:rPr>
          <w:tab/>
        </w:r>
        <w:r>
          <w:rPr>
            <w:webHidden/>
          </w:rPr>
          <w:fldChar w:fldCharType="begin"/>
        </w:r>
        <w:r w:rsidR="00E56335">
          <w:rPr>
            <w:webHidden/>
          </w:rPr>
          <w:instrText xml:space="preserve"> PAGEREF _Toc280272966 \h </w:instrText>
        </w:r>
        <w:r>
          <w:rPr>
            <w:webHidden/>
          </w:rPr>
        </w:r>
        <w:r>
          <w:rPr>
            <w:webHidden/>
          </w:rPr>
          <w:fldChar w:fldCharType="separate"/>
        </w:r>
        <w:r w:rsidR="00E56335">
          <w:rPr>
            <w:webHidden/>
          </w:rPr>
          <w:t>62</w:t>
        </w:r>
        <w:r>
          <w:rPr>
            <w:webHidden/>
          </w:rPr>
          <w:fldChar w:fldCharType="end"/>
        </w:r>
      </w:hyperlink>
    </w:p>
    <w:p w:rsidR="00E56335" w:rsidRDefault="00BA52D0" w:rsidP="00E56335">
      <w:pPr>
        <w:pStyle w:val="TOC1"/>
        <w:rPr>
          <w:rFonts w:asciiTheme="minorHAnsi" w:hAnsiTheme="minorHAnsi" w:cstheme="minorBidi"/>
          <w:szCs w:val="22"/>
          <w:lang w:eastAsia="zh-CN"/>
        </w:rPr>
      </w:pPr>
      <w:hyperlink w:anchor="_Toc280272967" w:history="1">
        <w:r w:rsidR="00E56335" w:rsidRPr="005522B1">
          <w:rPr>
            <w:rStyle w:val="Hyperlink"/>
          </w:rPr>
          <w:t xml:space="preserve">Article 37 </w:t>
        </w:r>
        <w:r w:rsidR="00E56335" w:rsidRPr="005A07CE">
          <w:rPr>
            <w:rStyle w:val="Hyperlink"/>
          </w:rPr>
          <w:t>–</w:t>
        </w:r>
        <w:r w:rsidR="00E56335" w:rsidRPr="005522B1">
          <w:rPr>
            <w:rStyle w:val="Hyperlink"/>
          </w:rPr>
          <w:t xml:space="preserve"> Mise en application</w:t>
        </w:r>
        <w:r w:rsidR="00E56335">
          <w:rPr>
            <w:webHidden/>
          </w:rPr>
          <w:tab/>
        </w:r>
        <w:r w:rsidR="00E56335">
          <w:rPr>
            <w:webHidden/>
          </w:rPr>
          <w:tab/>
        </w:r>
        <w:r>
          <w:rPr>
            <w:webHidden/>
          </w:rPr>
          <w:fldChar w:fldCharType="begin"/>
        </w:r>
        <w:r w:rsidR="00E56335">
          <w:rPr>
            <w:webHidden/>
          </w:rPr>
          <w:instrText xml:space="preserve"> PAGEREF _Toc280272967 \h </w:instrText>
        </w:r>
        <w:r>
          <w:rPr>
            <w:webHidden/>
          </w:rPr>
        </w:r>
        <w:r>
          <w:rPr>
            <w:webHidden/>
          </w:rPr>
          <w:fldChar w:fldCharType="separate"/>
        </w:r>
        <w:r w:rsidR="00E56335">
          <w:rPr>
            <w:webHidden/>
          </w:rPr>
          <w:t>62</w:t>
        </w:r>
        <w:r>
          <w:rPr>
            <w:webHidden/>
          </w:rPr>
          <w:fldChar w:fldCharType="end"/>
        </w:r>
      </w:hyperlink>
    </w:p>
    <w:p w:rsidR="00E56335" w:rsidRDefault="00BA52D0" w:rsidP="00E56335">
      <w:pPr>
        <w:rPr>
          <w:lang w:val="fr-FR"/>
        </w:rPr>
      </w:pPr>
      <w:r>
        <w:rPr>
          <w:lang w:val="fr-FR"/>
        </w:rPr>
        <w:fldChar w:fldCharType="end"/>
      </w:r>
    </w:p>
    <w:p w:rsidR="00E56335" w:rsidRPr="00002558" w:rsidRDefault="00E56335" w:rsidP="00E56335">
      <w:pPr>
        <w:pStyle w:val="Arttitle"/>
        <w:spacing w:before="400"/>
      </w:pPr>
      <w:r w:rsidRPr="001C00F5">
        <w:rPr>
          <w:lang w:val="fr-FR"/>
        </w:rPr>
        <w:br w:type="page"/>
      </w:r>
      <w:bookmarkStart w:id="415" w:name="_Toc225739476"/>
      <w:bookmarkStart w:id="416" w:name="_Toc225739811"/>
      <w:bookmarkStart w:id="417" w:name="_Toc280262358"/>
      <w:bookmarkStart w:id="418" w:name="_Toc280272752"/>
      <w:bookmarkStart w:id="419" w:name="_Toc280272931"/>
      <w:r>
        <w:lastRenderedPageBreak/>
        <w:t xml:space="preserve">Article </w:t>
      </w:r>
      <w:r w:rsidRPr="00002558">
        <w:t>1</w:t>
      </w:r>
      <w:bookmarkStart w:id="420" w:name="_Toc225739477"/>
      <w:bookmarkStart w:id="421" w:name="_Toc225739812"/>
      <w:bookmarkEnd w:id="415"/>
      <w:bookmarkEnd w:id="416"/>
      <w:r w:rsidRPr="00002558">
        <w:br/>
      </w:r>
      <w:r w:rsidRPr="00002558">
        <w:br/>
        <w:t>Objet</w:t>
      </w:r>
      <w:bookmarkEnd w:id="417"/>
      <w:bookmarkEnd w:id="418"/>
      <w:bookmarkEnd w:id="419"/>
      <w:bookmarkEnd w:id="420"/>
      <w:bookmarkEnd w:id="421"/>
    </w:p>
    <w:p w:rsidR="00E56335" w:rsidRPr="001C00F5" w:rsidRDefault="00E56335" w:rsidP="00E56335">
      <w:pPr>
        <w:rPr>
          <w:lang w:val="fr-FR"/>
        </w:rPr>
      </w:pPr>
      <w:r w:rsidRPr="001C00F5">
        <w:rPr>
          <w:lang w:val="fr-FR"/>
        </w:rPr>
        <w:t>Conformément à la Loi fédérale (Décret N° 3 de 2003), telle qu'elle a été amendée, et à son texte d'application, la présente directive établit le barème des droits d'utilisation du spectre des fréquences radioélectriques et d'utilisation d'équipements hertziens. Les droits d'utilisation du spectre sont payables à l'avance pour les demandes d'autorisation, l'enregistrement de ces demandes, l'autorisation ou le renouvellement, sauf disposition contraire indiquée dans la présente directive.</w:t>
      </w:r>
    </w:p>
    <w:p w:rsidR="00E56335" w:rsidRPr="00002558" w:rsidRDefault="00E56335" w:rsidP="00E56335">
      <w:pPr>
        <w:pStyle w:val="Arttitle"/>
        <w:spacing w:before="400"/>
      </w:pPr>
      <w:bookmarkStart w:id="422" w:name="_Toc225739478"/>
      <w:bookmarkStart w:id="423" w:name="_Toc225739813"/>
      <w:bookmarkStart w:id="424" w:name="_Toc280262359"/>
      <w:bookmarkStart w:id="425" w:name="_Toc280272753"/>
      <w:bookmarkStart w:id="426" w:name="_Toc280272932"/>
      <w:r>
        <w:t xml:space="preserve">Article </w:t>
      </w:r>
      <w:r w:rsidRPr="00002558">
        <w:t>2</w:t>
      </w:r>
      <w:bookmarkStart w:id="427" w:name="_Toc225739479"/>
      <w:bookmarkStart w:id="428" w:name="_Toc225739814"/>
      <w:bookmarkEnd w:id="422"/>
      <w:bookmarkEnd w:id="423"/>
      <w:r w:rsidRPr="00002558">
        <w:br/>
      </w:r>
      <w:r w:rsidRPr="00002558">
        <w:br/>
        <w:t>Définitions</w:t>
      </w:r>
      <w:bookmarkEnd w:id="424"/>
      <w:bookmarkEnd w:id="425"/>
      <w:bookmarkEnd w:id="426"/>
      <w:bookmarkEnd w:id="427"/>
      <w:bookmarkEnd w:id="428"/>
    </w:p>
    <w:p w:rsidR="00E56335" w:rsidRPr="001C00F5" w:rsidRDefault="00E56335" w:rsidP="00E56335">
      <w:pPr>
        <w:rPr>
          <w:lang w:val="fr-FR"/>
        </w:rPr>
      </w:pPr>
      <w:r w:rsidRPr="001C00F5">
        <w:rPr>
          <w:lang w:val="fr-FR"/>
        </w:rPr>
        <w:t>Dans la présente directive, les termes suivants ont la signification suivante, sauf si le contexte en décide autrement, et chaque terme utilisé ci-après est défini conformément à la Loi fédérale (Décret N° 3 de 2003), telle qu'elle a été amendée, et à son texte d'application:</w:t>
      </w:r>
    </w:p>
    <w:p w:rsidR="00E56335" w:rsidRPr="00737557" w:rsidRDefault="00E56335" w:rsidP="008E2BAC">
      <w:pPr>
        <w:pStyle w:val="enumlev1"/>
        <w:spacing w:before="80"/>
        <w:rPr>
          <w:rFonts w:asciiTheme="majorBidi" w:hAnsiTheme="majorBidi" w:cstheme="majorBidi"/>
          <w:bCs/>
          <w:szCs w:val="22"/>
        </w:rPr>
      </w:pPr>
      <w:r w:rsidRPr="00737557">
        <w:rPr>
          <w:rFonts w:asciiTheme="majorBidi" w:hAnsiTheme="majorBidi" w:cstheme="majorBidi"/>
          <w:bCs/>
          <w:szCs w:val="22"/>
        </w:rPr>
        <w:t>2.1</w:t>
      </w:r>
      <w:r w:rsidRPr="00737557">
        <w:rPr>
          <w:rFonts w:asciiTheme="majorBidi" w:hAnsiTheme="majorBidi" w:cstheme="majorBidi"/>
          <w:bCs/>
          <w:szCs w:val="22"/>
        </w:rPr>
        <w:tab/>
        <w:t>On entend par "</w:t>
      </w:r>
      <w:r w:rsidRPr="00290D1C">
        <w:rPr>
          <w:rFonts w:asciiTheme="majorBidi" w:hAnsiTheme="majorBidi" w:cstheme="majorBidi"/>
          <w:b/>
          <w:szCs w:val="22"/>
        </w:rPr>
        <w:t>Attribution</w:t>
      </w:r>
      <w:r w:rsidRPr="00737557">
        <w:rPr>
          <w:rFonts w:asciiTheme="majorBidi" w:hAnsiTheme="majorBidi" w:cstheme="majorBidi"/>
          <w:bCs/>
          <w:szCs w:val="22"/>
        </w:rPr>
        <w:t>" l'inscription d'une fréquence ou d'une bande de fréquences désignée dans le plan national des fréquences radioélectriques, devant être utilisée par un ou plusieurs utilisateurs d'un service de radiocommunication de Terre ou spatial dans les Emirats arabes unis.</w:t>
      </w:r>
    </w:p>
    <w:p w:rsidR="00E56335" w:rsidRPr="00737557" w:rsidRDefault="00E56335" w:rsidP="008E2BAC">
      <w:pPr>
        <w:pStyle w:val="enumlev1"/>
        <w:spacing w:before="80"/>
        <w:rPr>
          <w:rFonts w:asciiTheme="majorBidi" w:hAnsiTheme="majorBidi" w:cstheme="majorBidi"/>
          <w:bCs/>
          <w:szCs w:val="22"/>
        </w:rPr>
      </w:pPr>
      <w:r w:rsidRPr="00737557">
        <w:rPr>
          <w:rFonts w:asciiTheme="majorBidi" w:hAnsiTheme="majorBidi" w:cstheme="majorBidi"/>
          <w:bCs/>
          <w:szCs w:val="22"/>
        </w:rPr>
        <w:t>2.2</w:t>
      </w:r>
      <w:r w:rsidRPr="00737557">
        <w:rPr>
          <w:rFonts w:asciiTheme="majorBidi" w:hAnsiTheme="majorBidi" w:cstheme="majorBidi"/>
          <w:bCs/>
          <w:szCs w:val="22"/>
        </w:rPr>
        <w:tab/>
        <w:t>On entend par "</w:t>
      </w:r>
      <w:r w:rsidRPr="00290D1C">
        <w:rPr>
          <w:rFonts w:asciiTheme="majorBidi" w:hAnsiTheme="majorBidi" w:cstheme="majorBidi"/>
          <w:b/>
          <w:szCs w:val="22"/>
        </w:rPr>
        <w:t>Demandeur</w:t>
      </w:r>
      <w:r w:rsidRPr="00737557">
        <w:rPr>
          <w:rFonts w:asciiTheme="majorBidi" w:hAnsiTheme="majorBidi" w:cstheme="majorBidi"/>
          <w:bCs/>
          <w:szCs w:val="22"/>
        </w:rPr>
        <w:t>" toute personne qui a demandé une licence ou une autorisation, conformément à la Loi sur les télécommunications ou à tout autre instrument de politique générale promulgué par la TRA.</w:t>
      </w:r>
    </w:p>
    <w:p w:rsidR="00E56335" w:rsidRPr="00737557" w:rsidRDefault="00E56335" w:rsidP="008E2BAC">
      <w:pPr>
        <w:pStyle w:val="enumlev1"/>
        <w:spacing w:before="80"/>
        <w:rPr>
          <w:rFonts w:asciiTheme="majorBidi" w:hAnsiTheme="majorBidi" w:cstheme="majorBidi"/>
          <w:bCs/>
          <w:szCs w:val="22"/>
        </w:rPr>
      </w:pPr>
      <w:r w:rsidRPr="00737557">
        <w:rPr>
          <w:rFonts w:asciiTheme="majorBidi" w:hAnsiTheme="majorBidi" w:cstheme="majorBidi"/>
          <w:bCs/>
          <w:szCs w:val="22"/>
        </w:rPr>
        <w:t>2.3</w:t>
      </w:r>
      <w:r w:rsidRPr="00737557">
        <w:rPr>
          <w:rFonts w:asciiTheme="majorBidi" w:hAnsiTheme="majorBidi" w:cstheme="majorBidi"/>
          <w:bCs/>
          <w:szCs w:val="22"/>
        </w:rPr>
        <w:tab/>
        <w:t>On entend par "</w:t>
      </w:r>
      <w:r w:rsidRPr="00290D1C">
        <w:rPr>
          <w:rFonts w:asciiTheme="majorBidi" w:hAnsiTheme="majorBidi" w:cstheme="majorBidi"/>
          <w:b/>
          <w:szCs w:val="22"/>
        </w:rPr>
        <w:t>Demande</w:t>
      </w:r>
      <w:r w:rsidRPr="00737557">
        <w:rPr>
          <w:rFonts w:asciiTheme="majorBidi" w:hAnsiTheme="majorBidi" w:cstheme="majorBidi"/>
          <w:bCs/>
          <w:szCs w:val="22"/>
        </w:rPr>
        <w:t>" la demande de délivrance d'une licence ou d'une autorisation, reçue par la TRA selon la procédure en vigueur.</w:t>
      </w:r>
    </w:p>
    <w:p w:rsidR="00E56335" w:rsidRPr="00737557" w:rsidRDefault="00E56335" w:rsidP="008E2BAC">
      <w:pPr>
        <w:pStyle w:val="enumlev1"/>
        <w:spacing w:before="80"/>
        <w:rPr>
          <w:rFonts w:asciiTheme="majorBidi" w:hAnsiTheme="majorBidi" w:cstheme="majorBidi"/>
          <w:bCs/>
          <w:szCs w:val="22"/>
        </w:rPr>
      </w:pPr>
      <w:r w:rsidRPr="00737557">
        <w:rPr>
          <w:rFonts w:asciiTheme="majorBidi" w:hAnsiTheme="majorBidi" w:cstheme="majorBidi"/>
          <w:bCs/>
          <w:szCs w:val="22"/>
        </w:rPr>
        <w:t>2.4</w:t>
      </w:r>
      <w:r w:rsidRPr="00737557">
        <w:rPr>
          <w:rFonts w:asciiTheme="majorBidi" w:hAnsiTheme="majorBidi" w:cstheme="majorBidi"/>
          <w:bCs/>
          <w:szCs w:val="22"/>
        </w:rPr>
        <w:tab/>
        <w:t>On entend par "</w:t>
      </w:r>
      <w:r w:rsidRPr="00290D1C">
        <w:rPr>
          <w:rFonts w:asciiTheme="majorBidi" w:hAnsiTheme="majorBidi" w:cstheme="majorBidi"/>
          <w:b/>
          <w:szCs w:val="22"/>
        </w:rPr>
        <w:t>Autorisation</w:t>
      </w:r>
      <w:r w:rsidRPr="00737557">
        <w:rPr>
          <w:rFonts w:asciiTheme="majorBidi" w:hAnsiTheme="majorBidi" w:cstheme="majorBidi"/>
          <w:bCs/>
          <w:szCs w:val="22"/>
        </w:rPr>
        <w:t>" une autorisation d'utilisation du spectre des fréquences radioélectriques, délivrée par la TRA.</w:t>
      </w:r>
    </w:p>
    <w:p w:rsidR="00E56335" w:rsidRPr="00737557" w:rsidRDefault="00E56335" w:rsidP="008E2BAC">
      <w:pPr>
        <w:pStyle w:val="enumlev1"/>
        <w:spacing w:before="80"/>
        <w:rPr>
          <w:rFonts w:asciiTheme="majorBidi" w:hAnsiTheme="majorBidi" w:cstheme="majorBidi"/>
          <w:bCs/>
          <w:szCs w:val="22"/>
        </w:rPr>
      </w:pPr>
      <w:r w:rsidRPr="00737557">
        <w:rPr>
          <w:rFonts w:asciiTheme="majorBidi" w:hAnsiTheme="majorBidi" w:cstheme="majorBidi"/>
          <w:bCs/>
          <w:szCs w:val="22"/>
        </w:rPr>
        <w:t>2.5</w:t>
      </w:r>
      <w:r w:rsidRPr="00737557">
        <w:rPr>
          <w:rFonts w:asciiTheme="majorBidi" w:hAnsiTheme="majorBidi" w:cstheme="majorBidi"/>
          <w:bCs/>
          <w:szCs w:val="22"/>
        </w:rPr>
        <w:tab/>
        <w:t>On entend par "</w:t>
      </w:r>
      <w:r w:rsidRPr="00290D1C">
        <w:rPr>
          <w:rFonts w:asciiTheme="majorBidi" w:hAnsiTheme="majorBidi" w:cstheme="majorBidi"/>
          <w:b/>
          <w:szCs w:val="22"/>
        </w:rPr>
        <w:t>Utilisateur agréé</w:t>
      </w:r>
      <w:r w:rsidRPr="00737557">
        <w:rPr>
          <w:rFonts w:asciiTheme="majorBidi" w:hAnsiTheme="majorBidi" w:cstheme="majorBidi"/>
          <w:bCs/>
          <w:szCs w:val="22"/>
        </w:rPr>
        <w:t>" une personne à laquelle la TRA a délivré une autorisation d'utilisation du spectre des fréquences radioélectriques.</w:t>
      </w:r>
    </w:p>
    <w:p w:rsidR="00E56335" w:rsidRPr="00737557" w:rsidRDefault="00E56335" w:rsidP="008E2BAC">
      <w:pPr>
        <w:pStyle w:val="enumlev1"/>
        <w:spacing w:before="80"/>
        <w:rPr>
          <w:rFonts w:asciiTheme="majorBidi" w:hAnsiTheme="majorBidi" w:cstheme="majorBidi"/>
          <w:bCs/>
          <w:szCs w:val="22"/>
        </w:rPr>
      </w:pPr>
      <w:r w:rsidRPr="00737557">
        <w:rPr>
          <w:rFonts w:asciiTheme="majorBidi" w:hAnsiTheme="majorBidi" w:cstheme="majorBidi"/>
          <w:bCs/>
          <w:szCs w:val="22"/>
        </w:rPr>
        <w:t>2.6</w:t>
      </w:r>
      <w:r w:rsidRPr="00737557">
        <w:rPr>
          <w:rFonts w:asciiTheme="majorBidi" w:hAnsiTheme="majorBidi" w:cstheme="majorBidi"/>
          <w:bCs/>
          <w:szCs w:val="22"/>
        </w:rPr>
        <w:tab/>
        <w:t>On entend par "</w:t>
      </w:r>
      <w:r w:rsidRPr="00290D1C">
        <w:rPr>
          <w:rFonts w:asciiTheme="majorBidi" w:hAnsiTheme="majorBidi" w:cstheme="majorBidi"/>
          <w:b/>
          <w:szCs w:val="22"/>
        </w:rPr>
        <w:t>Autorisation catégorielle</w:t>
      </w:r>
      <w:r w:rsidRPr="00737557">
        <w:rPr>
          <w:rFonts w:asciiTheme="majorBidi" w:hAnsiTheme="majorBidi" w:cstheme="majorBidi"/>
          <w:bCs/>
          <w:szCs w:val="22"/>
        </w:rPr>
        <w:t>" une autorisation d'utilisation des fréquences radioélectriques qui autorise l'exploitation d'équipements sans fil dans des bandes de fréquences désignées, conformément aux modalités et conditions énoncées ci-après.</w:t>
      </w:r>
    </w:p>
    <w:p w:rsidR="00E56335" w:rsidRPr="00737557" w:rsidRDefault="00E56335" w:rsidP="008E2BAC">
      <w:pPr>
        <w:pStyle w:val="enumlev1"/>
        <w:spacing w:before="80"/>
        <w:rPr>
          <w:rFonts w:asciiTheme="majorBidi" w:hAnsiTheme="majorBidi" w:cstheme="majorBidi"/>
          <w:bCs/>
          <w:szCs w:val="22"/>
        </w:rPr>
      </w:pPr>
      <w:r w:rsidRPr="00737557">
        <w:rPr>
          <w:rFonts w:asciiTheme="majorBidi" w:hAnsiTheme="majorBidi" w:cstheme="majorBidi"/>
          <w:bCs/>
          <w:szCs w:val="22"/>
        </w:rPr>
        <w:t>2.7</w:t>
      </w:r>
      <w:r w:rsidRPr="00737557">
        <w:rPr>
          <w:rFonts w:asciiTheme="majorBidi" w:hAnsiTheme="majorBidi" w:cstheme="majorBidi"/>
          <w:bCs/>
          <w:szCs w:val="22"/>
        </w:rPr>
        <w:tab/>
        <w:t>On entend par "</w:t>
      </w:r>
      <w:r w:rsidRPr="00290D1C">
        <w:rPr>
          <w:rFonts w:asciiTheme="majorBidi" w:hAnsiTheme="majorBidi" w:cstheme="majorBidi"/>
          <w:b/>
          <w:szCs w:val="22"/>
        </w:rPr>
        <w:t>Autorisation individuelle</w:t>
      </w:r>
      <w:r w:rsidRPr="00737557">
        <w:rPr>
          <w:rFonts w:asciiTheme="majorBidi" w:hAnsiTheme="majorBidi" w:cstheme="majorBidi"/>
          <w:bCs/>
          <w:szCs w:val="22"/>
        </w:rPr>
        <w:t>" une autorisation d'utilisation du spectre des fréquences radioélectriques qui autorise l'exploitation d'équipements sans fil par une personne précise à laquelle des fréquences ont été attribuées ou assignées, conformément aux modalités et conditions énoncées ci-après.</w:t>
      </w:r>
    </w:p>
    <w:p w:rsidR="00E56335" w:rsidRPr="00737557" w:rsidRDefault="00E56335" w:rsidP="008E2BAC">
      <w:pPr>
        <w:pStyle w:val="enumlev1"/>
        <w:spacing w:before="80"/>
        <w:rPr>
          <w:rFonts w:asciiTheme="majorBidi" w:hAnsiTheme="majorBidi" w:cstheme="majorBidi"/>
          <w:bCs/>
          <w:szCs w:val="22"/>
        </w:rPr>
      </w:pPr>
      <w:r w:rsidRPr="00737557">
        <w:rPr>
          <w:rFonts w:asciiTheme="majorBidi" w:hAnsiTheme="majorBidi" w:cstheme="majorBidi"/>
          <w:bCs/>
          <w:szCs w:val="22"/>
        </w:rPr>
        <w:t>2.8</w:t>
      </w:r>
      <w:r w:rsidRPr="00737557">
        <w:rPr>
          <w:rFonts w:asciiTheme="majorBidi" w:hAnsiTheme="majorBidi" w:cstheme="majorBidi"/>
          <w:bCs/>
          <w:szCs w:val="22"/>
        </w:rPr>
        <w:tab/>
        <w:t>On entend par "</w:t>
      </w:r>
      <w:r w:rsidRPr="00290D1C">
        <w:rPr>
          <w:rFonts w:asciiTheme="majorBidi" w:hAnsiTheme="majorBidi" w:cstheme="majorBidi"/>
          <w:b/>
          <w:szCs w:val="22"/>
        </w:rPr>
        <w:t>Plan national d'utilisation du spectre</w:t>
      </w:r>
      <w:r w:rsidRPr="00737557">
        <w:rPr>
          <w:rFonts w:asciiTheme="majorBidi" w:hAnsiTheme="majorBidi" w:cstheme="majorBidi"/>
          <w:bCs/>
          <w:szCs w:val="22"/>
        </w:rPr>
        <w:t>" le plan d'attribution des fréquences radioélectriques pour les Emirats arabes unis, approuvé par le Conseil suprême, et les éventuelles modifications de ce plan.</w:t>
      </w:r>
    </w:p>
    <w:p w:rsidR="00E56335" w:rsidRPr="00737557" w:rsidRDefault="00E56335" w:rsidP="008E2BAC">
      <w:pPr>
        <w:pStyle w:val="enumlev1"/>
        <w:spacing w:before="80"/>
        <w:rPr>
          <w:rFonts w:asciiTheme="majorBidi" w:hAnsiTheme="majorBidi" w:cstheme="majorBidi"/>
          <w:bCs/>
          <w:szCs w:val="22"/>
        </w:rPr>
      </w:pPr>
      <w:r w:rsidRPr="00737557">
        <w:rPr>
          <w:rFonts w:asciiTheme="majorBidi" w:hAnsiTheme="majorBidi" w:cstheme="majorBidi"/>
          <w:bCs/>
          <w:szCs w:val="22"/>
        </w:rPr>
        <w:t>2.9</w:t>
      </w:r>
      <w:r w:rsidRPr="00737557">
        <w:rPr>
          <w:rFonts w:asciiTheme="majorBidi" w:hAnsiTheme="majorBidi" w:cstheme="majorBidi"/>
          <w:bCs/>
          <w:szCs w:val="22"/>
        </w:rPr>
        <w:tab/>
        <w:t>On entend par "Personne" aussi bien des personnes morales que des personnes physiques.</w:t>
      </w:r>
    </w:p>
    <w:p w:rsidR="00E56335" w:rsidRPr="00737557" w:rsidRDefault="00E56335" w:rsidP="008E2BAC">
      <w:pPr>
        <w:pStyle w:val="enumlev1"/>
        <w:spacing w:before="80"/>
        <w:rPr>
          <w:rFonts w:asciiTheme="majorBidi" w:hAnsiTheme="majorBidi" w:cstheme="majorBidi"/>
          <w:bCs/>
          <w:szCs w:val="22"/>
        </w:rPr>
      </w:pPr>
      <w:r w:rsidRPr="00737557">
        <w:rPr>
          <w:rFonts w:asciiTheme="majorBidi" w:hAnsiTheme="majorBidi" w:cstheme="majorBidi"/>
          <w:bCs/>
          <w:szCs w:val="22"/>
        </w:rPr>
        <w:t>2.10</w:t>
      </w:r>
      <w:r w:rsidRPr="00737557">
        <w:rPr>
          <w:rFonts w:asciiTheme="majorBidi" w:hAnsiTheme="majorBidi" w:cstheme="majorBidi"/>
          <w:bCs/>
          <w:szCs w:val="22"/>
        </w:rPr>
        <w:tab/>
        <w:t>On entend par "</w:t>
      </w:r>
      <w:r w:rsidRPr="00290D1C">
        <w:rPr>
          <w:rFonts w:asciiTheme="majorBidi" w:hAnsiTheme="majorBidi" w:cstheme="majorBidi"/>
          <w:b/>
          <w:szCs w:val="22"/>
        </w:rPr>
        <w:t>Radiocommunication</w:t>
      </w:r>
      <w:r w:rsidRPr="00737557">
        <w:rPr>
          <w:rFonts w:asciiTheme="majorBidi" w:hAnsiTheme="majorBidi" w:cstheme="majorBidi"/>
          <w:bCs/>
          <w:szCs w:val="22"/>
        </w:rPr>
        <w:t>" les systèmes de transmission hertziens utilisant les fréquences radioélectriques.</w:t>
      </w:r>
    </w:p>
    <w:p w:rsidR="00E56335" w:rsidRPr="00737557" w:rsidRDefault="00E56335" w:rsidP="008E2BAC">
      <w:pPr>
        <w:pStyle w:val="enumlev1"/>
        <w:spacing w:before="80"/>
        <w:rPr>
          <w:rFonts w:asciiTheme="majorBidi" w:hAnsiTheme="majorBidi" w:cstheme="majorBidi"/>
          <w:bCs/>
          <w:szCs w:val="22"/>
        </w:rPr>
      </w:pPr>
      <w:r w:rsidRPr="00737557">
        <w:rPr>
          <w:rFonts w:asciiTheme="majorBidi" w:hAnsiTheme="majorBidi" w:cstheme="majorBidi"/>
          <w:bCs/>
          <w:szCs w:val="22"/>
        </w:rPr>
        <w:t>2.11</w:t>
      </w:r>
      <w:r w:rsidRPr="00737557">
        <w:rPr>
          <w:rFonts w:asciiTheme="majorBidi" w:hAnsiTheme="majorBidi" w:cstheme="majorBidi"/>
          <w:bCs/>
          <w:szCs w:val="22"/>
        </w:rPr>
        <w:tab/>
        <w:t>On entend par "</w:t>
      </w:r>
      <w:r w:rsidRPr="00290D1C">
        <w:rPr>
          <w:rFonts w:asciiTheme="majorBidi" w:hAnsiTheme="majorBidi" w:cstheme="majorBidi"/>
          <w:b/>
          <w:szCs w:val="22"/>
        </w:rPr>
        <w:t>Service de radiocommunication</w:t>
      </w:r>
      <w:r w:rsidRPr="00737557">
        <w:rPr>
          <w:rFonts w:asciiTheme="majorBidi" w:hAnsiTheme="majorBidi" w:cstheme="majorBidi"/>
          <w:bCs/>
          <w:szCs w:val="22"/>
        </w:rPr>
        <w:t>" un service qui utilise les radiocommunications.</w:t>
      </w:r>
    </w:p>
    <w:p w:rsidR="00E56335" w:rsidRPr="00737557" w:rsidRDefault="00E56335" w:rsidP="008E2BAC">
      <w:pPr>
        <w:pStyle w:val="enumlev1"/>
        <w:spacing w:before="80"/>
        <w:rPr>
          <w:rFonts w:asciiTheme="majorBidi" w:hAnsiTheme="majorBidi" w:cstheme="majorBidi"/>
          <w:bCs/>
          <w:szCs w:val="22"/>
        </w:rPr>
      </w:pPr>
      <w:r w:rsidRPr="00737557">
        <w:rPr>
          <w:rFonts w:asciiTheme="majorBidi" w:hAnsiTheme="majorBidi" w:cstheme="majorBidi"/>
          <w:bCs/>
          <w:szCs w:val="22"/>
        </w:rPr>
        <w:t>2.12</w:t>
      </w:r>
      <w:r w:rsidRPr="00737557">
        <w:rPr>
          <w:rFonts w:asciiTheme="majorBidi" w:hAnsiTheme="majorBidi" w:cstheme="majorBidi"/>
          <w:bCs/>
          <w:szCs w:val="22"/>
        </w:rPr>
        <w:tab/>
        <w:t>On entend par "</w:t>
      </w:r>
      <w:r w:rsidRPr="00290D1C">
        <w:rPr>
          <w:rFonts w:asciiTheme="majorBidi" w:hAnsiTheme="majorBidi" w:cstheme="majorBidi"/>
          <w:b/>
          <w:szCs w:val="22"/>
        </w:rPr>
        <w:t>Fréquence radioélectrique</w:t>
      </w:r>
      <w:r w:rsidRPr="00737557">
        <w:rPr>
          <w:rFonts w:asciiTheme="majorBidi" w:hAnsiTheme="majorBidi" w:cstheme="majorBidi"/>
          <w:bCs/>
          <w:szCs w:val="22"/>
        </w:rPr>
        <w:t>" l'énergie électromagnétique émise, mesurée en hertz ou en cycles/seconde.</w:t>
      </w:r>
    </w:p>
    <w:p w:rsidR="00E56335" w:rsidRPr="00737557" w:rsidRDefault="00E56335" w:rsidP="008E2BAC">
      <w:pPr>
        <w:pStyle w:val="enumlev1"/>
        <w:spacing w:before="80"/>
        <w:rPr>
          <w:rFonts w:asciiTheme="majorBidi" w:hAnsiTheme="majorBidi" w:cstheme="majorBidi"/>
          <w:bCs/>
          <w:szCs w:val="22"/>
        </w:rPr>
      </w:pPr>
      <w:r w:rsidRPr="00737557">
        <w:rPr>
          <w:rFonts w:asciiTheme="majorBidi" w:hAnsiTheme="majorBidi" w:cstheme="majorBidi"/>
          <w:bCs/>
          <w:szCs w:val="22"/>
        </w:rPr>
        <w:t>2.13</w:t>
      </w:r>
      <w:r w:rsidRPr="00737557">
        <w:rPr>
          <w:rFonts w:asciiTheme="majorBidi" w:hAnsiTheme="majorBidi" w:cstheme="majorBidi"/>
          <w:bCs/>
          <w:szCs w:val="22"/>
        </w:rPr>
        <w:tab/>
        <w:t>On entend par "</w:t>
      </w:r>
      <w:r w:rsidRPr="00290D1C">
        <w:rPr>
          <w:rFonts w:asciiTheme="majorBidi" w:hAnsiTheme="majorBidi" w:cstheme="majorBidi"/>
          <w:b/>
          <w:szCs w:val="22"/>
        </w:rPr>
        <w:t>Autorisation d'utilisation des fréquences radioélectriques</w:t>
      </w:r>
      <w:r w:rsidRPr="00737557">
        <w:rPr>
          <w:rFonts w:asciiTheme="majorBidi" w:hAnsiTheme="majorBidi" w:cstheme="majorBidi"/>
          <w:bCs/>
          <w:szCs w:val="22"/>
        </w:rPr>
        <w:t>" une autorisation, individuelle ou catégorielle, délivrée par la TRA, qui permet l'utilisation des fréquences radioélectriques, conformément aux modalités et conditions énoncées ci-après.</w:t>
      </w:r>
    </w:p>
    <w:p w:rsidR="00E56335" w:rsidRPr="00737557" w:rsidRDefault="00E56335" w:rsidP="008E2BAC">
      <w:pPr>
        <w:pStyle w:val="enumlev1"/>
        <w:spacing w:before="80"/>
        <w:rPr>
          <w:rFonts w:asciiTheme="majorBidi" w:hAnsiTheme="majorBidi" w:cstheme="majorBidi"/>
          <w:bCs/>
          <w:szCs w:val="22"/>
        </w:rPr>
      </w:pPr>
      <w:r w:rsidRPr="00737557">
        <w:rPr>
          <w:rFonts w:asciiTheme="majorBidi" w:hAnsiTheme="majorBidi" w:cstheme="majorBidi"/>
          <w:bCs/>
          <w:szCs w:val="22"/>
        </w:rPr>
        <w:lastRenderedPageBreak/>
        <w:t>2.14</w:t>
      </w:r>
      <w:r w:rsidRPr="00737557">
        <w:rPr>
          <w:rFonts w:asciiTheme="majorBidi" w:hAnsiTheme="majorBidi" w:cstheme="majorBidi"/>
          <w:bCs/>
          <w:szCs w:val="22"/>
        </w:rPr>
        <w:tab/>
        <w:t>On entend par "</w:t>
      </w:r>
      <w:r w:rsidRPr="00290D1C">
        <w:rPr>
          <w:rFonts w:asciiTheme="majorBidi" w:hAnsiTheme="majorBidi" w:cstheme="majorBidi"/>
          <w:b/>
          <w:szCs w:val="22"/>
        </w:rPr>
        <w:t>Instruments réglementaires</w:t>
      </w:r>
      <w:r w:rsidRPr="00737557">
        <w:rPr>
          <w:rFonts w:asciiTheme="majorBidi" w:hAnsiTheme="majorBidi" w:cstheme="majorBidi"/>
          <w:bCs/>
          <w:szCs w:val="22"/>
        </w:rPr>
        <w:t>" tout instrument provenant de la TRA et relevant de sa compétence, et plus précisément, mais non exclusivement, les réglementations, avis de violation, directives, instructions, avis, recommandations et politiques réglementaires.</w:t>
      </w:r>
    </w:p>
    <w:p w:rsidR="00E56335" w:rsidRPr="00E60C8E" w:rsidRDefault="00E56335" w:rsidP="008E2BAC">
      <w:pPr>
        <w:pStyle w:val="enumlev1"/>
        <w:spacing w:before="80"/>
        <w:rPr>
          <w:rFonts w:asciiTheme="majorBidi" w:hAnsiTheme="majorBidi" w:cstheme="majorBidi"/>
          <w:bCs/>
          <w:szCs w:val="22"/>
        </w:rPr>
      </w:pPr>
      <w:r w:rsidRPr="00E60C8E">
        <w:rPr>
          <w:rFonts w:asciiTheme="majorBidi" w:hAnsiTheme="majorBidi" w:cstheme="majorBidi"/>
          <w:bCs/>
          <w:szCs w:val="22"/>
        </w:rPr>
        <w:t>2.15</w:t>
      </w:r>
      <w:r w:rsidRPr="00E60C8E">
        <w:rPr>
          <w:rFonts w:asciiTheme="majorBidi" w:hAnsiTheme="majorBidi" w:cstheme="majorBidi"/>
          <w:bCs/>
          <w:szCs w:val="22"/>
        </w:rPr>
        <w:tab/>
        <w:t>On entend par "</w:t>
      </w:r>
      <w:r w:rsidRPr="00E60C8E">
        <w:rPr>
          <w:rFonts w:asciiTheme="majorBidi" w:hAnsiTheme="majorBidi" w:cstheme="majorBidi"/>
          <w:b/>
          <w:szCs w:val="22"/>
        </w:rPr>
        <w:t>Station</w:t>
      </w:r>
      <w:r w:rsidRPr="00E60C8E">
        <w:rPr>
          <w:rFonts w:asciiTheme="majorBidi" w:hAnsiTheme="majorBidi" w:cstheme="majorBidi"/>
          <w:bCs/>
          <w:szCs w:val="22"/>
        </w:rPr>
        <w:t>" une installation exploitée par un utilisateur agréé, se composant d'un système d'émission ou de réception radioélectrique et des équipements auxiliaires nécessaires, ou d'un ou de plusieurs émetteurs ou récepteurs, ou encore d'une combinaison d'émetteurs et de récepteurs, équipements auxiliaires compris, nécessaires à l'acheminement d'un service de radiocommunication.</w:t>
      </w:r>
    </w:p>
    <w:p w:rsidR="00E56335" w:rsidRPr="00E60C8E" w:rsidRDefault="00E56335" w:rsidP="008E2BAC">
      <w:pPr>
        <w:pStyle w:val="enumlev1"/>
        <w:spacing w:before="80"/>
        <w:rPr>
          <w:rFonts w:asciiTheme="majorBidi" w:hAnsiTheme="majorBidi" w:cstheme="majorBidi"/>
          <w:bCs/>
          <w:szCs w:val="22"/>
        </w:rPr>
      </w:pPr>
      <w:r w:rsidRPr="00E60C8E">
        <w:rPr>
          <w:rFonts w:asciiTheme="majorBidi" w:hAnsiTheme="majorBidi" w:cstheme="majorBidi"/>
          <w:bCs/>
          <w:szCs w:val="22"/>
        </w:rPr>
        <w:t>2.16</w:t>
      </w:r>
      <w:r w:rsidRPr="00E60C8E">
        <w:rPr>
          <w:rFonts w:asciiTheme="majorBidi" w:hAnsiTheme="majorBidi" w:cstheme="majorBidi"/>
          <w:bCs/>
          <w:szCs w:val="22"/>
        </w:rPr>
        <w:tab/>
        <w:t>On entend par "</w:t>
      </w:r>
      <w:r w:rsidRPr="00E60C8E">
        <w:rPr>
          <w:rFonts w:asciiTheme="majorBidi" w:hAnsiTheme="majorBidi" w:cstheme="majorBidi"/>
          <w:b/>
          <w:szCs w:val="22"/>
        </w:rPr>
        <w:t>Télécommunication</w:t>
      </w:r>
      <w:r w:rsidRPr="00E60C8E">
        <w:rPr>
          <w:rFonts w:asciiTheme="majorBidi" w:hAnsiTheme="majorBidi" w:cstheme="majorBidi"/>
          <w:bCs/>
          <w:szCs w:val="22"/>
        </w:rPr>
        <w:t>" tout moyen de transmission, d'émission ou de réception de signaux, de texte, d'images, de sons ou d'information de toute nature par voie filaire, radioélectrique, optique ou par tout autre système électromagnétique.</w:t>
      </w:r>
    </w:p>
    <w:p w:rsidR="00E56335" w:rsidRPr="00E60C8E" w:rsidRDefault="00E56335" w:rsidP="008E2BAC">
      <w:pPr>
        <w:pStyle w:val="enumlev1"/>
        <w:spacing w:before="80"/>
        <w:rPr>
          <w:rFonts w:asciiTheme="majorBidi" w:hAnsiTheme="majorBidi" w:cstheme="majorBidi"/>
          <w:bCs/>
          <w:szCs w:val="22"/>
        </w:rPr>
      </w:pPr>
      <w:r w:rsidRPr="00E60C8E">
        <w:rPr>
          <w:rFonts w:asciiTheme="majorBidi" w:hAnsiTheme="majorBidi" w:cstheme="majorBidi"/>
          <w:bCs/>
          <w:szCs w:val="22"/>
        </w:rPr>
        <w:t>2.17</w:t>
      </w:r>
      <w:r w:rsidRPr="00E60C8E">
        <w:rPr>
          <w:rFonts w:asciiTheme="majorBidi" w:hAnsiTheme="majorBidi" w:cstheme="majorBidi"/>
          <w:bCs/>
          <w:szCs w:val="22"/>
        </w:rPr>
        <w:tab/>
        <w:t>On entend par "</w:t>
      </w:r>
      <w:r w:rsidRPr="00E60C8E">
        <w:rPr>
          <w:rFonts w:asciiTheme="majorBidi" w:hAnsiTheme="majorBidi" w:cstheme="majorBidi"/>
          <w:b/>
          <w:szCs w:val="22"/>
        </w:rPr>
        <w:t>Autorisation temporaire</w:t>
      </w:r>
      <w:r w:rsidRPr="00E60C8E">
        <w:rPr>
          <w:rFonts w:asciiTheme="majorBidi" w:hAnsiTheme="majorBidi" w:cstheme="majorBidi"/>
          <w:bCs/>
          <w:szCs w:val="22"/>
        </w:rPr>
        <w:t>" une autorisation d'utilisation du spectre des fréquences radioélectriques accordée par la TRA et qui permet l'utilisation de fréquences données pendant une période maximale de 90 jours.</w:t>
      </w:r>
    </w:p>
    <w:p w:rsidR="00E56335" w:rsidRPr="00E60C8E" w:rsidRDefault="00E56335" w:rsidP="008E2BAC">
      <w:pPr>
        <w:pStyle w:val="enumlev1"/>
        <w:spacing w:before="80"/>
        <w:rPr>
          <w:rFonts w:asciiTheme="majorBidi" w:hAnsiTheme="majorBidi" w:cstheme="majorBidi"/>
          <w:bCs/>
          <w:szCs w:val="22"/>
        </w:rPr>
      </w:pPr>
      <w:r w:rsidRPr="00E60C8E">
        <w:rPr>
          <w:rFonts w:asciiTheme="majorBidi" w:hAnsiTheme="majorBidi" w:cstheme="majorBidi"/>
          <w:bCs/>
          <w:szCs w:val="22"/>
        </w:rPr>
        <w:t>2.18</w:t>
      </w:r>
      <w:r w:rsidRPr="00E60C8E">
        <w:rPr>
          <w:rFonts w:asciiTheme="majorBidi" w:hAnsiTheme="majorBidi" w:cstheme="majorBidi"/>
          <w:bCs/>
          <w:szCs w:val="22"/>
        </w:rPr>
        <w:tab/>
        <w:t>On entend par "</w:t>
      </w:r>
      <w:r w:rsidRPr="00E60C8E">
        <w:rPr>
          <w:rFonts w:asciiTheme="majorBidi" w:hAnsiTheme="majorBidi" w:cstheme="majorBidi"/>
          <w:b/>
          <w:szCs w:val="22"/>
        </w:rPr>
        <w:t>TRA</w:t>
      </w:r>
      <w:r w:rsidRPr="00E60C8E">
        <w:rPr>
          <w:rFonts w:asciiTheme="majorBidi" w:hAnsiTheme="majorBidi" w:cstheme="majorBidi"/>
          <w:bCs/>
          <w:szCs w:val="22"/>
        </w:rPr>
        <w:t>" l'Autorité générale responsable de la réglementation du secteur des télécommunications, appelée Telecommunication Regulatory Authority (TRA) et mise en place conformément aux dispositions de l'Article 6 de la Loi fédérale aux termes du Décret N° 3 (2003).</w:t>
      </w:r>
    </w:p>
    <w:p w:rsidR="00E56335" w:rsidRPr="00E60C8E" w:rsidRDefault="00E56335" w:rsidP="008E2BAC">
      <w:pPr>
        <w:pStyle w:val="enumlev1"/>
        <w:spacing w:before="80"/>
        <w:rPr>
          <w:rFonts w:asciiTheme="majorBidi" w:hAnsiTheme="majorBidi" w:cstheme="majorBidi"/>
          <w:bCs/>
          <w:szCs w:val="22"/>
        </w:rPr>
      </w:pPr>
      <w:r w:rsidRPr="00E60C8E">
        <w:rPr>
          <w:rFonts w:asciiTheme="majorBidi" w:hAnsiTheme="majorBidi" w:cstheme="majorBidi"/>
          <w:bCs/>
          <w:szCs w:val="22"/>
        </w:rPr>
        <w:t>2.19</w:t>
      </w:r>
      <w:r w:rsidRPr="00E60C8E">
        <w:rPr>
          <w:rFonts w:asciiTheme="majorBidi" w:hAnsiTheme="majorBidi" w:cstheme="majorBidi"/>
          <w:bCs/>
          <w:szCs w:val="22"/>
        </w:rPr>
        <w:tab/>
        <w:t>On entend par "</w:t>
      </w:r>
      <w:r w:rsidRPr="00E60C8E">
        <w:rPr>
          <w:rFonts w:asciiTheme="majorBidi" w:hAnsiTheme="majorBidi" w:cstheme="majorBidi"/>
          <w:b/>
          <w:szCs w:val="22"/>
        </w:rPr>
        <w:t>EAU</w:t>
      </w:r>
      <w:r w:rsidRPr="00E60C8E">
        <w:rPr>
          <w:rFonts w:asciiTheme="majorBidi" w:hAnsiTheme="majorBidi" w:cstheme="majorBidi"/>
          <w:bCs/>
          <w:szCs w:val="22"/>
        </w:rPr>
        <w:t>" les Emirats arabes unis, incluant leurs eaux territoriales et espace aérien.</w:t>
      </w:r>
    </w:p>
    <w:p w:rsidR="00E56335" w:rsidRPr="00E60C8E" w:rsidRDefault="00E56335" w:rsidP="008E2BAC">
      <w:pPr>
        <w:pStyle w:val="enumlev1"/>
        <w:spacing w:before="80"/>
        <w:rPr>
          <w:rFonts w:asciiTheme="majorBidi" w:hAnsiTheme="majorBidi" w:cstheme="majorBidi"/>
          <w:bCs/>
          <w:szCs w:val="22"/>
        </w:rPr>
      </w:pPr>
      <w:r w:rsidRPr="00E60C8E">
        <w:rPr>
          <w:rFonts w:asciiTheme="majorBidi" w:hAnsiTheme="majorBidi" w:cstheme="majorBidi"/>
          <w:bCs/>
          <w:szCs w:val="22"/>
        </w:rPr>
        <w:t>2.20</w:t>
      </w:r>
      <w:r w:rsidRPr="00E60C8E">
        <w:rPr>
          <w:rFonts w:asciiTheme="majorBidi" w:hAnsiTheme="majorBidi" w:cstheme="majorBidi"/>
          <w:bCs/>
          <w:szCs w:val="22"/>
        </w:rPr>
        <w:tab/>
        <w:t>On entend par "</w:t>
      </w:r>
      <w:r w:rsidRPr="00E60C8E">
        <w:rPr>
          <w:rFonts w:asciiTheme="majorBidi" w:hAnsiTheme="majorBidi" w:cstheme="majorBidi"/>
          <w:b/>
          <w:szCs w:val="22"/>
        </w:rPr>
        <w:t>Equipements hertziens</w:t>
      </w:r>
      <w:r w:rsidRPr="00E60C8E">
        <w:rPr>
          <w:rFonts w:asciiTheme="majorBidi" w:hAnsiTheme="majorBidi" w:cstheme="majorBidi"/>
          <w:bCs/>
          <w:szCs w:val="22"/>
        </w:rPr>
        <w:t>" une catégorie d'appareils de télécommunication utilisés pour les radiocommunications.</w:t>
      </w:r>
    </w:p>
    <w:p w:rsidR="00E56335" w:rsidRPr="00840785" w:rsidRDefault="00E56335" w:rsidP="00E56335">
      <w:pPr>
        <w:pStyle w:val="Arttitle"/>
        <w:spacing w:before="400"/>
      </w:pPr>
      <w:bookmarkStart w:id="429" w:name="_Toc225739815"/>
      <w:bookmarkStart w:id="430" w:name="_Toc280262360"/>
      <w:bookmarkStart w:id="431" w:name="_Toc280272754"/>
      <w:bookmarkStart w:id="432" w:name="_Toc280272933"/>
      <w:r>
        <w:t>Article 3</w:t>
      </w:r>
      <w:r w:rsidRPr="00840785">
        <w:br/>
      </w:r>
      <w:r w:rsidRPr="00840785">
        <w:br/>
        <w:t>Droits à acquitter pour le traitement des demandes</w:t>
      </w:r>
      <w:bookmarkEnd w:id="429"/>
      <w:bookmarkEnd w:id="430"/>
      <w:bookmarkEnd w:id="431"/>
      <w:bookmarkEnd w:id="432"/>
    </w:p>
    <w:p w:rsidR="00E56335" w:rsidRPr="001C00F5" w:rsidRDefault="00E56335" w:rsidP="00E56335">
      <w:pPr>
        <w:rPr>
          <w:lang w:val="fr-FR"/>
        </w:rPr>
      </w:pPr>
      <w:r w:rsidRPr="001C00F5">
        <w:rPr>
          <w:lang w:val="fr-FR"/>
        </w:rPr>
        <w:t xml:space="preserve">Chaque demande d'autorisation de fréquences radioélectriques doit être accompagnée par avance d'un paiement non remboursable de cinq cents </w:t>
      </w:r>
      <w:r w:rsidRPr="001C00F5">
        <w:rPr>
          <w:b/>
          <w:lang w:val="fr-FR"/>
        </w:rPr>
        <w:t>(500) dirhams</w:t>
      </w:r>
      <w:r w:rsidRPr="001C00F5">
        <w:rPr>
          <w:lang w:val="fr-FR"/>
        </w:rPr>
        <w:t xml:space="preserve"> pour le traitement de la demande, que celle-ci soit finalement approuvée ou refusée. La TRA peut conseiller à certains organismes gouvernementaux, opérateurs détenteurs de licence et grands utilisateurs de regrouper le paiement des droits à acquitter pour le traitement des demandes et pour l'utilisation du spectre.</w:t>
      </w:r>
    </w:p>
    <w:p w:rsidR="00E56335" w:rsidRPr="00840785" w:rsidRDefault="00E56335" w:rsidP="00E56335">
      <w:pPr>
        <w:pStyle w:val="Arttitle"/>
        <w:spacing w:before="400"/>
      </w:pPr>
      <w:bookmarkStart w:id="433" w:name="_Toc280262361"/>
      <w:bookmarkStart w:id="434" w:name="_Toc280272755"/>
      <w:bookmarkStart w:id="435" w:name="_Toc280272934"/>
      <w:r>
        <w:t xml:space="preserve">Article </w:t>
      </w:r>
      <w:r w:rsidRPr="00840785">
        <w:t>4</w:t>
      </w:r>
      <w:bookmarkStart w:id="436" w:name="_Toc225739816"/>
      <w:r w:rsidRPr="00840785">
        <w:br/>
      </w:r>
      <w:r w:rsidRPr="00840785">
        <w:br/>
        <w:t>Exemption des droits à acquitter pour le traitement des demandes</w:t>
      </w:r>
      <w:bookmarkEnd w:id="433"/>
      <w:bookmarkEnd w:id="434"/>
      <w:bookmarkEnd w:id="435"/>
      <w:bookmarkEnd w:id="436"/>
    </w:p>
    <w:p w:rsidR="00E56335" w:rsidRPr="001C00F5" w:rsidRDefault="00E56335" w:rsidP="00E56335">
      <w:pPr>
        <w:rPr>
          <w:lang w:val="fr-FR"/>
        </w:rPr>
      </w:pPr>
      <w:r w:rsidRPr="001C00F5">
        <w:rPr>
          <w:lang w:val="fr-FR"/>
        </w:rPr>
        <w:t>Les demandes suivantes sont exemptées de droits de traitement:</w:t>
      </w:r>
    </w:p>
    <w:p w:rsidR="00E56335" w:rsidRPr="0099749E" w:rsidRDefault="00E56335" w:rsidP="008E2BAC">
      <w:pPr>
        <w:pStyle w:val="enumlev1"/>
        <w:spacing w:before="80"/>
        <w:rPr>
          <w:rFonts w:asciiTheme="majorBidi" w:hAnsiTheme="majorBidi" w:cstheme="majorBidi"/>
          <w:szCs w:val="22"/>
        </w:rPr>
      </w:pPr>
      <w:r w:rsidRPr="0099749E">
        <w:rPr>
          <w:rFonts w:asciiTheme="majorBidi" w:hAnsiTheme="majorBidi" w:cstheme="majorBidi"/>
          <w:szCs w:val="22"/>
        </w:rPr>
        <w:t>4.1</w:t>
      </w:r>
      <w:r w:rsidRPr="0099749E">
        <w:rPr>
          <w:rFonts w:asciiTheme="majorBidi" w:hAnsiTheme="majorBidi" w:cstheme="majorBidi"/>
          <w:szCs w:val="22"/>
        </w:rPr>
        <w:tab/>
        <w:t>Demande concernant des petites embarcations considérées comme chalutiers selon leur permis de navigation.</w:t>
      </w:r>
    </w:p>
    <w:p w:rsidR="00E56335" w:rsidRPr="0099749E" w:rsidRDefault="00E56335" w:rsidP="008E2BAC">
      <w:pPr>
        <w:pStyle w:val="enumlev1"/>
        <w:spacing w:before="80"/>
        <w:rPr>
          <w:rFonts w:asciiTheme="majorBidi" w:hAnsiTheme="majorBidi" w:cstheme="majorBidi"/>
          <w:szCs w:val="22"/>
        </w:rPr>
      </w:pPr>
      <w:r w:rsidRPr="0099749E">
        <w:rPr>
          <w:rFonts w:asciiTheme="majorBidi" w:hAnsiTheme="majorBidi" w:cstheme="majorBidi"/>
          <w:szCs w:val="22"/>
        </w:rPr>
        <w:t>4.2</w:t>
      </w:r>
      <w:r w:rsidRPr="0099749E">
        <w:rPr>
          <w:rFonts w:asciiTheme="majorBidi" w:hAnsiTheme="majorBidi" w:cstheme="majorBidi"/>
          <w:szCs w:val="22"/>
        </w:rPr>
        <w:tab/>
        <w:t>Demande d'autorisation de service d'amateur, si elle est présentée par l'intermédiaire de la Société des radioamateurs des Emirats.</w:t>
      </w:r>
    </w:p>
    <w:p w:rsidR="00E56335" w:rsidRPr="0099749E" w:rsidRDefault="00E56335" w:rsidP="008E2BAC">
      <w:pPr>
        <w:pStyle w:val="enumlev1"/>
        <w:spacing w:before="80"/>
        <w:rPr>
          <w:rFonts w:asciiTheme="majorBidi" w:hAnsiTheme="majorBidi" w:cstheme="majorBidi"/>
          <w:szCs w:val="22"/>
        </w:rPr>
      </w:pPr>
      <w:r w:rsidRPr="0099749E">
        <w:rPr>
          <w:rFonts w:asciiTheme="majorBidi" w:hAnsiTheme="majorBidi" w:cstheme="majorBidi"/>
          <w:szCs w:val="22"/>
        </w:rPr>
        <w:t>4.3</w:t>
      </w:r>
      <w:r w:rsidRPr="0099749E">
        <w:rPr>
          <w:rFonts w:asciiTheme="majorBidi" w:hAnsiTheme="majorBidi" w:cstheme="majorBidi"/>
          <w:szCs w:val="22"/>
        </w:rPr>
        <w:tab/>
        <w:t>Demande d'utilisation personnelle d'un système de radiocommunication mobile privé pour les jockeys des courses de chameaux.</w:t>
      </w:r>
    </w:p>
    <w:p w:rsidR="00E56335" w:rsidRPr="0099749E" w:rsidRDefault="00E56335" w:rsidP="008E2BAC">
      <w:pPr>
        <w:pStyle w:val="enumlev1"/>
        <w:spacing w:before="80"/>
        <w:rPr>
          <w:rFonts w:asciiTheme="majorBidi" w:hAnsiTheme="majorBidi" w:cstheme="majorBidi"/>
          <w:szCs w:val="22"/>
        </w:rPr>
      </w:pPr>
      <w:r w:rsidRPr="0099749E">
        <w:rPr>
          <w:rFonts w:asciiTheme="majorBidi" w:hAnsiTheme="majorBidi" w:cstheme="majorBidi"/>
          <w:szCs w:val="22"/>
        </w:rPr>
        <w:t>4.4</w:t>
      </w:r>
      <w:r w:rsidRPr="0099749E">
        <w:rPr>
          <w:rFonts w:asciiTheme="majorBidi" w:hAnsiTheme="majorBidi" w:cstheme="majorBidi"/>
          <w:szCs w:val="22"/>
        </w:rPr>
        <w:tab/>
        <w:t>Demande de clubs de loisirs à vocation non commerciale, par exemple pour l'aéromodélisme.</w:t>
      </w:r>
    </w:p>
    <w:p w:rsidR="00E56335" w:rsidRPr="0099749E" w:rsidRDefault="00E56335" w:rsidP="008E2BAC">
      <w:pPr>
        <w:pStyle w:val="enumlev1"/>
        <w:spacing w:before="80"/>
        <w:rPr>
          <w:rFonts w:asciiTheme="majorBidi" w:hAnsiTheme="majorBidi" w:cstheme="majorBidi"/>
          <w:szCs w:val="22"/>
        </w:rPr>
      </w:pPr>
      <w:r w:rsidRPr="0099749E">
        <w:rPr>
          <w:rFonts w:asciiTheme="majorBidi" w:hAnsiTheme="majorBidi" w:cstheme="majorBidi"/>
          <w:szCs w:val="22"/>
        </w:rPr>
        <w:t>4.5</w:t>
      </w:r>
      <w:r w:rsidRPr="0099749E">
        <w:rPr>
          <w:rFonts w:asciiTheme="majorBidi" w:hAnsiTheme="majorBidi" w:cstheme="majorBidi"/>
          <w:szCs w:val="22"/>
        </w:rPr>
        <w:tab/>
        <w:t>Demande d'instituts de recherche et d'établissements d'enseignement pour utilisation privée.</w:t>
      </w:r>
    </w:p>
    <w:p w:rsidR="00E56335" w:rsidRPr="00CB0217" w:rsidRDefault="00E56335" w:rsidP="008E2BAC">
      <w:pPr>
        <w:pStyle w:val="enumlev1"/>
        <w:spacing w:before="80"/>
        <w:rPr>
          <w:rFonts w:asciiTheme="majorBidi" w:hAnsiTheme="majorBidi" w:cstheme="majorBidi"/>
          <w:szCs w:val="22"/>
        </w:rPr>
      </w:pPr>
      <w:r w:rsidRPr="00CB0217">
        <w:rPr>
          <w:rFonts w:asciiTheme="majorBidi" w:hAnsiTheme="majorBidi" w:cstheme="majorBidi"/>
          <w:szCs w:val="22"/>
        </w:rPr>
        <w:t>4.6</w:t>
      </w:r>
      <w:r w:rsidRPr="00CB0217">
        <w:rPr>
          <w:rFonts w:asciiTheme="majorBidi" w:hAnsiTheme="majorBidi" w:cstheme="majorBidi"/>
          <w:szCs w:val="22"/>
        </w:rPr>
        <w:tab/>
        <w:t>Demande des missions étrangères, des consulats et ambassades pour la correspondance officielle ou les visites de hautes personnalités, soumises par l'intermédiaire du Ministère des affaires étrangères des Emirats arabes unis.</w:t>
      </w:r>
    </w:p>
    <w:p w:rsidR="00E56335" w:rsidRPr="00C658EB" w:rsidRDefault="00E56335" w:rsidP="00E56335">
      <w:pPr>
        <w:pStyle w:val="Arttitle"/>
      </w:pPr>
      <w:bookmarkStart w:id="437" w:name="_Toc225739817"/>
      <w:bookmarkStart w:id="438" w:name="_Toc280262362"/>
      <w:bookmarkStart w:id="439" w:name="_Toc280272756"/>
      <w:bookmarkStart w:id="440" w:name="_Toc280272935"/>
      <w:r>
        <w:lastRenderedPageBreak/>
        <w:t>Article 5</w:t>
      </w:r>
      <w:r w:rsidRPr="00C658EB">
        <w:br/>
      </w:r>
      <w:r w:rsidRPr="00C658EB">
        <w:br/>
        <w:t>Droits d'utilisation du spectre à acquitter en cas de nouvelle demande</w:t>
      </w:r>
      <w:bookmarkEnd w:id="437"/>
      <w:bookmarkEnd w:id="438"/>
      <w:bookmarkEnd w:id="439"/>
      <w:bookmarkEnd w:id="440"/>
    </w:p>
    <w:p w:rsidR="00E56335" w:rsidRPr="001C00F5" w:rsidRDefault="00E56335" w:rsidP="00E56335">
      <w:pPr>
        <w:rPr>
          <w:lang w:val="fr-FR"/>
        </w:rPr>
      </w:pPr>
      <w:r w:rsidRPr="001C00F5">
        <w:rPr>
          <w:lang w:val="fr-FR"/>
        </w:rPr>
        <w:t>Les droits d'utilisation du spectre sont à acquitter à l'avance. Lorsqu'une réponse favorable est donnée à une nouvelle demande, la TRA informe le demandeur du montant des droits, conformément à la présente directive, calculé au prorata de la durée de validité de l'autorisation à compter de la date de la facture. Le demandeur présente à la TRA une preuve de paiement, dans un délai de trente (30) jours maximum. A la réception du paiement vérifié par la TRA, on considère que le paiement a été versé aux fins de délivrance de l'autorisation. En cas de non-réception du paiement, la TRA annule la demande. Si le demandeur exige qu'il soit donné suite à sa demande, il est tenu de la présenter une nouvelle fois, en s'acquittant des droits de traitement correspondants.</w:t>
      </w:r>
    </w:p>
    <w:p w:rsidR="00E56335" w:rsidRPr="00C658EB" w:rsidRDefault="00E56335" w:rsidP="00E56335">
      <w:pPr>
        <w:pStyle w:val="Arttitle"/>
        <w:spacing w:before="400"/>
      </w:pPr>
      <w:bookmarkStart w:id="441" w:name="_Toc280262363"/>
      <w:bookmarkStart w:id="442" w:name="_Toc280272757"/>
      <w:bookmarkStart w:id="443" w:name="_Toc280272936"/>
      <w:r>
        <w:t xml:space="preserve">Article </w:t>
      </w:r>
      <w:r w:rsidRPr="00C658EB">
        <w:t>6</w:t>
      </w:r>
      <w:bookmarkStart w:id="444" w:name="_Toc225739818"/>
      <w:r w:rsidRPr="00C658EB">
        <w:br/>
      </w:r>
      <w:r w:rsidRPr="00C658EB">
        <w:br/>
        <w:t>Montant des droits à acquitter pour le renouvellement d'une autorisation</w:t>
      </w:r>
      <w:bookmarkEnd w:id="441"/>
      <w:bookmarkEnd w:id="442"/>
      <w:bookmarkEnd w:id="443"/>
      <w:bookmarkEnd w:id="444"/>
    </w:p>
    <w:p w:rsidR="00E56335" w:rsidRPr="001C00F5" w:rsidRDefault="00E56335" w:rsidP="00E56335">
      <w:pPr>
        <w:rPr>
          <w:lang w:val="fr-FR"/>
        </w:rPr>
      </w:pPr>
      <w:r w:rsidRPr="001C00F5">
        <w:rPr>
          <w:lang w:val="fr-FR"/>
        </w:rPr>
        <w:t>L'utilisateur agréé doit demander à la TRA le renouvellement de l'autorisation dans un délai de trente (30) jours avant l'expiration de celle-ci. Il peut également demander que lui soient facturés les droits d'utilisation du spectre pour le renouvellement de son autorisation, même avant expiration du délai de trente (30) jours, pour la période autorisée dans la réglementation de la TRA régissant l'attribution et l'assignation des fréquences radioélectriques. Les droits applicables sont définis dans les articles correspondants du présent document. Dans tous les cas, ces droits couvrent la composante équipements hertziens et leur renouvellement annuel inclut toutes les composantes, sans distinction entre les parties. Un délai de grâce de quinze (15) jours après la date d'expiration peut être accordé par la TRA à l'utilisateur agréé pour qu'il s'acquitte des droits de renouvellement, sans entraîner le paiement de droits supplémentaires.</w:t>
      </w:r>
    </w:p>
    <w:p w:rsidR="00E56335" w:rsidRPr="00C658EB" w:rsidRDefault="00E56335" w:rsidP="00E56335">
      <w:pPr>
        <w:pStyle w:val="Arttitle"/>
        <w:spacing w:before="400"/>
      </w:pPr>
      <w:bookmarkStart w:id="445" w:name="_Toc280262364"/>
      <w:bookmarkStart w:id="446" w:name="_Toc280272758"/>
      <w:bookmarkStart w:id="447" w:name="_Toc280272937"/>
      <w:r>
        <w:t xml:space="preserve">Article </w:t>
      </w:r>
      <w:r w:rsidRPr="00C658EB">
        <w:t>7</w:t>
      </w:r>
      <w:r w:rsidRPr="00C658EB">
        <w:br/>
      </w:r>
      <w:r w:rsidRPr="00C658EB">
        <w:br/>
      </w:r>
      <w:bookmarkStart w:id="448" w:name="_Toc225739819"/>
      <w:r w:rsidRPr="00C658EB">
        <w:t xml:space="preserve">Droits supplémentaires à acquitter en cas de retard </w:t>
      </w:r>
      <w:r w:rsidRPr="00C658EB">
        <w:br/>
        <w:t>du renouvellement de l'autorisation</w:t>
      </w:r>
      <w:bookmarkEnd w:id="445"/>
      <w:bookmarkEnd w:id="446"/>
      <w:bookmarkEnd w:id="447"/>
      <w:bookmarkEnd w:id="448"/>
    </w:p>
    <w:p w:rsidR="00E56335" w:rsidRPr="001C00F5" w:rsidRDefault="00E56335" w:rsidP="00E56335">
      <w:pPr>
        <w:rPr>
          <w:lang w:val="fr-FR"/>
        </w:rPr>
      </w:pPr>
      <w:r w:rsidRPr="001C00F5">
        <w:rPr>
          <w:lang w:val="fr-FR"/>
        </w:rPr>
        <w:t>La TRA applique un droit supplémentaire équivalent à 10% du montant des droits d'utilisation du spectre si l'utilisateur agréé demande le renouvellement entre quinze et quarante-cinq (45) jours après la date d'expiration. La TRA annule l'autorisation si aucune demande de renouvellement ne lui parvient dans un délai de quarante-cinq (45) jours après la date d'expiration. La TRA applique un droit supplémentaire de 20% du montant à appliquer pour les droits d'utilisation du spectre si le renouvellement d'une autorisation déjà annulée est demandé.</w:t>
      </w:r>
    </w:p>
    <w:p w:rsidR="00E56335" w:rsidRPr="00C658EB" w:rsidRDefault="00E56335" w:rsidP="00E56335">
      <w:pPr>
        <w:pStyle w:val="Arttitle"/>
        <w:spacing w:before="400"/>
      </w:pPr>
      <w:bookmarkStart w:id="449" w:name="_Toc280262365"/>
      <w:bookmarkStart w:id="450" w:name="_Toc280272759"/>
      <w:bookmarkStart w:id="451" w:name="_Toc280272938"/>
      <w:r>
        <w:t xml:space="preserve">Article </w:t>
      </w:r>
      <w:r w:rsidRPr="00C658EB">
        <w:t>8</w:t>
      </w:r>
      <w:r w:rsidRPr="00C658EB">
        <w:br/>
      </w:r>
      <w:r w:rsidRPr="00C658EB">
        <w:br/>
      </w:r>
      <w:bookmarkStart w:id="452" w:name="_Toc225739820"/>
      <w:r w:rsidRPr="00C658EB">
        <w:t>Droits à acquitter pour obtenir une copie d'une autorisation</w:t>
      </w:r>
      <w:bookmarkEnd w:id="449"/>
      <w:bookmarkEnd w:id="450"/>
      <w:bookmarkEnd w:id="451"/>
      <w:bookmarkEnd w:id="452"/>
    </w:p>
    <w:p w:rsidR="00E56335" w:rsidRPr="001C00F5" w:rsidRDefault="00E56335" w:rsidP="00E56335">
      <w:pPr>
        <w:rPr>
          <w:lang w:val="fr-FR"/>
        </w:rPr>
      </w:pPr>
      <w:r w:rsidRPr="001C00F5">
        <w:rPr>
          <w:lang w:val="fr-FR"/>
        </w:rPr>
        <w:t>Au cas où l'autorisation serait endommagée ou perdue, l'utilisateur agréé peut demander à la TRA de lui en fournir une nouvelle copie. Il lui est alors demandé de verser par avance la somme, non remboursable, de cent (100) dirhams.</w:t>
      </w:r>
    </w:p>
    <w:p w:rsidR="00E56335" w:rsidRPr="00C658EB" w:rsidRDefault="00E56335" w:rsidP="00E56335">
      <w:pPr>
        <w:pStyle w:val="Arttitle"/>
        <w:spacing w:before="400"/>
      </w:pPr>
      <w:bookmarkStart w:id="453" w:name="_Toc280262366"/>
      <w:bookmarkStart w:id="454" w:name="_Toc280272760"/>
      <w:bookmarkStart w:id="455" w:name="_Toc280272939"/>
      <w:r>
        <w:lastRenderedPageBreak/>
        <w:t xml:space="preserve">Article </w:t>
      </w:r>
      <w:r w:rsidRPr="00C658EB">
        <w:t>9</w:t>
      </w:r>
      <w:r w:rsidRPr="00C658EB">
        <w:br/>
      </w:r>
      <w:r w:rsidRPr="00C658EB">
        <w:br/>
      </w:r>
      <w:bookmarkStart w:id="456" w:name="_Toc225739821"/>
      <w:r w:rsidRPr="00C658EB">
        <w:t>Droits à acquitter pour modifier l'autorisation</w:t>
      </w:r>
      <w:bookmarkEnd w:id="453"/>
      <w:bookmarkEnd w:id="454"/>
      <w:bookmarkEnd w:id="455"/>
      <w:bookmarkEnd w:id="456"/>
    </w:p>
    <w:p w:rsidR="00E56335" w:rsidRPr="001C00F5" w:rsidRDefault="00E56335" w:rsidP="00E56335">
      <w:pPr>
        <w:rPr>
          <w:lang w:val="fr-FR"/>
        </w:rPr>
      </w:pPr>
      <w:r w:rsidRPr="001C00F5">
        <w:rPr>
          <w:lang w:val="fr-FR"/>
        </w:rPr>
        <w:t>L'utilisateur agréé peut demander qu'une autorisation soit modifiée. La modification des coordonnées indiquées dans l'autorisation au moment du renouvellement s'effectue sans frais; par contre, la modification des coordonnées indiquées dans l'autorisation à tout autre moment s'effectue contre paiement. La modification des données relatives aux emplacements ou à l'adjonction de nouveaux équipements ainsi que celle des données techniques s'effectuent contre paiement. Au cas où la modification est approuvée par la TRA, les droits annuels d'utilisation du spectre sont calculés au prorata. L'utilisateur agréé s'acquitte par avance à la TRA de la différence. Si le montant de cette différence est en faveur de l'utilisateur agréé, la TRA ne procède pas au remboursement et le montant annuel des droits d'utilisation du spectre pour l'année suivante est calculé sur la base du montant ainsi révisé.</w:t>
      </w:r>
    </w:p>
    <w:p w:rsidR="00E56335" w:rsidRPr="00C658EB" w:rsidRDefault="00E56335" w:rsidP="00E56335">
      <w:pPr>
        <w:pStyle w:val="Arttitle"/>
        <w:spacing w:before="400"/>
      </w:pPr>
      <w:bookmarkStart w:id="457" w:name="_Toc280262367"/>
      <w:bookmarkStart w:id="458" w:name="_Toc280272761"/>
      <w:bookmarkStart w:id="459" w:name="_Toc280272940"/>
      <w:r>
        <w:t xml:space="preserve">Article </w:t>
      </w:r>
      <w:r w:rsidRPr="00C658EB">
        <w:t>10</w:t>
      </w:r>
      <w:r w:rsidRPr="00C658EB">
        <w:br/>
      </w:r>
      <w:r w:rsidRPr="00C658EB">
        <w:br/>
      </w:r>
      <w:bookmarkStart w:id="460" w:name="_Toc225739822"/>
      <w:r w:rsidRPr="00C658EB">
        <w:t>Droits à acquitter pour l'annulation d'une autorisation</w:t>
      </w:r>
      <w:bookmarkEnd w:id="457"/>
      <w:bookmarkEnd w:id="458"/>
      <w:bookmarkEnd w:id="459"/>
      <w:bookmarkEnd w:id="460"/>
    </w:p>
    <w:p w:rsidR="00E56335" w:rsidRPr="001C00F5" w:rsidRDefault="00E56335" w:rsidP="00E56335">
      <w:pPr>
        <w:rPr>
          <w:lang w:val="fr-FR"/>
        </w:rPr>
      </w:pPr>
      <w:r w:rsidRPr="001C00F5">
        <w:rPr>
          <w:lang w:val="fr-FR"/>
        </w:rPr>
        <w:t>L'utilisateur agréé peut demander l'annulation de l'autorisation. Aucun droit n'est perçu pour l'annulation et la TRA ne procède à aucun remboursement de l'éventuel solde.</w:t>
      </w:r>
    </w:p>
    <w:p w:rsidR="00E56335" w:rsidRPr="00C658EB" w:rsidRDefault="00E56335" w:rsidP="00E56335">
      <w:pPr>
        <w:pStyle w:val="Arttitle"/>
        <w:spacing w:before="400"/>
      </w:pPr>
      <w:bookmarkStart w:id="461" w:name="_Toc280262368"/>
      <w:bookmarkStart w:id="462" w:name="_Toc280272762"/>
      <w:bookmarkStart w:id="463" w:name="_Toc280272941"/>
      <w:r>
        <w:t xml:space="preserve">Article </w:t>
      </w:r>
      <w:r w:rsidRPr="00C658EB">
        <w:t>11</w:t>
      </w:r>
      <w:r w:rsidRPr="00C658EB">
        <w:br/>
      </w:r>
      <w:r w:rsidRPr="00C658EB">
        <w:br/>
      </w:r>
      <w:bookmarkStart w:id="464" w:name="_Toc225739823"/>
      <w:r w:rsidRPr="00C658EB">
        <w:t>Droits à acquitter pour l'utilisation du spectre pour</w:t>
      </w:r>
      <w:r w:rsidRPr="00C658EB">
        <w:br/>
        <w:t>le service mobile terrestre public (cellulaire)</w:t>
      </w:r>
      <w:bookmarkEnd w:id="461"/>
      <w:bookmarkEnd w:id="462"/>
      <w:bookmarkEnd w:id="463"/>
      <w:bookmarkEnd w:id="464"/>
    </w:p>
    <w:p w:rsidR="00E56335" w:rsidRPr="000E4E0E" w:rsidRDefault="00E56335" w:rsidP="008E2BAC">
      <w:pPr>
        <w:pStyle w:val="enumlev1"/>
        <w:spacing w:before="80"/>
        <w:rPr>
          <w:rFonts w:asciiTheme="majorBidi" w:hAnsiTheme="majorBidi" w:cstheme="majorBidi"/>
          <w:szCs w:val="19"/>
        </w:rPr>
      </w:pPr>
      <w:r w:rsidRPr="000E4E0E">
        <w:rPr>
          <w:rFonts w:asciiTheme="majorBidi" w:hAnsiTheme="majorBidi" w:cstheme="majorBidi"/>
          <w:szCs w:val="19"/>
        </w:rPr>
        <w:t>11.1</w:t>
      </w:r>
      <w:r w:rsidRPr="000E4E0E">
        <w:rPr>
          <w:rFonts w:asciiTheme="majorBidi" w:hAnsiTheme="majorBidi" w:cstheme="majorBidi"/>
          <w:szCs w:val="19"/>
        </w:rPr>
        <w:tab/>
        <w:t>Le montant des droits annuels d'utilisation du spectre pour le service mobile terrestre public (cellulaire) (comprenant les systèmes GSM, UMTS et IMT) est calculé comme suit:</w:t>
      </w:r>
    </w:p>
    <w:p w:rsidR="00E56335" w:rsidRPr="001C00F5" w:rsidRDefault="00E56335" w:rsidP="00E56335">
      <w:pPr>
        <w:jc w:val="center"/>
        <w:rPr>
          <w:color w:val="000000"/>
          <w:lang w:val="fr-FR"/>
        </w:rPr>
      </w:pPr>
      <w:r w:rsidRPr="001C00F5">
        <w:rPr>
          <w:b/>
          <w:color w:val="000000"/>
          <w:lang w:val="fr-FR"/>
        </w:rPr>
        <w:t xml:space="preserve">Droits à acquitter pour l'utilisation du spectre = [(P x MHz) </w:t>
      </w:r>
      <w:r w:rsidRPr="001C00F5">
        <w:rPr>
          <w:b/>
          <w:color w:val="000000"/>
          <w:position w:val="10"/>
          <w:vertAlign w:val="superscript"/>
          <w:lang w:val="fr-FR"/>
        </w:rPr>
        <w:t>EM</w:t>
      </w:r>
      <w:r w:rsidRPr="001C00F5">
        <w:rPr>
          <w:b/>
          <w:color w:val="000000"/>
          <w:lang w:val="fr-FR"/>
        </w:rPr>
        <w:t xml:space="preserve">] x [1 + (MC – CC) / CM] </w:t>
      </w:r>
      <w:r w:rsidRPr="001C00F5">
        <w:rPr>
          <w:b/>
          <w:color w:val="000000"/>
          <w:position w:val="10"/>
          <w:vertAlign w:val="superscript"/>
          <w:lang w:val="fr-FR"/>
        </w:rPr>
        <w:t xml:space="preserve">EC </w:t>
      </w:r>
    </w:p>
    <w:p w:rsidR="00E56335" w:rsidRPr="00850A0F" w:rsidRDefault="00E56335" w:rsidP="00E56335">
      <w:pPr>
        <w:ind w:left="720"/>
        <w:rPr>
          <w:rFonts w:ascii="Verdana" w:hAnsi="Verdana"/>
          <w:sz w:val="19"/>
          <w:szCs w:val="19"/>
          <w:lang w:val="fr-FR"/>
        </w:rPr>
      </w:pPr>
      <w:r w:rsidRPr="00850A0F">
        <w:rPr>
          <w:rFonts w:ascii="Verdana" w:hAnsi="Verdana"/>
          <w:sz w:val="19"/>
          <w:szCs w:val="19"/>
          <w:lang w:val="fr-FR"/>
        </w:rPr>
        <w:t xml:space="preserve">où: </w:t>
      </w:r>
    </w:p>
    <w:p w:rsidR="00E56335" w:rsidRPr="00F57B72" w:rsidRDefault="00E56335" w:rsidP="00E56335">
      <w:pPr>
        <w:ind w:left="720"/>
        <w:rPr>
          <w:szCs w:val="19"/>
        </w:rPr>
      </w:pPr>
      <w:r w:rsidRPr="00F57B72">
        <w:rPr>
          <w:b/>
          <w:bCs/>
          <w:szCs w:val="19"/>
        </w:rPr>
        <w:t>P</w:t>
      </w:r>
      <w:r w:rsidRPr="00F57B72">
        <w:rPr>
          <w:szCs w:val="19"/>
        </w:rPr>
        <w:t xml:space="preserve"> = prix par MHz, actuellement fixé à 3 500 000,00 AED (trois millions cinq cent mille) par an, sur la base d'une étude de marché. La TRA peut réaliser des études de marché à intervalles réguliers afin que le montant de ce prix soit réajusté.</w:t>
      </w:r>
    </w:p>
    <w:p w:rsidR="00E56335" w:rsidRPr="00F57B72" w:rsidRDefault="00E56335" w:rsidP="00E56335">
      <w:pPr>
        <w:ind w:left="720"/>
        <w:rPr>
          <w:szCs w:val="19"/>
        </w:rPr>
      </w:pPr>
      <w:r w:rsidRPr="00F57B72">
        <w:rPr>
          <w:b/>
          <w:bCs/>
          <w:szCs w:val="19"/>
        </w:rPr>
        <w:t>MHz</w:t>
      </w:r>
      <w:r w:rsidRPr="00F57B72">
        <w:rPr>
          <w:szCs w:val="19"/>
        </w:rPr>
        <w:t xml:space="preserve"> = largeur de bande attribuée (du service cellulaire) pour laquelle un bande de 20 MHz en mode duplex est comptée pour 40 MHz. La largeur de bande combinée du système GSM 900/1800 est utilisée pour chaque opérateur détenteur de licence. La largeur de bande pour les systèmes UMTS et IMT est facturée séparément.</w:t>
      </w:r>
    </w:p>
    <w:p w:rsidR="00E56335" w:rsidRPr="00F57B72" w:rsidRDefault="00E56335" w:rsidP="00E56335">
      <w:pPr>
        <w:ind w:left="720"/>
        <w:rPr>
          <w:szCs w:val="19"/>
        </w:rPr>
      </w:pPr>
      <w:r w:rsidRPr="00F57B72">
        <w:rPr>
          <w:b/>
          <w:bCs/>
          <w:szCs w:val="19"/>
        </w:rPr>
        <w:t>CC</w:t>
      </w:r>
      <w:r w:rsidRPr="00F57B72">
        <w:rPr>
          <w:szCs w:val="19"/>
        </w:rPr>
        <w:t xml:space="preserve"> = Desserte actuelle de l'opérateur, en termes du nombre d'habitants desservis par le réseau de radiocommunication. </w:t>
      </w:r>
    </w:p>
    <w:p w:rsidR="00E56335" w:rsidRPr="00F57B72" w:rsidRDefault="00E56335" w:rsidP="00E56335">
      <w:pPr>
        <w:ind w:left="720"/>
        <w:rPr>
          <w:szCs w:val="19"/>
        </w:rPr>
      </w:pPr>
      <w:r w:rsidRPr="00F57B72">
        <w:rPr>
          <w:b/>
          <w:bCs/>
          <w:szCs w:val="19"/>
        </w:rPr>
        <w:t>CM</w:t>
      </w:r>
      <w:r w:rsidRPr="00F57B72">
        <w:rPr>
          <w:szCs w:val="19"/>
        </w:rPr>
        <w:t xml:space="preserve"> = Desserte maximale dans les Emirats arabes unis, soit 4 912 000 habitants, sur la base des prévisions du Ministère de la planification. Ce chiffre sera revu compte tenu des résultats du recensement ou après trois ans à compter de la date de parution du présent document.</w:t>
      </w:r>
    </w:p>
    <w:p w:rsidR="00E56335" w:rsidRPr="00F57B72" w:rsidRDefault="00E56335" w:rsidP="00E56335">
      <w:pPr>
        <w:ind w:left="720"/>
        <w:rPr>
          <w:szCs w:val="19"/>
        </w:rPr>
      </w:pPr>
      <w:r w:rsidRPr="00F57B72">
        <w:rPr>
          <w:b/>
          <w:bCs/>
          <w:szCs w:val="19"/>
        </w:rPr>
        <w:t>MC</w:t>
      </w:r>
      <w:r w:rsidRPr="00F57B72">
        <w:rPr>
          <w:szCs w:val="19"/>
        </w:rPr>
        <w:t xml:space="preserve"> = Desserte minimale, soit 2 063 040 habitants des Emirats arabes unis (soit 42% de la valeur CM). </w:t>
      </w:r>
    </w:p>
    <w:p w:rsidR="00E56335" w:rsidRPr="00F57B72" w:rsidRDefault="00E56335" w:rsidP="00E56335">
      <w:pPr>
        <w:ind w:left="720"/>
        <w:rPr>
          <w:szCs w:val="19"/>
        </w:rPr>
      </w:pPr>
      <w:r w:rsidRPr="00F57B72">
        <w:rPr>
          <w:b/>
          <w:bCs/>
          <w:szCs w:val="19"/>
        </w:rPr>
        <w:t>EC</w:t>
      </w:r>
      <w:r w:rsidRPr="00F57B72">
        <w:rPr>
          <w:szCs w:val="19"/>
        </w:rPr>
        <w:t xml:space="preserve"> = Coefficient d'efficacité pour la desserte, calculé selon la formule EC = 1 + (CC/MC). </w:t>
      </w:r>
    </w:p>
    <w:p w:rsidR="00E56335" w:rsidRPr="00F57B72" w:rsidRDefault="00E56335" w:rsidP="00E56335">
      <w:pPr>
        <w:ind w:left="720"/>
        <w:rPr>
          <w:szCs w:val="19"/>
        </w:rPr>
      </w:pPr>
      <w:r w:rsidRPr="00F57B72">
        <w:rPr>
          <w:b/>
          <w:bCs/>
          <w:szCs w:val="19"/>
        </w:rPr>
        <w:t>EM</w:t>
      </w:r>
      <w:r w:rsidRPr="00F57B72">
        <w:rPr>
          <w:szCs w:val="19"/>
        </w:rPr>
        <w:t xml:space="preserve"> = Coefficient d'efficacité pour les MHz, calculé selon la formule EM = 1 + (MHz/982,4) </w:t>
      </w:r>
    </w:p>
    <w:p w:rsidR="00E56335" w:rsidRPr="00F57B72" w:rsidRDefault="00E56335" w:rsidP="00E56335">
      <w:pPr>
        <w:ind w:left="720"/>
        <w:rPr>
          <w:szCs w:val="19"/>
        </w:rPr>
      </w:pPr>
      <w:r w:rsidRPr="00F57B72">
        <w:rPr>
          <w:szCs w:val="19"/>
        </w:rPr>
        <w:t xml:space="preserve">982,4 représente une valeur correspondant au chiffre de la population des Emirats arabes unis, soit 4,912 millions d'habitants. </w:t>
      </w:r>
    </w:p>
    <w:p w:rsidR="00E56335" w:rsidRPr="000B30A2" w:rsidRDefault="00E56335" w:rsidP="008E2BAC">
      <w:pPr>
        <w:pStyle w:val="enumlev1"/>
        <w:spacing w:before="80"/>
        <w:rPr>
          <w:rFonts w:asciiTheme="majorBidi" w:hAnsiTheme="majorBidi" w:cstheme="majorBidi"/>
          <w:szCs w:val="22"/>
        </w:rPr>
      </w:pPr>
      <w:r w:rsidRPr="000B30A2">
        <w:rPr>
          <w:rFonts w:asciiTheme="majorBidi" w:hAnsiTheme="majorBidi" w:cstheme="majorBidi"/>
          <w:szCs w:val="22"/>
        </w:rPr>
        <w:lastRenderedPageBreak/>
        <w:t>11.2</w:t>
      </w:r>
      <w:r w:rsidRPr="000B30A2">
        <w:rPr>
          <w:rFonts w:asciiTheme="majorBidi" w:hAnsiTheme="majorBidi" w:cstheme="majorBidi"/>
          <w:szCs w:val="22"/>
        </w:rPr>
        <w:tab/>
        <w:t xml:space="preserve">On applique la règlementation et les lignes directrices établies par la TRA pour le calcul des coefficients comme la couverture, pour établir le montant des droits dans le service mobile public terrestre (cellulaire). </w:t>
      </w:r>
    </w:p>
    <w:p w:rsidR="00E56335" w:rsidRPr="005028A3" w:rsidRDefault="00E56335" w:rsidP="00E56335">
      <w:pPr>
        <w:pStyle w:val="Arttitle"/>
        <w:spacing w:before="400"/>
      </w:pPr>
      <w:bookmarkStart w:id="465" w:name="_Toc225739480"/>
      <w:bookmarkStart w:id="466" w:name="_Toc225739824"/>
      <w:bookmarkStart w:id="467" w:name="_Toc280262369"/>
      <w:bookmarkStart w:id="468" w:name="_Toc280272763"/>
      <w:bookmarkStart w:id="469" w:name="_Toc280272942"/>
      <w:r>
        <w:t xml:space="preserve">Article </w:t>
      </w:r>
      <w:r w:rsidRPr="005028A3">
        <w:t>12</w:t>
      </w:r>
      <w:bookmarkEnd w:id="465"/>
      <w:bookmarkEnd w:id="466"/>
      <w:r w:rsidRPr="005028A3">
        <w:br/>
      </w:r>
      <w:r w:rsidRPr="005028A3">
        <w:br/>
      </w:r>
      <w:bookmarkStart w:id="470" w:name="_Toc225739481"/>
      <w:bookmarkStart w:id="471" w:name="_Toc225739825"/>
      <w:r w:rsidRPr="005028A3">
        <w:t xml:space="preserve">Droits à acquitter pour les radiocommunications mobiles privées, </w:t>
      </w:r>
      <w:r w:rsidRPr="005028A3">
        <w:br/>
        <w:t>la radiomessagerie et les systèmes à ressources partagées</w:t>
      </w:r>
      <w:bookmarkEnd w:id="467"/>
      <w:bookmarkEnd w:id="468"/>
      <w:bookmarkEnd w:id="469"/>
      <w:bookmarkEnd w:id="470"/>
      <w:bookmarkEnd w:id="471"/>
    </w:p>
    <w:p w:rsidR="00E56335" w:rsidRPr="000B30A2" w:rsidRDefault="00E56335" w:rsidP="008E2BAC">
      <w:pPr>
        <w:pStyle w:val="enumlev1"/>
        <w:spacing w:before="80"/>
        <w:rPr>
          <w:rFonts w:asciiTheme="majorBidi" w:hAnsiTheme="majorBidi" w:cstheme="majorBidi"/>
          <w:szCs w:val="22"/>
        </w:rPr>
      </w:pPr>
      <w:r w:rsidRPr="000B30A2">
        <w:rPr>
          <w:rFonts w:asciiTheme="majorBidi" w:hAnsiTheme="majorBidi" w:cstheme="majorBidi"/>
          <w:szCs w:val="22"/>
        </w:rPr>
        <w:t>12.1</w:t>
      </w:r>
      <w:r w:rsidRPr="000B30A2">
        <w:rPr>
          <w:rFonts w:asciiTheme="majorBidi" w:hAnsiTheme="majorBidi" w:cstheme="majorBidi"/>
          <w:szCs w:val="22"/>
        </w:rPr>
        <w:tab/>
        <w:t xml:space="preserve">Le montant annuel des droits à acquitter pour les radiocommunications mobiles privées est calculé selon la formule suivante: </w:t>
      </w:r>
    </w:p>
    <w:p w:rsidR="00E56335" w:rsidRPr="001C00F5" w:rsidRDefault="00E56335" w:rsidP="00E56335">
      <w:pPr>
        <w:jc w:val="center"/>
        <w:rPr>
          <w:color w:val="000000"/>
          <w:lang w:val="fr-FR"/>
        </w:rPr>
      </w:pPr>
      <w:r w:rsidRPr="001C00F5">
        <w:rPr>
          <w:b/>
          <w:color w:val="000000"/>
          <w:lang w:val="fr-FR"/>
        </w:rPr>
        <w:t xml:space="preserve">Droits à acquitter = NC x CF + SUM (WE x 500 x PF) </w:t>
      </w:r>
    </w:p>
    <w:p w:rsidR="00E56335" w:rsidRPr="00210743" w:rsidRDefault="00E56335" w:rsidP="00E56335">
      <w:pPr>
        <w:ind w:left="720"/>
        <w:rPr>
          <w:color w:val="000000"/>
          <w:szCs w:val="19"/>
        </w:rPr>
      </w:pPr>
      <w:r w:rsidRPr="00210743">
        <w:rPr>
          <w:color w:val="000000"/>
          <w:szCs w:val="19"/>
        </w:rPr>
        <w:t xml:space="preserve">où: </w:t>
      </w:r>
    </w:p>
    <w:p w:rsidR="00E56335" w:rsidRPr="00210743" w:rsidRDefault="00E56335" w:rsidP="00E56335">
      <w:pPr>
        <w:ind w:left="720"/>
        <w:rPr>
          <w:color w:val="000000"/>
          <w:szCs w:val="19"/>
        </w:rPr>
      </w:pPr>
      <w:r w:rsidRPr="00210743">
        <w:rPr>
          <w:b/>
          <w:bCs/>
          <w:color w:val="000000"/>
          <w:szCs w:val="19"/>
        </w:rPr>
        <w:t>NC</w:t>
      </w:r>
      <w:r w:rsidRPr="00210743">
        <w:rPr>
          <w:color w:val="000000"/>
          <w:szCs w:val="19"/>
        </w:rPr>
        <w:t xml:space="preserve"> = Le nombre de canaux (dont chacun a une largeur de bande équivalente de 12,5 kHz) qui seront attribués à l'utilisateur. </w:t>
      </w:r>
    </w:p>
    <w:p w:rsidR="00E56335" w:rsidRPr="00210743" w:rsidRDefault="00E56335" w:rsidP="00E56335">
      <w:pPr>
        <w:ind w:left="720"/>
        <w:rPr>
          <w:color w:val="000000"/>
          <w:szCs w:val="19"/>
        </w:rPr>
      </w:pPr>
      <w:r w:rsidRPr="00210743">
        <w:rPr>
          <w:b/>
          <w:bCs/>
          <w:color w:val="000000"/>
          <w:szCs w:val="19"/>
        </w:rPr>
        <w:t>WE</w:t>
      </w:r>
      <w:r w:rsidRPr="00210743">
        <w:rPr>
          <w:color w:val="000000"/>
          <w:szCs w:val="19"/>
        </w:rPr>
        <w:t xml:space="preserve"> = Equipements hertziens autorisés (appareils portables compris), qui seront inclus dans le calcul. </w:t>
      </w:r>
    </w:p>
    <w:p w:rsidR="00E56335" w:rsidRPr="00210743" w:rsidRDefault="00E56335" w:rsidP="00E56335">
      <w:pPr>
        <w:ind w:left="720"/>
        <w:rPr>
          <w:color w:val="000000"/>
          <w:szCs w:val="19"/>
        </w:rPr>
      </w:pPr>
      <w:r w:rsidRPr="00210743">
        <w:rPr>
          <w:b/>
          <w:bCs/>
          <w:color w:val="000000"/>
          <w:szCs w:val="19"/>
        </w:rPr>
        <w:t>SUM (WE x 500 x PF)</w:t>
      </w:r>
      <w:r w:rsidRPr="00210743">
        <w:rPr>
          <w:color w:val="000000"/>
          <w:szCs w:val="19"/>
        </w:rPr>
        <w:t xml:space="preserve"> = Somme totale: chaque équipement hertzien autorisé multiplié par 500, multiplié par le facteur de puissance. </w:t>
      </w:r>
    </w:p>
    <w:p w:rsidR="00E56335" w:rsidRDefault="00E56335" w:rsidP="00E56335">
      <w:pPr>
        <w:ind w:left="720"/>
        <w:rPr>
          <w:color w:val="000000"/>
          <w:szCs w:val="19"/>
        </w:rPr>
      </w:pPr>
      <w:r w:rsidRPr="00210743">
        <w:rPr>
          <w:b/>
          <w:bCs/>
          <w:color w:val="000000"/>
          <w:szCs w:val="19"/>
        </w:rPr>
        <w:t>PF</w:t>
      </w:r>
      <w:r w:rsidRPr="00210743">
        <w:rPr>
          <w:color w:val="000000"/>
          <w:szCs w:val="19"/>
        </w:rPr>
        <w:t xml:space="preserve"> = Facteur de puissance, dépendant de la puissance émise autorisée des équipements, qui est calculé comme suit: </w:t>
      </w:r>
    </w:p>
    <w:p w:rsidR="00E56335" w:rsidRPr="00F50942" w:rsidRDefault="00E56335" w:rsidP="00E56335">
      <w:pPr>
        <w:ind w:left="720"/>
        <w:rPr>
          <w:color w:val="000000"/>
          <w:szCs w:val="19"/>
        </w:rPr>
      </w:pPr>
    </w:p>
    <w:p w:rsidR="00E56335" w:rsidRPr="00F50942" w:rsidRDefault="00E56335" w:rsidP="00E56335">
      <w:pPr>
        <w:pStyle w:val="FigureTitle"/>
      </w:pPr>
    </w:p>
    <w:tbl>
      <w:tblPr>
        <w:tblW w:w="0" w:type="auto"/>
        <w:jc w:val="center"/>
        <w:tblInd w:w="900" w:type="dxa"/>
        <w:tblBorders>
          <w:top w:val="nil"/>
          <w:left w:val="nil"/>
          <w:bottom w:val="nil"/>
          <w:right w:val="nil"/>
        </w:tblBorders>
        <w:tblLook w:val="0000"/>
      </w:tblPr>
      <w:tblGrid>
        <w:gridCol w:w="1226"/>
        <w:gridCol w:w="2032"/>
        <w:gridCol w:w="931"/>
        <w:gridCol w:w="1167"/>
        <w:gridCol w:w="1277"/>
        <w:gridCol w:w="837"/>
      </w:tblGrid>
      <w:tr w:rsidR="00E56335" w:rsidRPr="00850A0F" w:rsidTr="00015D4C">
        <w:trPr>
          <w:trHeight w:val="319"/>
          <w:jc w:val="center"/>
        </w:trPr>
        <w:tc>
          <w:tcPr>
            <w:tcW w:w="1226" w:type="dxa"/>
            <w:tcBorders>
              <w:top w:val="single" w:sz="8" w:space="0" w:color="000000"/>
              <w:left w:val="single" w:sz="8" w:space="0" w:color="000000"/>
              <w:bottom w:val="single" w:sz="8" w:space="0" w:color="000000"/>
              <w:right w:val="single" w:sz="8" w:space="0" w:color="000000"/>
            </w:tcBorders>
          </w:tcPr>
          <w:p w:rsidR="00E56335" w:rsidRPr="00EE469B" w:rsidRDefault="00E56335" w:rsidP="00015D4C">
            <w:pPr>
              <w:pStyle w:val="Tablehead"/>
              <w:rPr>
                <w:rFonts w:asciiTheme="majorBidi" w:hAnsiTheme="majorBidi" w:cstheme="majorBidi"/>
                <w:szCs w:val="22"/>
                <w:lang w:val="fr-FR"/>
              </w:rPr>
            </w:pPr>
            <w:r w:rsidRPr="00EE469B">
              <w:rPr>
                <w:rFonts w:asciiTheme="majorBidi" w:hAnsiTheme="majorBidi" w:cstheme="majorBidi"/>
                <w:szCs w:val="22"/>
                <w:lang w:val="fr-FR"/>
              </w:rPr>
              <w:t xml:space="preserve">Puissance </w:t>
            </w:r>
          </w:p>
        </w:tc>
        <w:tc>
          <w:tcPr>
            <w:tcW w:w="2032" w:type="dxa"/>
            <w:tcBorders>
              <w:top w:val="single" w:sz="8" w:space="0" w:color="000000"/>
              <w:left w:val="single" w:sz="8" w:space="0" w:color="000000"/>
              <w:bottom w:val="single" w:sz="8" w:space="0" w:color="000000"/>
              <w:right w:val="single" w:sz="8" w:space="0" w:color="000000"/>
            </w:tcBorders>
          </w:tcPr>
          <w:p w:rsidR="00E56335" w:rsidRPr="00EE469B" w:rsidRDefault="00E56335" w:rsidP="00015D4C">
            <w:pPr>
              <w:pStyle w:val="Tablehead"/>
              <w:rPr>
                <w:rFonts w:asciiTheme="majorBidi" w:hAnsiTheme="majorBidi" w:cstheme="majorBidi"/>
                <w:szCs w:val="22"/>
                <w:lang w:val="fr-FR"/>
              </w:rPr>
            </w:pPr>
            <w:r w:rsidRPr="00EE469B">
              <w:rPr>
                <w:rFonts w:asciiTheme="majorBidi" w:hAnsiTheme="majorBidi" w:cstheme="majorBidi"/>
                <w:szCs w:val="22"/>
                <w:lang w:val="fr-FR"/>
              </w:rPr>
              <w:t>Inférieure à 1 W</w:t>
            </w:r>
          </w:p>
        </w:tc>
        <w:tc>
          <w:tcPr>
            <w:tcW w:w="0" w:type="auto"/>
            <w:tcBorders>
              <w:top w:val="single" w:sz="8" w:space="0" w:color="000000"/>
              <w:left w:val="single" w:sz="8" w:space="0" w:color="000000"/>
              <w:bottom w:val="single" w:sz="8" w:space="0" w:color="000000"/>
              <w:right w:val="single" w:sz="8" w:space="0" w:color="000000"/>
            </w:tcBorders>
          </w:tcPr>
          <w:p w:rsidR="00E56335" w:rsidRPr="00EE469B" w:rsidRDefault="00E56335" w:rsidP="00015D4C">
            <w:pPr>
              <w:pStyle w:val="Tablehead"/>
              <w:rPr>
                <w:rFonts w:asciiTheme="majorBidi" w:hAnsiTheme="majorBidi" w:cstheme="majorBidi"/>
                <w:szCs w:val="22"/>
                <w:lang w:val="fr-FR"/>
              </w:rPr>
            </w:pPr>
            <w:r w:rsidRPr="00EE469B">
              <w:rPr>
                <w:rFonts w:asciiTheme="majorBidi" w:hAnsiTheme="majorBidi" w:cstheme="majorBidi"/>
                <w:szCs w:val="22"/>
                <w:lang w:val="fr-FR"/>
              </w:rPr>
              <w:t xml:space="preserve">1 – 5 W </w:t>
            </w:r>
          </w:p>
        </w:tc>
        <w:tc>
          <w:tcPr>
            <w:tcW w:w="0" w:type="auto"/>
            <w:tcBorders>
              <w:top w:val="single" w:sz="8" w:space="0" w:color="000000"/>
              <w:left w:val="single" w:sz="8" w:space="0" w:color="000000"/>
              <w:bottom w:val="single" w:sz="8" w:space="0" w:color="000000"/>
              <w:right w:val="single" w:sz="8" w:space="0" w:color="000000"/>
            </w:tcBorders>
          </w:tcPr>
          <w:p w:rsidR="00E56335" w:rsidRPr="00EE469B" w:rsidRDefault="00E56335" w:rsidP="00015D4C">
            <w:pPr>
              <w:pStyle w:val="Tablehead"/>
              <w:rPr>
                <w:rFonts w:asciiTheme="majorBidi" w:hAnsiTheme="majorBidi" w:cstheme="majorBidi"/>
                <w:szCs w:val="22"/>
                <w:lang w:val="fr-FR"/>
              </w:rPr>
            </w:pPr>
            <w:r w:rsidRPr="00EE469B">
              <w:rPr>
                <w:rFonts w:asciiTheme="majorBidi" w:hAnsiTheme="majorBidi" w:cstheme="majorBidi"/>
                <w:szCs w:val="22"/>
                <w:lang w:val="fr-FR"/>
              </w:rPr>
              <w:t xml:space="preserve">&gt;5 – 10 W </w:t>
            </w:r>
          </w:p>
        </w:tc>
        <w:tc>
          <w:tcPr>
            <w:tcW w:w="0" w:type="auto"/>
            <w:tcBorders>
              <w:top w:val="single" w:sz="8" w:space="0" w:color="000000"/>
              <w:left w:val="single" w:sz="8" w:space="0" w:color="000000"/>
              <w:bottom w:val="single" w:sz="8" w:space="0" w:color="000000"/>
              <w:right w:val="single" w:sz="8" w:space="0" w:color="000000"/>
            </w:tcBorders>
          </w:tcPr>
          <w:p w:rsidR="00E56335" w:rsidRPr="00EE469B" w:rsidRDefault="00E56335" w:rsidP="00015D4C">
            <w:pPr>
              <w:pStyle w:val="Tablehead"/>
              <w:rPr>
                <w:rFonts w:asciiTheme="majorBidi" w:hAnsiTheme="majorBidi" w:cstheme="majorBidi"/>
                <w:szCs w:val="22"/>
                <w:lang w:val="fr-FR"/>
              </w:rPr>
            </w:pPr>
            <w:r w:rsidRPr="00EE469B">
              <w:rPr>
                <w:rFonts w:asciiTheme="majorBidi" w:hAnsiTheme="majorBidi" w:cstheme="majorBidi"/>
                <w:szCs w:val="22"/>
                <w:lang w:val="fr-FR"/>
              </w:rPr>
              <w:t xml:space="preserve">&gt;10 – 20 W </w:t>
            </w:r>
          </w:p>
        </w:tc>
        <w:tc>
          <w:tcPr>
            <w:tcW w:w="0" w:type="auto"/>
            <w:tcBorders>
              <w:top w:val="single" w:sz="8" w:space="0" w:color="000000"/>
              <w:left w:val="single" w:sz="8" w:space="0" w:color="000000"/>
              <w:bottom w:val="single" w:sz="8" w:space="0" w:color="000000"/>
              <w:right w:val="single" w:sz="8" w:space="0" w:color="000000"/>
            </w:tcBorders>
          </w:tcPr>
          <w:p w:rsidR="00E56335" w:rsidRPr="00EE469B" w:rsidRDefault="00E56335" w:rsidP="00015D4C">
            <w:pPr>
              <w:pStyle w:val="Tablehead"/>
              <w:rPr>
                <w:rFonts w:asciiTheme="majorBidi" w:hAnsiTheme="majorBidi" w:cstheme="majorBidi"/>
                <w:szCs w:val="22"/>
                <w:lang w:val="fr-FR"/>
              </w:rPr>
            </w:pPr>
            <w:r w:rsidRPr="00EE469B">
              <w:rPr>
                <w:rFonts w:asciiTheme="majorBidi" w:hAnsiTheme="majorBidi" w:cstheme="majorBidi"/>
                <w:szCs w:val="22"/>
                <w:lang w:val="fr-FR"/>
              </w:rPr>
              <w:t xml:space="preserve">&gt;20 W </w:t>
            </w:r>
          </w:p>
        </w:tc>
      </w:tr>
      <w:tr w:rsidR="00E56335" w:rsidRPr="00850A0F" w:rsidTr="00015D4C">
        <w:trPr>
          <w:trHeight w:val="319"/>
          <w:jc w:val="center"/>
        </w:trPr>
        <w:tc>
          <w:tcPr>
            <w:tcW w:w="1226" w:type="dxa"/>
            <w:tcBorders>
              <w:top w:val="single" w:sz="8" w:space="0" w:color="000000"/>
              <w:left w:val="single" w:sz="8" w:space="0" w:color="000000"/>
              <w:bottom w:val="single" w:sz="8" w:space="0" w:color="000000"/>
              <w:right w:val="single" w:sz="8" w:space="0" w:color="000000"/>
            </w:tcBorders>
          </w:tcPr>
          <w:p w:rsidR="00E56335" w:rsidRPr="00EE469B" w:rsidRDefault="00E56335" w:rsidP="00015D4C">
            <w:pPr>
              <w:pStyle w:val="Tabletext"/>
              <w:jc w:val="center"/>
              <w:rPr>
                <w:rFonts w:asciiTheme="majorBidi" w:hAnsiTheme="majorBidi" w:cstheme="majorBidi"/>
                <w:szCs w:val="22"/>
                <w:lang w:val="fr-FR"/>
              </w:rPr>
            </w:pPr>
            <w:r w:rsidRPr="00EE469B">
              <w:rPr>
                <w:rFonts w:asciiTheme="majorBidi" w:hAnsiTheme="majorBidi" w:cstheme="majorBidi"/>
                <w:szCs w:val="22"/>
                <w:lang w:val="fr-FR"/>
              </w:rPr>
              <w:t>PF</w:t>
            </w:r>
          </w:p>
        </w:tc>
        <w:tc>
          <w:tcPr>
            <w:tcW w:w="2032" w:type="dxa"/>
            <w:tcBorders>
              <w:top w:val="single" w:sz="8" w:space="0" w:color="000000"/>
              <w:left w:val="single" w:sz="8" w:space="0" w:color="000000"/>
              <w:bottom w:val="single" w:sz="8" w:space="0" w:color="000000"/>
              <w:right w:val="single" w:sz="8" w:space="0" w:color="000000"/>
            </w:tcBorders>
          </w:tcPr>
          <w:p w:rsidR="00E56335" w:rsidRPr="00EE469B" w:rsidRDefault="00E56335" w:rsidP="00015D4C">
            <w:pPr>
              <w:pStyle w:val="Tabletext"/>
              <w:jc w:val="center"/>
              <w:rPr>
                <w:rFonts w:asciiTheme="majorBidi" w:hAnsiTheme="majorBidi" w:cstheme="majorBidi"/>
                <w:szCs w:val="22"/>
                <w:lang w:val="fr-FR"/>
              </w:rPr>
            </w:pPr>
            <w:r w:rsidRPr="00EE469B">
              <w:rPr>
                <w:rFonts w:asciiTheme="majorBidi" w:hAnsiTheme="majorBidi" w:cstheme="majorBidi"/>
                <w:szCs w:val="22"/>
                <w:lang w:val="fr-FR"/>
              </w:rPr>
              <w:t>0,25</w:t>
            </w:r>
          </w:p>
        </w:tc>
        <w:tc>
          <w:tcPr>
            <w:tcW w:w="0" w:type="auto"/>
            <w:tcBorders>
              <w:top w:val="single" w:sz="8" w:space="0" w:color="000000"/>
              <w:left w:val="single" w:sz="8" w:space="0" w:color="000000"/>
              <w:bottom w:val="single" w:sz="8" w:space="0" w:color="000000"/>
              <w:right w:val="single" w:sz="8" w:space="0" w:color="000000"/>
            </w:tcBorders>
          </w:tcPr>
          <w:p w:rsidR="00E56335" w:rsidRPr="00EE469B" w:rsidRDefault="00E56335" w:rsidP="00015D4C">
            <w:pPr>
              <w:pStyle w:val="Tabletext"/>
              <w:jc w:val="center"/>
              <w:rPr>
                <w:rFonts w:asciiTheme="majorBidi" w:hAnsiTheme="majorBidi" w:cstheme="majorBidi"/>
                <w:szCs w:val="22"/>
                <w:lang w:val="fr-FR"/>
              </w:rPr>
            </w:pPr>
            <w:r w:rsidRPr="00EE469B">
              <w:rPr>
                <w:rFonts w:asciiTheme="majorBidi" w:hAnsiTheme="majorBidi" w:cstheme="majorBidi"/>
                <w:szCs w:val="22"/>
                <w:lang w:val="fr-FR"/>
              </w:rPr>
              <w:t>1</w:t>
            </w:r>
          </w:p>
        </w:tc>
        <w:tc>
          <w:tcPr>
            <w:tcW w:w="0" w:type="auto"/>
            <w:tcBorders>
              <w:top w:val="single" w:sz="8" w:space="0" w:color="000000"/>
              <w:left w:val="single" w:sz="8" w:space="0" w:color="000000"/>
              <w:bottom w:val="single" w:sz="8" w:space="0" w:color="000000"/>
              <w:right w:val="single" w:sz="8" w:space="0" w:color="000000"/>
            </w:tcBorders>
          </w:tcPr>
          <w:p w:rsidR="00E56335" w:rsidRPr="00EE469B" w:rsidRDefault="00E56335" w:rsidP="00015D4C">
            <w:pPr>
              <w:pStyle w:val="Tabletext"/>
              <w:jc w:val="center"/>
              <w:rPr>
                <w:rFonts w:asciiTheme="majorBidi" w:hAnsiTheme="majorBidi" w:cstheme="majorBidi"/>
                <w:szCs w:val="22"/>
                <w:lang w:val="fr-FR"/>
              </w:rPr>
            </w:pPr>
            <w:r w:rsidRPr="00EE469B">
              <w:rPr>
                <w:rFonts w:asciiTheme="majorBidi" w:hAnsiTheme="majorBidi" w:cstheme="majorBidi"/>
                <w:szCs w:val="22"/>
                <w:lang w:val="fr-FR"/>
              </w:rPr>
              <w:t>2</w:t>
            </w:r>
          </w:p>
        </w:tc>
        <w:tc>
          <w:tcPr>
            <w:tcW w:w="0" w:type="auto"/>
            <w:tcBorders>
              <w:top w:val="single" w:sz="8" w:space="0" w:color="000000"/>
              <w:left w:val="single" w:sz="8" w:space="0" w:color="000000"/>
              <w:bottom w:val="single" w:sz="8" w:space="0" w:color="000000"/>
              <w:right w:val="single" w:sz="8" w:space="0" w:color="000000"/>
            </w:tcBorders>
          </w:tcPr>
          <w:p w:rsidR="00E56335" w:rsidRPr="00EE469B" w:rsidRDefault="00E56335" w:rsidP="00015D4C">
            <w:pPr>
              <w:pStyle w:val="Tabletext"/>
              <w:jc w:val="center"/>
              <w:rPr>
                <w:rFonts w:asciiTheme="majorBidi" w:hAnsiTheme="majorBidi" w:cstheme="majorBidi"/>
                <w:szCs w:val="22"/>
                <w:lang w:val="fr-FR"/>
              </w:rPr>
            </w:pPr>
            <w:r w:rsidRPr="00EE469B">
              <w:rPr>
                <w:rFonts w:asciiTheme="majorBidi" w:hAnsiTheme="majorBidi" w:cstheme="majorBidi"/>
                <w:szCs w:val="22"/>
                <w:lang w:val="fr-FR"/>
              </w:rPr>
              <w:t>3</w:t>
            </w:r>
          </w:p>
        </w:tc>
        <w:tc>
          <w:tcPr>
            <w:tcW w:w="0" w:type="auto"/>
            <w:tcBorders>
              <w:top w:val="single" w:sz="8" w:space="0" w:color="000000"/>
              <w:left w:val="single" w:sz="8" w:space="0" w:color="000000"/>
              <w:bottom w:val="single" w:sz="8" w:space="0" w:color="000000"/>
              <w:right w:val="single" w:sz="8" w:space="0" w:color="000000"/>
            </w:tcBorders>
          </w:tcPr>
          <w:p w:rsidR="00E56335" w:rsidRPr="00EE469B" w:rsidRDefault="00E56335" w:rsidP="00015D4C">
            <w:pPr>
              <w:pStyle w:val="Tabletext"/>
              <w:jc w:val="center"/>
              <w:rPr>
                <w:rFonts w:asciiTheme="majorBidi" w:hAnsiTheme="majorBidi" w:cstheme="majorBidi"/>
                <w:szCs w:val="22"/>
                <w:lang w:val="fr-FR"/>
              </w:rPr>
            </w:pPr>
            <w:r w:rsidRPr="00EE469B">
              <w:rPr>
                <w:rFonts w:asciiTheme="majorBidi" w:hAnsiTheme="majorBidi" w:cstheme="majorBidi"/>
                <w:szCs w:val="22"/>
                <w:lang w:val="fr-FR"/>
              </w:rPr>
              <w:t>4</w:t>
            </w:r>
          </w:p>
        </w:tc>
      </w:tr>
    </w:tbl>
    <w:p w:rsidR="00E56335" w:rsidRPr="00F50942" w:rsidRDefault="00E56335" w:rsidP="00E56335">
      <w:pPr>
        <w:pStyle w:val="FigureSource"/>
      </w:pPr>
    </w:p>
    <w:p w:rsidR="00E56335" w:rsidRDefault="00E56335" w:rsidP="00E56335">
      <w:pPr>
        <w:ind w:left="720"/>
        <w:rPr>
          <w:b/>
          <w:color w:val="000000"/>
          <w:szCs w:val="19"/>
        </w:rPr>
      </w:pPr>
    </w:p>
    <w:p w:rsidR="00E56335" w:rsidRDefault="00E56335" w:rsidP="00E56335">
      <w:pPr>
        <w:ind w:left="720"/>
        <w:rPr>
          <w:color w:val="000000"/>
          <w:szCs w:val="19"/>
        </w:rPr>
      </w:pPr>
      <w:r w:rsidRPr="00461B11">
        <w:rPr>
          <w:b/>
          <w:bCs/>
          <w:color w:val="000000"/>
          <w:szCs w:val="19"/>
        </w:rPr>
        <w:t>CF</w:t>
      </w:r>
      <w:r w:rsidRPr="00461B11">
        <w:rPr>
          <w:color w:val="000000"/>
          <w:szCs w:val="19"/>
        </w:rPr>
        <w:t xml:space="preserve"> = coefficient de desserte, en fonction de la zone géographique, qui est déterminé comme suit: </w:t>
      </w:r>
    </w:p>
    <w:p w:rsidR="00E56335" w:rsidRDefault="00E56335" w:rsidP="00E56335">
      <w:pPr>
        <w:ind w:left="720"/>
        <w:rPr>
          <w:color w:val="000000"/>
          <w:szCs w:val="19"/>
        </w:rPr>
      </w:pPr>
    </w:p>
    <w:p w:rsidR="00E56335" w:rsidRPr="00F50942" w:rsidRDefault="00E56335" w:rsidP="00E56335">
      <w:pPr>
        <w:pStyle w:val="FigureTitle"/>
      </w:pPr>
    </w:p>
    <w:tbl>
      <w:tblPr>
        <w:tblW w:w="0" w:type="auto"/>
        <w:jc w:val="center"/>
        <w:tblInd w:w="490" w:type="dxa"/>
        <w:tblBorders>
          <w:top w:val="nil"/>
          <w:left w:val="nil"/>
          <w:bottom w:val="nil"/>
          <w:right w:val="nil"/>
        </w:tblBorders>
        <w:tblLook w:val="0000"/>
      </w:tblPr>
      <w:tblGrid>
        <w:gridCol w:w="1122"/>
        <w:gridCol w:w="1475"/>
        <w:gridCol w:w="1230"/>
        <w:gridCol w:w="3118"/>
        <w:gridCol w:w="1433"/>
      </w:tblGrid>
      <w:tr w:rsidR="00E56335" w:rsidRPr="007E2B73" w:rsidTr="00015D4C">
        <w:trPr>
          <w:trHeight w:val="319"/>
          <w:jc w:val="center"/>
        </w:trPr>
        <w:tc>
          <w:tcPr>
            <w:tcW w:w="1122" w:type="dxa"/>
            <w:tcBorders>
              <w:top w:val="single" w:sz="8" w:space="0" w:color="000000"/>
              <w:left w:val="single" w:sz="8" w:space="0" w:color="000000"/>
              <w:bottom w:val="single" w:sz="8" w:space="0" w:color="000000"/>
              <w:right w:val="single" w:sz="8" w:space="0" w:color="000000"/>
            </w:tcBorders>
          </w:tcPr>
          <w:p w:rsidR="00E56335" w:rsidRPr="00C148EA" w:rsidRDefault="00E56335" w:rsidP="00015D4C">
            <w:pPr>
              <w:pStyle w:val="Tablehead"/>
              <w:rPr>
                <w:rFonts w:asciiTheme="majorBidi" w:hAnsiTheme="majorBidi" w:cstheme="majorBidi"/>
                <w:szCs w:val="22"/>
                <w:lang w:val="fr-FR"/>
              </w:rPr>
            </w:pPr>
            <w:r w:rsidRPr="00C148EA">
              <w:rPr>
                <w:rFonts w:asciiTheme="majorBidi" w:hAnsiTheme="majorBidi" w:cstheme="majorBidi"/>
                <w:szCs w:val="22"/>
                <w:lang w:val="fr-FR"/>
              </w:rPr>
              <w:t xml:space="preserve">Zone </w:t>
            </w:r>
          </w:p>
        </w:tc>
        <w:tc>
          <w:tcPr>
            <w:tcW w:w="1475" w:type="dxa"/>
            <w:tcBorders>
              <w:top w:val="single" w:sz="8" w:space="0" w:color="000000"/>
              <w:left w:val="single" w:sz="8" w:space="0" w:color="000000"/>
              <w:bottom w:val="single" w:sz="8" w:space="0" w:color="000000"/>
              <w:right w:val="single" w:sz="8" w:space="0" w:color="000000"/>
            </w:tcBorders>
          </w:tcPr>
          <w:p w:rsidR="00E56335" w:rsidRPr="00C148EA" w:rsidRDefault="00E56335" w:rsidP="00015D4C">
            <w:pPr>
              <w:pStyle w:val="Tablehead"/>
              <w:rPr>
                <w:rFonts w:asciiTheme="majorBidi" w:hAnsiTheme="majorBidi" w:cstheme="majorBidi"/>
                <w:szCs w:val="22"/>
                <w:lang w:val="fr-FR"/>
              </w:rPr>
            </w:pPr>
            <w:r w:rsidRPr="00C148EA">
              <w:rPr>
                <w:rFonts w:asciiTheme="majorBidi" w:hAnsiTheme="majorBidi" w:cstheme="majorBidi"/>
                <w:szCs w:val="22"/>
                <w:lang w:val="fr-FR"/>
              </w:rPr>
              <w:t>Zone rurale ou à l'intérieur de locaux</w:t>
            </w:r>
          </w:p>
        </w:tc>
        <w:tc>
          <w:tcPr>
            <w:tcW w:w="1230" w:type="dxa"/>
            <w:tcBorders>
              <w:top w:val="single" w:sz="8" w:space="0" w:color="000000"/>
              <w:left w:val="single" w:sz="8" w:space="0" w:color="000000"/>
              <w:bottom w:val="single" w:sz="8" w:space="0" w:color="000000"/>
              <w:right w:val="single" w:sz="8" w:space="0" w:color="000000"/>
            </w:tcBorders>
          </w:tcPr>
          <w:p w:rsidR="00E56335" w:rsidRPr="00C148EA" w:rsidRDefault="00E56335" w:rsidP="00015D4C">
            <w:pPr>
              <w:pStyle w:val="Tablehead"/>
              <w:rPr>
                <w:rFonts w:asciiTheme="majorBidi" w:hAnsiTheme="majorBidi" w:cstheme="majorBidi"/>
                <w:szCs w:val="22"/>
                <w:lang w:val="fr-FR"/>
              </w:rPr>
            </w:pPr>
            <w:r w:rsidRPr="00C148EA">
              <w:rPr>
                <w:rFonts w:asciiTheme="majorBidi" w:hAnsiTheme="majorBidi" w:cstheme="majorBidi"/>
                <w:szCs w:val="22"/>
                <w:lang w:val="fr-FR"/>
              </w:rPr>
              <w:t xml:space="preserve">Zone urbaine </w:t>
            </w:r>
          </w:p>
        </w:tc>
        <w:tc>
          <w:tcPr>
            <w:tcW w:w="3118" w:type="dxa"/>
            <w:tcBorders>
              <w:top w:val="single" w:sz="8" w:space="0" w:color="000000"/>
              <w:left w:val="single" w:sz="8" w:space="0" w:color="000000"/>
              <w:bottom w:val="single" w:sz="8" w:space="0" w:color="000000"/>
              <w:right w:val="single" w:sz="8" w:space="0" w:color="000000"/>
            </w:tcBorders>
          </w:tcPr>
          <w:p w:rsidR="00E56335" w:rsidRPr="00C148EA" w:rsidRDefault="00E56335" w:rsidP="00015D4C">
            <w:pPr>
              <w:pStyle w:val="Tablehead"/>
              <w:rPr>
                <w:rFonts w:asciiTheme="majorBidi" w:hAnsiTheme="majorBidi" w:cstheme="majorBidi"/>
                <w:szCs w:val="22"/>
                <w:lang w:val="fr-FR"/>
              </w:rPr>
            </w:pPr>
            <w:r w:rsidRPr="00C148EA">
              <w:rPr>
                <w:rFonts w:asciiTheme="majorBidi" w:hAnsiTheme="majorBidi" w:cstheme="majorBidi"/>
                <w:szCs w:val="22"/>
                <w:lang w:val="fr-FR"/>
              </w:rPr>
              <w:t xml:space="preserve">Ensemble des Emirats </w:t>
            </w:r>
          </w:p>
        </w:tc>
        <w:tc>
          <w:tcPr>
            <w:tcW w:w="1433" w:type="dxa"/>
            <w:tcBorders>
              <w:top w:val="single" w:sz="8" w:space="0" w:color="000000"/>
              <w:left w:val="single" w:sz="8" w:space="0" w:color="000000"/>
              <w:bottom w:val="single" w:sz="8" w:space="0" w:color="000000"/>
              <w:right w:val="single" w:sz="8" w:space="0" w:color="000000"/>
            </w:tcBorders>
          </w:tcPr>
          <w:p w:rsidR="00E56335" w:rsidRPr="00C148EA" w:rsidRDefault="00E56335" w:rsidP="00015D4C">
            <w:pPr>
              <w:pStyle w:val="Tablehead"/>
              <w:rPr>
                <w:rFonts w:asciiTheme="majorBidi" w:hAnsiTheme="majorBidi" w:cstheme="majorBidi"/>
                <w:szCs w:val="22"/>
                <w:lang w:val="fr-FR"/>
              </w:rPr>
            </w:pPr>
            <w:r w:rsidRPr="00C148EA">
              <w:rPr>
                <w:rFonts w:asciiTheme="majorBidi" w:hAnsiTheme="majorBidi" w:cstheme="majorBidi"/>
                <w:szCs w:val="22"/>
                <w:lang w:val="fr-FR"/>
              </w:rPr>
              <w:t xml:space="preserve">Totalité des Emirats arabes unis </w:t>
            </w:r>
          </w:p>
        </w:tc>
      </w:tr>
      <w:tr w:rsidR="00E56335" w:rsidRPr="00850A0F" w:rsidTr="00015D4C">
        <w:trPr>
          <w:trHeight w:val="319"/>
          <w:jc w:val="center"/>
        </w:trPr>
        <w:tc>
          <w:tcPr>
            <w:tcW w:w="1122" w:type="dxa"/>
            <w:tcBorders>
              <w:top w:val="single" w:sz="8" w:space="0" w:color="000000"/>
              <w:left w:val="single" w:sz="8" w:space="0" w:color="000000"/>
              <w:bottom w:val="single" w:sz="8" w:space="0" w:color="000000"/>
              <w:right w:val="single" w:sz="8" w:space="0" w:color="000000"/>
            </w:tcBorders>
          </w:tcPr>
          <w:p w:rsidR="00E56335" w:rsidRPr="00C148EA" w:rsidRDefault="00E56335" w:rsidP="00015D4C">
            <w:pPr>
              <w:pStyle w:val="Tabletext"/>
              <w:jc w:val="center"/>
              <w:rPr>
                <w:rFonts w:asciiTheme="majorBidi" w:hAnsiTheme="majorBidi" w:cstheme="majorBidi"/>
                <w:szCs w:val="22"/>
                <w:lang w:val="fr-FR"/>
              </w:rPr>
            </w:pPr>
            <w:r w:rsidRPr="00C148EA">
              <w:rPr>
                <w:rFonts w:asciiTheme="majorBidi" w:hAnsiTheme="majorBidi" w:cstheme="majorBidi"/>
                <w:szCs w:val="22"/>
                <w:lang w:val="fr-FR"/>
              </w:rPr>
              <w:t>CF</w:t>
            </w:r>
          </w:p>
        </w:tc>
        <w:tc>
          <w:tcPr>
            <w:tcW w:w="1475" w:type="dxa"/>
            <w:tcBorders>
              <w:top w:val="single" w:sz="8" w:space="0" w:color="000000"/>
              <w:left w:val="single" w:sz="8" w:space="0" w:color="000000"/>
              <w:bottom w:val="single" w:sz="8" w:space="0" w:color="000000"/>
              <w:right w:val="single" w:sz="8" w:space="0" w:color="000000"/>
            </w:tcBorders>
          </w:tcPr>
          <w:p w:rsidR="00E56335" w:rsidRPr="00C148EA" w:rsidRDefault="00E56335" w:rsidP="00015D4C">
            <w:pPr>
              <w:pStyle w:val="Tabletext"/>
              <w:jc w:val="center"/>
              <w:rPr>
                <w:rFonts w:asciiTheme="majorBidi" w:hAnsiTheme="majorBidi" w:cstheme="majorBidi"/>
                <w:szCs w:val="22"/>
                <w:lang w:val="fr-FR"/>
              </w:rPr>
            </w:pPr>
            <w:r w:rsidRPr="00C148EA">
              <w:rPr>
                <w:rFonts w:asciiTheme="majorBidi" w:hAnsiTheme="majorBidi" w:cstheme="majorBidi"/>
                <w:szCs w:val="22"/>
                <w:lang w:val="fr-FR"/>
              </w:rPr>
              <w:t>100</w:t>
            </w:r>
          </w:p>
        </w:tc>
        <w:tc>
          <w:tcPr>
            <w:tcW w:w="1230" w:type="dxa"/>
            <w:tcBorders>
              <w:top w:val="single" w:sz="8" w:space="0" w:color="000000"/>
              <w:left w:val="single" w:sz="8" w:space="0" w:color="000000"/>
              <w:bottom w:val="single" w:sz="8" w:space="0" w:color="000000"/>
              <w:right w:val="single" w:sz="8" w:space="0" w:color="000000"/>
            </w:tcBorders>
          </w:tcPr>
          <w:p w:rsidR="00E56335" w:rsidRPr="00C148EA" w:rsidRDefault="00E56335" w:rsidP="00015D4C">
            <w:pPr>
              <w:pStyle w:val="Tabletext"/>
              <w:jc w:val="center"/>
              <w:rPr>
                <w:rFonts w:asciiTheme="majorBidi" w:hAnsiTheme="majorBidi" w:cstheme="majorBidi"/>
                <w:szCs w:val="22"/>
                <w:lang w:val="fr-FR"/>
              </w:rPr>
            </w:pPr>
            <w:r w:rsidRPr="00C148EA">
              <w:rPr>
                <w:rFonts w:asciiTheme="majorBidi" w:hAnsiTheme="majorBidi" w:cstheme="majorBidi"/>
                <w:szCs w:val="22"/>
                <w:lang w:val="fr-FR"/>
              </w:rPr>
              <w:t>500</w:t>
            </w:r>
          </w:p>
        </w:tc>
        <w:tc>
          <w:tcPr>
            <w:tcW w:w="3118" w:type="dxa"/>
            <w:tcBorders>
              <w:top w:val="single" w:sz="8" w:space="0" w:color="000000"/>
              <w:left w:val="single" w:sz="8" w:space="0" w:color="000000"/>
              <w:bottom w:val="single" w:sz="8" w:space="0" w:color="000000"/>
              <w:right w:val="single" w:sz="8" w:space="0" w:color="000000"/>
            </w:tcBorders>
          </w:tcPr>
          <w:p w:rsidR="00E56335" w:rsidRPr="00C148EA" w:rsidRDefault="00E56335" w:rsidP="00015D4C">
            <w:pPr>
              <w:pStyle w:val="Tabletext"/>
              <w:rPr>
                <w:rFonts w:asciiTheme="majorBidi" w:hAnsiTheme="majorBidi" w:cstheme="majorBidi"/>
                <w:szCs w:val="22"/>
                <w:lang w:val="fr-FR"/>
              </w:rPr>
            </w:pPr>
            <w:r w:rsidRPr="00C148EA">
              <w:rPr>
                <w:rFonts w:asciiTheme="majorBidi" w:hAnsiTheme="majorBidi" w:cstheme="majorBidi"/>
                <w:szCs w:val="22"/>
                <w:lang w:val="fr-FR"/>
              </w:rPr>
              <w:t>2 000 pour Abu Dhabi ou Dubaï</w:t>
            </w:r>
          </w:p>
          <w:p w:rsidR="00E56335" w:rsidRPr="00C148EA" w:rsidRDefault="00E56335" w:rsidP="00015D4C">
            <w:pPr>
              <w:pStyle w:val="Tabletext"/>
              <w:rPr>
                <w:rFonts w:asciiTheme="majorBidi" w:hAnsiTheme="majorBidi" w:cstheme="majorBidi"/>
                <w:szCs w:val="22"/>
                <w:lang w:val="fr-FR"/>
              </w:rPr>
            </w:pPr>
            <w:r w:rsidRPr="00C148EA">
              <w:rPr>
                <w:rFonts w:asciiTheme="majorBidi" w:hAnsiTheme="majorBidi" w:cstheme="majorBidi"/>
                <w:szCs w:val="22"/>
                <w:lang w:val="fr-FR"/>
              </w:rPr>
              <w:t>1 000 pour les autres Emirats</w:t>
            </w:r>
          </w:p>
        </w:tc>
        <w:tc>
          <w:tcPr>
            <w:tcW w:w="1433" w:type="dxa"/>
            <w:tcBorders>
              <w:top w:val="single" w:sz="8" w:space="0" w:color="000000"/>
              <w:left w:val="single" w:sz="8" w:space="0" w:color="000000"/>
              <w:bottom w:val="single" w:sz="8" w:space="0" w:color="000000"/>
              <w:right w:val="single" w:sz="8" w:space="0" w:color="000000"/>
            </w:tcBorders>
          </w:tcPr>
          <w:p w:rsidR="00E56335" w:rsidRPr="00C148EA" w:rsidRDefault="00E56335" w:rsidP="00015D4C">
            <w:pPr>
              <w:pStyle w:val="Tabletext"/>
              <w:jc w:val="center"/>
              <w:rPr>
                <w:rFonts w:asciiTheme="majorBidi" w:hAnsiTheme="majorBidi" w:cstheme="majorBidi"/>
                <w:szCs w:val="22"/>
                <w:lang w:val="fr-FR"/>
              </w:rPr>
            </w:pPr>
            <w:r w:rsidRPr="00C148EA">
              <w:rPr>
                <w:rFonts w:asciiTheme="majorBidi" w:hAnsiTheme="majorBidi" w:cstheme="majorBidi"/>
                <w:szCs w:val="22"/>
                <w:lang w:val="fr-FR"/>
              </w:rPr>
              <w:t>4 000</w:t>
            </w:r>
          </w:p>
        </w:tc>
      </w:tr>
    </w:tbl>
    <w:p w:rsidR="00E56335" w:rsidRPr="00F50942" w:rsidRDefault="00E56335" w:rsidP="00E56335">
      <w:pPr>
        <w:pStyle w:val="FigureSource"/>
      </w:pPr>
    </w:p>
    <w:p w:rsidR="00E56335" w:rsidRDefault="00E56335" w:rsidP="00E56335">
      <w:pPr>
        <w:ind w:left="720" w:hanging="720"/>
      </w:pPr>
    </w:p>
    <w:p w:rsidR="00E56335" w:rsidRDefault="00E56335" w:rsidP="00E56335">
      <w:pPr>
        <w:tabs>
          <w:tab w:val="clear" w:pos="794"/>
          <w:tab w:val="clear" w:pos="1191"/>
          <w:tab w:val="clear" w:pos="1588"/>
          <w:tab w:val="clear" w:pos="1985"/>
        </w:tabs>
        <w:overflowPunct/>
        <w:autoSpaceDE/>
        <w:autoSpaceDN/>
        <w:adjustRightInd/>
        <w:spacing w:before="0"/>
        <w:jc w:val="left"/>
        <w:textAlignment w:val="auto"/>
      </w:pPr>
      <w:r>
        <w:br w:type="page"/>
      </w:r>
    </w:p>
    <w:p w:rsidR="00E56335" w:rsidRPr="00B04A90" w:rsidRDefault="00E56335" w:rsidP="008E2BAC">
      <w:pPr>
        <w:spacing w:before="80"/>
        <w:ind w:left="794" w:hanging="794"/>
      </w:pPr>
      <w:r w:rsidRPr="00B04A90">
        <w:lastRenderedPageBreak/>
        <w:t>12.3</w:t>
      </w:r>
      <w:r w:rsidRPr="00B04A90">
        <w:tab/>
        <w:t xml:space="preserve">Le montant annuel des droits d'utilisation du spectre pour les radiocommunications mobiles privées (à bord de véhicules uniquement) qui ne sont pas localisées est calculé comme suit: </w:t>
      </w:r>
    </w:p>
    <w:p w:rsidR="00E56335" w:rsidRPr="001C00F5" w:rsidRDefault="00E56335" w:rsidP="00E56335">
      <w:pPr>
        <w:ind w:firstLine="720"/>
        <w:jc w:val="center"/>
        <w:rPr>
          <w:color w:val="000000"/>
          <w:lang w:val="fr-FR"/>
        </w:rPr>
      </w:pPr>
      <w:r w:rsidRPr="001C00F5">
        <w:rPr>
          <w:b/>
          <w:color w:val="000000"/>
          <w:lang w:val="fr-FR"/>
        </w:rPr>
        <w:t>Droits à acquitter = NC x CF</w:t>
      </w:r>
    </w:p>
    <w:p w:rsidR="00E56335" w:rsidRPr="00127B11" w:rsidRDefault="00E56335" w:rsidP="00E56335">
      <w:pPr>
        <w:ind w:left="720"/>
        <w:rPr>
          <w:color w:val="000000"/>
        </w:rPr>
      </w:pPr>
      <w:r w:rsidRPr="00127B11">
        <w:rPr>
          <w:color w:val="000000"/>
        </w:rPr>
        <w:t xml:space="preserve">où: </w:t>
      </w:r>
    </w:p>
    <w:p w:rsidR="00E56335" w:rsidRPr="00127B11" w:rsidRDefault="00E56335" w:rsidP="00E56335">
      <w:pPr>
        <w:ind w:left="720"/>
        <w:rPr>
          <w:color w:val="000000"/>
        </w:rPr>
      </w:pPr>
      <w:r w:rsidRPr="00127B11">
        <w:rPr>
          <w:b/>
          <w:bCs/>
          <w:color w:val="000000"/>
        </w:rPr>
        <w:t>NC</w:t>
      </w:r>
      <w:r w:rsidRPr="00127B11">
        <w:rPr>
          <w:color w:val="000000"/>
        </w:rPr>
        <w:t xml:space="preserve"> = Le nombre de canaux (dont chacun a une largeur de bande équivalente de 12,5 kHz) qui seront attribués à l'utilisateur. </w:t>
      </w:r>
    </w:p>
    <w:p w:rsidR="00E56335" w:rsidRDefault="00E56335" w:rsidP="00E56335">
      <w:pPr>
        <w:ind w:left="720"/>
        <w:rPr>
          <w:color w:val="000000"/>
        </w:rPr>
      </w:pPr>
      <w:r w:rsidRPr="00127B11">
        <w:rPr>
          <w:b/>
          <w:bCs/>
          <w:color w:val="000000"/>
        </w:rPr>
        <w:t>CF</w:t>
      </w:r>
      <w:r w:rsidRPr="00127B11">
        <w:rPr>
          <w:color w:val="000000"/>
        </w:rPr>
        <w:t xml:space="preserve"> = Coefficient de desserte, en fonction de la zone géographique, qui est déterminé comme suit: </w:t>
      </w:r>
    </w:p>
    <w:p w:rsidR="00E56335" w:rsidRDefault="00E56335" w:rsidP="00794700">
      <w:pPr>
        <w:spacing w:before="0"/>
      </w:pPr>
    </w:p>
    <w:p w:rsidR="00E56335" w:rsidRPr="00F50942" w:rsidRDefault="00E56335" w:rsidP="00E56335">
      <w:pPr>
        <w:pStyle w:val="FigureTitle"/>
      </w:pPr>
    </w:p>
    <w:tbl>
      <w:tblPr>
        <w:tblW w:w="0" w:type="auto"/>
        <w:jc w:val="center"/>
        <w:tblInd w:w="900" w:type="dxa"/>
        <w:tblBorders>
          <w:top w:val="nil"/>
          <w:left w:val="nil"/>
          <w:bottom w:val="nil"/>
          <w:right w:val="nil"/>
        </w:tblBorders>
        <w:tblLook w:val="0000"/>
      </w:tblPr>
      <w:tblGrid>
        <w:gridCol w:w="1057"/>
        <w:gridCol w:w="1442"/>
        <w:gridCol w:w="1218"/>
        <w:gridCol w:w="3107"/>
        <w:gridCol w:w="1456"/>
      </w:tblGrid>
      <w:tr w:rsidR="00E56335" w:rsidRPr="007E2B73" w:rsidTr="00015D4C">
        <w:trPr>
          <w:trHeight w:val="319"/>
          <w:jc w:val="center"/>
        </w:trPr>
        <w:tc>
          <w:tcPr>
            <w:tcW w:w="1057" w:type="dxa"/>
            <w:tcBorders>
              <w:top w:val="single" w:sz="8" w:space="0" w:color="000000"/>
              <w:left w:val="single" w:sz="8" w:space="0" w:color="000000"/>
              <w:bottom w:val="single" w:sz="8" w:space="0" w:color="000000"/>
              <w:right w:val="single" w:sz="8" w:space="0" w:color="000000"/>
            </w:tcBorders>
          </w:tcPr>
          <w:p w:rsidR="00E56335" w:rsidRPr="00127B11" w:rsidRDefault="00E56335" w:rsidP="00015D4C">
            <w:pPr>
              <w:pStyle w:val="Tablehead"/>
              <w:rPr>
                <w:rFonts w:asciiTheme="majorBidi" w:hAnsiTheme="majorBidi" w:cstheme="majorBidi"/>
                <w:szCs w:val="22"/>
                <w:lang w:val="fr-FR"/>
              </w:rPr>
            </w:pPr>
            <w:r w:rsidRPr="00127B11">
              <w:rPr>
                <w:rFonts w:asciiTheme="majorBidi" w:hAnsiTheme="majorBidi" w:cstheme="majorBidi"/>
                <w:szCs w:val="22"/>
                <w:lang w:val="fr-FR"/>
              </w:rPr>
              <w:t xml:space="preserve">Zone </w:t>
            </w:r>
          </w:p>
        </w:tc>
        <w:tc>
          <w:tcPr>
            <w:tcW w:w="1442" w:type="dxa"/>
            <w:tcBorders>
              <w:top w:val="single" w:sz="8" w:space="0" w:color="000000"/>
              <w:left w:val="single" w:sz="8" w:space="0" w:color="000000"/>
              <w:bottom w:val="single" w:sz="8" w:space="0" w:color="000000"/>
              <w:right w:val="single" w:sz="8" w:space="0" w:color="000000"/>
            </w:tcBorders>
          </w:tcPr>
          <w:p w:rsidR="00E56335" w:rsidRPr="00127B11" w:rsidRDefault="00E56335" w:rsidP="00015D4C">
            <w:pPr>
              <w:pStyle w:val="Tablehead"/>
              <w:rPr>
                <w:rFonts w:asciiTheme="majorBidi" w:hAnsiTheme="majorBidi" w:cstheme="majorBidi"/>
                <w:szCs w:val="22"/>
                <w:lang w:val="fr-FR"/>
              </w:rPr>
            </w:pPr>
            <w:r w:rsidRPr="00127B11">
              <w:rPr>
                <w:rFonts w:asciiTheme="majorBidi" w:hAnsiTheme="majorBidi" w:cstheme="majorBidi"/>
                <w:szCs w:val="22"/>
                <w:lang w:val="fr-FR"/>
              </w:rPr>
              <w:t>Zone rurale ou à l'intérieur de locaux</w:t>
            </w:r>
          </w:p>
        </w:tc>
        <w:tc>
          <w:tcPr>
            <w:tcW w:w="1218" w:type="dxa"/>
            <w:tcBorders>
              <w:top w:val="single" w:sz="8" w:space="0" w:color="000000"/>
              <w:left w:val="single" w:sz="8" w:space="0" w:color="000000"/>
              <w:bottom w:val="single" w:sz="8" w:space="0" w:color="000000"/>
              <w:right w:val="single" w:sz="8" w:space="0" w:color="000000"/>
            </w:tcBorders>
          </w:tcPr>
          <w:p w:rsidR="00E56335" w:rsidRPr="00127B11" w:rsidRDefault="00E56335" w:rsidP="00015D4C">
            <w:pPr>
              <w:pStyle w:val="Tablehead"/>
              <w:rPr>
                <w:rFonts w:asciiTheme="majorBidi" w:hAnsiTheme="majorBidi" w:cstheme="majorBidi"/>
                <w:szCs w:val="22"/>
                <w:lang w:val="fr-FR"/>
              </w:rPr>
            </w:pPr>
            <w:r w:rsidRPr="00127B11">
              <w:rPr>
                <w:rFonts w:asciiTheme="majorBidi" w:hAnsiTheme="majorBidi" w:cstheme="majorBidi"/>
                <w:szCs w:val="22"/>
                <w:lang w:val="fr-FR"/>
              </w:rPr>
              <w:t xml:space="preserve">Zone urbaine </w:t>
            </w:r>
          </w:p>
        </w:tc>
        <w:tc>
          <w:tcPr>
            <w:tcW w:w="3107" w:type="dxa"/>
            <w:tcBorders>
              <w:top w:val="single" w:sz="8" w:space="0" w:color="000000"/>
              <w:left w:val="single" w:sz="8" w:space="0" w:color="000000"/>
              <w:bottom w:val="single" w:sz="8" w:space="0" w:color="000000"/>
              <w:right w:val="single" w:sz="8" w:space="0" w:color="000000"/>
            </w:tcBorders>
          </w:tcPr>
          <w:p w:rsidR="00E56335" w:rsidRPr="00127B11" w:rsidRDefault="00E56335" w:rsidP="00015D4C">
            <w:pPr>
              <w:pStyle w:val="Tablehead"/>
              <w:rPr>
                <w:rFonts w:asciiTheme="majorBidi" w:hAnsiTheme="majorBidi" w:cstheme="majorBidi"/>
                <w:szCs w:val="22"/>
                <w:lang w:val="fr-FR"/>
              </w:rPr>
            </w:pPr>
            <w:r w:rsidRPr="00127B11">
              <w:rPr>
                <w:rFonts w:asciiTheme="majorBidi" w:hAnsiTheme="majorBidi" w:cstheme="majorBidi"/>
                <w:szCs w:val="22"/>
                <w:lang w:val="fr-FR"/>
              </w:rPr>
              <w:t>Ensemble des Emirats</w:t>
            </w:r>
          </w:p>
        </w:tc>
        <w:tc>
          <w:tcPr>
            <w:tcW w:w="1456" w:type="dxa"/>
            <w:tcBorders>
              <w:top w:val="single" w:sz="8" w:space="0" w:color="000000"/>
              <w:left w:val="single" w:sz="8" w:space="0" w:color="000000"/>
              <w:bottom w:val="single" w:sz="8" w:space="0" w:color="000000"/>
              <w:right w:val="single" w:sz="8" w:space="0" w:color="000000"/>
            </w:tcBorders>
          </w:tcPr>
          <w:p w:rsidR="00E56335" w:rsidRPr="00127B11" w:rsidRDefault="00E56335" w:rsidP="00015D4C">
            <w:pPr>
              <w:pStyle w:val="Tablehead"/>
              <w:rPr>
                <w:rFonts w:asciiTheme="majorBidi" w:hAnsiTheme="majorBidi" w:cstheme="majorBidi"/>
                <w:szCs w:val="22"/>
                <w:lang w:val="fr-FR"/>
              </w:rPr>
            </w:pPr>
            <w:r w:rsidRPr="00127B11">
              <w:rPr>
                <w:rFonts w:asciiTheme="majorBidi" w:hAnsiTheme="majorBidi" w:cstheme="majorBidi"/>
                <w:szCs w:val="22"/>
                <w:lang w:val="fr-FR"/>
              </w:rPr>
              <w:t xml:space="preserve">Totalité des Emirats arabes unis </w:t>
            </w:r>
          </w:p>
        </w:tc>
      </w:tr>
      <w:tr w:rsidR="00E56335" w:rsidRPr="00850A0F" w:rsidTr="00015D4C">
        <w:trPr>
          <w:trHeight w:val="319"/>
          <w:jc w:val="center"/>
        </w:trPr>
        <w:tc>
          <w:tcPr>
            <w:tcW w:w="1057" w:type="dxa"/>
            <w:tcBorders>
              <w:top w:val="single" w:sz="8" w:space="0" w:color="000000"/>
              <w:left w:val="single" w:sz="8" w:space="0" w:color="000000"/>
              <w:bottom w:val="single" w:sz="8" w:space="0" w:color="000000"/>
              <w:right w:val="single" w:sz="8" w:space="0" w:color="000000"/>
            </w:tcBorders>
          </w:tcPr>
          <w:p w:rsidR="00E56335" w:rsidRPr="00127B11" w:rsidRDefault="00E56335" w:rsidP="00015D4C">
            <w:pPr>
              <w:pStyle w:val="Tabletext"/>
              <w:jc w:val="center"/>
              <w:rPr>
                <w:rFonts w:asciiTheme="majorBidi" w:hAnsiTheme="majorBidi" w:cstheme="majorBidi"/>
                <w:szCs w:val="22"/>
                <w:lang w:val="fr-FR"/>
              </w:rPr>
            </w:pPr>
            <w:r w:rsidRPr="00127B11">
              <w:rPr>
                <w:rFonts w:asciiTheme="majorBidi" w:hAnsiTheme="majorBidi" w:cstheme="majorBidi"/>
                <w:szCs w:val="22"/>
                <w:lang w:val="fr-FR"/>
              </w:rPr>
              <w:t>CF</w:t>
            </w:r>
          </w:p>
        </w:tc>
        <w:tc>
          <w:tcPr>
            <w:tcW w:w="1442" w:type="dxa"/>
            <w:tcBorders>
              <w:top w:val="single" w:sz="8" w:space="0" w:color="000000"/>
              <w:left w:val="single" w:sz="8" w:space="0" w:color="000000"/>
              <w:bottom w:val="single" w:sz="8" w:space="0" w:color="000000"/>
              <w:right w:val="single" w:sz="8" w:space="0" w:color="000000"/>
            </w:tcBorders>
          </w:tcPr>
          <w:p w:rsidR="00E56335" w:rsidRPr="00127B11" w:rsidRDefault="00E56335" w:rsidP="00015D4C">
            <w:pPr>
              <w:pStyle w:val="Tabletext"/>
              <w:jc w:val="center"/>
              <w:rPr>
                <w:rFonts w:asciiTheme="majorBidi" w:hAnsiTheme="majorBidi" w:cstheme="majorBidi"/>
                <w:szCs w:val="22"/>
                <w:lang w:val="fr-FR"/>
              </w:rPr>
            </w:pPr>
            <w:r w:rsidRPr="00127B11">
              <w:rPr>
                <w:rFonts w:asciiTheme="majorBidi" w:hAnsiTheme="majorBidi" w:cstheme="majorBidi"/>
                <w:szCs w:val="22"/>
                <w:lang w:val="fr-FR"/>
              </w:rPr>
              <w:t>100</w:t>
            </w:r>
          </w:p>
        </w:tc>
        <w:tc>
          <w:tcPr>
            <w:tcW w:w="1218" w:type="dxa"/>
            <w:tcBorders>
              <w:top w:val="single" w:sz="8" w:space="0" w:color="000000"/>
              <w:left w:val="single" w:sz="8" w:space="0" w:color="000000"/>
              <w:bottom w:val="single" w:sz="8" w:space="0" w:color="000000"/>
              <w:right w:val="single" w:sz="8" w:space="0" w:color="000000"/>
            </w:tcBorders>
          </w:tcPr>
          <w:p w:rsidR="00E56335" w:rsidRPr="00127B11" w:rsidRDefault="00E56335" w:rsidP="00015D4C">
            <w:pPr>
              <w:pStyle w:val="Tabletext"/>
              <w:jc w:val="center"/>
              <w:rPr>
                <w:rFonts w:asciiTheme="majorBidi" w:hAnsiTheme="majorBidi" w:cstheme="majorBidi"/>
                <w:szCs w:val="22"/>
                <w:lang w:val="fr-FR"/>
              </w:rPr>
            </w:pPr>
            <w:r w:rsidRPr="00127B11">
              <w:rPr>
                <w:rFonts w:asciiTheme="majorBidi" w:hAnsiTheme="majorBidi" w:cstheme="majorBidi"/>
                <w:szCs w:val="22"/>
                <w:lang w:val="fr-FR"/>
              </w:rPr>
              <w:t>500</w:t>
            </w:r>
          </w:p>
        </w:tc>
        <w:tc>
          <w:tcPr>
            <w:tcW w:w="3107" w:type="dxa"/>
            <w:tcBorders>
              <w:top w:val="single" w:sz="8" w:space="0" w:color="000000"/>
              <w:left w:val="single" w:sz="8" w:space="0" w:color="000000"/>
              <w:bottom w:val="single" w:sz="8" w:space="0" w:color="000000"/>
              <w:right w:val="single" w:sz="8" w:space="0" w:color="000000"/>
            </w:tcBorders>
          </w:tcPr>
          <w:p w:rsidR="00E56335" w:rsidRPr="00127B11" w:rsidRDefault="00E56335" w:rsidP="00015D4C">
            <w:pPr>
              <w:pStyle w:val="Tabletext"/>
              <w:rPr>
                <w:rFonts w:asciiTheme="majorBidi" w:hAnsiTheme="majorBidi" w:cstheme="majorBidi"/>
                <w:szCs w:val="22"/>
                <w:lang w:val="fr-FR"/>
              </w:rPr>
            </w:pPr>
            <w:r w:rsidRPr="00127B11">
              <w:rPr>
                <w:rFonts w:asciiTheme="majorBidi" w:hAnsiTheme="majorBidi" w:cstheme="majorBidi"/>
                <w:szCs w:val="22"/>
                <w:lang w:val="fr-FR"/>
              </w:rPr>
              <w:t>2 000 pour Abu Dhabi ou Dubaï</w:t>
            </w:r>
          </w:p>
          <w:p w:rsidR="00E56335" w:rsidRPr="00127B11" w:rsidRDefault="00E56335" w:rsidP="00015D4C">
            <w:pPr>
              <w:pStyle w:val="Tabletext"/>
              <w:rPr>
                <w:rFonts w:asciiTheme="majorBidi" w:hAnsiTheme="majorBidi" w:cstheme="majorBidi"/>
                <w:szCs w:val="22"/>
                <w:lang w:val="fr-FR"/>
              </w:rPr>
            </w:pPr>
            <w:r w:rsidRPr="00127B11">
              <w:rPr>
                <w:rFonts w:asciiTheme="majorBidi" w:hAnsiTheme="majorBidi" w:cstheme="majorBidi"/>
                <w:szCs w:val="22"/>
                <w:lang w:val="fr-FR"/>
              </w:rPr>
              <w:t>1 000 pour les autres Emirats</w:t>
            </w:r>
          </w:p>
        </w:tc>
        <w:tc>
          <w:tcPr>
            <w:tcW w:w="1456" w:type="dxa"/>
            <w:tcBorders>
              <w:top w:val="single" w:sz="8" w:space="0" w:color="000000"/>
              <w:left w:val="single" w:sz="8" w:space="0" w:color="000000"/>
              <w:bottom w:val="single" w:sz="8" w:space="0" w:color="000000"/>
              <w:right w:val="single" w:sz="8" w:space="0" w:color="000000"/>
            </w:tcBorders>
          </w:tcPr>
          <w:p w:rsidR="00E56335" w:rsidRPr="00127B11" w:rsidRDefault="00E56335" w:rsidP="00015D4C">
            <w:pPr>
              <w:pStyle w:val="Tabletext"/>
              <w:jc w:val="center"/>
              <w:rPr>
                <w:rFonts w:asciiTheme="majorBidi" w:hAnsiTheme="majorBidi" w:cstheme="majorBidi"/>
                <w:szCs w:val="22"/>
                <w:lang w:val="fr-FR"/>
              </w:rPr>
            </w:pPr>
            <w:r w:rsidRPr="00127B11">
              <w:rPr>
                <w:rFonts w:asciiTheme="majorBidi" w:hAnsiTheme="majorBidi" w:cstheme="majorBidi"/>
                <w:szCs w:val="22"/>
                <w:lang w:val="fr-FR"/>
              </w:rPr>
              <w:t>4 000</w:t>
            </w:r>
          </w:p>
        </w:tc>
      </w:tr>
    </w:tbl>
    <w:p w:rsidR="00E56335" w:rsidRDefault="00E56335" w:rsidP="00E56335">
      <w:pPr>
        <w:pStyle w:val="FigureSource"/>
      </w:pPr>
    </w:p>
    <w:p w:rsidR="00E56335" w:rsidRPr="00F50942" w:rsidRDefault="00E56335" w:rsidP="00794700">
      <w:pPr>
        <w:suppressAutoHyphens/>
        <w:spacing w:before="0"/>
        <w:rPr>
          <w:szCs w:val="19"/>
        </w:rPr>
      </w:pPr>
    </w:p>
    <w:p w:rsidR="00E56335" w:rsidRPr="00793073" w:rsidRDefault="00E56335" w:rsidP="008E2BAC">
      <w:pPr>
        <w:pStyle w:val="enumlev1"/>
        <w:spacing w:before="80"/>
        <w:rPr>
          <w:rFonts w:asciiTheme="majorBidi" w:hAnsiTheme="majorBidi" w:cstheme="majorBidi"/>
          <w:szCs w:val="22"/>
        </w:rPr>
      </w:pPr>
      <w:r w:rsidRPr="00793073">
        <w:rPr>
          <w:rFonts w:asciiTheme="majorBidi" w:hAnsiTheme="majorBidi" w:cstheme="majorBidi"/>
          <w:szCs w:val="22"/>
        </w:rPr>
        <w:t>12.4</w:t>
      </w:r>
      <w:r w:rsidRPr="00793073">
        <w:rPr>
          <w:rFonts w:asciiTheme="majorBidi" w:hAnsiTheme="majorBidi" w:cstheme="majorBidi"/>
          <w:szCs w:val="22"/>
        </w:rPr>
        <w:tab/>
        <w:t xml:space="preserve">Le montant annuel des droits d'utilisation du spectre pour les radiocommunications mobiles privées utilisées par les compagnies de taxi est calculé, pour la station de base, conformément à l'Article 12.1, une taxe distincte de 300 AED s'appliquant à chaque taxi équipé d'une radio. </w:t>
      </w:r>
    </w:p>
    <w:p w:rsidR="00E56335" w:rsidRPr="00793073" w:rsidRDefault="00E56335" w:rsidP="008E2BAC">
      <w:pPr>
        <w:pStyle w:val="enumlev1"/>
        <w:spacing w:before="80"/>
        <w:rPr>
          <w:rFonts w:asciiTheme="majorBidi" w:hAnsiTheme="majorBidi" w:cstheme="majorBidi"/>
          <w:szCs w:val="22"/>
        </w:rPr>
      </w:pPr>
      <w:r w:rsidRPr="00793073">
        <w:rPr>
          <w:rFonts w:asciiTheme="majorBidi" w:hAnsiTheme="majorBidi" w:cstheme="majorBidi"/>
          <w:szCs w:val="22"/>
        </w:rPr>
        <w:t>12.5</w:t>
      </w:r>
      <w:r w:rsidRPr="00793073">
        <w:rPr>
          <w:rFonts w:asciiTheme="majorBidi" w:hAnsiTheme="majorBidi" w:cstheme="majorBidi"/>
          <w:szCs w:val="22"/>
        </w:rPr>
        <w:tab/>
        <w:t xml:space="preserve">Les droits annuels d'utilisation du spectre pour la radiomessagerie publique et au domicile sont calculés pour la station de base conformément à l'Article 12.1, aucune taxe supplémentaire n'étant facturée pour les appareils portables. </w:t>
      </w:r>
    </w:p>
    <w:p w:rsidR="00E56335" w:rsidRPr="00793073" w:rsidRDefault="00E56335" w:rsidP="008E2BAC">
      <w:pPr>
        <w:pStyle w:val="enumlev1"/>
        <w:spacing w:before="80"/>
        <w:rPr>
          <w:rFonts w:asciiTheme="majorBidi" w:hAnsiTheme="majorBidi" w:cstheme="majorBidi"/>
          <w:szCs w:val="22"/>
        </w:rPr>
      </w:pPr>
      <w:r w:rsidRPr="00793073">
        <w:rPr>
          <w:rFonts w:asciiTheme="majorBidi" w:hAnsiTheme="majorBidi" w:cstheme="majorBidi"/>
          <w:szCs w:val="22"/>
        </w:rPr>
        <w:t>12.6</w:t>
      </w:r>
      <w:r w:rsidRPr="00793073">
        <w:rPr>
          <w:rFonts w:asciiTheme="majorBidi" w:hAnsiTheme="majorBidi" w:cstheme="majorBidi"/>
          <w:szCs w:val="22"/>
        </w:rPr>
        <w:tab/>
        <w:t xml:space="preserve">Les droits annuels d'utilisation du spectre pour les systèmes analogiques à ressources partagées (du type MPT 1327) sont calculés conformément à l'Article 12.1 ci-dessus. </w:t>
      </w:r>
    </w:p>
    <w:p w:rsidR="00E56335" w:rsidRPr="00793073" w:rsidRDefault="00E56335" w:rsidP="008E2BAC">
      <w:pPr>
        <w:pStyle w:val="enumlev1"/>
        <w:spacing w:before="80"/>
        <w:rPr>
          <w:rFonts w:asciiTheme="majorBidi" w:hAnsiTheme="majorBidi" w:cstheme="majorBidi"/>
          <w:szCs w:val="22"/>
        </w:rPr>
      </w:pPr>
      <w:r w:rsidRPr="00793073">
        <w:rPr>
          <w:rFonts w:asciiTheme="majorBidi" w:hAnsiTheme="majorBidi" w:cstheme="majorBidi"/>
          <w:szCs w:val="22"/>
        </w:rPr>
        <w:t>12.7</w:t>
      </w:r>
      <w:r w:rsidRPr="00793073">
        <w:rPr>
          <w:rFonts w:asciiTheme="majorBidi" w:hAnsiTheme="majorBidi" w:cstheme="majorBidi"/>
          <w:szCs w:val="22"/>
        </w:rPr>
        <w:tab/>
        <w:t>Les droits annuels d'utilisation du spectre pour les systèmes numériques à ressources partagées (du type TETRA, TETRAPOL, EDACS, APCO, etc.) sont calculés comme suit:</w:t>
      </w:r>
    </w:p>
    <w:p w:rsidR="00E56335" w:rsidRPr="001C00F5" w:rsidRDefault="00E56335" w:rsidP="00E56335">
      <w:pPr>
        <w:ind w:left="720"/>
        <w:jc w:val="center"/>
        <w:rPr>
          <w:color w:val="000000"/>
          <w:lang w:val="fr-FR"/>
        </w:rPr>
      </w:pPr>
      <w:r w:rsidRPr="001C00F5">
        <w:rPr>
          <w:b/>
          <w:color w:val="000000"/>
          <w:lang w:val="fr-FR"/>
        </w:rPr>
        <w:t>Droits à acquitter = NC x CF x 2,5</w:t>
      </w:r>
    </w:p>
    <w:p w:rsidR="00E56335" w:rsidRPr="001C00F5" w:rsidRDefault="00E56335" w:rsidP="00E56335">
      <w:pPr>
        <w:ind w:left="720"/>
        <w:rPr>
          <w:color w:val="000000"/>
          <w:lang w:val="fr-FR"/>
        </w:rPr>
      </w:pPr>
      <w:r w:rsidRPr="00CA590E">
        <w:rPr>
          <w:color w:val="000000"/>
          <w:szCs w:val="19"/>
        </w:rPr>
        <w:t>où</w:t>
      </w:r>
      <w:r w:rsidRPr="001C00F5">
        <w:rPr>
          <w:color w:val="000000"/>
          <w:lang w:val="fr-FR"/>
        </w:rPr>
        <w:t xml:space="preserve">: </w:t>
      </w:r>
    </w:p>
    <w:p w:rsidR="00E56335" w:rsidRPr="00CA590E" w:rsidRDefault="00E56335" w:rsidP="00E56335">
      <w:pPr>
        <w:ind w:left="720"/>
        <w:rPr>
          <w:color w:val="000000"/>
          <w:szCs w:val="19"/>
        </w:rPr>
      </w:pPr>
      <w:r w:rsidRPr="00CA590E">
        <w:rPr>
          <w:b/>
          <w:bCs/>
          <w:color w:val="000000"/>
          <w:szCs w:val="19"/>
        </w:rPr>
        <w:t>NC</w:t>
      </w:r>
      <w:r w:rsidRPr="00CA590E">
        <w:rPr>
          <w:color w:val="000000"/>
          <w:szCs w:val="19"/>
        </w:rPr>
        <w:t xml:space="preserve"> = Le nombre de canaux (dont chacun a une largeur de bande équivalente de 12,5 kHz) qui seront attribués à l'utilisateur. </w:t>
      </w:r>
    </w:p>
    <w:p w:rsidR="00E56335" w:rsidRDefault="00E56335" w:rsidP="00E56335">
      <w:pPr>
        <w:ind w:left="720"/>
        <w:rPr>
          <w:color w:val="000000"/>
          <w:szCs w:val="19"/>
        </w:rPr>
      </w:pPr>
      <w:r w:rsidRPr="00CA590E">
        <w:rPr>
          <w:b/>
          <w:bCs/>
          <w:color w:val="000000"/>
          <w:szCs w:val="19"/>
        </w:rPr>
        <w:t>CF</w:t>
      </w:r>
      <w:r w:rsidRPr="00CA590E">
        <w:rPr>
          <w:color w:val="000000"/>
          <w:szCs w:val="19"/>
        </w:rPr>
        <w:t xml:space="preserve"> = Coefficient de desserte, en fonction de la zone géographique, qui est déterminé comme suit: </w:t>
      </w:r>
    </w:p>
    <w:p w:rsidR="00E56335" w:rsidRDefault="00E56335" w:rsidP="00794700">
      <w:pPr>
        <w:spacing w:before="0"/>
      </w:pPr>
    </w:p>
    <w:p w:rsidR="00E56335" w:rsidRPr="00F50942" w:rsidRDefault="00E56335" w:rsidP="00794700">
      <w:pPr>
        <w:pStyle w:val="FigureTitle"/>
        <w:keepNext w:val="0"/>
        <w:keepLines w:val="0"/>
      </w:pPr>
    </w:p>
    <w:tbl>
      <w:tblPr>
        <w:tblW w:w="0" w:type="auto"/>
        <w:jc w:val="center"/>
        <w:tblInd w:w="925" w:type="dxa"/>
        <w:tblBorders>
          <w:top w:val="nil"/>
          <w:left w:val="nil"/>
          <w:bottom w:val="nil"/>
          <w:right w:val="nil"/>
        </w:tblBorders>
        <w:tblLook w:val="0000"/>
      </w:tblPr>
      <w:tblGrid>
        <w:gridCol w:w="866"/>
        <w:gridCol w:w="1462"/>
        <w:gridCol w:w="1382"/>
        <w:gridCol w:w="3268"/>
        <w:gridCol w:w="1401"/>
      </w:tblGrid>
      <w:tr w:rsidR="00E56335" w:rsidRPr="007E2B73" w:rsidTr="00015D4C">
        <w:trPr>
          <w:trHeight w:val="319"/>
          <w:jc w:val="center"/>
        </w:trPr>
        <w:tc>
          <w:tcPr>
            <w:tcW w:w="866" w:type="dxa"/>
            <w:tcBorders>
              <w:top w:val="single" w:sz="8" w:space="0" w:color="000000"/>
              <w:left w:val="single" w:sz="8" w:space="0" w:color="000000"/>
              <w:bottom w:val="single" w:sz="8" w:space="0" w:color="000000"/>
              <w:right w:val="single" w:sz="8" w:space="0" w:color="000000"/>
            </w:tcBorders>
          </w:tcPr>
          <w:p w:rsidR="00E56335" w:rsidRPr="004216E7" w:rsidRDefault="00E56335" w:rsidP="00794700">
            <w:pPr>
              <w:pStyle w:val="Tablehead"/>
              <w:keepNext w:val="0"/>
              <w:rPr>
                <w:rFonts w:asciiTheme="majorBidi" w:hAnsiTheme="majorBidi" w:cstheme="majorBidi"/>
                <w:szCs w:val="22"/>
                <w:lang w:val="fr-FR"/>
              </w:rPr>
            </w:pPr>
            <w:r w:rsidRPr="004216E7">
              <w:rPr>
                <w:rFonts w:asciiTheme="majorBidi" w:hAnsiTheme="majorBidi" w:cstheme="majorBidi"/>
                <w:szCs w:val="22"/>
                <w:lang w:val="fr-FR"/>
              </w:rPr>
              <w:t xml:space="preserve">Zone </w:t>
            </w:r>
          </w:p>
        </w:tc>
        <w:tc>
          <w:tcPr>
            <w:tcW w:w="1462" w:type="dxa"/>
            <w:tcBorders>
              <w:top w:val="single" w:sz="8" w:space="0" w:color="000000"/>
              <w:left w:val="single" w:sz="8" w:space="0" w:color="000000"/>
              <w:bottom w:val="single" w:sz="8" w:space="0" w:color="000000"/>
              <w:right w:val="single" w:sz="8" w:space="0" w:color="000000"/>
            </w:tcBorders>
          </w:tcPr>
          <w:p w:rsidR="00E56335" w:rsidRPr="004216E7" w:rsidRDefault="00E56335" w:rsidP="00794700">
            <w:pPr>
              <w:pStyle w:val="Tablehead"/>
              <w:keepNext w:val="0"/>
              <w:rPr>
                <w:rFonts w:asciiTheme="majorBidi" w:hAnsiTheme="majorBidi" w:cstheme="majorBidi"/>
                <w:szCs w:val="22"/>
                <w:lang w:val="fr-FR"/>
              </w:rPr>
            </w:pPr>
            <w:r w:rsidRPr="004216E7">
              <w:rPr>
                <w:rFonts w:asciiTheme="majorBidi" w:hAnsiTheme="majorBidi" w:cstheme="majorBidi"/>
                <w:szCs w:val="22"/>
                <w:lang w:val="fr-FR"/>
              </w:rPr>
              <w:t>Zone rurale ou à l'intérieur de locaux</w:t>
            </w:r>
          </w:p>
        </w:tc>
        <w:tc>
          <w:tcPr>
            <w:tcW w:w="1382" w:type="dxa"/>
            <w:tcBorders>
              <w:top w:val="single" w:sz="8" w:space="0" w:color="000000"/>
              <w:left w:val="single" w:sz="8" w:space="0" w:color="000000"/>
              <w:bottom w:val="single" w:sz="8" w:space="0" w:color="000000"/>
              <w:right w:val="single" w:sz="8" w:space="0" w:color="000000"/>
            </w:tcBorders>
          </w:tcPr>
          <w:p w:rsidR="00E56335" w:rsidRPr="004216E7" w:rsidRDefault="00E56335" w:rsidP="00794700">
            <w:pPr>
              <w:pStyle w:val="Tablehead"/>
              <w:keepNext w:val="0"/>
              <w:rPr>
                <w:rFonts w:asciiTheme="majorBidi" w:hAnsiTheme="majorBidi" w:cstheme="majorBidi"/>
                <w:szCs w:val="22"/>
                <w:lang w:val="fr-FR"/>
              </w:rPr>
            </w:pPr>
            <w:r w:rsidRPr="004216E7">
              <w:rPr>
                <w:rFonts w:asciiTheme="majorBidi" w:hAnsiTheme="majorBidi" w:cstheme="majorBidi"/>
                <w:szCs w:val="22"/>
                <w:lang w:val="fr-FR"/>
              </w:rPr>
              <w:t xml:space="preserve">Zone urbaine </w:t>
            </w:r>
          </w:p>
        </w:tc>
        <w:tc>
          <w:tcPr>
            <w:tcW w:w="3268" w:type="dxa"/>
            <w:tcBorders>
              <w:top w:val="single" w:sz="8" w:space="0" w:color="000000"/>
              <w:left w:val="single" w:sz="8" w:space="0" w:color="000000"/>
              <w:bottom w:val="single" w:sz="8" w:space="0" w:color="000000"/>
              <w:right w:val="single" w:sz="8" w:space="0" w:color="000000"/>
            </w:tcBorders>
          </w:tcPr>
          <w:p w:rsidR="00E56335" w:rsidRPr="004216E7" w:rsidRDefault="00E56335" w:rsidP="00794700">
            <w:pPr>
              <w:pStyle w:val="Tablehead"/>
              <w:keepNext w:val="0"/>
              <w:rPr>
                <w:rFonts w:asciiTheme="majorBidi" w:hAnsiTheme="majorBidi" w:cstheme="majorBidi"/>
                <w:szCs w:val="22"/>
                <w:lang w:val="fr-FR"/>
              </w:rPr>
            </w:pPr>
            <w:r w:rsidRPr="004216E7">
              <w:rPr>
                <w:rFonts w:asciiTheme="majorBidi" w:hAnsiTheme="majorBidi" w:cstheme="majorBidi"/>
                <w:szCs w:val="22"/>
                <w:lang w:val="fr-FR"/>
              </w:rPr>
              <w:t>Ensemble des Emirats</w:t>
            </w:r>
          </w:p>
        </w:tc>
        <w:tc>
          <w:tcPr>
            <w:tcW w:w="1401" w:type="dxa"/>
            <w:tcBorders>
              <w:top w:val="single" w:sz="8" w:space="0" w:color="000000"/>
              <w:left w:val="single" w:sz="8" w:space="0" w:color="000000"/>
              <w:bottom w:val="single" w:sz="8" w:space="0" w:color="000000"/>
              <w:right w:val="single" w:sz="8" w:space="0" w:color="000000"/>
            </w:tcBorders>
          </w:tcPr>
          <w:p w:rsidR="00E56335" w:rsidRPr="004216E7" w:rsidRDefault="00E56335" w:rsidP="00794700">
            <w:pPr>
              <w:pStyle w:val="Tablehead"/>
              <w:keepNext w:val="0"/>
              <w:rPr>
                <w:rFonts w:asciiTheme="majorBidi" w:hAnsiTheme="majorBidi" w:cstheme="majorBidi"/>
                <w:szCs w:val="22"/>
                <w:lang w:val="fr-FR"/>
              </w:rPr>
            </w:pPr>
            <w:r w:rsidRPr="004216E7">
              <w:rPr>
                <w:rFonts w:asciiTheme="majorBidi" w:hAnsiTheme="majorBidi" w:cstheme="majorBidi"/>
                <w:szCs w:val="22"/>
                <w:lang w:val="fr-FR"/>
              </w:rPr>
              <w:t xml:space="preserve">Totalité des Emirats arabes unis </w:t>
            </w:r>
          </w:p>
        </w:tc>
      </w:tr>
      <w:tr w:rsidR="00E56335" w:rsidRPr="00850A0F" w:rsidTr="00015D4C">
        <w:trPr>
          <w:trHeight w:val="319"/>
          <w:jc w:val="center"/>
        </w:trPr>
        <w:tc>
          <w:tcPr>
            <w:tcW w:w="866" w:type="dxa"/>
            <w:tcBorders>
              <w:top w:val="single" w:sz="8" w:space="0" w:color="000000"/>
              <w:left w:val="single" w:sz="8" w:space="0" w:color="000000"/>
              <w:bottom w:val="single" w:sz="8" w:space="0" w:color="000000"/>
              <w:right w:val="single" w:sz="8" w:space="0" w:color="000000"/>
            </w:tcBorders>
          </w:tcPr>
          <w:p w:rsidR="00E56335" w:rsidRPr="004216E7" w:rsidRDefault="00E56335" w:rsidP="00794700">
            <w:pPr>
              <w:pStyle w:val="Tablehead"/>
              <w:keepNext w:val="0"/>
              <w:rPr>
                <w:rFonts w:asciiTheme="majorBidi" w:hAnsiTheme="majorBidi" w:cstheme="majorBidi"/>
                <w:b w:val="0"/>
                <w:bCs/>
                <w:szCs w:val="22"/>
                <w:lang w:val="fr-FR"/>
              </w:rPr>
            </w:pPr>
            <w:r w:rsidRPr="004216E7">
              <w:rPr>
                <w:rFonts w:asciiTheme="majorBidi" w:hAnsiTheme="majorBidi" w:cstheme="majorBidi"/>
                <w:b w:val="0"/>
                <w:bCs/>
                <w:szCs w:val="22"/>
                <w:lang w:val="fr-FR"/>
              </w:rPr>
              <w:t xml:space="preserve">CF </w:t>
            </w:r>
          </w:p>
        </w:tc>
        <w:tc>
          <w:tcPr>
            <w:tcW w:w="1462" w:type="dxa"/>
            <w:tcBorders>
              <w:top w:val="single" w:sz="8" w:space="0" w:color="000000"/>
              <w:left w:val="single" w:sz="8" w:space="0" w:color="000000"/>
              <w:bottom w:val="single" w:sz="8" w:space="0" w:color="000000"/>
              <w:right w:val="single" w:sz="8" w:space="0" w:color="000000"/>
            </w:tcBorders>
          </w:tcPr>
          <w:p w:rsidR="00E56335" w:rsidRPr="004216E7" w:rsidRDefault="00E56335" w:rsidP="00794700">
            <w:pPr>
              <w:pStyle w:val="Tablehead"/>
              <w:keepNext w:val="0"/>
              <w:rPr>
                <w:rFonts w:asciiTheme="majorBidi" w:hAnsiTheme="majorBidi" w:cstheme="majorBidi"/>
                <w:b w:val="0"/>
                <w:bCs/>
                <w:szCs w:val="22"/>
                <w:lang w:val="fr-FR"/>
              </w:rPr>
            </w:pPr>
            <w:r w:rsidRPr="004216E7">
              <w:rPr>
                <w:rFonts w:asciiTheme="majorBidi" w:hAnsiTheme="majorBidi" w:cstheme="majorBidi"/>
                <w:b w:val="0"/>
                <w:bCs/>
                <w:szCs w:val="22"/>
                <w:lang w:val="fr-FR"/>
              </w:rPr>
              <w:t xml:space="preserve">100 </w:t>
            </w:r>
          </w:p>
        </w:tc>
        <w:tc>
          <w:tcPr>
            <w:tcW w:w="1382" w:type="dxa"/>
            <w:tcBorders>
              <w:top w:val="single" w:sz="8" w:space="0" w:color="000000"/>
              <w:left w:val="single" w:sz="8" w:space="0" w:color="000000"/>
              <w:bottom w:val="single" w:sz="8" w:space="0" w:color="000000"/>
              <w:right w:val="single" w:sz="8" w:space="0" w:color="000000"/>
            </w:tcBorders>
          </w:tcPr>
          <w:p w:rsidR="00E56335" w:rsidRPr="004216E7" w:rsidRDefault="00E56335" w:rsidP="00794700">
            <w:pPr>
              <w:pStyle w:val="Tablehead"/>
              <w:keepNext w:val="0"/>
              <w:rPr>
                <w:rFonts w:asciiTheme="majorBidi" w:hAnsiTheme="majorBidi" w:cstheme="majorBidi"/>
                <w:b w:val="0"/>
                <w:bCs/>
                <w:szCs w:val="22"/>
                <w:lang w:val="fr-FR"/>
              </w:rPr>
            </w:pPr>
            <w:r w:rsidRPr="004216E7">
              <w:rPr>
                <w:rFonts w:asciiTheme="majorBidi" w:hAnsiTheme="majorBidi" w:cstheme="majorBidi"/>
                <w:b w:val="0"/>
                <w:bCs/>
                <w:szCs w:val="22"/>
                <w:lang w:val="fr-FR"/>
              </w:rPr>
              <w:t xml:space="preserve">500 </w:t>
            </w:r>
          </w:p>
        </w:tc>
        <w:tc>
          <w:tcPr>
            <w:tcW w:w="3268" w:type="dxa"/>
            <w:tcBorders>
              <w:top w:val="single" w:sz="8" w:space="0" w:color="000000"/>
              <w:left w:val="single" w:sz="8" w:space="0" w:color="000000"/>
              <w:bottom w:val="single" w:sz="8" w:space="0" w:color="000000"/>
              <w:right w:val="single" w:sz="8" w:space="0" w:color="000000"/>
            </w:tcBorders>
          </w:tcPr>
          <w:p w:rsidR="00E56335" w:rsidRPr="004216E7" w:rsidRDefault="00E56335" w:rsidP="00794700">
            <w:pPr>
              <w:pStyle w:val="Tablehead"/>
              <w:keepNext w:val="0"/>
              <w:jc w:val="left"/>
              <w:rPr>
                <w:rFonts w:asciiTheme="majorBidi" w:hAnsiTheme="majorBidi" w:cstheme="majorBidi"/>
                <w:b w:val="0"/>
                <w:bCs/>
                <w:szCs w:val="22"/>
                <w:lang w:val="fr-FR"/>
              </w:rPr>
            </w:pPr>
            <w:r w:rsidRPr="004216E7">
              <w:rPr>
                <w:rFonts w:asciiTheme="majorBidi" w:hAnsiTheme="majorBidi" w:cstheme="majorBidi"/>
                <w:b w:val="0"/>
                <w:bCs/>
                <w:szCs w:val="22"/>
                <w:lang w:val="fr-FR"/>
              </w:rPr>
              <w:t>2 000 pour Abu Dhabi ou Dubaï</w:t>
            </w:r>
          </w:p>
          <w:p w:rsidR="00E56335" w:rsidRPr="004216E7" w:rsidRDefault="00E56335" w:rsidP="00794700">
            <w:pPr>
              <w:pStyle w:val="Tablehead"/>
              <w:keepNext w:val="0"/>
              <w:jc w:val="left"/>
              <w:rPr>
                <w:rFonts w:asciiTheme="majorBidi" w:hAnsiTheme="majorBidi" w:cstheme="majorBidi"/>
                <w:b w:val="0"/>
                <w:bCs/>
                <w:szCs w:val="22"/>
                <w:lang w:val="fr-FR"/>
              </w:rPr>
            </w:pPr>
            <w:r w:rsidRPr="004216E7">
              <w:rPr>
                <w:rFonts w:asciiTheme="majorBidi" w:hAnsiTheme="majorBidi" w:cstheme="majorBidi"/>
                <w:b w:val="0"/>
                <w:bCs/>
                <w:szCs w:val="22"/>
                <w:lang w:val="fr-FR"/>
              </w:rPr>
              <w:t>1 000 pour les autres Emirats</w:t>
            </w:r>
          </w:p>
        </w:tc>
        <w:tc>
          <w:tcPr>
            <w:tcW w:w="1401" w:type="dxa"/>
            <w:tcBorders>
              <w:top w:val="single" w:sz="8" w:space="0" w:color="000000"/>
              <w:left w:val="single" w:sz="8" w:space="0" w:color="000000"/>
              <w:bottom w:val="single" w:sz="8" w:space="0" w:color="000000"/>
              <w:right w:val="single" w:sz="8" w:space="0" w:color="000000"/>
            </w:tcBorders>
          </w:tcPr>
          <w:p w:rsidR="00E56335" w:rsidRPr="004216E7" w:rsidRDefault="00E56335" w:rsidP="00794700">
            <w:pPr>
              <w:pStyle w:val="Tablehead"/>
              <w:keepNext w:val="0"/>
              <w:rPr>
                <w:rFonts w:asciiTheme="majorBidi" w:hAnsiTheme="majorBidi" w:cstheme="majorBidi"/>
                <w:b w:val="0"/>
                <w:bCs/>
                <w:szCs w:val="22"/>
                <w:lang w:val="fr-FR"/>
              </w:rPr>
            </w:pPr>
            <w:r w:rsidRPr="004216E7">
              <w:rPr>
                <w:rFonts w:asciiTheme="majorBidi" w:hAnsiTheme="majorBidi" w:cstheme="majorBidi"/>
                <w:b w:val="0"/>
                <w:bCs/>
                <w:szCs w:val="22"/>
                <w:lang w:val="fr-FR"/>
              </w:rPr>
              <w:t xml:space="preserve">4 000 </w:t>
            </w:r>
          </w:p>
        </w:tc>
      </w:tr>
    </w:tbl>
    <w:p w:rsidR="00E56335" w:rsidRPr="00F50942" w:rsidRDefault="00E56335" w:rsidP="00794700">
      <w:pPr>
        <w:pStyle w:val="FigureSource"/>
        <w:keepNext w:val="0"/>
        <w:ind w:left="567" w:hanging="567"/>
      </w:pPr>
    </w:p>
    <w:p w:rsidR="00E56335" w:rsidRPr="00EB0987" w:rsidRDefault="00E56335" w:rsidP="00E56335">
      <w:pPr>
        <w:pStyle w:val="Arttitle"/>
        <w:spacing w:before="400"/>
      </w:pPr>
      <w:bookmarkStart w:id="472" w:name="_Toc225739482"/>
      <w:bookmarkStart w:id="473" w:name="_Toc225739826"/>
      <w:bookmarkStart w:id="474" w:name="_Toc280262370"/>
      <w:bookmarkStart w:id="475" w:name="_Toc280272764"/>
      <w:bookmarkStart w:id="476" w:name="_Toc280272943"/>
      <w:r w:rsidRPr="00EB0987">
        <w:lastRenderedPageBreak/>
        <w:t>Article 13</w:t>
      </w:r>
      <w:bookmarkEnd w:id="472"/>
      <w:bookmarkEnd w:id="473"/>
      <w:r w:rsidRPr="00EB0987">
        <w:br/>
      </w:r>
      <w:r w:rsidRPr="00EB0987">
        <w:br/>
      </w:r>
      <w:bookmarkStart w:id="477" w:name="_Toc225739483"/>
      <w:bookmarkStart w:id="478" w:name="_Toc225739827"/>
      <w:r w:rsidRPr="00EB0987">
        <w:t>Droits à acquitter pour l'utilisation du spectre</w:t>
      </w:r>
      <w:r>
        <w:br/>
      </w:r>
      <w:r w:rsidRPr="00EB0987">
        <w:t>pour des liaisons fixes (point à point)</w:t>
      </w:r>
      <w:bookmarkEnd w:id="474"/>
      <w:bookmarkEnd w:id="475"/>
      <w:bookmarkEnd w:id="476"/>
      <w:bookmarkEnd w:id="477"/>
      <w:bookmarkEnd w:id="478"/>
    </w:p>
    <w:p w:rsidR="00E56335" w:rsidRPr="00151874" w:rsidRDefault="00E56335" w:rsidP="008E2BAC">
      <w:pPr>
        <w:pStyle w:val="enumlev1"/>
        <w:spacing w:before="80"/>
        <w:rPr>
          <w:rFonts w:asciiTheme="majorBidi" w:hAnsiTheme="majorBidi" w:cstheme="majorBidi"/>
          <w:szCs w:val="22"/>
        </w:rPr>
      </w:pPr>
      <w:r w:rsidRPr="00151874">
        <w:rPr>
          <w:rFonts w:asciiTheme="majorBidi" w:hAnsiTheme="majorBidi" w:cstheme="majorBidi"/>
          <w:szCs w:val="22"/>
        </w:rPr>
        <w:t>13.1</w:t>
      </w:r>
      <w:r w:rsidRPr="00151874">
        <w:rPr>
          <w:rFonts w:asciiTheme="majorBidi" w:hAnsiTheme="majorBidi" w:cstheme="majorBidi"/>
          <w:szCs w:val="22"/>
        </w:rPr>
        <w:tab/>
        <w:t xml:space="preserve">Les droits annuels à acquitter pour chaque liaison fixe point à point au-dessus de 2 GHz sont calculés comme suit: </w:t>
      </w:r>
    </w:p>
    <w:p w:rsidR="00E56335" w:rsidRPr="001C00F5" w:rsidRDefault="00E56335" w:rsidP="00E56335">
      <w:pPr>
        <w:jc w:val="center"/>
        <w:rPr>
          <w:lang w:val="fr-FR"/>
        </w:rPr>
      </w:pPr>
      <w:r w:rsidRPr="001C00F5">
        <w:rPr>
          <w:b/>
          <w:lang w:val="fr-FR"/>
        </w:rPr>
        <w:t>Droits à acquitter = F x 2000 + BW x 1000</w:t>
      </w:r>
    </w:p>
    <w:p w:rsidR="00E56335" w:rsidRPr="001C00F5" w:rsidRDefault="00E56335" w:rsidP="00E56335">
      <w:pPr>
        <w:ind w:left="720"/>
        <w:rPr>
          <w:lang w:val="fr-FR"/>
        </w:rPr>
      </w:pPr>
      <w:r w:rsidRPr="001C00F5">
        <w:rPr>
          <w:lang w:val="fr-FR"/>
        </w:rPr>
        <w:t xml:space="preserve">où: </w:t>
      </w:r>
    </w:p>
    <w:p w:rsidR="00E56335" w:rsidRDefault="00E56335" w:rsidP="00E56335">
      <w:pPr>
        <w:ind w:left="720"/>
        <w:rPr>
          <w:lang w:val="fr-FR"/>
        </w:rPr>
      </w:pPr>
      <w:r w:rsidRPr="009C59C0">
        <w:rPr>
          <w:b/>
          <w:bCs/>
          <w:lang w:val="fr-FR"/>
        </w:rPr>
        <w:t>F</w:t>
      </w:r>
      <w:r w:rsidRPr="00151874">
        <w:rPr>
          <w:lang w:val="fr-FR"/>
        </w:rPr>
        <w:t xml:space="preserve"> </w:t>
      </w:r>
      <w:r w:rsidRPr="001C00F5">
        <w:rPr>
          <w:lang w:val="fr-FR"/>
        </w:rPr>
        <w:t xml:space="preserve">= Le coefficient de gamme de </w:t>
      </w:r>
      <w:r w:rsidRPr="001C00F5">
        <w:rPr>
          <w:lang w:val="fr-FR"/>
        </w:rPr>
        <w:tab/>
      </w:r>
      <w:r w:rsidRPr="001C00F5">
        <w:rPr>
          <w:lang w:val="fr-FR"/>
        </w:rPr>
        <w:tab/>
      </w:r>
      <w:r w:rsidRPr="001C00F5">
        <w:rPr>
          <w:lang w:val="fr-FR"/>
        </w:rPr>
        <w:tab/>
      </w:r>
      <w:r w:rsidRPr="001C00F5">
        <w:rPr>
          <w:lang w:val="fr-FR"/>
        </w:rPr>
        <w:tab/>
      </w:r>
      <w:r w:rsidRPr="009C59C0">
        <w:rPr>
          <w:b/>
          <w:bCs/>
          <w:lang w:val="fr-FR"/>
        </w:rPr>
        <w:t>BW</w:t>
      </w:r>
      <w:r w:rsidRPr="00151874">
        <w:rPr>
          <w:lang w:val="fr-FR"/>
        </w:rPr>
        <w:t xml:space="preserve"> </w:t>
      </w:r>
      <w:r w:rsidRPr="001C00F5">
        <w:rPr>
          <w:lang w:val="fr-FR"/>
        </w:rPr>
        <w:t>= Le coefficient de largeur de bande,</w:t>
      </w:r>
      <w:r w:rsidRPr="001C00F5">
        <w:rPr>
          <w:lang w:val="fr-FR"/>
        </w:rPr>
        <w:br/>
        <w:t>fréquence</w:t>
      </w:r>
      <w:r>
        <w:rPr>
          <w:lang w:val="fr-FR"/>
        </w:rPr>
        <w:t xml:space="preserve">s, comme suit: </w:t>
      </w:r>
      <w:r>
        <w:rPr>
          <w:lang w:val="fr-FR"/>
        </w:rPr>
        <w:tab/>
      </w:r>
      <w:r>
        <w:rPr>
          <w:lang w:val="fr-FR"/>
        </w:rPr>
        <w:tab/>
      </w:r>
      <w:r>
        <w:rPr>
          <w:lang w:val="fr-FR"/>
        </w:rPr>
        <w:tab/>
      </w:r>
      <w:r>
        <w:rPr>
          <w:lang w:val="fr-FR"/>
        </w:rPr>
        <w:tab/>
      </w:r>
      <w:r>
        <w:rPr>
          <w:lang w:val="fr-FR"/>
        </w:rPr>
        <w:tab/>
        <w:t>comme suit:</w:t>
      </w:r>
    </w:p>
    <w:p w:rsidR="00E56335" w:rsidRPr="00F50942" w:rsidRDefault="00E56335" w:rsidP="00E56335">
      <w:pPr>
        <w:ind w:left="720"/>
        <w:rPr>
          <w:szCs w:val="19"/>
        </w:rPr>
      </w:pPr>
    </w:p>
    <w:p w:rsidR="00E56335" w:rsidRPr="00F50942" w:rsidRDefault="00E56335" w:rsidP="00E56335">
      <w:pPr>
        <w:pStyle w:val="FigureTitle"/>
      </w:pPr>
    </w:p>
    <w:tbl>
      <w:tblPr>
        <w:tblW w:w="0" w:type="auto"/>
        <w:tblInd w:w="675" w:type="dxa"/>
        <w:tblBorders>
          <w:top w:val="nil"/>
          <w:left w:val="nil"/>
          <w:bottom w:val="nil"/>
          <w:right w:val="nil"/>
        </w:tblBorders>
        <w:tblLook w:val="0000"/>
      </w:tblPr>
      <w:tblGrid>
        <w:gridCol w:w="2410"/>
        <w:gridCol w:w="1491"/>
        <w:gridCol w:w="1247"/>
        <w:gridCol w:w="2127"/>
        <w:gridCol w:w="1769"/>
      </w:tblGrid>
      <w:tr w:rsidR="00E56335" w:rsidRPr="00850A0F" w:rsidTr="00015D4C">
        <w:trPr>
          <w:trHeight w:val="608"/>
        </w:trPr>
        <w:tc>
          <w:tcPr>
            <w:tcW w:w="2410" w:type="dxa"/>
            <w:tcBorders>
              <w:top w:val="single" w:sz="8" w:space="0" w:color="000000"/>
              <w:left w:val="single" w:sz="8" w:space="0" w:color="000000"/>
              <w:bottom w:val="single" w:sz="8" w:space="0" w:color="000000"/>
              <w:right w:val="single" w:sz="8" w:space="0" w:color="000000"/>
            </w:tcBorders>
          </w:tcPr>
          <w:p w:rsidR="00E56335" w:rsidRPr="009C59C0" w:rsidRDefault="00E56335" w:rsidP="00015D4C">
            <w:pPr>
              <w:pStyle w:val="Tablehead"/>
              <w:rPr>
                <w:rFonts w:asciiTheme="majorBidi" w:hAnsiTheme="majorBidi" w:cstheme="majorBidi"/>
                <w:szCs w:val="22"/>
                <w:lang w:val="fr-FR"/>
              </w:rPr>
            </w:pPr>
            <w:r w:rsidRPr="009C59C0">
              <w:rPr>
                <w:rFonts w:asciiTheme="majorBidi" w:hAnsiTheme="majorBidi" w:cstheme="majorBidi"/>
                <w:szCs w:val="22"/>
                <w:lang w:val="fr-FR"/>
              </w:rPr>
              <w:t>Bande de fréquences</w:t>
            </w:r>
          </w:p>
        </w:tc>
        <w:tc>
          <w:tcPr>
            <w:tcW w:w="1491" w:type="dxa"/>
            <w:tcBorders>
              <w:top w:val="single" w:sz="8" w:space="0" w:color="000000"/>
              <w:left w:val="single" w:sz="8" w:space="0" w:color="000000"/>
              <w:bottom w:val="single" w:sz="8" w:space="0" w:color="000000"/>
              <w:right w:val="single" w:sz="4" w:space="0" w:color="auto"/>
            </w:tcBorders>
          </w:tcPr>
          <w:p w:rsidR="00E56335" w:rsidRPr="009C59C0" w:rsidRDefault="00E56335" w:rsidP="00015D4C">
            <w:pPr>
              <w:pStyle w:val="Tablehead"/>
              <w:rPr>
                <w:rFonts w:asciiTheme="majorBidi" w:hAnsiTheme="majorBidi" w:cstheme="majorBidi"/>
                <w:szCs w:val="22"/>
                <w:lang w:val="fr-FR"/>
              </w:rPr>
            </w:pPr>
            <w:r w:rsidRPr="009C59C0">
              <w:rPr>
                <w:rFonts w:asciiTheme="majorBidi" w:hAnsiTheme="majorBidi" w:cstheme="majorBidi"/>
                <w:szCs w:val="22"/>
                <w:lang w:val="fr-FR"/>
              </w:rPr>
              <w:t xml:space="preserve">Coefficient F </w:t>
            </w:r>
          </w:p>
        </w:tc>
        <w:tc>
          <w:tcPr>
            <w:tcW w:w="1247" w:type="dxa"/>
            <w:tcBorders>
              <w:top w:val="nil"/>
              <w:left w:val="single" w:sz="4" w:space="0" w:color="auto"/>
              <w:bottom w:val="nil"/>
              <w:right w:val="single" w:sz="4" w:space="0" w:color="auto"/>
            </w:tcBorders>
          </w:tcPr>
          <w:p w:rsidR="00E56335" w:rsidRPr="009C59C0" w:rsidRDefault="00E56335" w:rsidP="00015D4C">
            <w:pPr>
              <w:pStyle w:val="Tablehead"/>
              <w:rPr>
                <w:rFonts w:asciiTheme="majorBidi" w:hAnsiTheme="majorBidi" w:cstheme="majorBidi"/>
                <w:szCs w:val="22"/>
                <w:lang w:val="fr-FR"/>
              </w:rPr>
            </w:pPr>
          </w:p>
        </w:tc>
        <w:tc>
          <w:tcPr>
            <w:tcW w:w="2127" w:type="dxa"/>
            <w:tcBorders>
              <w:top w:val="single" w:sz="8" w:space="0" w:color="000000"/>
              <w:left w:val="single" w:sz="4" w:space="0" w:color="auto"/>
              <w:bottom w:val="single" w:sz="8" w:space="0" w:color="000000"/>
              <w:right w:val="single" w:sz="8" w:space="0" w:color="000000"/>
            </w:tcBorders>
          </w:tcPr>
          <w:p w:rsidR="00E56335" w:rsidRPr="009C59C0" w:rsidRDefault="00E56335" w:rsidP="00015D4C">
            <w:pPr>
              <w:pStyle w:val="Tablehead"/>
              <w:rPr>
                <w:rFonts w:asciiTheme="majorBidi" w:hAnsiTheme="majorBidi" w:cstheme="majorBidi"/>
                <w:szCs w:val="22"/>
                <w:lang w:val="fr-FR"/>
              </w:rPr>
            </w:pPr>
            <w:r w:rsidRPr="009C59C0">
              <w:rPr>
                <w:rFonts w:asciiTheme="majorBidi" w:hAnsiTheme="majorBidi" w:cstheme="majorBidi"/>
                <w:szCs w:val="22"/>
                <w:lang w:val="fr-FR"/>
              </w:rPr>
              <w:t xml:space="preserve">Largeur de bande </w:t>
            </w:r>
          </w:p>
        </w:tc>
        <w:tc>
          <w:tcPr>
            <w:tcW w:w="1769" w:type="dxa"/>
            <w:tcBorders>
              <w:top w:val="single" w:sz="8" w:space="0" w:color="000000"/>
              <w:left w:val="single" w:sz="8" w:space="0" w:color="000000"/>
              <w:bottom w:val="single" w:sz="8" w:space="0" w:color="000000"/>
              <w:right w:val="single" w:sz="8" w:space="0" w:color="000000"/>
            </w:tcBorders>
          </w:tcPr>
          <w:p w:rsidR="00E56335" w:rsidRPr="009C59C0" w:rsidRDefault="00E56335" w:rsidP="00015D4C">
            <w:pPr>
              <w:pStyle w:val="Tablehead"/>
              <w:rPr>
                <w:rFonts w:asciiTheme="majorBidi" w:hAnsiTheme="majorBidi" w:cstheme="majorBidi"/>
                <w:szCs w:val="22"/>
                <w:lang w:val="fr-FR"/>
              </w:rPr>
            </w:pPr>
            <w:r w:rsidRPr="009C59C0">
              <w:rPr>
                <w:rFonts w:asciiTheme="majorBidi" w:hAnsiTheme="majorBidi" w:cstheme="majorBidi"/>
                <w:szCs w:val="22"/>
                <w:lang w:val="fr-FR"/>
              </w:rPr>
              <w:t xml:space="preserve">Coefficient BW </w:t>
            </w:r>
          </w:p>
        </w:tc>
      </w:tr>
      <w:tr w:rsidR="00E56335" w:rsidRPr="00850A0F" w:rsidTr="00015D4C">
        <w:trPr>
          <w:trHeight w:val="319"/>
        </w:trPr>
        <w:tc>
          <w:tcPr>
            <w:tcW w:w="2410" w:type="dxa"/>
            <w:tcBorders>
              <w:top w:val="single" w:sz="8" w:space="0" w:color="000000"/>
              <w:left w:val="single" w:sz="8" w:space="0" w:color="000000"/>
              <w:bottom w:val="single" w:sz="8" w:space="0" w:color="000000"/>
              <w:right w:val="single" w:sz="8" w:space="0" w:color="000000"/>
            </w:tcBorders>
          </w:tcPr>
          <w:p w:rsidR="00E56335" w:rsidRPr="009C59C0" w:rsidRDefault="00E56335" w:rsidP="00015D4C">
            <w:pPr>
              <w:pStyle w:val="Tabletext"/>
              <w:rPr>
                <w:rFonts w:asciiTheme="majorBidi" w:hAnsiTheme="majorBidi" w:cstheme="majorBidi"/>
                <w:szCs w:val="22"/>
                <w:lang w:val="fr-FR"/>
              </w:rPr>
            </w:pPr>
            <w:r w:rsidRPr="009C59C0">
              <w:rPr>
                <w:rFonts w:asciiTheme="majorBidi" w:hAnsiTheme="majorBidi" w:cstheme="majorBidi"/>
                <w:szCs w:val="22"/>
                <w:lang w:val="fr-FR"/>
              </w:rPr>
              <w:t xml:space="preserve">2 GHz-3 GHz </w:t>
            </w:r>
          </w:p>
        </w:tc>
        <w:tc>
          <w:tcPr>
            <w:tcW w:w="1491" w:type="dxa"/>
            <w:tcBorders>
              <w:top w:val="single" w:sz="8" w:space="0" w:color="000000"/>
              <w:left w:val="single" w:sz="8" w:space="0" w:color="000000"/>
              <w:bottom w:val="single" w:sz="8" w:space="0" w:color="000000"/>
              <w:right w:val="single" w:sz="4" w:space="0" w:color="auto"/>
            </w:tcBorders>
          </w:tcPr>
          <w:p w:rsidR="00E56335" w:rsidRPr="009C59C0" w:rsidRDefault="00E56335" w:rsidP="00015D4C">
            <w:pPr>
              <w:pStyle w:val="Tabletext"/>
              <w:jc w:val="center"/>
              <w:rPr>
                <w:rFonts w:asciiTheme="majorBidi" w:hAnsiTheme="majorBidi" w:cstheme="majorBidi"/>
                <w:szCs w:val="22"/>
                <w:lang w:val="fr-FR"/>
              </w:rPr>
            </w:pPr>
            <w:r w:rsidRPr="009C59C0">
              <w:rPr>
                <w:rFonts w:asciiTheme="majorBidi" w:hAnsiTheme="majorBidi" w:cstheme="majorBidi"/>
                <w:szCs w:val="22"/>
                <w:lang w:val="fr-FR"/>
              </w:rPr>
              <w:t>4</w:t>
            </w:r>
          </w:p>
        </w:tc>
        <w:tc>
          <w:tcPr>
            <w:tcW w:w="1247" w:type="dxa"/>
            <w:tcBorders>
              <w:top w:val="nil"/>
              <w:left w:val="single" w:sz="4" w:space="0" w:color="auto"/>
              <w:bottom w:val="nil"/>
              <w:right w:val="single" w:sz="4" w:space="0" w:color="auto"/>
            </w:tcBorders>
          </w:tcPr>
          <w:p w:rsidR="00E56335" w:rsidRPr="009C59C0" w:rsidRDefault="00E56335" w:rsidP="00015D4C">
            <w:pPr>
              <w:pStyle w:val="Tabletext"/>
              <w:rPr>
                <w:rFonts w:asciiTheme="majorBidi" w:hAnsiTheme="majorBidi" w:cstheme="majorBidi"/>
                <w:szCs w:val="22"/>
                <w:lang w:val="fr-FR"/>
              </w:rPr>
            </w:pPr>
          </w:p>
        </w:tc>
        <w:tc>
          <w:tcPr>
            <w:tcW w:w="2127" w:type="dxa"/>
            <w:tcBorders>
              <w:top w:val="single" w:sz="8" w:space="0" w:color="000000"/>
              <w:left w:val="single" w:sz="4" w:space="0" w:color="auto"/>
              <w:bottom w:val="single" w:sz="8" w:space="0" w:color="000000"/>
              <w:right w:val="single" w:sz="8" w:space="0" w:color="000000"/>
            </w:tcBorders>
          </w:tcPr>
          <w:p w:rsidR="00E56335" w:rsidRPr="009C59C0" w:rsidRDefault="00E56335" w:rsidP="00015D4C">
            <w:pPr>
              <w:pStyle w:val="Tabletext"/>
              <w:rPr>
                <w:rFonts w:asciiTheme="majorBidi" w:hAnsiTheme="majorBidi" w:cstheme="majorBidi"/>
                <w:szCs w:val="22"/>
                <w:lang w:val="fr-FR"/>
              </w:rPr>
            </w:pPr>
            <w:r w:rsidRPr="009C59C0">
              <w:rPr>
                <w:rFonts w:asciiTheme="majorBidi" w:hAnsiTheme="majorBidi" w:cstheme="majorBidi"/>
                <w:szCs w:val="22"/>
                <w:lang w:val="fr-FR"/>
              </w:rPr>
              <w:t>7 MHz ou moins</w:t>
            </w:r>
          </w:p>
        </w:tc>
        <w:tc>
          <w:tcPr>
            <w:tcW w:w="1769" w:type="dxa"/>
            <w:tcBorders>
              <w:top w:val="single" w:sz="8" w:space="0" w:color="000000"/>
              <w:left w:val="single" w:sz="8" w:space="0" w:color="000000"/>
              <w:bottom w:val="single" w:sz="8" w:space="0" w:color="000000"/>
              <w:right w:val="single" w:sz="8" w:space="0" w:color="000000"/>
            </w:tcBorders>
          </w:tcPr>
          <w:p w:rsidR="00E56335" w:rsidRPr="009C59C0" w:rsidRDefault="00E56335" w:rsidP="00015D4C">
            <w:pPr>
              <w:pStyle w:val="Tabletext"/>
              <w:jc w:val="center"/>
              <w:rPr>
                <w:rFonts w:asciiTheme="majorBidi" w:hAnsiTheme="majorBidi" w:cstheme="majorBidi"/>
                <w:szCs w:val="22"/>
                <w:lang w:val="fr-FR"/>
              </w:rPr>
            </w:pPr>
            <w:r w:rsidRPr="009C59C0">
              <w:rPr>
                <w:rFonts w:asciiTheme="majorBidi" w:hAnsiTheme="majorBidi" w:cstheme="majorBidi"/>
                <w:szCs w:val="22"/>
                <w:lang w:val="fr-FR"/>
              </w:rPr>
              <w:t>1</w:t>
            </w:r>
          </w:p>
        </w:tc>
      </w:tr>
      <w:tr w:rsidR="00E56335" w:rsidRPr="00850A0F" w:rsidTr="00015D4C">
        <w:trPr>
          <w:trHeight w:val="319"/>
        </w:trPr>
        <w:tc>
          <w:tcPr>
            <w:tcW w:w="2410" w:type="dxa"/>
            <w:tcBorders>
              <w:top w:val="single" w:sz="8" w:space="0" w:color="000000"/>
              <w:left w:val="single" w:sz="8" w:space="0" w:color="000000"/>
              <w:bottom w:val="single" w:sz="8" w:space="0" w:color="000000"/>
              <w:right w:val="single" w:sz="8" w:space="0" w:color="000000"/>
            </w:tcBorders>
          </w:tcPr>
          <w:p w:rsidR="00E56335" w:rsidRPr="009C59C0" w:rsidRDefault="00E56335" w:rsidP="00015D4C">
            <w:pPr>
              <w:pStyle w:val="Tabletext"/>
              <w:rPr>
                <w:rFonts w:asciiTheme="majorBidi" w:hAnsiTheme="majorBidi" w:cstheme="majorBidi"/>
                <w:szCs w:val="22"/>
                <w:lang w:val="fr-FR"/>
              </w:rPr>
            </w:pPr>
            <w:r w:rsidRPr="009C59C0">
              <w:rPr>
                <w:rFonts w:asciiTheme="majorBidi" w:hAnsiTheme="majorBidi" w:cstheme="majorBidi"/>
                <w:szCs w:val="22"/>
                <w:lang w:val="fr-FR"/>
              </w:rPr>
              <w:t xml:space="preserve">&gt;3 GHz-14 GHz </w:t>
            </w:r>
          </w:p>
        </w:tc>
        <w:tc>
          <w:tcPr>
            <w:tcW w:w="1491" w:type="dxa"/>
            <w:tcBorders>
              <w:top w:val="single" w:sz="8" w:space="0" w:color="000000"/>
              <w:left w:val="single" w:sz="8" w:space="0" w:color="000000"/>
              <w:bottom w:val="single" w:sz="8" w:space="0" w:color="000000"/>
              <w:right w:val="single" w:sz="4" w:space="0" w:color="auto"/>
            </w:tcBorders>
          </w:tcPr>
          <w:p w:rsidR="00E56335" w:rsidRPr="009C59C0" w:rsidRDefault="00E56335" w:rsidP="00015D4C">
            <w:pPr>
              <w:pStyle w:val="Tabletext"/>
              <w:jc w:val="center"/>
              <w:rPr>
                <w:rFonts w:asciiTheme="majorBidi" w:hAnsiTheme="majorBidi" w:cstheme="majorBidi"/>
                <w:szCs w:val="22"/>
                <w:lang w:val="fr-FR"/>
              </w:rPr>
            </w:pPr>
            <w:r w:rsidRPr="009C59C0">
              <w:rPr>
                <w:rFonts w:asciiTheme="majorBidi" w:hAnsiTheme="majorBidi" w:cstheme="majorBidi"/>
                <w:szCs w:val="22"/>
                <w:lang w:val="fr-FR"/>
              </w:rPr>
              <w:t>3</w:t>
            </w:r>
          </w:p>
        </w:tc>
        <w:tc>
          <w:tcPr>
            <w:tcW w:w="1247" w:type="dxa"/>
            <w:tcBorders>
              <w:top w:val="nil"/>
              <w:left w:val="single" w:sz="4" w:space="0" w:color="auto"/>
              <w:bottom w:val="nil"/>
              <w:right w:val="single" w:sz="4" w:space="0" w:color="auto"/>
            </w:tcBorders>
          </w:tcPr>
          <w:p w:rsidR="00E56335" w:rsidRPr="009C59C0" w:rsidRDefault="00E56335" w:rsidP="00015D4C">
            <w:pPr>
              <w:pStyle w:val="Tabletext"/>
              <w:rPr>
                <w:rFonts w:asciiTheme="majorBidi" w:hAnsiTheme="majorBidi" w:cstheme="majorBidi"/>
                <w:szCs w:val="22"/>
                <w:lang w:val="fr-FR"/>
              </w:rPr>
            </w:pPr>
          </w:p>
        </w:tc>
        <w:tc>
          <w:tcPr>
            <w:tcW w:w="2127" w:type="dxa"/>
            <w:tcBorders>
              <w:top w:val="single" w:sz="8" w:space="0" w:color="000000"/>
              <w:left w:val="single" w:sz="4" w:space="0" w:color="auto"/>
              <w:bottom w:val="single" w:sz="8" w:space="0" w:color="000000"/>
              <w:right w:val="single" w:sz="8" w:space="0" w:color="000000"/>
            </w:tcBorders>
          </w:tcPr>
          <w:p w:rsidR="00E56335" w:rsidRPr="009C59C0" w:rsidRDefault="00E56335" w:rsidP="00015D4C">
            <w:pPr>
              <w:pStyle w:val="Tabletext"/>
              <w:rPr>
                <w:rFonts w:asciiTheme="majorBidi" w:hAnsiTheme="majorBidi" w:cstheme="majorBidi"/>
                <w:szCs w:val="22"/>
                <w:lang w:val="fr-FR"/>
              </w:rPr>
            </w:pPr>
            <w:r w:rsidRPr="009C59C0">
              <w:rPr>
                <w:rFonts w:asciiTheme="majorBidi" w:hAnsiTheme="majorBidi" w:cstheme="majorBidi"/>
                <w:szCs w:val="22"/>
                <w:lang w:val="fr-FR"/>
              </w:rPr>
              <w:t xml:space="preserve">&gt;7 MHz-28 MHz </w:t>
            </w:r>
          </w:p>
        </w:tc>
        <w:tc>
          <w:tcPr>
            <w:tcW w:w="1769" w:type="dxa"/>
            <w:tcBorders>
              <w:top w:val="single" w:sz="8" w:space="0" w:color="000000"/>
              <w:left w:val="single" w:sz="8" w:space="0" w:color="000000"/>
              <w:bottom w:val="single" w:sz="8" w:space="0" w:color="000000"/>
              <w:right w:val="single" w:sz="8" w:space="0" w:color="000000"/>
            </w:tcBorders>
          </w:tcPr>
          <w:p w:rsidR="00E56335" w:rsidRPr="009C59C0" w:rsidRDefault="00E56335" w:rsidP="00015D4C">
            <w:pPr>
              <w:pStyle w:val="Tabletext"/>
              <w:jc w:val="center"/>
              <w:rPr>
                <w:rFonts w:asciiTheme="majorBidi" w:hAnsiTheme="majorBidi" w:cstheme="majorBidi"/>
                <w:szCs w:val="22"/>
                <w:lang w:val="fr-FR"/>
              </w:rPr>
            </w:pPr>
            <w:r w:rsidRPr="009C59C0">
              <w:rPr>
                <w:rFonts w:asciiTheme="majorBidi" w:hAnsiTheme="majorBidi" w:cstheme="majorBidi"/>
                <w:szCs w:val="22"/>
                <w:lang w:val="fr-FR"/>
              </w:rPr>
              <w:t>2</w:t>
            </w:r>
          </w:p>
        </w:tc>
      </w:tr>
      <w:tr w:rsidR="00E56335" w:rsidRPr="00850A0F" w:rsidTr="00015D4C">
        <w:trPr>
          <w:trHeight w:val="319"/>
        </w:trPr>
        <w:tc>
          <w:tcPr>
            <w:tcW w:w="2410" w:type="dxa"/>
            <w:tcBorders>
              <w:top w:val="single" w:sz="8" w:space="0" w:color="000000"/>
              <w:left w:val="single" w:sz="8" w:space="0" w:color="000000"/>
              <w:bottom w:val="single" w:sz="8" w:space="0" w:color="000000"/>
              <w:right w:val="single" w:sz="8" w:space="0" w:color="000000"/>
            </w:tcBorders>
          </w:tcPr>
          <w:p w:rsidR="00E56335" w:rsidRPr="009C59C0" w:rsidRDefault="00E56335" w:rsidP="00015D4C">
            <w:pPr>
              <w:pStyle w:val="Tabletext"/>
              <w:rPr>
                <w:rFonts w:asciiTheme="majorBidi" w:hAnsiTheme="majorBidi" w:cstheme="majorBidi"/>
                <w:szCs w:val="22"/>
                <w:lang w:val="fr-FR"/>
              </w:rPr>
            </w:pPr>
            <w:r w:rsidRPr="009C59C0">
              <w:rPr>
                <w:rFonts w:asciiTheme="majorBidi" w:hAnsiTheme="majorBidi" w:cstheme="majorBidi"/>
                <w:szCs w:val="22"/>
                <w:lang w:val="fr-FR"/>
              </w:rPr>
              <w:t xml:space="preserve">&gt;14 GHz-40 GHz </w:t>
            </w:r>
          </w:p>
        </w:tc>
        <w:tc>
          <w:tcPr>
            <w:tcW w:w="1491" w:type="dxa"/>
            <w:tcBorders>
              <w:top w:val="single" w:sz="8" w:space="0" w:color="000000"/>
              <w:left w:val="single" w:sz="8" w:space="0" w:color="000000"/>
              <w:bottom w:val="single" w:sz="8" w:space="0" w:color="000000"/>
              <w:right w:val="single" w:sz="4" w:space="0" w:color="auto"/>
            </w:tcBorders>
          </w:tcPr>
          <w:p w:rsidR="00E56335" w:rsidRPr="009C59C0" w:rsidRDefault="00E56335" w:rsidP="00015D4C">
            <w:pPr>
              <w:pStyle w:val="Tabletext"/>
              <w:jc w:val="center"/>
              <w:rPr>
                <w:rFonts w:asciiTheme="majorBidi" w:hAnsiTheme="majorBidi" w:cstheme="majorBidi"/>
                <w:szCs w:val="22"/>
                <w:lang w:val="fr-FR"/>
              </w:rPr>
            </w:pPr>
            <w:r w:rsidRPr="009C59C0">
              <w:rPr>
                <w:rFonts w:asciiTheme="majorBidi" w:hAnsiTheme="majorBidi" w:cstheme="majorBidi"/>
                <w:szCs w:val="22"/>
                <w:lang w:val="fr-FR"/>
              </w:rPr>
              <w:t>2</w:t>
            </w:r>
          </w:p>
        </w:tc>
        <w:tc>
          <w:tcPr>
            <w:tcW w:w="1247" w:type="dxa"/>
            <w:tcBorders>
              <w:top w:val="nil"/>
              <w:left w:val="single" w:sz="4" w:space="0" w:color="auto"/>
              <w:bottom w:val="nil"/>
              <w:right w:val="single" w:sz="4" w:space="0" w:color="auto"/>
            </w:tcBorders>
          </w:tcPr>
          <w:p w:rsidR="00E56335" w:rsidRPr="009C59C0" w:rsidRDefault="00E56335" w:rsidP="00015D4C">
            <w:pPr>
              <w:pStyle w:val="Tabletext"/>
              <w:rPr>
                <w:rFonts w:asciiTheme="majorBidi" w:hAnsiTheme="majorBidi" w:cstheme="majorBidi"/>
                <w:szCs w:val="22"/>
                <w:lang w:val="fr-FR"/>
              </w:rPr>
            </w:pPr>
          </w:p>
        </w:tc>
        <w:tc>
          <w:tcPr>
            <w:tcW w:w="2127" w:type="dxa"/>
            <w:tcBorders>
              <w:top w:val="single" w:sz="8" w:space="0" w:color="000000"/>
              <w:left w:val="single" w:sz="4" w:space="0" w:color="auto"/>
              <w:bottom w:val="single" w:sz="8" w:space="0" w:color="000000"/>
              <w:right w:val="single" w:sz="8" w:space="0" w:color="000000"/>
            </w:tcBorders>
          </w:tcPr>
          <w:p w:rsidR="00E56335" w:rsidRPr="009C59C0" w:rsidRDefault="00E56335" w:rsidP="00015D4C">
            <w:pPr>
              <w:pStyle w:val="Tabletext"/>
              <w:rPr>
                <w:rFonts w:asciiTheme="majorBidi" w:hAnsiTheme="majorBidi" w:cstheme="majorBidi"/>
                <w:szCs w:val="22"/>
                <w:lang w:val="fr-FR"/>
              </w:rPr>
            </w:pPr>
            <w:r w:rsidRPr="009C59C0">
              <w:rPr>
                <w:rFonts w:asciiTheme="majorBidi" w:hAnsiTheme="majorBidi" w:cstheme="majorBidi"/>
                <w:szCs w:val="22"/>
                <w:lang w:val="fr-FR"/>
              </w:rPr>
              <w:t xml:space="preserve">&gt;28 MHz-56 MHz </w:t>
            </w:r>
          </w:p>
        </w:tc>
        <w:tc>
          <w:tcPr>
            <w:tcW w:w="1769" w:type="dxa"/>
            <w:tcBorders>
              <w:top w:val="single" w:sz="8" w:space="0" w:color="000000"/>
              <w:left w:val="single" w:sz="8" w:space="0" w:color="000000"/>
              <w:bottom w:val="single" w:sz="8" w:space="0" w:color="000000"/>
              <w:right w:val="single" w:sz="8" w:space="0" w:color="000000"/>
            </w:tcBorders>
          </w:tcPr>
          <w:p w:rsidR="00E56335" w:rsidRPr="009C59C0" w:rsidRDefault="00E56335" w:rsidP="00015D4C">
            <w:pPr>
              <w:pStyle w:val="Tabletext"/>
              <w:jc w:val="center"/>
              <w:rPr>
                <w:rFonts w:asciiTheme="majorBidi" w:hAnsiTheme="majorBidi" w:cstheme="majorBidi"/>
                <w:szCs w:val="22"/>
                <w:lang w:val="fr-FR"/>
              </w:rPr>
            </w:pPr>
            <w:r w:rsidRPr="009C59C0">
              <w:rPr>
                <w:rFonts w:asciiTheme="majorBidi" w:hAnsiTheme="majorBidi" w:cstheme="majorBidi"/>
                <w:szCs w:val="22"/>
                <w:lang w:val="fr-FR"/>
              </w:rPr>
              <w:t>3</w:t>
            </w:r>
          </w:p>
        </w:tc>
      </w:tr>
      <w:tr w:rsidR="00E56335" w:rsidRPr="00850A0F" w:rsidTr="00015D4C">
        <w:trPr>
          <w:trHeight w:val="319"/>
        </w:trPr>
        <w:tc>
          <w:tcPr>
            <w:tcW w:w="2410" w:type="dxa"/>
            <w:tcBorders>
              <w:top w:val="single" w:sz="8" w:space="0" w:color="000000"/>
              <w:left w:val="single" w:sz="8" w:space="0" w:color="000000"/>
              <w:bottom w:val="single" w:sz="8" w:space="0" w:color="000000"/>
              <w:right w:val="single" w:sz="8" w:space="0" w:color="000000"/>
            </w:tcBorders>
          </w:tcPr>
          <w:p w:rsidR="00E56335" w:rsidRPr="009C59C0" w:rsidRDefault="00E56335" w:rsidP="00015D4C">
            <w:pPr>
              <w:pStyle w:val="Tabletext"/>
              <w:rPr>
                <w:rFonts w:asciiTheme="majorBidi" w:hAnsiTheme="majorBidi" w:cstheme="majorBidi"/>
                <w:szCs w:val="22"/>
                <w:lang w:val="fr-FR"/>
              </w:rPr>
            </w:pPr>
            <w:r w:rsidRPr="009C59C0">
              <w:rPr>
                <w:rFonts w:asciiTheme="majorBidi" w:hAnsiTheme="majorBidi" w:cstheme="majorBidi"/>
                <w:szCs w:val="22"/>
                <w:lang w:val="fr-FR"/>
              </w:rPr>
              <w:t xml:space="preserve">Au-dessus de 40 GHz </w:t>
            </w:r>
          </w:p>
        </w:tc>
        <w:tc>
          <w:tcPr>
            <w:tcW w:w="1491" w:type="dxa"/>
            <w:tcBorders>
              <w:top w:val="single" w:sz="8" w:space="0" w:color="000000"/>
              <w:left w:val="single" w:sz="8" w:space="0" w:color="000000"/>
              <w:bottom w:val="single" w:sz="8" w:space="0" w:color="000000"/>
              <w:right w:val="single" w:sz="4" w:space="0" w:color="auto"/>
            </w:tcBorders>
          </w:tcPr>
          <w:p w:rsidR="00E56335" w:rsidRPr="009C59C0" w:rsidRDefault="00E56335" w:rsidP="00015D4C">
            <w:pPr>
              <w:pStyle w:val="Tabletext"/>
              <w:jc w:val="center"/>
              <w:rPr>
                <w:rFonts w:asciiTheme="majorBidi" w:hAnsiTheme="majorBidi" w:cstheme="majorBidi"/>
                <w:szCs w:val="22"/>
                <w:lang w:val="fr-FR"/>
              </w:rPr>
            </w:pPr>
            <w:r w:rsidRPr="009C59C0">
              <w:rPr>
                <w:rFonts w:asciiTheme="majorBidi" w:hAnsiTheme="majorBidi" w:cstheme="majorBidi"/>
                <w:szCs w:val="22"/>
                <w:lang w:val="fr-FR"/>
              </w:rPr>
              <w:t>1</w:t>
            </w:r>
          </w:p>
        </w:tc>
        <w:tc>
          <w:tcPr>
            <w:tcW w:w="1247" w:type="dxa"/>
            <w:tcBorders>
              <w:top w:val="nil"/>
              <w:left w:val="single" w:sz="4" w:space="0" w:color="auto"/>
              <w:bottom w:val="nil"/>
              <w:right w:val="single" w:sz="4" w:space="0" w:color="auto"/>
            </w:tcBorders>
          </w:tcPr>
          <w:p w:rsidR="00E56335" w:rsidRPr="009C59C0" w:rsidRDefault="00E56335" w:rsidP="00015D4C">
            <w:pPr>
              <w:pStyle w:val="Tabletext"/>
              <w:rPr>
                <w:rFonts w:asciiTheme="majorBidi" w:hAnsiTheme="majorBidi" w:cstheme="majorBidi"/>
                <w:szCs w:val="22"/>
                <w:lang w:val="fr-FR"/>
              </w:rPr>
            </w:pPr>
          </w:p>
        </w:tc>
        <w:tc>
          <w:tcPr>
            <w:tcW w:w="2127" w:type="dxa"/>
            <w:tcBorders>
              <w:top w:val="single" w:sz="8" w:space="0" w:color="000000"/>
              <w:left w:val="single" w:sz="4" w:space="0" w:color="auto"/>
              <w:bottom w:val="single" w:sz="8" w:space="0" w:color="000000"/>
              <w:right w:val="single" w:sz="8" w:space="0" w:color="000000"/>
            </w:tcBorders>
          </w:tcPr>
          <w:p w:rsidR="00E56335" w:rsidRPr="009C59C0" w:rsidRDefault="00E56335" w:rsidP="00015D4C">
            <w:pPr>
              <w:pStyle w:val="Tabletext"/>
              <w:rPr>
                <w:rFonts w:asciiTheme="majorBidi" w:hAnsiTheme="majorBidi" w:cstheme="majorBidi"/>
                <w:szCs w:val="22"/>
                <w:lang w:val="fr-FR"/>
              </w:rPr>
            </w:pPr>
            <w:r w:rsidRPr="009C59C0">
              <w:rPr>
                <w:rFonts w:asciiTheme="majorBidi" w:hAnsiTheme="majorBidi" w:cstheme="majorBidi"/>
                <w:szCs w:val="22"/>
                <w:lang w:val="fr-FR"/>
              </w:rPr>
              <w:t xml:space="preserve">Supérieure à 56 MHz </w:t>
            </w:r>
          </w:p>
        </w:tc>
        <w:tc>
          <w:tcPr>
            <w:tcW w:w="1769" w:type="dxa"/>
            <w:tcBorders>
              <w:top w:val="single" w:sz="8" w:space="0" w:color="000000"/>
              <w:left w:val="single" w:sz="8" w:space="0" w:color="000000"/>
              <w:bottom w:val="single" w:sz="8" w:space="0" w:color="000000"/>
              <w:right w:val="single" w:sz="8" w:space="0" w:color="000000"/>
            </w:tcBorders>
          </w:tcPr>
          <w:p w:rsidR="00E56335" w:rsidRPr="009C59C0" w:rsidRDefault="00E56335" w:rsidP="00015D4C">
            <w:pPr>
              <w:pStyle w:val="Tabletext"/>
              <w:jc w:val="center"/>
              <w:rPr>
                <w:rFonts w:asciiTheme="majorBidi" w:hAnsiTheme="majorBidi" w:cstheme="majorBidi"/>
                <w:szCs w:val="22"/>
                <w:lang w:val="fr-FR"/>
              </w:rPr>
            </w:pPr>
            <w:r w:rsidRPr="009C59C0">
              <w:rPr>
                <w:rFonts w:asciiTheme="majorBidi" w:hAnsiTheme="majorBidi" w:cstheme="majorBidi"/>
                <w:szCs w:val="22"/>
                <w:lang w:val="fr-FR"/>
              </w:rPr>
              <w:t>4</w:t>
            </w:r>
          </w:p>
        </w:tc>
      </w:tr>
    </w:tbl>
    <w:p w:rsidR="00E56335" w:rsidRPr="00F50942" w:rsidRDefault="00E56335" w:rsidP="00E56335">
      <w:pPr>
        <w:pStyle w:val="FigureSource"/>
      </w:pPr>
    </w:p>
    <w:p w:rsidR="00E56335" w:rsidRDefault="00E56335" w:rsidP="00E56335">
      <w:pPr>
        <w:pStyle w:val="enumlev1"/>
        <w:rPr>
          <w:rFonts w:ascii="Verdana" w:hAnsi="Verdana"/>
          <w:sz w:val="19"/>
          <w:szCs w:val="19"/>
        </w:rPr>
      </w:pPr>
    </w:p>
    <w:p w:rsidR="00E56335" w:rsidRPr="00E04915" w:rsidRDefault="00E56335" w:rsidP="008E2BAC">
      <w:pPr>
        <w:pStyle w:val="enumlev1"/>
        <w:spacing w:before="80"/>
        <w:rPr>
          <w:rFonts w:asciiTheme="majorBidi" w:hAnsiTheme="majorBidi" w:cstheme="majorBidi"/>
          <w:szCs w:val="22"/>
        </w:rPr>
      </w:pPr>
      <w:r w:rsidRPr="00E04915">
        <w:rPr>
          <w:rFonts w:asciiTheme="majorBidi" w:hAnsiTheme="majorBidi" w:cstheme="majorBidi"/>
          <w:szCs w:val="22"/>
        </w:rPr>
        <w:t>13.2</w:t>
      </w:r>
      <w:r w:rsidRPr="00E04915">
        <w:rPr>
          <w:rFonts w:asciiTheme="majorBidi" w:hAnsiTheme="majorBidi" w:cstheme="majorBidi"/>
          <w:szCs w:val="22"/>
        </w:rPr>
        <w:tab/>
        <w:t>La largeur de bande pour chaque liaison fixe point à point au-dessus de 2 GHz est calculée sur la base de la largeur de bande du canal (par exemple, pour deux bandes de fréquences de 3,5 MHz chacune, soit 7 MHz, on a un coefficient de largeur de bande de 1). La diversité de fréquence est facturée comme une liaison séparée, mais sans supplément pour la diversité d'espace et l'exploitation en mode réserve active.</w:t>
      </w:r>
    </w:p>
    <w:p w:rsidR="00E56335" w:rsidRPr="00E04915" w:rsidRDefault="00E56335" w:rsidP="008E2BAC">
      <w:pPr>
        <w:pStyle w:val="enumlev1"/>
        <w:spacing w:before="80"/>
        <w:rPr>
          <w:rFonts w:asciiTheme="majorBidi" w:hAnsiTheme="majorBidi" w:cstheme="majorBidi"/>
          <w:szCs w:val="22"/>
        </w:rPr>
      </w:pPr>
      <w:r w:rsidRPr="00E04915">
        <w:rPr>
          <w:rFonts w:asciiTheme="majorBidi" w:hAnsiTheme="majorBidi" w:cstheme="majorBidi"/>
          <w:szCs w:val="22"/>
        </w:rPr>
        <w:t>13.3</w:t>
      </w:r>
      <w:r w:rsidRPr="00E04915">
        <w:rPr>
          <w:rFonts w:asciiTheme="majorBidi" w:hAnsiTheme="majorBidi" w:cstheme="majorBidi"/>
          <w:szCs w:val="22"/>
        </w:rPr>
        <w:tab/>
        <w:t>Dans des cas exceptionnels, lorsque deux bandes de fréquences sont assignées à toutes les liaisons point à point des Emirats arabes unis, au-dessus de 2 GHz, le montant annuel des droits d'utilisation du spectre est dix fois supérieur au montant fixé pour une seule liaison (en supposant que les mêmes paramètres s'appliquent), sur la base d'un coefficient de réutilisation égal à 10.</w:t>
      </w:r>
    </w:p>
    <w:p w:rsidR="00E56335" w:rsidRPr="00E04915" w:rsidRDefault="00E56335" w:rsidP="008E2BAC">
      <w:pPr>
        <w:pStyle w:val="enumlev1"/>
        <w:spacing w:before="80"/>
        <w:rPr>
          <w:rFonts w:asciiTheme="majorBidi" w:hAnsiTheme="majorBidi" w:cstheme="majorBidi"/>
          <w:szCs w:val="22"/>
        </w:rPr>
      </w:pPr>
      <w:r w:rsidRPr="00E04915">
        <w:rPr>
          <w:rFonts w:asciiTheme="majorBidi" w:hAnsiTheme="majorBidi" w:cstheme="majorBidi"/>
          <w:szCs w:val="22"/>
        </w:rPr>
        <w:t>13.4</w:t>
      </w:r>
      <w:r w:rsidRPr="00E04915">
        <w:rPr>
          <w:rFonts w:asciiTheme="majorBidi" w:hAnsiTheme="majorBidi" w:cstheme="majorBidi"/>
          <w:szCs w:val="22"/>
        </w:rPr>
        <w:tab/>
        <w:t xml:space="preserve">Le montant annuel des droits d'utilisation du spectre pour chaque liaison fixe point à point en ondes décamétriques au-dessous de 30 MHz est calculé comme suit: </w:t>
      </w:r>
    </w:p>
    <w:p w:rsidR="00E56335" w:rsidRPr="001C00F5" w:rsidRDefault="00E56335" w:rsidP="00E56335">
      <w:pPr>
        <w:jc w:val="center"/>
        <w:rPr>
          <w:b/>
          <w:bCs/>
          <w:lang w:val="fr-FR"/>
        </w:rPr>
      </w:pPr>
      <w:r w:rsidRPr="001C00F5">
        <w:rPr>
          <w:b/>
          <w:lang w:val="fr-FR"/>
        </w:rPr>
        <w:t>Droits à acquitter = BW x 1000</w:t>
      </w:r>
    </w:p>
    <w:p w:rsidR="00E56335" w:rsidRPr="001C00F5" w:rsidRDefault="00E56335" w:rsidP="00E56335">
      <w:pPr>
        <w:ind w:left="794" w:hanging="794"/>
        <w:rPr>
          <w:lang w:val="fr-FR"/>
        </w:rPr>
      </w:pPr>
      <w:r w:rsidRPr="001C00F5">
        <w:rPr>
          <w:lang w:val="fr-FR"/>
        </w:rPr>
        <w:tab/>
        <w:t>Le coefficient BW étant exprimé en kHz pour tous les canaux sur cette liaison</w:t>
      </w:r>
    </w:p>
    <w:p w:rsidR="00E56335" w:rsidRPr="00E04915" w:rsidRDefault="00E56335" w:rsidP="00E56335">
      <w:pPr>
        <w:pStyle w:val="enumlev1"/>
        <w:rPr>
          <w:rFonts w:asciiTheme="majorBidi" w:hAnsiTheme="majorBidi" w:cstheme="majorBidi"/>
          <w:szCs w:val="22"/>
        </w:rPr>
      </w:pPr>
      <w:r w:rsidRPr="00E04915">
        <w:rPr>
          <w:rFonts w:asciiTheme="majorBidi" w:hAnsiTheme="majorBidi" w:cstheme="majorBidi"/>
          <w:szCs w:val="22"/>
        </w:rPr>
        <w:t>13.5</w:t>
      </w:r>
      <w:r w:rsidRPr="00E04915">
        <w:rPr>
          <w:rFonts w:asciiTheme="majorBidi" w:hAnsiTheme="majorBidi" w:cstheme="majorBidi"/>
          <w:szCs w:val="22"/>
        </w:rPr>
        <w:tab/>
        <w:t xml:space="preserve">Le montant annuel des droits d'utilisation du spectre pour chaque liaison fixe point à point en ondes métriques et décimétriques au-dessous de 2 GHz est calculé comme suit: </w:t>
      </w:r>
    </w:p>
    <w:p w:rsidR="00E56335" w:rsidRPr="001C00F5" w:rsidRDefault="00E56335" w:rsidP="00E56335">
      <w:pPr>
        <w:pStyle w:val="Headingb"/>
        <w:jc w:val="center"/>
        <w:rPr>
          <w:lang w:val="fr-FR"/>
        </w:rPr>
      </w:pPr>
      <w:bookmarkStart w:id="479" w:name="_Toc225739484"/>
      <w:bookmarkStart w:id="480" w:name="_Toc225739828"/>
      <w:r w:rsidRPr="001C00F5">
        <w:rPr>
          <w:lang w:val="fr-FR"/>
        </w:rPr>
        <w:t>Droits à acquitter = BW x 500</w:t>
      </w:r>
      <w:bookmarkEnd w:id="479"/>
      <w:bookmarkEnd w:id="480"/>
    </w:p>
    <w:p w:rsidR="00E56335" w:rsidRPr="001C00F5" w:rsidRDefault="00E56335" w:rsidP="00E56335">
      <w:pPr>
        <w:ind w:left="794" w:hanging="794"/>
        <w:rPr>
          <w:lang w:val="fr-FR"/>
        </w:rPr>
      </w:pPr>
      <w:r w:rsidRPr="001C00F5">
        <w:rPr>
          <w:lang w:val="fr-FR"/>
        </w:rPr>
        <w:tab/>
        <w:t>Le coefficient BW étant exprimé en kHz pour tous les canaux sur cette liaison</w:t>
      </w:r>
    </w:p>
    <w:p w:rsidR="00E56335" w:rsidRPr="000A0926" w:rsidRDefault="00E56335" w:rsidP="00E56335">
      <w:pPr>
        <w:pStyle w:val="Arttitle"/>
        <w:spacing w:before="400"/>
      </w:pPr>
      <w:bookmarkStart w:id="481" w:name="_Toc225739485"/>
      <w:bookmarkStart w:id="482" w:name="_Toc225739829"/>
      <w:bookmarkStart w:id="483" w:name="_Toc280262371"/>
      <w:bookmarkStart w:id="484" w:name="_Toc280272765"/>
      <w:bookmarkStart w:id="485" w:name="_Toc280272944"/>
      <w:r>
        <w:lastRenderedPageBreak/>
        <w:t xml:space="preserve">Article </w:t>
      </w:r>
      <w:r w:rsidRPr="000A0926">
        <w:t>14</w:t>
      </w:r>
      <w:bookmarkEnd w:id="481"/>
      <w:bookmarkEnd w:id="482"/>
      <w:r w:rsidRPr="000A0926">
        <w:br/>
      </w:r>
      <w:r w:rsidRPr="000A0926">
        <w:br/>
      </w:r>
      <w:bookmarkStart w:id="486" w:name="_Toc225739486"/>
      <w:bookmarkStart w:id="487" w:name="_Toc225739830"/>
      <w:r w:rsidRPr="000A0926">
        <w:t xml:space="preserve">Droits d'utilisation du spectre à acquitter pour l'accès hertzien fixe, </w:t>
      </w:r>
      <w:r w:rsidRPr="000A0926">
        <w:br/>
        <w:t>les systèmes de surveillance et d'acquisition de données (SCADA),</w:t>
      </w:r>
      <w:r w:rsidRPr="000A0926">
        <w:br/>
        <w:t>la télémesure et les réseaux maillés</w:t>
      </w:r>
      <w:bookmarkEnd w:id="483"/>
      <w:bookmarkEnd w:id="484"/>
      <w:bookmarkEnd w:id="485"/>
      <w:bookmarkEnd w:id="486"/>
      <w:bookmarkEnd w:id="487"/>
    </w:p>
    <w:p w:rsidR="00E56335" w:rsidRPr="007B0403" w:rsidRDefault="00E56335" w:rsidP="00794700">
      <w:pPr>
        <w:pStyle w:val="enumlev1"/>
        <w:spacing w:before="80"/>
        <w:rPr>
          <w:rFonts w:asciiTheme="majorBidi" w:hAnsiTheme="majorBidi" w:cstheme="majorBidi"/>
          <w:szCs w:val="22"/>
        </w:rPr>
      </w:pPr>
      <w:r w:rsidRPr="007B0403">
        <w:rPr>
          <w:rFonts w:asciiTheme="majorBidi" w:hAnsiTheme="majorBidi" w:cstheme="majorBidi"/>
          <w:szCs w:val="22"/>
        </w:rPr>
        <w:t>14.1</w:t>
      </w:r>
      <w:r w:rsidRPr="007B0403">
        <w:rPr>
          <w:rFonts w:asciiTheme="majorBidi" w:hAnsiTheme="majorBidi" w:cstheme="majorBidi"/>
          <w:szCs w:val="22"/>
        </w:rPr>
        <w:tab/>
        <w:t xml:space="preserve">Le montant annuel des droits d'utilisation du spectre à acquitter pour l'accès hertzien fixe (y compris l'accès à la boucle locale hertzienne et l'accès point à multipoint), les systèmes SCADA, la télémesure et les réseaux maillés, au-dessous de 1 GHz, est calculé comme suit: </w:t>
      </w:r>
    </w:p>
    <w:p w:rsidR="00E56335" w:rsidRPr="001C00F5" w:rsidRDefault="00E56335" w:rsidP="00E56335">
      <w:pPr>
        <w:pStyle w:val="Headingb"/>
        <w:jc w:val="center"/>
        <w:rPr>
          <w:lang w:val="fr-FR"/>
        </w:rPr>
      </w:pPr>
      <w:bookmarkStart w:id="488" w:name="_Toc225739487"/>
      <w:bookmarkStart w:id="489" w:name="_Toc225739831"/>
      <w:r w:rsidRPr="001C00F5">
        <w:rPr>
          <w:lang w:val="fr-FR"/>
        </w:rPr>
        <w:t>Droits à acquitter = BW x 2000</w:t>
      </w:r>
      <w:bookmarkEnd w:id="488"/>
      <w:bookmarkEnd w:id="489"/>
    </w:p>
    <w:p w:rsidR="00E56335" w:rsidRPr="002654C0" w:rsidRDefault="00E56335" w:rsidP="00E56335">
      <w:pPr>
        <w:rPr>
          <w:rFonts w:asciiTheme="majorBidi" w:hAnsiTheme="majorBidi" w:cstheme="majorBidi"/>
          <w:szCs w:val="22"/>
        </w:rPr>
      </w:pPr>
      <w:r w:rsidRPr="002654C0">
        <w:rPr>
          <w:rFonts w:asciiTheme="majorBidi" w:hAnsiTheme="majorBidi" w:cstheme="majorBidi"/>
          <w:szCs w:val="22"/>
        </w:rPr>
        <w:tab/>
      </w:r>
      <w:r w:rsidRPr="002654C0">
        <w:rPr>
          <w:rFonts w:asciiTheme="majorBidi" w:hAnsiTheme="majorBidi" w:cstheme="majorBidi"/>
          <w:b/>
          <w:bCs/>
          <w:szCs w:val="22"/>
        </w:rPr>
        <w:t>BW</w:t>
      </w:r>
      <w:r w:rsidRPr="002654C0">
        <w:rPr>
          <w:rFonts w:asciiTheme="majorBidi" w:hAnsiTheme="majorBidi" w:cstheme="majorBidi"/>
          <w:szCs w:val="22"/>
        </w:rPr>
        <w:t xml:space="preserve"> étant la largeur de bande totale en kHz</w:t>
      </w:r>
    </w:p>
    <w:p w:rsidR="00E56335" w:rsidRPr="007B0403" w:rsidRDefault="00E56335" w:rsidP="00794700">
      <w:pPr>
        <w:pStyle w:val="enumlev1"/>
        <w:spacing w:before="80"/>
        <w:rPr>
          <w:rFonts w:asciiTheme="majorBidi" w:hAnsiTheme="majorBidi" w:cstheme="majorBidi"/>
          <w:szCs w:val="22"/>
        </w:rPr>
      </w:pPr>
      <w:r w:rsidRPr="007B0403">
        <w:rPr>
          <w:rFonts w:asciiTheme="majorBidi" w:hAnsiTheme="majorBidi" w:cstheme="majorBidi"/>
          <w:szCs w:val="22"/>
        </w:rPr>
        <w:t>14.2</w:t>
      </w:r>
      <w:r w:rsidRPr="007B0403">
        <w:rPr>
          <w:rFonts w:asciiTheme="majorBidi" w:hAnsiTheme="majorBidi" w:cstheme="majorBidi"/>
          <w:szCs w:val="22"/>
        </w:rPr>
        <w:tab/>
        <w:t xml:space="preserve">Le montant annuel des droits d'utilisation du spectre à acquitter pour l'accès hertzien fixe (y compris l'accès à la boucle locale hertzienne et les liaisons point à multipoint), les systèmes SCADA, l'accès fixe large bande et les réseaux maillés, entre 1 GHz et 4 GHz, est calculé comme suit: </w:t>
      </w:r>
    </w:p>
    <w:p w:rsidR="00E56335" w:rsidRPr="001C00F5" w:rsidRDefault="00E56335" w:rsidP="00E56335">
      <w:pPr>
        <w:jc w:val="center"/>
        <w:rPr>
          <w:color w:val="000000"/>
          <w:lang w:val="fr-FR"/>
        </w:rPr>
      </w:pPr>
      <w:r w:rsidRPr="001C00F5">
        <w:rPr>
          <w:b/>
          <w:lang w:val="fr-FR"/>
        </w:rPr>
        <w:t>Droits à acquitter</w:t>
      </w:r>
      <w:r w:rsidRPr="001C00F5">
        <w:rPr>
          <w:b/>
          <w:color w:val="000000"/>
          <w:lang w:val="fr-FR"/>
        </w:rPr>
        <w:t xml:space="preserve"> = BW x CF x 5</w:t>
      </w:r>
    </w:p>
    <w:p w:rsidR="00E56335" w:rsidRPr="001C00F5" w:rsidRDefault="00E56335" w:rsidP="00E56335">
      <w:pPr>
        <w:ind w:firstLine="720"/>
        <w:rPr>
          <w:color w:val="000000"/>
          <w:lang w:val="fr-FR"/>
        </w:rPr>
      </w:pPr>
      <w:r w:rsidRPr="001C00F5">
        <w:rPr>
          <w:b/>
          <w:color w:val="000000"/>
          <w:lang w:val="fr-FR"/>
        </w:rPr>
        <w:t>BW</w:t>
      </w:r>
      <w:r w:rsidRPr="001C00F5">
        <w:rPr>
          <w:color w:val="000000"/>
          <w:lang w:val="fr-FR"/>
        </w:rPr>
        <w:t xml:space="preserve"> étant la l</w:t>
      </w:r>
      <w:r w:rsidRPr="001C00F5">
        <w:rPr>
          <w:lang w:val="fr-FR"/>
        </w:rPr>
        <w:t>argeur de bande totale en MHz</w:t>
      </w:r>
    </w:p>
    <w:p w:rsidR="00E56335" w:rsidRDefault="00E56335" w:rsidP="00E56335">
      <w:pPr>
        <w:spacing w:after="360"/>
        <w:ind w:left="720"/>
        <w:rPr>
          <w:color w:val="000000"/>
          <w:lang w:val="fr-FR"/>
        </w:rPr>
      </w:pPr>
      <w:r w:rsidRPr="001C00F5">
        <w:rPr>
          <w:b/>
          <w:color w:val="000000"/>
          <w:lang w:val="fr-FR"/>
        </w:rPr>
        <w:t>CF</w:t>
      </w:r>
      <w:r w:rsidRPr="001C00F5">
        <w:rPr>
          <w:color w:val="000000"/>
          <w:lang w:val="fr-FR"/>
        </w:rPr>
        <w:t xml:space="preserve"> étant le</w:t>
      </w:r>
      <w:r w:rsidRPr="001C00F5">
        <w:rPr>
          <w:b/>
          <w:color w:val="000000"/>
          <w:lang w:val="fr-FR"/>
        </w:rPr>
        <w:t xml:space="preserve"> </w:t>
      </w:r>
      <w:r w:rsidRPr="00826F37">
        <w:rPr>
          <w:color w:val="000000"/>
          <w:lang w:val="fr-FR"/>
        </w:rPr>
        <w:t>c</w:t>
      </w:r>
      <w:r w:rsidRPr="001C00F5">
        <w:rPr>
          <w:color w:val="000000"/>
          <w:lang w:val="fr-FR"/>
        </w:rPr>
        <w:t>oefficient de couverture, en fonction de la zone géographique,</w:t>
      </w:r>
      <w:r>
        <w:rPr>
          <w:color w:val="000000"/>
          <w:lang w:val="fr-FR"/>
        </w:rPr>
        <w:t xml:space="preserve"> déterminé comme suit:</w:t>
      </w:r>
    </w:p>
    <w:p w:rsidR="00E56335" w:rsidRPr="00F50942" w:rsidRDefault="00E56335" w:rsidP="00E56335">
      <w:pPr>
        <w:ind w:left="720"/>
        <w:rPr>
          <w:color w:val="000000"/>
          <w:szCs w:val="19"/>
        </w:rPr>
      </w:pPr>
    </w:p>
    <w:p w:rsidR="00E56335" w:rsidRPr="00F50942" w:rsidRDefault="00E56335" w:rsidP="00E56335">
      <w:pPr>
        <w:pStyle w:val="FigureTitle"/>
      </w:pPr>
    </w:p>
    <w:tbl>
      <w:tblPr>
        <w:tblW w:w="0" w:type="auto"/>
        <w:jc w:val="center"/>
        <w:tblInd w:w="925" w:type="dxa"/>
        <w:tblBorders>
          <w:top w:val="nil"/>
          <w:left w:val="nil"/>
          <w:bottom w:val="nil"/>
          <w:right w:val="nil"/>
        </w:tblBorders>
        <w:tblLook w:val="0000"/>
      </w:tblPr>
      <w:tblGrid>
        <w:gridCol w:w="693"/>
        <w:gridCol w:w="1475"/>
        <w:gridCol w:w="1107"/>
        <w:gridCol w:w="3119"/>
        <w:gridCol w:w="1555"/>
      </w:tblGrid>
      <w:tr w:rsidR="00E56335" w:rsidRPr="007E2B73" w:rsidTr="00015D4C">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E56335" w:rsidRPr="00083040" w:rsidRDefault="00E56335" w:rsidP="00015D4C">
            <w:pPr>
              <w:pStyle w:val="Tablehead"/>
              <w:rPr>
                <w:rFonts w:asciiTheme="majorBidi" w:hAnsiTheme="majorBidi" w:cstheme="majorBidi"/>
                <w:szCs w:val="22"/>
                <w:lang w:val="fr-FR"/>
              </w:rPr>
            </w:pPr>
            <w:r w:rsidRPr="00083040">
              <w:rPr>
                <w:rFonts w:asciiTheme="majorBidi" w:hAnsiTheme="majorBidi" w:cstheme="majorBidi"/>
                <w:szCs w:val="22"/>
                <w:lang w:val="fr-FR"/>
              </w:rPr>
              <w:t xml:space="preserve">Zone </w:t>
            </w:r>
          </w:p>
        </w:tc>
        <w:tc>
          <w:tcPr>
            <w:tcW w:w="1475" w:type="dxa"/>
            <w:tcBorders>
              <w:top w:val="single" w:sz="8" w:space="0" w:color="000000"/>
              <w:left w:val="single" w:sz="8" w:space="0" w:color="000000"/>
              <w:bottom w:val="single" w:sz="8" w:space="0" w:color="000000"/>
              <w:right w:val="single" w:sz="8" w:space="0" w:color="000000"/>
            </w:tcBorders>
          </w:tcPr>
          <w:p w:rsidR="00E56335" w:rsidRPr="00083040" w:rsidRDefault="00E56335" w:rsidP="00015D4C">
            <w:pPr>
              <w:pStyle w:val="Tablehead"/>
              <w:rPr>
                <w:rFonts w:asciiTheme="majorBidi" w:hAnsiTheme="majorBidi" w:cstheme="majorBidi"/>
                <w:szCs w:val="22"/>
                <w:lang w:val="fr-FR"/>
              </w:rPr>
            </w:pPr>
            <w:r w:rsidRPr="00083040">
              <w:rPr>
                <w:rFonts w:asciiTheme="majorBidi" w:hAnsiTheme="majorBidi" w:cstheme="majorBidi"/>
                <w:szCs w:val="22"/>
                <w:lang w:val="fr-FR"/>
              </w:rPr>
              <w:t>Zone rurale ou à l'intérieur de locaux</w:t>
            </w:r>
          </w:p>
        </w:tc>
        <w:tc>
          <w:tcPr>
            <w:tcW w:w="1107" w:type="dxa"/>
            <w:tcBorders>
              <w:top w:val="single" w:sz="8" w:space="0" w:color="000000"/>
              <w:left w:val="single" w:sz="8" w:space="0" w:color="000000"/>
              <w:bottom w:val="single" w:sz="8" w:space="0" w:color="000000"/>
              <w:right w:val="single" w:sz="8" w:space="0" w:color="000000"/>
            </w:tcBorders>
          </w:tcPr>
          <w:p w:rsidR="00E56335" w:rsidRPr="00083040" w:rsidRDefault="00E56335" w:rsidP="00015D4C">
            <w:pPr>
              <w:pStyle w:val="Tablehead"/>
              <w:rPr>
                <w:rFonts w:asciiTheme="majorBidi" w:hAnsiTheme="majorBidi" w:cstheme="majorBidi"/>
                <w:szCs w:val="22"/>
                <w:lang w:val="fr-FR"/>
              </w:rPr>
            </w:pPr>
            <w:r w:rsidRPr="00083040">
              <w:rPr>
                <w:rFonts w:asciiTheme="majorBidi" w:hAnsiTheme="majorBidi" w:cstheme="majorBidi"/>
                <w:szCs w:val="22"/>
                <w:lang w:val="fr-FR"/>
              </w:rPr>
              <w:t xml:space="preserve">Zone urbaine </w:t>
            </w:r>
          </w:p>
        </w:tc>
        <w:tc>
          <w:tcPr>
            <w:tcW w:w="3119" w:type="dxa"/>
            <w:tcBorders>
              <w:top w:val="single" w:sz="8" w:space="0" w:color="000000"/>
              <w:left w:val="single" w:sz="8" w:space="0" w:color="000000"/>
              <w:bottom w:val="single" w:sz="8" w:space="0" w:color="000000"/>
              <w:right w:val="single" w:sz="8" w:space="0" w:color="000000"/>
            </w:tcBorders>
          </w:tcPr>
          <w:p w:rsidR="00E56335" w:rsidRPr="00083040" w:rsidRDefault="00E56335" w:rsidP="00015D4C">
            <w:pPr>
              <w:pStyle w:val="Tablehead"/>
              <w:rPr>
                <w:rFonts w:asciiTheme="majorBidi" w:hAnsiTheme="majorBidi" w:cstheme="majorBidi"/>
                <w:szCs w:val="22"/>
                <w:lang w:val="fr-FR"/>
              </w:rPr>
            </w:pPr>
            <w:r w:rsidRPr="00083040">
              <w:rPr>
                <w:rFonts w:asciiTheme="majorBidi" w:hAnsiTheme="majorBidi" w:cstheme="majorBidi"/>
                <w:szCs w:val="22"/>
                <w:lang w:val="fr-FR"/>
              </w:rPr>
              <w:t>Ensemble des Emirats</w:t>
            </w:r>
          </w:p>
        </w:tc>
        <w:tc>
          <w:tcPr>
            <w:tcW w:w="1555" w:type="dxa"/>
            <w:tcBorders>
              <w:top w:val="single" w:sz="8" w:space="0" w:color="000000"/>
              <w:left w:val="single" w:sz="8" w:space="0" w:color="000000"/>
              <w:bottom w:val="single" w:sz="8" w:space="0" w:color="000000"/>
              <w:right w:val="single" w:sz="8" w:space="0" w:color="000000"/>
            </w:tcBorders>
          </w:tcPr>
          <w:p w:rsidR="00E56335" w:rsidRPr="00083040" w:rsidRDefault="00E56335" w:rsidP="00015D4C">
            <w:pPr>
              <w:pStyle w:val="Tablehead"/>
              <w:rPr>
                <w:rFonts w:asciiTheme="majorBidi" w:hAnsiTheme="majorBidi" w:cstheme="majorBidi"/>
                <w:szCs w:val="22"/>
                <w:lang w:val="fr-FR"/>
              </w:rPr>
            </w:pPr>
            <w:r w:rsidRPr="00083040">
              <w:rPr>
                <w:rFonts w:asciiTheme="majorBidi" w:hAnsiTheme="majorBidi" w:cstheme="majorBidi"/>
                <w:szCs w:val="22"/>
                <w:lang w:val="fr-FR"/>
              </w:rPr>
              <w:t xml:space="preserve">Totalité des Emirats arabes unis </w:t>
            </w:r>
          </w:p>
        </w:tc>
      </w:tr>
      <w:tr w:rsidR="00E56335" w:rsidRPr="00850A0F" w:rsidTr="00015D4C">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E56335" w:rsidRPr="00083040" w:rsidRDefault="00E56335" w:rsidP="00015D4C">
            <w:pPr>
              <w:pStyle w:val="Tabletext"/>
              <w:rPr>
                <w:rFonts w:asciiTheme="majorBidi" w:hAnsiTheme="majorBidi" w:cstheme="majorBidi"/>
                <w:szCs w:val="22"/>
                <w:lang w:val="fr-FR"/>
              </w:rPr>
            </w:pPr>
            <w:r w:rsidRPr="00083040">
              <w:rPr>
                <w:rFonts w:asciiTheme="majorBidi" w:hAnsiTheme="majorBidi" w:cstheme="majorBidi"/>
                <w:szCs w:val="22"/>
                <w:lang w:val="fr-FR"/>
              </w:rPr>
              <w:t xml:space="preserve">CF </w:t>
            </w:r>
          </w:p>
        </w:tc>
        <w:tc>
          <w:tcPr>
            <w:tcW w:w="1475" w:type="dxa"/>
            <w:tcBorders>
              <w:top w:val="single" w:sz="8" w:space="0" w:color="000000"/>
              <w:left w:val="single" w:sz="8" w:space="0" w:color="000000"/>
              <w:bottom w:val="single" w:sz="8" w:space="0" w:color="000000"/>
              <w:right w:val="single" w:sz="8" w:space="0" w:color="000000"/>
            </w:tcBorders>
          </w:tcPr>
          <w:p w:rsidR="00E56335" w:rsidRPr="00083040" w:rsidRDefault="00E56335" w:rsidP="00015D4C">
            <w:pPr>
              <w:pStyle w:val="Tabletext"/>
              <w:jc w:val="center"/>
              <w:rPr>
                <w:rFonts w:asciiTheme="majorBidi" w:hAnsiTheme="majorBidi" w:cstheme="majorBidi"/>
                <w:szCs w:val="22"/>
                <w:lang w:val="fr-FR"/>
              </w:rPr>
            </w:pPr>
            <w:r w:rsidRPr="00083040">
              <w:rPr>
                <w:rFonts w:asciiTheme="majorBidi" w:hAnsiTheme="majorBidi" w:cstheme="majorBidi"/>
                <w:szCs w:val="22"/>
                <w:lang w:val="fr-FR"/>
              </w:rPr>
              <w:t>100</w:t>
            </w:r>
          </w:p>
        </w:tc>
        <w:tc>
          <w:tcPr>
            <w:tcW w:w="1107" w:type="dxa"/>
            <w:tcBorders>
              <w:top w:val="single" w:sz="8" w:space="0" w:color="000000"/>
              <w:left w:val="single" w:sz="8" w:space="0" w:color="000000"/>
              <w:bottom w:val="single" w:sz="8" w:space="0" w:color="000000"/>
              <w:right w:val="single" w:sz="8" w:space="0" w:color="000000"/>
            </w:tcBorders>
          </w:tcPr>
          <w:p w:rsidR="00E56335" w:rsidRPr="00083040" w:rsidRDefault="00E56335" w:rsidP="00015D4C">
            <w:pPr>
              <w:pStyle w:val="Tabletext"/>
              <w:jc w:val="center"/>
              <w:rPr>
                <w:rFonts w:asciiTheme="majorBidi" w:hAnsiTheme="majorBidi" w:cstheme="majorBidi"/>
                <w:szCs w:val="22"/>
                <w:lang w:val="fr-FR"/>
              </w:rPr>
            </w:pPr>
            <w:r w:rsidRPr="00083040">
              <w:rPr>
                <w:rFonts w:asciiTheme="majorBidi" w:hAnsiTheme="majorBidi" w:cstheme="majorBidi"/>
                <w:szCs w:val="22"/>
                <w:lang w:val="fr-FR"/>
              </w:rPr>
              <w:t>500</w:t>
            </w:r>
          </w:p>
        </w:tc>
        <w:tc>
          <w:tcPr>
            <w:tcW w:w="3119" w:type="dxa"/>
            <w:tcBorders>
              <w:top w:val="single" w:sz="8" w:space="0" w:color="000000"/>
              <w:left w:val="single" w:sz="8" w:space="0" w:color="000000"/>
              <w:bottom w:val="single" w:sz="8" w:space="0" w:color="000000"/>
              <w:right w:val="single" w:sz="8" w:space="0" w:color="000000"/>
            </w:tcBorders>
          </w:tcPr>
          <w:p w:rsidR="00E56335" w:rsidRPr="00083040" w:rsidRDefault="00E56335" w:rsidP="00015D4C">
            <w:pPr>
              <w:pStyle w:val="Tabletext"/>
              <w:rPr>
                <w:rFonts w:asciiTheme="majorBidi" w:hAnsiTheme="majorBidi" w:cstheme="majorBidi"/>
                <w:szCs w:val="22"/>
                <w:lang w:val="fr-FR"/>
              </w:rPr>
            </w:pPr>
            <w:r w:rsidRPr="00083040">
              <w:rPr>
                <w:rFonts w:asciiTheme="majorBidi" w:hAnsiTheme="majorBidi" w:cstheme="majorBidi"/>
                <w:szCs w:val="22"/>
                <w:lang w:val="fr-FR"/>
              </w:rPr>
              <w:t>2 000 pour Abu Dhabi ou Dubaï</w:t>
            </w:r>
          </w:p>
          <w:p w:rsidR="00E56335" w:rsidRPr="00083040" w:rsidRDefault="00E56335" w:rsidP="00015D4C">
            <w:pPr>
              <w:pStyle w:val="Tabletext"/>
              <w:rPr>
                <w:rFonts w:asciiTheme="majorBidi" w:hAnsiTheme="majorBidi" w:cstheme="majorBidi"/>
                <w:szCs w:val="22"/>
                <w:lang w:val="fr-FR"/>
              </w:rPr>
            </w:pPr>
            <w:r w:rsidRPr="00083040">
              <w:rPr>
                <w:rFonts w:asciiTheme="majorBidi" w:hAnsiTheme="majorBidi" w:cstheme="majorBidi"/>
                <w:szCs w:val="22"/>
                <w:lang w:val="fr-FR"/>
              </w:rPr>
              <w:t>1 000 pour les autres Emirats</w:t>
            </w:r>
          </w:p>
        </w:tc>
        <w:tc>
          <w:tcPr>
            <w:tcW w:w="1555" w:type="dxa"/>
            <w:tcBorders>
              <w:top w:val="single" w:sz="8" w:space="0" w:color="000000"/>
              <w:left w:val="single" w:sz="8" w:space="0" w:color="000000"/>
              <w:bottom w:val="single" w:sz="8" w:space="0" w:color="000000"/>
              <w:right w:val="single" w:sz="8" w:space="0" w:color="000000"/>
            </w:tcBorders>
          </w:tcPr>
          <w:p w:rsidR="00E56335" w:rsidRPr="00083040" w:rsidRDefault="00E56335" w:rsidP="00015D4C">
            <w:pPr>
              <w:pStyle w:val="Tabletext"/>
              <w:rPr>
                <w:rFonts w:asciiTheme="majorBidi" w:hAnsiTheme="majorBidi" w:cstheme="majorBidi"/>
                <w:szCs w:val="22"/>
                <w:lang w:val="fr-FR"/>
              </w:rPr>
            </w:pPr>
            <w:r w:rsidRPr="00083040">
              <w:rPr>
                <w:rFonts w:asciiTheme="majorBidi" w:hAnsiTheme="majorBidi" w:cstheme="majorBidi"/>
                <w:szCs w:val="22"/>
                <w:lang w:val="fr-FR"/>
              </w:rPr>
              <w:t xml:space="preserve">4 000 </w:t>
            </w:r>
          </w:p>
        </w:tc>
      </w:tr>
    </w:tbl>
    <w:p w:rsidR="00E56335" w:rsidRDefault="00E56335" w:rsidP="00E56335">
      <w:pPr>
        <w:pStyle w:val="FigureSource"/>
      </w:pPr>
    </w:p>
    <w:p w:rsidR="00E56335" w:rsidRPr="00E123B8" w:rsidRDefault="00E56335" w:rsidP="00E56335">
      <w:pPr>
        <w:pStyle w:val="Arttitle"/>
        <w:spacing w:before="400"/>
      </w:pPr>
      <w:bookmarkStart w:id="490" w:name="_Toc225739488"/>
      <w:bookmarkStart w:id="491" w:name="_Toc225739832"/>
      <w:bookmarkStart w:id="492" w:name="_Toc280262372"/>
      <w:bookmarkStart w:id="493" w:name="_Toc280272766"/>
      <w:bookmarkStart w:id="494" w:name="_Toc280272945"/>
      <w:r w:rsidRPr="00E123B8">
        <w:t>Article 15</w:t>
      </w:r>
      <w:bookmarkEnd w:id="490"/>
      <w:bookmarkEnd w:id="491"/>
      <w:r w:rsidRPr="00E123B8">
        <w:br/>
      </w:r>
      <w:r w:rsidRPr="00E123B8">
        <w:br/>
      </w:r>
      <w:bookmarkStart w:id="495" w:name="_Toc225739489"/>
      <w:bookmarkStart w:id="496" w:name="_Toc225739833"/>
      <w:r w:rsidRPr="00E123B8">
        <w:t>Droits d'utilisation du spectre à acquitter pour l'accès hertzien</w:t>
      </w:r>
      <w:r w:rsidRPr="00E123B8">
        <w:br/>
        <w:t>large bande mobile</w:t>
      </w:r>
      <w:bookmarkEnd w:id="492"/>
      <w:bookmarkEnd w:id="493"/>
      <w:bookmarkEnd w:id="494"/>
      <w:bookmarkEnd w:id="495"/>
      <w:bookmarkEnd w:id="496"/>
    </w:p>
    <w:p w:rsidR="00E56335" w:rsidRPr="00A36319" w:rsidRDefault="00E56335" w:rsidP="00794700">
      <w:pPr>
        <w:pStyle w:val="enumlev1"/>
        <w:spacing w:before="80"/>
        <w:rPr>
          <w:rFonts w:asciiTheme="majorBidi" w:hAnsiTheme="majorBidi" w:cstheme="majorBidi"/>
          <w:szCs w:val="22"/>
        </w:rPr>
      </w:pPr>
      <w:r w:rsidRPr="00A36319">
        <w:rPr>
          <w:rFonts w:asciiTheme="majorBidi" w:hAnsiTheme="majorBidi" w:cstheme="majorBidi"/>
          <w:szCs w:val="22"/>
        </w:rPr>
        <w:t>15.1</w:t>
      </w:r>
      <w:r w:rsidRPr="00A36319">
        <w:rPr>
          <w:rFonts w:asciiTheme="majorBidi" w:hAnsiTheme="majorBidi" w:cstheme="majorBidi"/>
          <w:szCs w:val="22"/>
        </w:rPr>
        <w:tab/>
        <w:t xml:space="preserve">Le montant annuel des droits d'utilisation du spectre à acquitter pour l'accès hertzien large bande mobile, entre 2 GHz et 4 GHz, est calculé comme suit: </w:t>
      </w:r>
    </w:p>
    <w:p w:rsidR="00E56335" w:rsidRPr="001C00F5" w:rsidRDefault="00E56335" w:rsidP="00E56335">
      <w:pPr>
        <w:jc w:val="center"/>
        <w:rPr>
          <w:color w:val="000000"/>
          <w:lang w:val="fr-FR"/>
        </w:rPr>
      </w:pPr>
      <w:r w:rsidRPr="001C00F5">
        <w:rPr>
          <w:b/>
          <w:lang w:val="fr-FR"/>
        </w:rPr>
        <w:t>Droits à acquitter</w:t>
      </w:r>
      <w:r w:rsidRPr="001C00F5">
        <w:rPr>
          <w:b/>
          <w:color w:val="000000"/>
          <w:lang w:val="fr-FR"/>
        </w:rPr>
        <w:t xml:space="preserve"> = BW x CF x 10</w:t>
      </w:r>
    </w:p>
    <w:p w:rsidR="00E56335" w:rsidRPr="001C00F5" w:rsidRDefault="00E56335" w:rsidP="00E56335">
      <w:pPr>
        <w:ind w:firstLine="720"/>
        <w:rPr>
          <w:color w:val="000000"/>
          <w:lang w:val="fr-FR"/>
        </w:rPr>
      </w:pPr>
      <w:r w:rsidRPr="001C00F5">
        <w:rPr>
          <w:b/>
          <w:color w:val="000000"/>
          <w:lang w:val="fr-FR"/>
        </w:rPr>
        <w:t xml:space="preserve">BW </w:t>
      </w:r>
      <w:r w:rsidRPr="001C00F5">
        <w:rPr>
          <w:color w:val="000000"/>
          <w:lang w:val="fr-FR"/>
        </w:rPr>
        <w:t>étant la l</w:t>
      </w:r>
      <w:r w:rsidRPr="001C00F5">
        <w:rPr>
          <w:lang w:val="fr-FR"/>
        </w:rPr>
        <w:t>argeur de bande totale en MHz</w:t>
      </w:r>
    </w:p>
    <w:p w:rsidR="00E56335" w:rsidRDefault="00E56335" w:rsidP="00E56335">
      <w:pPr>
        <w:spacing w:after="120"/>
        <w:ind w:left="720"/>
        <w:rPr>
          <w:color w:val="000000"/>
          <w:lang w:val="fr-FR"/>
        </w:rPr>
      </w:pPr>
      <w:r w:rsidRPr="001C00F5">
        <w:rPr>
          <w:b/>
          <w:color w:val="000000"/>
          <w:lang w:val="fr-FR"/>
        </w:rPr>
        <w:t>CF</w:t>
      </w:r>
      <w:r w:rsidRPr="001C00F5">
        <w:rPr>
          <w:color w:val="000000"/>
          <w:lang w:val="fr-FR"/>
        </w:rPr>
        <w:t xml:space="preserve"> étant le coefficient de couverture, en fonction de la zone géographique,</w:t>
      </w:r>
      <w:r>
        <w:rPr>
          <w:color w:val="000000"/>
          <w:lang w:val="fr-FR"/>
        </w:rPr>
        <w:t xml:space="preserve"> déterminé</w:t>
      </w:r>
      <w:r w:rsidRPr="001C00F5">
        <w:rPr>
          <w:color w:val="000000"/>
          <w:lang w:val="fr-FR"/>
        </w:rPr>
        <w:t xml:space="preserve"> comme suit:</w:t>
      </w:r>
    </w:p>
    <w:p w:rsidR="00E56335" w:rsidRDefault="00E56335" w:rsidP="00E56335">
      <w:pPr>
        <w:tabs>
          <w:tab w:val="clear" w:pos="794"/>
          <w:tab w:val="clear" w:pos="1191"/>
          <w:tab w:val="clear" w:pos="1588"/>
          <w:tab w:val="clear" w:pos="1985"/>
        </w:tabs>
        <w:overflowPunct/>
        <w:autoSpaceDE/>
        <w:autoSpaceDN/>
        <w:adjustRightInd/>
        <w:spacing w:before="0"/>
        <w:jc w:val="left"/>
        <w:textAlignment w:val="auto"/>
      </w:pPr>
      <w:r>
        <w:br w:type="page"/>
      </w:r>
    </w:p>
    <w:p w:rsidR="00E56335" w:rsidRPr="00794700" w:rsidRDefault="00E56335" w:rsidP="00E56335">
      <w:pPr>
        <w:spacing w:before="0"/>
        <w:rPr>
          <w:sz w:val="10"/>
          <w:szCs w:val="10"/>
        </w:rPr>
      </w:pPr>
    </w:p>
    <w:p w:rsidR="00E56335" w:rsidRPr="00F50942" w:rsidRDefault="00E56335" w:rsidP="00E56335">
      <w:pPr>
        <w:pStyle w:val="FigureTitle"/>
      </w:pPr>
    </w:p>
    <w:tbl>
      <w:tblPr>
        <w:tblW w:w="0" w:type="auto"/>
        <w:jc w:val="center"/>
        <w:tblInd w:w="925" w:type="dxa"/>
        <w:tblBorders>
          <w:top w:val="nil"/>
          <w:left w:val="nil"/>
          <w:bottom w:val="nil"/>
          <w:right w:val="nil"/>
        </w:tblBorders>
        <w:tblLook w:val="0000"/>
      </w:tblPr>
      <w:tblGrid>
        <w:gridCol w:w="850"/>
        <w:gridCol w:w="1470"/>
        <w:gridCol w:w="1390"/>
        <w:gridCol w:w="3268"/>
        <w:gridCol w:w="1401"/>
      </w:tblGrid>
      <w:tr w:rsidR="00E56335" w:rsidRPr="007E2B73" w:rsidTr="00015D4C">
        <w:trPr>
          <w:trHeight w:val="319"/>
          <w:jc w:val="center"/>
        </w:trPr>
        <w:tc>
          <w:tcPr>
            <w:tcW w:w="850" w:type="dxa"/>
            <w:tcBorders>
              <w:top w:val="single" w:sz="8" w:space="0" w:color="000000"/>
              <w:left w:val="single" w:sz="8" w:space="0" w:color="000000"/>
              <w:bottom w:val="single" w:sz="8" w:space="0" w:color="000000"/>
              <w:right w:val="single" w:sz="8" w:space="0" w:color="000000"/>
            </w:tcBorders>
          </w:tcPr>
          <w:p w:rsidR="00E56335" w:rsidRPr="00D01AD4" w:rsidRDefault="00E56335" w:rsidP="00015D4C">
            <w:pPr>
              <w:pStyle w:val="Tablehead"/>
              <w:rPr>
                <w:rFonts w:asciiTheme="majorBidi" w:hAnsiTheme="majorBidi" w:cstheme="majorBidi"/>
                <w:szCs w:val="22"/>
                <w:lang w:val="fr-FR"/>
              </w:rPr>
            </w:pPr>
            <w:r w:rsidRPr="00D01AD4">
              <w:rPr>
                <w:rFonts w:asciiTheme="majorBidi" w:hAnsiTheme="majorBidi" w:cstheme="majorBidi"/>
                <w:szCs w:val="22"/>
                <w:lang w:val="fr-FR"/>
              </w:rPr>
              <w:t xml:space="preserve">Zone </w:t>
            </w:r>
          </w:p>
        </w:tc>
        <w:tc>
          <w:tcPr>
            <w:tcW w:w="1470" w:type="dxa"/>
            <w:tcBorders>
              <w:top w:val="single" w:sz="8" w:space="0" w:color="000000"/>
              <w:left w:val="single" w:sz="8" w:space="0" w:color="000000"/>
              <w:bottom w:val="single" w:sz="8" w:space="0" w:color="000000"/>
              <w:right w:val="single" w:sz="8" w:space="0" w:color="000000"/>
            </w:tcBorders>
          </w:tcPr>
          <w:p w:rsidR="00E56335" w:rsidRPr="00D01AD4" w:rsidRDefault="00E56335" w:rsidP="00015D4C">
            <w:pPr>
              <w:pStyle w:val="Tablehead"/>
              <w:rPr>
                <w:rFonts w:asciiTheme="majorBidi" w:hAnsiTheme="majorBidi" w:cstheme="majorBidi"/>
                <w:szCs w:val="22"/>
                <w:lang w:val="fr-FR"/>
              </w:rPr>
            </w:pPr>
            <w:r w:rsidRPr="00D01AD4">
              <w:rPr>
                <w:rFonts w:asciiTheme="majorBidi" w:hAnsiTheme="majorBidi" w:cstheme="majorBidi"/>
                <w:szCs w:val="22"/>
                <w:lang w:val="fr-FR"/>
              </w:rPr>
              <w:t>Zone rurale ou à l'intérieur de locaux</w:t>
            </w:r>
          </w:p>
        </w:tc>
        <w:tc>
          <w:tcPr>
            <w:tcW w:w="1390" w:type="dxa"/>
            <w:tcBorders>
              <w:top w:val="single" w:sz="8" w:space="0" w:color="000000"/>
              <w:left w:val="single" w:sz="8" w:space="0" w:color="000000"/>
              <w:bottom w:val="single" w:sz="8" w:space="0" w:color="000000"/>
              <w:right w:val="single" w:sz="8" w:space="0" w:color="000000"/>
            </w:tcBorders>
          </w:tcPr>
          <w:p w:rsidR="00E56335" w:rsidRPr="00D01AD4" w:rsidRDefault="00E56335" w:rsidP="00015D4C">
            <w:pPr>
              <w:pStyle w:val="Tablehead"/>
              <w:rPr>
                <w:rFonts w:asciiTheme="majorBidi" w:hAnsiTheme="majorBidi" w:cstheme="majorBidi"/>
                <w:szCs w:val="22"/>
                <w:lang w:val="fr-FR"/>
              </w:rPr>
            </w:pPr>
            <w:r w:rsidRPr="00D01AD4">
              <w:rPr>
                <w:rFonts w:asciiTheme="majorBidi" w:hAnsiTheme="majorBidi" w:cstheme="majorBidi"/>
                <w:szCs w:val="22"/>
                <w:lang w:val="fr-FR"/>
              </w:rPr>
              <w:t xml:space="preserve">Zone urbaine </w:t>
            </w:r>
          </w:p>
        </w:tc>
        <w:tc>
          <w:tcPr>
            <w:tcW w:w="3268" w:type="dxa"/>
            <w:tcBorders>
              <w:top w:val="single" w:sz="8" w:space="0" w:color="000000"/>
              <w:left w:val="single" w:sz="8" w:space="0" w:color="000000"/>
              <w:bottom w:val="single" w:sz="8" w:space="0" w:color="000000"/>
              <w:right w:val="single" w:sz="8" w:space="0" w:color="000000"/>
            </w:tcBorders>
          </w:tcPr>
          <w:p w:rsidR="00E56335" w:rsidRPr="00D01AD4" w:rsidRDefault="00E56335" w:rsidP="00015D4C">
            <w:pPr>
              <w:pStyle w:val="Tablehead"/>
              <w:rPr>
                <w:rFonts w:asciiTheme="majorBidi" w:hAnsiTheme="majorBidi" w:cstheme="majorBidi"/>
                <w:szCs w:val="22"/>
                <w:lang w:val="fr-FR"/>
              </w:rPr>
            </w:pPr>
            <w:r w:rsidRPr="00D01AD4">
              <w:rPr>
                <w:rFonts w:asciiTheme="majorBidi" w:hAnsiTheme="majorBidi" w:cstheme="majorBidi"/>
                <w:szCs w:val="22"/>
                <w:lang w:val="fr-FR"/>
              </w:rPr>
              <w:t>Ensemble des Emirats</w:t>
            </w:r>
          </w:p>
        </w:tc>
        <w:tc>
          <w:tcPr>
            <w:tcW w:w="1401" w:type="dxa"/>
            <w:tcBorders>
              <w:top w:val="single" w:sz="8" w:space="0" w:color="000000"/>
              <w:left w:val="single" w:sz="8" w:space="0" w:color="000000"/>
              <w:bottom w:val="single" w:sz="8" w:space="0" w:color="000000"/>
              <w:right w:val="single" w:sz="8" w:space="0" w:color="000000"/>
            </w:tcBorders>
          </w:tcPr>
          <w:p w:rsidR="00E56335" w:rsidRPr="00D01AD4" w:rsidRDefault="00E56335" w:rsidP="00015D4C">
            <w:pPr>
              <w:pStyle w:val="Tablehead"/>
              <w:rPr>
                <w:rFonts w:asciiTheme="majorBidi" w:hAnsiTheme="majorBidi" w:cstheme="majorBidi"/>
                <w:szCs w:val="22"/>
                <w:lang w:val="fr-FR"/>
              </w:rPr>
            </w:pPr>
            <w:r w:rsidRPr="00D01AD4">
              <w:rPr>
                <w:rFonts w:asciiTheme="majorBidi" w:hAnsiTheme="majorBidi" w:cstheme="majorBidi"/>
                <w:szCs w:val="22"/>
                <w:lang w:val="fr-FR"/>
              </w:rPr>
              <w:t xml:space="preserve">Totalité des Emirats arabes unis </w:t>
            </w:r>
          </w:p>
        </w:tc>
      </w:tr>
      <w:tr w:rsidR="00E56335" w:rsidRPr="00850A0F" w:rsidTr="00015D4C">
        <w:trPr>
          <w:trHeight w:val="319"/>
          <w:jc w:val="center"/>
        </w:trPr>
        <w:tc>
          <w:tcPr>
            <w:tcW w:w="850" w:type="dxa"/>
            <w:tcBorders>
              <w:top w:val="single" w:sz="8" w:space="0" w:color="000000"/>
              <w:left w:val="single" w:sz="8" w:space="0" w:color="000000"/>
              <w:bottom w:val="single" w:sz="8" w:space="0" w:color="000000"/>
              <w:right w:val="single" w:sz="8" w:space="0" w:color="000000"/>
            </w:tcBorders>
          </w:tcPr>
          <w:p w:rsidR="00E56335" w:rsidRPr="00D01AD4" w:rsidRDefault="00E56335" w:rsidP="00015D4C">
            <w:pPr>
              <w:pStyle w:val="Tabletext"/>
              <w:jc w:val="center"/>
              <w:rPr>
                <w:rFonts w:asciiTheme="majorBidi" w:hAnsiTheme="majorBidi" w:cstheme="majorBidi"/>
                <w:szCs w:val="22"/>
                <w:lang w:val="fr-FR"/>
              </w:rPr>
            </w:pPr>
            <w:r w:rsidRPr="00D01AD4">
              <w:rPr>
                <w:rFonts w:asciiTheme="majorBidi" w:hAnsiTheme="majorBidi" w:cstheme="majorBidi"/>
                <w:szCs w:val="22"/>
                <w:lang w:val="fr-FR"/>
              </w:rPr>
              <w:t>CF</w:t>
            </w:r>
          </w:p>
        </w:tc>
        <w:tc>
          <w:tcPr>
            <w:tcW w:w="1470" w:type="dxa"/>
            <w:tcBorders>
              <w:top w:val="single" w:sz="8" w:space="0" w:color="000000"/>
              <w:left w:val="single" w:sz="8" w:space="0" w:color="000000"/>
              <w:bottom w:val="single" w:sz="8" w:space="0" w:color="000000"/>
              <w:right w:val="single" w:sz="8" w:space="0" w:color="000000"/>
            </w:tcBorders>
          </w:tcPr>
          <w:p w:rsidR="00E56335" w:rsidRPr="00D01AD4" w:rsidRDefault="00E56335" w:rsidP="00015D4C">
            <w:pPr>
              <w:pStyle w:val="Tabletext"/>
              <w:jc w:val="center"/>
              <w:rPr>
                <w:rFonts w:asciiTheme="majorBidi" w:hAnsiTheme="majorBidi" w:cstheme="majorBidi"/>
                <w:szCs w:val="22"/>
                <w:lang w:val="fr-FR"/>
              </w:rPr>
            </w:pPr>
            <w:r w:rsidRPr="00D01AD4">
              <w:rPr>
                <w:rFonts w:asciiTheme="majorBidi" w:hAnsiTheme="majorBidi" w:cstheme="majorBidi"/>
                <w:szCs w:val="22"/>
                <w:lang w:val="fr-FR"/>
              </w:rPr>
              <w:t>100</w:t>
            </w:r>
          </w:p>
        </w:tc>
        <w:tc>
          <w:tcPr>
            <w:tcW w:w="1390" w:type="dxa"/>
            <w:tcBorders>
              <w:top w:val="single" w:sz="8" w:space="0" w:color="000000"/>
              <w:left w:val="single" w:sz="8" w:space="0" w:color="000000"/>
              <w:bottom w:val="single" w:sz="8" w:space="0" w:color="000000"/>
              <w:right w:val="single" w:sz="8" w:space="0" w:color="000000"/>
            </w:tcBorders>
          </w:tcPr>
          <w:p w:rsidR="00E56335" w:rsidRPr="00D01AD4" w:rsidRDefault="00E56335" w:rsidP="00015D4C">
            <w:pPr>
              <w:pStyle w:val="Tabletext"/>
              <w:jc w:val="center"/>
              <w:rPr>
                <w:rFonts w:asciiTheme="majorBidi" w:hAnsiTheme="majorBidi" w:cstheme="majorBidi"/>
                <w:szCs w:val="22"/>
                <w:lang w:val="fr-FR"/>
              </w:rPr>
            </w:pPr>
            <w:r w:rsidRPr="00D01AD4">
              <w:rPr>
                <w:rFonts w:asciiTheme="majorBidi" w:hAnsiTheme="majorBidi" w:cstheme="majorBidi"/>
                <w:szCs w:val="22"/>
                <w:lang w:val="fr-FR"/>
              </w:rPr>
              <w:t>500</w:t>
            </w:r>
          </w:p>
        </w:tc>
        <w:tc>
          <w:tcPr>
            <w:tcW w:w="3268" w:type="dxa"/>
            <w:tcBorders>
              <w:top w:val="single" w:sz="8" w:space="0" w:color="000000"/>
              <w:left w:val="single" w:sz="8" w:space="0" w:color="000000"/>
              <w:bottom w:val="single" w:sz="8" w:space="0" w:color="000000"/>
              <w:right w:val="single" w:sz="8" w:space="0" w:color="000000"/>
            </w:tcBorders>
          </w:tcPr>
          <w:p w:rsidR="00E56335" w:rsidRPr="00D01AD4" w:rsidRDefault="00E56335" w:rsidP="00015D4C">
            <w:pPr>
              <w:pStyle w:val="Tabletext"/>
              <w:rPr>
                <w:rFonts w:asciiTheme="majorBidi" w:hAnsiTheme="majorBidi" w:cstheme="majorBidi"/>
                <w:szCs w:val="22"/>
                <w:lang w:val="fr-FR"/>
              </w:rPr>
            </w:pPr>
            <w:r w:rsidRPr="00D01AD4">
              <w:rPr>
                <w:rFonts w:asciiTheme="majorBidi" w:hAnsiTheme="majorBidi" w:cstheme="majorBidi"/>
                <w:szCs w:val="22"/>
                <w:lang w:val="fr-FR"/>
              </w:rPr>
              <w:t>2 000 pour Abu Dhabi ou Dubaï</w:t>
            </w:r>
          </w:p>
          <w:p w:rsidR="00E56335" w:rsidRPr="00D01AD4" w:rsidRDefault="00E56335" w:rsidP="00015D4C">
            <w:pPr>
              <w:pStyle w:val="Tabletext"/>
              <w:rPr>
                <w:rFonts w:asciiTheme="majorBidi" w:hAnsiTheme="majorBidi" w:cstheme="majorBidi"/>
                <w:szCs w:val="22"/>
                <w:lang w:val="fr-FR"/>
              </w:rPr>
            </w:pPr>
            <w:r w:rsidRPr="00D01AD4">
              <w:rPr>
                <w:rFonts w:asciiTheme="majorBidi" w:hAnsiTheme="majorBidi" w:cstheme="majorBidi"/>
                <w:szCs w:val="22"/>
                <w:lang w:val="fr-FR"/>
              </w:rPr>
              <w:t>1 000 pour les autres Emirats</w:t>
            </w:r>
          </w:p>
        </w:tc>
        <w:tc>
          <w:tcPr>
            <w:tcW w:w="1401" w:type="dxa"/>
            <w:tcBorders>
              <w:top w:val="single" w:sz="8" w:space="0" w:color="000000"/>
              <w:left w:val="single" w:sz="8" w:space="0" w:color="000000"/>
              <w:bottom w:val="single" w:sz="8" w:space="0" w:color="000000"/>
              <w:right w:val="single" w:sz="8" w:space="0" w:color="000000"/>
            </w:tcBorders>
          </w:tcPr>
          <w:p w:rsidR="00E56335" w:rsidRPr="00D01AD4" w:rsidRDefault="00E56335" w:rsidP="00015D4C">
            <w:pPr>
              <w:pStyle w:val="Tabletext"/>
              <w:jc w:val="center"/>
              <w:rPr>
                <w:rFonts w:asciiTheme="majorBidi" w:hAnsiTheme="majorBidi" w:cstheme="majorBidi"/>
                <w:szCs w:val="22"/>
                <w:lang w:val="fr-FR"/>
              </w:rPr>
            </w:pPr>
            <w:r w:rsidRPr="00D01AD4">
              <w:rPr>
                <w:rFonts w:asciiTheme="majorBidi" w:hAnsiTheme="majorBidi" w:cstheme="majorBidi"/>
                <w:szCs w:val="22"/>
                <w:lang w:val="fr-FR"/>
              </w:rPr>
              <w:t>4 000</w:t>
            </w:r>
          </w:p>
        </w:tc>
      </w:tr>
    </w:tbl>
    <w:p w:rsidR="00E56335" w:rsidRDefault="00E56335" w:rsidP="00E56335">
      <w:pPr>
        <w:pStyle w:val="FigureSource"/>
      </w:pPr>
    </w:p>
    <w:p w:rsidR="00E56335" w:rsidRPr="00FC7377" w:rsidRDefault="00E56335" w:rsidP="00E56335">
      <w:pPr>
        <w:pStyle w:val="Arttitle"/>
        <w:spacing w:before="400"/>
      </w:pPr>
      <w:bookmarkStart w:id="497" w:name="_Toc225739490"/>
      <w:bookmarkStart w:id="498" w:name="_Toc225739834"/>
      <w:bookmarkStart w:id="499" w:name="_Toc280262373"/>
      <w:bookmarkStart w:id="500" w:name="_Toc280272767"/>
      <w:bookmarkStart w:id="501" w:name="_Toc280272946"/>
      <w:r>
        <w:t xml:space="preserve">Article </w:t>
      </w:r>
      <w:r w:rsidRPr="00FC7377">
        <w:t>16</w:t>
      </w:r>
      <w:bookmarkEnd w:id="497"/>
      <w:bookmarkEnd w:id="498"/>
      <w:r w:rsidRPr="00FC7377">
        <w:br/>
      </w:r>
      <w:r w:rsidRPr="00FC7377">
        <w:br/>
      </w:r>
      <w:bookmarkStart w:id="502" w:name="_Toc225739491"/>
      <w:bookmarkStart w:id="503" w:name="_Toc225739835"/>
      <w:r w:rsidRPr="00FC7377">
        <w:t>Droits d'utilisation du spectre pour les liaisons à fibre optique et les liaisons laser</w:t>
      </w:r>
      <w:bookmarkEnd w:id="499"/>
      <w:bookmarkEnd w:id="500"/>
      <w:bookmarkEnd w:id="501"/>
      <w:bookmarkEnd w:id="502"/>
      <w:bookmarkEnd w:id="503"/>
    </w:p>
    <w:p w:rsidR="00E56335" w:rsidRPr="001C00F5" w:rsidRDefault="00E56335" w:rsidP="00E56335">
      <w:pPr>
        <w:rPr>
          <w:b/>
          <w:bCs/>
          <w:color w:val="000000"/>
          <w:lang w:val="fr-FR"/>
        </w:rPr>
      </w:pPr>
      <w:r w:rsidRPr="001C00F5">
        <w:rPr>
          <w:lang w:val="fr-FR"/>
        </w:rPr>
        <w:t xml:space="preserve">Le montant annuel des droits à acquitter pour ces liaisons est de cinquante </w:t>
      </w:r>
      <w:r w:rsidRPr="001C00F5">
        <w:rPr>
          <w:color w:val="000000"/>
          <w:lang w:val="fr-FR"/>
        </w:rPr>
        <w:t>(50) dirhams.</w:t>
      </w:r>
      <w:r w:rsidRPr="001C00F5">
        <w:rPr>
          <w:b/>
          <w:color w:val="000000"/>
          <w:lang w:val="fr-FR"/>
        </w:rPr>
        <w:t xml:space="preserve"> </w:t>
      </w:r>
    </w:p>
    <w:p w:rsidR="00E56335" w:rsidRPr="00FC7377" w:rsidRDefault="00E56335" w:rsidP="00E56335">
      <w:pPr>
        <w:pStyle w:val="Arttitle"/>
        <w:spacing w:before="400"/>
      </w:pPr>
      <w:bookmarkStart w:id="504" w:name="_Toc225739492"/>
      <w:bookmarkStart w:id="505" w:name="_Toc225739836"/>
      <w:bookmarkStart w:id="506" w:name="_Toc280262374"/>
      <w:bookmarkStart w:id="507" w:name="_Toc280272768"/>
      <w:bookmarkStart w:id="508" w:name="_Toc280272947"/>
      <w:r>
        <w:t xml:space="preserve">Article </w:t>
      </w:r>
      <w:r w:rsidRPr="00FC7377">
        <w:t>17</w:t>
      </w:r>
      <w:bookmarkEnd w:id="504"/>
      <w:bookmarkEnd w:id="505"/>
      <w:r w:rsidRPr="00FC7377">
        <w:br/>
      </w:r>
      <w:r w:rsidRPr="00FC7377">
        <w:br/>
      </w:r>
      <w:bookmarkStart w:id="509" w:name="_Toc225739493"/>
      <w:bookmarkStart w:id="510" w:name="_Toc225739837"/>
      <w:r w:rsidRPr="00FC7377">
        <w:t>Droits d'utilisation du spectre pour les réseaux WLAN et la téléphonie sans fil</w:t>
      </w:r>
      <w:bookmarkEnd w:id="506"/>
      <w:bookmarkEnd w:id="507"/>
      <w:bookmarkEnd w:id="508"/>
      <w:bookmarkEnd w:id="509"/>
      <w:bookmarkEnd w:id="510"/>
    </w:p>
    <w:p w:rsidR="00E56335" w:rsidRPr="001C00F5" w:rsidRDefault="00E56335" w:rsidP="00E56335">
      <w:pPr>
        <w:rPr>
          <w:b/>
          <w:bCs/>
          <w:color w:val="000000"/>
          <w:lang w:val="fr-FR"/>
        </w:rPr>
      </w:pPr>
      <w:r w:rsidRPr="001C00F5">
        <w:rPr>
          <w:lang w:val="fr-FR"/>
        </w:rPr>
        <w:t>L'utilisation à l'intérieur de la téléphonie sans fil sur réseau WLAN et utilisant le système DECT est exemptée de droits.</w:t>
      </w:r>
      <w:r w:rsidRPr="001C00F5">
        <w:rPr>
          <w:b/>
          <w:color w:val="000000"/>
          <w:lang w:val="fr-FR"/>
        </w:rPr>
        <w:t xml:space="preserve"> </w:t>
      </w:r>
    </w:p>
    <w:p w:rsidR="00E56335" w:rsidRPr="00FC7377" w:rsidRDefault="00E56335" w:rsidP="00E56335">
      <w:pPr>
        <w:pStyle w:val="Arttitle"/>
        <w:spacing w:before="400"/>
      </w:pPr>
      <w:bookmarkStart w:id="511" w:name="_Toc225739494"/>
      <w:bookmarkStart w:id="512" w:name="_Toc225739838"/>
      <w:bookmarkStart w:id="513" w:name="_Toc280262375"/>
      <w:bookmarkStart w:id="514" w:name="_Toc280272769"/>
      <w:bookmarkStart w:id="515" w:name="_Toc280272948"/>
      <w:r>
        <w:t xml:space="preserve">Article </w:t>
      </w:r>
      <w:r w:rsidRPr="00FC7377">
        <w:t>18</w:t>
      </w:r>
      <w:bookmarkEnd w:id="511"/>
      <w:bookmarkEnd w:id="512"/>
      <w:r w:rsidRPr="00FC7377">
        <w:br/>
      </w:r>
      <w:r w:rsidRPr="00FC7377">
        <w:br/>
      </w:r>
      <w:bookmarkStart w:id="516" w:name="_Toc225739495"/>
      <w:bookmarkStart w:id="517" w:name="_Toc225739839"/>
      <w:r w:rsidRPr="00FC7377">
        <w:t>Droits d'utilisation du spectre pour les systèmes GMPCS</w:t>
      </w:r>
      <w:bookmarkEnd w:id="513"/>
      <w:bookmarkEnd w:id="514"/>
      <w:bookmarkEnd w:id="515"/>
      <w:bookmarkEnd w:id="516"/>
      <w:bookmarkEnd w:id="517"/>
    </w:p>
    <w:p w:rsidR="00E56335" w:rsidRPr="001C00F5" w:rsidRDefault="00E56335" w:rsidP="00E56335">
      <w:pPr>
        <w:rPr>
          <w:lang w:val="fr-FR"/>
        </w:rPr>
      </w:pPr>
      <w:r w:rsidRPr="001C00F5">
        <w:rPr>
          <w:lang w:val="fr-FR"/>
        </w:rPr>
        <w:t xml:space="preserve">Le montant annuel des droits d'utilisation du spectre pour les systèmes mobiles mondiaux de communications personnelles (GMPCS) est calculé comme suit: </w:t>
      </w:r>
    </w:p>
    <w:p w:rsidR="00E56335" w:rsidRPr="001C00F5" w:rsidRDefault="00E56335" w:rsidP="00E56335">
      <w:pPr>
        <w:jc w:val="center"/>
        <w:rPr>
          <w:b/>
          <w:bCs/>
          <w:color w:val="000000"/>
          <w:lang w:val="fr-FR"/>
        </w:rPr>
      </w:pPr>
      <w:r w:rsidRPr="001C00F5">
        <w:rPr>
          <w:b/>
          <w:lang w:val="fr-FR"/>
        </w:rPr>
        <w:t>Droits à acquitter</w:t>
      </w:r>
      <w:r w:rsidRPr="001C00F5">
        <w:rPr>
          <w:b/>
          <w:color w:val="000000"/>
          <w:lang w:val="fr-FR"/>
        </w:rPr>
        <w:t xml:space="preserve"> = BW x 5000</w:t>
      </w:r>
    </w:p>
    <w:p w:rsidR="00E56335" w:rsidRDefault="00E56335" w:rsidP="00E56335">
      <w:pPr>
        <w:ind w:left="567" w:hanging="567"/>
        <w:rPr>
          <w:color w:val="000000"/>
          <w:lang w:val="fr-FR"/>
        </w:rPr>
      </w:pPr>
      <w:r w:rsidRPr="001C00F5">
        <w:rPr>
          <w:color w:val="000000"/>
          <w:lang w:val="fr-FR"/>
        </w:rPr>
        <w:tab/>
      </w:r>
      <w:r w:rsidRPr="001C00F5">
        <w:rPr>
          <w:b/>
          <w:color w:val="000000"/>
          <w:lang w:val="fr-FR"/>
        </w:rPr>
        <w:t xml:space="preserve">BW </w:t>
      </w:r>
      <w:r w:rsidRPr="001C00F5">
        <w:rPr>
          <w:color w:val="000000"/>
          <w:lang w:val="fr-FR"/>
        </w:rPr>
        <w:t xml:space="preserve">étant le coefficient de largeur de bande, fondé sur l'utilisation 2 x 1 MHz de largeur de bande </w:t>
      </w:r>
    </w:p>
    <w:p w:rsidR="00E56335" w:rsidRPr="00794700" w:rsidRDefault="00E56335" w:rsidP="00794700">
      <w:pPr>
        <w:spacing w:before="0"/>
        <w:ind w:left="567" w:hanging="567"/>
        <w:rPr>
          <w:color w:val="000000"/>
          <w:sz w:val="16"/>
          <w:szCs w:val="16"/>
          <w:lang w:val="fr-FR"/>
        </w:rPr>
      </w:pPr>
    </w:p>
    <w:p w:rsidR="00E56335" w:rsidRPr="00F50942" w:rsidRDefault="00E56335" w:rsidP="00E56335">
      <w:pPr>
        <w:pStyle w:val="FigureTitle"/>
      </w:pPr>
    </w:p>
    <w:tbl>
      <w:tblPr>
        <w:tblW w:w="0" w:type="auto"/>
        <w:jc w:val="center"/>
        <w:tblInd w:w="1440" w:type="dxa"/>
        <w:tblBorders>
          <w:top w:val="nil"/>
          <w:left w:val="nil"/>
          <w:bottom w:val="nil"/>
          <w:right w:val="nil"/>
        </w:tblBorders>
        <w:tblLook w:val="0000"/>
      </w:tblPr>
      <w:tblGrid>
        <w:gridCol w:w="3711"/>
        <w:gridCol w:w="2219"/>
      </w:tblGrid>
      <w:tr w:rsidR="00E56335" w:rsidRPr="00850A0F" w:rsidTr="00015D4C">
        <w:trPr>
          <w:trHeight w:val="332"/>
          <w:tblHeader/>
          <w:jc w:val="center"/>
        </w:trPr>
        <w:tc>
          <w:tcPr>
            <w:tcW w:w="0" w:type="auto"/>
            <w:tcBorders>
              <w:top w:val="single" w:sz="8" w:space="0" w:color="000000"/>
              <w:left w:val="single" w:sz="8" w:space="0" w:color="000000"/>
              <w:bottom w:val="single" w:sz="8" w:space="0" w:color="000000"/>
              <w:right w:val="single" w:sz="8" w:space="0" w:color="000000"/>
            </w:tcBorders>
          </w:tcPr>
          <w:p w:rsidR="00E56335" w:rsidRPr="0087278C" w:rsidRDefault="00E56335" w:rsidP="00015D4C">
            <w:pPr>
              <w:pStyle w:val="Tablehead"/>
              <w:rPr>
                <w:rFonts w:asciiTheme="majorBidi" w:hAnsiTheme="majorBidi" w:cstheme="majorBidi"/>
                <w:szCs w:val="22"/>
                <w:lang w:val="fr-FR"/>
              </w:rPr>
            </w:pPr>
            <w:r w:rsidRPr="0087278C">
              <w:rPr>
                <w:rFonts w:asciiTheme="majorBidi" w:hAnsiTheme="majorBidi" w:cstheme="majorBidi"/>
                <w:szCs w:val="22"/>
                <w:lang w:val="fr-FR"/>
              </w:rPr>
              <w:t>Largeur de bande</w:t>
            </w:r>
          </w:p>
        </w:tc>
        <w:tc>
          <w:tcPr>
            <w:tcW w:w="2219" w:type="dxa"/>
            <w:tcBorders>
              <w:top w:val="single" w:sz="8" w:space="0" w:color="000000"/>
              <w:left w:val="single" w:sz="8" w:space="0" w:color="000000"/>
              <w:bottom w:val="single" w:sz="8" w:space="0" w:color="000000"/>
              <w:right w:val="single" w:sz="8" w:space="0" w:color="000000"/>
            </w:tcBorders>
          </w:tcPr>
          <w:p w:rsidR="00E56335" w:rsidRPr="0087278C" w:rsidRDefault="00E56335" w:rsidP="00015D4C">
            <w:pPr>
              <w:pStyle w:val="Tablehead"/>
              <w:rPr>
                <w:rFonts w:asciiTheme="majorBidi" w:hAnsiTheme="majorBidi" w:cstheme="majorBidi"/>
                <w:szCs w:val="22"/>
                <w:lang w:val="fr-FR"/>
              </w:rPr>
            </w:pPr>
            <w:r w:rsidRPr="0087278C">
              <w:rPr>
                <w:rFonts w:asciiTheme="majorBidi" w:hAnsiTheme="majorBidi" w:cstheme="majorBidi"/>
                <w:szCs w:val="22"/>
                <w:lang w:val="fr-FR"/>
              </w:rPr>
              <w:t>Coefficient BW</w:t>
            </w:r>
          </w:p>
        </w:tc>
      </w:tr>
      <w:tr w:rsidR="00E56335" w:rsidRPr="00850A0F" w:rsidTr="00015D4C">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E56335" w:rsidRPr="0087278C" w:rsidRDefault="00E56335" w:rsidP="00015D4C">
            <w:pPr>
              <w:pStyle w:val="Tabletext"/>
              <w:rPr>
                <w:rFonts w:asciiTheme="majorBidi" w:hAnsiTheme="majorBidi" w:cstheme="majorBidi"/>
                <w:szCs w:val="22"/>
                <w:lang w:val="fr-FR"/>
              </w:rPr>
            </w:pPr>
            <w:r w:rsidRPr="0087278C">
              <w:rPr>
                <w:rFonts w:asciiTheme="majorBidi" w:hAnsiTheme="majorBidi" w:cstheme="majorBidi"/>
                <w:szCs w:val="22"/>
                <w:lang w:val="fr-FR"/>
              </w:rPr>
              <w:t xml:space="preserve">Moins de 2 x 1 MHz </w:t>
            </w:r>
          </w:p>
        </w:tc>
        <w:tc>
          <w:tcPr>
            <w:tcW w:w="2219" w:type="dxa"/>
            <w:tcBorders>
              <w:top w:val="single" w:sz="8" w:space="0" w:color="000000"/>
              <w:left w:val="single" w:sz="8" w:space="0" w:color="000000"/>
              <w:bottom w:val="single" w:sz="8" w:space="0" w:color="000000"/>
              <w:right w:val="single" w:sz="8" w:space="0" w:color="000000"/>
            </w:tcBorders>
          </w:tcPr>
          <w:p w:rsidR="00E56335" w:rsidRPr="0087278C" w:rsidRDefault="00E56335" w:rsidP="00015D4C">
            <w:pPr>
              <w:pStyle w:val="Tabletext"/>
              <w:jc w:val="center"/>
              <w:rPr>
                <w:rFonts w:asciiTheme="majorBidi" w:hAnsiTheme="majorBidi" w:cstheme="majorBidi"/>
                <w:szCs w:val="22"/>
                <w:lang w:val="fr-FR"/>
              </w:rPr>
            </w:pPr>
            <w:r w:rsidRPr="0087278C">
              <w:rPr>
                <w:rFonts w:asciiTheme="majorBidi" w:hAnsiTheme="majorBidi" w:cstheme="majorBidi"/>
                <w:szCs w:val="22"/>
                <w:lang w:val="fr-FR"/>
              </w:rPr>
              <w:t>3</w:t>
            </w:r>
          </w:p>
        </w:tc>
      </w:tr>
      <w:tr w:rsidR="00E56335" w:rsidRPr="00850A0F" w:rsidTr="00015D4C">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E56335" w:rsidRPr="0087278C" w:rsidRDefault="00E56335" w:rsidP="00015D4C">
            <w:pPr>
              <w:pStyle w:val="Tabletext"/>
              <w:rPr>
                <w:rFonts w:asciiTheme="majorBidi" w:hAnsiTheme="majorBidi" w:cstheme="majorBidi"/>
                <w:szCs w:val="22"/>
                <w:lang w:val="fr-FR"/>
              </w:rPr>
            </w:pPr>
            <w:r w:rsidRPr="0087278C">
              <w:rPr>
                <w:rFonts w:asciiTheme="majorBidi" w:hAnsiTheme="majorBidi" w:cstheme="majorBidi"/>
                <w:szCs w:val="22"/>
                <w:lang w:val="fr-FR"/>
              </w:rPr>
              <w:t xml:space="preserve">2 x 1 MHz - Moins de 4 x 1 MHz </w:t>
            </w:r>
          </w:p>
        </w:tc>
        <w:tc>
          <w:tcPr>
            <w:tcW w:w="2219" w:type="dxa"/>
            <w:tcBorders>
              <w:top w:val="single" w:sz="8" w:space="0" w:color="000000"/>
              <w:left w:val="single" w:sz="8" w:space="0" w:color="000000"/>
              <w:bottom w:val="single" w:sz="8" w:space="0" w:color="000000"/>
              <w:right w:val="single" w:sz="8" w:space="0" w:color="000000"/>
            </w:tcBorders>
          </w:tcPr>
          <w:p w:rsidR="00E56335" w:rsidRPr="0087278C" w:rsidRDefault="00E56335" w:rsidP="00015D4C">
            <w:pPr>
              <w:pStyle w:val="Tabletext"/>
              <w:jc w:val="center"/>
              <w:rPr>
                <w:rFonts w:asciiTheme="majorBidi" w:hAnsiTheme="majorBidi" w:cstheme="majorBidi"/>
                <w:szCs w:val="22"/>
                <w:lang w:val="fr-FR"/>
              </w:rPr>
            </w:pPr>
            <w:r w:rsidRPr="0087278C">
              <w:rPr>
                <w:rFonts w:asciiTheme="majorBidi" w:hAnsiTheme="majorBidi" w:cstheme="majorBidi"/>
                <w:szCs w:val="22"/>
                <w:lang w:val="fr-FR"/>
              </w:rPr>
              <w:t>6</w:t>
            </w:r>
          </w:p>
        </w:tc>
      </w:tr>
      <w:tr w:rsidR="00E56335" w:rsidRPr="00850A0F" w:rsidTr="00015D4C">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E56335" w:rsidRPr="0087278C" w:rsidRDefault="00E56335" w:rsidP="00015D4C">
            <w:pPr>
              <w:pStyle w:val="Tabletext"/>
              <w:rPr>
                <w:rFonts w:asciiTheme="majorBidi" w:hAnsiTheme="majorBidi" w:cstheme="majorBidi"/>
                <w:szCs w:val="22"/>
                <w:lang w:val="fr-FR"/>
              </w:rPr>
            </w:pPr>
            <w:r w:rsidRPr="0087278C">
              <w:rPr>
                <w:rFonts w:asciiTheme="majorBidi" w:hAnsiTheme="majorBidi" w:cstheme="majorBidi"/>
                <w:szCs w:val="22"/>
                <w:lang w:val="fr-FR"/>
              </w:rPr>
              <w:t xml:space="preserve">4 x 1 MHz - Moins de 6 x 1 MHz </w:t>
            </w:r>
          </w:p>
        </w:tc>
        <w:tc>
          <w:tcPr>
            <w:tcW w:w="2219" w:type="dxa"/>
            <w:tcBorders>
              <w:top w:val="single" w:sz="8" w:space="0" w:color="000000"/>
              <w:left w:val="single" w:sz="8" w:space="0" w:color="000000"/>
              <w:bottom w:val="single" w:sz="8" w:space="0" w:color="000000"/>
              <w:right w:val="single" w:sz="8" w:space="0" w:color="000000"/>
            </w:tcBorders>
          </w:tcPr>
          <w:p w:rsidR="00E56335" w:rsidRPr="0087278C" w:rsidRDefault="00E56335" w:rsidP="00015D4C">
            <w:pPr>
              <w:pStyle w:val="Tabletext"/>
              <w:jc w:val="center"/>
              <w:rPr>
                <w:rFonts w:asciiTheme="majorBidi" w:hAnsiTheme="majorBidi" w:cstheme="majorBidi"/>
                <w:szCs w:val="22"/>
                <w:lang w:val="fr-FR"/>
              </w:rPr>
            </w:pPr>
            <w:r w:rsidRPr="0087278C">
              <w:rPr>
                <w:rFonts w:asciiTheme="majorBidi" w:hAnsiTheme="majorBidi" w:cstheme="majorBidi"/>
                <w:szCs w:val="22"/>
                <w:lang w:val="fr-FR"/>
              </w:rPr>
              <w:t>9</w:t>
            </w:r>
          </w:p>
        </w:tc>
      </w:tr>
      <w:tr w:rsidR="00E56335" w:rsidRPr="00850A0F" w:rsidTr="00015D4C">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E56335" w:rsidRPr="0087278C" w:rsidRDefault="00E56335" w:rsidP="00015D4C">
            <w:pPr>
              <w:pStyle w:val="Tabletext"/>
              <w:rPr>
                <w:rFonts w:asciiTheme="majorBidi" w:hAnsiTheme="majorBidi" w:cstheme="majorBidi"/>
                <w:szCs w:val="22"/>
                <w:lang w:val="fr-FR"/>
              </w:rPr>
            </w:pPr>
            <w:r w:rsidRPr="0087278C">
              <w:rPr>
                <w:rFonts w:asciiTheme="majorBidi" w:hAnsiTheme="majorBidi" w:cstheme="majorBidi"/>
                <w:szCs w:val="22"/>
                <w:lang w:val="fr-FR"/>
              </w:rPr>
              <w:t xml:space="preserve">6 x 1 MHz - Moins de 8 x 1 MHz </w:t>
            </w:r>
          </w:p>
        </w:tc>
        <w:tc>
          <w:tcPr>
            <w:tcW w:w="2219" w:type="dxa"/>
            <w:tcBorders>
              <w:top w:val="single" w:sz="8" w:space="0" w:color="000000"/>
              <w:left w:val="single" w:sz="8" w:space="0" w:color="000000"/>
              <w:bottom w:val="single" w:sz="8" w:space="0" w:color="000000"/>
              <w:right w:val="single" w:sz="8" w:space="0" w:color="000000"/>
            </w:tcBorders>
          </w:tcPr>
          <w:p w:rsidR="00E56335" w:rsidRPr="0087278C" w:rsidRDefault="00E56335" w:rsidP="00015D4C">
            <w:pPr>
              <w:pStyle w:val="Tabletext"/>
              <w:jc w:val="center"/>
              <w:rPr>
                <w:rFonts w:asciiTheme="majorBidi" w:hAnsiTheme="majorBidi" w:cstheme="majorBidi"/>
                <w:szCs w:val="22"/>
                <w:lang w:val="fr-FR"/>
              </w:rPr>
            </w:pPr>
            <w:r w:rsidRPr="0087278C">
              <w:rPr>
                <w:rFonts w:asciiTheme="majorBidi" w:hAnsiTheme="majorBidi" w:cstheme="majorBidi"/>
                <w:szCs w:val="22"/>
                <w:lang w:val="fr-FR"/>
              </w:rPr>
              <w:t>12</w:t>
            </w:r>
          </w:p>
        </w:tc>
      </w:tr>
      <w:tr w:rsidR="00E56335" w:rsidRPr="00850A0F" w:rsidTr="00015D4C">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E56335" w:rsidRPr="0087278C" w:rsidRDefault="00E56335" w:rsidP="00015D4C">
            <w:pPr>
              <w:pStyle w:val="Tabletext"/>
              <w:rPr>
                <w:rFonts w:asciiTheme="majorBidi" w:hAnsiTheme="majorBidi" w:cstheme="majorBidi"/>
                <w:szCs w:val="22"/>
                <w:lang w:val="fr-FR"/>
              </w:rPr>
            </w:pPr>
            <w:r w:rsidRPr="0087278C">
              <w:rPr>
                <w:rFonts w:asciiTheme="majorBidi" w:hAnsiTheme="majorBidi" w:cstheme="majorBidi"/>
                <w:szCs w:val="22"/>
                <w:lang w:val="fr-FR"/>
              </w:rPr>
              <w:t xml:space="preserve">8 x 1 MHz - Moins de 10 x 1 MHz </w:t>
            </w:r>
          </w:p>
        </w:tc>
        <w:tc>
          <w:tcPr>
            <w:tcW w:w="2219" w:type="dxa"/>
            <w:tcBorders>
              <w:top w:val="single" w:sz="8" w:space="0" w:color="000000"/>
              <w:left w:val="single" w:sz="8" w:space="0" w:color="000000"/>
              <w:bottom w:val="single" w:sz="8" w:space="0" w:color="000000"/>
              <w:right w:val="single" w:sz="8" w:space="0" w:color="000000"/>
            </w:tcBorders>
          </w:tcPr>
          <w:p w:rsidR="00E56335" w:rsidRPr="0087278C" w:rsidRDefault="00E56335" w:rsidP="00015D4C">
            <w:pPr>
              <w:pStyle w:val="Tabletext"/>
              <w:jc w:val="center"/>
              <w:rPr>
                <w:rFonts w:asciiTheme="majorBidi" w:hAnsiTheme="majorBidi" w:cstheme="majorBidi"/>
                <w:szCs w:val="22"/>
                <w:lang w:val="fr-FR"/>
              </w:rPr>
            </w:pPr>
            <w:r w:rsidRPr="0087278C">
              <w:rPr>
                <w:rFonts w:asciiTheme="majorBidi" w:hAnsiTheme="majorBidi" w:cstheme="majorBidi"/>
                <w:szCs w:val="22"/>
                <w:lang w:val="fr-FR"/>
              </w:rPr>
              <w:t>15</w:t>
            </w:r>
          </w:p>
        </w:tc>
      </w:tr>
      <w:tr w:rsidR="00E56335" w:rsidRPr="00850A0F" w:rsidTr="00015D4C">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E56335" w:rsidRPr="0087278C" w:rsidRDefault="00E56335" w:rsidP="00015D4C">
            <w:pPr>
              <w:pStyle w:val="Tabletext"/>
              <w:rPr>
                <w:rFonts w:asciiTheme="majorBidi" w:hAnsiTheme="majorBidi" w:cstheme="majorBidi"/>
                <w:szCs w:val="22"/>
                <w:lang w:val="fr-FR"/>
              </w:rPr>
            </w:pPr>
            <w:r w:rsidRPr="0087278C">
              <w:rPr>
                <w:rFonts w:asciiTheme="majorBidi" w:hAnsiTheme="majorBidi" w:cstheme="majorBidi"/>
                <w:szCs w:val="22"/>
                <w:lang w:val="fr-FR"/>
              </w:rPr>
              <w:t xml:space="preserve">10 x 1 MHz </w:t>
            </w:r>
          </w:p>
        </w:tc>
        <w:tc>
          <w:tcPr>
            <w:tcW w:w="2219" w:type="dxa"/>
            <w:tcBorders>
              <w:top w:val="single" w:sz="8" w:space="0" w:color="000000"/>
              <w:left w:val="single" w:sz="8" w:space="0" w:color="000000"/>
              <w:bottom w:val="single" w:sz="8" w:space="0" w:color="000000"/>
              <w:right w:val="single" w:sz="8" w:space="0" w:color="000000"/>
            </w:tcBorders>
          </w:tcPr>
          <w:p w:rsidR="00E56335" w:rsidRPr="0087278C" w:rsidRDefault="00E56335" w:rsidP="00015D4C">
            <w:pPr>
              <w:pStyle w:val="Tabletext"/>
              <w:jc w:val="center"/>
              <w:rPr>
                <w:rFonts w:asciiTheme="majorBidi" w:hAnsiTheme="majorBidi" w:cstheme="majorBidi"/>
                <w:szCs w:val="22"/>
                <w:lang w:val="fr-FR"/>
              </w:rPr>
            </w:pPr>
            <w:r w:rsidRPr="0087278C">
              <w:rPr>
                <w:rFonts w:asciiTheme="majorBidi" w:hAnsiTheme="majorBidi" w:cstheme="majorBidi"/>
                <w:szCs w:val="22"/>
                <w:lang w:val="fr-FR"/>
              </w:rPr>
              <w:t>18</w:t>
            </w:r>
          </w:p>
        </w:tc>
      </w:tr>
      <w:tr w:rsidR="00E56335" w:rsidRPr="00850A0F" w:rsidTr="00015D4C">
        <w:trPr>
          <w:trHeight w:val="319"/>
          <w:jc w:val="center"/>
        </w:trPr>
        <w:tc>
          <w:tcPr>
            <w:tcW w:w="0" w:type="auto"/>
            <w:tcBorders>
              <w:top w:val="single" w:sz="8" w:space="0" w:color="000000"/>
              <w:left w:val="single" w:sz="8" w:space="0" w:color="000000"/>
              <w:bottom w:val="single" w:sz="8" w:space="0" w:color="000000"/>
              <w:right w:val="single" w:sz="8" w:space="0" w:color="000000"/>
            </w:tcBorders>
          </w:tcPr>
          <w:p w:rsidR="00E56335" w:rsidRPr="0087278C" w:rsidRDefault="00E56335" w:rsidP="00015D4C">
            <w:pPr>
              <w:pStyle w:val="Tabletext"/>
              <w:rPr>
                <w:rFonts w:asciiTheme="majorBidi" w:hAnsiTheme="majorBidi" w:cstheme="majorBidi"/>
                <w:szCs w:val="22"/>
                <w:lang w:val="fr-FR"/>
              </w:rPr>
            </w:pPr>
            <w:r w:rsidRPr="0087278C">
              <w:rPr>
                <w:rFonts w:asciiTheme="majorBidi" w:hAnsiTheme="majorBidi" w:cstheme="majorBidi"/>
                <w:szCs w:val="22"/>
                <w:lang w:val="fr-FR"/>
              </w:rPr>
              <w:t xml:space="preserve">Pour chaque 2 x 1 MHz supplémentaire </w:t>
            </w:r>
          </w:p>
        </w:tc>
        <w:tc>
          <w:tcPr>
            <w:tcW w:w="2219" w:type="dxa"/>
            <w:tcBorders>
              <w:top w:val="single" w:sz="8" w:space="0" w:color="000000"/>
              <w:left w:val="single" w:sz="8" w:space="0" w:color="000000"/>
              <w:bottom w:val="single" w:sz="8" w:space="0" w:color="000000"/>
              <w:right w:val="single" w:sz="8" w:space="0" w:color="000000"/>
            </w:tcBorders>
          </w:tcPr>
          <w:p w:rsidR="00E56335" w:rsidRPr="0087278C" w:rsidRDefault="00E56335" w:rsidP="00015D4C">
            <w:pPr>
              <w:pStyle w:val="Tabletext"/>
              <w:jc w:val="center"/>
              <w:rPr>
                <w:rFonts w:asciiTheme="majorBidi" w:hAnsiTheme="majorBidi" w:cstheme="majorBidi"/>
                <w:szCs w:val="22"/>
                <w:lang w:val="fr-FR"/>
              </w:rPr>
            </w:pPr>
            <w:r w:rsidRPr="0087278C">
              <w:rPr>
                <w:rFonts w:asciiTheme="majorBidi" w:hAnsiTheme="majorBidi" w:cstheme="majorBidi"/>
                <w:szCs w:val="22"/>
                <w:lang w:val="fr-FR"/>
              </w:rPr>
              <w:t>3</w:t>
            </w:r>
          </w:p>
        </w:tc>
      </w:tr>
    </w:tbl>
    <w:p w:rsidR="00E56335" w:rsidRPr="00F50942" w:rsidRDefault="00E56335" w:rsidP="00794700">
      <w:pPr>
        <w:pStyle w:val="FigureSource"/>
        <w:keepNext w:val="0"/>
        <w:ind w:left="567" w:hanging="567"/>
      </w:pPr>
    </w:p>
    <w:p w:rsidR="00E56335" w:rsidRPr="000003AA" w:rsidRDefault="00E56335" w:rsidP="00E56335">
      <w:pPr>
        <w:pStyle w:val="Arttitle"/>
        <w:spacing w:before="400"/>
      </w:pPr>
      <w:bookmarkStart w:id="518" w:name="_Toc225739496"/>
      <w:bookmarkStart w:id="519" w:name="_Toc225739840"/>
      <w:bookmarkStart w:id="520" w:name="_Toc280262376"/>
      <w:bookmarkStart w:id="521" w:name="_Toc280272770"/>
      <w:bookmarkStart w:id="522" w:name="_Toc280272949"/>
      <w:r>
        <w:lastRenderedPageBreak/>
        <w:t xml:space="preserve">Article </w:t>
      </w:r>
      <w:r w:rsidRPr="000003AA">
        <w:t>19</w:t>
      </w:r>
      <w:bookmarkEnd w:id="518"/>
      <w:bookmarkEnd w:id="519"/>
      <w:r w:rsidRPr="000003AA">
        <w:br/>
      </w:r>
      <w:r w:rsidRPr="000003AA">
        <w:br/>
      </w:r>
      <w:bookmarkStart w:id="523" w:name="_Toc225739497"/>
      <w:bookmarkStart w:id="524" w:name="_Toc225739841"/>
      <w:r w:rsidRPr="000003AA">
        <w:t>Droits d'utilisation du spectre pour le Service d'amateur</w:t>
      </w:r>
      <w:bookmarkEnd w:id="520"/>
      <w:bookmarkEnd w:id="521"/>
      <w:bookmarkEnd w:id="522"/>
      <w:bookmarkEnd w:id="523"/>
      <w:bookmarkEnd w:id="524"/>
    </w:p>
    <w:p w:rsidR="00E56335" w:rsidRPr="006E6D40" w:rsidRDefault="00E56335" w:rsidP="00E56335">
      <w:pPr>
        <w:rPr>
          <w:szCs w:val="19"/>
        </w:rPr>
      </w:pPr>
      <w:r w:rsidRPr="006E6D40">
        <w:rPr>
          <w:szCs w:val="19"/>
        </w:rPr>
        <w:t>Le montant annuel des droits à acquitter pour obtenir une licence d'amateur est de deux cents (200) AED par équipement hertzien, payable à l'avance.</w:t>
      </w:r>
    </w:p>
    <w:p w:rsidR="00E56335" w:rsidRPr="000003AA" w:rsidRDefault="00E56335" w:rsidP="00E56335">
      <w:pPr>
        <w:pStyle w:val="Arttitle"/>
        <w:spacing w:before="400"/>
      </w:pPr>
      <w:bookmarkStart w:id="525" w:name="_Toc225739498"/>
      <w:bookmarkStart w:id="526" w:name="_Toc225739842"/>
      <w:bookmarkStart w:id="527" w:name="_Toc280262377"/>
      <w:bookmarkStart w:id="528" w:name="_Toc280272771"/>
      <w:bookmarkStart w:id="529" w:name="_Toc280272950"/>
      <w:r>
        <w:t xml:space="preserve">Article </w:t>
      </w:r>
      <w:r w:rsidRPr="000003AA">
        <w:t>20</w:t>
      </w:r>
      <w:bookmarkEnd w:id="525"/>
      <w:bookmarkEnd w:id="526"/>
      <w:r w:rsidRPr="000003AA">
        <w:br/>
      </w:r>
      <w:r w:rsidRPr="000003AA">
        <w:br/>
      </w:r>
      <w:bookmarkStart w:id="530" w:name="_Toc225739499"/>
      <w:bookmarkStart w:id="531" w:name="_Toc225739843"/>
      <w:r w:rsidRPr="000003AA">
        <w:t xml:space="preserve">Droits d'utilisation du spectre à acquitter pour les stations </w:t>
      </w:r>
      <w:r w:rsidRPr="000003AA">
        <w:br/>
        <w:t>de radiocommunication aéronautiques</w:t>
      </w:r>
      <w:bookmarkEnd w:id="527"/>
      <w:bookmarkEnd w:id="528"/>
      <w:bookmarkEnd w:id="529"/>
      <w:bookmarkEnd w:id="530"/>
      <w:bookmarkEnd w:id="531"/>
    </w:p>
    <w:p w:rsidR="00E56335" w:rsidRPr="00C74C5F" w:rsidRDefault="00E56335" w:rsidP="00794700">
      <w:pPr>
        <w:pStyle w:val="enumlev1"/>
        <w:spacing w:before="80"/>
        <w:rPr>
          <w:rFonts w:asciiTheme="majorBidi" w:hAnsiTheme="majorBidi" w:cstheme="majorBidi"/>
          <w:szCs w:val="22"/>
        </w:rPr>
      </w:pPr>
      <w:r w:rsidRPr="00C74C5F">
        <w:rPr>
          <w:rFonts w:asciiTheme="majorBidi" w:hAnsiTheme="majorBidi" w:cstheme="majorBidi"/>
          <w:szCs w:val="22"/>
        </w:rPr>
        <w:t>20.1</w:t>
      </w:r>
      <w:r w:rsidRPr="00C74C5F">
        <w:rPr>
          <w:rFonts w:asciiTheme="majorBidi" w:hAnsiTheme="majorBidi" w:cstheme="majorBidi"/>
          <w:szCs w:val="22"/>
        </w:rPr>
        <w:tab/>
        <w:t>Le montant annuel à acquitter pour chaque licence d'aéronef et d'hélicoptère est de mille (1 000) dirhams. Ce montant inclut tous les équipements hertziens à bord.</w:t>
      </w:r>
    </w:p>
    <w:p w:rsidR="00E56335" w:rsidRPr="00C74C5F" w:rsidRDefault="00E56335" w:rsidP="00794700">
      <w:pPr>
        <w:pStyle w:val="enumlev1"/>
        <w:spacing w:before="80"/>
        <w:rPr>
          <w:rFonts w:asciiTheme="majorBidi" w:hAnsiTheme="majorBidi" w:cstheme="majorBidi"/>
          <w:szCs w:val="22"/>
        </w:rPr>
      </w:pPr>
      <w:r w:rsidRPr="00C74C5F">
        <w:rPr>
          <w:rFonts w:asciiTheme="majorBidi" w:hAnsiTheme="majorBidi" w:cstheme="majorBidi"/>
          <w:szCs w:val="22"/>
        </w:rPr>
        <w:t>20.2</w:t>
      </w:r>
      <w:r w:rsidRPr="00C74C5F">
        <w:rPr>
          <w:rFonts w:asciiTheme="majorBidi" w:hAnsiTheme="majorBidi" w:cstheme="majorBidi"/>
          <w:szCs w:val="22"/>
        </w:rPr>
        <w:tab/>
        <w:t xml:space="preserve">Le montant annuel des droits à acquitter pour les planeurs et les ballons est de trois cents (300) dirhams. </w:t>
      </w:r>
    </w:p>
    <w:p w:rsidR="00E56335" w:rsidRPr="00C74C5F" w:rsidRDefault="00E56335" w:rsidP="00794700">
      <w:pPr>
        <w:pStyle w:val="enumlev1"/>
        <w:spacing w:before="80"/>
        <w:rPr>
          <w:rFonts w:asciiTheme="majorBidi" w:hAnsiTheme="majorBidi" w:cstheme="majorBidi"/>
          <w:szCs w:val="22"/>
        </w:rPr>
      </w:pPr>
      <w:r w:rsidRPr="00C74C5F">
        <w:rPr>
          <w:rFonts w:asciiTheme="majorBidi" w:hAnsiTheme="majorBidi" w:cstheme="majorBidi"/>
          <w:szCs w:val="22"/>
        </w:rPr>
        <w:t>20.3</w:t>
      </w:r>
      <w:r w:rsidRPr="00C74C5F">
        <w:rPr>
          <w:rFonts w:asciiTheme="majorBidi" w:hAnsiTheme="majorBidi" w:cstheme="majorBidi"/>
          <w:szCs w:val="22"/>
        </w:rPr>
        <w:tab/>
        <w:t>Le montant annuel des droits à acquitter pour les liaisons sol-air est fixé conformément à celui du service des radiocommunications mobiles privées. Les liaisons sol</w:t>
      </w:r>
      <w:r w:rsidRPr="00C74C5F">
        <w:rPr>
          <w:rFonts w:asciiTheme="majorBidi" w:hAnsiTheme="majorBidi" w:cstheme="majorBidi"/>
          <w:szCs w:val="22"/>
        </w:rPr>
        <w:noBreakHyphen/>
        <w:t>air en ondes décamétriques sont facturées comme les liaisons point à point du service fixe en ondes décamétriques.</w:t>
      </w:r>
    </w:p>
    <w:p w:rsidR="00E56335" w:rsidRPr="00C74C5F" w:rsidRDefault="00E56335" w:rsidP="00794700">
      <w:pPr>
        <w:pStyle w:val="enumlev1"/>
        <w:spacing w:before="80"/>
        <w:rPr>
          <w:rFonts w:asciiTheme="majorBidi" w:hAnsiTheme="majorBidi" w:cstheme="majorBidi"/>
          <w:szCs w:val="22"/>
        </w:rPr>
      </w:pPr>
      <w:r w:rsidRPr="00C74C5F">
        <w:rPr>
          <w:rFonts w:asciiTheme="majorBidi" w:hAnsiTheme="majorBidi" w:cstheme="majorBidi"/>
          <w:szCs w:val="22"/>
        </w:rPr>
        <w:t>20.4</w:t>
      </w:r>
      <w:r w:rsidRPr="00C74C5F">
        <w:rPr>
          <w:rFonts w:asciiTheme="majorBidi" w:hAnsiTheme="majorBidi" w:cstheme="majorBidi"/>
          <w:szCs w:val="22"/>
        </w:rPr>
        <w:tab/>
        <w:t>Le montant annuel des droits à acquitter pour les stations placées sur des plates</w:t>
      </w:r>
      <w:r w:rsidRPr="00C74C5F">
        <w:rPr>
          <w:rFonts w:asciiTheme="majorBidi" w:hAnsiTheme="majorBidi" w:cstheme="majorBidi"/>
          <w:szCs w:val="22"/>
        </w:rPr>
        <w:noBreakHyphen/>
        <w:t>formes à haute altitude (HAPS) relève de la rubrique services par satellite.</w:t>
      </w:r>
    </w:p>
    <w:p w:rsidR="00E56335" w:rsidRPr="0069101F" w:rsidRDefault="00E56335" w:rsidP="00E56335">
      <w:pPr>
        <w:pStyle w:val="Arttitle"/>
        <w:spacing w:before="400"/>
      </w:pPr>
      <w:bookmarkStart w:id="532" w:name="_Toc225739500"/>
      <w:bookmarkStart w:id="533" w:name="_Toc225739844"/>
      <w:bookmarkStart w:id="534" w:name="_Toc280262378"/>
      <w:bookmarkStart w:id="535" w:name="_Toc280272772"/>
      <w:bookmarkStart w:id="536" w:name="_Toc280272951"/>
      <w:r>
        <w:t xml:space="preserve">Article </w:t>
      </w:r>
      <w:r w:rsidRPr="0069101F">
        <w:t>21</w:t>
      </w:r>
      <w:bookmarkEnd w:id="532"/>
      <w:bookmarkEnd w:id="533"/>
      <w:r w:rsidRPr="0069101F">
        <w:br/>
      </w:r>
      <w:r w:rsidRPr="0069101F">
        <w:br/>
      </w:r>
      <w:bookmarkStart w:id="537" w:name="_Toc225739501"/>
      <w:bookmarkStart w:id="538" w:name="_Toc225739845"/>
      <w:r w:rsidRPr="0069101F">
        <w:t>Droits d'utilisation du spectre pour les services de radiocommunication maritimes</w:t>
      </w:r>
      <w:bookmarkEnd w:id="534"/>
      <w:bookmarkEnd w:id="535"/>
      <w:bookmarkEnd w:id="536"/>
      <w:bookmarkEnd w:id="537"/>
      <w:bookmarkEnd w:id="538"/>
    </w:p>
    <w:p w:rsidR="00E56335" w:rsidRPr="00C74C5F" w:rsidRDefault="00E56335" w:rsidP="00794700">
      <w:pPr>
        <w:pStyle w:val="enumlev1"/>
        <w:spacing w:before="80"/>
        <w:rPr>
          <w:rFonts w:asciiTheme="majorBidi" w:hAnsiTheme="majorBidi" w:cstheme="majorBidi"/>
          <w:szCs w:val="22"/>
        </w:rPr>
      </w:pPr>
      <w:r w:rsidRPr="00C74C5F">
        <w:rPr>
          <w:rFonts w:asciiTheme="majorBidi" w:hAnsiTheme="majorBidi" w:cstheme="majorBidi"/>
          <w:szCs w:val="22"/>
        </w:rPr>
        <w:t>21.1</w:t>
      </w:r>
      <w:r w:rsidRPr="00C74C5F">
        <w:rPr>
          <w:rFonts w:asciiTheme="majorBidi" w:hAnsiTheme="majorBidi" w:cstheme="majorBidi"/>
          <w:szCs w:val="22"/>
        </w:rPr>
        <w:tab/>
        <w:t xml:space="preserve">Le montant annuel de chaque licence pour une petite embarcation est de deux cents (200) dirhams. </w:t>
      </w:r>
    </w:p>
    <w:p w:rsidR="00E56335" w:rsidRPr="00C74C5F" w:rsidRDefault="00E56335" w:rsidP="00794700">
      <w:pPr>
        <w:pStyle w:val="enumlev1"/>
        <w:spacing w:before="80"/>
        <w:rPr>
          <w:rFonts w:asciiTheme="majorBidi" w:hAnsiTheme="majorBidi" w:cstheme="majorBidi"/>
          <w:szCs w:val="22"/>
        </w:rPr>
      </w:pPr>
      <w:r w:rsidRPr="00C74C5F">
        <w:rPr>
          <w:rFonts w:asciiTheme="majorBidi" w:hAnsiTheme="majorBidi" w:cstheme="majorBidi"/>
          <w:szCs w:val="22"/>
        </w:rPr>
        <w:t>21.2</w:t>
      </w:r>
      <w:r w:rsidRPr="00C74C5F">
        <w:rPr>
          <w:rFonts w:asciiTheme="majorBidi" w:hAnsiTheme="majorBidi" w:cstheme="majorBidi"/>
          <w:szCs w:val="22"/>
        </w:rPr>
        <w:tab/>
        <w:t xml:space="preserve">Le montant annuel des droits à acquitter pour chaque caboteur (naviguant dans les limites des eaux territoriales et sans identité MMSI) est de cinq cent cinquante (550) dirhams. </w:t>
      </w:r>
    </w:p>
    <w:p w:rsidR="00E56335" w:rsidRPr="00C74C5F" w:rsidRDefault="00E56335" w:rsidP="00794700">
      <w:pPr>
        <w:pStyle w:val="enumlev1"/>
        <w:spacing w:before="80"/>
        <w:rPr>
          <w:rFonts w:asciiTheme="majorBidi" w:hAnsiTheme="majorBidi" w:cstheme="majorBidi"/>
          <w:szCs w:val="22"/>
        </w:rPr>
      </w:pPr>
      <w:r w:rsidRPr="00C74C5F">
        <w:rPr>
          <w:rFonts w:asciiTheme="majorBidi" w:hAnsiTheme="majorBidi" w:cstheme="majorBidi"/>
          <w:szCs w:val="22"/>
        </w:rPr>
        <w:t>21.3</w:t>
      </w:r>
      <w:r w:rsidRPr="00C74C5F">
        <w:rPr>
          <w:rFonts w:asciiTheme="majorBidi" w:hAnsiTheme="majorBidi" w:cstheme="majorBidi"/>
          <w:szCs w:val="22"/>
        </w:rPr>
        <w:tab/>
        <w:t xml:space="preserve">Le montant annuel des droits à acquitter pour chaque navire (naviguant hors des eaux territoriales et avec identité MMSI) est de mille (1 000) dirhams. </w:t>
      </w:r>
    </w:p>
    <w:p w:rsidR="00E56335" w:rsidRPr="0069101F" w:rsidRDefault="00E56335" w:rsidP="00E56335">
      <w:pPr>
        <w:pStyle w:val="Arttitle"/>
        <w:spacing w:before="400"/>
      </w:pPr>
      <w:bookmarkStart w:id="539" w:name="_Toc225739502"/>
      <w:bookmarkStart w:id="540" w:name="_Toc225739846"/>
      <w:bookmarkStart w:id="541" w:name="_Toc280262379"/>
      <w:bookmarkStart w:id="542" w:name="_Toc280272773"/>
      <w:bookmarkStart w:id="543" w:name="_Toc280272952"/>
      <w:r>
        <w:t xml:space="preserve">Article </w:t>
      </w:r>
      <w:r w:rsidRPr="0069101F">
        <w:t>22</w:t>
      </w:r>
      <w:bookmarkEnd w:id="539"/>
      <w:bookmarkEnd w:id="540"/>
      <w:r w:rsidRPr="0069101F">
        <w:br/>
      </w:r>
      <w:r w:rsidRPr="0069101F">
        <w:br/>
      </w:r>
      <w:bookmarkStart w:id="544" w:name="_Toc225739503"/>
      <w:bookmarkStart w:id="545" w:name="_Toc225739847"/>
      <w:r w:rsidRPr="0069101F">
        <w:t xml:space="preserve">Droits d'utilisation du spectre à acquitter pour les services spatiaux </w:t>
      </w:r>
      <w:r w:rsidRPr="0069101F">
        <w:br/>
        <w:t>et les services auxiliaires</w:t>
      </w:r>
      <w:bookmarkEnd w:id="541"/>
      <w:bookmarkEnd w:id="542"/>
      <w:bookmarkEnd w:id="543"/>
      <w:bookmarkEnd w:id="544"/>
      <w:bookmarkEnd w:id="545"/>
    </w:p>
    <w:p w:rsidR="00E56335" w:rsidRPr="00C74C5F" w:rsidRDefault="00E56335" w:rsidP="00794700">
      <w:pPr>
        <w:pStyle w:val="enumlev1"/>
        <w:spacing w:before="80"/>
        <w:rPr>
          <w:rFonts w:asciiTheme="majorBidi" w:hAnsiTheme="majorBidi" w:cstheme="majorBidi"/>
          <w:szCs w:val="22"/>
        </w:rPr>
      </w:pPr>
      <w:r w:rsidRPr="00C74C5F">
        <w:rPr>
          <w:rFonts w:asciiTheme="majorBidi" w:hAnsiTheme="majorBidi" w:cstheme="majorBidi"/>
          <w:szCs w:val="22"/>
        </w:rPr>
        <w:t>22.1</w:t>
      </w:r>
      <w:r w:rsidRPr="00C74C5F">
        <w:rPr>
          <w:rFonts w:asciiTheme="majorBidi" w:hAnsiTheme="majorBidi" w:cstheme="majorBidi"/>
          <w:szCs w:val="22"/>
        </w:rPr>
        <w:tab/>
        <w:t xml:space="preserve">Le montant annuel à acquitter pour chaque microstation est de cinq mille (5 000) dirhams. </w:t>
      </w:r>
    </w:p>
    <w:p w:rsidR="00E56335" w:rsidRPr="00C74C5F" w:rsidRDefault="00E56335" w:rsidP="00794700">
      <w:pPr>
        <w:pStyle w:val="enumlev1"/>
        <w:spacing w:before="80"/>
        <w:rPr>
          <w:rFonts w:asciiTheme="majorBidi" w:hAnsiTheme="majorBidi" w:cstheme="majorBidi"/>
          <w:szCs w:val="22"/>
        </w:rPr>
      </w:pPr>
      <w:r w:rsidRPr="00C74C5F">
        <w:rPr>
          <w:rFonts w:asciiTheme="majorBidi" w:hAnsiTheme="majorBidi" w:cstheme="majorBidi"/>
          <w:szCs w:val="22"/>
        </w:rPr>
        <w:t>22.2</w:t>
      </w:r>
      <w:r w:rsidRPr="00C74C5F">
        <w:rPr>
          <w:rFonts w:asciiTheme="majorBidi" w:hAnsiTheme="majorBidi" w:cstheme="majorBidi"/>
          <w:szCs w:val="22"/>
        </w:rPr>
        <w:tab/>
        <w:t xml:space="preserve">Le montant annuel à acquitter pour chaque antenne de station terrienne est de cinquante mille (50 000) dirhams. </w:t>
      </w:r>
    </w:p>
    <w:p w:rsidR="00E56335" w:rsidRPr="00C74C5F" w:rsidRDefault="00E56335" w:rsidP="00794700">
      <w:pPr>
        <w:pStyle w:val="enumlev1"/>
        <w:spacing w:before="80"/>
        <w:rPr>
          <w:rFonts w:asciiTheme="majorBidi" w:hAnsiTheme="majorBidi" w:cstheme="majorBidi"/>
          <w:szCs w:val="22"/>
        </w:rPr>
      </w:pPr>
      <w:r w:rsidRPr="00C74C5F">
        <w:rPr>
          <w:rFonts w:asciiTheme="majorBidi" w:hAnsiTheme="majorBidi" w:cstheme="majorBidi"/>
          <w:szCs w:val="22"/>
        </w:rPr>
        <w:t>22.3</w:t>
      </w:r>
      <w:r w:rsidRPr="00C74C5F">
        <w:rPr>
          <w:rFonts w:asciiTheme="majorBidi" w:hAnsiTheme="majorBidi" w:cstheme="majorBidi"/>
          <w:szCs w:val="22"/>
        </w:rPr>
        <w:tab/>
        <w:t xml:space="preserve">La télévision uniquement réceptrice est gratuite. </w:t>
      </w:r>
    </w:p>
    <w:p w:rsidR="00E56335" w:rsidRPr="00C74C5F" w:rsidRDefault="00E56335" w:rsidP="00794700">
      <w:pPr>
        <w:pStyle w:val="enumlev1"/>
        <w:spacing w:before="80"/>
        <w:rPr>
          <w:rFonts w:asciiTheme="majorBidi" w:hAnsiTheme="majorBidi" w:cstheme="majorBidi"/>
          <w:szCs w:val="22"/>
        </w:rPr>
      </w:pPr>
      <w:r w:rsidRPr="00C74C5F">
        <w:rPr>
          <w:rFonts w:asciiTheme="majorBidi" w:hAnsiTheme="majorBidi" w:cstheme="majorBidi"/>
          <w:szCs w:val="22"/>
        </w:rPr>
        <w:t>22.4</w:t>
      </w:r>
      <w:r w:rsidRPr="00C74C5F">
        <w:rPr>
          <w:rFonts w:asciiTheme="majorBidi" w:hAnsiTheme="majorBidi" w:cstheme="majorBidi"/>
          <w:szCs w:val="22"/>
        </w:rPr>
        <w:tab/>
        <w:t>Le montant annuel à acquitter pour chaque reportage d'actualités par satellite numérique est de cinq mille (5 000) dirhams.</w:t>
      </w:r>
    </w:p>
    <w:p w:rsidR="00E56335" w:rsidRPr="00C74C5F" w:rsidRDefault="00E56335" w:rsidP="00794700">
      <w:pPr>
        <w:pStyle w:val="enumlev1"/>
        <w:spacing w:before="80"/>
        <w:rPr>
          <w:rFonts w:asciiTheme="majorBidi" w:hAnsiTheme="majorBidi" w:cstheme="majorBidi"/>
          <w:szCs w:val="22"/>
        </w:rPr>
      </w:pPr>
      <w:r w:rsidRPr="00C74C5F">
        <w:rPr>
          <w:rFonts w:asciiTheme="majorBidi" w:hAnsiTheme="majorBidi" w:cstheme="majorBidi"/>
          <w:szCs w:val="22"/>
        </w:rPr>
        <w:t>22.5</w:t>
      </w:r>
      <w:r w:rsidRPr="00C74C5F">
        <w:rPr>
          <w:rFonts w:asciiTheme="majorBidi" w:hAnsiTheme="majorBidi" w:cstheme="majorBidi"/>
          <w:szCs w:val="22"/>
        </w:rPr>
        <w:tab/>
        <w:t>Le montant annuel à acquitter pour le service mobile aéronautique par satellite est de dix mille (10 000) dirhams.</w:t>
      </w:r>
    </w:p>
    <w:p w:rsidR="00E56335" w:rsidRPr="00C74C5F" w:rsidRDefault="00E56335" w:rsidP="00794700">
      <w:pPr>
        <w:pStyle w:val="enumlev1"/>
        <w:spacing w:before="80"/>
        <w:rPr>
          <w:rFonts w:asciiTheme="majorBidi" w:hAnsiTheme="majorBidi" w:cstheme="majorBidi"/>
          <w:szCs w:val="22"/>
        </w:rPr>
      </w:pPr>
      <w:r w:rsidRPr="00C74C5F">
        <w:rPr>
          <w:rFonts w:asciiTheme="majorBidi" w:hAnsiTheme="majorBidi" w:cstheme="majorBidi"/>
          <w:szCs w:val="22"/>
        </w:rPr>
        <w:t>22.6</w:t>
      </w:r>
      <w:r w:rsidRPr="00C74C5F">
        <w:rPr>
          <w:rFonts w:asciiTheme="majorBidi" w:hAnsiTheme="majorBidi" w:cstheme="majorBidi"/>
          <w:szCs w:val="22"/>
        </w:rPr>
        <w:tab/>
        <w:t>Le montant annuel à acquitter pour le service mobile maritime par satellite est de dix mille (10 000) dirhams.</w:t>
      </w:r>
    </w:p>
    <w:p w:rsidR="00E56335" w:rsidRPr="00C74C5F" w:rsidRDefault="00E56335" w:rsidP="00794700">
      <w:pPr>
        <w:pStyle w:val="enumlev1"/>
        <w:spacing w:before="80"/>
        <w:rPr>
          <w:rFonts w:asciiTheme="majorBidi" w:hAnsiTheme="majorBidi" w:cstheme="majorBidi"/>
          <w:szCs w:val="22"/>
        </w:rPr>
      </w:pPr>
      <w:r w:rsidRPr="00C74C5F">
        <w:rPr>
          <w:rFonts w:asciiTheme="majorBidi" w:hAnsiTheme="majorBidi" w:cstheme="majorBidi"/>
          <w:szCs w:val="22"/>
        </w:rPr>
        <w:lastRenderedPageBreak/>
        <w:t>22.7</w:t>
      </w:r>
      <w:r w:rsidRPr="00C74C5F">
        <w:rPr>
          <w:rFonts w:asciiTheme="majorBidi" w:hAnsiTheme="majorBidi" w:cstheme="majorBidi"/>
          <w:szCs w:val="22"/>
        </w:rPr>
        <w:tab/>
        <w:t>Le montant annuel à acquitter pour les services d'exploration de la Terre par satellite est de dix mille (10 000) dirhams.</w:t>
      </w:r>
    </w:p>
    <w:p w:rsidR="00E56335" w:rsidRPr="00C74C5F" w:rsidRDefault="00E56335" w:rsidP="00794700">
      <w:pPr>
        <w:pStyle w:val="enumlev1"/>
        <w:spacing w:before="80"/>
        <w:rPr>
          <w:rFonts w:asciiTheme="majorBidi" w:hAnsiTheme="majorBidi" w:cstheme="majorBidi"/>
          <w:szCs w:val="22"/>
        </w:rPr>
      </w:pPr>
      <w:r w:rsidRPr="00C74C5F">
        <w:rPr>
          <w:rFonts w:asciiTheme="majorBidi" w:hAnsiTheme="majorBidi" w:cstheme="majorBidi"/>
          <w:szCs w:val="22"/>
        </w:rPr>
        <w:t>22.8</w:t>
      </w:r>
      <w:r w:rsidRPr="00C74C5F">
        <w:rPr>
          <w:rFonts w:asciiTheme="majorBidi" w:hAnsiTheme="majorBidi" w:cstheme="majorBidi"/>
          <w:szCs w:val="22"/>
        </w:rPr>
        <w:tab/>
        <w:t>Le montant annuel à acquitter pour les stations HAPS est déterminé par la TRA, en fonction de la finalité de l'utilisation.</w:t>
      </w:r>
    </w:p>
    <w:p w:rsidR="00E56335" w:rsidRPr="00336437" w:rsidRDefault="00E56335" w:rsidP="00E56335">
      <w:pPr>
        <w:pStyle w:val="Arttitle"/>
        <w:spacing w:before="400"/>
      </w:pPr>
      <w:bookmarkStart w:id="546" w:name="_Toc225739504"/>
      <w:bookmarkStart w:id="547" w:name="_Toc225739848"/>
      <w:bookmarkStart w:id="548" w:name="_Toc280262380"/>
      <w:bookmarkStart w:id="549" w:name="_Toc280272774"/>
      <w:bookmarkStart w:id="550" w:name="_Toc280272953"/>
      <w:r>
        <w:t xml:space="preserve">Article </w:t>
      </w:r>
      <w:r w:rsidRPr="00336437">
        <w:t>23</w:t>
      </w:r>
      <w:bookmarkEnd w:id="546"/>
      <w:bookmarkEnd w:id="547"/>
      <w:r w:rsidRPr="00336437">
        <w:br/>
      </w:r>
      <w:r w:rsidRPr="00336437">
        <w:br/>
      </w:r>
      <w:bookmarkStart w:id="551" w:name="_Toc225739505"/>
      <w:bookmarkStart w:id="552" w:name="_Toc225739849"/>
      <w:r w:rsidRPr="00336437">
        <w:t>Droits à acquitter pour les stations de radionavigation</w:t>
      </w:r>
      <w:bookmarkEnd w:id="548"/>
      <w:bookmarkEnd w:id="549"/>
      <w:bookmarkEnd w:id="550"/>
      <w:bookmarkEnd w:id="551"/>
      <w:bookmarkEnd w:id="552"/>
    </w:p>
    <w:p w:rsidR="00E56335" w:rsidRPr="001C00F5" w:rsidRDefault="00E56335" w:rsidP="00E56335">
      <w:pPr>
        <w:rPr>
          <w:color w:val="000000"/>
          <w:lang w:val="fr-FR"/>
        </w:rPr>
      </w:pPr>
      <w:r w:rsidRPr="001C00F5">
        <w:rPr>
          <w:lang w:val="fr-FR"/>
        </w:rPr>
        <w:t>Le montant annuel à acquitter pour chaque station de radionavigation est de mille (1 000) dirhams.</w:t>
      </w:r>
    </w:p>
    <w:p w:rsidR="00E56335" w:rsidRPr="00336437" w:rsidRDefault="00E56335" w:rsidP="00E56335">
      <w:pPr>
        <w:pStyle w:val="Arttitle"/>
        <w:spacing w:before="400"/>
      </w:pPr>
      <w:bookmarkStart w:id="553" w:name="_Toc225739506"/>
      <w:bookmarkStart w:id="554" w:name="_Toc225739850"/>
      <w:bookmarkStart w:id="555" w:name="_Toc280262381"/>
      <w:bookmarkStart w:id="556" w:name="_Toc280272775"/>
      <w:bookmarkStart w:id="557" w:name="_Toc280272954"/>
      <w:r>
        <w:t xml:space="preserve">Article </w:t>
      </w:r>
      <w:r w:rsidRPr="00336437">
        <w:t>24</w:t>
      </w:r>
      <w:bookmarkEnd w:id="553"/>
      <w:bookmarkEnd w:id="554"/>
      <w:r w:rsidRPr="00336437">
        <w:br/>
      </w:r>
      <w:r w:rsidRPr="00336437">
        <w:br/>
      </w:r>
      <w:bookmarkStart w:id="558" w:name="_Toc225739507"/>
      <w:bookmarkStart w:id="559" w:name="_Toc225739851"/>
      <w:r w:rsidRPr="00336437">
        <w:t>Droits à acquitter pour les stations de radioastronomie</w:t>
      </w:r>
      <w:bookmarkEnd w:id="555"/>
      <w:bookmarkEnd w:id="556"/>
      <w:bookmarkEnd w:id="557"/>
      <w:bookmarkEnd w:id="558"/>
      <w:bookmarkEnd w:id="559"/>
    </w:p>
    <w:p w:rsidR="00E56335" w:rsidRPr="001C00F5" w:rsidRDefault="00E56335" w:rsidP="00E56335">
      <w:pPr>
        <w:rPr>
          <w:color w:val="000000"/>
          <w:lang w:val="fr-FR"/>
        </w:rPr>
      </w:pPr>
      <w:r w:rsidRPr="001C00F5">
        <w:rPr>
          <w:lang w:val="fr-FR"/>
        </w:rPr>
        <w:t>Le montant annuel à acquitter pour chaque station de radioastronomie est de cinq cents (500) dirhams.</w:t>
      </w:r>
    </w:p>
    <w:p w:rsidR="00E56335" w:rsidRPr="00336437" w:rsidRDefault="00E56335" w:rsidP="00E56335">
      <w:pPr>
        <w:pStyle w:val="Arttitle"/>
        <w:spacing w:before="400"/>
      </w:pPr>
      <w:bookmarkStart w:id="560" w:name="_Toc225739508"/>
      <w:bookmarkStart w:id="561" w:name="_Toc225739852"/>
      <w:bookmarkStart w:id="562" w:name="_Toc280262382"/>
      <w:bookmarkStart w:id="563" w:name="_Toc280272776"/>
      <w:bookmarkStart w:id="564" w:name="_Toc280272955"/>
      <w:r>
        <w:t xml:space="preserve">Article </w:t>
      </w:r>
      <w:r w:rsidRPr="00336437">
        <w:t>25</w:t>
      </w:r>
      <w:bookmarkEnd w:id="560"/>
      <w:bookmarkEnd w:id="561"/>
      <w:r w:rsidRPr="00336437">
        <w:br/>
      </w:r>
      <w:r w:rsidRPr="00336437">
        <w:br/>
      </w:r>
      <w:bookmarkStart w:id="565" w:name="_Toc225739509"/>
      <w:bookmarkStart w:id="566" w:name="_Toc225739853"/>
      <w:r w:rsidRPr="00336437">
        <w:t>Droits à acquitter pour les stations de radiolocalisation</w:t>
      </w:r>
      <w:bookmarkEnd w:id="562"/>
      <w:bookmarkEnd w:id="563"/>
      <w:bookmarkEnd w:id="564"/>
      <w:bookmarkEnd w:id="565"/>
      <w:bookmarkEnd w:id="566"/>
    </w:p>
    <w:p w:rsidR="00E56335" w:rsidRPr="007D7851" w:rsidRDefault="00E56335" w:rsidP="00E56335">
      <w:r w:rsidRPr="007D7851">
        <w:t>Le montant annuel des droits à acquitter pour chaque radar côtier maritime, radar météorologique, radar au sol, station de surveillance aéronautique, station de contrôle d'approche, station d'observation des océans, des mouvements en surface et de localisation est de cinq mille (5 000) dirhams.</w:t>
      </w:r>
    </w:p>
    <w:p w:rsidR="00E56335" w:rsidRPr="00336437" w:rsidRDefault="00E56335" w:rsidP="00E56335">
      <w:pPr>
        <w:pStyle w:val="Arttitle"/>
        <w:spacing w:before="400"/>
      </w:pPr>
      <w:bookmarkStart w:id="567" w:name="_Toc225739510"/>
      <w:bookmarkStart w:id="568" w:name="_Toc225739854"/>
      <w:bookmarkStart w:id="569" w:name="_Toc280262383"/>
      <w:bookmarkStart w:id="570" w:name="_Toc280272777"/>
      <w:bookmarkStart w:id="571" w:name="_Toc280272956"/>
      <w:r>
        <w:t xml:space="preserve">Article </w:t>
      </w:r>
      <w:r w:rsidRPr="00336437">
        <w:t>26</w:t>
      </w:r>
      <w:bookmarkEnd w:id="567"/>
      <w:bookmarkEnd w:id="568"/>
      <w:r w:rsidRPr="00336437">
        <w:br/>
      </w:r>
      <w:r w:rsidRPr="00336437">
        <w:br/>
      </w:r>
      <w:bookmarkStart w:id="572" w:name="_Toc225739511"/>
      <w:bookmarkStart w:id="573" w:name="_Toc225739855"/>
      <w:r w:rsidRPr="00336437">
        <w:t>Droits à acquitter pour le service de radiodiffusion</w:t>
      </w:r>
      <w:bookmarkEnd w:id="569"/>
      <w:bookmarkEnd w:id="570"/>
      <w:bookmarkEnd w:id="571"/>
      <w:bookmarkEnd w:id="572"/>
      <w:bookmarkEnd w:id="573"/>
    </w:p>
    <w:p w:rsidR="00E56335" w:rsidRPr="009F1673" w:rsidRDefault="00E56335" w:rsidP="00794700">
      <w:pPr>
        <w:pStyle w:val="enumlev1"/>
        <w:spacing w:before="80"/>
        <w:rPr>
          <w:rFonts w:asciiTheme="majorBidi" w:hAnsiTheme="majorBidi" w:cstheme="majorBidi"/>
          <w:szCs w:val="22"/>
        </w:rPr>
      </w:pPr>
      <w:r w:rsidRPr="009F1673">
        <w:rPr>
          <w:rFonts w:asciiTheme="majorBidi" w:hAnsiTheme="majorBidi" w:cstheme="majorBidi"/>
          <w:szCs w:val="22"/>
        </w:rPr>
        <w:t>26.1</w:t>
      </w:r>
      <w:r w:rsidRPr="009F1673">
        <w:rPr>
          <w:rFonts w:asciiTheme="majorBidi" w:hAnsiTheme="majorBidi" w:cstheme="majorBidi"/>
          <w:szCs w:val="22"/>
        </w:rPr>
        <w:tab/>
        <w:t>Radiodiffusion et télévision de Terre</w:t>
      </w:r>
    </w:p>
    <w:p w:rsidR="00E56335" w:rsidRPr="00B4213F" w:rsidRDefault="00E56335" w:rsidP="00E56335">
      <w:pPr>
        <w:ind w:left="794" w:hanging="794"/>
        <w:rPr>
          <w:b/>
          <w:lang w:val="fr-FR"/>
        </w:rPr>
      </w:pPr>
      <w:r w:rsidRPr="00B4213F">
        <w:rPr>
          <w:lang w:val="fr-FR"/>
        </w:rPr>
        <w:tab/>
        <w:t>Le montant annuel des droits à acquitter pour une station de radiodiffusion individuelle est calculé comme suit:</w:t>
      </w:r>
    </w:p>
    <w:p w:rsidR="00E56335" w:rsidRPr="00B4213F" w:rsidRDefault="00E56335" w:rsidP="00E56335">
      <w:pPr>
        <w:tabs>
          <w:tab w:val="left" w:pos="851"/>
        </w:tabs>
        <w:suppressAutoHyphens/>
        <w:rPr>
          <w:b/>
          <w:szCs w:val="19"/>
          <w:lang w:val="fr-FR"/>
        </w:rPr>
      </w:pPr>
      <w:r w:rsidRPr="00B4213F">
        <w:rPr>
          <w:b/>
          <w:szCs w:val="19"/>
          <w:lang w:val="fr-FR"/>
        </w:rPr>
        <w:tab/>
        <w:t>Montant à acquitter (par station) = A + B * C * D * E * F</w:t>
      </w:r>
    </w:p>
    <w:p w:rsidR="00E56335" w:rsidRPr="001C00F5" w:rsidRDefault="00E56335" w:rsidP="00E56335">
      <w:pPr>
        <w:tabs>
          <w:tab w:val="left" w:pos="851"/>
        </w:tabs>
        <w:rPr>
          <w:lang w:val="fr-FR"/>
        </w:rPr>
      </w:pPr>
      <w:r w:rsidRPr="001C00F5">
        <w:rPr>
          <w:b/>
          <w:lang w:val="fr-FR"/>
        </w:rPr>
        <w:tab/>
        <w:t>A = Montant de base</w:t>
      </w:r>
      <w:r w:rsidRPr="001C00F5">
        <w:rPr>
          <w:lang w:val="fr-FR"/>
        </w:rPr>
        <w:t xml:space="preserve"> = 30 000 AED.</w:t>
      </w:r>
    </w:p>
    <w:p w:rsidR="00E56335" w:rsidRPr="001C00F5" w:rsidRDefault="00E56335" w:rsidP="00E56335">
      <w:pPr>
        <w:tabs>
          <w:tab w:val="left" w:pos="851"/>
        </w:tabs>
        <w:ind w:left="851" w:hanging="851"/>
        <w:rPr>
          <w:lang w:val="fr-FR"/>
        </w:rPr>
      </w:pPr>
      <w:r w:rsidRPr="001C00F5">
        <w:rPr>
          <w:lang w:val="fr-FR"/>
        </w:rPr>
        <w:tab/>
        <w:t>NOTE – Dans le cas d'un réseau à fréquence unique (RFU), le réseau complet est considéré comme étant un seul émetteur et le montant de base est facturé une fois pour ce réseau, tandis que le reste des droits à acquitter est facturé pour chaque station.</w:t>
      </w:r>
    </w:p>
    <w:p w:rsidR="00E56335" w:rsidRPr="001C00F5" w:rsidRDefault="00E56335" w:rsidP="00E56335">
      <w:pPr>
        <w:tabs>
          <w:tab w:val="left" w:pos="851"/>
        </w:tabs>
        <w:ind w:left="851" w:hanging="851"/>
        <w:rPr>
          <w:lang w:val="fr-FR"/>
        </w:rPr>
      </w:pPr>
      <w:r w:rsidRPr="001C00F5">
        <w:rPr>
          <w:b/>
          <w:lang w:val="fr-FR"/>
        </w:rPr>
        <w:tab/>
        <w:t xml:space="preserve">B = Facteur de puissance = </w:t>
      </w:r>
      <w:r w:rsidRPr="001C00F5">
        <w:rPr>
          <w:lang w:val="fr-FR"/>
        </w:rPr>
        <w:t>La puissance, exprimée en kilowatts [kW], égale à la puissance émise par l'émetteur (en cas d'émission en ondes longues, moyennes ou courtes) et à la puissance apparente rayonnée (</w:t>
      </w:r>
      <w:r>
        <w:rPr>
          <w:lang w:val="fr-FR"/>
        </w:rPr>
        <w:t>p.a.r.</w:t>
      </w:r>
      <w:r w:rsidRPr="001C00F5">
        <w:rPr>
          <w:lang w:val="fr-FR"/>
        </w:rPr>
        <w:t>) dans tous les autres cas.</w:t>
      </w:r>
    </w:p>
    <w:p w:rsidR="00E56335" w:rsidRDefault="00E56335" w:rsidP="00E56335">
      <w:pPr>
        <w:tabs>
          <w:tab w:val="left" w:pos="851"/>
        </w:tabs>
        <w:spacing w:after="360"/>
        <w:rPr>
          <w:lang w:val="fr-FR"/>
        </w:rPr>
      </w:pPr>
      <w:r w:rsidRPr="001C00F5">
        <w:rPr>
          <w:b/>
          <w:lang w:val="fr-FR"/>
        </w:rPr>
        <w:tab/>
        <w:t>C = Coefficient de type de service</w:t>
      </w:r>
      <w:r w:rsidRPr="001C00F5">
        <w:rPr>
          <w:lang w:val="fr-FR"/>
        </w:rPr>
        <w:t>,</w:t>
      </w:r>
      <w:r w:rsidRPr="001C00F5">
        <w:rPr>
          <w:b/>
          <w:lang w:val="fr-FR"/>
        </w:rPr>
        <w:t xml:space="preserve"> </w:t>
      </w:r>
      <w:r>
        <w:rPr>
          <w:lang w:val="fr-FR"/>
        </w:rPr>
        <w:t>comme suit:</w:t>
      </w:r>
    </w:p>
    <w:p w:rsidR="00E56335" w:rsidRDefault="00E56335" w:rsidP="00E56335">
      <w:pPr>
        <w:tabs>
          <w:tab w:val="clear" w:pos="794"/>
          <w:tab w:val="clear" w:pos="1191"/>
          <w:tab w:val="clear" w:pos="1588"/>
          <w:tab w:val="clear" w:pos="1985"/>
        </w:tabs>
        <w:overflowPunct/>
        <w:autoSpaceDE/>
        <w:autoSpaceDN/>
        <w:adjustRightInd/>
        <w:spacing w:before="0"/>
        <w:jc w:val="left"/>
        <w:textAlignment w:val="auto"/>
        <w:rPr>
          <w:szCs w:val="19"/>
        </w:rPr>
      </w:pPr>
      <w:r>
        <w:rPr>
          <w:szCs w:val="19"/>
        </w:rPr>
        <w:br w:type="page"/>
      </w:r>
    </w:p>
    <w:p w:rsidR="00E56335" w:rsidRDefault="00E56335" w:rsidP="00E56335">
      <w:pPr>
        <w:pStyle w:val="FigureTitle"/>
      </w:pPr>
      <w:r w:rsidRPr="00F50942">
        <w:lastRenderedPageBreak/>
        <w:t>Table</w:t>
      </w:r>
      <w:r>
        <w:t>au</w:t>
      </w:r>
      <w:r w:rsidRPr="00F50942">
        <w:t xml:space="preserve"> </w:t>
      </w:r>
      <w:fldSimple w:instr=" SEQ Figure \* ARABIC ">
        <w:r>
          <w:rPr>
            <w:noProof/>
          </w:rPr>
          <w:t>1</w:t>
        </w:r>
      </w:fldSimple>
      <w:r w:rsidRPr="00F50942">
        <w:t xml:space="preserve"> – </w:t>
      </w:r>
      <w:r w:rsidRPr="001C00F5">
        <w:rPr>
          <w:lang w:val="fr-FR"/>
        </w:rPr>
        <w:t>Définition des coefficients de type de service (C) pour les services de radiodiffusion sonore</w:t>
      </w:r>
      <w:r w:rsidRPr="00F50942">
        <w:t xml:space="preserve"> </w:t>
      </w:r>
    </w:p>
    <w:p w:rsidR="00E56335" w:rsidRPr="00D018D4" w:rsidRDefault="00E56335" w:rsidP="00E56335">
      <w:pPr>
        <w:rPr>
          <w:lang w:val="en-US"/>
        </w:rPr>
      </w:pPr>
    </w:p>
    <w:tbl>
      <w:tblPr>
        <w:tblW w:w="0" w:type="auto"/>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2"/>
        <w:gridCol w:w="2496"/>
        <w:gridCol w:w="1620"/>
        <w:gridCol w:w="1829"/>
      </w:tblGrid>
      <w:tr w:rsidR="00E56335" w:rsidRPr="00F50942" w:rsidTr="00015D4C">
        <w:trPr>
          <w:trHeight w:val="397"/>
          <w:jc w:val="center"/>
        </w:trPr>
        <w:tc>
          <w:tcPr>
            <w:tcW w:w="7517" w:type="dxa"/>
            <w:gridSpan w:val="4"/>
            <w:tcBorders>
              <w:bottom w:val="single" w:sz="4" w:space="0" w:color="auto"/>
            </w:tcBorders>
            <w:shd w:val="clear" w:color="auto" w:fill="E6E6E6"/>
            <w:vAlign w:val="center"/>
          </w:tcPr>
          <w:p w:rsidR="00E56335" w:rsidRPr="00200C50" w:rsidRDefault="00E56335" w:rsidP="00015D4C">
            <w:pPr>
              <w:pStyle w:val="Tablehead"/>
              <w:rPr>
                <w:rFonts w:asciiTheme="majorBidi" w:hAnsiTheme="majorBidi" w:cstheme="majorBidi"/>
                <w:szCs w:val="22"/>
              </w:rPr>
            </w:pPr>
            <w:r w:rsidRPr="00200C50">
              <w:rPr>
                <w:rFonts w:asciiTheme="majorBidi" w:hAnsiTheme="majorBidi" w:cstheme="majorBidi"/>
                <w:szCs w:val="22"/>
                <w:lang w:val="fr-FR"/>
              </w:rPr>
              <w:t>Service de radiodiffusion sonore</w:t>
            </w:r>
          </w:p>
        </w:tc>
      </w:tr>
      <w:tr w:rsidR="00E56335" w:rsidRPr="00F50942" w:rsidTr="00015D4C">
        <w:trPr>
          <w:trHeight w:val="397"/>
          <w:jc w:val="center"/>
        </w:trPr>
        <w:tc>
          <w:tcPr>
            <w:tcW w:w="1572" w:type="dxa"/>
            <w:shd w:val="clear" w:color="auto" w:fill="E6E6E6"/>
            <w:vAlign w:val="center"/>
          </w:tcPr>
          <w:p w:rsidR="00E56335" w:rsidRPr="00200C50" w:rsidRDefault="00E56335" w:rsidP="00015D4C">
            <w:pPr>
              <w:pStyle w:val="Tablehead"/>
              <w:rPr>
                <w:rFonts w:asciiTheme="majorBidi" w:hAnsiTheme="majorBidi" w:cstheme="majorBidi"/>
                <w:szCs w:val="22"/>
              </w:rPr>
            </w:pPr>
            <w:r w:rsidRPr="00200C50">
              <w:rPr>
                <w:rFonts w:asciiTheme="majorBidi" w:hAnsiTheme="majorBidi" w:cstheme="majorBidi"/>
                <w:szCs w:val="22"/>
                <w:lang w:val="fr-FR"/>
              </w:rPr>
              <w:t>Type de service</w:t>
            </w:r>
          </w:p>
        </w:tc>
        <w:tc>
          <w:tcPr>
            <w:tcW w:w="2496" w:type="dxa"/>
            <w:shd w:val="clear" w:color="auto" w:fill="E6E6E6"/>
            <w:vAlign w:val="center"/>
          </w:tcPr>
          <w:p w:rsidR="00E56335" w:rsidRPr="00200C50" w:rsidRDefault="00E56335" w:rsidP="00015D4C">
            <w:pPr>
              <w:pStyle w:val="Tablehead"/>
              <w:rPr>
                <w:rFonts w:asciiTheme="majorBidi" w:hAnsiTheme="majorBidi" w:cstheme="majorBidi"/>
                <w:szCs w:val="22"/>
              </w:rPr>
            </w:pPr>
            <w:r w:rsidRPr="00200C50">
              <w:rPr>
                <w:rFonts w:asciiTheme="majorBidi" w:hAnsiTheme="majorBidi" w:cstheme="majorBidi"/>
                <w:szCs w:val="22"/>
                <w:lang w:val="fr-FR"/>
              </w:rPr>
              <w:t>Gamme de fréquences</w:t>
            </w:r>
          </w:p>
        </w:tc>
        <w:tc>
          <w:tcPr>
            <w:tcW w:w="1620" w:type="dxa"/>
            <w:shd w:val="clear" w:color="auto" w:fill="E6E6E6"/>
            <w:vAlign w:val="center"/>
          </w:tcPr>
          <w:p w:rsidR="00E56335" w:rsidRPr="00200C50" w:rsidRDefault="00E56335" w:rsidP="00015D4C">
            <w:pPr>
              <w:pStyle w:val="Tablehead"/>
              <w:rPr>
                <w:rFonts w:asciiTheme="majorBidi" w:hAnsiTheme="majorBidi" w:cstheme="majorBidi"/>
                <w:szCs w:val="22"/>
              </w:rPr>
            </w:pPr>
            <w:r w:rsidRPr="00200C50">
              <w:rPr>
                <w:rFonts w:asciiTheme="majorBidi" w:hAnsiTheme="majorBidi" w:cstheme="majorBidi"/>
                <w:szCs w:val="22"/>
                <w:lang w:val="fr-FR"/>
              </w:rPr>
              <w:t>Largeur de bande</w:t>
            </w:r>
          </w:p>
        </w:tc>
        <w:tc>
          <w:tcPr>
            <w:tcW w:w="1829" w:type="dxa"/>
            <w:shd w:val="clear" w:color="auto" w:fill="E6E6E6"/>
            <w:vAlign w:val="center"/>
          </w:tcPr>
          <w:p w:rsidR="00E56335" w:rsidRPr="00200C50" w:rsidRDefault="00E56335" w:rsidP="00015D4C">
            <w:pPr>
              <w:pStyle w:val="Tablehead"/>
              <w:rPr>
                <w:rFonts w:asciiTheme="majorBidi" w:hAnsiTheme="majorBidi" w:cstheme="majorBidi"/>
                <w:szCs w:val="22"/>
              </w:rPr>
            </w:pPr>
            <w:r w:rsidRPr="00200C50">
              <w:rPr>
                <w:rFonts w:asciiTheme="majorBidi" w:hAnsiTheme="majorBidi" w:cstheme="majorBidi"/>
                <w:szCs w:val="22"/>
                <w:lang w:val="fr-FR"/>
              </w:rPr>
              <w:t>Coefficient de type de service (C)</w:t>
            </w:r>
          </w:p>
        </w:tc>
      </w:tr>
      <w:tr w:rsidR="00E56335" w:rsidRPr="00F50942" w:rsidTr="00015D4C">
        <w:trPr>
          <w:trHeight w:val="368"/>
          <w:jc w:val="center"/>
        </w:trPr>
        <w:tc>
          <w:tcPr>
            <w:tcW w:w="1572" w:type="dxa"/>
            <w:vMerge w:val="restart"/>
          </w:tcPr>
          <w:p w:rsidR="00E56335" w:rsidRPr="00200C50" w:rsidRDefault="00E56335" w:rsidP="00015D4C">
            <w:pPr>
              <w:pStyle w:val="Tabletext"/>
              <w:jc w:val="center"/>
              <w:rPr>
                <w:rFonts w:asciiTheme="majorBidi" w:hAnsiTheme="majorBidi" w:cstheme="majorBidi"/>
                <w:szCs w:val="22"/>
              </w:rPr>
            </w:pPr>
            <w:r w:rsidRPr="00200C50">
              <w:rPr>
                <w:rFonts w:asciiTheme="majorBidi" w:hAnsiTheme="majorBidi" w:cstheme="majorBidi"/>
                <w:szCs w:val="22"/>
                <w:lang w:val="fr-FR"/>
              </w:rPr>
              <w:t>Ondes kilométriques/</w:t>
            </w:r>
            <w:r w:rsidRPr="00200C50">
              <w:rPr>
                <w:rFonts w:asciiTheme="majorBidi" w:hAnsiTheme="majorBidi" w:cstheme="majorBidi"/>
                <w:szCs w:val="22"/>
                <w:lang w:val="fr-FR"/>
              </w:rPr>
              <w:br/>
              <w:t>hectométriques</w:t>
            </w:r>
          </w:p>
        </w:tc>
        <w:tc>
          <w:tcPr>
            <w:tcW w:w="2496" w:type="dxa"/>
            <w:shd w:val="clear" w:color="auto" w:fill="auto"/>
          </w:tcPr>
          <w:p w:rsidR="00E56335" w:rsidRPr="00200C50" w:rsidRDefault="00E56335" w:rsidP="00015D4C">
            <w:pPr>
              <w:pStyle w:val="Tabletext"/>
              <w:jc w:val="center"/>
              <w:rPr>
                <w:rFonts w:asciiTheme="majorBidi" w:hAnsiTheme="majorBidi" w:cstheme="majorBidi"/>
                <w:szCs w:val="22"/>
              </w:rPr>
            </w:pPr>
            <w:r w:rsidRPr="00200C50">
              <w:rPr>
                <w:rFonts w:asciiTheme="majorBidi" w:hAnsiTheme="majorBidi" w:cstheme="majorBidi"/>
                <w:szCs w:val="22"/>
                <w:lang w:val="fr-FR"/>
              </w:rPr>
              <w:t>148,5-283,5 kHz</w:t>
            </w:r>
          </w:p>
        </w:tc>
        <w:tc>
          <w:tcPr>
            <w:tcW w:w="1620" w:type="dxa"/>
            <w:shd w:val="clear" w:color="auto" w:fill="auto"/>
          </w:tcPr>
          <w:p w:rsidR="00E56335" w:rsidRPr="00200C50" w:rsidRDefault="00E56335" w:rsidP="00015D4C">
            <w:pPr>
              <w:pStyle w:val="Tabletext"/>
              <w:jc w:val="center"/>
              <w:rPr>
                <w:rFonts w:asciiTheme="majorBidi" w:hAnsiTheme="majorBidi" w:cstheme="majorBidi"/>
                <w:szCs w:val="22"/>
              </w:rPr>
            </w:pPr>
            <w:r w:rsidRPr="00200C50">
              <w:rPr>
                <w:rFonts w:asciiTheme="majorBidi" w:hAnsiTheme="majorBidi" w:cstheme="majorBidi"/>
                <w:szCs w:val="22"/>
              </w:rPr>
              <w:t>9 kHz</w:t>
            </w:r>
          </w:p>
        </w:tc>
        <w:tc>
          <w:tcPr>
            <w:tcW w:w="1829" w:type="dxa"/>
            <w:vMerge w:val="restart"/>
            <w:vAlign w:val="center"/>
          </w:tcPr>
          <w:p w:rsidR="00E56335" w:rsidRPr="00200C50" w:rsidRDefault="00E56335" w:rsidP="00015D4C">
            <w:pPr>
              <w:pStyle w:val="Tabletext"/>
              <w:jc w:val="center"/>
              <w:rPr>
                <w:rFonts w:asciiTheme="majorBidi" w:hAnsiTheme="majorBidi" w:cstheme="majorBidi"/>
                <w:szCs w:val="22"/>
              </w:rPr>
            </w:pPr>
            <w:r w:rsidRPr="00200C50">
              <w:rPr>
                <w:rFonts w:asciiTheme="majorBidi" w:hAnsiTheme="majorBidi" w:cstheme="majorBidi"/>
                <w:szCs w:val="22"/>
              </w:rPr>
              <w:t>8</w:t>
            </w:r>
          </w:p>
        </w:tc>
      </w:tr>
      <w:tr w:rsidR="00E56335" w:rsidRPr="00F50942" w:rsidTr="00015D4C">
        <w:trPr>
          <w:jc w:val="center"/>
        </w:trPr>
        <w:tc>
          <w:tcPr>
            <w:tcW w:w="1572" w:type="dxa"/>
            <w:vMerge/>
          </w:tcPr>
          <w:p w:rsidR="00E56335" w:rsidRPr="00200C50" w:rsidRDefault="00E56335" w:rsidP="00015D4C">
            <w:pPr>
              <w:pStyle w:val="Tabletext"/>
              <w:jc w:val="center"/>
              <w:rPr>
                <w:rFonts w:asciiTheme="majorBidi" w:hAnsiTheme="majorBidi" w:cstheme="majorBidi"/>
                <w:szCs w:val="22"/>
              </w:rPr>
            </w:pPr>
          </w:p>
        </w:tc>
        <w:tc>
          <w:tcPr>
            <w:tcW w:w="2496" w:type="dxa"/>
            <w:shd w:val="clear" w:color="auto" w:fill="auto"/>
          </w:tcPr>
          <w:p w:rsidR="00E56335" w:rsidRPr="00200C50" w:rsidRDefault="00E56335" w:rsidP="00015D4C">
            <w:pPr>
              <w:pStyle w:val="Tabletext"/>
              <w:jc w:val="center"/>
              <w:rPr>
                <w:rFonts w:asciiTheme="majorBidi" w:hAnsiTheme="majorBidi" w:cstheme="majorBidi"/>
                <w:szCs w:val="22"/>
              </w:rPr>
            </w:pPr>
            <w:r w:rsidRPr="00200C50">
              <w:rPr>
                <w:rFonts w:asciiTheme="majorBidi" w:hAnsiTheme="majorBidi" w:cstheme="majorBidi"/>
                <w:szCs w:val="22"/>
                <w:lang w:val="fr-FR"/>
              </w:rPr>
              <w:t>526,5-1 606,5 kHz</w:t>
            </w:r>
          </w:p>
        </w:tc>
        <w:tc>
          <w:tcPr>
            <w:tcW w:w="1620" w:type="dxa"/>
            <w:shd w:val="clear" w:color="auto" w:fill="auto"/>
          </w:tcPr>
          <w:p w:rsidR="00E56335" w:rsidRPr="00200C50" w:rsidRDefault="00E56335" w:rsidP="00015D4C">
            <w:pPr>
              <w:pStyle w:val="Tabletext"/>
              <w:jc w:val="center"/>
              <w:rPr>
                <w:rFonts w:asciiTheme="majorBidi" w:hAnsiTheme="majorBidi" w:cstheme="majorBidi"/>
                <w:szCs w:val="22"/>
              </w:rPr>
            </w:pPr>
            <w:r w:rsidRPr="00200C50">
              <w:rPr>
                <w:rFonts w:asciiTheme="majorBidi" w:hAnsiTheme="majorBidi" w:cstheme="majorBidi"/>
                <w:szCs w:val="22"/>
              </w:rPr>
              <w:t>9 kHz</w:t>
            </w:r>
          </w:p>
        </w:tc>
        <w:tc>
          <w:tcPr>
            <w:tcW w:w="1829" w:type="dxa"/>
            <w:vMerge/>
            <w:vAlign w:val="center"/>
          </w:tcPr>
          <w:p w:rsidR="00E56335" w:rsidRPr="00200C50" w:rsidRDefault="00E56335" w:rsidP="00015D4C">
            <w:pPr>
              <w:pStyle w:val="Tabletext"/>
              <w:jc w:val="center"/>
              <w:rPr>
                <w:rFonts w:asciiTheme="majorBidi" w:hAnsiTheme="majorBidi" w:cstheme="majorBidi"/>
                <w:szCs w:val="22"/>
              </w:rPr>
            </w:pPr>
          </w:p>
        </w:tc>
      </w:tr>
      <w:tr w:rsidR="00E56335" w:rsidRPr="00F50942" w:rsidTr="00015D4C">
        <w:trPr>
          <w:trHeight w:val="233"/>
          <w:jc w:val="center"/>
        </w:trPr>
        <w:tc>
          <w:tcPr>
            <w:tcW w:w="1572" w:type="dxa"/>
            <w:vMerge w:val="restart"/>
          </w:tcPr>
          <w:p w:rsidR="00E56335" w:rsidRPr="00200C50" w:rsidRDefault="00E56335" w:rsidP="00015D4C">
            <w:pPr>
              <w:pStyle w:val="Tabletext"/>
              <w:jc w:val="center"/>
              <w:rPr>
                <w:rFonts w:asciiTheme="majorBidi" w:hAnsiTheme="majorBidi" w:cstheme="majorBidi"/>
                <w:szCs w:val="22"/>
              </w:rPr>
            </w:pPr>
            <w:r w:rsidRPr="00200C50">
              <w:rPr>
                <w:rFonts w:asciiTheme="majorBidi" w:hAnsiTheme="majorBidi" w:cstheme="majorBidi"/>
                <w:szCs w:val="22"/>
                <w:lang w:val="fr-FR"/>
              </w:rPr>
              <w:t>Ondes métriques</w:t>
            </w:r>
          </w:p>
        </w:tc>
        <w:tc>
          <w:tcPr>
            <w:tcW w:w="2496" w:type="dxa"/>
            <w:shd w:val="clear" w:color="auto" w:fill="auto"/>
          </w:tcPr>
          <w:p w:rsidR="00E56335" w:rsidRPr="00200C50" w:rsidRDefault="00E56335" w:rsidP="00015D4C">
            <w:pPr>
              <w:pStyle w:val="Tabletext"/>
              <w:jc w:val="center"/>
              <w:rPr>
                <w:rFonts w:asciiTheme="majorBidi" w:hAnsiTheme="majorBidi" w:cstheme="majorBidi"/>
                <w:szCs w:val="22"/>
              </w:rPr>
            </w:pPr>
            <w:r w:rsidRPr="00200C50">
              <w:rPr>
                <w:rFonts w:asciiTheme="majorBidi" w:hAnsiTheme="majorBidi" w:cstheme="majorBidi"/>
                <w:szCs w:val="22"/>
                <w:lang w:val="fr-FR"/>
              </w:rPr>
              <w:t>87,5-108 MHz</w:t>
            </w:r>
          </w:p>
        </w:tc>
        <w:tc>
          <w:tcPr>
            <w:tcW w:w="1620" w:type="dxa"/>
            <w:shd w:val="clear" w:color="auto" w:fill="auto"/>
          </w:tcPr>
          <w:p w:rsidR="00E56335" w:rsidRPr="00200C50" w:rsidRDefault="00E56335" w:rsidP="00015D4C">
            <w:pPr>
              <w:pStyle w:val="Tabletext"/>
              <w:jc w:val="center"/>
              <w:rPr>
                <w:rFonts w:asciiTheme="majorBidi" w:hAnsiTheme="majorBidi" w:cstheme="majorBidi"/>
                <w:szCs w:val="22"/>
              </w:rPr>
            </w:pPr>
            <w:r w:rsidRPr="00200C50">
              <w:rPr>
                <w:rFonts w:asciiTheme="majorBidi" w:hAnsiTheme="majorBidi" w:cstheme="majorBidi"/>
                <w:szCs w:val="22"/>
              </w:rPr>
              <w:t>200 kHz</w:t>
            </w:r>
          </w:p>
        </w:tc>
        <w:tc>
          <w:tcPr>
            <w:tcW w:w="1829" w:type="dxa"/>
          </w:tcPr>
          <w:p w:rsidR="00E56335" w:rsidRPr="00200C50" w:rsidRDefault="00E56335" w:rsidP="00015D4C">
            <w:pPr>
              <w:pStyle w:val="Tabletext"/>
              <w:jc w:val="center"/>
              <w:rPr>
                <w:rFonts w:asciiTheme="majorBidi" w:hAnsiTheme="majorBidi" w:cstheme="majorBidi"/>
                <w:szCs w:val="22"/>
              </w:rPr>
            </w:pPr>
            <w:r w:rsidRPr="00200C50">
              <w:rPr>
                <w:rFonts w:asciiTheme="majorBidi" w:hAnsiTheme="majorBidi" w:cstheme="majorBidi"/>
                <w:szCs w:val="22"/>
              </w:rPr>
              <w:t>16</w:t>
            </w:r>
          </w:p>
        </w:tc>
      </w:tr>
      <w:tr w:rsidR="00E56335" w:rsidRPr="00F50942" w:rsidTr="00015D4C">
        <w:trPr>
          <w:trHeight w:val="305"/>
          <w:jc w:val="center"/>
        </w:trPr>
        <w:tc>
          <w:tcPr>
            <w:tcW w:w="1572" w:type="dxa"/>
            <w:vMerge/>
          </w:tcPr>
          <w:p w:rsidR="00E56335" w:rsidRPr="00200C50" w:rsidDel="00192A8E" w:rsidRDefault="00E56335" w:rsidP="00015D4C">
            <w:pPr>
              <w:pStyle w:val="Tabletext"/>
              <w:jc w:val="center"/>
              <w:rPr>
                <w:rFonts w:asciiTheme="majorBidi" w:hAnsiTheme="majorBidi" w:cstheme="majorBidi"/>
                <w:szCs w:val="22"/>
              </w:rPr>
            </w:pPr>
          </w:p>
        </w:tc>
        <w:tc>
          <w:tcPr>
            <w:tcW w:w="2496" w:type="dxa"/>
            <w:shd w:val="clear" w:color="auto" w:fill="auto"/>
          </w:tcPr>
          <w:p w:rsidR="00E56335" w:rsidRPr="00200C50" w:rsidRDefault="00E56335" w:rsidP="00015D4C">
            <w:pPr>
              <w:pStyle w:val="Tabletext"/>
              <w:jc w:val="center"/>
              <w:rPr>
                <w:rFonts w:asciiTheme="majorBidi" w:hAnsiTheme="majorBidi" w:cstheme="majorBidi"/>
                <w:szCs w:val="22"/>
              </w:rPr>
            </w:pPr>
            <w:r w:rsidRPr="00200C50">
              <w:rPr>
                <w:rFonts w:asciiTheme="majorBidi" w:hAnsiTheme="majorBidi" w:cstheme="majorBidi"/>
                <w:szCs w:val="22"/>
                <w:lang w:val="fr-FR"/>
              </w:rPr>
              <w:t>174-230 MHz</w:t>
            </w:r>
          </w:p>
        </w:tc>
        <w:tc>
          <w:tcPr>
            <w:tcW w:w="1620" w:type="dxa"/>
            <w:shd w:val="clear" w:color="auto" w:fill="auto"/>
          </w:tcPr>
          <w:p w:rsidR="00E56335" w:rsidRPr="00200C50" w:rsidRDefault="00E56335" w:rsidP="00015D4C">
            <w:pPr>
              <w:pStyle w:val="Tabletext"/>
              <w:jc w:val="center"/>
              <w:rPr>
                <w:rFonts w:asciiTheme="majorBidi" w:hAnsiTheme="majorBidi" w:cstheme="majorBidi"/>
                <w:szCs w:val="22"/>
              </w:rPr>
            </w:pPr>
            <w:r w:rsidRPr="00200C50">
              <w:rPr>
                <w:rFonts w:asciiTheme="majorBidi" w:hAnsiTheme="majorBidi" w:cstheme="majorBidi"/>
                <w:szCs w:val="22"/>
                <w:lang w:val="fr-FR"/>
              </w:rPr>
              <w:t>1,536 MHz</w:t>
            </w:r>
          </w:p>
        </w:tc>
        <w:tc>
          <w:tcPr>
            <w:tcW w:w="1829" w:type="dxa"/>
          </w:tcPr>
          <w:p w:rsidR="00E56335" w:rsidRPr="00200C50" w:rsidRDefault="00E56335" w:rsidP="00015D4C">
            <w:pPr>
              <w:pStyle w:val="Tabletext"/>
              <w:jc w:val="center"/>
              <w:rPr>
                <w:rFonts w:asciiTheme="majorBidi" w:hAnsiTheme="majorBidi" w:cstheme="majorBidi"/>
                <w:szCs w:val="22"/>
              </w:rPr>
            </w:pPr>
            <w:r w:rsidRPr="00200C50">
              <w:rPr>
                <w:rFonts w:asciiTheme="majorBidi" w:hAnsiTheme="majorBidi" w:cstheme="majorBidi"/>
                <w:szCs w:val="22"/>
              </w:rPr>
              <w:t>18</w:t>
            </w:r>
          </w:p>
        </w:tc>
      </w:tr>
    </w:tbl>
    <w:p w:rsidR="00E56335" w:rsidRDefault="00E56335" w:rsidP="00E56335">
      <w:pPr>
        <w:pStyle w:val="FigureSource"/>
      </w:pPr>
    </w:p>
    <w:p w:rsidR="00E56335" w:rsidRDefault="00E56335" w:rsidP="00E56335"/>
    <w:p w:rsidR="00E56335" w:rsidRDefault="00E56335" w:rsidP="00E56335">
      <w:pPr>
        <w:pStyle w:val="FigureTitle"/>
      </w:pPr>
      <w:r w:rsidRPr="00F50942">
        <w:t>Table</w:t>
      </w:r>
      <w:r>
        <w:t>au</w:t>
      </w:r>
      <w:r w:rsidRPr="00F50942">
        <w:t xml:space="preserve"> </w:t>
      </w:r>
      <w:fldSimple w:instr=" SEQ Figure \* ARABIC ">
        <w:r>
          <w:rPr>
            <w:noProof/>
          </w:rPr>
          <w:t>2</w:t>
        </w:r>
      </w:fldSimple>
      <w:r w:rsidRPr="00F50942">
        <w:t xml:space="preserve"> – </w:t>
      </w:r>
      <w:r w:rsidRPr="001C00F5">
        <w:rPr>
          <w:lang w:val="fr-FR"/>
        </w:rPr>
        <w:t>Définition des coefficients de type de service (C) pour les services de radiodiffusion télévisuelle</w:t>
      </w:r>
    </w:p>
    <w:p w:rsidR="00E56335" w:rsidRPr="00B5798C" w:rsidRDefault="00E56335" w:rsidP="00E56335">
      <w:pPr>
        <w:rPr>
          <w:lang w:val="en-US"/>
        </w:rPr>
      </w:pPr>
    </w:p>
    <w:tbl>
      <w:tblPr>
        <w:tblW w:w="0" w:type="auto"/>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6"/>
        <w:gridCol w:w="2515"/>
        <w:gridCol w:w="1443"/>
        <w:gridCol w:w="2117"/>
      </w:tblGrid>
      <w:tr w:rsidR="00E56335" w:rsidRPr="00B4213F" w:rsidTr="00015D4C">
        <w:trPr>
          <w:trHeight w:val="397"/>
          <w:jc w:val="center"/>
        </w:trPr>
        <w:tc>
          <w:tcPr>
            <w:tcW w:w="7631" w:type="dxa"/>
            <w:gridSpan w:val="4"/>
            <w:tcBorders>
              <w:bottom w:val="single" w:sz="4" w:space="0" w:color="auto"/>
            </w:tcBorders>
            <w:shd w:val="clear" w:color="auto" w:fill="E6E6E6"/>
            <w:vAlign w:val="center"/>
          </w:tcPr>
          <w:p w:rsidR="00E56335" w:rsidRPr="0066622E" w:rsidRDefault="00E56335" w:rsidP="00015D4C">
            <w:pPr>
              <w:pStyle w:val="Tablehead"/>
              <w:rPr>
                <w:rFonts w:asciiTheme="majorBidi" w:hAnsiTheme="majorBidi" w:cstheme="majorBidi"/>
                <w:szCs w:val="22"/>
                <w:lang w:val="fr-FR"/>
              </w:rPr>
            </w:pPr>
            <w:r w:rsidRPr="0066622E">
              <w:rPr>
                <w:rFonts w:asciiTheme="majorBidi" w:hAnsiTheme="majorBidi" w:cstheme="majorBidi"/>
                <w:szCs w:val="22"/>
                <w:lang w:val="fr-FR"/>
              </w:rPr>
              <w:t>Service de radiodiffusion télévisuelle</w:t>
            </w:r>
          </w:p>
        </w:tc>
      </w:tr>
      <w:tr w:rsidR="00E56335" w:rsidRPr="007E2B73" w:rsidTr="00015D4C">
        <w:trPr>
          <w:trHeight w:val="397"/>
          <w:jc w:val="center"/>
        </w:trPr>
        <w:tc>
          <w:tcPr>
            <w:tcW w:w="1556" w:type="dxa"/>
            <w:shd w:val="clear" w:color="auto" w:fill="E6E6E6"/>
            <w:vAlign w:val="center"/>
          </w:tcPr>
          <w:p w:rsidR="00E56335" w:rsidRPr="0066622E" w:rsidRDefault="00E56335" w:rsidP="00015D4C">
            <w:pPr>
              <w:pStyle w:val="Tablehead"/>
              <w:rPr>
                <w:rFonts w:asciiTheme="majorBidi" w:hAnsiTheme="majorBidi" w:cstheme="majorBidi"/>
                <w:szCs w:val="22"/>
                <w:lang w:val="fr-FR"/>
              </w:rPr>
            </w:pPr>
            <w:r w:rsidRPr="0066622E">
              <w:rPr>
                <w:rFonts w:asciiTheme="majorBidi" w:hAnsiTheme="majorBidi" w:cstheme="majorBidi"/>
                <w:szCs w:val="22"/>
                <w:lang w:val="fr-FR"/>
              </w:rPr>
              <w:t>Type de service</w:t>
            </w:r>
          </w:p>
        </w:tc>
        <w:tc>
          <w:tcPr>
            <w:tcW w:w="2515" w:type="dxa"/>
            <w:shd w:val="clear" w:color="auto" w:fill="E6E6E6"/>
            <w:vAlign w:val="center"/>
          </w:tcPr>
          <w:p w:rsidR="00E56335" w:rsidRPr="0066622E" w:rsidRDefault="00E56335" w:rsidP="00015D4C">
            <w:pPr>
              <w:pStyle w:val="Tablehead"/>
              <w:rPr>
                <w:rFonts w:asciiTheme="majorBidi" w:hAnsiTheme="majorBidi" w:cstheme="majorBidi"/>
                <w:szCs w:val="22"/>
                <w:lang w:val="fr-FR"/>
              </w:rPr>
            </w:pPr>
            <w:r w:rsidRPr="0066622E">
              <w:rPr>
                <w:rFonts w:asciiTheme="majorBidi" w:hAnsiTheme="majorBidi" w:cstheme="majorBidi"/>
                <w:szCs w:val="22"/>
                <w:lang w:val="fr-FR"/>
              </w:rPr>
              <w:t>Gamme de fréquences</w:t>
            </w:r>
          </w:p>
        </w:tc>
        <w:tc>
          <w:tcPr>
            <w:tcW w:w="1443" w:type="dxa"/>
            <w:shd w:val="clear" w:color="auto" w:fill="E6E6E6"/>
            <w:vAlign w:val="center"/>
          </w:tcPr>
          <w:p w:rsidR="00E56335" w:rsidRPr="0066622E" w:rsidRDefault="00E56335" w:rsidP="00015D4C">
            <w:pPr>
              <w:pStyle w:val="Tablehead"/>
              <w:rPr>
                <w:rFonts w:asciiTheme="majorBidi" w:hAnsiTheme="majorBidi" w:cstheme="majorBidi"/>
                <w:szCs w:val="22"/>
                <w:lang w:val="fr-FR"/>
              </w:rPr>
            </w:pPr>
            <w:r w:rsidRPr="0066622E">
              <w:rPr>
                <w:rFonts w:asciiTheme="majorBidi" w:hAnsiTheme="majorBidi" w:cstheme="majorBidi"/>
                <w:szCs w:val="22"/>
                <w:lang w:val="fr-FR"/>
              </w:rPr>
              <w:t>Largeur de bande</w:t>
            </w:r>
          </w:p>
        </w:tc>
        <w:tc>
          <w:tcPr>
            <w:tcW w:w="2117" w:type="dxa"/>
            <w:shd w:val="clear" w:color="auto" w:fill="E6E6E6"/>
            <w:vAlign w:val="center"/>
          </w:tcPr>
          <w:p w:rsidR="00E56335" w:rsidRPr="0066622E" w:rsidRDefault="00E56335" w:rsidP="00015D4C">
            <w:pPr>
              <w:pStyle w:val="Tablehead"/>
              <w:rPr>
                <w:rFonts w:asciiTheme="majorBidi" w:hAnsiTheme="majorBidi" w:cstheme="majorBidi"/>
                <w:szCs w:val="22"/>
                <w:lang w:val="fr-FR"/>
              </w:rPr>
            </w:pPr>
            <w:r w:rsidRPr="0066622E">
              <w:rPr>
                <w:rFonts w:asciiTheme="majorBidi" w:hAnsiTheme="majorBidi" w:cstheme="majorBidi"/>
                <w:szCs w:val="22"/>
                <w:lang w:val="fr-FR"/>
              </w:rPr>
              <w:t>Coefficient de type de service (C)</w:t>
            </w:r>
          </w:p>
        </w:tc>
      </w:tr>
      <w:tr w:rsidR="00E56335" w:rsidRPr="00B4213F" w:rsidTr="00015D4C">
        <w:trPr>
          <w:jc w:val="center"/>
        </w:trPr>
        <w:tc>
          <w:tcPr>
            <w:tcW w:w="1556" w:type="dxa"/>
            <w:vMerge w:val="restart"/>
            <w:shd w:val="clear" w:color="auto" w:fill="auto"/>
            <w:vAlign w:val="center"/>
          </w:tcPr>
          <w:p w:rsidR="00E56335" w:rsidRPr="0066622E" w:rsidRDefault="00E56335" w:rsidP="00015D4C">
            <w:pPr>
              <w:pStyle w:val="Tabletext"/>
              <w:jc w:val="center"/>
              <w:rPr>
                <w:rFonts w:asciiTheme="majorBidi" w:hAnsiTheme="majorBidi" w:cstheme="majorBidi"/>
                <w:szCs w:val="22"/>
                <w:lang w:val="fr-FR"/>
              </w:rPr>
            </w:pPr>
            <w:r w:rsidRPr="0066622E">
              <w:rPr>
                <w:rFonts w:asciiTheme="majorBidi" w:hAnsiTheme="majorBidi" w:cstheme="majorBidi"/>
                <w:szCs w:val="22"/>
                <w:lang w:val="fr-FR"/>
              </w:rPr>
              <w:t>Ondes métriques</w:t>
            </w:r>
          </w:p>
        </w:tc>
        <w:tc>
          <w:tcPr>
            <w:tcW w:w="2515" w:type="dxa"/>
            <w:shd w:val="clear" w:color="auto" w:fill="auto"/>
          </w:tcPr>
          <w:p w:rsidR="00E56335" w:rsidRPr="0066622E" w:rsidRDefault="00E56335" w:rsidP="00015D4C">
            <w:pPr>
              <w:pStyle w:val="Tabletext"/>
              <w:jc w:val="center"/>
              <w:rPr>
                <w:rFonts w:asciiTheme="majorBidi" w:hAnsiTheme="majorBidi" w:cstheme="majorBidi"/>
                <w:szCs w:val="22"/>
                <w:lang w:val="fr-FR"/>
              </w:rPr>
            </w:pPr>
            <w:r w:rsidRPr="0066622E">
              <w:rPr>
                <w:rFonts w:asciiTheme="majorBidi" w:hAnsiTheme="majorBidi" w:cstheme="majorBidi"/>
                <w:szCs w:val="22"/>
                <w:lang w:val="fr-FR"/>
              </w:rPr>
              <w:t>47-68 MHz</w:t>
            </w:r>
          </w:p>
        </w:tc>
        <w:tc>
          <w:tcPr>
            <w:tcW w:w="1443" w:type="dxa"/>
            <w:vMerge w:val="restart"/>
            <w:shd w:val="clear" w:color="auto" w:fill="auto"/>
            <w:vAlign w:val="center"/>
          </w:tcPr>
          <w:p w:rsidR="00E56335" w:rsidRPr="0066622E" w:rsidRDefault="00E56335" w:rsidP="00015D4C">
            <w:pPr>
              <w:pStyle w:val="Tabletext"/>
              <w:jc w:val="center"/>
              <w:rPr>
                <w:rFonts w:asciiTheme="majorBidi" w:hAnsiTheme="majorBidi" w:cstheme="majorBidi"/>
                <w:szCs w:val="22"/>
                <w:lang w:val="fr-FR"/>
              </w:rPr>
            </w:pPr>
            <w:r w:rsidRPr="0066622E">
              <w:rPr>
                <w:rFonts w:asciiTheme="majorBidi" w:hAnsiTheme="majorBidi" w:cstheme="majorBidi"/>
                <w:szCs w:val="22"/>
                <w:lang w:val="fr-FR"/>
              </w:rPr>
              <w:t>7 MHz</w:t>
            </w:r>
          </w:p>
        </w:tc>
        <w:tc>
          <w:tcPr>
            <w:tcW w:w="2117" w:type="dxa"/>
            <w:vMerge w:val="restart"/>
            <w:vAlign w:val="center"/>
          </w:tcPr>
          <w:p w:rsidR="00E56335" w:rsidRPr="0066622E" w:rsidRDefault="00E56335" w:rsidP="00015D4C">
            <w:pPr>
              <w:pStyle w:val="Tabletext"/>
              <w:jc w:val="center"/>
              <w:rPr>
                <w:rFonts w:asciiTheme="majorBidi" w:hAnsiTheme="majorBidi" w:cstheme="majorBidi"/>
                <w:szCs w:val="22"/>
                <w:lang w:val="fr-FR"/>
              </w:rPr>
            </w:pPr>
            <w:r w:rsidRPr="0066622E">
              <w:rPr>
                <w:rFonts w:asciiTheme="majorBidi" w:hAnsiTheme="majorBidi" w:cstheme="majorBidi"/>
                <w:szCs w:val="22"/>
                <w:lang w:val="fr-FR"/>
              </w:rPr>
              <w:t>24</w:t>
            </w:r>
          </w:p>
        </w:tc>
      </w:tr>
      <w:tr w:rsidR="00E56335" w:rsidRPr="00B4213F" w:rsidTr="00015D4C">
        <w:trPr>
          <w:trHeight w:val="377"/>
          <w:jc w:val="center"/>
        </w:trPr>
        <w:tc>
          <w:tcPr>
            <w:tcW w:w="1556" w:type="dxa"/>
            <w:vMerge/>
            <w:shd w:val="clear" w:color="auto" w:fill="auto"/>
          </w:tcPr>
          <w:p w:rsidR="00E56335" w:rsidRPr="0066622E" w:rsidRDefault="00E56335" w:rsidP="00015D4C">
            <w:pPr>
              <w:pStyle w:val="Tabletext"/>
              <w:jc w:val="center"/>
              <w:rPr>
                <w:rFonts w:asciiTheme="majorBidi" w:hAnsiTheme="majorBidi" w:cstheme="majorBidi"/>
                <w:szCs w:val="22"/>
                <w:lang w:val="fr-FR"/>
              </w:rPr>
            </w:pPr>
          </w:p>
        </w:tc>
        <w:tc>
          <w:tcPr>
            <w:tcW w:w="2515" w:type="dxa"/>
            <w:shd w:val="clear" w:color="auto" w:fill="auto"/>
          </w:tcPr>
          <w:p w:rsidR="00E56335" w:rsidRPr="0066622E" w:rsidRDefault="00E56335" w:rsidP="00015D4C">
            <w:pPr>
              <w:pStyle w:val="Tabletext"/>
              <w:jc w:val="center"/>
              <w:rPr>
                <w:rFonts w:asciiTheme="majorBidi" w:hAnsiTheme="majorBidi" w:cstheme="majorBidi"/>
                <w:szCs w:val="22"/>
                <w:lang w:val="fr-FR"/>
              </w:rPr>
            </w:pPr>
            <w:r w:rsidRPr="0066622E">
              <w:rPr>
                <w:rFonts w:asciiTheme="majorBidi" w:hAnsiTheme="majorBidi" w:cstheme="majorBidi"/>
                <w:szCs w:val="22"/>
                <w:lang w:val="fr-FR"/>
              </w:rPr>
              <w:t>174-230 MHz</w:t>
            </w:r>
          </w:p>
        </w:tc>
        <w:tc>
          <w:tcPr>
            <w:tcW w:w="1443" w:type="dxa"/>
            <w:vMerge/>
            <w:shd w:val="clear" w:color="auto" w:fill="auto"/>
            <w:vAlign w:val="center"/>
          </w:tcPr>
          <w:p w:rsidR="00E56335" w:rsidRPr="0066622E" w:rsidRDefault="00E56335" w:rsidP="00015D4C">
            <w:pPr>
              <w:pStyle w:val="Tabletext"/>
              <w:jc w:val="center"/>
              <w:rPr>
                <w:rFonts w:asciiTheme="majorBidi" w:hAnsiTheme="majorBidi" w:cstheme="majorBidi"/>
                <w:szCs w:val="22"/>
                <w:lang w:val="fr-FR"/>
              </w:rPr>
            </w:pPr>
          </w:p>
        </w:tc>
        <w:tc>
          <w:tcPr>
            <w:tcW w:w="2117" w:type="dxa"/>
            <w:vMerge/>
          </w:tcPr>
          <w:p w:rsidR="00E56335" w:rsidRPr="0066622E" w:rsidRDefault="00E56335" w:rsidP="00015D4C">
            <w:pPr>
              <w:pStyle w:val="Tabletext"/>
              <w:jc w:val="center"/>
              <w:rPr>
                <w:rFonts w:asciiTheme="majorBidi" w:hAnsiTheme="majorBidi" w:cstheme="majorBidi"/>
                <w:szCs w:val="22"/>
                <w:lang w:val="fr-FR"/>
              </w:rPr>
            </w:pPr>
          </w:p>
        </w:tc>
      </w:tr>
      <w:tr w:rsidR="00E56335" w:rsidRPr="00B4213F" w:rsidTr="00015D4C">
        <w:trPr>
          <w:trHeight w:val="485"/>
          <w:jc w:val="center"/>
        </w:trPr>
        <w:tc>
          <w:tcPr>
            <w:tcW w:w="1556" w:type="dxa"/>
            <w:shd w:val="clear" w:color="auto" w:fill="auto"/>
          </w:tcPr>
          <w:p w:rsidR="00E56335" w:rsidRPr="0066622E" w:rsidRDefault="00E56335" w:rsidP="00015D4C">
            <w:pPr>
              <w:pStyle w:val="Tabletext"/>
              <w:jc w:val="center"/>
              <w:rPr>
                <w:rFonts w:asciiTheme="majorBidi" w:hAnsiTheme="majorBidi" w:cstheme="majorBidi"/>
                <w:szCs w:val="22"/>
                <w:lang w:val="fr-FR"/>
              </w:rPr>
            </w:pPr>
            <w:r w:rsidRPr="0066622E">
              <w:rPr>
                <w:rFonts w:asciiTheme="majorBidi" w:hAnsiTheme="majorBidi" w:cstheme="majorBidi"/>
                <w:szCs w:val="22"/>
                <w:lang w:val="fr-FR"/>
              </w:rPr>
              <w:t>Ondes décimétriques</w:t>
            </w:r>
          </w:p>
        </w:tc>
        <w:tc>
          <w:tcPr>
            <w:tcW w:w="2515" w:type="dxa"/>
            <w:shd w:val="clear" w:color="auto" w:fill="auto"/>
          </w:tcPr>
          <w:p w:rsidR="00E56335" w:rsidRPr="0066622E" w:rsidRDefault="00E56335" w:rsidP="00015D4C">
            <w:pPr>
              <w:pStyle w:val="Tabletext"/>
              <w:jc w:val="center"/>
              <w:rPr>
                <w:rFonts w:asciiTheme="majorBidi" w:hAnsiTheme="majorBidi" w:cstheme="majorBidi"/>
                <w:szCs w:val="22"/>
                <w:lang w:val="fr-FR"/>
              </w:rPr>
            </w:pPr>
            <w:r w:rsidRPr="0066622E">
              <w:rPr>
                <w:rFonts w:asciiTheme="majorBidi" w:hAnsiTheme="majorBidi" w:cstheme="majorBidi"/>
                <w:szCs w:val="22"/>
                <w:lang w:val="fr-FR"/>
              </w:rPr>
              <w:t>470-862 MHz</w:t>
            </w:r>
          </w:p>
        </w:tc>
        <w:tc>
          <w:tcPr>
            <w:tcW w:w="1443" w:type="dxa"/>
            <w:shd w:val="clear" w:color="auto" w:fill="auto"/>
            <w:vAlign w:val="center"/>
          </w:tcPr>
          <w:p w:rsidR="00E56335" w:rsidRPr="0066622E" w:rsidRDefault="00E56335" w:rsidP="00015D4C">
            <w:pPr>
              <w:pStyle w:val="Tabletext"/>
              <w:jc w:val="center"/>
              <w:rPr>
                <w:rFonts w:asciiTheme="majorBidi" w:hAnsiTheme="majorBidi" w:cstheme="majorBidi"/>
                <w:szCs w:val="22"/>
                <w:lang w:val="fr-FR"/>
              </w:rPr>
            </w:pPr>
            <w:r w:rsidRPr="0066622E">
              <w:rPr>
                <w:rFonts w:asciiTheme="majorBidi" w:hAnsiTheme="majorBidi" w:cstheme="majorBidi"/>
                <w:szCs w:val="22"/>
                <w:lang w:val="fr-FR"/>
              </w:rPr>
              <w:t>8 MHz</w:t>
            </w:r>
          </w:p>
        </w:tc>
        <w:tc>
          <w:tcPr>
            <w:tcW w:w="2117" w:type="dxa"/>
          </w:tcPr>
          <w:p w:rsidR="00E56335" w:rsidRPr="0066622E" w:rsidRDefault="00E56335" w:rsidP="00015D4C">
            <w:pPr>
              <w:pStyle w:val="Tabletext"/>
              <w:jc w:val="center"/>
              <w:rPr>
                <w:rFonts w:asciiTheme="majorBidi" w:hAnsiTheme="majorBidi" w:cstheme="majorBidi"/>
                <w:szCs w:val="22"/>
                <w:lang w:val="fr-FR"/>
              </w:rPr>
            </w:pPr>
            <w:r w:rsidRPr="0066622E">
              <w:rPr>
                <w:rFonts w:asciiTheme="majorBidi" w:hAnsiTheme="majorBidi" w:cstheme="majorBidi"/>
                <w:szCs w:val="22"/>
                <w:lang w:val="fr-FR"/>
              </w:rPr>
              <w:t>36</w:t>
            </w:r>
          </w:p>
        </w:tc>
      </w:tr>
    </w:tbl>
    <w:p w:rsidR="00E56335" w:rsidRDefault="00E56335" w:rsidP="00E56335">
      <w:pPr>
        <w:pStyle w:val="FigureSource"/>
      </w:pPr>
    </w:p>
    <w:p w:rsidR="00E56335" w:rsidRDefault="00E56335" w:rsidP="00E56335">
      <w:pPr>
        <w:tabs>
          <w:tab w:val="clear" w:pos="794"/>
          <w:tab w:val="clear" w:pos="1191"/>
          <w:tab w:val="clear" w:pos="1588"/>
          <w:tab w:val="clear" w:pos="1985"/>
        </w:tabs>
        <w:overflowPunct/>
        <w:autoSpaceDE/>
        <w:autoSpaceDN/>
        <w:adjustRightInd/>
        <w:spacing w:before="0"/>
        <w:jc w:val="left"/>
        <w:textAlignment w:val="auto"/>
        <w:rPr>
          <w:b/>
          <w:lang w:val="fr-FR"/>
        </w:rPr>
      </w:pPr>
      <w:r>
        <w:rPr>
          <w:b/>
          <w:lang w:val="fr-FR"/>
        </w:rPr>
        <w:br w:type="page"/>
      </w:r>
    </w:p>
    <w:p w:rsidR="00E56335" w:rsidRDefault="00E56335" w:rsidP="00E56335">
      <w:pPr>
        <w:spacing w:after="120"/>
        <w:ind w:left="1599" w:hanging="159"/>
        <w:rPr>
          <w:b/>
          <w:lang w:val="fr-FR"/>
        </w:rPr>
      </w:pPr>
      <w:r w:rsidRPr="001C00F5">
        <w:rPr>
          <w:b/>
          <w:lang w:val="fr-FR"/>
        </w:rPr>
        <w:lastRenderedPageBreak/>
        <w:t>D = Coefficient de zone de service, comme suit:</w:t>
      </w:r>
    </w:p>
    <w:p w:rsidR="00E56335" w:rsidRDefault="00E56335" w:rsidP="00E56335">
      <w:pPr>
        <w:pStyle w:val="FigureTitle"/>
      </w:pPr>
      <w:r w:rsidRPr="00F50942">
        <w:t>Table</w:t>
      </w:r>
      <w:r>
        <w:t>au</w:t>
      </w:r>
      <w:r w:rsidRPr="00F50942">
        <w:t xml:space="preserve"> </w:t>
      </w:r>
      <w:fldSimple w:instr=" SEQ Figure \* ARABIC ">
        <w:r>
          <w:rPr>
            <w:noProof/>
          </w:rPr>
          <w:t>3</w:t>
        </w:r>
      </w:fldSimple>
      <w:r w:rsidRPr="00F50942">
        <w:t xml:space="preserve"> – </w:t>
      </w:r>
      <w:r w:rsidRPr="001C00F5">
        <w:rPr>
          <w:lang w:val="fr-FR"/>
        </w:rPr>
        <w:t>Définition des coefficients de zone de service (D)</w:t>
      </w:r>
    </w:p>
    <w:p w:rsidR="00E56335" w:rsidRPr="00CC5F10" w:rsidRDefault="00E56335" w:rsidP="00794700">
      <w:pPr>
        <w:spacing w:before="0"/>
        <w:rPr>
          <w:lang w:val="en-US"/>
        </w:rPr>
      </w:pPr>
    </w:p>
    <w:tbl>
      <w:tblPr>
        <w:tblW w:w="0" w:type="auto"/>
        <w:tblInd w:w="1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3"/>
        <w:gridCol w:w="2807"/>
        <w:gridCol w:w="2628"/>
      </w:tblGrid>
      <w:tr w:rsidR="00E56335" w:rsidRPr="00B4213F" w:rsidTr="00015D4C">
        <w:trPr>
          <w:trHeight w:val="680"/>
        </w:trPr>
        <w:tc>
          <w:tcPr>
            <w:tcW w:w="1713" w:type="dxa"/>
            <w:shd w:val="clear" w:color="auto" w:fill="E6E6E6"/>
            <w:vAlign w:val="center"/>
          </w:tcPr>
          <w:p w:rsidR="00E56335" w:rsidRPr="002C76FE" w:rsidRDefault="00E56335" w:rsidP="00015D4C">
            <w:pPr>
              <w:pStyle w:val="Tablehead"/>
              <w:rPr>
                <w:rFonts w:asciiTheme="majorBidi" w:hAnsiTheme="majorBidi" w:cstheme="majorBidi"/>
                <w:szCs w:val="22"/>
                <w:lang w:val="fr-FR"/>
              </w:rPr>
            </w:pPr>
            <w:r w:rsidRPr="002C76FE">
              <w:rPr>
                <w:rFonts w:asciiTheme="majorBidi" w:hAnsiTheme="majorBidi" w:cstheme="majorBidi"/>
                <w:szCs w:val="22"/>
                <w:lang w:val="fr-FR"/>
              </w:rPr>
              <w:t>Coefficient de zone de service (D)</w:t>
            </w:r>
          </w:p>
        </w:tc>
        <w:tc>
          <w:tcPr>
            <w:tcW w:w="2807" w:type="dxa"/>
            <w:shd w:val="clear" w:color="auto" w:fill="E6E6E6"/>
            <w:vAlign w:val="center"/>
          </w:tcPr>
          <w:p w:rsidR="00E56335" w:rsidRPr="002C76FE" w:rsidRDefault="00E56335" w:rsidP="00015D4C">
            <w:pPr>
              <w:pStyle w:val="Tablehead"/>
              <w:rPr>
                <w:rFonts w:asciiTheme="majorBidi" w:hAnsiTheme="majorBidi" w:cstheme="majorBidi"/>
                <w:szCs w:val="22"/>
                <w:lang w:val="fr-FR"/>
              </w:rPr>
            </w:pPr>
            <w:r w:rsidRPr="002C76FE">
              <w:rPr>
                <w:rFonts w:asciiTheme="majorBidi" w:hAnsiTheme="majorBidi" w:cstheme="majorBidi"/>
                <w:szCs w:val="22"/>
                <w:lang w:val="fr-FR"/>
              </w:rPr>
              <w:t>Zone de service</w:t>
            </w:r>
          </w:p>
        </w:tc>
        <w:tc>
          <w:tcPr>
            <w:tcW w:w="2628" w:type="dxa"/>
            <w:shd w:val="clear" w:color="auto" w:fill="E6E6E6"/>
            <w:vAlign w:val="center"/>
          </w:tcPr>
          <w:p w:rsidR="00E56335" w:rsidRPr="002C76FE" w:rsidRDefault="00E56335" w:rsidP="00015D4C">
            <w:pPr>
              <w:pStyle w:val="Tablehead"/>
              <w:rPr>
                <w:rFonts w:asciiTheme="majorBidi" w:hAnsiTheme="majorBidi" w:cstheme="majorBidi"/>
                <w:szCs w:val="22"/>
                <w:lang w:val="fr-FR"/>
              </w:rPr>
            </w:pPr>
            <w:r w:rsidRPr="002C76FE">
              <w:rPr>
                <w:rFonts w:asciiTheme="majorBidi" w:hAnsiTheme="majorBidi" w:cstheme="majorBidi"/>
                <w:szCs w:val="22"/>
                <w:lang w:val="fr-FR"/>
              </w:rPr>
              <w:t>Coordonnées</w:t>
            </w:r>
          </w:p>
        </w:tc>
      </w:tr>
      <w:tr w:rsidR="00E56335" w:rsidRPr="00B4213F" w:rsidTr="00015D4C">
        <w:trPr>
          <w:trHeight w:val="1142"/>
        </w:trPr>
        <w:tc>
          <w:tcPr>
            <w:tcW w:w="1713" w:type="dxa"/>
            <w:vMerge w:val="restart"/>
          </w:tcPr>
          <w:p w:rsidR="00E56335" w:rsidRPr="002C76FE" w:rsidRDefault="00E56335" w:rsidP="00015D4C">
            <w:pPr>
              <w:pStyle w:val="Tabletext"/>
              <w:rPr>
                <w:rFonts w:asciiTheme="majorBidi" w:hAnsiTheme="majorBidi" w:cstheme="majorBidi"/>
                <w:b/>
                <w:bCs/>
                <w:szCs w:val="22"/>
                <w:lang w:val="fr-FR" w:eastAsia="de-DE"/>
              </w:rPr>
            </w:pPr>
            <w:r w:rsidRPr="002C76FE">
              <w:rPr>
                <w:rFonts w:asciiTheme="majorBidi" w:hAnsiTheme="majorBidi" w:cstheme="majorBidi"/>
                <w:b/>
                <w:bCs/>
                <w:szCs w:val="22"/>
                <w:lang w:val="fr-FR" w:eastAsia="de-DE"/>
              </w:rPr>
              <w:t>1,00 (élevé)</w:t>
            </w:r>
          </w:p>
        </w:tc>
        <w:tc>
          <w:tcPr>
            <w:tcW w:w="2807" w:type="dxa"/>
          </w:tcPr>
          <w:p w:rsidR="00E56335" w:rsidRPr="002C76FE" w:rsidRDefault="00E56335" w:rsidP="00015D4C">
            <w:pPr>
              <w:pStyle w:val="Tabletext"/>
              <w:jc w:val="left"/>
              <w:rPr>
                <w:rFonts w:asciiTheme="majorBidi" w:hAnsiTheme="majorBidi" w:cstheme="majorBidi"/>
                <w:szCs w:val="22"/>
                <w:lang w:val="fr-FR" w:eastAsia="de-DE"/>
              </w:rPr>
            </w:pPr>
            <w:r w:rsidRPr="002C76FE">
              <w:rPr>
                <w:rFonts w:asciiTheme="majorBidi" w:hAnsiTheme="majorBidi" w:cstheme="majorBidi"/>
                <w:szCs w:val="22"/>
                <w:lang w:val="fr-FR" w:eastAsia="de-DE"/>
              </w:rPr>
              <w:t>Ville d'Abu Dhabi et environs</w:t>
            </w:r>
          </w:p>
        </w:tc>
        <w:tc>
          <w:tcPr>
            <w:tcW w:w="2628" w:type="dxa"/>
          </w:tcPr>
          <w:p w:rsidR="00E56335" w:rsidRPr="002C76FE" w:rsidRDefault="00E56335" w:rsidP="00015D4C">
            <w:pPr>
              <w:pStyle w:val="Tabletext"/>
              <w:rPr>
                <w:rFonts w:asciiTheme="majorBidi" w:hAnsiTheme="majorBidi" w:cstheme="majorBidi"/>
                <w:szCs w:val="22"/>
                <w:lang w:val="it-IT"/>
              </w:rPr>
            </w:pPr>
            <w:r w:rsidRPr="002C76FE">
              <w:rPr>
                <w:rFonts w:asciiTheme="majorBidi" w:hAnsiTheme="majorBidi" w:cstheme="majorBidi"/>
                <w:szCs w:val="22"/>
                <w:lang w:val="it-IT"/>
              </w:rPr>
              <w:t>54° 30' E – 24° 45' N</w:t>
            </w:r>
          </w:p>
          <w:p w:rsidR="00E56335" w:rsidRPr="002C76FE" w:rsidRDefault="00E56335" w:rsidP="00015D4C">
            <w:pPr>
              <w:pStyle w:val="Tabletext"/>
              <w:rPr>
                <w:rFonts w:asciiTheme="majorBidi" w:hAnsiTheme="majorBidi" w:cstheme="majorBidi"/>
                <w:szCs w:val="22"/>
                <w:lang w:val="it-IT"/>
              </w:rPr>
            </w:pPr>
            <w:r w:rsidRPr="002C76FE">
              <w:rPr>
                <w:rFonts w:asciiTheme="majorBidi" w:hAnsiTheme="majorBidi" w:cstheme="majorBidi"/>
                <w:szCs w:val="22"/>
                <w:lang w:val="it-IT"/>
              </w:rPr>
              <w:t>55° 00' E – 24° 45' N</w:t>
            </w:r>
          </w:p>
          <w:p w:rsidR="00E56335" w:rsidRPr="002C76FE" w:rsidRDefault="00E56335" w:rsidP="00015D4C">
            <w:pPr>
              <w:pStyle w:val="Tabletext"/>
              <w:rPr>
                <w:rFonts w:asciiTheme="majorBidi" w:hAnsiTheme="majorBidi" w:cstheme="majorBidi"/>
                <w:szCs w:val="22"/>
                <w:lang w:val="it-IT"/>
              </w:rPr>
            </w:pPr>
            <w:r w:rsidRPr="002C76FE">
              <w:rPr>
                <w:rFonts w:asciiTheme="majorBidi" w:hAnsiTheme="majorBidi" w:cstheme="majorBidi"/>
                <w:szCs w:val="22"/>
                <w:lang w:val="it-IT"/>
              </w:rPr>
              <w:t>55° 00' E – 24° 05' N</w:t>
            </w:r>
          </w:p>
          <w:p w:rsidR="00E56335" w:rsidRPr="002C76FE" w:rsidRDefault="00E56335" w:rsidP="00015D4C">
            <w:pPr>
              <w:pStyle w:val="Tabletext"/>
              <w:rPr>
                <w:rFonts w:asciiTheme="majorBidi" w:hAnsiTheme="majorBidi" w:cstheme="majorBidi"/>
                <w:szCs w:val="22"/>
                <w:lang w:val="fr-FR"/>
              </w:rPr>
            </w:pPr>
            <w:r w:rsidRPr="002C76FE">
              <w:rPr>
                <w:rFonts w:asciiTheme="majorBidi" w:hAnsiTheme="majorBidi" w:cstheme="majorBidi"/>
                <w:szCs w:val="22"/>
                <w:lang w:val="fr-FR"/>
              </w:rPr>
              <w:t>54° 00' E – 24° 20' N</w:t>
            </w:r>
          </w:p>
        </w:tc>
      </w:tr>
      <w:tr w:rsidR="00E56335" w:rsidRPr="00B4213F" w:rsidTr="00015D4C">
        <w:trPr>
          <w:trHeight w:val="1250"/>
        </w:trPr>
        <w:tc>
          <w:tcPr>
            <w:tcW w:w="1713" w:type="dxa"/>
            <w:vMerge/>
          </w:tcPr>
          <w:p w:rsidR="00E56335" w:rsidRPr="002C76FE" w:rsidRDefault="00E56335" w:rsidP="00015D4C">
            <w:pPr>
              <w:pStyle w:val="Tabletext"/>
              <w:rPr>
                <w:rFonts w:asciiTheme="majorBidi" w:hAnsiTheme="majorBidi" w:cstheme="majorBidi"/>
                <w:szCs w:val="22"/>
                <w:lang w:val="fr-FR"/>
              </w:rPr>
            </w:pPr>
          </w:p>
        </w:tc>
        <w:tc>
          <w:tcPr>
            <w:tcW w:w="2807" w:type="dxa"/>
          </w:tcPr>
          <w:p w:rsidR="00E56335" w:rsidRPr="002C76FE" w:rsidRDefault="00E56335" w:rsidP="00015D4C">
            <w:pPr>
              <w:pStyle w:val="Tabletext"/>
              <w:jc w:val="left"/>
              <w:rPr>
                <w:rFonts w:asciiTheme="majorBidi" w:hAnsiTheme="majorBidi" w:cstheme="majorBidi"/>
                <w:szCs w:val="22"/>
                <w:lang w:val="fr-FR"/>
              </w:rPr>
            </w:pPr>
            <w:r w:rsidRPr="002C76FE">
              <w:rPr>
                <w:rFonts w:asciiTheme="majorBidi" w:hAnsiTheme="majorBidi" w:cstheme="majorBidi"/>
                <w:szCs w:val="22"/>
                <w:lang w:val="fr-FR"/>
              </w:rPr>
              <w:t>Villes de Dubaï, Sharjah, Ajman et Umm Al Qaiwain et environs</w:t>
            </w:r>
          </w:p>
        </w:tc>
        <w:tc>
          <w:tcPr>
            <w:tcW w:w="2628" w:type="dxa"/>
          </w:tcPr>
          <w:p w:rsidR="00E56335" w:rsidRPr="002C76FE" w:rsidRDefault="00E56335" w:rsidP="00015D4C">
            <w:pPr>
              <w:pStyle w:val="Tabletext"/>
              <w:rPr>
                <w:rFonts w:asciiTheme="majorBidi" w:hAnsiTheme="majorBidi" w:cstheme="majorBidi"/>
                <w:szCs w:val="22"/>
                <w:lang w:val="it-IT"/>
              </w:rPr>
            </w:pPr>
            <w:r w:rsidRPr="002C76FE">
              <w:rPr>
                <w:rFonts w:asciiTheme="majorBidi" w:hAnsiTheme="majorBidi" w:cstheme="majorBidi"/>
                <w:szCs w:val="22"/>
                <w:lang w:val="it-IT"/>
              </w:rPr>
              <w:t>55° 30' E – 25° 40' N</w:t>
            </w:r>
          </w:p>
          <w:p w:rsidR="00E56335" w:rsidRPr="002C76FE" w:rsidRDefault="00E56335" w:rsidP="00015D4C">
            <w:pPr>
              <w:pStyle w:val="Tabletext"/>
              <w:rPr>
                <w:rFonts w:asciiTheme="majorBidi" w:hAnsiTheme="majorBidi" w:cstheme="majorBidi"/>
                <w:szCs w:val="22"/>
                <w:lang w:val="it-IT"/>
              </w:rPr>
            </w:pPr>
            <w:r w:rsidRPr="002C76FE">
              <w:rPr>
                <w:rFonts w:asciiTheme="majorBidi" w:hAnsiTheme="majorBidi" w:cstheme="majorBidi"/>
                <w:szCs w:val="22"/>
                <w:lang w:val="it-IT"/>
              </w:rPr>
              <w:t>55° 55' E – 25° 20' N</w:t>
            </w:r>
          </w:p>
          <w:p w:rsidR="00E56335" w:rsidRPr="002C76FE" w:rsidRDefault="00E56335" w:rsidP="00015D4C">
            <w:pPr>
              <w:pStyle w:val="Tabletext"/>
              <w:rPr>
                <w:rFonts w:asciiTheme="majorBidi" w:hAnsiTheme="majorBidi" w:cstheme="majorBidi"/>
                <w:szCs w:val="22"/>
                <w:lang w:val="it-IT"/>
              </w:rPr>
            </w:pPr>
            <w:r w:rsidRPr="002C76FE">
              <w:rPr>
                <w:rFonts w:asciiTheme="majorBidi" w:hAnsiTheme="majorBidi" w:cstheme="majorBidi"/>
                <w:szCs w:val="22"/>
                <w:lang w:val="it-IT"/>
              </w:rPr>
              <w:t>55° 00' E – 24° 45' N</w:t>
            </w:r>
          </w:p>
          <w:p w:rsidR="00E56335" w:rsidRPr="002C76FE" w:rsidRDefault="00E56335" w:rsidP="00015D4C">
            <w:pPr>
              <w:pStyle w:val="Tabletext"/>
              <w:rPr>
                <w:rFonts w:asciiTheme="majorBidi" w:hAnsiTheme="majorBidi" w:cstheme="majorBidi"/>
                <w:szCs w:val="22"/>
                <w:lang w:val="fr-FR"/>
              </w:rPr>
            </w:pPr>
            <w:r w:rsidRPr="002C76FE">
              <w:rPr>
                <w:rFonts w:asciiTheme="majorBidi" w:hAnsiTheme="majorBidi" w:cstheme="majorBidi"/>
                <w:szCs w:val="22"/>
                <w:lang w:val="fr-FR"/>
              </w:rPr>
              <w:t>54° 30' E – 24° 45' N</w:t>
            </w:r>
          </w:p>
        </w:tc>
      </w:tr>
      <w:tr w:rsidR="00E56335" w:rsidRPr="00B4213F" w:rsidTr="00015D4C">
        <w:trPr>
          <w:trHeight w:val="1250"/>
        </w:trPr>
        <w:tc>
          <w:tcPr>
            <w:tcW w:w="1713" w:type="dxa"/>
            <w:vMerge/>
          </w:tcPr>
          <w:p w:rsidR="00E56335" w:rsidRPr="002C76FE" w:rsidRDefault="00E56335" w:rsidP="00015D4C">
            <w:pPr>
              <w:pStyle w:val="Tabletext"/>
              <w:rPr>
                <w:rFonts w:asciiTheme="majorBidi" w:hAnsiTheme="majorBidi" w:cstheme="majorBidi"/>
                <w:szCs w:val="22"/>
                <w:lang w:val="fr-FR"/>
              </w:rPr>
            </w:pPr>
          </w:p>
        </w:tc>
        <w:tc>
          <w:tcPr>
            <w:tcW w:w="2807" w:type="dxa"/>
          </w:tcPr>
          <w:p w:rsidR="00E56335" w:rsidRPr="002C76FE" w:rsidRDefault="00E56335" w:rsidP="00015D4C">
            <w:pPr>
              <w:pStyle w:val="Tabletext"/>
              <w:jc w:val="left"/>
              <w:rPr>
                <w:rFonts w:asciiTheme="majorBidi" w:hAnsiTheme="majorBidi" w:cstheme="majorBidi"/>
                <w:szCs w:val="22"/>
                <w:lang w:val="fr-FR"/>
              </w:rPr>
            </w:pPr>
            <w:r w:rsidRPr="002C76FE">
              <w:rPr>
                <w:rFonts w:asciiTheme="majorBidi" w:hAnsiTheme="majorBidi" w:cstheme="majorBidi"/>
                <w:szCs w:val="22"/>
                <w:lang w:val="fr-FR" w:eastAsia="de-DE"/>
              </w:rPr>
              <w:t>Ville de Al Ain et environs</w:t>
            </w:r>
          </w:p>
        </w:tc>
        <w:tc>
          <w:tcPr>
            <w:tcW w:w="2628" w:type="dxa"/>
          </w:tcPr>
          <w:p w:rsidR="00E56335" w:rsidRPr="002C76FE" w:rsidRDefault="00E56335" w:rsidP="00015D4C">
            <w:pPr>
              <w:pStyle w:val="Tabletext"/>
              <w:rPr>
                <w:rFonts w:asciiTheme="majorBidi" w:hAnsiTheme="majorBidi" w:cstheme="majorBidi"/>
                <w:szCs w:val="22"/>
                <w:lang w:val="it-IT"/>
              </w:rPr>
            </w:pPr>
            <w:r w:rsidRPr="002C76FE">
              <w:rPr>
                <w:rFonts w:asciiTheme="majorBidi" w:hAnsiTheme="majorBidi" w:cstheme="majorBidi"/>
                <w:szCs w:val="22"/>
                <w:lang w:val="it-IT"/>
              </w:rPr>
              <w:t>55° 30' E – 24° 20' N</w:t>
            </w:r>
          </w:p>
          <w:p w:rsidR="00E56335" w:rsidRPr="002C76FE" w:rsidRDefault="00E56335" w:rsidP="00015D4C">
            <w:pPr>
              <w:pStyle w:val="Tabletext"/>
              <w:rPr>
                <w:rFonts w:asciiTheme="majorBidi" w:hAnsiTheme="majorBidi" w:cstheme="majorBidi"/>
                <w:szCs w:val="22"/>
                <w:lang w:val="it-IT"/>
              </w:rPr>
            </w:pPr>
            <w:r w:rsidRPr="002C76FE">
              <w:rPr>
                <w:rFonts w:asciiTheme="majorBidi" w:hAnsiTheme="majorBidi" w:cstheme="majorBidi"/>
                <w:szCs w:val="22"/>
                <w:lang w:val="it-IT"/>
              </w:rPr>
              <w:t>55° 50' E – 24° 20' N</w:t>
            </w:r>
          </w:p>
          <w:p w:rsidR="00E56335" w:rsidRPr="002C76FE" w:rsidRDefault="00E56335" w:rsidP="00015D4C">
            <w:pPr>
              <w:pStyle w:val="Tabletext"/>
              <w:rPr>
                <w:rFonts w:asciiTheme="majorBidi" w:hAnsiTheme="majorBidi" w:cstheme="majorBidi"/>
                <w:szCs w:val="22"/>
                <w:lang w:val="it-IT"/>
              </w:rPr>
            </w:pPr>
            <w:r w:rsidRPr="002C76FE">
              <w:rPr>
                <w:rFonts w:asciiTheme="majorBidi" w:hAnsiTheme="majorBidi" w:cstheme="majorBidi"/>
                <w:szCs w:val="22"/>
                <w:lang w:val="it-IT"/>
              </w:rPr>
              <w:t>55° 50' E – 24° 00' N</w:t>
            </w:r>
          </w:p>
          <w:p w:rsidR="00E56335" w:rsidRPr="002C76FE" w:rsidRDefault="00E56335" w:rsidP="00015D4C">
            <w:pPr>
              <w:pStyle w:val="Tabletext"/>
              <w:rPr>
                <w:rFonts w:asciiTheme="majorBidi" w:hAnsiTheme="majorBidi" w:cstheme="majorBidi"/>
                <w:szCs w:val="22"/>
                <w:lang w:val="fr-FR"/>
              </w:rPr>
            </w:pPr>
            <w:r w:rsidRPr="002C76FE">
              <w:rPr>
                <w:rFonts w:asciiTheme="majorBidi" w:hAnsiTheme="majorBidi" w:cstheme="majorBidi"/>
                <w:szCs w:val="22"/>
                <w:lang w:val="fr-FR"/>
              </w:rPr>
              <w:t>55° 30' E – 24° 00' N</w:t>
            </w:r>
          </w:p>
        </w:tc>
      </w:tr>
      <w:tr w:rsidR="00E56335" w:rsidRPr="00B4213F" w:rsidTr="00015D4C">
        <w:trPr>
          <w:trHeight w:val="1250"/>
        </w:trPr>
        <w:tc>
          <w:tcPr>
            <w:tcW w:w="1713" w:type="dxa"/>
            <w:vMerge w:val="restart"/>
          </w:tcPr>
          <w:p w:rsidR="00E56335" w:rsidRPr="002C76FE" w:rsidRDefault="00E56335" w:rsidP="00015D4C">
            <w:pPr>
              <w:pStyle w:val="Tabletext"/>
              <w:rPr>
                <w:rFonts w:asciiTheme="majorBidi" w:hAnsiTheme="majorBidi" w:cstheme="majorBidi"/>
                <w:b/>
                <w:bCs/>
                <w:szCs w:val="22"/>
                <w:lang w:val="fr-FR"/>
              </w:rPr>
            </w:pPr>
            <w:r w:rsidRPr="002C76FE">
              <w:rPr>
                <w:rFonts w:asciiTheme="majorBidi" w:hAnsiTheme="majorBidi" w:cstheme="majorBidi"/>
                <w:b/>
                <w:bCs/>
                <w:szCs w:val="22"/>
                <w:lang w:val="fr-FR"/>
              </w:rPr>
              <w:t>0,75 (moyen)</w:t>
            </w:r>
          </w:p>
        </w:tc>
        <w:tc>
          <w:tcPr>
            <w:tcW w:w="2807" w:type="dxa"/>
          </w:tcPr>
          <w:p w:rsidR="00E56335" w:rsidRPr="002C76FE" w:rsidRDefault="00E56335" w:rsidP="00015D4C">
            <w:pPr>
              <w:pStyle w:val="Tabletext"/>
              <w:jc w:val="left"/>
              <w:rPr>
                <w:rFonts w:asciiTheme="majorBidi" w:hAnsiTheme="majorBidi" w:cstheme="majorBidi"/>
                <w:szCs w:val="22"/>
                <w:lang w:val="fr-FR"/>
              </w:rPr>
            </w:pPr>
            <w:r w:rsidRPr="002C76FE">
              <w:rPr>
                <w:rFonts w:asciiTheme="majorBidi" w:hAnsiTheme="majorBidi" w:cstheme="majorBidi"/>
                <w:szCs w:val="22"/>
                <w:lang w:val="fr-FR"/>
              </w:rPr>
              <w:t xml:space="preserve">Zone entre Abu Dhabi et Al Ain </w:t>
            </w:r>
          </w:p>
        </w:tc>
        <w:tc>
          <w:tcPr>
            <w:tcW w:w="2628" w:type="dxa"/>
          </w:tcPr>
          <w:p w:rsidR="00E56335" w:rsidRPr="002C76FE" w:rsidRDefault="00E56335" w:rsidP="00015D4C">
            <w:pPr>
              <w:pStyle w:val="Tabletext"/>
              <w:rPr>
                <w:rFonts w:asciiTheme="majorBidi" w:hAnsiTheme="majorBidi" w:cstheme="majorBidi"/>
                <w:szCs w:val="22"/>
                <w:lang w:val="it-IT"/>
              </w:rPr>
            </w:pPr>
            <w:r w:rsidRPr="002C76FE">
              <w:rPr>
                <w:rFonts w:asciiTheme="majorBidi" w:hAnsiTheme="majorBidi" w:cstheme="majorBidi"/>
                <w:szCs w:val="22"/>
                <w:lang w:val="it-IT"/>
              </w:rPr>
              <w:t>55° 00' E – 24° 20' N</w:t>
            </w:r>
          </w:p>
          <w:p w:rsidR="00E56335" w:rsidRPr="002C76FE" w:rsidRDefault="00E56335" w:rsidP="00015D4C">
            <w:pPr>
              <w:pStyle w:val="Tabletext"/>
              <w:rPr>
                <w:rFonts w:asciiTheme="majorBidi" w:hAnsiTheme="majorBidi" w:cstheme="majorBidi"/>
                <w:szCs w:val="22"/>
                <w:lang w:val="it-IT"/>
              </w:rPr>
            </w:pPr>
            <w:r w:rsidRPr="002C76FE">
              <w:rPr>
                <w:rFonts w:asciiTheme="majorBidi" w:hAnsiTheme="majorBidi" w:cstheme="majorBidi"/>
                <w:szCs w:val="22"/>
                <w:lang w:val="it-IT"/>
              </w:rPr>
              <w:t>55° 30' E – 24° 20' N</w:t>
            </w:r>
          </w:p>
          <w:p w:rsidR="00E56335" w:rsidRPr="002C76FE" w:rsidRDefault="00E56335" w:rsidP="00015D4C">
            <w:pPr>
              <w:pStyle w:val="Tabletext"/>
              <w:rPr>
                <w:rFonts w:asciiTheme="majorBidi" w:hAnsiTheme="majorBidi" w:cstheme="majorBidi"/>
                <w:szCs w:val="22"/>
                <w:lang w:val="it-IT"/>
              </w:rPr>
            </w:pPr>
            <w:r w:rsidRPr="002C76FE">
              <w:rPr>
                <w:rFonts w:asciiTheme="majorBidi" w:hAnsiTheme="majorBidi" w:cstheme="majorBidi"/>
                <w:szCs w:val="22"/>
                <w:lang w:val="it-IT"/>
              </w:rPr>
              <w:t>55° 30' E – 24° 00' N</w:t>
            </w:r>
          </w:p>
          <w:p w:rsidR="00E56335" w:rsidRPr="002C76FE" w:rsidRDefault="00E56335" w:rsidP="00015D4C">
            <w:pPr>
              <w:pStyle w:val="Tabletext"/>
              <w:rPr>
                <w:rFonts w:asciiTheme="majorBidi" w:hAnsiTheme="majorBidi" w:cstheme="majorBidi"/>
                <w:szCs w:val="22"/>
                <w:lang w:val="fr-FR"/>
              </w:rPr>
            </w:pPr>
            <w:r w:rsidRPr="002C76FE">
              <w:rPr>
                <w:rFonts w:asciiTheme="majorBidi" w:hAnsiTheme="majorBidi" w:cstheme="majorBidi"/>
                <w:szCs w:val="22"/>
                <w:lang w:val="fr-FR"/>
              </w:rPr>
              <w:t>55° 00' E – 24° 05' N</w:t>
            </w:r>
          </w:p>
        </w:tc>
      </w:tr>
      <w:tr w:rsidR="00E56335" w:rsidRPr="00B4213F" w:rsidTr="00015D4C">
        <w:trPr>
          <w:trHeight w:val="1430"/>
        </w:trPr>
        <w:tc>
          <w:tcPr>
            <w:tcW w:w="1713" w:type="dxa"/>
            <w:vMerge/>
          </w:tcPr>
          <w:p w:rsidR="00E56335" w:rsidRPr="002C76FE" w:rsidRDefault="00E56335" w:rsidP="00015D4C">
            <w:pPr>
              <w:pStyle w:val="Tabletext"/>
              <w:rPr>
                <w:rFonts w:asciiTheme="majorBidi" w:hAnsiTheme="majorBidi" w:cstheme="majorBidi"/>
                <w:szCs w:val="22"/>
                <w:lang w:val="fr-FR"/>
              </w:rPr>
            </w:pPr>
          </w:p>
        </w:tc>
        <w:tc>
          <w:tcPr>
            <w:tcW w:w="2807" w:type="dxa"/>
          </w:tcPr>
          <w:p w:rsidR="00E56335" w:rsidRPr="002C76FE" w:rsidRDefault="00E56335" w:rsidP="00015D4C">
            <w:pPr>
              <w:pStyle w:val="Tabletext"/>
              <w:jc w:val="left"/>
              <w:rPr>
                <w:rFonts w:asciiTheme="majorBidi" w:hAnsiTheme="majorBidi" w:cstheme="majorBidi"/>
                <w:szCs w:val="22"/>
                <w:lang w:val="fr-FR" w:eastAsia="de-DE"/>
              </w:rPr>
            </w:pPr>
            <w:r w:rsidRPr="002C76FE">
              <w:rPr>
                <w:rFonts w:asciiTheme="majorBidi" w:hAnsiTheme="majorBidi" w:cstheme="majorBidi"/>
                <w:szCs w:val="22"/>
                <w:lang w:val="fr-FR" w:eastAsia="de-DE"/>
              </w:rPr>
              <w:t xml:space="preserve">Ville de Fujairah </w:t>
            </w:r>
            <w:r w:rsidRPr="002C76FE">
              <w:rPr>
                <w:rFonts w:asciiTheme="majorBidi" w:hAnsiTheme="majorBidi" w:cstheme="majorBidi"/>
                <w:szCs w:val="22"/>
                <w:lang w:val="fr-FR"/>
              </w:rPr>
              <w:t>et environs</w:t>
            </w:r>
          </w:p>
        </w:tc>
        <w:tc>
          <w:tcPr>
            <w:tcW w:w="2628" w:type="dxa"/>
            <w:vAlign w:val="center"/>
          </w:tcPr>
          <w:p w:rsidR="00E56335" w:rsidRPr="002C76FE" w:rsidRDefault="00E56335" w:rsidP="00015D4C">
            <w:pPr>
              <w:pStyle w:val="Tabletext"/>
              <w:rPr>
                <w:rFonts w:asciiTheme="majorBidi" w:hAnsiTheme="majorBidi" w:cstheme="majorBidi"/>
                <w:szCs w:val="22"/>
                <w:lang w:val="it-IT"/>
              </w:rPr>
            </w:pPr>
            <w:r w:rsidRPr="002C76FE">
              <w:rPr>
                <w:rFonts w:asciiTheme="majorBidi" w:hAnsiTheme="majorBidi" w:cstheme="majorBidi"/>
                <w:szCs w:val="22"/>
                <w:lang w:val="it-IT"/>
              </w:rPr>
              <w:t>56° 15' E – 25° 15' N</w:t>
            </w:r>
          </w:p>
          <w:p w:rsidR="00E56335" w:rsidRPr="002C76FE" w:rsidRDefault="00E56335" w:rsidP="00015D4C">
            <w:pPr>
              <w:pStyle w:val="Tabletext"/>
              <w:rPr>
                <w:rFonts w:asciiTheme="majorBidi" w:hAnsiTheme="majorBidi" w:cstheme="majorBidi"/>
                <w:szCs w:val="22"/>
                <w:lang w:val="it-IT"/>
              </w:rPr>
            </w:pPr>
            <w:r w:rsidRPr="002C76FE">
              <w:rPr>
                <w:rFonts w:asciiTheme="majorBidi" w:hAnsiTheme="majorBidi" w:cstheme="majorBidi"/>
                <w:szCs w:val="22"/>
                <w:lang w:val="it-IT"/>
              </w:rPr>
              <w:t>56° 25' E – 25° 15' N</w:t>
            </w:r>
          </w:p>
          <w:p w:rsidR="00E56335" w:rsidRPr="002C76FE" w:rsidRDefault="00E56335" w:rsidP="00015D4C">
            <w:pPr>
              <w:pStyle w:val="Tabletext"/>
              <w:rPr>
                <w:rFonts w:asciiTheme="majorBidi" w:hAnsiTheme="majorBidi" w:cstheme="majorBidi"/>
                <w:szCs w:val="22"/>
                <w:lang w:val="it-IT"/>
              </w:rPr>
            </w:pPr>
            <w:r w:rsidRPr="002C76FE">
              <w:rPr>
                <w:rFonts w:asciiTheme="majorBidi" w:hAnsiTheme="majorBidi" w:cstheme="majorBidi"/>
                <w:szCs w:val="22"/>
                <w:lang w:val="it-IT"/>
              </w:rPr>
              <w:t>56° 25' E – 25° 00' N</w:t>
            </w:r>
          </w:p>
          <w:p w:rsidR="00E56335" w:rsidRPr="002C76FE" w:rsidRDefault="00E56335" w:rsidP="00015D4C">
            <w:pPr>
              <w:pStyle w:val="Tabletext"/>
              <w:rPr>
                <w:rFonts w:asciiTheme="majorBidi" w:hAnsiTheme="majorBidi" w:cstheme="majorBidi"/>
                <w:szCs w:val="22"/>
                <w:lang w:val="fr-FR"/>
              </w:rPr>
            </w:pPr>
            <w:r w:rsidRPr="002C76FE">
              <w:rPr>
                <w:rFonts w:asciiTheme="majorBidi" w:hAnsiTheme="majorBidi" w:cstheme="majorBidi"/>
                <w:szCs w:val="22"/>
                <w:lang w:val="fr-FR"/>
              </w:rPr>
              <w:t>56° 15' E – 25° 00' N</w:t>
            </w:r>
          </w:p>
        </w:tc>
      </w:tr>
      <w:tr w:rsidR="00E56335" w:rsidRPr="00B4213F" w:rsidTr="00015D4C">
        <w:trPr>
          <w:trHeight w:val="1250"/>
        </w:trPr>
        <w:tc>
          <w:tcPr>
            <w:tcW w:w="1713" w:type="dxa"/>
            <w:vMerge/>
          </w:tcPr>
          <w:p w:rsidR="00E56335" w:rsidRPr="002C76FE" w:rsidRDefault="00E56335" w:rsidP="00015D4C">
            <w:pPr>
              <w:pStyle w:val="Tabletext"/>
              <w:rPr>
                <w:rFonts w:asciiTheme="majorBidi" w:hAnsiTheme="majorBidi" w:cstheme="majorBidi"/>
                <w:szCs w:val="22"/>
                <w:lang w:val="fr-FR"/>
              </w:rPr>
            </w:pPr>
          </w:p>
        </w:tc>
        <w:tc>
          <w:tcPr>
            <w:tcW w:w="2807" w:type="dxa"/>
          </w:tcPr>
          <w:p w:rsidR="00E56335" w:rsidRPr="002C76FE" w:rsidRDefault="00E56335" w:rsidP="00015D4C">
            <w:pPr>
              <w:pStyle w:val="Tabletext"/>
              <w:jc w:val="left"/>
              <w:rPr>
                <w:rFonts w:asciiTheme="majorBidi" w:hAnsiTheme="majorBidi" w:cstheme="majorBidi"/>
                <w:szCs w:val="22"/>
                <w:lang w:val="fr-FR" w:eastAsia="de-DE"/>
              </w:rPr>
            </w:pPr>
            <w:r w:rsidRPr="002C76FE">
              <w:rPr>
                <w:rFonts w:asciiTheme="majorBidi" w:hAnsiTheme="majorBidi" w:cstheme="majorBidi"/>
                <w:szCs w:val="22"/>
                <w:lang w:val="fr-FR" w:eastAsia="de-DE"/>
              </w:rPr>
              <w:t>Ville de Ras Al Khaimah</w:t>
            </w:r>
            <w:r w:rsidRPr="002C76FE">
              <w:rPr>
                <w:rFonts w:asciiTheme="majorBidi" w:hAnsiTheme="majorBidi" w:cstheme="majorBidi"/>
                <w:szCs w:val="22"/>
                <w:lang w:val="fr-FR"/>
              </w:rPr>
              <w:t xml:space="preserve"> et environs</w:t>
            </w:r>
          </w:p>
        </w:tc>
        <w:tc>
          <w:tcPr>
            <w:tcW w:w="2628" w:type="dxa"/>
            <w:vAlign w:val="center"/>
          </w:tcPr>
          <w:p w:rsidR="00E56335" w:rsidRPr="002C76FE" w:rsidRDefault="00E56335" w:rsidP="00015D4C">
            <w:pPr>
              <w:pStyle w:val="Tabletext"/>
              <w:rPr>
                <w:rFonts w:asciiTheme="majorBidi" w:hAnsiTheme="majorBidi" w:cstheme="majorBidi"/>
                <w:szCs w:val="22"/>
                <w:lang w:val="it-IT" w:eastAsia="de-DE"/>
              </w:rPr>
            </w:pPr>
            <w:r w:rsidRPr="002C76FE">
              <w:rPr>
                <w:rFonts w:asciiTheme="majorBidi" w:hAnsiTheme="majorBidi" w:cstheme="majorBidi"/>
                <w:szCs w:val="22"/>
                <w:lang w:val="it-IT" w:eastAsia="de-DE"/>
              </w:rPr>
              <w:t>55° 50' E – 25° 55' N</w:t>
            </w:r>
          </w:p>
          <w:p w:rsidR="00E56335" w:rsidRPr="002C76FE" w:rsidRDefault="00E56335" w:rsidP="00015D4C">
            <w:pPr>
              <w:pStyle w:val="Tabletext"/>
              <w:rPr>
                <w:rFonts w:asciiTheme="majorBidi" w:hAnsiTheme="majorBidi" w:cstheme="majorBidi"/>
                <w:szCs w:val="22"/>
                <w:lang w:val="it-IT" w:eastAsia="de-DE"/>
              </w:rPr>
            </w:pPr>
            <w:r w:rsidRPr="002C76FE">
              <w:rPr>
                <w:rFonts w:asciiTheme="majorBidi" w:hAnsiTheme="majorBidi" w:cstheme="majorBidi"/>
                <w:szCs w:val="22"/>
                <w:lang w:val="it-IT" w:eastAsia="de-DE"/>
              </w:rPr>
              <w:t>56° 05' E – 25° 55' N</w:t>
            </w:r>
          </w:p>
          <w:p w:rsidR="00E56335" w:rsidRPr="002C76FE" w:rsidRDefault="00E56335" w:rsidP="00015D4C">
            <w:pPr>
              <w:pStyle w:val="Tabletext"/>
              <w:rPr>
                <w:rFonts w:asciiTheme="majorBidi" w:hAnsiTheme="majorBidi" w:cstheme="majorBidi"/>
                <w:szCs w:val="22"/>
                <w:lang w:val="it-IT" w:eastAsia="de-DE"/>
              </w:rPr>
            </w:pPr>
            <w:r w:rsidRPr="002C76FE">
              <w:rPr>
                <w:rFonts w:asciiTheme="majorBidi" w:hAnsiTheme="majorBidi" w:cstheme="majorBidi"/>
                <w:szCs w:val="22"/>
                <w:lang w:val="it-IT" w:eastAsia="de-DE"/>
              </w:rPr>
              <w:t>56° 05' E – 25° 40' N</w:t>
            </w:r>
          </w:p>
          <w:p w:rsidR="00E56335" w:rsidRPr="002C76FE" w:rsidRDefault="00E56335" w:rsidP="00015D4C">
            <w:pPr>
              <w:pStyle w:val="Tabletext"/>
              <w:rPr>
                <w:rFonts w:asciiTheme="majorBidi" w:hAnsiTheme="majorBidi" w:cstheme="majorBidi"/>
                <w:szCs w:val="22"/>
                <w:lang w:val="fr-FR" w:eastAsia="de-DE"/>
              </w:rPr>
            </w:pPr>
            <w:r w:rsidRPr="002C76FE">
              <w:rPr>
                <w:rFonts w:asciiTheme="majorBidi" w:hAnsiTheme="majorBidi" w:cstheme="majorBidi"/>
                <w:szCs w:val="22"/>
                <w:lang w:val="fr-FR" w:eastAsia="de-DE"/>
              </w:rPr>
              <w:t>55° 50' E – 25° 40' N</w:t>
            </w:r>
          </w:p>
        </w:tc>
      </w:tr>
      <w:tr w:rsidR="00E56335" w:rsidRPr="007E2B73" w:rsidTr="00015D4C">
        <w:trPr>
          <w:trHeight w:val="1070"/>
        </w:trPr>
        <w:tc>
          <w:tcPr>
            <w:tcW w:w="1713" w:type="dxa"/>
            <w:vMerge/>
          </w:tcPr>
          <w:p w:rsidR="00E56335" w:rsidRPr="002C76FE" w:rsidRDefault="00E56335" w:rsidP="00015D4C">
            <w:pPr>
              <w:pStyle w:val="Tabletext"/>
              <w:rPr>
                <w:rFonts w:asciiTheme="majorBidi" w:hAnsiTheme="majorBidi" w:cstheme="majorBidi"/>
                <w:szCs w:val="22"/>
                <w:lang w:val="fr-FR"/>
              </w:rPr>
            </w:pPr>
          </w:p>
        </w:tc>
        <w:tc>
          <w:tcPr>
            <w:tcW w:w="2807" w:type="dxa"/>
            <w:vAlign w:val="center"/>
          </w:tcPr>
          <w:p w:rsidR="00E56335" w:rsidRPr="002C76FE" w:rsidRDefault="00E56335" w:rsidP="00015D4C">
            <w:pPr>
              <w:pStyle w:val="Tabletext"/>
              <w:jc w:val="left"/>
              <w:rPr>
                <w:rFonts w:asciiTheme="majorBidi" w:hAnsiTheme="majorBidi" w:cstheme="majorBidi"/>
                <w:szCs w:val="22"/>
                <w:lang w:val="fr-FR" w:eastAsia="de-DE"/>
              </w:rPr>
            </w:pPr>
            <w:r w:rsidRPr="002C76FE">
              <w:rPr>
                <w:rFonts w:asciiTheme="majorBidi" w:hAnsiTheme="majorBidi" w:cstheme="majorBidi"/>
                <w:szCs w:val="22"/>
                <w:lang w:val="fr-FR" w:eastAsia="de-DE"/>
              </w:rPr>
              <w:t xml:space="preserve">Zone entre </w:t>
            </w:r>
            <w:r w:rsidRPr="002C76FE">
              <w:rPr>
                <w:rFonts w:asciiTheme="majorBidi" w:hAnsiTheme="majorBidi" w:cstheme="majorBidi"/>
                <w:szCs w:val="22"/>
                <w:lang w:val="fr-FR"/>
              </w:rPr>
              <w:t xml:space="preserve">Umm Al Qaiwain et </w:t>
            </w:r>
            <w:r w:rsidRPr="002C76FE">
              <w:rPr>
                <w:rFonts w:asciiTheme="majorBidi" w:hAnsiTheme="majorBidi" w:cstheme="majorBidi"/>
                <w:szCs w:val="22"/>
                <w:lang w:val="fr-FR" w:eastAsia="de-DE"/>
              </w:rPr>
              <w:t>Ras Al Khaimah</w:t>
            </w:r>
            <w:r w:rsidRPr="002C76FE">
              <w:rPr>
                <w:rFonts w:asciiTheme="majorBidi" w:hAnsiTheme="majorBidi" w:cstheme="majorBidi"/>
                <w:szCs w:val="22"/>
                <w:lang w:val="fr-FR"/>
              </w:rPr>
              <w:t xml:space="preserve"> </w:t>
            </w:r>
          </w:p>
        </w:tc>
        <w:tc>
          <w:tcPr>
            <w:tcW w:w="2628" w:type="dxa"/>
          </w:tcPr>
          <w:p w:rsidR="00E56335" w:rsidRPr="002C76FE" w:rsidRDefault="00E56335" w:rsidP="00015D4C">
            <w:pPr>
              <w:pStyle w:val="Tabletext"/>
              <w:rPr>
                <w:rFonts w:asciiTheme="majorBidi" w:hAnsiTheme="majorBidi" w:cstheme="majorBidi"/>
                <w:szCs w:val="22"/>
                <w:lang w:val="it-IT"/>
              </w:rPr>
            </w:pPr>
            <w:r w:rsidRPr="002C76FE">
              <w:rPr>
                <w:rFonts w:asciiTheme="majorBidi" w:hAnsiTheme="majorBidi" w:cstheme="majorBidi"/>
                <w:szCs w:val="22"/>
                <w:lang w:val="it-IT"/>
              </w:rPr>
              <w:t>55° 30' E – 25° 40' N</w:t>
            </w:r>
          </w:p>
          <w:p w:rsidR="00E56335" w:rsidRPr="002C76FE" w:rsidRDefault="00E56335" w:rsidP="00015D4C">
            <w:pPr>
              <w:pStyle w:val="Tabletext"/>
              <w:rPr>
                <w:rFonts w:asciiTheme="majorBidi" w:hAnsiTheme="majorBidi" w:cstheme="majorBidi"/>
                <w:szCs w:val="22"/>
                <w:lang w:val="it-IT"/>
              </w:rPr>
            </w:pPr>
            <w:r w:rsidRPr="002C76FE">
              <w:rPr>
                <w:rFonts w:asciiTheme="majorBidi" w:hAnsiTheme="majorBidi" w:cstheme="majorBidi"/>
                <w:szCs w:val="22"/>
                <w:lang w:val="it-IT"/>
              </w:rPr>
              <w:t>56° 05' E – 25° 40' N</w:t>
            </w:r>
          </w:p>
          <w:p w:rsidR="00E56335" w:rsidRPr="002C76FE" w:rsidRDefault="00E56335" w:rsidP="00015D4C">
            <w:pPr>
              <w:pStyle w:val="Tabletext"/>
              <w:rPr>
                <w:rFonts w:asciiTheme="majorBidi" w:hAnsiTheme="majorBidi" w:cstheme="majorBidi"/>
                <w:szCs w:val="22"/>
                <w:lang w:val="it-IT"/>
              </w:rPr>
            </w:pPr>
            <w:r w:rsidRPr="002C76FE">
              <w:rPr>
                <w:rFonts w:asciiTheme="majorBidi" w:hAnsiTheme="majorBidi" w:cstheme="majorBidi"/>
                <w:szCs w:val="22"/>
                <w:lang w:val="it-IT"/>
              </w:rPr>
              <w:t>55° 55' E – 25° 20' N</w:t>
            </w:r>
          </w:p>
        </w:tc>
      </w:tr>
      <w:tr w:rsidR="00E56335" w:rsidRPr="00B4213F" w:rsidTr="00015D4C">
        <w:trPr>
          <w:trHeight w:val="350"/>
        </w:trPr>
        <w:tc>
          <w:tcPr>
            <w:tcW w:w="1713" w:type="dxa"/>
            <w:vAlign w:val="center"/>
          </w:tcPr>
          <w:p w:rsidR="00E56335" w:rsidRPr="002C76FE" w:rsidRDefault="00E56335" w:rsidP="00015D4C">
            <w:pPr>
              <w:pStyle w:val="Tabletext"/>
              <w:rPr>
                <w:rFonts w:asciiTheme="majorBidi" w:hAnsiTheme="majorBidi" w:cstheme="majorBidi"/>
                <w:b/>
                <w:bCs/>
                <w:szCs w:val="22"/>
                <w:lang w:val="fr-FR" w:eastAsia="de-DE"/>
              </w:rPr>
            </w:pPr>
            <w:r w:rsidRPr="002C76FE">
              <w:rPr>
                <w:rFonts w:asciiTheme="majorBidi" w:hAnsiTheme="majorBidi" w:cstheme="majorBidi"/>
                <w:b/>
                <w:bCs/>
                <w:szCs w:val="22"/>
                <w:lang w:val="fr-FR" w:eastAsia="de-DE"/>
              </w:rPr>
              <w:t>0,50 (faible)</w:t>
            </w:r>
          </w:p>
        </w:tc>
        <w:tc>
          <w:tcPr>
            <w:tcW w:w="5435" w:type="dxa"/>
            <w:gridSpan w:val="2"/>
            <w:vAlign w:val="center"/>
          </w:tcPr>
          <w:p w:rsidR="00E56335" w:rsidRPr="002C76FE" w:rsidRDefault="00E56335" w:rsidP="00015D4C">
            <w:pPr>
              <w:pStyle w:val="Tabletext"/>
              <w:rPr>
                <w:rFonts w:asciiTheme="majorBidi" w:hAnsiTheme="majorBidi" w:cstheme="majorBidi"/>
                <w:szCs w:val="22"/>
                <w:lang w:val="fr-FR" w:eastAsia="de-DE"/>
              </w:rPr>
            </w:pPr>
            <w:r w:rsidRPr="002C76FE">
              <w:rPr>
                <w:rFonts w:asciiTheme="majorBidi" w:hAnsiTheme="majorBidi" w:cstheme="majorBidi"/>
                <w:szCs w:val="22"/>
                <w:lang w:val="fr-FR" w:eastAsia="de-DE"/>
              </w:rPr>
              <w:t>Toutes les zones restantes</w:t>
            </w:r>
          </w:p>
        </w:tc>
      </w:tr>
    </w:tbl>
    <w:p w:rsidR="00E56335" w:rsidRPr="00F50942" w:rsidRDefault="00E56335" w:rsidP="00794700">
      <w:pPr>
        <w:pStyle w:val="FigureSource"/>
        <w:keepNext w:val="0"/>
        <w:ind w:left="567" w:hanging="567"/>
      </w:pPr>
    </w:p>
    <w:p w:rsidR="00E56335" w:rsidRPr="00F50942" w:rsidRDefault="00E56335" w:rsidP="00E56335">
      <w:pPr>
        <w:pStyle w:val="FigureTitle"/>
      </w:pPr>
    </w:p>
    <w:p w:rsidR="00E56335" w:rsidRPr="00F50942" w:rsidRDefault="00E56335" w:rsidP="00E56335">
      <w:pPr>
        <w:ind w:left="1599" w:hanging="902"/>
        <w:jc w:val="center"/>
        <w:rPr>
          <w:szCs w:val="19"/>
        </w:rPr>
      </w:pPr>
      <w:r w:rsidRPr="00E05829">
        <w:rPr>
          <w:noProof/>
          <w:szCs w:val="19"/>
          <w:lang w:val="en-US" w:eastAsia="zh-CN"/>
        </w:rPr>
        <w:drawing>
          <wp:inline distT="0" distB="0" distL="0" distR="0">
            <wp:extent cx="4933950" cy="4267200"/>
            <wp:effectExtent l="19050" t="0" r="0" b="0"/>
            <wp:docPr id="15" name="Picture 3" descr="UAE-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AE-TRA"/>
                    <pic:cNvPicPr>
                      <a:picLocks noChangeAspect="1" noChangeArrowheads="1"/>
                    </pic:cNvPicPr>
                  </pic:nvPicPr>
                  <pic:blipFill>
                    <a:blip r:embed="rId24" cstate="print"/>
                    <a:srcRect/>
                    <a:stretch>
                      <a:fillRect/>
                    </a:stretch>
                  </pic:blipFill>
                  <pic:spPr bwMode="auto">
                    <a:xfrm>
                      <a:off x="0" y="0"/>
                      <a:ext cx="4933950" cy="4267200"/>
                    </a:xfrm>
                    <a:prstGeom prst="rect">
                      <a:avLst/>
                    </a:prstGeom>
                    <a:noFill/>
                    <a:ln w="9525">
                      <a:noFill/>
                      <a:miter lim="800000"/>
                      <a:headEnd/>
                      <a:tailEnd/>
                    </a:ln>
                  </pic:spPr>
                </pic:pic>
              </a:graphicData>
            </a:graphic>
          </wp:inline>
        </w:drawing>
      </w:r>
    </w:p>
    <w:p w:rsidR="00E56335" w:rsidRPr="00E05829" w:rsidRDefault="00E56335" w:rsidP="00E56335">
      <w:pPr>
        <w:pStyle w:val="TableNotitle"/>
        <w:rPr>
          <w:sz w:val="19"/>
          <w:szCs w:val="19"/>
        </w:rPr>
      </w:pPr>
      <w:r w:rsidRPr="00E05829">
        <w:rPr>
          <w:sz w:val="19"/>
          <w:szCs w:val="19"/>
        </w:rPr>
        <w:t>Vue par satellite des Emirats arabes unis, avec indication des zones de service</w:t>
      </w:r>
    </w:p>
    <w:p w:rsidR="00E56335" w:rsidRPr="001C00F5" w:rsidRDefault="00E56335" w:rsidP="00E56335">
      <w:pPr>
        <w:ind w:left="3800" w:hanging="2200"/>
        <w:rPr>
          <w:b/>
          <w:lang w:val="fr-FR"/>
        </w:rPr>
      </w:pPr>
      <w:r w:rsidRPr="001C00F5">
        <w:rPr>
          <w:b/>
          <w:lang w:val="fr-FR"/>
        </w:rPr>
        <w:t>En rouge:</w:t>
      </w:r>
      <w:r w:rsidRPr="001C00F5">
        <w:rPr>
          <w:b/>
          <w:lang w:val="fr-FR"/>
        </w:rPr>
        <w:tab/>
        <w:t>Zone de service avec coefficient D élevé (1,00)</w:t>
      </w:r>
    </w:p>
    <w:p w:rsidR="00E56335" w:rsidRPr="001C00F5" w:rsidRDefault="00E56335" w:rsidP="00E56335">
      <w:pPr>
        <w:ind w:left="3800" w:hanging="2200"/>
        <w:rPr>
          <w:b/>
          <w:lang w:val="fr-FR"/>
        </w:rPr>
      </w:pPr>
      <w:r w:rsidRPr="001C00F5">
        <w:rPr>
          <w:b/>
          <w:lang w:val="fr-FR"/>
        </w:rPr>
        <w:t>En vert:</w:t>
      </w:r>
      <w:r w:rsidRPr="001C00F5">
        <w:rPr>
          <w:b/>
          <w:lang w:val="fr-FR"/>
        </w:rPr>
        <w:tab/>
        <w:t>Zone de service avec coefficient D moyen (0,75)</w:t>
      </w:r>
    </w:p>
    <w:p w:rsidR="00E56335" w:rsidRPr="001C00F5" w:rsidRDefault="00E56335" w:rsidP="00E56335">
      <w:pPr>
        <w:ind w:left="3800" w:hanging="2200"/>
        <w:rPr>
          <w:b/>
          <w:lang w:val="fr-FR"/>
        </w:rPr>
      </w:pPr>
      <w:r w:rsidRPr="001C00F5">
        <w:rPr>
          <w:b/>
          <w:lang w:val="fr-FR"/>
        </w:rPr>
        <w:t>Autres zones:</w:t>
      </w:r>
      <w:r w:rsidRPr="001C00F5">
        <w:rPr>
          <w:b/>
          <w:lang w:val="fr-FR"/>
        </w:rPr>
        <w:tab/>
        <w:t>Zone de service avec coefficient D faible (0,50)</w:t>
      </w:r>
    </w:p>
    <w:p w:rsidR="00E56335" w:rsidRDefault="00E56335" w:rsidP="00E56335">
      <w:pPr>
        <w:pStyle w:val="FigureSource"/>
      </w:pPr>
    </w:p>
    <w:p w:rsidR="00E56335" w:rsidRPr="001C00F5" w:rsidRDefault="00E56335" w:rsidP="00E56335">
      <w:pPr>
        <w:ind w:left="1191" w:hanging="1191"/>
        <w:rPr>
          <w:lang w:val="fr-FR"/>
        </w:rPr>
      </w:pPr>
      <w:r>
        <w:rPr>
          <w:b/>
          <w:lang w:val="fr-FR"/>
        </w:rPr>
        <w:tab/>
      </w:r>
      <w:r w:rsidRPr="001C00F5">
        <w:rPr>
          <w:b/>
          <w:lang w:val="fr-FR"/>
        </w:rPr>
        <w:tab/>
      </w:r>
      <w:r w:rsidRPr="003B6BCC">
        <w:rPr>
          <w:b/>
          <w:bCs/>
          <w:lang w:val="fr-FR"/>
        </w:rPr>
        <w:t>Note 1</w:t>
      </w:r>
      <w:r>
        <w:rPr>
          <w:lang w:val="fr-FR"/>
        </w:rPr>
        <w:t>:</w:t>
      </w:r>
      <w:r>
        <w:rPr>
          <w:lang w:val="fr-FR"/>
        </w:rPr>
        <w:tab/>
      </w:r>
      <w:r w:rsidRPr="001C00F5">
        <w:rPr>
          <w:lang w:val="fr-FR"/>
        </w:rPr>
        <w:t xml:space="preserve">En cas d'émission depuis une station située dans une zone de service à coefficient moyen ou faible et à destination (en partie ou en totalité) d'une zone de service à coefficient plus élevé, la station concernée </w:t>
      </w:r>
      <w:r w:rsidRPr="003B6BCC">
        <w:rPr>
          <w:szCs w:val="19"/>
        </w:rPr>
        <w:t>sera</w:t>
      </w:r>
      <w:r w:rsidRPr="001C00F5">
        <w:rPr>
          <w:lang w:val="fr-FR"/>
        </w:rPr>
        <w:t xml:space="preserve"> considérée comme appartenant à la zone de service à coefficient plus élevé.</w:t>
      </w:r>
    </w:p>
    <w:p w:rsidR="00E56335" w:rsidRPr="001C00F5" w:rsidRDefault="00E56335" w:rsidP="00E56335">
      <w:pPr>
        <w:ind w:left="1191" w:hanging="1191"/>
        <w:rPr>
          <w:lang w:val="fr-FR"/>
        </w:rPr>
      </w:pPr>
      <w:r>
        <w:rPr>
          <w:b/>
          <w:lang w:val="fr-FR"/>
        </w:rPr>
        <w:tab/>
      </w:r>
      <w:r w:rsidRPr="001C00F5">
        <w:rPr>
          <w:b/>
          <w:lang w:val="fr-FR"/>
        </w:rPr>
        <w:tab/>
      </w:r>
      <w:r w:rsidRPr="003B6BCC">
        <w:rPr>
          <w:b/>
          <w:bCs/>
          <w:lang w:val="fr-FR"/>
        </w:rPr>
        <w:t>Note 2</w:t>
      </w:r>
      <w:r>
        <w:rPr>
          <w:lang w:val="fr-FR"/>
        </w:rPr>
        <w:t>:</w:t>
      </w:r>
      <w:r>
        <w:rPr>
          <w:lang w:val="fr-FR"/>
        </w:rPr>
        <w:tab/>
      </w:r>
      <w:r w:rsidRPr="001C00F5">
        <w:rPr>
          <w:lang w:val="fr-FR"/>
        </w:rPr>
        <w:t>Pour les services de radiodiffusion dans la bande des ondes décamétriques et dans les bandes de fréquences inférieures, le coefficient d</w:t>
      </w:r>
      <w:r>
        <w:rPr>
          <w:lang w:val="fr-FR"/>
        </w:rPr>
        <w:t>e zone de service est égal à 1.</w:t>
      </w:r>
    </w:p>
    <w:p w:rsidR="00E56335" w:rsidRPr="001C00F5" w:rsidRDefault="00E56335" w:rsidP="00E56335">
      <w:pPr>
        <w:ind w:left="1191" w:hanging="1191"/>
        <w:rPr>
          <w:b/>
          <w:bCs/>
          <w:lang w:val="fr-FR"/>
        </w:rPr>
      </w:pPr>
      <w:r w:rsidRPr="001C00F5">
        <w:rPr>
          <w:b/>
          <w:lang w:val="fr-FR"/>
        </w:rPr>
        <w:tab/>
      </w:r>
      <w:r>
        <w:rPr>
          <w:b/>
          <w:lang w:val="fr-FR"/>
        </w:rPr>
        <w:tab/>
      </w:r>
      <w:r w:rsidRPr="001C00F5">
        <w:rPr>
          <w:b/>
          <w:lang w:val="fr-FR"/>
        </w:rPr>
        <w:t>E = Coefficient de hauteur de l'antenne, calculé comme suit:</w:t>
      </w:r>
    </w:p>
    <w:p w:rsidR="00E56335" w:rsidRPr="001C00F5" w:rsidRDefault="00E56335" w:rsidP="00E56335">
      <w:pPr>
        <w:tabs>
          <w:tab w:val="clear" w:pos="1191"/>
          <w:tab w:val="left" w:pos="1204"/>
        </w:tabs>
        <w:ind w:left="2160" w:hanging="1463"/>
        <w:rPr>
          <w:b/>
          <w:bCs/>
          <w:vertAlign w:val="subscript"/>
          <w:lang w:val="fr-FR"/>
        </w:rPr>
      </w:pPr>
      <w:r w:rsidRPr="001C00F5">
        <w:rPr>
          <w:b/>
          <w:lang w:val="fr-FR"/>
        </w:rPr>
        <w:tab/>
      </w:r>
      <w:r>
        <w:rPr>
          <w:b/>
          <w:lang w:val="fr-FR"/>
        </w:rPr>
        <w:tab/>
      </w:r>
      <w:r w:rsidRPr="001C00F5">
        <w:rPr>
          <w:b/>
          <w:lang w:val="fr-FR"/>
        </w:rPr>
        <w:t>E = H</w:t>
      </w:r>
      <w:r w:rsidRPr="001C00F5">
        <w:rPr>
          <w:b/>
          <w:vertAlign w:val="subscript"/>
          <w:lang w:val="fr-FR"/>
        </w:rPr>
        <w:t>ASL</w:t>
      </w:r>
      <w:r w:rsidRPr="001C00F5">
        <w:rPr>
          <w:b/>
          <w:lang w:val="fr-FR"/>
        </w:rPr>
        <w:t xml:space="preserve"> + H</w:t>
      </w:r>
      <w:r w:rsidRPr="001C00F5">
        <w:rPr>
          <w:b/>
          <w:vertAlign w:val="subscript"/>
          <w:lang w:val="fr-FR"/>
        </w:rPr>
        <w:t>AGL</w:t>
      </w:r>
    </w:p>
    <w:p w:rsidR="00E56335" w:rsidRPr="001C00F5" w:rsidRDefault="00E56335" w:rsidP="00E56335">
      <w:pPr>
        <w:ind w:left="1191" w:hanging="1191"/>
        <w:rPr>
          <w:lang w:val="fr-FR"/>
        </w:rPr>
      </w:pPr>
      <w:r w:rsidRPr="001C00F5">
        <w:rPr>
          <w:lang w:val="fr-FR"/>
        </w:rPr>
        <w:tab/>
      </w:r>
      <w:r>
        <w:rPr>
          <w:lang w:val="fr-FR"/>
        </w:rPr>
        <w:tab/>
      </w:r>
      <w:r w:rsidRPr="001C00F5">
        <w:rPr>
          <w:b/>
          <w:lang w:val="fr-FR"/>
        </w:rPr>
        <w:t>H</w:t>
      </w:r>
      <w:r w:rsidRPr="001C00F5">
        <w:rPr>
          <w:b/>
          <w:vertAlign w:val="subscript"/>
          <w:lang w:val="fr-FR"/>
        </w:rPr>
        <w:t>ASL</w:t>
      </w:r>
      <w:r w:rsidRPr="001C00F5">
        <w:rPr>
          <w:lang w:val="fr-FR"/>
        </w:rPr>
        <w:t xml:space="preserve"> étant la hauteur par rapport au niveau de la mer exprimée en mètres et </w:t>
      </w:r>
      <w:r w:rsidRPr="001C00F5">
        <w:rPr>
          <w:b/>
          <w:lang w:val="fr-FR"/>
        </w:rPr>
        <w:t>H</w:t>
      </w:r>
      <w:r w:rsidRPr="001C00F5">
        <w:rPr>
          <w:b/>
          <w:vertAlign w:val="subscript"/>
          <w:lang w:val="fr-FR"/>
        </w:rPr>
        <w:t>AGL</w:t>
      </w:r>
      <w:r w:rsidRPr="001C00F5">
        <w:rPr>
          <w:lang w:val="fr-FR"/>
        </w:rPr>
        <w:t xml:space="preserve"> étant la hauteur par rapport au niveau du sol, exprimée en mètres.</w:t>
      </w:r>
    </w:p>
    <w:p w:rsidR="00E56335" w:rsidRPr="001C00F5" w:rsidRDefault="00E56335" w:rsidP="00E56335">
      <w:pPr>
        <w:ind w:left="1191" w:hanging="1191"/>
        <w:rPr>
          <w:lang w:val="fr-FR"/>
        </w:rPr>
      </w:pPr>
      <w:r w:rsidRPr="001C00F5">
        <w:rPr>
          <w:lang w:val="fr-FR"/>
        </w:rPr>
        <w:tab/>
      </w:r>
      <w:r>
        <w:rPr>
          <w:lang w:val="fr-FR"/>
        </w:rPr>
        <w:tab/>
      </w:r>
      <w:r w:rsidRPr="001C00F5">
        <w:rPr>
          <w:b/>
          <w:lang w:val="fr-FR"/>
        </w:rPr>
        <w:t xml:space="preserve">F = Coefficient de correction </w:t>
      </w:r>
      <w:r w:rsidRPr="001C00F5">
        <w:rPr>
          <w:lang w:val="fr-FR"/>
        </w:rPr>
        <w:t>exprimé comme suit:</w:t>
      </w:r>
    </w:p>
    <w:p w:rsidR="00E56335" w:rsidRPr="009774C4" w:rsidRDefault="00E56335" w:rsidP="00E56335">
      <w:pPr>
        <w:pStyle w:val="enumlev1"/>
        <w:ind w:left="1588" w:hanging="1588"/>
        <w:rPr>
          <w:rFonts w:asciiTheme="majorBidi" w:hAnsiTheme="majorBidi" w:cstheme="majorBidi"/>
          <w:szCs w:val="22"/>
        </w:rPr>
      </w:pPr>
      <w:r w:rsidRPr="009774C4">
        <w:rPr>
          <w:rFonts w:asciiTheme="majorBidi" w:hAnsiTheme="majorBidi" w:cstheme="majorBidi"/>
          <w:szCs w:val="22"/>
        </w:rPr>
        <w:tab/>
      </w:r>
      <w:r w:rsidRPr="009774C4">
        <w:rPr>
          <w:rFonts w:asciiTheme="majorBidi" w:hAnsiTheme="majorBidi" w:cstheme="majorBidi"/>
          <w:szCs w:val="22"/>
        </w:rPr>
        <w:tab/>
        <w:t>a)</w:t>
      </w:r>
      <w:r w:rsidRPr="009774C4">
        <w:rPr>
          <w:rFonts w:asciiTheme="majorBidi" w:hAnsiTheme="majorBidi" w:cstheme="majorBidi"/>
          <w:szCs w:val="22"/>
        </w:rPr>
        <w:tab/>
        <w:t>Pour les stations de radiodiffusion publique exploitées sur une base non commerciale, on applique un coefficient de correction (F) de 0,5.</w:t>
      </w:r>
    </w:p>
    <w:p w:rsidR="00E56335" w:rsidRPr="00043339" w:rsidRDefault="00E56335" w:rsidP="00E56335">
      <w:pPr>
        <w:pStyle w:val="enumlev1"/>
        <w:ind w:left="1588" w:hanging="1588"/>
        <w:rPr>
          <w:rFonts w:asciiTheme="majorBidi" w:hAnsiTheme="majorBidi" w:cstheme="majorBidi"/>
          <w:szCs w:val="22"/>
        </w:rPr>
      </w:pPr>
      <w:r>
        <w:rPr>
          <w:rFonts w:asciiTheme="majorBidi" w:hAnsiTheme="majorBidi" w:cstheme="majorBidi"/>
          <w:szCs w:val="22"/>
        </w:rPr>
        <w:lastRenderedPageBreak/>
        <w:tab/>
      </w:r>
      <w:r w:rsidRPr="00043339">
        <w:rPr>
          <w:rFonts w:asciiTheme="majorBidi" w:hAnsiTheme="majorBidi" w:cstheme="majorBidi"/>
          <w:szCs w:val="22"/>
        </w:rPr>
        <w:tab/>
        <w:t>b)</w:t>
      </w:r>
      <w:r w:rsidRPr="00043339">
        <w:rPr>
          <w:rFonts w:asciiTheme="majorBidi" w:hAnsiTheme="majorBidi" w:cstheme="majorBidi"/>
          <w:szCs w:val="22"/>
        </w:rPr>
        <w:tab/>
        <w:t>Pour encourager les nouvelles technologies de radiodiffusion audio et vidéo numérique de Terre, on applique jusqu'à 2015 une réduction de 25% (soit un coefficient de correction de 0,75). Cette réduction ne vaut que pour la période indiquée et peut être accompagnée d'autres conditions énoncées par la TRA.</w:t>
      </w:r>
    </w:p>
    <w:p w:rsidR="00E56335" w:rsidRPr="00043339" w:rsidRDefault="00E56335" w:rsidP="00E56335">
      <w:pPr>
        <w:pStyle w:val="enumlev1"/>
        <w:ind w:left="1588" w:hanging="1588"/>
        <w:rPr>
          <w:rFonts w:asciiTheme="majorBidi" w:hAnsiTheme="majorBidi" w:cstheme="majorBidi"/>
          <w:szCs w:val="22"/>
        </w:rPr>
      </w:pPr>
      <w:r>
        <w:rPr>
          <w:rFonts w:asciiTheme="majorBidi" w:hAnsiTheme="majorBidi" w:cstheme="majorBidi"/>
          <w:szCs w:val="22"/>
        </w:rPr>
        <w:tab/>
      </w:r>
      <w:r w:rsidRPr="00043339">
        <w:rPr>
          <w:rFonts w:asciiTheme="majorBidi" w:hAnsiTheme="majorBidi" w:cstheme="majorBidi"/>
          <w:szCs w:val="22"/>
        </w:rPr>
        <w:tab/>
        <w:t>c)</w:t>
      </w:r>
      <w:r w:rsidRPr="00043339">
        <w:rPr>
          <w:rFonts w:asciiTheme="majorBidi" w:hAnsiTheme="majorBidi" w:cstheme="majorBidi"/>
          <w:szCs w:val="22"/>
        </w:rPr>
        <w:tab/>
        <w:t>Pour toutes les autres assignations, la valeur du coefficient de correction est de 1.</w:t>
      </w:r>
    </w:p>
    <w:p w:rsidR="00E56335" w:rsidRPr="00C3585C" w:rsidRDefault="00E56335" w:rsidP="00E56335">
      <w:pPr>
        <w:pStyle w:val="Heading2"/>
      </w:pPr>
      <w:bookmarkStart w:id="574" w:name="_Toc280260049"/>
      <w:bookmarkStart w:id="575" w:name="_Toc280272510"/>
      <w:bookmarkStart w:id="576" w:name="_Toc288643007"/>
      <w:r w:rsidRPr="00C3585C">
        <w:t>26.2</w:t>
      </w:r>
      <w:r w:rsidRPr="00C3585C">
        <w:tab/>
        <w:t>Service saisonnier de radiodiffusion sonore en ondes décamétriques</w:t>
      </w:r>
      <w:bookmarkEnd w:id="574"/>
      <w:bookmarkEnd w:id="575"/>
      <w:bookmarkEnd w:id="576"/>
    </w:p>
    <w:p w:rsidR="00E56335" w:rsidRPr="001C00F5" w:rsidRDefault="00E56335" w:rsidP="00E56335">
      <w:pPr>
        <w:rPr>
          <w:lang w:val="fr-FR"/>
        </w:rPr>
      </w:pPr>
      <w:r w:rsidRPr="001C00F5">
        <w:rPr>
          <w:lang w:val="fr-FR"/>
        </w:rPr>
        <w:t xml:space="preserve">Pour ce service, les droits à acquitter sont facturés en fonction du nombre d'émetteurs, le montant annuel pour chaque émetteur étant de 30 000 AED. </w:t>
      </w:r>
    </w:p>
    <w:p w:rsidR="00E56335" w:rsidRPr="00C3585C" w:rsidRDefault="00E56335" w:rsidP="00E56335">
      <w:pPr>
        <w:pStyle w:val="Heading2"/>
      </w:pPr>
      <w:bookmarkStart w:id="577" w:name="_Toc280260050"/>
      <w:bookmarkStart w:id="578" w:name="_Toc280272511"/>
      <w:bookmarkStart w:id="579" w:name="_Toc288643008"/>
      <w:r w:rsidRPr="00C3585C">
        <w:t>26.3</w:t>
      </w:r>
      <w:r w:rsidRPr="00C3585C">
        <w:tab/>
        <w:t>Radiodiffusion et télévision par satellite</w:t>
      </w:r>
      <w:bookmarkEnd w:id="577"/>
      <w:bookmarkEnd w:id="578"/>
      <w:bookmarkEnd w:id="579"/>
    </w:p>
    <w:p w:rsidR="00E56335" w:rsidRPr="001C00F5" w:rsidRDefault="00E56335" w:rsidP="00E56335">
      <w:pPr>
        <w:rPr>
          <w:lang w:val="fr-FR"/>
        </w:rPr>
      </w:pPr>
      <w:r w:rsidRPr="001C00F5">
        <w:rPr>
          <w:lang w:val="fr-FR"/>
        </w:rPr>
        <w:t>L'établissement de liaisons montantes de radiodiffusion DAB et DVB-SH est facturé à 200 000 AED par unité multiplex, et à 400 000 AED par unité multiplex pour la DVB</w:t>
      </w:r>
      <w:r w:rsidRPr="001C00F5">
        <w:rPr>
          <w:lang w:val="fr-FR"/>
        </w:rPr>
        <w:noBreakHyphen/>
        <w:t>S et la DVB-RCS.</w:t>
      </w:r>
    </w:p>
    <w:p w:rsidR="00E56335" w:rsidRPr="001C00F5" w:rsidRDefault="00E56335" w:rsidP="00E56335">
      <w:pPr>
        <w:rPr>
          <w:lang w:val="fr-FR"/>
        </w:rPr>
      </w:pPr>
      <w:r w:rsidRPr="001C00F5">
        <w:rPr>
          <w:lang w:val="fr-FR"/>
        </w:rPr>
        <w:t>On entend par unité multiplex un canal (signal) avec une largeur de bande appropriée contenant plusieurs programmes associés par multiplexage et compression numériques.</w:t>
      </w:r>
    </w:p>
    <w:p w:rsidR="00E56335" w:rsidRPr="00A86C2E" w:rsidRDefault="00E56335" w:rsidP="00E56335">
      <w:pPr>
        <w:pStyle w:val="Arttitle"/>
        <w:spacing w:before="400"/>
      </w:pPr>
      <w:bookmarkStart w:id="580" w:name="_Toc225739512"/>
      <w:bookmarkStart w:id="581" w:name="_Toc225739856"/>
      <w:bookmarkStart w:id="582" w:name="_Toc280262384"/>
      <w:bookmarkStart w:id="583" w:name="_Toc280272778"/>
      <w:bookmarkStart w:id="584" w:name="_Toc280272957"/>
      <w:r>
        <w:t xml:space="preserve">Article </w:t>
      </w:r>
      <w:r w:rsidRPr="00A86C2E">
        <w:t>27</w:t>
      </w:r>
      <w:bookmarkEnd w:id="580"/>
      <w:bookmarkEnd w:id="581"/>
      <w:r w:rsidRPr="00A86C2E">
        <w:br/>
      </w:r>
      <w:r w:rsidRPr="00A86C2E">
        <w:br/>
      </w:r>
      <w:bookmarkStart w:id="585" w:name="_Toc225739513"/>
      <w:bookmarkStart w:id="586" w:name="_Toc225739857"/>
      <w:r w:rsidRPr="00A86C2E">
        <w:t>Systèmes à courte portée</w:t>
      </w:r>
      <w:bookmarkEnd w:id="582"/>
      <w:bookmarkEnd w:id="583"/>
      <w:bookmarkEnd w:id="584"/>
      <w:bookmarkEnd w:id="585"/>
      <w:bookmarkEnd w:id="586"/>
    </w:p>
    <w:p w:rsidR="00E56335" w:rsidRPr="00A86C2E" w:rsidRDefault="00E56335" w:rsidP="00425516">
      <w:pPr>
        <w:pStyle w:val="enumlev1"/>
        <w:spacing w:before="80"/>
        <w:rPr>
          <w:rFonts w:asciiTheme="majorBidi" w:hAnsiTheme="majorBidi" w:cstheme="majorBidi"/>
          <w:szCs w:val="22"/>
        </w:rPr>
      </w:pPr>
      <w:r w:rsidRPr="00A86C2E">
        <w:rPr>
          <w:rFonts w:asciiTheme="majorBidi" w:hAnsiTheme="majorBidi" w:cstheme="majorBidi"/>
          <w:szCs w:val="22"/>
        </w:rPr>
        <w:t>27.1</w:t>
      </w:r>
      <w:r w:rsidRPr="00A86C2E">
        <w:rPr>
          <w:rFonts w:asciiTheme="majorBidi" w:hAnsiTheme="majorBidi" w:cstheme="majorBidi"/>
          <w:szCs w:val="22"/>
        </w:rPr>
        <w:tab/>
        <w:t>Tous les équipements de transmission sans fil pouvant être considérés comme systèmes à courte portée, selon les critères définis par la TRA, sont exemptés du paiement de droits annuels. Ces équipements font l'objet d'une autorisation catégorielle.</w:t>
      </w:r>
    </w:p>
    <w:p w:rsidR="00E56335" w:rsidRDefault="00E56335" w:rsidP="00425516">
      <w:pPr>
        <w:pStyle w:val="enumlev1"/>
        <w:spacing w:before="80"/>
        <w:rPr>
          <w:rFonts w:asciiTheme="majorBidi" w:hAnsiTheme="majorBidi" w:cstheme="majorBidi"/>
          <w:szCs w:val="22"/>
        </w:rPr>
      </w:pPr>
      <w:r w:rsidRPr="00A86C2E">
        <w:rPr>
          <w:rFonts w:asciiTheme="majorBidi" w:hAnsiTheme="majorBidi" w:cstheme="majorBidi"/>
          <w:szCs w:val="22"/>
        </w:rPr>
        <w:t>27.2</w:t>
      </w:r>
      <w:r w:rsidRPr="00A86C2E">
        <w:rPr>
          <w:rFonts w:asciiTheme="majorBidi" w:hAnsiTheme="majorBidi" w:cstheme="majorBidi"/>
          <w:szCs w:val="22"/>
        </w:rPr>
        <w:tab/>
        <w:t>Pour les équipements de transmission de faible puissance prévus pour être utilisés exclusivement à l'intérieur et ayant une puissance apparente rayonnée de moins de 1 W et n'étant pas classés comme systèmes à courte portée, les droits à acquitter sont les suivants:</w:t>
      </w:r>
    </w:p>
    <w:p w:rsidR="00E56335" w:rsidRDefault="00E56335" w:rsidP="00E56335"/>
    <w:p w:rsidR="00E56335" w:rsidRDefault="00E56335" w:rsidP="00E56335">
      <w:pPr>
        <w:pStyle w:val="FigureTitle"/>
      </w:pPr>
      <w:r w:rsidRPr="00F50942">
        <w:t>Table</w:t>
      </w:r>
      <w:r>
        <w:t>au</w:t>
      </w:r>
      <w:r w:rsidRPr="00F50942">
        <w:t xml:space="preserve"> </w:t>
      </w:r>
      <w:fldSimple w:instr=" SEQ Figure \* ARABIC ">
        <w:r>
          <w:rPr>
            <w:noProof/>
          </w:rPr>
          <w:t>4</w:t>
        </w:r>
      </w:fldSimple>
      <w:r w:rsidRPr="00F50942">
        <w:t xml:space="preserve"> – </w:t>
      </w:r>
      <w:r w:rsidRPr="001C00F5">
        <w:rPr>
          <w:lang w:val="fr-FR"/>
        </w:rPr>
        <w:t>Montant annuel des droits à acquitter pour les équipements à faible puissance</w:t>
      </w:r>
    </w:p>
    <w:p w:rsidR="00E56335" w:rsidRDefault="00E56335" w:rsidP="00E56335">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0"/>
        <w:gridCol w:w="2272"/>
      </w:tblGrid>
      <w:tr w:rsidR="00E56335" w:rsidRPr="00FC4F1B" w:rsidTr="00015D4C">
        <w:trPr>
          <w:jc w:val="center"/>
        </w:trPr>
        <w:tc>
          <w:tcPr>
            <w:tcW w:w="2470" w:type="dxa"/>
            <w:shd w:val="clear" w:color="auto" w:fill="E6E6E6"/>
          </w:tcPr>
          <w:p w:rsidR="00E56335" w:rsidRPr="006671B1" w:rsidRDefault="00E56335" w:rsidP="00015D4C">
            <w:pPr>
              <w:pStyle w:val="Tablehead"/>
              <w:spacing w:before="120" w:after="120"/>
              <w:rPr>
                <w:rFonts w:asciiTheme="majorBidi" w:hAnsiTheme="majorBidi" w:cstheme="majorBidi"/>
                <w:szCs w:val="22"/>
              </w:rPr>
            </w:pPr>
            <w:r w:rsidRPr="006671B1">
              <w:rPr>
                <w:rFonts w:asciiTheme="majorBidi" w:hAnsiTheme="majorBidi" w:cstheme="majorBidi"/>
                <w:szCs w:val="22"/>
              </w:rPr>
              <w:t>Puissance émise</w:t>
            </w:r>
          </w:p>
        </w:tc>
        <w:tc>
          <w:tcPr>
            <w:tcW w:w="2272" w:type="dxa"/>
            <w:shd w:val="clear" w:color="auto" w:fill="E6E6E6"/>
          </w:tcPr>
          <w:p w:rsidR="00E56335" w:rsidRPr="006671B1" w:rsidRDefault="00E56335" w:rsidP="00015D4C">
            <w:pPr>
              <w:pStyle w:val="Tablehead"/>
              <w:spacing w:before="120" w:after="120"/>
              <w:rPr>
                <w:rFonts w:asciiTheme="majorBidi" w:hAnsiTheme="majorBidi" w:cstheme="majorBidi"/>
                <w:szCs w:val="22"/>
              </w:rPr>
            </w:pPr>
            <w:r w:rsidRPr="006671B1">
              <w:rPr>
                <w:rFonts w:asciiTheme="majorBidi" w:hAnsiTheme="majorBidi" w:cstheme="majorBidi"/>
                <w:szCs w:val="22"/>
              </w:rPr>
              <w:t>Droits annuels</w:t>
            </w:r>
          </w:p>
        </w:tc>
      </w:tr>
      <w:tr w:rsidR="00E56335" w:rsidRPr="00FC4F1B" w:rsidTr="00015D4C">
        <w:trPr>
          <w:trHeight w:hRule="exact" w:val="340"/>
          <w:jc w:val="center"/>
        </w:trPr>
        <w:tc>
          <w:tcPr>
            <w:tcW w:w="2470" w:type="dxa"/>
            <w:vAlign w:val="center"/>
          </w:tcPr>
          <w:p w:rsidR="00E56335" w:rsidRPr="006671B1" w:rsidRDefault="00E56335" w:rsidP="00015D4C">
            <w:pPr>
              <w:pStyle w:val="Tabletext"/>
              <w:rPr>
                <w:rFonts w:asciiTheme="majorBidi" w:hAnsiTheme="majorBidi" w:cstheme="majorBidi"/>
                <w:szCs w:val="22"/>
                <w:lang w:val="fr-FR"/>
              </w:rPr>
            </w:pPr>
            <w:r w:rsidRPr="006671B1">
              <w:rPr>
                <w:rFonts w:asciiTheme="majorBidi" w:hAnsiTheme="majorBidi" w:cstheme="majorBidi"/>
                <w:szCs w:val="22"/>
                <w:lang w:val="fr-FR"/>
              </w:rPr>
              <w:t>Jusqu'à 10 mW</w:t>
            </w:r>
          </w:p>
        </w:tc>
        <w:tc>
          <w:tcPr>
            <w:tcW w:w="2272" w:type="dxa"/>
            <w:vAlign w:val="center"/>
          </w:tcPr>
          <w:p w:rsidR="00E56335" w:rsidRPr="006671B1" w:rsidRDefault="00E56335" w:rsidP="00015D4C">
            <w:pPr>
              <w:pStyle w:val="Tabletext"/>
              <w:jc w:val="center"/>
              <w:rPr>
                <w:rFonts w:asciiTheme="majorBidi" w:hAnsiTheme="majorBidi" w:cstheme="majorBidi"/>
                <w:szCs w:val="22"/>
                <w:lang w:val="fr-FR"/>
              </w:rPr>
            </w:pPr>
            <w:r w:rsidRPr="006671B1">
              <w:rPr>
                <w:rFonts w:asciiTheme="majorBidi" w:hAnsiTheme="majorBidi" w:cstheme="majorBidi"/>
                <w:szCs w:val="22"/>
                <w:lang w:val="fr-FR"/>
              </w:rPr>
              <w:t>100 AED</w:t>
            </w:r>
          </w:p>
        </w:tc>
      </w:tr>
      <w:tr w:rsidR="00E56335" w:rsidRPr="00FC4F1B" w:rsidTr="00015D4C">
        <w:trPr>
          <w:trHeight w:hRule="exact" w:val="340"/>
          <w:jc w:val="center"/>
        </w:trPr>
        <w:tc>
          <w:tcPr>
            <w:tcW w:w="2470" w:type="dxa"/>
            <w:vAlign w:val="center"/>
          </w:tcPr>
          <w:p w:rsidR="00E56335" w:rsidRPr="006671B1" w:rsidRDefault="00E56335" w:rsidP="00015D4C">
            <w:pPr>
              <w:pStyle w:val="Tabletext"/>
              <w:rPr>
                <w:rFonts w:asciiTheme="majorBidi" w:hAnsiTheme="majorBidi" w:cstheme="majorBidi"/>
                <w:szCs w:val="22"/>
                <w:lang w:val="fr-FR"/>
              </w:rPr>
            </w:pPr>
            <w:r w:rsidRPr="006671B1">
              <w:rPr>
                <w:rFonts w:asciiTheme="majorBidi" w:hAnsiTheme="majorBidi" w:cstheme="majorBidi"/>
                <w:szCs w:val="22"/>
                <w:lang w:val="fr-FR"/>
              </w:rPr>
              <w:t>De 10 mW à 100 mW</w:t>
            </w:r>
          </w:p>
        </w:tc>
        <w:tc>
          <w:tcPr>
            <w:tcW w:w="2272" w:type="dxa"/>
            <w:vAlign w:val="center"/>
          </w:tcPr>
          <w:p w:rsidR="00E56335" w:rsidRPr="006671B1" w:rsidRDefault="00E56335" w:rsidP="00015D4C">
            <w:pPr>
              <w:pStyle w:val="Tabletext"/>
              <w:jc w:val="center"/>
              <w:rPr>
                <w:rFonts w:asciiTheme="majorBidi" w:hAnsiTheme="majorBidi" w:cstheme="majorBidi"/>
                <w:szCs w:val="22"/>
                <w:lang w:val="fr-FR"/>
              </w:rPr>
            </w:pPr>
            <w:r w:rsidRPr="006671B1">
              <w:rPr>
                <w:rFonts w:asciiTheme="majorBidi" w:hAnsiTheme="majorBidi" w:cstheme="majorBidi"/>
                <w:szCs w:val="22"/>
                <w:lang w:val="fr-FR"/>
              </w:rPr>
              <w:t>200 AED</w:t>
            </w:r>
          </w:p>
        </w:tc>
      </w:tr>
      <w:tr w:rsidR="00E56335" w:rsidRPr="00FC4F1B" w:rsidTr="00015D4C">
        <w:trPr>
          <w:trHeight w:hRule="exact" w:val="340"/>
          <w:jc w:val="center"/>
        </w:trPr>
        <w:tc>
          <w:tcPr>
            <w:tcW w:w="2470" w:type="dxa"/>
            <w:vAlign w:val="center"/>
          </w:tcPr>
          <w:p w:rsidR="00E56335" w:rsidRPr="006671B1" w:rsidRDefault="00E56335" w:rsidP="00015D4C">
            <w:pPr>
              <w:pStyle w:val="Tabletext"/>
              <w:rPr>
                <w:rFonts w:asciiTheme="majorBidi" w:hAnsiTheme="majorBidi" w:cstheme="majorBidi"/>
                <w:szCs w:val="22"/>
                <w:lang w:val="fr-FR"/>
              </w:rPr>
            </w:pPr>
            <w:r w:rsidRPr="006671B1">
              <w:rPr>
                <w:rFonts w:asciiTheme="majorBidi" w:hAnsiTheme="majorBidi" w:cstheme="majorBidi"/>
                <w:szCs w:val="22"/>
                <w:lang w:val="fr-FR"/>
              </w:rPr>
              <w:t>De 100 mW à 1 W</w:t>
            </w:r>
          </w:p>
        </w:tc>
        <w:tc>
          <w:tcPr>
            <w:tcW w:w="2272" w:type="dxa"/>
            <w:vAlign w:val="center"/>
          </w:tcPr>
          <w:p w:rsidR="00E56335" w:rsidRPr="006671B1" w:rsidRDefault="00E56335" w:rsidP="00015D4C">
            <w:pPr>
              <w:pStyle w:val="Tabletext"/>
              <w:jc w:val="center"/>
              <w:rPr>
                <w:rFonts w:asciiTheme="majorBidi" w:hAnsiTheme="majorBidi" w:cstheme="majorBidi"/>
                <w:szCs w:val="22"/>
                <w:lang w:val="fr-FR"/>
              </w:rPr>
            </w:pPr>
            <w:r w:rsidRPr="006671B1">
              <w:rPr>
                <w:rFonts w:asciiTheme="majorBidi" w:hAnsiTheme="majorBidi" w:cstheme="majorBidi"/>
                <w:szCs w:val="22"/>
                <w:lang w:val="fr-FR"/>
              </w:rPr>
              <w:t>400 AED</w:t>
            </w:r>
          </w:p>
        </w:tc>
      </w:tr>
    </w:tbl>
    <w:p w:rsidR="00E56335" w:rsidRDefault="00E56335" w:rsidP="00E56335">
      <w:pPr>
        <w:pStyle w:val="FigureSource"/>
      </w:pPr>
    </w:p>
    <w:p w:rsidR="00E56335" w:rsidRPr="00A86C2E" w:rsidRDefault="00E56335" w:rsidP="00E56335">
      <w:pPr>
        <w:pStyle w:val="enumlev1"/>
        <w:rPr>
          <w:rFonts w:asciiTheme="majorBidi" w:hAnsiTheme="majorBidi" w:cstheme="majorBidi"/>
          <w:szCs w:val="22"/>
        </w:rPr>
      </w:pPr>
    </w:p>
    <w:p w:rsidR="00E56335" w:rsidRPr="00166549" w:rsidRDefault="00E56335" w:rsidP="00E56335">
      <w:pPr>
        <w:pStyle w:val="Arttitle"/>
        <w:spacing w:before="400"/>
      </w:pPr>
      <w:bookmarkStart w:id="587" w:name="_Toc280262385"/>
      <w:bookmarkStart w:id="588" w:name="_Toc280272779"/>
      <w:bookmarkStart w:id="589" w:name="_Toc280272958"/>
      <w:r>
        <w:t xml:space="preserve">Article </w:t>
      </w:r>
      <w:r w:rsidRPr="00166549">
        <w:t>28</w:t>
      </w:r>
      <w:r w:rsidRPr="00166549">
        <w:br/>
      </w:r>
      <w:r w:rsidRPr="00166549">
        <w:br/>
      </w:r>
      <w:bookmarkStart w:id="590" w:name="_Toc225739858"/>
      <w:r w:rsidRPr="00166549">
        <w:t>Fréquences à utiliser en cas d'urgence et de catastrophe</w:t>
      </w:r>
      <w:bookmarkEnd w:id="587"/>
      <w:bookmarkEnd w:id="588"/>
      <w:bookmarkEnd w:id="589"/>
      <w:bookmarkEnd w:id="590"/>
    </w:p>
    <w:p w:rsidR="00E56335" w:rsidRPr="001C00F5" w:rsidRDefault="00E56335" w:rsidP="00E56335">
      <w:pPr>
        <w:rPr>
          <w:lang w:val="fr-FR"/>
        </w:rPr>
      </w:pPr>
      <w:r w:rsidRPr="001C00F5">
        <w:rPr>
          <w:lang w:val="fr-FR"/>
        </w:rPr>
        <w:t xml:space="preserve">L'utilisation de toutes les fréquences identifiées dans le Plan national des fréquences et dans le Tableau national d'attribution des bandes de fréquences comme utilisées pour les secours d'urgence, les appels de détresse et la sécurité de la vie humaine est exempte de droits. Tous les équipements de transmission sans fil fabriqués exclusivement pour assurer la sécurité de la vie humaine et agréés par le </w:t>
      </w:r>
      <w:r w:rsidRPr="001C00F5">
        <w:rPr>
          <w:szCs w:val="24"/>
          <w:lang w:val="fr-FR"/>
        </w:rPr>
        <w:t>Directeur</w:t>
      </w:r>
      <w:r w:rsidRPr="001C00F5">
        <w:rPr>
          <w:lang w:val="fr-FR"/>
        </w:rPr>
        <w:t xml:space="preserve"> général de la TRA comme relevant de cette catégorie sont exempts de droits. </w:t>
      </w:r>
    </w:p>
    <w:p w:rsidR="00E56335" w:rsidRPr="00166549" w:rsidRDefault="00E56335" w:rsidP="00E56335">
      <w:pPr>
        <w:pStyle w:val="Arttitle"/>
        <w:spacing w:before="400"/>
      </w:pPr>
      <w:bookmarkStart w:id="591" w:name="_Toc225739514"/>
      <w:bookmarkStart w:id="592" w:name="_Toc225739859"/>
      <w:bookmarkStart w:id="593" w:name="_Toc280262386"/>
      <w:bookmarkStart w:id="594" w:name="_Toc280272780"/>
      <w:bookmarkStart w:id="595" w:name="_Toc280272959"/>
      <w:r>
        <w:lastRenderedPageBreak/>
        <w:t xml:space="preserve">Article </w:t>
      </w:r>
      <w:r w:rsidRPr="00166549">
        <w:t>29</w:t>
      </w:r>
      <w:bookmarkEnd w:id="591"/>
      <w:bookmarkEnd w:id="592"/>
      <w:r w:rsidRPr="00166549">
        <w:br/>
      </w:r>
      <w:r w:rsidRPr="00166549">
        <w:br/>
      </w:r>
      <w:bookmarkStart w:id="596" w:name="_Toc225739515"/>
      <w:bookmarkStart w:id="597" w:name="_Toc225739860"/>
      <w:r w:rsidRPr="00166549">
        <w:t>Autorisation temporaire</w:t>
      </w:r>
      <w:bookmarkEnd w:id="593"/>
      <w:bookmarkEnd w:id="594"/>
      <w:bookmarkEnd w:id="595"/>
      <w:bookmarkEnd w:id="596"/>
      <w:bookmarkEnd w:id="597"/>
    </w:p>
    <w:p w:rsidR="00E56335" w:rsidRPr="001C00F5" w:rsidRDefault="00E56335" w:rsidP="00E56335">
      <w:pPr>
        <w:rPr>
          <w:lang w:val="fr-FR"/>
        </w:rPr>
      </w:pPr>
      <w:r w:rsidRPr="001C00F5">
        <w:rPr>
          <w:lang w:val="fr-FR"/>
        </w:rPr>
        <w:t xml:space="preserve">Le montant des droits pour une autorisation temporaire est calculé au prorata du montant des droits annuels perçus pour les services de radiocommunication. Néanmoins, un montant minimal de 100 AED est perçu dans tous les cas. Les droits d'utilisation temporaire des fréquences radioélectriques s'ajoutent aux droits de traitement des demandes. </w:t>
      </w:r>
    </w:p>
    <w:p w:rsidR="00E56335" w:rsidRPr="00166549" w:rsidRDefault="00E56335" w:rsidP="00E56335">
      <w:pPr>
        <w:pStyle w:val="Arttitle"/>
        <w:spacing w:before="400"/>
      </w:pPr>
      <w:bookmarkStart w:id="598" w:name="_Toc225739516"/>
      <w:bookmarkStart w:id="599" w:name="_Toc225739861"/>
      <w:bookmarkStart w:id="600" w:name="_Toc280262387"/>
      <w:bookmarkStart w:id="601" w:name="_Toc280272781"/>
      <w:bookmarkStart w:id="602" w:name="_Toc280272960"/>
      <w:r>
        <w:t xml:space="preserve">Article </w:t>
      </w:r>
      <w:r w:rsidRPr="00166549">
        <w:t>30</w:t>
      </w:r>
      <w:bookmarkEnd w:id="598"/>
      <w:bookmarkEnd w:id="599"/>
      <w:r w:rsidRPr="00166549">
        <w:br/>
      </w:r>
      <w:r w:rsidRPr="00166549">
        <w:br/>
      </w:r>
      <w:bookmarkStart w:id="603" w:name="_Toc225739517"/>
      <w:bookmarkStart w:id="604" w:name="_Toc225739862"/>
      <w:r w:rsidRPr="00166549">
        <w:t>Autres services de radiocommunication</w:t>
      </w:r>
      <w:bookmarkEnd w:id="600"/>
      <w:bookmarkEnd w:id="601"/>
      <w:bookmarkEnd w:id="602"/>
      <w:bookmarkEnd w:id="603"/>
      <w:bookmarkEnd w:id="604"/>
    </w:p>
    <w:p w:rsidR="00E56335" w:rsidRPr="00BB3B03" w:rsidRDefault="00E56335" w:rsidP="00E56335">
      <w:r w:rsidRPr="00BB3B03">
        <w:t>Le montant annuel des droits à acquitter pour l'autorisation d'utiliser d'autres services de radiocommunication non mentionnés ci</w:t>
      </w:r>
      <w:r w:rsidRPr="00BB3B03">
        <w:noBreakHyphen/>
        <w:t xml:space="preserve">dessus est déterminé par la TRA et son application prend effet dès approbation du Directeur général, avant même que soit publiée une version révisée de la présente directive. </w:t>
      </w:r>
    </w:p>
    <w:p w:rsidR="00E56335" w:rsidRPr="00166549" w:rsidRDefault="00E56335" w:rsidP="00E56335">
      <w:pPr>
        <w:pStyle w:val="Arttitle"/>
        <w:spacing w:before="400"/>
      </w:pPr>
      <w:bookmarkStart w:id="605" w:name="_Toc225739518"/>
      <w:bookmarkStart w:id="606" w:name="_Toc225739863"/>
      <w:bookmarkStart w:id="607" w:name="_Toc280262388"/>
      <w:bookmarkStart w:id="608" w:name="_Toc280272782"/>
      <w:bookmarkStart w:id="609" w:name="_Toc280272961"/>
      <w:r>
        <w:t xml:space="preserve">Article </w:t>
      </w:r>
      <w:r w:rsidRPr="00166549">
        <w:t>31</w:t>
      </w:r>
      <w:bookmarkEnd w:id="605"/>
      <w:bookmarkEnd w:id="606"/>
      <w:r w:rsidRPr="00166549">
        <w:br/>
      </w:r>
      <w:r w:rsidRPr="00166549">
        <w:br/>
      </w:r>
      <w:bookmarkStart w:id="610" w:name="_Toc225739519"/>
      <w:bookmarkStart w:id="611" w:name="_Toc225739864"/>
      <w:r w:rsidRPr="00166549">
        <w:t>Traitement des plaintes pour brouillages et droits applicables</w:t>
      </w:r>
      <w:bookmarkEnd w:id="607"/>
      <w:bookmarkEnd w:id="608"/>
      <w:bookmarkEnd w:id="609"/>
      <w:bookmarkEnd w:id="610"/>
      <w:bookmarkEnd w:id="611"/>
    </w:p>
    <w:p w:rsidR="00E56335" w:rsidRPr="007D7851" w:rsidRDefault="00E56335" w:rsidP="00E56335">
      <w:r w:rsidRPr="007D7851">
        <w:t>La TRA détermine le montant des droits à acquitter en cas de plainte pour brouillages ainsi que le montant des droits applicables au cas par cas, sous réserve de l'approbation du Directeur général.</w:t>
      </w:r>
    </w:p>
    <w:p w:rsidR="00E56335" w:rsidRPr="00166549" w:rsidRDefault="00E56335" w:rsidP="00E56335">
      <w:pPr>
        <w:pStyle w:val="Arttitle"/>
        <w:spacing w:before="400"/>
      </w:pPr>
      <w:bookmarkStart w:id="612" w:name="_Toc225739520"/>
      <w:bookmarkStart w:id="613" w:name="_Toc225739865"/>
      <w:bookmarkStart w:id="614" w:name="_Toc280262389"/>
      <w:bookmarkStart w:id="615" w:name="_Toc280272783"/>
      <w:bookmarkStart w:id="616" w:name="_Toc280272962"/>
      <w:r>
        <w:t xml:space="preserve">Article </w:t>
      </w:r>
      <w:r w:rsidRPr="00166549">
        <w:t>32</w:t>
      </w:r>
      <w:bookmarkEnd w:id="612"/>
      <w:bookmarkEnd w:id="613"/>
      <w:r w:rsidRPr="00166549">
        <w:br/>
      </w:r>
      <w:r w:rsidRPr="00166549">
        <w:br/>
      </w:r>
      <w:bookmarkStart w:id="617" w:name="_Toc225739521"/>
      <w:bookmarkStart w:id="618" w:name="_Toc225739866"/>
      <w:r w:rsidRPr="00166549">
        <w:t xml:space="preserve">Droits à acquitter par les ambassades et consulats de pays étrangers </w:t>
      </w:r>
      <w:r w:rsidRPr="00166549">
        <w:br/>
        <w:t>et par les missions diplomatiques</w:t>
      </w:r>
      <w:bookmarkEnd w:id="614"/>
      <w:bookmarkEnd w:id="615"/>
      <w:bookmarkEnd w:id="616"/>
      <w:bookmarkEnd w:id="617"/>
      <w:bookmarkEnd w:id="618"/>
    </w:p>
    <w:p w:rsidR="00E56335" w:rsidRPr="007D7851" w:rsidRDefault="00E56335" w:rsidP="00E56335">
      <w:r w:rsidRPr="007D7851">
        <w:t>Les ambassades et consulats de pays étrangers ainsi que les missions diplomatiques et les visites d'Etat de hautes personnalités sont exemptés du paiement des droits d'utilisation du spectre, pour autant que la même exemption s'applique aux ambassades, consulats et missions des Emirats arabes unis dans le pays d'origine. Cette exemption s'applique également à la correspondance officielle qui relève de la Convention de Vienne sur les relations diplomatiques et qui passe par le Ministère des affaires étrangères des Emirats arabes unis.</w:t>
      </w:r>
    </w:p>
    <w:p w:rsidR="00E56335" w:rsidRPr="00166549" w:rsidRDefault="00E56335" w:rsidP="00E56335">
      <w:pPr>
        <w:pStyle w:val="Arttitle"/>
        <w:spacing w:before="400"/>
      </w:pPr>
      <w:bookmarkStart w:id="619" w:name="_Toc225739522"/>
      <w:bookmarkStart w:id="620" w:name="_Toc225739867"/>
      <w:bookmarkStart w:id="621" w:name="_Toc280262390"/>
      <w:bookmarkStart w:id="622" w:name="_Toc280272784"/>
      <w:bookmarkStart w:id="623" w:name="_Toc280272963"/>
      <w:r>
        <w:t xml:space="preserve">Article </w:t>
      </w:r>
      <w:r w:rsidRPr="00166549">
        <w:t>33</w:t>
      </w:r>
      <w:bookmarkEnd w:id="619"/>
      <w:bookmarkEnd w:id="620"/>
      <w:r w:rsidRPr="00166549">
        <w:br/>
      </w:r>
      <w:r w:rsidRPr="00166549">
        <w:br/>
      </w:r>
      <w:bookmarkStart w:id="624" w:name="_Toc225739523"/>
      <w:bookmarkStart w:id="625" w:name="_Toc225739868"/>
      <w:r w:rsidRPr="00166549">
        <w:t>Droits à acquitter pour la visite des emplacements</w:t>
      </w:r>
      <w:bookmarkEnd w:id="621"/>
      <w:bookmarkEnd w:id="622"/>
      <w:bookmarkEnd w:id="623"/>
      <w:bookmarkEnd w:id="624"/>
      <w:bookmarkEnd w:id="625"/>
    </w:p>
    <w:p w:rsidR="00E56335" w:rsidRPr="007D7851" w:rsidRDefault="00E56335" w:rsidP="00E56335">
      <w:r w:rsidRPr="007D7851">
        <w:t>Les droits suivants sont à acquitter pour la visite des emplacements sous la conduite de l'Autorité responsable, à la demande de l'utilisateur agréé et à des fins d'assistance technique:</w:t>
      </w:r>
    </w:p>
    <w:p w:rsidR="00E56335" w:rsidRPr="003E4442" w:rsidRDefault="00E56335" w:rsidP="00E56335">
      <w:pPr>
        <w:tabs>
          <w:tab w:val="left" w:pos="567"/>
        </w:tabs>
        <w:ind w:left="1191" w:hanging="1191"/>
        <w:rPr>
          <w:lang w:val="fr-FR"/>
        </w:rPr>
      </w:pPr>
      <w:r w:rsidRPr="003E4442">
        <w:rPr>
          <w:lang w:val="fr-FR"/>
        </w:rPr>
        <w:t xml:space="preserve">Droits à acquitter pour la visite des emplacements = 5 000 AED par jour et par visite </w:t>
      </w:r>
    </w:p>
    <w:p w:rsidR="00E56335" w:rsidRPr="00166549" w:rsidRDefault="00E56335" w:rsidP="00E56335">
      <w:pPr>
        <w:pStyle w:val="Arttitle"/>
        <w:spacing w:before="400"/>
      </w:pPr>
      <w:bookmarkStart w:id="626" w:name="_Toc225739524"/>
      <w:bookmarkStart w:id="627" w:name="_Toc225739869"/>
      <w:bookmarkStart w:id="628" w:name="_Toc280262391"/>
      <w:bookmarkStart w:id="629" w:name="_Toc280272785"/>
      <w:bookmarkStart w:id="630" w:name="_Toc280272964"/>
      <w:r>
        <w:t xml:space="preserve">Article </w:t>
      </w:r>
      <w:r w:rsidRPr="00166549">
        <w:t>34</w:t>
      </w:r>
      <w:bookmarkEnd w:id="626"/>
      <w:bookmarkEnd w:id="627"/>
      <w:r w:rsidRPr="00166549">
        <w:br/>
      </w:r>
      <w:r w:rsidRPr="00166549">
        <w:br/>
      </w:r>
      <w:bookmarkStart w:id="631" w:name="_Toc225739525"/>
      <w:bookmarkStart w:id="632" w:name="_Toc225739870"/>
      <w:r w:rsidRPr="00166549">
        <w:t>Obligation de paiement</w:t>
      </w:r>
      <w:bookmarkEnd w:id="628"/>
      <w:bookmarkEnd w:id="629"/>
      <w:bookmarkEnd w:id="630"/>
      <w:bookmarkEnd w:id="631"/>
      <w:bookmarkEnd w:id="632"/>
    </w:p>
    <w:p w:rsidR="00E56335" w:rsidRPr="007D7851" w:rsidRDefault="00E56335" w:rsidP="00E56335">
      <w:r w:rsidRPr="007D7851">
        <w:t xml:space="preserve">Les droits à acquitter pour l'utilisation du spectre sont payables à l'avance, par tous, sans exception, sauf indication contraire dans la présente directive. Ces droits ne sont pas considérés comme constituant une taxe </w:t>
      </w:r>
      <w:r w:rsidRPr="007D7851">
        <w:lastRenderedPageBreak/>
        <w:t xml:space="preserve">fédérale ou locale mais comme une redevance perçue pour l'utilisation d'une ressource nationale limitée. Les utilisateurs agréés doivent s'acquitter de la totalité des droits dans les délais impartis, même dans les cas où ils contestent le montant, en totalité ou en partie. En cas de contestation du montant et si un remboursement est dû à l'utilisateur agréé, la somme est versée par la TRA dans un délai d'un mois après règlement du différend. </w:t>
      </w:r>
    </w:p>
    <w:p w:rsidR="00E56335" w:rsidRPr="00166549" w:rsidRDefault="00E56335" w:rsidP="00E56335">
      <w:pPr>
        <w:pStyle w:val="Arttitle"/>
        <w:spacing w:before="400"/>
      </w:pPr>
      <w:bookmarkStart w:id="633" w:name="_Toc280262392"/>
      <w:bookmarkStart w:id="634" w:name="_Toc280272786"/>
      <w:bookmarkStart w:id="635" w:name="_Toc280272965"/>
      <w:r>
        <w:t xml:space="preserve">Article </w:t>
      </w:r>
      <w:r w:rsidRPr="00166549">
        <w:t>35</w:t>
      </w:r>
      <w:r w:rsidRPr="00166549">
        <w:br/>
      </w:r>
      <w:r w:rsidRPr="00166549">
        <w:br/>
      </w:r>
      <w:bookmarkStart w:id="636" w:name="_Toc225739871"/>
      <w:r w:rsidRPr="00166549">
        <w:t>Méthodes de paiement</w:t>
      </w:r>
      <w:bookmarkEnd w:id="633"/>
      <w:bookmarkEnd w:id="634"/>
      <w:bookmarkEnd w:id="635"/>
      <w:bookmarkEnd w:id="636"/>
    </w:p>
    <w:p w:rsidR="00E56335" w:rsidRPr="007D7851" w:rsidRDefault="00E56335" w:rsidP="00E56335">
      <w:r w:rsidRPr="007D7851">
        <w:t xml:space="preserve">La TRA ne peut accepter de paiements en espèces et les droits à acquitter pour l'utilisation du spectre et autres droits associés sont payables selon l'une des méthodes suivantes: </w:t>
      </w:r>
    </w:p>
    <w:p w:rsidR="00E56335" w:rsidRPr="001C00F5" w:rsidRDefault="00E56335" w:rsidP="00425516">
      <w:pPr>
        <w:pStyle w:val="enumlev1"/>
        <w:spacing w:before="80"/>
        <w:rPr>
          <w:lang w:val="fr-FR"/>
        </w:rPr>
      </w:pPr>
      <w:r>
        <w:rPr>
          <w:lang w:val="fr-FR"/>
        </w:rPr>
        <w:t>–</w:t>
      </w:r>
      <w:r>
        <w:rPr>
          <w:lang w:val="fr-FR"/>
        </w:rPr>
        <w:tab/>
      </w:r>
      <w:r w:rsidRPr="001C00F5">
        <w:rPr>
          <w:lang w:val="fr-FR"/>
        </w:rPr>
        <w:t xml:space="preserve">Paiement électronique </w:t>
      </w:r>
    </w:p>
    <w:p w:rsidR="00E56335" w:rsidRPr="001C00F5" w:rsidRDefault="00E56335" w:rsidP="00425516">
      <w:pPr>
        <w:pStyle w:val="enumlev1"/>
        <w:spacing w:before="80"/>
        <w:rPr>
          <w:lang w:val="fr-FR"/>
        </w:rPr>
      </w:pPr>
      <w:r>
        <w:rPr>
          <w:lang w:val="fr-FR"/>
        </w:rPr>
        <w:t>–</w:t>
      </w:r>
      <w:r>
        <w:rPr>
          <w:lang w:val="fr-FR"/>
        </w:rPr>
        <w:tab/>
      </w:r>
      <w:r w:rsidRPr="001C00F5">
        <w:rPr>
          <w:lang w:val="fr-FR"/>
        </w:rPr>
        <w:t>Chèque</w:t>
      </w:r>
    </w:p>
    <w:p w:rsidR="00E56335" w:rsidRPr="001C00F5" w:rsidRDefault="00E56335" w:rsidP="00425516">
      <w:pPr>
        <w:pStyle w:val="enumlev1"/>
        <w:spacing w:before="80"/>
        <w:rPr>
          <w:lang w:val="fr-FR"/>
        </w:rPr>
      </w:pPr>
      <w:r>
        <w:rPr>
          <w:lang w:val="fr-FR"/>
        </w:rPr>
        <w:t>–</w:t>
      </w:r>
      <w:r>
        <w:rPr>
          <w:lang w:val="fr-FR"/>
        </w:rPr>
        <w:tab/>
      </w:r>
      <w:r w:rsidRPr="001C00F5">
        <w:rPr>
          <w:lang w:val="fr-FR"/>
        </w:rPr>
        <w:t xml:space="preserve">Virement sur le compte bancaire de la TRA </w:t>
      </w:r>
    </w:p>
    <w:p w:rsidR="00E56335" w:rsidRPr="009B52A0" w:rsidRDefault="00E56335" w:rsidP="00E56335">
      <w:pPr>
        <w:pStyle w:val="Arttitle"/>
        <w:spacing w:before="400"/>
      </w:pPr>
      <w:bookmarkStart w:id="637" w:name="_Toc225739526"/>
      <w:bookmarkStart w:id="638" w:name="_Toc225739872"/>
      <w:bookmarkStart w:id="639" w:name="_Toc280262393"/>
      <w:bookmarkStart w:id="640" w:name="_Toc280272787"/>
      <w:bookmarkStart w:id="641" w:name="_Toc280272966"/>
      <w:r>
        <w:t xml:space="preserve">Article </w:t>
      </w:r>
      <w:r w:rsidRPr="009B52A0">
        <w:t>36</w:t>
      </w:r>
      <w:bookmarkEnd w:id="637"/>
      <w:bookmarkEnd w:id="638"/>
      <w:r w:rsidRPr="009B52A0">
        <w:br/>
      </w:r>
      <w:r w:rsidRPr="009B52A0">
        <w:br/>
      </w:r>
      <w:bookmarkStart w:id="642" w:name="_Toc225739527"/>
      <w:bookmarkStart w:id="643" w:name="_Toc225739873"/>
      <w:r w:rsidRPr="009B52A0">
        <w:t>Sanctions</w:t>
      </w:r>
      <w:bookmarkEnd w:id="639"/>
      <w:bookmarkEnd w:id="640"/>
      <w:bookmarkEnd w:id="641"/>
      <w:bookmarkEnd w:id="642"/>
      <w:bookmarkEnd w:id="643"/>
    </w:p>
    <w:p w:rsidR="00E56335" w:rsidRPr="007D7851" w:rsidRDefault="00E56335" w:rsidP="00E56335">
      <w:r w:rsidRPr="007D7851">
        <w:t>La TRA est habilitée à sanctionner la non</w:t>
      </w:r>
      <w:r w:rsidRPr="007D7851">
        <w:noBreakHyphen/>
        <w:t xml:space="preserve">observation des modalités et conditions énoncées dans la présente directive et dans tout autre instrument réglementaire qu'elle publie. Les modalités et circonstances d'exécution de cette sanction, ainsi que son montant, sont précisées dans les articles de la Loi fédérale (Décret N° 3 de 2003), telle qu'elle a été modifiée. </w:t>
      </w:r>
    </w:p>
    <w:p w:rsidR="00E56335" w:rsidRPr="009B52A0" w:rsidRDefault="00E56335" w:rsidP="00E56335">
      <w:pPr>
        <w:pStyle w:val="Arttitle"/>
        <w:spacing w:before="400"/>
      </w:pPr>
      <w:bookmarkStart w:id="644" w:name="_Toc225739528"/>
      <w:bookmarkStart w:id="645" w:name="_Toc225739874"/>
      <w:bookmarkStart w:id="646" w:name="_Toc280262394"/>
      <w:bookmarkStart w:id="647" w:name="_Toc280272788"/>
      <w:bookmarkStart w:id="648" w:name="_Toc280272967"/>
      <w:r>
        <w:t xml:space="preserve">Article </w:t>
      </w:r>
      <w:r w:rsidRPr="009B52A0">
        <w:t>37</w:t>
      </w:r>
      <w:bookmarkStart w:id="649" w:name="_Toc225739529"/>
      <w:bookmarkStart w:id="650" w:name="_Toc225739875"/>
      <w:bookmarkEnd w:id="644"/>
      <w:bookmarkEnd w:id="645"/>
      <w:r w:rsidRPr="009B52A0">
        <w:br/>
      </w:r>
      <w:r w:rsidRPr="009B52A0">
        <w:br/>
        <w:t>Mise en application</w:t>
      </w:r>
      <w:bookmarkEnd w:id="646"/>
      <w:bookmarkEnd w:id="647"/>
      <w:bookmarkEnd w:id="648"/>
      <w:bookmarkEnd w:id="649"/>
      <w:bookmarkEnd w:id="650"/>
    </w:p>
    <w:p w:rsidR="00E56335" w:rsidRPr="007D7851" w:rsidRDefault="00E56335" w:rsidP="00E56335">
      <w:r w:rsidRPr="007D7851">
        <w:t>Toutes les factures portant sur la période débutant au 1</w:t>
      </w:r>
      <w:r w:rsidRPr="002854EE">
        <w:rPr>
          <w:vertAlign w:val="superscript"/>
        </w:rPr>
        <w:t>er</w:t>
      </w:r>
      <w:r w:rsidRPr="007D7851">
        <w:t> janvier 2009 doivent être conformes à la présente directive. Les factures portant sur une période qui débute avant le 1</w:t>
      </w:r>
      <w:r w:rsidRPr="002854EE">
        <w:rPr>
          <w:vertAlign w:val="superscript"/>
        </w:rPr>
        <w:t>er</w:t>
      </w:r>
      <w:r w:rsidRPr="007D7851">
        <w:t> janvier 2009 doivent être conformes à la version 1.0 de la directive sur les droits à acquitter pour l'utilisation du spectre.</w:t>
      </w:r>
    </w:p>
    <w:p w:rsidR="00E56335" w:rsidRDefault="00E56335" w:rsidP="00E56335">
      <w:pPr>
        <w:tabs>
          <w:tab w:val="clear" w:pos="794"/>
          <w:tab w:val="clear" w:pos="1191"/>
          <w:tab w:val="clear" w:pos="1588"/>
          <w:tab w:val="clear" w:pos="1985"/>
        </w:tabs>
        <w:overflowPunct/>
        <w:autoSpaceDE/>
        <w:autoSpaceDN/>
        <w:adjustRightInd/>
        <w:spacing w:before="0"/>
        <w:jc w:val="left"/>
        <w:textAlignment w:val="auto"/>
        <w:rPr>
          <w:b/>
        </w:rPr>
      </w:pPr>
      <w:r>
        <w:rPr>
          <w:b/>
        </w:rPr>
        <w:br w:type="page"/>
      </w:r>
    </w:p>
    <w:p w:rsidR="00E56335" w:rsidRPr="001C4644" w:rsidRDefault="00E56335" w:rsidP="00E56335">
      <w:pPr>
        <w:pStyle w:val="AppendixNotitle"/>
        <w:rPr>
          <w:b w:val="0"/>
          <w:bCs/>
        </w:rPr>
      </w:pPr>
      <w:bookmarkStart w:id="651" w:name="_Toc280260051"/>
      <w:bookmarkStart w:id="652" w:name="_Toc280260905"/>
      <w:bookmarkStart w:id="653" w:name="_Toc280272512"/>
      <w:bookmarkStart w:id="654" w:name="_Toc288643009"/>
      <w:r w:rsidRPr="006572F9">
        <w:lastRenderedPageBreak/>
        <w:t>Appendix 2.1</w:t>
      </w:r>
      <w:r>
        <w:t xml:space="preserve"> (English)</w:t>
      </w:r>
      <w:r>
        <w:br/>
      </w:r>
      <w:r>
        <w:br/>
        <w:t>Switzerland</w:t>
      </w:r>
      <w:r>
        <w:rPr>
          <w:b w:val="0"/>
          <w:bCs/>
        </w:rPr>
        <w:br/>
      </w:r>
      <w:r w:rsidRPr="001C4644">
        <w:t>Financing of spectrum management activities in Switzerland</w:t>
      </w:r>
      <w:r>
        <w:t>: Abstract</w:t>
      </w:r>
      <w:bookmarkEnd w:id="651"/>
      <w:bookmarkEnd w:id="652"/>
      <w:bookmarkEnd w:id="653"/>
      <w:bookmarkEnd w:id="654"/>
    </w:p>
    <w:p w:rsidR="00E56335" w:rsidRDefault="00E56335" w:rsidP="00E56335"/>
    <w:p w:rsidR="00E56335" w:rsidRDefault="00E56335" w:rsidP="00E56335">
      <w:r>
        <w:t>The feature that probably sets apart the Swiss system for financing spectrum management from that of many other administrations is that the funding comes from mixed sources.</w:t>
      </w:r>
    </w:p>
    <w:p w:rsidR="00E56335" w:rsidRDefault="00E56335" w:rsidP="00E56335">
      <w:r>
        <w:t>The sources of financing for the state's spectrum management activity can be grouped into two main categories, namely: (i) taxes, which are set without reference to the individual benefit the taxpayer derives from the state's activities, and (ii) fees, whereby services provided to users are billed to the user on the basis of their cost.</w:t>
      </w:r>
    </w:p>
    <w:p w:rsidR="00E56335" w:rsidRDefault="00E56335" w:rsidP="00E56335">
      <w:smartTag w:uri="urn:schemas-microsoft-com:office:smarttags" w:element="place">
        <w:smartTag w:uri="urn:schemas-microsoft-com:office:smarttags" w:element="country-region">
          <w:r>
            <w:t>Switzerland</w:t>
          </w:r>
        </w:smartTag>
      </w:smartTag>
      <w:r>
        <w:t xml:space="preserve">'s approach to levies for spectrum management is to employ both these types of contributions to the state coffers. </w:t>
      </w:r>
    </w:p>
    <w:p w:rsidR="00E56335" w:rsidRDefault="00E56335" w:rsidP="00E56335">
      <w:r>
        <w:t>The first source, income from spectrum utilization charges (which are categorized as taxes, and not fees) is calculated so as to cover at least the balance of spectrum management costs which is not met through income from fees. This does not prevent us from using spectrum pricing as an incentive tool.</w:t>
      </w:r>
    </w:p>
    <w:p w:rsidR="00E56335" w:rsidRDefault="00E56335" w:rsidP="00E56335">
      <w:r>
        <w:t xml:space="preserve">The second source is fees. These may be one-time fees, such as, for example, for the award of radiocommunication licences, modification of licences, revocation of licences or detection of interference (costs caused by the interfering party when identified); or periodical fees levied to cover ongoing costs of spectrum management and monitoring activities which do not result from a specific action on the part of the various players but can nevertheless be clearly ascribed to them as immediate beneficiaries. </w:t>
      </w:r>
    </w:p>
    <w:p w:rsidR="00E56335" w:rsidRDefault="00E56335" w:rsidP="00E56335">
      <w:r>
        <w:t>With this mixed approach, we are able to cover all spectrum management costs equitably, in line with the law (principle of covering costs) and flexibly.</w:t>
      </w:r>
    </w:p>
    <w:p w:rsidR="00E56335" w:rsidRDefault="00E56335" w:rsidP="00E56335">
      <w:pPr>
        <w:tabs>
          <w:tab w:val="clear" w:pos="794"/>
          <w:tab w:val="clear" w:pos="1191"/>
          <w:tab w:val="clear" w:pos="1588"/>
          <w:tab w:val="clear" w:pos="1985"/>
        </w:tabs>
        <w:overflowPunct/>
        <w:autoSpaceDE/>
        <w:autoSpaceDN/>
        <w:adjustRightInd/>
        <w:spacing w:before="0"/>
        <w:jc w:val="left"/>
        <w:textAlignment w:val="auto"/>
      </w:pPr>
      <w:r>
        <w:br w:type="page"/>
      </w:r>
    </w:p>
    <w:p w:rsidR="00E56335" w:rsidRDefault="00E56335" w:rsidP="00E56335">
      <w:pPr>
        <w:pStyle w:val="AppendixNotitle"/>
      </w:pPr>
      <w:bookmarkStart w:id="655" w:name="_Toc280260052"/>
      <w:bookmarkStart w:id="656" w:name="_Toc280260906"/>
      <w:bookmarkStart w:id="657" w:name="_Toc280272513"/>
      <w:bookmarkStart w:id="658" w:name="_Toc288643010"/>
      <w:r w:rsidRPr="0048142C">
        <w:lastRenderedPageBreak/>
        <w:t>Appendice 2.1 (Français)</w:t>
      </w:r>
      <w:r>
        <w:br/>
      </w:r>
      <w:r>
        <w:br/>
      </w:r>
      <w:r w:rsidRPr="0048142C">
        <w:t>Suisse</w:t>
      </w:r>
      <w:r>
        <w:br/>
      </w:r>
      <w:r w:rsidRPr="0048142C">
        <w:t>Financement des activités de gestion du spectre en Suisse: Résumé</w:t>
      </w:r>
      <w:bookmarkEnd w:id="655"/>
      <w:bookmarkEnd w:id="656"/>
      <w:bookmarkEnd w:id="657"/>
      <w:bookmarkEnd w:id="658"/>
    </w:p>
    <w:p w:rsidR="00E56335" w:rsidRPr="001178FD" w:rsidRDefault="00E56335" w:rsidP="00E56335"/>
    <w:p w:rsidR="00E56335" w:rsidRPr="00E50533" w:rsidRDefault="00E56335" w:rsidP="00E56335">
      <w:pPr>
        <w:rPr>
          <w:lang w:val="fr-FR"/>
        </w:rPr>
      </w:pPr>
      <w:r w:rsidRPr="00E50533">
        <w:rPr>
          <w:lang w:val="fr-FR"/>
        </w:rPr>
        <w:t>Le point qui distingue sans doute le système suisse de financement de la gestion du spectre de celui de beaucoup d’autres administrations est qu’il provient de sources mixtes.</w:t>
      </w:r>
    </w:p>
    <w:p w:rsidR="00E56335" w:rsidRPr="00E50533" w:rsidRDefault="00E56335" w:rsidP="00E56335">
      <w:pPr>
        <w:rPr>
          <w:lang w:val="fr-FR"/>
        </w:rPr>
      </w:pPr>
      <w:r w:rsidRPr="00E50533">
        <w:rPr>
          <w:lang w:val="fr-FR"/>
        </w:rPr>
        <w:t>Les sources de financement de l’activité étatique peuvent être regroupées dans deux groupes principaux que sont (i) les impôts (ou taxes) dont la fixation sans rapport avec le bénéfice individuel que le contribuable retire des activités de l’Etat et (ii) les redevances où les prestations fournies aux usagers leur sont facturés à hauteur de leur</w:t>
      </w:r>
      <w:r>
        <w:rPr>
          <w:lang w:val="fr-FR"/>
        </w:rPr>
        <w:t>s</w:t>
      </w:r>
      <w:r w:rsidRPr="00E50533">
        <w:rPr>
          <w:lang w:val="fr-FR"/>
        </w:rPr>
        <w:t xml:space="preserve"> coût</w:t>
      </w:r>
      <w:r>
        <w:rPr>
          <w:lang w:val="fr-FR"/>
        </w:rPr>
        <w:t>s</w:t>
      </w:r>
      <w:r w:rsidRPr="00E50533">
        <w:rPr>
          <w:lang w:val="fr-FR"/>
        </w:rPr>
        <w:t>.</w:t>
      </w:r>
    </w:p>
    <w:p w:rsidR="00E56335" w:rsidRDefault="00E56335" w:rsidP="00E56335">
      <w:pPr>
        <w:rPr>
          <w:lang w:val="fr-FR"/>
        </w:rPr>
      </w:pPr>
      <w:r w:rsidRPr="00E50533">
        <w:rPr>
          <w:lang w:val="fr-FR"/>
        </w:rPr>
        <w:t>L’approche de la Suisse concernant les prélèvements dans le domaine de la gestion du spectre</w:t>
      </w:r>
      <w:r>
        <w:rPr>
          <w:lang w:val="fr-FR"/>
        </w:rPr>
        <w:t xml:space="preserve"> est d’avoir recours à ces</w:t>
      </w:r>
      <w:r w:rsidRPr="00E50533">
        <w:rPr>
          <w:lang w:val="fr-FR"/>
        </w:rPr>
        <w:t xml:space="preserve"> deux types de contributions au profit de l’État</w:t>
      </w:r>
      <w:r>
        <w:rPr>
          <w:lang w:val="fr-FR"/>
        </w:rPr>
        <w:t xml:space="preserve">. </w:t>
      </w:r>
    </w:p>
    <w:p w:rsidR="00E56335" w:rsidRPr="00E50533" w:rsidRDefault="00E56335" w:rsidP="00E56335">
      <w:pPr>
        <w:rPr>
          <w:lang w:val="fr-FR"/>
        </w:rPr>
      </w:pPr>
      <w:r>
        <w:rPr>
          <w:lang w:val="fr-FR"/>
        </w:rPr>
        <w:t>Pour une part l</w:t>
      </w:r>
      <w:r w:rsidRPr="00E50533">
        <w:rPr>
          <w:lang w:val="fr-FR"/>
        </w:rPr>
        <w:t xml:space="preserve">es </w:t>
      </w:r>
      <w:r>
        <w:rPr>
          <w:lang w:val="fr-FR"/>
        </w:rPr>
        <w:t xml:space="preserve">revenus provenant de la perception des </w:t>
      </w:r>
      <w:r w:rsidRPr="00E50533">
        <w:rPr>
          <w:lang w:val="fr-FR"/>
        </w:rPr>
        <w:t>taxes d’utilisation du spectre</w:t>
      </w:r>
      <w:r>
        <w:rPr>
          <w:lang w:val="fr-FR"/>
        </w:rPr>
        <w:t xml:space="preserve"> (ces dernières sont à qualifier d’impôt – </w:t>
      </w:r>
      <w:r w:rsidRPr="00E50533">
        <w:rPr>
          <w:lang w:val="fr-FR"/>
        </w:rPr>
        <w:t>et non de redevances)</w:t>
      </w:r>
      <w:r>
        <w:rPr>
          <w:lang w:val="fr-FR"/>
        </w:rPr>
        <w:t xml:space="preserve"> </w:t>
      </w:r>
      <w:r w:rsidRPr="000F122C">
        <w:rPr>
          <w:lang w:val="fr-FR"/>
        </w:rPr>
        <w:t>couvre</w:t>
      </w:r>
      <w:r>
        <w:rPr>
          <w:lang w:val="fr-FR"/>
        </w:rPr>
        <w:t>nt</w:t>
      </w:r>
      <w:r w:rsidRPr="000F122C">
        <w:rPr>
          <w:lang w:val="fr-FR"/>
        </w:rPr>
        <w:t xml:space="preserve"> d’un point de vue calculatoire</w:t>
      </w:r>
      <w:r>
        <w:rPr>
          <w:lang w:val="fr-FR"/>
        </w:rPr>
        <w:t xml:space="preserve"> au moins le solde des coûts </w:t>
      </w:r>
      <w:r w:rsidRPr="00E50533">
        <w:rPr>
          <w:lang w:val="fr-FR"/>
        </w:rPr>
        <w:t>de la gestion du spectre</w:t>
      </w:r>
      <w:r>
        <w:rPr>
          <w:lang w:val="fr-FR"/>
        </w:rPr>
        <w:t xml:space="preserve"> qui ne sont pas couverts par les revenus provenant des redevances. Ceci n’empêche pas d’utiliser la f</w:t>
      </w:r>
      <w:r w:rsidRPr="00E50533">
        <w:rPr>
          <w:lang w:val="fr-FR"/>
        </w:rPr>
        <w:t>onction incitative de</w:t>
      </w:r>
      <w:r>
        <w:rPr>
          <w:lang w:val="fr-FR"/>
        </w:rPr>
        <w:t>s</w:t>
      </w:r>
      <w:r w:rsidRPr="00E50533">
        <w:rPr>
          <w:lang w:val="fr-FR"/>
        </w:rPr>
        <w:t xml:space="preserve"> taxe</w:t>
      </w:r>
      <w:r>
        <w:rPr>
          <w:lang w:val="fr-FR"/>
        </w:rPr>
        <w:t>s</w:t>
      </w:r>
      <w:r w:rsidRPr="00E50533">
        <w:rPr>
          <w:lang w:val="fr-FR"/>
        </w:rPr>
        <w:t xml:space="preserve"> d’utilisation du spectre (</w:t>
      </w:r>
      <w:r w:rsidRPr="000F122C">
        <w:rPr>
          <w:i/>
          <w:lang w:val="fr-FR"/>
        </w:rPr>
        <w:t>spectrum pricing</w:t>
      </w:r>
      <w:r w:rsidRPr="00E50533">
        <w:rPr>
          <w:lang w:val="fr-FR"/>
        </w:rPr>
        <w:t>)</w:t>
      </w:r>
      <w:r>
        <w:rPr>
          <w:lang w:val="fr-FR"/>
        </w:rPr>
        <w:t>.</w:t>
      </w:r>
    </w:p>
    <w:p w:rsidR="00E56335" w:rsidRPr="00190938" w:rsidRDefault="00E56335" w:rsidP="00E56335">
      <w:pPr>
        <w:rPr>
          <w:lang w:val="fr-FR"/>
        </w:rPr>
      </w:pPr>
      <w:r>
        <w:rPr>
          <w:lang w:val="fr-FR"/>
        </w:rPr>
        <w:t>D’autre part sont prélevées d</w:t>
      </w:r>
      <w:r w:rsidRPr="00E50533">
        <w:rPr>
          <w:lang w:val="fr-FR"/>
        </w:rPr>
        <w:t>e</w:t>
      </w:r>
      <w:r>
        <w:rPr>
          <w:lang w:val="fr-FR"/>
        </w:rPr>
        <w:t>s re</w:t>
      </w:r>
      <w:r w:rsidRPr="00E50533">
        <w:rPr>
          <w:lang w:val="fr-FR"/>
        </w:rPr>
        <w:t>devances</w:t>
      </w:r>
      <w:r>
        <w:rPr>
          <w:lang w:val="fr-FR"/>
        </w:rPr>
        <w:t>. Certaines sont des redevances</w:t>
      </w:r>
      <w:r w:rsidRPr="00E50533">
        <w:rPr>
          <w:lang w:val="fr-FR"/>
        </w:rPr>
        <w:t xml:space="preserve"> uniques</w:t>
      </w:r>
      <w:r>
        <w:rPr>
          <w:lang w:val="fr-FR"/>
        </w:rPr>
        <w:t xml:space="preserve">, comme par exemple pour </w:t>
      </w:r>
      <w:r w:rsidRPr="002F56A0">
        <w:rPr>
          <w:lang w:val="fr-FR"/>
        </w:rPr>
        <w:t xml:space="preserve">les prestations </w:t>
      </w:r>
      <w:r>
        <w:rPr>
          <w:lang w:val="fr-FR"/>
        </w:rPr>
        <w:t>d’o</w:t>
      </w:r>
      <w:r w:rsidRPr="00190938">
        <w:rPr>
          <w:lang w:val="fr-FR"/>
        </w:rPr>
        <w:t>ctroi de licences de radiocommunication</w:t>
      </w:r>
      <w:r>
        <w:rPr>
          <w:lang w:val="fr-FR"/>
        </w:rPr>
        <w:t>, de m</w:t>
      </w:r>
      <w:r w:rsidRPr="002F56A0">
        <w:rPr>
          <w:lang w:val="fr-FR"/>
        </w:rPr>
        <w:t>odification d</w:t>
      </w:r>
      <w:r>
        <w:rPr>
          <w:lang w:val="fr-FR"/>
        </w:rPr>
        <w:t xml:space="preserve">e </w:t>
      </w:r>
      <w:r w:rsidRPr="002F56A0">
        <w:rPr>
          <w:lang w:val="fr-FR"/>
        </w:rPr>
        <w:t>licence</w:t>
      </w:r>
      <w:r>
        <w:rPr>
          <w:lang w:val="fr-FR"/>
        </w:rPr>
        <w:t>s, de r</w:t>
      </w:r>
      <w:r w:rsidRPr="00190938">
        <w:rPr>
          <w:lang w:val="fr-FR"/>
        </w:rPr>
        <w:t>évocation</w:t>
      </w:r>
      <w:r>
        <w:rPr>
          <w:lang w:val="fr-FR"/>
        </w:rPr>
        <w:t xml:space="preserve"> </w:t>
      </w:r>
      <w:r w:rsidRPr="00190938">
        <w:rPr>
          <w:lang w:val="fr-FR"/>
        </w:rPr>
        <w:t>de licence</w:t>
      </w:r>
      <w:r>
        <w:rPr>
          <w:lang w:val="fr-FR"/>
        </w:rPr>
        <w:t>s ou de r</w:t>
      </w:r>
      <w:r w:rsidRPr="00190938">
        <w:rPr>
          <w:lang w:val="fr-FR"/>
        </w:rPr>
        <w:t>echerche de perturbations (coûts engendrés par le perturbateur lorsqu’il est identifié)</w:t>
      </w:r>
      <w:r>
        <w:rPr>
          <w:lang w:val="fr-FR"/>
        </w:rPr>
        <w:t>. D’autres sont des r</w:t>
      </w:r>
      <w:r w:rsidRPr="00E50533">
        <w:rPr>
          <w:lang w:val="fr-FR"/>
        </w:rPr>
        <w:t>edevances périodiques</w:t>
      </w:r>
      <w:r>
        <w:rPr>
          <w:lang w:val="fr-FR"/>
        </w:rPr>
        <w:t xml:space="preserve"> qui </w:t>
      </w:r>
      <w:r w:rsidRPr="00190938">
        <w:rPr>
          <w:lang w:val="fr-FR"/>
        </w:rPr>
        <w:t>sont perçues pour couvrir les frais courants relatifs aux activités de gestion et le contrôle technique du spectre des fréquences qui ne découlent pas d'une action concrète des différents acteurs mais qui peuvent néanmoins leur être clairement imputées en tant que bénéficiai</w:t>
      </w:r>
      <w:r>
        <w:rPr>
          <w:lang w:val="fr-FR"/>
        </w:rPr>
        <w:t>res médiats.</w:t>
      </w:r>
    </w:p>
    <w:p w:rsidR="00E56335" w:rsidRDefault="00E56335" w:rsidP="00E56335">
      <w:pPr>
        <w:rPr>
          <w:lang w:val="fr-FR"/>
        </w:rPr>
      </w:pPr>
      <w:r w:rsidRPr="00190938">
        <w:rPr>
          <w:lang w:val="fr-FR"/>
        </w:rPr>
        <w:t xml:space="preserve">Cette </w:t>
      </w:r>
      <w:r>
        <w:rPr>
          <w:lang w:val="fr-FR"/>
        </w:rPr>
        <w:t>mixité</w:t>
      </w:r>
      <w:r w:rsidRPr="00190938">
        <w:rPr>
          <w:lang w:val="fr-FR"/>
        </w:rPr>
        <w:t xml:space="preserve"> donne la faculté de couvrir la totalité des coûts afférant </w:t>
      </w:r>
      <w:r>
        <w:rPr>
          <w:lang w:val="fr-FR"/>
        </w:rPr>
        <w:t xml:space="preserve">à </w:t>
      </w:r>
      <w:r w:rsidRPr="00E50533">
        <w:rPr>
          <w:lang w:val="fr-FR"/>
        </w:rPr>
        <w:t xml:space="preserve">la gestion du spectre </w:t>
      </w:r>
      <w:r w:rsidRPr="00190938">
        <w:rPr>
          <w:lang w:val="fr-FR"/>
        </w:rPr>
        <w:t>avec équité, dans le respect du droit (principe de la couverture des coûts) et avec souplesse.</w:t>
      </w:r>
    </w:p>
    <w:p w:rsidR="00E56335" w:rsidRDefault="00E56335" w:rsidP="00E56335">
      <w:pPr>
        <w:tabs>
          <w:tab w:val="clear" w:pos="794"/>
          <w:tab w:val="clear" w:pos="1191"/>
          <w:tab w:val="clear" w:pos="1588"/>
          <w:tab w:val="clear" w:pos="1985"/>
        </w:tabs>
        <w:overflowPunct/>
        <w:autoSpaceDE/>
        <w:autoSpaceDN/>
        <w:adjustRightInd/>
        <w:spacing w:before="0"/>
        <w:jc w:val="left"/>
        <w:textAlignment w:val="auto"/>
      </w:pPr>
      <w:r>
        <w:br w:type="page"/>
      </w:r>
    </w:p>
    <w:p w:rsidR="00E56335" w:rsidRPr="0030198E" w:rsidRDefault="00E56335" w:rsidP="00E56335">
      <w:pPr>
        <w:pStyle w:val="AppendixNotitle"/>
      </w:pPr>
      <w:bookmarkStart w:id="659" w:name="_Toc280260053"/>
      <w:bookmarkStart w:id="660" w:name="_Toc280260907"/>
      <w:bookmarkStart w:id="661" w:name="_Toc280272514"/>
      <w:bookmarkStart w:id="662" w:name="_Toc288643011"/>
      <w:r w:rsidRPr="00BB3B03">
        <w:lastRenderedPageBreak/>
        <w:t>Appendice 2.2</w:t>
      </w:r>
      <w:r>
        <w:t xml:space="preserve"> (Français)</w:t>
      </w:r>
      <w:r>
        <w:br/>
      </w:r>
      <w:r>
        <w:br/>
      </w:r>
      <w:r w:rsidRPr="0030198E">
        <w:t>Financement des activités de gestion du spectre en Suisse</w:t>
      </w:r>
      <w:bookmarkEnd w:id="659"/>
      <w:bookmarkEnd w:id="660"/>
      <w:bookmarkEnd w:id="661"/>
      <w:bookmarkEnd w:id="662"/>
    </w:p>
    <w:p w:rsidR="00E56335" w:rsidRPr="003E4442" w:rsidRDefault="00E56335" w:rsidP="00E56335">
      <w:pPr>
        <w:pStyle w:val="Heading1"/>
      </w:pPr>
      <w:bookmarkStart w:id="663" w:name="_Toc280260054"/>
      <w:bookmarkStart w:id="664" w:name="_Toc280260908"/>
      <w:bookmarkStart w:id="665" w:name="_Toc280272515"/>
      <w:bookmarkStart w:id="666" w:name="_Toc288643012"/>
      <w:r>
        <w:t>1</w:t>
      </w:r>
      <w:r>
        <w:tab/>
      </w:r>
      <w:r w:rsidRPr="003E4442">
        <w:t>Introduction</w:t>
      </w:r>
      <w:bookmarkEnd w:id="663"/>
      <w:bookmarkEnd w:id="664"/>
      <w:bookmarkEnd w:id="665"/>
      <w:bookmarkEnd w:id="666"/>
    </w:p>
    <w:p w:rsidR="00E56335" w:rsidRPr="003E4442" w:rsidRDefault="00E56335" w:rsidP="00E56335">
      <w:pPr>
        <w:rPr>
          <w:lang w:val="fr-FR"/>
        </w:rPr>
      </w:pPr>
      <w:r w:rsidRPr="003E4442">
        <w:rPr>
          <w:lang w:val="fr-FR"/>
        </w:rPr>
        <w:t>Assurer une gestion durable et une utilisation efficace du spectre requiert la mise à disposition de moyens financiers conséquents par l’État. En particulier, la masse salariale du personnel employé par une autorité de gestion du spectre possède une très grande importance tant par sa montant total que par la nécessité d’assurer son attractivité pour un personnel compétent et engagé par le biais des salaires offerts. En outre, les outils de planification et les équipements destinés à la surveillance du spectre nécessitent de lourds investissements. Le mode de financement des activités étatiques de gestion du spectre ainsi que la hauteur de ce financement sont donc cruciaux.</w:t>
      </w:r>
    </w:p>
    <w:p w:rsidR="00E56335" w:rsidRPr="003E4442" w:rsidRDefault="00E56335" w:rsidP="00E56335">
      <w:pPr>
        <w:rPr>
          <w:lang w:val="fr-FR"/>
        </w:rPr>
      </w:pPr>
      <w:r w:rsidRPr="003E4442">
        <w:rPr>
          <w:lang w:val="fr-FR"/>
        </w:rPr>
        <w:t xml:space="preserve">Le présent document a pour objectif de présenter la méthodologie appliquée en Suisse afin de pourvoir aux besoins financiers de la gestion nationale du spectre. A première lecture le système présenté paraîtra complexe. Ceci est en bonne partie dû au cadre juridique très contraignant découlant du droit général des contributions publiques. Ce cadre a le but très louable d'assurer la transparence des contributions payées à l'Etat. En cas de litige le contrôle postérieur par le pouvoir judiciaire en est également facilité. Le point qui distingue sans doute le système suisse de financement de la gestion du spectre de celui de beaucoup d’autres administrations est qu’il provient de sources </w:t>
      </w:r>
      <w:r w:rsidRPr="003E4442">
        <w:rPr>
          <w:i/>
          <w:lang w:val="fr-FR"/>
        </w:rPr>
        <w:t>mixtes</w:t>
      </w:r>
      <w:r w:rsidRPr="003E4442">
        <w:rPr>
          <w:lang w:val="fr-FR"/>
        </w:rPr>
        <w:t>.</w:t>
      </w:r>
    </w:p>
    <w:p w:rsidR="00E56335" w:rsidRPr="003E4442" w:rsidRDefault="00E56335" w:rsidP="00E56335">
      <w:pPr>
        <w:pStyle w:val="Heading1"/>
        <w:rPr>
          <w:lang w:val="fr-FR"/>
        </w:rPr>
      </w:pPr>
      <w:bookmarkStart w:id="667" w:name="_Toc280260055"/>
      <w:bookmarkStart w:id="668" w:name="_Toc280260909"/>
      <w:bookmarkStart w:id="669" w:name="_Toc280272516"/>
      <w:bookmarkStart w:id="670" w:name="_Toc288643013"/>
      <w:r>
        <w:rPr>
          <w:lang w:val="fr-FR"/>
        </w:rPr>
        <w:t>2</w:t>
      </w:r>
      <w:r>
        <w:rPr>
          <w:lang w:val="fr-FR"/>
        </w:rPr>
        <w:tab/>
      </w:r>
      <w:r w:rsidRPr="003E4442">
        <w:rPr>
          <w:lang w:val="fr-FR"/>
        </w:rPr>
        <w:t xml:space="preserve">Considérations </w:t>
      </w:r>
      <w:r w:rsidRPr="001B1D06">
        <w:t>générales</w:t>
      </w:r>
      <w:r w:rsidRPr="003E4442">
        <w:rPr>
          <w:lang w:val="fr-FR"/>
        </w:rPr>
        <w:t xml:space="preserve"> sur le mode de financement de l’activité étatique</w:t>
      </w:r>
      <w:bookmarkEnd w:id="667"/>
      <w:bookmarkEnd w:id="668"/>
      <w:bookmarkEnd w:id="669"/>
      <w:bookmarkEnd w:id="670"/>
    </w:p>
    <w:p w:rsidR="00E56335" w:rsidRPr="003E4442" w:rsidRDefault="00E56335" w:rsidP="00E56335">
      <w:pPr>
        <w:rPr>
          <w:lang w:val="fr-FR"/>
        </w:rPr>
      </w:pPr>
      <w:r w:rsidRPr="003E4442">
        <w:rPr>
          <w:lang w:val="fr-FR"/>
        </w:rPr>
        <w:t>Il existe un nombre considérable de modèles pour assurer le financement d’une activité administrative. Cependant, sur le plan de la théorie juridique les sources de financement peuvent être regroupées dans deux groupes principaux : (i) l’</w:t>
      </w:r>
      <w:r w:rsidRPr="003E4442">
        <w:rPr>
          <w:b/>
          <w:lang w:val="fr-FR"/>
        </w:rPr>
        <w:t>impôt</w:t>
      </w:r>
      <w:r w:rsidRPr="00EB1601">
        <w:rPr>
          <w:rStyle w:val="FootnoteReference"/>
          <w:bCs/>
          <w:lang w:val="fr-FR"/>
        </w:rPr>
        <w:footnoteReference w:customMarkFollows="1" w:id="1"/>
        <w:t>1</w:t>
      </w:r>
      <w:r w:rsidRPr="003E4442">
        <w:rPr>
          <w:lang w:val="fr-FR"/>
        </w:rPr>
        <w:t xml:space="preserve"> qui fait supporter le poids de la dépense à l’ensemble ou à des groupes définis de contribuables et (ii) les </w:t>
      </w:r>
      <w:r w:rsidRPr="003E4442">
        <w:rPr>
          <w:b/>
          <w:lang w:val="fr-FR"/>
        </w:rPr>
        <w:t>redevances</w:t>
      </w:r>
      <w:r w:rsidRPr="0055248C">
        <w:rPr>
          <w:rStyle w:val="FootnoteReference"/>
          <w:bCs/>
          <w:lang w:val="fr-FR"/>
        </w:rPr>
        <w:footnoteReference w:customMarkFollows="1" w:id="2"/>
        <w:t>2</w:t>
      </w:r>
      <w:r w:rsidRPr="003E4442">
        <w:rPr>
          <w:lang w:val="fr-FR"/>
        </w:rPr>
        <w:t xml:space="preserve"> qui pèsent sur les seuls usagers d’un service de l’administration. Naturellement, ces deux instruments de financement font l’objet de nombreuses variantes dans la pratique. La qualification juridique du mode de financement par les administrés</w:t>
      </w:r>
      <w:r>
        <w:rPr>
          <w:rStyle w:val="FootnoteReference"/>
          <w:lang w:val="fr-FR"/>
        </w:rPr>
        <w:footnoteReference w:customMarkFollows="1" w:id="3"/>
        <w:t>3</w:t>
      </w:r>
      <w:r w:rsidRPr="003E4442">
        <w:rPr>
          <w:lang w:val="fr-FR"/>
        </w:rPr>
        <w:t xml:space="preserve"> des activités étatiques peut néanmoins toujours être ramenée aux deux sources que sont l’impôt et la redevance. D’une perspective un peu différente, la qualification du financement d’une activité étatique peut être faite en déterminant le mode de transfert des coûts de cette dernière aux bénéficiaires: la gratuité totale (par exemple pour certains services publics essentiels comme la police ou l’éducation) est généralement le signe d’un financement par le biais de l’impôt alors que l’imputation individuelle des coûts (par exemple pour l’eau ou l’électricité) va de pair avec le prélèvement d’une redevance. Dans la pratique une combinaison des deux assure le financement d’une activité.</w:t>
      </w:r>
    </w:p>
    <w:p w:rsidR="00E56335" w:rsidRPr="003E4442" w:rsidRDefault="00E56335" w:rsidP="00E56335">
      <w:pPr>
        <w:pStyle w:val="Heading2"/>
        <w:rPr>
          <w:lang w:val="fr-FR"/>
        </w:rPr>
      </w:pPr>
      <w:bookmarkStart w:id="671" w:name="_Toc280260056"/>
      <w:bookmarkStart w:id="672" w:name="_Toc280272517"/>
      <w:bookmarkStart w:id="673" w:name="_Toc288643014"/>
      <w:r w:rsidRPr="003E4442">
        <w:rPr>
          <w:lang w:val="fr-FR"/>
        </w:rPr>
        <w:t>2.1</w:t>
      </w:r>
      <w:r w:rsidRPr="003E4442">
        <w:rPr>
          <w:lang w:val="fr-FR"/>
        </w:rPr>
        <w:tab/>
      </w:r>
      <w:r w:rsidRPr="00902F94">
        <w:t>Impôt</w:t>
      </w:r>
      <w:r w:rsidRPr="003E4442">
        <w:rPr>
          <w:lang w:val="fr-FR"/>
        </w:rPr>
        <w:t xml:space="preserve"> (ou taxe): fixation sans rapport avec le bénéfice individuel que le contribuable retire des activités de l’Etat</w:t>
      </w:r>
      <w:bookmarkEnd w:id="671"/>
      <w:bookmarkEnd w:id="672"/>
      <w:bookmarkEnd w:id="673"/>
    </w:p>
    <w:p w:rsidR="00E56335" w:rsidRPr="003E4442" w:rsidRDefault="00E56335" w:rsidP="00E56335">
      <w:pPr>
        <w:rPr>
          <w:lang w:val="fr-FR"/>
        </w:rPr>
      </w:pPr>
      <w:r w:rsidRPr="003E4442">
        <w:rPr>
          <w:snapToGrid w:val="0"/>
          <w:lang w:val="fr-FR" w:eastAsia="de-DE"/>
        </w:rPr>
        <w:t xml:space="preserve">La taxe est une contribution publique due par l’administré sans qu’il ait droit à ce titre à aucune contre-prestation spécifique. La taxe est un prélèvement pécuniaire abstrait au profit de l’Etat sans contrepartie directe pour le contribuable. </w:t>
      </w:r>
      <w:r w:rsidRPr="003E4442">
        <w:rPr>
          <w:lang w:val="fr-FR"/>
        </w:rPr>
        <w:t xml:space="preserve">La taxe est la contribution de chacun à un projet collectif définit par les institutions politiques de l’Etat. En payant, le contribuable laisse ces institutions libres de décider de </w:t>
      </w:r>
      <w:r w:rsidRPr="003E4442">
        <w:rPr>
          <w:lang w:val="fr-FR"/>
        </w:rPr>
        <w:lastRenderedPageBreak/>
        <w:t>l’affectation optimale pour la collectivité des ressources financières ainsi mises à leur disposition. Les taxes alimentent le budget général et sont destinées à couvrir les dépenses générales de l’Etat.</w:t>
      </w:r>
    </w:p>
    <w:p w:rsidR="00E56335" w:rsidRPr="003E4442" w:rsidRDefault="00E56335" w:rsidP="00E56335">
      <w:pPr>
        <w:rPr>
          <w:lang w:val="fr-FR"/>
        </w:rPr>
      </w:pPr>
      <w:r w:rsidRPr="003E4442">
        <w:rPr>
          <w:lang w:val="fr-FR"/>
        </w:rPr>
        <w:t>L’instauration d’une taxe et la fixation de son régime (barème, périodicité, etc.) relèvent de la compétence et à la libre discrétion du législateur. En bref, il peut être dit que la législation fiscale est régie par des normes très strictes sur le plan formel, c’est-à-dire que les procédures d’adoption de celle-ci ne sont pas flexibles. Par contre, quant au contenu de cette législation, la liberté du pouvoir législatif est « totale », c’est-à-dire que matériellement le législateur peut agir à sa guise.</w:t>
      </w:r>
    </w:p>
    <w:p w:rsidR="00E56335" w:rsidRPr="003E4442" w:rsidRDefault="00E56335" w:rsidP="00E56335">
      <w:pPr>
        <w:pStyle w:val="Heading2"/>
        <w:rPr>
          <w:lang w:val="fr-FR"/>
        </w:rPr>
      </w:pPr>
      <w:bookmarkStart w:id="674" w:name="_Toc280260057"/>
      <w:bookmarkStart w:id="675" w:name="_Toc280272518"/>
      <w:bookmarkStart w:id="676" w:name="_Toc288643015"/>
      <w:r w:rsidRPr="003E4442">
        <w:rPr>
          <w:lang w:val="fr-FR"/>
        </w:rPr>
        <w:t>2.2</w:t>
      </w:r>
      <w:r w:rsidRPr="003E4442">
        <w:rPr>
          <w:lang w:val="fr-FR"/>
        </w:rPr>
        <w:tab/>
        <w:t>Redevance: tarification à l’usager de la prestation fournie à hauteur de son coût</w:t>
      </w:r>
      <w:bookmarkEnd w:id="674"/>
      <w:bookmarkEnd w:id="675"/>
      <w:bookmarkEnd w:id="676"/>
    </w:p>
    <w:p w:rsidR="00E56335" w:rsidRPr="003E4442" w:rsidRDefault="00E56335" w:rsidP="00E56335">
      <w:pPr>
        <w:rPr>
          <w:lang w:val="fr-FR"/>
        </w:rPr>
      </w:pPr>
      <w:r w:rsidRPr="003E4442">
        <w:rPr>
          <w:lang w:val="fr-FR"/>
        </w:rPr>
        <w:t>La redevance (qui est appelée "émolument" en Suisse) est due à raison d’une prestation que l’administration fournit au redevable, prestation qui a entraîné des coûts pour l’administration. La recette d’une redevance a une affectation précise, c’est-à-dire que l’administration doit en faire l’usage spécifique qui est de rendre le service requis par le redevable.</w:t>
      </w:r>
    </w:p>
    <w:p w:rsidR="00E56335" w:rsidRPr="003E4442" w:rsidRDefault="00E56335" w:rsidP="00E56335">
      <w:pPr>
        <w:rPr>
          <w:lang w:val="fr-FR"/>
        </w:rPr>
      </w:pPr>
      <w:r w:rsidRPr="003E4442">
        <w:rPr>
          <w:lang w:val="fr-FR"/>
        </w:rPr>
        <w:t>Ce lien direct – qui découle d’une requête de l’administré ou d’une action de l’administré ayant conduit l’administration à agir – implique que le montant du prélèvement auprès d’un administré et la valeur prestation qui lui est fournie par l’Etat doivent être corrélés. Premièrement, la redevance constitue une rémunération pour services rendus par l’administration couvrant au maximum les frais correspondant au coûts directs et indirects qui peuvent être mis à la charge du demandeur. Ainsi, le montant total des recettes est au plus égal au montant total des charges afférant à l’administration dans le secteur de l’administration concerné. C’est-à-dire que la hauteur de la redevance demandée aux usagers couvre en tout (au maximum) ou en partie les charges du service dont a bénéficié l’usager</w:t>
      </w:r>
      <w:r>
        <w:rPr>
          <w:rStyle w:val="FootnoteReference"/>
          <w:lang w:val="fr-FR"/>
        </w:rPr>
        <w:footnoteReference w:customMarkFollows="1" w:id="4"/>
        <w:t>4</w:t>
      </w:r>
      <w:r w:rsidRPr="003E4442">
        <w:rPr>
          <w:lang w:val="fr-FR"/>
        </w:rPr>
        <w:t>. Deuxièmement, la proportionnalité est exigée en matière de redevances. Ceci implique que le montant de la redevance doit être adaptée au bénéfice que le redevable retire du service obtenu de l’Etat</w:t>
      </w:r>
      <w:r>
        <w:rPr>
          <w:rStyle w:val="FootnoteReference"/>
          <w:lang w:val="fr-FR"/>
        </w:rPr>
        <w:footnoteReference w:customMarkFollows="1" w:id="5"/>
        <w:t>5</w:t>
      </w:r>
      <w:r w:rsidRPr="003E4442">
        <w:rPr>
          <w:lang w:val="fr-FR"/>
        </w:rPr>
        <w:t>.</w:t>
      </w:r>
    </w:p>
    <w:p w:rsidR="00E56335" w:rsidRPr="003E4442" w:rsidRDefault="00E56335" w:rsidP="00E56335">
      <w:pPr>
        <w:rPr>
          <w:lang w:val="fr-FR"/>
        </w:rPr>
      </w:pPr>
      <w:r w:rsidRPr="003E4442">
        <w:rPr>
          <w:lang w:val="fr-FR"/>
        </w:rPr>
        <w:t>La décision de financer une activité étatique partiellement ou complètement avec des redevances revient au législateur. En revanche, la fixation de la hauteur des redevances individuelles et leur mode de calcul (barème) devrait être du ressort d’instances inférieures car celles-ci sont plus informées sur les détails de leurs comptabilités. Une délégation du pouvoir réglementaire est également judicieuse du fait de la nécessité de réviser, adapter régulièrement les dispositions relatives aux redevances. Les processus d’adoption de la réglementation fixant le régime des redevances doivent donc être assez flexibles – ce qui n’est généralement pas donné au niveau parlementaire. Par contre, les principes juridiques applicables au contenu de cette réglementation forment des contraintes extrêmement strictes où l’autorité chargée de l’adopter n’a qu’une latitude très limitée (p.ex. la hauteur maximale des différentes redevances est plafonnée de par le droit).</w:t>
      </w:r>
    </w:p>
    <w:p w:rsidR="00E56335" w:rsidRPr="003E4442" w:rsidRDefault="00E56335" w:rsidP="00E56335">
      <w:pPr>
        <w:rPr>
          <w:lang w:val="fr-FR"/>
        </w:rPr>
      </w:pPr>
      <w:r w:rsidRPr="003E4442">
        <w:rPr>
          <w:lang w:val="fr-FR"/>
        </w:rPr>
        <w:t xml:space="preserve">Le principe de la couverture des coûts requiert un recensement et une évaluation des montants financiers employés pour faire fonctionner un secteur d’activité de l’administration afin de pouvoir soutenir un contrôle juridique (en cas de litige). Ceci ne peut être accompli que grâce à une comptabilité financière suffisamment précise – et, si possible, une comptabilité analytique. </w:t>
      </w:r>
    </w:p>
    <w:p w:rsidR="00E56335" w:rsidRPr="003E4442" w:rsidRDefault="00E56335" w:rsidP="00E56335">
      <w:pPr>
        <w:pStyle w:val="Heading1"/>
        <w:rPr>
          <w:lang w:val="fr-FR"/>
        </w:rPr>
      </w:pPr>
      <w:bookmarkStart w:id="677" w:name="_Toc280260058"/>
      <w:bookmarkStart w:id="678" w:name="_Toc280260910"/>
      <w:bookmarkStart w:id="679" w:name="_Toc280272519"/>
      <w:bookmarkStart w:id="680" w:name="_Toc288643016"/>
      <w:r>
        <w:rPr>
          <w:lang w:val="fr-FR"/>
        </w:rPr>
        <w:t>3</w:t>
      </w:r>
      <w:r>
        <w:rPr>
          <w:lang w:val="fr-FR"/>
        </w:rPr>
        <w:tab/>
      </w:r>
      <w:r w:rsidRPr="003E4442">
        <w:rPr>
          <w:lang w:val="fr-FR"/>
        </w:rPr>
        <w:t>L’approche de la Suisse concernant les prélèvements dans le domaine de la gestion du spectre</w:t>
      </w:r>
      <w:bookmarkEnd w:id="677"/>
      <w:bookmarkEnd w:id="678"/>
      <w:bookmarkEnd w:id="679"/>
      <w:bookmarkEnd w:id="680"/>
    </w:p>
    <w:p w:rsidR="00E56335" w:rsidRPr="003E4442" w:rsidRDefault="00E56335" w:rsidP="00E56335">
      <w:pPr>
        <w:pStyle w:val="Heading2"/>
        <w:rPr>
          <w:lang w:val="fr-FR"/>
        </w:rPr>
      </w:pPr>
      <w:bookmarkStart w:id="681" w:name="_Toc280260059"/>
      <w:bookmarkStart w:id="682" w:name="_Toc280272520"/>
      <w:bookmarkStart w:id="683" w:name="_Toc288643017"/>
      <w:r w:rsidRPr="003E4442">
        <w:rPr>
          <w:lang w:val="fr-FR"/>
        </w:rPr>
        <w:t>3.1</w:t>
      </w:r>
      <w:r w:rsidRPr="003E4442">
        <w:rPr>
          <w:lang w:val="fr-FR"/>
        </w:rPr>
        <w:tab/>
        <w:t>Recours aux deux types de contributions au profit de l’État</w:t>
      </w:r>
      <w:bookmarkEnd w:id="681"/>
      <w:bookmarkEnd w:id="682"/>
      <w:bookmarkEnd w:id="683"/>
    </w:p>
    <w:p w:rsidR="00E56335" w:rsidRPr="003E4442" w:rsidRDefault="00E56335" w:rsidP="00E56335">
      <w:pPr>
        <w:rPr>
          <w:lang w:val="fr-FR"/>
        </w:rPr>
      </w:pPr>
      <w:r w:rsidRPr="003E4442">
        <w:rPr>
          <w:lang w:val="fr-FR"/>
        </w:rPr>
        <w:t xml:space="preserve">Pour le financement de la gestion nationale du spectre, les institutions politiques suisses ont décidé de recourir à des redevances afin d’alléger la charge pour le budget général de l’État – et donc les contribuables. Dans ce domaine les bénéficiaires des prestations de l’administration peuvent en règle générale être aisément </w:t>
      </w:r>
      <w:r w:rsidRPr="003E4442">
        <w:rPr>
          <w:lang w:val="fr-FR"/>
        </w:rPr>
        <w:lastRenderedPageBreak/>
        <w:t xml:space="preserve">être identifiés car il s’agit des utilisateurs du spectre. Il est équitable que ceux-ci portent une bonne partie des coûts d’une activité étatique dont ils sont les bénéficiaires immédiats. Cependant, l’identification de tous les utilisateurs du spectre n’est pas possible. En outre, l’imputation de certains coûts découlant de l’exécution des tâches liées à la gestion du spectre à la charge des utilisateurs aurait été injuste, voire politiquement inopportune. Il en résulte que la totalité des coûts de la gestion du spectre des fréquences afférant à l’administration suisse n’est pas couverte par les revenus de redevances prélevées auprès des utilisateurs du spectre. Il a été décidé par lesdites institutions politiques que sur le plan calculatoire les revenus provenant des taxes d’utilisation du spectre assureraient au minimum le financement du solde. </w:t>
      </w:r>
    </w:p>
    <w:p w:rsidR="00E56335" w:rsidRPr="003E4442" w:rsidRDefault="00E56335" w:rsidP="00E56335">
      <w:pPr>
        <w:rPr>
          <w:lang w:val="fr-FR"/>
        </w:rPr>
      </w:pPr>
      <w:r w:rsidRPr="003E4442">
        <w:rPr>
          <w:lang w:val="fr-FR"/>
        </w:rPr>
        <w:t>La voie choisie en Suisse est donc d’avoir recours aux deux types de contributions au profit de l’Etat pour financer la gestion du spectre, soit des taxes et des redevances. Ont donc été édictées, au niveau gouvernemental, l’Ordonnance</w:t>
      </w:r>
      <w:r w:rsidRPr="003E4442">
        <w:rPr>
          <w:snapToGrid w:val="0"/>
          <w:lang w:val="fr-FR" w:eastAsia="de-DE"/>
        </w:rPr>
        <w:t xml:space="preserve"> du Conseil fédéral</w:t>
      </w:r>
      <w:r w:rsidRPr="003E4442">
        <w:rPr>
          <w:lang w:val="fr-FR"/>
        </w:rPr>
        <w:t xml:space="preserve"> du 7 décembre 2007 sur les redevances et émoluments dans le domaine des télécommunications (OREDT)</w:t>
      </w:r>
      <w:r>
        <w:rPr>
          <w:rStyle w:val="FootnoteReference"/>
          <w:lang w:val="fr-FR"/>
        </w:rPr>
        <w:footnoteReference w:customMarkFollows="1" w:id="6"/>
        <w:t>6</w:t>
      </w:r>
      <w:r w:rsidRPr="003E4442">
        <w:rPr>
          <w:snapToGrid w:val="0"/>
          <w:lang w:val="fr-FR" w:eastAsia="de-DE"/>
        </w:rPr>
        <w:t xml:space="preserve"> </w:t>
      </w:r>
      <w:r w:rsidRPr="003E4442">
        <w:rPr>
          <w:lang w:val="fr-FR"/>
        </w:rPr>
        <w:t xml:space="preserve">arrêtant les taxes d’utilisation du spectre et, au niveau ministériel, l’Ordonnance du </w:t>
      </w:r>
      <w:r w:rsidRPr="003E4442">
        <w:rPr>
          <w:snapToGrid w:val="0"/>
          <w:lang w:val="fr-FR" w:eastAsia="de-DE"/>
        </w:rPr>
        <w:t>Département fédéral de l’environnement, des transports, de l’énergie et de la communication</w:t>
      </w:r>
      <w:r w:rsidRPr="003E4442">
        <w:rPr>
          <w:lang w:val="fr-FR"/>
        </w:rPr>
        <w:t xml:space="preserve"> du 7 décembre 2007 sur les tarifs des émoluments dans le domaine des télécommunications</w:t>
      </w:r>
      <w:r>
        <w:rPr>
          <w:rStyle w:val="FootnoteReference"/>
          <w:lang w:val="fr-FR"/>
        </w:rPr>
        <w:footnoteReference w:customMarkFollows="1" w:id="7"/>
        <w:t>7</w:t>
      </w:r>
      <w:r w:rsidRPr="003E4442">
        <w:rPr>
          <w:lang w:val="fr-FR"/>
        </w:rPr>
        <w:t xml:space="preserve"> déterminant la hauteur des redevances pour les différentes prestations de l’autorité en charge de la gestion du spectre.</w:t>
      </w:r>
    </w:p>
    <w:p w:rsidR="00E56335" w:rsidRPr="003E4442" w:rsidRDefault="00E56335" w:rsidP="00E56335">
      <w:pPr>
        <w:pStyle w:val="Heading2"/>
        <w:rPr>
          <w:lang w:val="fr-FR"/>
        </w:rPr>
      </w:pPr>
      <w:bookmarkStart w:id="684" w:name="_Toc280260060"/>
      <w:bookmarkStart w:id="685" w:name="_Toc280272521"/>
      <w:bookmarkStart w:id="686" w:name="_Toc288643018"/>
      <w:r w:rsidRPr="003E4442">
        <w:rPr>
          <w:lang w:val="fr-FR"/>
        </w:rPr>
        <w:t>3.2</w:t>
      </w:r>
      <w:r w:rsidRPr="003E4442">
        <w:rPr>
          <w:lang w:val="fr-FR"/>
        </w:rPr>
        <w:tab/>
        <w:t>Les taxes d’utilisation du spectre</w:t>
      </w:r>
      <w:bookmarkEnd w:id="684"/>
      <w:bookmarkEnd w:id="685"/>
      <w:bookmarkEnd w:id="686"/>
    </w:p>
    <w:p w:rsidR="00E56335" w:rsidRPr="003E4442" w:rsidRDefault="00E56335" w:rsidP="00E56335">
      <w:pPr>
        <w:pStyle w:val="Heading3"/>
        <w:rPr>
          <w:lang w:val="fr-FR"/>
        </w:rPr>
      </w:pPr>
      <w:bookmarkStart w:id="687" w:name="_Toc288643019"/>
      <w:r w:rsidRPr="003E4442">
        <w:rPr>
          <w:lang w:val="fr-FR"/>
        </w:rPr>
        <w:t>3.2.1</w:t>
      </w:r>
      <w:r w:rsidRPr="003E4442">
        <w:rPr>
          <w:lang w:val="fr-FR"/>
        </w:rPr>
        <w:tab/>
        <w:t>Les taxes d’utilisation du spectre sont à qualifier d’impôt (et non de redevances)</w:t>
      </w:r>
      <w:bookmarkEnd w:id="687"/>
    </w:p>
    <w:p w:rsidR="00E56335" w:rsidRPr="003E4442" w:rsidRDefault="00E56335" w:rsidP="00E56335">
      <w:pPr>
        <w:rPr>
          <w:lang w:val="fr-FR"/>
        </w:rPr>
      </w:pPr>
      <w:r w:rsidRPr="003E4442">
        <w:rPr>
          <w:snapToGrid w:val="0"/>
          <w:lang w:val="fr-FR" w:eastAsia="de-DE"/>
        </w:rPr>
        <w:t xml:space="preserve">En Suisse, les droits d’utilisation dont s’acquittent les utilisateurs du spectre sont à qualifier de taxes. En effet, ils ont les caractéristiques des taxes en ce qu’ils sont dus par l’usager du spectre sans qu’il puisse prétendre à aucune contre-prestation spécifique de la part de l’administration si ce n’est le droit d’exercer le droit régalien d’utiliser le spectre. De plus, ils ne sont pas affectés à un usage défini mais versé au budget général de l’Etat. Le Parlement a fixé les conditions-cadre pour le prélèvement de cette taxe à l’article 39 de la </w:t>
      </w:r>
      <w:r w:rsidRPr="003E4442">
        <w:rPr>
          <w:lang w:val="fr-FR"/>
        </w:rPr>
        <w:t>Loi du 30 avril 1997 sur les télécommunications (LTC)</w:t>
      </w:r>
      <w:r>
        <w:rPr>
          <w:rStyle w:val="FootnoteReference"/>
          <w:lang w:val="fr-FR"/>
        </w:rPr>
        <w:footnoteReference w:customMarkFollows="1" w:id="8"/>
        <w:t>8</w:t>
      </w:r>
      <w:r w:rsidRPr="003E4442">
        <w:rPr>
          <w:snapToGrid w:val="0"/>
          <w:lang w:val="fr-FR" w:eastAsia="de-DE"/>
        </w:rPr>
        <w:t>. Dans cet article il a également délégué la fixation du montant et la spécification du mode de calcul de la taxe au gouvernement</w:t>
      </w:r>
      <w:r>
        <w:rPr>
          <w:rStyle w:val="FootnoteReference"/>
          <w:snapToGrid w:val="0"/>
          <w:lang w:val="fr-FR" w:eastAsia="de-DE"/>
        </w:rPr>
        <w:footnoteReference w:customMarkFollows="1" w:id="9"/>
        <w:t>9</w:t>
      </w:r>
      <w:r w:rsidRPr="003E4442">
        <w:rPr>
          <w:snapToGrid w:val="0"/>
          <w:lang w:val="fr-FR" w:eastAsia="de-DE"/>
        </w:rPr>
        <w:t>.</w:t>
      </w:r>
      <w:r w:rsidRPr="003E4442">
        <w:rPr>
          <w:lang w:val="fr-FR"/>
        </w:rPr>
        <w:t xml:space="preserve"> </w:t>
      </w:r>
    </w:p>
    <w:p w:rsidR="00E56335" w:rsidRPr="003E4442" w:rsidRDefault="00E56335" w:rsidP="00E56335">
      <w:pPr>
        <w:rPr>
          <w:lang w:val="fr-FR"/>
        </w:rPr>
      </w:pPr>
      <w:r w:rsidRPr="003E4442">
        <w:rPr>
          <w:lang w:val="fr-FR"/>
        </w:rPr>
        <w:t>Comme mentionnée ci-dessus, le montant demandé par l’Etat aux utilisateurs pour pouvoir accéder au spectre est une taxe car il n’y a pas de fourniture de prestations par l’Etat aux parties concernées par ces prélèvements. En effet, les ondes électromagnétiques sont présentes à l’état naturel, c’est-à-dire sans qu’aucun organe de l’Etat n’ait été actif dans une quelconque mesure. Ce montant est tout spécialement conforme aux particularités d’une taxe car le produit des droits d’utilisation du spectre ne fait pas l’objet d’une affectation et alimente le budget général.</w:t>
      </w:r>
    </w:p>
    <w:p w:rsidR="00E56335" w:rsidRPr="003E4442" w:rsidRDefault="00E56335" w:rsidP="00E56335">
      <w:pPr>
        <w:pStyle w:val="Heading3"/>
        <w:rPr>
          <w:lang w:val="fr-FR"/>
        </w:rPr>
      </w:pPr>
      <w:bookmarkStart w:id="688" w:name="_Toc288643020"/>
      <w:r w:rsidRPr="003E4442">
        <w:rPr>
          <w:lang w:val="fr-FR"/>
        </w:rPr>
        <w:t>3.2.2</w:t>
      </w:r>
      <w:r w:rsidRPr="003E4442">
        <w:rPr>
          <w:lang w:val="fr-FR"/>
        </w:rPr>
        <w:tab/>
        <w:t xml:space="preserve">Fonction incitative de </w:t>
      </w:r>
      <w:bookmarkStart w:id="689" w:name="OLE_LINK6"/>
      <w:r w:rsidRPr="003E4442">
        <w:rPr>
          <w:lang w:val="fr-FR"/>
        </w:rPr>
        <w:t xml:space="preserve">la taxe d’utilisation du spectre </w:t>
      </w:r>
      <w:bookmarkEnd w:id="689"/>
      <w:r w:rsidRPr="003E4442">
        <w:rPr>
          <w:lang w:val="fr-FR"/>
        </w:rPr>
        <w:t>(spectrum pricing)</w:t>
      </w:r>
      <w:bookmarkEnd w:id="688"/>
    </w:p>
    <w:p w:rsidR="00E56335" w:rsidRPr="003E4442" w:rsidRDefault="00E56335" w:rsidP="00E56335">
      <w:pPr>
        <w:rPr>
          <w:lang w:val="fr-FR"/>
        </w:rPr>
      </w:pPr>
      <w:r w:rsidRPr="003E4442">
        <w:rPr>
          <w:lang w:val="fr-FR"/>
        </w:rPr>
        <w:t xml:space="preserve">Pour les taxes d’utilisation du spectre, l’administration suisse a tenté d’appliquer certains principes découlant du </w:t>
      </w:r>
      <w:r w:rsidRPr="003E4442">
        <w:rPr>
          <w:i/>
          <w:lang w:val="fr-FR"/>
        </w:rPr>
        <w:t>spectrum pricing</w:t>
      </w:r>
      <w:r w:rsidRPr="003E4442">
        <w:rPr>
          <w:lang w:val="fr-FR"/>
        </w:rPr>
        <w:t>. Une telle politique ne serait juridiquement pas permissible si l’on avait été en présence de redevances. En effet, pour la fixation de la hauteur des redevances le respect des contraintes juridiques en la forme des principes de la couverture des coûts et d’équivalence est déterminant. Ces contraintes ne permettent pas à l’administration de disposer de la flexibilité qui est nécessaire pour donner un caractère incitatif à une contribution. Or une taxe incitative, qui est un instrument dans l’éventail des moyens d’une politique publique cherchant à infléchir, guider les comportements des administrés, requiert justement passablement de flexibilité.</w:t>
      </w:r>
    </w:p>
    <w:p w:rsidR="00E56335" w:rsidRPr="003E4442" w:rsidRDefault="00E56335" w:rsidP="00E56335">
      <w:pPr>
        <w:rPr>
          <w:lang w:val="fr-FR"/>
        </w:rPr>
      </w:pPr>
      <w:r w:rsidRPr="003E4442">
        <w:rPr>
          <w:lang w:val="fr-FR"/>
        </w:rPr>
        <w:t xml:space="preserve">Pour les bandes de fréquences où l'assignation se fait sur la base du principe du « premier venu, premier servi » ou par le biais de concours de beauté (en d’autres mots : l’allocation ne se fait pas par la voie </w:t>
      </w:r>
      <w:r w:rsidRPr="003E4442">
        <w:rPr>
          <w:lang w:val="fr-FR"/>
        </w:rPr>
        <w:lastRenderedPageBreak/>
        <w:t>d’enchères), l'administration suisse a développé un système de valorisation du spectre. Ce système se fonde sur une formule générale qui est applicable à toutes les applications de radiocommunication à condition de l'adapter aux spécificités de chacune d'entre elles.</w:t>
      </w:r>
    </w:p>
    <w:p w:rsidR="00E56335" w:rsidRPr="003E4442" w:rsidRDefault="00E56335" w:rsidP="00E56335">
      <w:pPr>
        <w:rPr>
          <w:lang w:val="fr-FR"/>
        </w:rPr>
      </w:pPr>
      <w:r w:rsidRPr="003E4442">
        <w:rPr>
          <w:lang w:val="fr-FR"/>
        </w:rPr>
        <w:t>La formule générale de calcul des taxes d’utilisation du spectre est:</w:t>
      </w:r>
    </w:p>
    <w:p w:rsidR="00E56335" w:rsidRPr="003E4442" w:rsidRDefault="00E56335" w:rsidP="00E56335">
      <w:pPr>
        <w:pBdr>
          <w:top w:val="single" w:sz="4" w:space="1" w:color="auto"/>
          <w:left w:val="single" w:sz="4" w:space="4" w:color="auto"/>
          <w:bottom w:val="single" w:sz="4" w:space="1" w:color="auto"/>
          <w:right w:val="single" w:sz="4" w:space="4" w:color="auto"/>
        </w:pBdr>
        <w:rPr>
          <w:lang w:val="fr-FR"/>
        </w:rPr>
      </w:pPr>
      <w:r w:rsidRPr="003E4442">
        <w:rPr>
          <w:lang w:val="fr-FR"/>
        </w:rPr>
        <w:t>Unité de compte * coefficient de largeur de bande * coefficient de réutilisation * coefficient de gamme de fréquences * coefficient d'exclusivité * coefficient de saturation/de zone * coefficient de temps</w:t>
      </w:r>
    </w:p>
    <w:p w:rsidR="00E56335" w:rsidRPr="003E4442" w:rsidRDefault="00E56335" w:rsidP="00E56335">
      <w:pPr>
        <w:rPr>
          <w:lang w:val="fr-FR"/>
        </w:rPr>
      </w:pPr>
      <w:r w:rsidRPr="003E4442">
        <w:rPr>
          <w:lang w:val="fr-FR"/>
        </w:rPr>
        <w:t>Les différents éléments de la formule requièrent quelques explicitations:</w:t>
      </w:r>
    </w:p>
    <w:p w:rsidR="00E56335" w:rsidRPr="003E4442" w:rsidRDefault="00E56335" w:rsidP="00425516">
      <w:pPr>
        <w:pStyle w:val="enumlev1"/>
        <w:spacing w:before="80"/>
      </w:pPr>
      <w:r>
        <w:rPr>
          <w:lang w:val="fr-FR"/>
        </w:rPr>
        <w:t>–</w:t>
      </w:r>
      <w:r>
        <w:rPr>
          <w:lang w:val="fr-FR"/>
        </w:rPr>
        <w:tab/>
      </w:r>
      <w:r w:rsidRPr="003E4442">
        <w:rPr>
          <w:lang w:val="fr-FR"/>
        </w:rPr>
        <w:t>L'</w:t>
      </w:r>
      <w:r w:rsidRPr="003E4442">
        <w:rPr>
          <w:i/>
          <w:lang w:val="fr-FR"/>
        </w:rPr>
        <w:t>unité de compte</w:t>
      </w:r>
      <w:r w:rsidRPr="003E4442">
        <w:rPr>
          <w:lang w:val="fr-FR"/>
        </w:rPr>
        <w:t xml:space="preserve"> reflète la valorisation économique de l'utilisation de la ressource spectre par une application de radiocommunication déterminée. </w:t>
      </w:r>
      <w:r w:rsidRPr="003E4442">
        <w:t xml:space="preserve">Naturellement, elle variera d'une application à l'autre. </w:t>
      </w:r>
    </w:p>
    <w:p w:rsidR="00E56335" w:rsidRPr="003E4442" w:rsidRDefault="00E56335" w:rsidP="00425516">
      <w:pPr>
        <w:pStyle w:val="enumlev1"/>
        <w:spacing w:before="80"/>
        <w:rPr>
          <w:lang w:val="fr-FR"/>
        </w:rPr>
      </w:pPr>
      <w:r>
        <w:rPr>
          <w:lang w:val="fr-FR"/>
        </w:rPr>
        <w:t>–</w:t>
      </w:r>
      <w:r>
        <w:rPr>
          <w:lang w:val="fr-FR"/>
        </w:rPr>
        <w:tab/>
      </w:r>
      <w:r w:rsidRPr="003E4442">
        <w:rPr>
          <w:lang w:val="fr-FR"/>
        </w:rPr>
        <w:t xml:space="preserve">Le </w:t>
      </w:r>
      <w:r w:rsidRPr="003E4442">
        <w:rPr>
          <w:i/>
          <w:lang w:val="fr-FR"/>
        </w:rPr>
        <w:t xml:space="preserve">coefficient de largeur de bande </w:t>
      </w:r>
      <w:r w:rsidRPr="003E4442">
        <w:rPr>
          <w:lang w:val="fr-FR"/>
        </w:rPr>
        <w:t xml:space="preserve">reflète combien d'unités de compte sont allouée du fait de la largeur de la bande assignée. Par exemple, si l'unité de compte est fixée pour 25 kHz et que la largeur de bande du système de radiocommunication est 2 MHz, alors ce coefficient de largeur de bande sera de 80. </w:t>
      </w:r>
    </w:p>
    <w:p w:rsidR="00E56335" w:rsidRPr="003E4442" w:rsidRDefault="00E56335" w:rsidP="00425516">
      <w:pPr>
        <w:pStyle w:val="enumlev1"/>
        <w:spacing w:before="80"/>
        <w:rPr>
          <w:lang w:val="fr-FR"/>
        </w:rPr>
      </w:pPr>
      <w:r>
        <w:rPr>
          <w:lang w:val="fr-FR"/>
        </w:rPr>
        <w:t>–</w:t>
      </w:r>
      <w:r>
        <w:rPr>
          <w:lang w:val="fr-FR"/>
        </w:rPr>
        <w:tab/>
      </w:r>
      <w:r w:rsidRPr="003E4442">
        <w:rPr>
          <w:lang w:val="fr-FR"/>
        </w:rPr>
        <w:t xml:space="preserve">Le </w:t>
      </w:r>
      <w:r w:rsidRPr="003E4442">
        <w:rPr>
          <w:i/>
          <w:lang w:val="fr-FR"/>
        </w:rPr>
        <w:t>coefficient de réutilisation</w:t>
      </w:r>
      <w:r w:rsidRPr="003E4442">
        <w:rPr>
          <w:lang w:val="fr-FR"/>
        </w:rPr>
        <w:t xml:space="preserve"> (en Suisse il a été appelé « coefficient de territoire ») reflète le nombre de fois que la fréquence en cause pourrait être réemployée dans une zone donnée ou sur le territoire du pays. </w:t>
      </w:r>
    </w:p>
    <w:p w:rsidR="00E56335" w:rsidRPr="003E4442" w:rsidRDefault="00E56335" w:rsidP="00425516">
      <w:pPr>
        <w:pStyle w:val="enumlev1"/>
        <w:spacing w:before="80"/>
        <w:rPr>
          <w:lang w:val="fr-FR"/>
        </w:rPr>
      </w:pPr>
      <w:r>
        <w:rPr>
          <w:lang w:val="fr-FR"/>
        </w:rPr>
        <w:t>–</w:t>
      </w:r>
      <w:r>
        <w:rPr>
          <w:lang w:val="fr-FR"/>
        </w:rPr>
        <w:tab/>
      </w:r>
      <w:r w:rsidRPr="003E4442">
        <w:rPr>
          <w:lang w:val="fr-FR"/>
        </w:rPr>
        <w:t xml:space="preserve">Le </w:t>
      </w:r>
      <w:r w:rsidRPr="003E4442">
        <w:rPr>
          <w:i/>
          <w:lang w:val="fr-FR"/>
        </w:rPr>
        <w:t>coefficient de gamme de fréquences</w:t>
      </w:r>
      <w:r w:rsidRPr="003E4442">
        <w:rPr>
          <w:lang w:val="fr-FR"/>
        </w:rPr>
        <w:t xml:space="preserve"> peut être utilisé pour les systèmes de radiocommunication qui disposent d'attributions de fréquences dans plusieurs parties du spectre des fréquences. Ce coefficient traduit les préférences de l'administration en charge de la gestion des fréquences concernant l'emploi de certaines bandes de fréquences par ces systèmes. Des tarifs préférentiels pourraient par exemple être appliqués aux bandes de fréquences élevées où la technologie est moins mûre et qui sont moins congestionnées. </w:t>
      </w:r>
    </w:p>
    <w:p w:rsidR="00E56335" w:rsidRPr="003E4442" w:rsidRDefault="00E56335" w:rsidP="00425516">
      <w:pPr>
        <w:pStyle w:val="enumlev1"/>
        <w:spacing w:before="80"/>
        <w:rPr>
          <w:lang w:val="fr-FR"/>
        </w:rPr>
      </w:pPr>
      <w:r>
        <w:rPr>
          <w:lang w:val="fr-FR"/>
        </w:rPr>
        <w:t>–</w:t>
      </w:r>
      <w:r>
        <w:rPr>
          <w:lang w:val="fr-FR"/>
        </w:rPr>
        <w:tab/>
      </w:r>
      <w:r w:rsidRPr="003E4442">
        <w:rPr>
          <w:lang w:val="fr-FR"/>
        </w:rPr>
        <w:t xml:space="preserve">Le </w:t>
      </w:r>
      <w:r w:rsidRPr="003E4442">
        <w:rPr>
          <w:i/>
          <w:lang w:val="fr-FR"/>
        </w:rPr>
        <w:t>coefficient d'exclusivité</w:t>
      </w:r>
      <w:r w:rsidRPr="003E4442">
        <w:rPr>
          <w:lang w:val="fr-FR"/>
        </w:rPr>
        <w:t xml:space="preserve"> reflète le degré de partage et de disponibilité du spectre : Ce coefficient est élevé pour un usage exclusif et plus bas dans le cas d’un usage partagé. On peut également imaginer un système où, dans une bande à usage partagé, le facteur applicable aux utilisateurs opérant une flotte nombreuse d'équipements de radiocommunication serait plus élevé que celui applicable aux utilisateurs n'employant qu'un faible nombre d'appareils.</w:t>
      </w:r>
    </w:p>
    <w:p w:rsidR="00E56335" w:rsidRPr="003E4442" w:rsidRDefault="00E56335" w:rsidP="00425516">
      <w:pPr>
        <w:pStyle w:val="enumlev1"/>
        <w:spacing w:before="80"/>
        <w:rPr>
          <w:lang w:val="fr-FR"/>
        </w:rPr>
      </w:pPr>
      <w:r>
        <w:rPr>
          <w:lang w:val="fr-FR"/>
        </w:rPr>
        <w:t>–</w:t>
      </w:r>
      <w:r>
        <w:rPr>
          <w:lang w:val="fr-FR"/>
        </w:rPr>
        <w:tab/>
      </w:r>
      <w:r w:rsidRPr="003E4442">
        <w:rPr>
          <w:lang w:val="fr-FR"/>
        </w:rPr>
        <w:t xml:space="preserve">Le </w:t>
      </w:r>
      <w:r w:rsidRPr="003E4442">
        <w:rPr>
          <w:i/>
          <w:lang w:val="fr-FR"/>
        </w:rPr>
        <w:t>coefficient de saturation/de zone</w:t>
      </w:r>
      <w:r w:rsidRPr="003E4442">
        <w:rPr>
          <w:lang w:val="fr-FR"/>
        </w:rPr>
        <w:t xml:space="preserve"> reflète la densité des utilisateurs potentiels dans différentes parties du territoire national. Il indique la pénurie de la ressource spectre, qui est généralement plus forte dans les zones urbaines que dans les zones rurales. On peut, par exemple, considérer 3 zones (grandes agglomérations, banlieues, zones rurales).</w:t>
      </w:r>
    </w:p>
    <w:p w:rsidR="00E56335" w:rsidRPr="003E4442" w:rsidRDefault="00E56335" w:rsidP="00425516">
      <w:pPr>
        <w:pStyle w:val="enumlev1"/>
        <w:spacing w:before="80"/>
        <w:rPr>
          <w:lang w:val="fr-FR"/>
        </w:rPr>
      </w:pPr>
      <w:r>
        <w:rPr>
          <w:lang w:val="fr-FR"/>
        </w:rPr>
        <w:t>–</w:t>
      </w:r>
      <w:r>
        <w:rPr>
          <w:lang w:val="fr-FR"/>
        </w:rPr>
        <w:tab/>
      </w:r>
      <w:r w:rsidRPr="003E4442">
        <w:rPr>
          <w:lang w:val="fr-FR"/>
        </w:rPr>
        <w:t xml:space="preserve">Le </w:t>
      </w:r>
      <w:r w:rsidRPr="003E4442">
        <w:rPr>
          <w:i/>
          <w:lang w:val="fr-FR"/>
        </w:rPr>
        <w:t>coefficient de temps</w:t>
      </w:r>
      <w:r w:rsidRPr="003E4442">
        <w:rPr>
          <w:lang w:val="fr-FR"/>
        </w:rPr>
        <w:t xml:space="preserve"> reflète le nombre total d'unités de temps (qui sont à la base de l'unité de compte, p.ex. un mois ou un an) que couvre l'autorisation d'utiliser le spectre. Le cas échéant une adaptation de ce coefficient pourrait avoir lieu entre la phase d'introduction d'une nouvelle technologie (coefficient plus bas) et la phase de maturité de la technologie (coefficient plus élevé).</w:t>
      </w:r>
    </w:p>
    <w:p w:rsidR="00E56335" w:rsidRPr="003E4442" w:rsidRDefault="00E56335" w:rsidP="00E56335">
      <w:pPr>
        <w:rPr>
          <w:lang w:val="fr-FR"/>
        </w:rPr>
      </w:pPr>
      <w:r w:rsidRPr="003E4442">
        <w:rPr>
          <w:lang w:val="fr-FR"/>
        </w:rPr>
        <w:t>Il faut souligner que tous les coefficients ne sont pas pertinents pour toutes les applications de radiocommunication. Lorsqu’un coefficient n’est pas pertinent pour un type d'application de radiocommunication, il ne devrait pas être pris en considération pour le calcul de la taxe (ou alors toujours avoir la valeur 1 neutre dans une multiplication). De plus, la valorisation des coefficients demande des études économiques et techniques. Finalement, les proportions entre les valeurs d’un coefficient ne s'appliquent pas nécessairement de façon identique pour chacune des applications et requièrent donc également une réflexion approfondie.</w:t>
      </w:r>
    </w:p>
    <w:p w:rsidR="00E56335" w:rsidRPr="003E4442" w:rsidRDefault="00E56335" w:rsidP="00E56335">
      <w:pPr>
        <w:rPr>
          <w:lang w:val="fr-FR"/>
        </w:rPr>
      </w:pPr>
      <w:r w:rsidRPr="003E4442">
        <w:rPr>
          <w:lang w:val="fr-FR"/>
        </w:rPr>
        <w:t>Un système de tarification du spectre basé sur la formule générale doit permettre aux utilisateurs confrontés au choix entre plusieurs solutions techniques de facilement comparer les taxes et d’identifier, lorsqu'ils comparent des applications concurrentes, laquelle impliquerait le paiement de la taxe la moins lourde. Ils prendraient conscience que la ressource spectre est rare et que son prix varie selon l’efficacité spectrale des différents usages envisagés.</w:t>
      </w:r>
    </w:p>
    <w:p w:rsidR="00E56335" w:rsidRPr="003E4442" w:rsidRDefault="00E56335" w:rsidP="00E56335">
      <w:pPr>
        <w:pStyle w:val="Heading3"/>
        <w:rPr>
          <w:lang w:val="fr-FR"/>
        </w:rPr>
      </w:pPr>
      <w:bookmarkStart w:id="690" w:name="_Toc288643021"/>
      <w:r w:rsidRPr="003E4442">
        <w:rPr>
          <w:lang w:val="fr-FR"/>
        </w:rPr>
        <w:lastRenderedPageBreak/>
        <w:t>3.2.3</w:t>
      </w:r>
      <w:r w:rsidRPr="003E4442">
        <w:rPr>
          <w:lang w:val="fr-FR"/>
        </w:rPr>
        <w:tab/>
        <w:t>Observation concernant les adjudications publiques par voie d’enchères</w:t>
      </w:r>
      <w:bookmarkEnd w:id="690"/>
    </w:p>
    <w:p w:rsidR="00E56335" w:rsidRPr="003E4442" w:rsidRDefault="00E56335" w:rsidP="00E56335">
      <w:pPr>
        <w:rPr>
          <w:lang w:val="fr-FR"/>
        </w:rPr>
      </w:pPr>
      <w:r w:rsidRPr="003E4442">
        <w:rPr>
          <w:lang w:val="fr-FR"/>
        </w:rPr>
        <w:t>Dans les rares cas où les conditions pour l’emploi d’adjudications publiques par voie d’enchères comme méthode d’assignation de fréquences sont remplies (cela suppose, entre autres, qu'il y ait plus de demande pour des licences de radiocommunication que l'Etat n'a à en offrir à un moment bien spécifique), ces adjudications sont un moyen commode pour taxer l’utilisation du bien public qu’est le spectre des fréquences</w:t>
      </w:r>
      <w:r>
        <w:rPr>
          <w:rStyle w:val="FootnoteReference"/>
          <w:lang w:val="fr-FR"/>
        </w:rPr>
        <w:footnoteReference w:customMarkFollows="1" w:id="10"/>
        <w:t>10</w:t>
      </w:r>
      <w:r w:rsidRPr="003E4442">
        <w:rPr>
          <w:lang w:val="fr-FR"/>
        </w:rPr>
        <w:t>. En effet, c’est l’usager lui-même qui fixe le prix qu’il est prêt à payer à l’Etat pour avoir cette exclusivité. Le(s) gagnant(s) des enchères aura(ont) déterminé le montant de la taxe d'utilisation du spectre (qui sera équivalente à l'offre la plus élevée). Pour les applications de radiocommunication qui permettent l’organisation d’enchères, les complexes réflexions au sein de l'administration sur un système de taxation/valorisation du spectre sont dans une certaine mesure rendues redondantes – le secteur privé s'en charge lui-même.</w:t>
      </w:r>
    </w:p>
    <w:p w:rsidR="00E56335" w:rsidRPr="003E4442" w:rsidRDefault="00E56335" w:rsidP="00E56335">
      <w:pPr>
        <w:pStyle w:val="Heading2"/>
        <w:rPr>
          <w:lang w:val="fr-FR"/>
        </w:rPr>
      </w:pPr>
      <w:bookmarkStart w:id="691" w:name="_Toc280260061"/>
      <w:bookmarkStart w:id="692" w:name="_Toc280272522"/>
      <w:bookmarkStart w:id="693" w:name="_Toc288643022"/>
      <w:r w:rsidRPr="003E4442">
        <w:rPr>
          <w:lang w:val="fr-FR"/>
        </w:rPr>
        <w:t>3.3</w:t>
      </w:r>
      <w:r w:rsidRPr="003E4442">
        <w:rPr>
          <w:lang w:val="fr-FR"/>
        </w:rPr>
        <w:tab/>
        <w:t>Les redevances</w:t>
      </w:r>
      <w:bookmarkEnd w:id="691"/>
      <w:bookmarkEnd w:id="692"/>
      <w:bookmarkEnd w:id="693"/>
    </w:p>
    <w:p w:rsidR="00E56335" w:rsidRPr="003E4442" w:rsidRDefault="00E56335" w:rsidP="00E56335">
      <w:pPr>
        <w:rPr>
          <w:lang w:val="fr-FR"/>
        </w:rPr>
      </w:pPr>
      <w:r w:rsidRPr="003E4442">
        <w:rPr>
          <w:lang w:val="fr-FR"/>
        </w:rPr>
        <w:t xml:space="preserve">La redevance est due à raison d’une prestation que l’administration fournit au redevable ou d’une activité occasionnée par les agissements de celui-ci. La redevance est la conséquence directe du service requis ou occasionné par l’administré. </w:t>
      </w:r>
      <w:r w:rsidRPr="003E4442">
        <w:rPr>
          <w:snapToGrid w:val="0"/>
          <w:lang w:val="fr-FR" w:eastAsia="de-DE"/>
        </w:rPr>
        <w:t>Le parlement a fixé le principe du prélèvement de redevances à l’article 40 LTC. Il a délégué la fixation du montant des redevances à l’article 41 LTC à l’exécutif.</w:t>
      </w:r>
      <w:r w:rsidRPr="003E4442">
        <w:rPr>
          <w:lang w:val="fr-CH"/>
        </w:rPr>
        <w:t xml:space="preserve"> Les coûts afférant dans </w:t>
      </w:r>
      <w:r w:rsidRPr="003E4442">
        <w:rPr>
          <w:lang w:val="fr-FR"/>
        </w:rPr>
        <w:t>le cadre de poursuites pénales administratives sont mis à la charge des personnes sanctionnées sur la base de l’Ordonnance du 25 novembre 1974 sur les frais et indemnités en procédure pénale administrative</w:t>
      </w:r>
      <w:r>
        <w:rPr>
          <w:rStyle w:val="FootnoteReference"/>
          <w:lang w:val="fr-FR"/>
        </w:rPr>
        <w:footnoteReference w:customMarkFollows="1" w:id="11"/>
        <w:t>11</w:t>
      </w:r>
      <w:r w:rsidRPr="003E4442">
        <w:rPr>
          <w:lang w:val="fr-FR"/>
        </w:rPr>
        <w:t>, et non pas des ordonnances d’exécution de la LTC.</w:t>
      </w:r>
    </w:p>
    <w:p w:rsidR="00E56335" w:rsidRPr="003E4442" w:rsidRDefault="00E56335" w:rsidP="00E56335">
      <w:pPr>
        <w:rPr>
          <w:lang w:val="fr-FR"/>
        </w:rPr>
      </w:pPr>
      <w:r w:rsidRPr="003E4442">
        <w:rPr>
          <w:lang w:val="fr-FR"/>
        </w:rPr>
        <w:t>En Suisse, on distingue deux types de redevances en fonction de l’occurrence du moment du prélèvement.</w:t>
      </w:r>
    </w:p>
    <w:p w:rsidR="00E56335" w:rsidRPr="003E4442" w:rsidRDefault="00E56335" w:rsidP="00E56335">
      <w:pPr>
        <w:pStyle w:val="Heading3"/>
        <w:rPr>
          <w:lang w:val="fr-CH"/>
        </w:rPr>
      </w:pPr>
      <w:bookmarkStart w:id="694" w:name="_Toc288643023"/>
      <w:r w:rsidRPr="003E4442">
        <w:rPr>
          <w:lang w:val="fr-CH"/>
        </w:rPr>
        <w:t>3.3.1</w:t>
      </w:r>
      <w:r w:rsidRPr="003E4442">
        <w:rPr>
          <w:lang w:val="fr-CH"/>
        </w:rPr>
        <w:tab/>
        <w:t>Redevances uniques</w:t>
      </w:r>
      <w:bookmarkEnd w:id="694"/>
    </w:p>
    <w:p w:rsidR="00E56335" w:rsidRPr="003E4442" w:rsidRDefault="00E56335" w:rsidP="00E56335">
      <w:r w:rsidRPr="003E4442">
        <w:rPr>
          <w:lang w:val="fr-FR"/>
        </w:rPr>
        <w:t xml:space="preserve">Dans le domaine de la gestion du spectre des fréquences des redevance uniques peuvent être prélevées pour les prestations suivantes de l’autorité compétente et dont les utilisateurs du spectre sont les bénéficiaires immédiats. </w:t>
      </w:r>
      <w:r w:rsidRPr="003E4442">
        <w:t>Ces redevances couvrent par exemple les prestations suivantes :</w:t>
      </w:r>
    </w:p>
    <w:p w:rsidR="00E56335" w:rsidRPr="003E4442" w:rsidRDefault="00E56335" w:rsidP="00425516">
      <w:pPr>
        <w:pStyle w:val="enumlev1"/>
        <w:spacing w:before="80"/>
        <w:rPr>
          <w:lang w:val="fr-FR"/>
        </w:rPr>
      </w:pPr>
      <w:r>
        <w:rPr>
          <w:lang w:val="fr-FR"/>
        </w:rPr>
        <w:t>–</w:t>
      </w:r>
      <w:r>
        <w:rPr>
          <w:lang w:val="fr-FR"/>
        </w:rPr>
        <w:tab/>
      </w:r>
      <w:r w:rsidRPr="003E4442">
        <w:rPr>
          <w:lang w:val="fr-FR"/>
        </w:rPr>
        <w:t>Octroi de licences de radiocommunication (autorisations d’accéder au spectre)</w:t>
      </w:r>
    </w:p>
    <w:p w:rsidR="00E56335" w:rsidRPr="003E4442" w:rsidRDefault="00E56335" w:rsidP="00425516">
      <w:pPr>
        <w:pStyle w:val="enumlev1"/>
        <w:spacing w:before="80"/>
      </w:pPr>
      <w:r>
        <w:t>–</w:t>
      </w:r>
      <w:r>
        <w:tab/>
      </w:r>
      <w:r w:rsidRPr="003E4442">
        <w:t>Modification d’une licence de radiocommunication</w:t>
      </w:r>
    </w:p>
    <w:p w:rsidR="00E56335" w:rsidRPr="003E4442" w:rsidRDefault="00E56335" w:rsidP="00425516">
      <w:pPr>
        <w:pStyle w:val="enumlev1"/>
        <w:spacing w:before="80"/>
        <w:rPr>
          <w:lang w:val="fr-FR"/>
        </w:rPr>
      </w:pPr>
      <w:r>
        <w:rPr>
          <w:lang w:val="fr-FR"/>
        </w:rPr>
        <w:t>–</w:t>
      </w:r>
      <w:r>
        <w:rPr>
          <w:lang w:val="fr-FR"/>
        </w:rPr>
        <w:tab/>
      </w:r>
      <w:r w:rsidRPr="003E4442">
        <w:rPr>
          <w:lang w:val="fr-FR"/>
        </w:rPr>
        <w:t>Révocation, respectivement annulation, de licence de radiocommunication</w:t>
      </w:r>
    </w:p>
    <w:p w:rsidR="00E56335" w:rsidRPr="003E4442" w:rsidRDefault="00E56335" w:rsidP="00425516">
      <w:pPr>
        <w:pStyle w:val="enumlev1"/>
        <w:spacing w:before="80"/>
        <w:rPr>
          <w:lang w:val="fr-FR"/>
        </w:rPr>
      </w:pPr>
      <w:r>
        <w:rPr>
          <w:lang w:val="fr-FR"/>
        </w:rPr>
        <w:t>–</w:t>
      </w:r>
      <w:r>
        <w:rPr>
          <w:lang w:val="fr-FR"/>
        </w:rPr>
        <w:tab/>
      </w:r>
      <w:r w:rsidRPr="003E4442">
        <w:rPr>
          <w:lang w:val="fr-FR"/>
        </w:rPr>
        <w:t>Recherche de perturbations (coûts engendrés par le perturbateur lorsqu’il est identifié)</w:t>
      </w:r>
    </w:p>
    <w:p w:rsidR="00E56335" w:rsidRPr="003E4442" w:rsidRDefault="00E56335" w:rsidP="00E56335">
      <w:pPr>
        <w:pStyle w:val="Heading3"/>
        <w:rPr>
          <w:lang w:val="fr-CH"/>
        </w:rPr>
      </w:pPr>
      <w:bookmarkStart w:id="695" w:name="_Toc288643024"/>
      <w:r w:rsidRPr="003E4442">
        <w:rPr>
          <w:lang w:val="fr-CH"/>
        </w:rPr>
        <w:t>3.3.2</w:t>
      </w:r>
      <w:r w:rsidRPr="003E4442">
        <w:rPr>
          <w:lang w:val="fr-CH"/>
        </w:rPr>
        <w:tab/>
        <w:t>Redevances périodiques</w:t>
      </w:r>
      <w:bookmarkEnd w:id="695"/>
    </w:p>
    <w:p w:rsidR="00E56335" w:rsidRPr="003E4442" w:rsidRDefault="00E56335" w:rsidP="00E56335">
      <w:pPr>
        <w:rPr>
          <w:lang w:val="fr-FR"/>
        </w:rPr>
      </w:pPr>
      <w:r w:rsidRPr="003E4442">
        <w:rPr>
          <w:lang w:val="fr-FR"/>
        </w:rPr>
        <w:t xml:space="preserve">Cette redevance qui est appelée « émolument pour la gestion et le contrôle technique du spectre des fréquences » a un rôle central pour la couverture des coûts afférant dans le domaine de la gestion du spectre. Les utilisateurs du spectre sont appelés à participer au financement d’activités de l’autorité gérant le spectre dont ils sont les bénéficiaires médiats. </w:t>
      </w:r>
    </w:p>
    <w:p w:rsidR="00E56335" w:rsidRPr="003E4442" w:rsidRDefault="00E56335" w:rsidP="00E56335">
      <w:pPr>
        <w:rPr>
          <w:lang w:val="fr-FR"/>
        </w:rPr>
      </w:pPr>
      <w:r w:rsidRPr="003E4442">
        <w:rPr>
          <w:lang w:val="fr-FR"/>
        </w:rPr>
        <w:t>Les redevances périodiques sont perçues pour couvrir les frais courants relatifs aux activités de gestion et le contrôle technique du spectre des fréquences qui ne découlent pas d'une action concrète des différents acteurs mais qui peuvent néanmoins leur être clairement imputées en tant que bénéficiaires. Les coûts de ces prestations sont répercutés sur les membres du groupe concerné sous la forme d’émoluments forfaitaires périodiques.</w:t>
      </w:r>
    </w:p>
    <w:p w:rsidR="00E56335" w:rsidRPr="003E4442" w:rsidRDefault="00E56335" w:rsidP="00E56335">
      <w:pPr>
        <w:rPr>
          <w:lang w:val="fr-FR"/>
        </w:rPr>
      </w:pPr>
      <w:r w:rsidRPr="003E4442">
        <w:rPr>
          <w:lang w:val="fr-FR"/>
        </w:rPr>
        <w:t>Afin d’être légale et conforme au principe de la couverture des coûts, la mise en place d’une comptabilité analytique a été nécessaire.</w:t>
      </w:r>
    </w:p>
    <w:p w:rsidR="00E56335" w:rsidRPr="003E4442" w:rsidRDefault="00E56335" w:rsidP="00425516">
      <w:pPr>
        <w:pStyle w:val="Heading3"/>
        <w:keepNext w:val="0"/>
        <w:keepLines w:val="0"/>
        <w:rPr>
          <w:lang w:val="fr-CH"/>
        </w:rPr>
      </w:pPr>
      <w:bookmarkStart w:id="696" w:name="_Toc288643025"/>
      <w:r w:rsidRPr="003E4442">
        <w:rPr>
          <w:lang w:val="fr-CH"/>
        </w:rPr>
        <w:t>3.3.3</w:t>
      </w:r>
      <w:r w:rsidRPr="003E4442">
        <w:rPr>
          <w:lang w:val="fr-CH"/>
        </w:rPr>
        <w:tab/>
        <w:t>Prestations fournies gratuitement</w:t>
      </w:r>
      <w:bookmarkEnd w:id="696"/>
    </w:p>
    <w:p w:rsidR="00E56335" w:rsidRPr="003E4442" w:rsidRDefault="00E56335" w:rsidP="001C739F">
      <w:pPr>
        <w:spacing w:before="0"/>
        <w:rPr>
          <w:lang w:val="fr-CH"/>
        </w:rPr>
      </w:pPr>
      <w:r w:rsidRPr="003E4442">
        <w:rPr>
          <w:lang w:val="fr-CH"/>
        </w:rPr>
        <w:lastRenderedPageBreak/>
        <w:t xml:space="preserve">Les prestations pour lesquelles il n’est pas procédé à l’encaissement d’une redevance – ou où le montant de la redevance est « soldé » – doivent explicitement figurer dans la loi ou dans l'ordonnance. </w:t>
      </w:r>
    </w:p>
    <w:p w:rsidR="00E56335" w:rsidRPr="003E4442" w:rsidRDefault="00E56335" w:rsidP="00E56335">
      <w:pPr>
        <w:rPr>
          <w:lang w:val="fr-FR"/>
        </w:rPr>
      </w:pPr>
      <w:r w:rsidRPr="003E4442">
        <w:rPr>
          <w:lang w:val="fr-CH"/>
        </w:rPr>
        <w:t xml:space="preserve">Il mérite d’être relevé que </w:t>
      </w:r>
      <w:r w:rsidRPr="003E4442">
        <w:rPr>
          <w:lang w:val="fr-FR"/>
        </w:rPr>
        <w:t>pour des raisons pratiques</w:t>
      </w:r>
      <w:r w:rsidRPr="003E4442">
        <w:rPr>
          <w:lang w:val="fr-CH"/>
        </w:rPr>
        <w:t xml:space="preserve"> la redevance périodique pour la </w:t>
      </w:r>
      <w:r w:rsidRPr="003E4442">
        <w:rPr>
          <w:lang w:val="fr-FR"/>
        </w:rPr>
        <w:t xml:space="preserve">gestion et contrôle technique du spectre des fréquences ne peut être prélevée auprès des utilisateurs qui sont exemptés de l’obtention d’une autorisation pour avoir accès au spectre. Comme ils ne sont pas connus individuellement de l’autorité, aucune facture ne peut leur être adressée. </w:t>
      </w:r>
    </w:p>
    <w:p w:rsidR="00E56335" w:rsidRPr="003E4442" w:rsidRDefault="00E56335" w:rsidP="00E56335">
      <w:pPr>
        <w:pStyle w:val="Heading1"/>
        <w:rPr>
          <w:lang w:val="fr-FR"/>
        </w:rPr>
      </w:pPr>
      <w:bookmarkStart w:id="697" w:name="_Toc280260062"/>
      <w:bookmarkStart w:id="698" w:name="_Toc280260911"/>
      <w:bookmarkStart w:id="699" w:name="_Toc280272523"/>
      <w:bookmarkStart w:id="700" w:name="_Toc288643026"/>
      <w:r>
        <w:rPr>
          <w:lang w:val="fr-FR"/>
        </w:rPr>
        <w:t>4</w:t>
      </w:r>
      <w:r>
        <w:rPr>
          <w:lang w:val="fr-FR"/>
        </w:rPr>
        <w:tab/>
      </w:r>
      <w:r w:rsidRPr="003E4442">
        <w:rPr>
          <w:lang w:val="fr-FR"/>
        </w:rPr>
        <w:t>Conclusion</w:t>
      </w:r>
      <w:bookmarkEnd w:id="697"/>
      <w:bookmarkEnd w:id="698"/>
      <w:bookmarkEnd w:id="699"/>
      <w:bookmarkEnd w:id="700"/>
    </w:p>
    <w:p w:rsidR="00E56335" w:rsidRPr="003E4442" w:rsidRDefault="00E56335" w:rsidP="00E56335">
      <w:pPr>
        <w:rPr>
          <w:lang w:val="fr-FR"/>
        </w:rPr>
      </w:pPr>
      <w:r w:rsidRPr="003E4442">
        <w:rPr>
          <w:lang w:val="fr-FR"/>
        </w:rPr>
        <w:t xml:space="preserve">Le système </w:t>
      </w:r>
      <w:r w:rsidRPr="003E4442">
        <w:rPr>
          <w:i/>
          <w:lang w:val="fr-FR"/>
        </w:rPr>
        <w:t>mixte</w:t>
      </w:r>
      <w:r w:rsidRPr="003E4442">
        <w:rPr>
          <w:lang w:val="fr-FR"/>
        </w:rPr>
        <w:t xml:space="preserve"> appliqué en Suisse permet à l’autorité de gestion des fréquences d’avoir recours aux deux types de contributions au profit de l’Etat (taxes et redevances) pour son financement. Cette combinaison donne la faculté de couvrir la totalité des coûts afférant avec équité, dans le respect du droit (principe de la couverture des coûts) et avec souplesse. </w:t>
      </w:r>
    </w:p>
    <w:p w:rsidR="00E56335" w:rsidRPr="00190938" w:rsidRDefault="00E56335" w:rsidP="00E56335">
      <w:pPr>
        <w:rPr>
          <w:lang w:val="fr-FR"/>
        </w:rPr>
      </w:pPr>
      <w:r w:rsidRPr="003E4442">
        <w:rPr>
          <w:lang w:val="fr-FR"/>
        </w:rPr>
        <w:t>Pour finir, voici un schéma décrivant l’approche mixte:</w:t>
      </w:r>
    </w:p>
    <w:p w:rsidR="00871C74" w:rsidRPr="00190938" w:rsidRDefault="00871C74" w:rsidP="00871C74">
      <w:pPr>
        <w:rPr>
          <w:lang w:val="fr-FR"/>
        </w:rPr>
      </w:pPr>
    </w:p>
    <w:p w:rsidR="00871C74" w:rsidRPr="00B97E80" w:rsidRDefault="00871C74" w:rsidP="00871C74">
      <w:pPr>
        <w:tabs>
          <w:tab w:val="clear" w:pos="794"/>
          <w:tab w:val="clear" w:pos="1191"/>
          <w:tab w:val="clear" w:pos="1588"/>
          <w:tab w:val="clear" w:pos="1985"/>
        </w:tabs>
        <w:overflowPunct/>
        <w:autoSpaceDE/>
        <w:autoSpaceDN/>
        <w:adjustRightInd/>
        <w:spacing w:before="0"/>
        <w:jc w:val="left"/>
        <w:textAlignment w:val="auto"/>
        <w:rPr>
          <w:lang w:val="fr-CH"/>
        </w:rPr>
      </w:pPr>
      <w:r w:rsidRPr="00C14B03">
        <w:rPr>
          <w:highlight w:val="yellow"/>
          <w:lang w:val="fr-FR"/>
        </w:rPr>
      </w:r>
      <w:r w:rsidRPr="00C14B03">
        <w:rPr>
          <w:highlight w:val="yellow"/>
          <w:lang w:val="fr-FR"/>
        </w:rPr>
        <w:pict>
          <v:group id="_x0000_s42244" editas="canvas" style="width:491.35pt;height:253.2pt;mso-position-horizontal-relative:char;mso-position-vertical-relative:line" coordorigin="1345,7776" coordsize="9827,5064">
            <o:lock v:ext="edit" aspectratio="t"/>
            <v:shape id="_x0000_s42245" type="#_x0000_t75" style="position:absolute;left:1345;top:7776;width:9827;height:5064" o:preferrelative="f">
              <v:fill o:detectmouseclick="t"/>
              <v:path o:extrusionok="t" o:connecttype="none"/>
              <o:lock v:ext="edit" text="t"/>
            </v:shape>
            <v:rect id="_x0000_s42246" style="position:absolute;left:7510;top:10502;width:3491;height:1543;mso-wrap-style:none;v-text-anchor:middle" fillcolor="silver" stroked="f">
              <v:fill r:id="rId25" o:title="Diagonal weit nach oben" type="pattern"/>
            </v:rect>
            <v:rect id="_x0000_s42247" style="position:absolute;left:3931;top:8958;width:3579;height:1544;mso-wrap-style:none;v-text-anchor:middle" fillcolor="silver" stroked="f">
              <v:fill r:id="rId25" o:title="Diagonal weit nach oben" type="pattern"/>
            </v:rect>
            <v:line id="_x0000_s42248" style="position:absolute;mso-wrap-style:none;v-text-anchor:middle" from="1461,10502" to="10991,10503"/>
            <v:line id="_x0000_s42249" style="position:absolute;mso-wrap-style:none;v-text-anchor:middle" from="1461,8958" to="10991,8959"/>
            <v:line id="_x0000_s42250" style="position:absolute;mso-wrap-style:none;v-text-anchor:middle" from="1521,12038" to="11001,12045"/>
            <v:line id="_x0000_s42251" style="position:absolute;flip:y;mso-wrap-style:none;v-text-anchor:middle" from="3931,7826" to="3932,12045"/>
            <v:line id="_x0000_s42252" style="position:absolute;flip:y;mso-wrap-style:none;v-text-anchor:middle" from="11001,7826" to="11002,12045"/>
            <v:line id="_x0000_s42253" style="position:absolute;flip:y;mso-wrap-style:none;v-text-anchor:middle" from="7510,8186" to="7511,12045"/>
            <v:shapetype id="_x0000_t202" coordsize="21600,21600" o:spt="202" path="m,l,21600r21600,l21600,xe">
              <v:stroke joinstyle="miter"/>
              <v:path gradientshapeok="t" o:connecttype="rect"/>
            </v:shapetype>
            <v:shape id="_x0000_s42254" type="#_x0000_t202" style="position:absolute;left:1499;top:9228;width:2302;height:770" filled="f" fillcolor="silver" stroked="f">
              <v:textbox style="mso-next-textbox:#_x0000_s42254;mso-fit-shape-to-text:t">
                <w:txbxContent>
                  <w:p w:rsidR="00871C74" w:rsidRPr="008D5FB5" w:rsidRDefault="00871C74" w:rsidP="00871C74">
                    <w:pPr>
                      <w:jc w:val="left"/>
                      <w:rPr>
                        <w:bCs/>
                        <w:color w:val="000000"/>
                      </w:rPr>
                    </w:pPr>
                    <w:r w:rsidRPr="00671F66">
                      <w:rPr>
                        <w:b/>
                        <w:bCs/>
                        <w:color w:val="000000"/>
                      </w:rPr>
                      <w:t>Redevances</w:t>
                    </w:r>
                    <w:r w:rsidRPr="008D5FB5">
                      <w:rPr>
                        <w:bCs/>
                        <w:color w:val="000000"/>
                      </w:rPr>
                      <w:t xml:space="preserve"> – pleine couverture des coûts</w:t>
                    </w:r>
                  </w:p>
                </w:txbxContent>
              </v:textbox>
            </v:shape>
            <v:shape id="_x0000_s42255" type="#_x0000_t202" style="position:absolute;left:1461;top:10706;width:2385;height:821" filled="f" fillcolor="#bbe0e3" stroked="f">
              <v:textbox style="mso-next-textbox:#_x0000_s42255">
                <w:txbxContent>
                  <w:p w:rsidR="00871C74" w:rsidRPr="00573358" w:rsidRDefault="00871C74" w:rsidP="00871C74">
                    <w:pPr>
                      <w:jc w:val="left"/>
                      <w:rPr>
                        <w:bCs/>
                        <w:color w:val="000000"/>
                      </w:rPr>
                    </w:pPr>
                    <w:r w:rsidRPr="00573358">
                      <w:rPr>
                        <w:bCs/>
                        <w:color w:val="000000"/>
                      </w:rPr>
                      <w:t>Budget général de l’État</w:t>
                    </w:r>
                    <w:r>
                      <w:rPr>
                        <w:bCs/>
                        <w:color w:val="000000"/>
                      </w:rPr>
                      <w:t xml:space="preserve"> </w:t>
                    </w:r>
                    <w:r w:rsidRPr="00573358">
                      <w:rPr>
                        <w:bCs/>
                        <w:color w:val="000000"/>
                      </w:rPr>
                      <w:t>*</w:t>
                    </w:r>
                  </w:p>
                </w:txbxContent>
              </v:textbox>
            </v:shape>
            <v:line id="_x0000_s42256" style="position:absolute;mso-wrap-style:none;v-text-anchor:middle" from="3931,8185" to="11001,8186"/>
            <v:shape id="_x0000_s42257" type="#_x0000_t202" style="position:absolute;left:5781;top:7776;width:3954;height:408" filled="f" fillcolor="#bbe0e3" stroked="f">
              <v:textbox style="mso-next-textbox:#_x0000_s42257">
                <w:txbxContent>
                  <w:p w:rsidR="00871C74" w:rsidRPr="00C912C1" w:rsidRDefault="00871C74" w:rsidP="00871C74">
                    <w:pPr>
                      <w:spacing w:before="0"/>
                      <w:rPr>
                        <w:color w:val="000000"/>
                        <w:lang w:val="fr-CH"/>
                      </w:rPr>
                    </w:pPr>
                    <w:r w:rsidRPr="00C912C1">
                      <w:rPr>
                        <w:color w:val="000000"/>
                        <w:lang w:val="fr-CH"/>
                      </w:rPr>
                      <w:t>Nature du récipiendaire du “service”</w:t>
                    </w:r>
                  </w:p>
                </w:txbxContent>
              </v:textbox>
            </v:shape>
            <v:shape id="_x0000_s42258" type="#_x0000_t202" style="position:absolute;left:7476;top:8313;width:3505;height:823" filled="f" fillcolor="#bbe0e3" stroked="f">
              <v:textbox style="mso-next-textbox:#_x0000_s42258">
                <w:txbxContent>
                  <w:p w:rsidR="00871C74" w:rsidRPr="00190938" w:rsidRDefault="00871C74" w:rsidP="00871C74">
                    <w:pPr>
                      <w:spacing w:before="0"/>
                      <w:jc w:val="center"/>
                      <w:rPr>
                        <w:bCs/>
                        <w:color w:val="000000"/>
                        <w:lang w:val="fr-FR"/>
                      </w:rPr>
                    </w:pPr>
                    <w:r w:rsidRPr="00190938">
                      <w:rPr>
                        <w:bCs/>
                        <w:color w:val="000000"/>
                        <w:lang w:val="fr-FR"/>
                      </w:rPr>
                      <w:t>Parlement, gouvernement, autres entités de l’administration</w:t>
                    </w:r>
                  </w:p>
                </w:txbxContent>
              </v:textbox>
            </v:shape>
            <v:shape id="_x0000_s42259" type="#_x0000_t202" style="position:absolute;left:4506;top:8368;width:2535;height:598" filled="f" fillcolor="#bbe0e3" stroked="f">
              <v:textbox style="mso-next-textbox:#_x0000_s42259">
                <w:txbxContent>
                  <w:p w:rsidR="00871C74" w:rsidRPr="00573358" w:rsidRDefault="00871C74" w:rsidP="00871C74">
                    <w:pPr>
                      <w:spacing w:before="0"/>
                      <w:rPr>
                        <w:bCs/>
                        <w:color w:val="000000"/>
                      </w:rPr>
                    </w:pPr>
                    <w:r w:rsidRPr="00573358">
                      <w:rPr>
                        <w:bCs/>
                        <w:color w:val="000000"/>
                      </w:rPr>
                      <w:t>Partie tierce privée</w:t>
                    </w:r>
                  </w:p>
                </w:txbxContent>
              </v:textbox>
            </v:shap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42260" type="#_x0000_t172" style="position:absolute;left:4701;top:9266;width:2115;height:892" adj="7802" fillcolor="black">
              <v:shadow color="#868686"/>
              <v:textpath style="font-family:&quot;Verdana&quot;;font-size:12pt;v-text-kern:t" trim="t" fitpath="t" string="Précepte pour financer &#10;les &quot;services&quot;"/>
            </v:shape>
            <v:shape id="_x0000_s42261" type="#_x0000_t172" style="position:absolute;left:8166;top:10886;width:2115;height:892" adj="7802" fillcolor="black">
              <v:shadow color="#868686"/>
              <v:textpath style="font-family:&quot;Verdana&quot;;font-size:12pt;v-text-kern:t" trim="t" fitpath="t" string="Précepte pour financer &#10;les &quot;services&quot;"/>
            </v:shape>
            <v:shape id="_x0000_s42262" type="#_x0000_t202" style="position:absolute;left:7849;top:9086;width:2896;height:1080" filled="f" fillcolor="#bbe0e3" stroked="f">
              <v:textbox style="mso-next-textbox:#_x0000_s42262">
                <w:txbxContent>
                  <w:p w:rsidR="00871C74" w:rsidRPr="00190938" w:rsidRDefault="00871C74" w:rsidP="00871C74">
                    <w:pPr>
                      <w:spacing w:before="0"/>
                      <w:rPr>
                        <w:bCs/>
                        <w:color w:val="000000"/>
                        <w:lang w:val="fr-FR"/>
                      </w:rPr>
                    </w:pPr>
                    <w:r w:rsidRPr="00190938">
                      <w:rPr>
                        <w:bCs/>
                        <w:color w:val="000000"/>
                        <w:lang w:val="fr-FR"/>
                      </w:rPr>
                      <w:t>Lorsque le récipiendaire peut être considéré comme une partie tierce privée</w:t>
                    </w:r>
                  </w:p>
                </w:txbxContent>
              </v:textbox>
            </v:shape>
            <v:shape id="_x0000_s42263" type="#_x0000_t202" style="position:absolute;left:4016;top:10706;width:3408;height:899" filled="f" fillcolor="#bbe0e3" stroked="f">
              <v:textbox style="mso-next-textbox:#_x0000_s42263">
                <w:txbxContent>
                  <w:p w:rsidR="00871C74" w:rsidRPr="00190938" w:rsidRDefault="00871C74" w:rsidP="00871C74">
                    <w:pPr>
                      <w:jc w:val="center"/>
                      <w:rPr>
                        <w:bCs/>
                        <w:color w:val="000000"/>
                        <w:lang w:val="fr-FR"/>
                      </w:rPr>
                    </w:pPr>
                    <w:r w:rsidRPr="00190938">
                      <w:rPr>
                        <w:bCs/>
                        <w:color w:val="000000"/>
                        <w:lang w:val="fr-FR"/>
                      </w:rPr>
                      <w:t>Lorsque la loi prévoit qu’une facturation n’a pas lieu</w:t>
                    </w:r>
                  </w:p>
                </w:txbxContent>
              </v:textbox>
            </v:shape>
            <v:shape id="_x0000_s42264" type="#_x0000_t202" style="position:absolute;left:1812;top:12026;width:9360;height:814" filled="f" stroked="f">
              <v:textbox style="mso-next-textbox:#_x0000_s42264">
                <w:txbxContent>
                  <w:p w:rsidR="00871C74" w:rsidRPr="006012EE" w:rsidRDefault="00871C74" w:rsidP="00871C74">
                    <w:pPr>
                      <w:pStyle w:val="CEORevision2"/>
                      <w:tabs>
                        <w:tab w:val="left" w:pos="-5245"/>
                        <w:tab w:val="left" w:pos="284"/>
                      </w:tabs>
                      <w:ind w:left="284" w:hanging="284"/>
                      <w:rPr>
                        <w:lang w:val="fr-FR"/>
                      </w:rPr>
                    </w:pPr>
                    <w:r w:rsidRPr="006012EE">
                      <w:rPr>
                        <w:lang w:val="fr-FR"/>
                      </w:rPr>
                      <w:t>*</w:t>
                    </w:r>
                    <w:r w:rsidRPr="006012EE">
                      <w:rPr>
                        <w:lang w:val="fr-FR"/>
                      </w:rPr>
                      <w:tab/>
                      <w:t xml:space="preserve">En Suisse, la part requise du budget général est couverte d’un point de vue calculatoire par les revenus totaux provenant de la perception des </w:t>
                    </w:r>
                    <w:r w:rsidRPr="006012EE">
                      <w:rPr>
                        <w:b/>
                        <w:lang w:val="fr-FR"/>
                      </w:rPr>
                      <w:t>taxes d’utilisation du spectre</w:t>
                    </w:r>
                  </w:p>
                </w:txbxContent>
              </v:textbox>
            </v:shape>
            <w10:wrap type="none"/>
            <w10:anchorlock/>
          </v:group>
        </w:pict>
      </w:r>
    </w:p>
    <w:p w:rsidR="00871C74" w:rsidRDefault="00871C74" w:rsidP="00871C74">
      <w:pPr>
        <w:tabs>
          <w:tab w:val="clear" w:pos="794"/>
          <w:tab w:val="clear" w:pos="1191"/>
          <w:tab w:val="clear" w:pos="1588"/>
          <w:tab w:val="clear" w:pos="1985"/>
        </w:tabs>
        <w:overflowPunct/>
        <w:autoSpaceDE/>
        <w:autoSpaceDN/>
        <w:adjustRightInd/>
        <w:spacing w:before="0"/>
        <w:jc w:val="left"/>
        <w:textAlignment w:val="auto"/>
        <w:rPr>
          <w:lang w:val="fr-CH"/>
        </w:rPr>
      </w:pPr>
    </w:p>
    <w:p w:rsidR="00871C74" w:rsidRPr="00B97E80" w:rsidRDefault="00871C74" w:rsidP="00871C74">
      <w:pPr>
        <w:tabs>
          <w:tab w:val="clear" w:pos="794"/>
          <w:tab w:val="clear" w:pos="1191"/>
          <w:tab w:val="clear" w:pos="1588"/>
          <w:tab w:val="clear" w:pos="1985"/>
        </w:tabs>
        <w:overflowPunct/>
        <w:autoSpaceDE/>
        <w:autoSpaceDN/>
        <w:adjustRightInd/>
        <w:spacing w:before="0"/>
        <w:jc w:val="left"/>
        <w:textAlignment w:val="auto"/>
        <w:rPr>
          <w:lang w:val="fr-CH"/>
        </w:rPr>
      </w:pPr>
    </w:p>
    <w:p w:rsidR="00E56335" w:rsidRPr="00871C74" w:rsidRDefault="00E56335" w:rsidP="00E56335">
      <w:pPr>
        <w:tabs>
          <w:tab w:val="clear" w:pos="794"/>
          <w:tab w:val="clear" w:pos="1191"/>
          <w:tab w:val="clear" w:pos="1588"/>
          <w:tab w:val="clear" w:pos="1985"/>
        </w:tabs>
        <w:overflowPunct/>
        <w:autoSpaceDE/>
        <w:autoSpaceDN/>
        <w:adjustRightInd/>
        <w:spacing w:before="0"/>
        <w:jc w:val="left"/>
        <w:textAlignment w:val="auto"/>
        <w:rPr>
          <w:lang w:val="fr-CH"/>
        </w:rPr>
      </w:pPr>
    </w:p>
    <w:p w:rsidR="00871C74" w:rsidRPr="00871C74" w:rsidRDefault="00871C74" w:rsidP="00E56335">
      <w:pPr>
        <w:tabs>
          <w:tab w:val="clear" w:pos="794"/>
          <w:tab w:val="clear" w:pos="1191"/>
          <w:tab w:val="clear" w:pos="1588"/>
          <w:tab w:val="clear" w:pos="1985"/>
        </w:tabs>
        <w:overflowPunct/>
        <w:autoSpaceDE/>
        <w:autoSpaceDN/>
        <w:adjustRightInd/>
        <w:spacing w:before="0"/>
        <w:jc w:val="left"/>
        <w:textAlignment w:val="auto"/>
        <w:rPr>
          <w:lang w:val="fr-CH"/>
        </w:rPr>
      </w:pPr>
    </w:p>
    <w:p w:rsidR="00E56335" w:rsidRPr="00871C74" w:rsidRDefault="00E56335" w:rsidP="00E56335">
      <w:pPr>
        <w:tabs>
          <w:tab w:val="clear" w:pos="794"/>
          <w:tab w:val="clear" w:pos="1191"/>
          <w:tab w:val="clear" w:pos="1588"/>
          <w:tab w:val="clear" w:pos="1985"/>
        </w:tabs>
        <w:overflowPunct/>
        <w:autoSpaceDE/>
        <w:autoSpaceDN/>
        <w:adjustRightInd/>
        <w:spacing w:before="0"/>
        <w:jc w:val="left"/>
        <w:textAlignment w:val="auto"/>
        <w:rPr>
          <w:lang w:val="fr-CH"/>
        </w:rPr>
      </w:pPr>
      <w:r w:rsidRPr="00871C74">
        <w:rPr>
          <w:lang w:val="fr-CH"/>
        </w:rPr>
        <w:br w:type="page"/>
      </w:r>
    </w:p>
    <w:p w:rsidR="00E56335" w:rsidRPr="00BB3B03" w:rsidRDefault="00E56335" w:rsidP="00E56335">
      <w:pPr>
        <w:pStyle w:val="AppendixNotitle"/>
        <w:rPr>
          <w:b w:val="0"/>
          <w:bCs/>
        </w:rPr>
      </w:pPr>
      <w:bookmarkStart w:id="701" w:name="_Toc280260063"/>
      <w:bookmarkStart w:id="702" w:name="_Toc280260912"/>
      <w:bookmarkStart w:id="703" w:name="_Toc280272524"/>
      <w:bookmarkStart w:id="704" w:name="_Toc288643027"/>
      <w:r>
        <w:lastRenderedPageBreak/>
        <w:t>Appendix 3.1 (English)</w:t>
      </w:r>
      <w:r>
        <w:br/>
      </w:r>
      <w:r>
        <w:br/>
      </w:r>
      <w:r w:rsidRPr="00BB3B03">
        <w:rPr>
          <w:bCs/>
        </w:rPr>
        <w:t xml:space="preserve">Example of fee system for frequency utilization in </w:t>
      </w:r>
      <w:smartTag w:uri="urn:schemas-microsoft-com:office:smarttags" w:element="place">
        <w:smartTag w:uri="urn:schemas-microsoft-com:office:smarttags" w:element="country-region">
          <w:r w:rsidRPr="00BB3B03">
            <w:rPr>
              <w:bCs/>
            </w:rPr>
            <w:t>Côte d'Ivoire</w:t>
          </w:r>
        </w:smartTag>
      </w:smartTag>
      <w:bookmarkEnd w:id="701"/>
      <w:bookmarkEnd w:id="702"/>
      <w:bookmarkEnd w:id="703"/>
      <w:bookmarkEnd w:id="704"/>
    </w:p>
    <w:p w:rsidR="00E56335" w:rsidRDefault="00E56335" w:rsidP="00E56335"/>
    <w:p w:rsidR="00E56335" w:rsidRDefault="00E56335" w:rsidP="00E56335">
      <w:pPr>
        <w:pStyle w:val="Heading1"/>
      </w:pPr>
      <w:bookmarkStart w:id="705" w:name="_Toc280260064"/>
      <w:bookmarkStart w:id="706" w:name="_Toc280260913"/>
      <w:bookmarkStart w:id="707" w:name="_Toc280272525"/>
      <w:bookmarkStart w:id="708" w:name="_Toc288643028"/>
      <w:r>
        <w:t>I</w:t>
      </w:r>
      <w:r>
        <w:rPr>
          <w:i/>
          <w:iCs/>
        </w:rPr>
        <w:tab/>
      </w:r>
      <w:r>
        <w:t>INTRODUCTION</w:t>
      </w:r>
      <w:bookmarkEnd w:id="705"/>
      <w:bookmarkEnd w:id="706"/>
      <w:bookmarkEnd w:id="707"/>
      <w:bookmarkEnd w:id="708"/>
    </w:p>
    <w:p w:rsidR="00E56335" w:rsidRPr="007E2B73" w:rsidRDefault="00E56335" w:rsidP="00E56335">
      <w:pPr>
        <w:rPr>
          <w:lang w:val="en-US"/>
        </w:rPr>
      </w:pPr>
      <w:r w:rsidRPr="00BF3EA1">
        <w:rPr>
          <w:lang w:val="en-US"/>
        </w:rPr>
        <w:t xml:space="preserve">It is important for the administration to </w:t>
      </w:r>
      <w:r w:rsidRPr="007E2B73">
        <w:rPr>
          <w:lang w:val="en-US"/>
        </w:rPr>
        <w:t xml:space="preserve">identify how to ensure that it receives sufficient income to cover the costs of an effective spectrum management programme. The sound financing of spectrum management may prove decisive in the successful introduction of new spectrum-using services, and their harmful interference-free operation. </w:t>
      </w:r>
    </w:p>
    <w:p w:rsidR="00E56335" w:rsidRPr="007E2B73" w:rsidRDefault="00E56335" w:rsidP="00E56335">
      <w:pPr>
        <w:rPr>
          <w:lang w:val="en-US"/>
        </w:rPr>
      </w:pPr>
      <w:r w:rsidRPr="007E2B73">
        <w:rPr>
          <w:lang w:val="en-US"/>
        </w:rPr>
        <w:t>In addition, a properly financed national spectrum management programme offers opportunities to service providers and equipment manufacturers, thus greatly contributing to economic growth.</w:t>
      </w:r>
    </w:p>
    <w:p w:rsidR="00E56335" w:rsidRPr="007E2B73" w:rsidRDefault="00E56335" w:rsidP="00E56335">
      <w:pPr>
        <w:rPr>
          <w:lang w:val="en-US"/>
        </w:rPr>
      </w:pPr>
      <w:r w:rsidRPr="007E2B73">
        <w:rPr>
          <w:lang w:val="en-US"/>
        </w:rPr>
        <w:t>On the contrary, poor financing can mean the failure or delayed implementation of important radiocommunication services.</w:t>
      </w:r>
    </w:p>
    <w:p w:rsidR="00E56335" w:rsidRPr="007E2B73" w:rsidRDefault="00E56335" w:rsidP="00E56335">
      <w:pPr>
        <w:rPr>
          <w:lang w:val="en-US"/>
        </w:rPr>
      </w:pPr>
      <w:r w:rsidRPr="007E2B73">
        <w:rPr>
          <w:lang w:val="en-US"/>
        </w:rPr>
        <w:t>To provide for this financing, charges and fees for licences are charged to spectrum users. The amount charged depends on the extent of spectrum utilization and the economic advantage deriving therefrom.</w:t>
      </w:r>
    </w:p>
    <w:p w:rsidR="00E56335" w:rsidRDefault="00E56335" w:rsidP="00E56335">
      <w:pPr>
        <w:pStyle w:val="Heading1"/>
      </w:pPr>
      <w:bookmarkStart w:id="709" w:name="_Toc280260065"/>
      <w:bookmarkStart w:id="710" w:name="_Toc280260914"/>
      <w:bookmarkStart w:id="711" w:name="_Toc280272526"/>
      <w:bookmarkStart w:id="712" w:name="_Toc288643029"/>
      <w:r>
        <w:t>II</w:t>
      </w:r>
      <w:r>
        <w:tab/>
        <w:t>RADIO NETWORK INVOICING SYSTEM</w:t>
      </w:r>
      <w:bookmarkEnd w:id="709"/>
      <w:bookmarkEnd w:id="710"/>
      <w:bookmarkEnd w:id="711"/>
      <w:bookmarkEnd w:id="712"/>
    </w:p>
    <w:p w:rsidR="00E56335" w:rsidRPr="007E2B73" w:rsidRDefault="00E56335" w:rsidP="00E56335">
      <w:pPr>
        <w:rPr>
          <w:lang w:val="en-US"/>
        </w:rPr>
      </w:pPr>
      <w:r w:rsidRPr="007E2B73">
        <w:rPr>
          <w:lang w:val="en-US"/>
        </w:rPr>
        <w:t>Charging in Côte d'Ivoire is based on the following:</w:t>
      </w:r>
    </w:p>
    <w:p w:rsidR="00E56335" w:rsidRDefault="00E56335" w:rsidP="003F27E3">
      <w:pPr>
        <w:pStyle w:val="enumlev1"/>
        <w:spacing w:before="80"/>
      </w:pPr>
      <w:r>
        <w:t>a)</w:t>
      </w:r>
      <w:r>
        <w:tab/>
        <w:t>the radio frequency;</w:t>
      </w:r>
    </w:p>
    <w:p w:rsidR="00E56335" w:rsidRDefault="00E56335" w:rsidP="003F27E3">
      <w:pPr>
        <w:pStyle w:val="enumlev1"/>
        <w:spacing w:before="80"/>
      </w:pPr>
      <w:r>
        <w:t>b)</w:t>
      </w:r>
      <w:r>
        <w:tab/>
        <w:t>the amount of spectrum assigned, e.g. bandwidth;</w:t>
      </w:r>
    </w:p>
    <w:p w:rsidR="00E56335" w:rsidRDefault="00E56335" w:rsidP="003F27E3">
      <w:pPr>
        <w:pStyle w:val="enumlev1"/>
        <w:spacing w:before="80"/>
      </w:pPr>
      <w:r>
        <w:t>c)</w:t>
      </w:r>
      <w:r>
        <w:tab/>
        <w:t>the channels or links;</w:t>
      </w:r>
    </w:p>
    <w:p w:rsidR="00E56335" w:rsidRDefault="00E56335" w:rsidP="003F27E3">
      <w:pPr>
        <w:pStyle w:val="enumlev1"/>
        <w:spacing w:before="80"/>
      </w:pPr>
      <w:r>
        <w:t>d)</w:t>
      </w:r>
      <w:r>
        <w:tab/>
        <w:t>the load level of the channels (or links) (bit rate, capacity);</w:t>
      </w:r>
    </w:p>
    <w:p w:rsidR="00E56335" w:rsidRDefault="00E56335" w:rsidP="003F27E3">
      <w:pPr>
        <w:pStyle w:val="enumlev1"/>
        <w:spacing w:before="80"/>
      </w:pPr>
      <w:r>
        <w:t>e)</w:t>
      </w:r>
      <w:r>
        <w:tab/>
        <w:t>the spectrum efficiency of equipment used;</w:t>
      </w:r>
    </w:p>
    <w:p w:rsidR="00E56335" w:rsidRDefault="00E56335" w:rsidP="003F27E3">
      <w:pPr>
        <w:pStyle w:val="enumlev1"/>
        <w:spacing w:before="80"/>
      </w:pPr>
      <w:r>
        <w:t>f)</w:t>
      </w:r>
      <w:r>
        <w:tab/>
        <w:t>power and coverage area;</w:t>
      </w:r>
    </w:p>
    <w:p w:rsidR="00E56335" w:rsidRDefault="00E56335" w:rsidP="003F27E3">
      <w:pPr>
        <w:pStyle w:val="enumlev1"/>
        <w:spacing w:before="80"/>
      </w:pPr>
      <w:r>
        <w:t>g)</w:t>
      </w:r>
      <w:r>
        <w:tab/>
        <w:t>nature of frequency utilization (private or commercial);</w:t>
      </w:r>
    </w:p>
    <w:p w:rsidR="00E56335" w:rsidRDefault="00E56335" w:rsidP="003F27E3">
      <w:pPr>
        <w:pStyle w:val="enumlev1"/>
        <w:spacing w:before="80"/>
      </w:pPr>
      <w:r>
        <w:t>h)</w:t>
      </w:r>
      <w:r>
        <w:tab/>
        <w:t>geographical location.</w:t>
      </w:r>
    </w:p>
    <w:p w:rsidR="00E56335" w:rsidRPr="003309ED" w:rsidRDefault="00E56335" w:rsidP="00E56335">
      <w:pPr>
        <w:pStyle w:val="CEONormal"/>
        <w:rPr>
          <w:rFonts w:asciiTheme="majorBidi" w:hAnsiTheme="majorBidi" w:cstheme="majorBidi"/>
          <w:sz w:val="22"/>
          <w:szCs w:val="22"/>
          <w:lang w:val="en-US"/>
        </w:rPr>
      </w:pPr>
      <w:r w:rsidRPr="003309ED">
        <w:rPr>
          <w:rFonts w:asciiTheme="majorBidi" w:hAnsiTheme="majorBidi" w:cstheme="majorBidi"/>
          <w:sz w:val="22"/>
          <w:szCs w:val="22"/>
          <w:lang w:val="en-US"/>
        </w:rPr>
        <w:t>Given the complexity of the frequency assignment operations, fees are calculated for each type of licence.</w:t>
      </w:r>
    </w:p>
    <w:p w:rsidR="00E56335" w:rsidRPr="003309ED" w:rsidRDefault="00E56335" w:rsidP="00E56335">
      <w:pPr>
        <w:pStyle w:val="CEONormal"/>
        <w:rPr>
          <w:rFonts w:asciiTheme="majorBidi" w:hAnsiTheme="majorBidi" w:cstheme="majorBidi"/>
          <w:sz w:val="22"/>
          <w:szCs w:val="22"/>
          <w:lang w:val="en-US"/>
        </w:rPr>
      </w:pPr>
      <w:r w:rsidRPr="003309ED">
        <w:rPr>
          <w:rFonts w:asciiTheme="majorBidi" w:hAnsiTheme="majorBidi" w:cstheme="majorBidi"/>
          <w:sz w:val="22"/>
          <w:szCs w:val="22"/>
          <w:lang w:val="en-US"/>
        </w:rPr>
        <w:t>Côte d'Ivoire legislation (decree 97-173 of 19 March 1997) thus establishes five (05) items for invoicing the various different networks, as follows:</w:t>
      </w:r>
    </w:p>
    <w:p w:rsidR="00E56335" w:rsidRDefault="00E56335" w:rsidP="003F27E3">
      <w:pPr>
        <w:pStyle w:val="enumlev1"/>
        <w:spacing w:before="80"/>
      </w:pPr>
      <w:r>
        <w:t>–</w:t>
      </w:r>
      <w:r>
        <w:tab/>
        <w:t>file fee;</w:t>
      </w:r>
    </w:p>
    <w:p w:rsidR="00E56335" w:rsidRDefault="00E56335" w:rsidP="003F27E3">
      <w:pPr>
        <w:pStyle w:val="enumlev1"/>
        <w:spacing w:before="80"/>
      </w:pPr>
      <w:r>
        <w:t>–</w:t>
      </w:r>
      <w:r>
        <w:tab/>
        <w:t>radio station control fee;</w:t>
      </w:r>
    </w:p>
    <w:p w:rsidR="00E56335" w:rsidRPr="007E2B73" w:rsidRDefault="00E56335" w:rsidP="003F27E3">
      <w:pPr>
        <w:pStyle w:val="enumlev1"/>
        <w:spacing w:before="80"/>
        <w:rPr>
          <w:lang w:val="en-US"/>
        </w:rPr>
      </w:pPr>
      <w:r>
        <w:rPr>
          <w:lang w:val="en-US"/>
        </w:rPr>
        <w:t>–</w:t>
      </w:r>
      <w:r>
        <w:rPr>
          <w:lang w:val="en-US"/>
        </w:rPr>
        <w:tab/>
      </w:r>
      <w:r w:rsidRPr="007E2B73">
        <w:rPr>
          <w:lang w:val="en-US"/>
        </w:rPr>
        <w:t>contribution to offsetting management costs;</w:t>
      </w:r>
    </w:p>
    <w:p w:rsidR="00E56335" w:rsidRDefault="00E56335" w:rsidP="003F27E3">
      <w:pPr>
        <w:pStyle w:val="enumlev1"/>
        <w:spacing w:before="80"/>
      </w:pPr>
      <w:r>
        <w:t>–</w:t>
      </w:r>
      <w:r>
        <w:tab/>
        <w:t>radio frequency utilization fee;</w:t>
      </w:r>
    </w:p>
    <w:p w:rsidR="00E56335" w:rsidRDefault="00E56335" w:rsidP="003F27E3">
      <w:pPr>
        <w:pStyle w:val="enumlev1"/>
        <w:spacing w:before="80"/>
      </w:pPr>
      <w:r>
        <w:t>–</w:t>
      </w:r>
      <w:r>
        <w:tab/>
        <w:t>sticker fee.</w:t>
      </w:r>
    </w:p>
    <w:p w:rsidR="00E56335" w:rsidRPr="007E2B73" w:rsidRDefault="00E56335" w:rsidP="00E56335">
      <w:pPr>
        <w:rPr>
          <w:lang w:val="en-US"/>
        </w:rPr>
      </w:pPr>
      <w:r w:rsidRPr="007E2B73">
        <w:rPr>
          <w:lang w:val="en-US"/>
        </w:rPr>
        <w:t>All the amounts are established on a lump-sum basis.</w:t>
      </w:r>
    </w:p>
    <w:p w:rsidR="00E56335" w:rsidRPr="000D128F" w:rsidRDefault="00E56335" w:rsidP="00E56335">
      <w:pPr>
        <w:rPr>
          <w:b/>
          <w:bCs/>
        </w:rPr>
      </w:pPr>
      <w:r w:rsidRPr="000D128F">
        <w:rPr>
          <w:b/>
          <w:bCs/>
        </w:rPr>
        <w:t>File fee</w:t>
      </w:r>
    </w:p>
    <w:p w:rsidR="00E56335" w:rsidRPr="007E2B73" w:rsidRDefault="00E56335" w:rsidP="00E56335">
      <w:pPr>
        <w:rPr>
          <w:lang w:val="en-US"/>
        </w:rPr>
      </w:pPr>
      <w:r w:rsidRPr="007E2B73">
        <w:rPr>
          <w:lang w:val="en-US"/>
        </w:rPr>
        <w:t>The file fee covers the costs of studying and opening a file.</w:t>
      </w:r>
    </w:p>
    <w:p w:rsidR="00E56335" w:rsidRPr="007E2B73" w:rsidRDefault="00E56335" w:rsidP="00E56335">
      <w:pPr>
        <w:rPr>
          <w:lang w:val="en-US"/>
        </w:rPr>
      </w:pPr>
      <w:r w:rsidRPr="007E2B73">
        <w:rPr>
          <w:lang w:val="en-US"/>
        </w:rPr>
        <w:t>It is payable once only when files are submitted and is not refundable.</w:t>
      </w:r>
    </w:p>
    <w:p w:rsidR="00E56335" w:rsidRPr="000D128F" w:rsidRDefault="00E56335" w:rsidP="00E56335">
      <w:pPr>
        <w:rPr>
          <w:b/>
          <w:bCs/>
        </w:rPr>
      </w:pPr>
      <w:r w:rsidRPr="000D128F">
        <w:rPr>
          <w:b/>
          <w:bCs/>
        </w:rPr>
        <w:t>Control fee</w:t>
      </w:r>
    </w:p>
    <w:p w:rsidR="00E56335" w:rsidRPr="007E2B73" w:rsidRDefault="00E56335" w:rsidP="00E56335">
      <w:pPr>
        <w:rPr>
          <w:lang w:val="en-US"/>
        </w:rPr>
      </w:pPr>
      <w:r w:rsidRPr="007E2B73">
        <w:rPr>
          <w:lang w:val="en-US"/>
        </w:rPr>
        <w:t>The control fee represents the cost of controlling the operator's or licensees' equipment.</w:t>
      </w:r>
    </w:p>
    <w:p w:rsidR="00E56335" w:rsidRPr="007E2B73" w:rsidRDefault="00E56335" w:rsidP="00E56335">
      <w:pPr>
        <w:rPr>
          <w:lang w:val="en-US"/>
        </w:rPr>
      </w:pPr>
      <w:r w:rsidRPr="007E2B73">
        <w:rPr>
          <w:lang w:val="en-US"/>
        </w:rPr>
        <w:lastRenderedPageBreak/>
        <w:t>It takes account of transmitter power or station type (relay or terminal). It is payable for the entire year, regardless of the date of bringing into service of network.</w:t>
      </w:r>
    </w:p>
    <w:p w:rsidR="00E56335" w:rsidRPr="000D128F" w:rsidRDefault="00E56335" w:rsidP="00E56335">
      <w:pPr>
        <w:rPr>
          <w:b/>
          <w:bCs/>
        </w:rPr>
      </w:pPr>
      <w:r w:rsidRPr="000D128F">
        <w:rPr>
          <w:b/>
          <w:bCs/>
        </w:rPr>
        <w:t>Contribution to offsetting management costs</w:t>
      </w:r>
    </w:p>
    <w:p w:rsidR="00E56335" w:rsidRPr="007E2B73" w:rsidRDefault="00E56335" w:rsidP="00E56335">
      <w:pPr>
        <w:rPr>
          <w:lang w:val="en-US"/>
        </w:rPr>
      </w:pPr>
      <w:r w:rsidRPr="007E2B73">
        <w:rPr>
          <w:lang w:val="en-US"/>
        </w:rPr>
        <w:t>The contribution to offsetting management costs represents the fees related to management of the licence or network, for example in the case of settlement of disputes between operators or between operators and the public, and licence renewal.</w:t>
      </w:r>
    </w:p>
    <w:p w:rsidR="00E56335" w:rsidRPr="007E2B73" w:rsidRDefault="00E56335" w:rsidP="00E56335">
      <w:pPr>
        <w:rPr>
          <w:lang w:val="en-US"/>
        </w:rPr>
      </w:pPr>
      <w:r w:rsidRPr="007E2B73">
        <w:rPr>
          <w:lang w:val="en-US"/>
        </w:rPr>
        <w:t>It is payable for the entire year regardless of the date on which the network is established. It is not refundable, and is calculated based on network size and coverage area (local, regional or national).</w:t>
      </w:r>
    </w:p>
    <w:p w:rsidR="00E56335" w:rsidRPr="000D128F" w:rsidRDefault="00E56335" w:rsidP="00E56335">
      <w:pPr>
        <w:rPr>
          <w:b/>
          <w:bCs/>
        </w:rPr>
      </w:pPr>
      <w:r w:rsidRPr="000D128F">
        <w:rPr>
          <w:b/>
          <w:bCs/>
        </w:rPr>
        <w:t>Radio frequency utilization fee</w:t>
      </w:r>
    </w:p>
    <w:p w:rsidR="00E56335" w:rsidRPr="007E2B73" w:rsidRDefault="00E56335" w:rsidP="00E56335">
      <w:pPr>
        <w:rPr>
          <w:lang w:val="en-US"/>
        </w:rPr>
      </w:pPr>
      <w:r w:rsidRPr="007E2B73">
        <w:rPr>
          <w:lang w:val="en-US"/>
        </w:rPr>
        <w:t>This depends:</w:t>
      </w:r>
    </w:p>
    <w:p w:rsidR="00E56335" w:rsidRDefault="00E56335" w:rsidP="003F27E3">
      <w:pPr>
        <w:pStyle w:val="enumlev1"/>
        <w:spacing w:before="80"/>
      </w:pPr>
      <w:r>
        <w:t>–</w:t>
      </w:r>
      <w:r>
        <w:tab/>
      </w:r>
      <w:r w:rsidRPr="00CF1785">
        <w:t>on the number of links establishable in the network or the network size, as for example in the</w:t>
      </w:r>
      <w:r>
        <w:t xml:space="preserve"> case of conventional networks, or</w:t>
      </w:r>
    </w:p>
    <w:p w:rsidR="00E56335" w:rsidRDefault="00E56335" w:rsidP="003F27E3">
      <w:pPr>
        <w:pStyle w:val="enumlev1"/>
        <w:spacing w:before="80"/>
      </w:pPr>
      <w:r>
        <w:t>–</w:t>
      </w:r>
      <w:r>
        <w:tab/>
        <w:t>on the coverage area of the network, amount of spectrum allocated, number of channels, capacity or rate of the link, or</w:t>
      </w:r>
    </w:p>
    <w:p w:rsidR="00E56335" w:rsidRDefault="00E56335" w:rsidP="003F27E3">
      <w:pPr>
        <w:pStyle w:val="enumlev1"/>
        <w:spacing w:before="80"/>
      </w:pPr>
      <w:r>
        <w:t>–</w:t>
      </w:r>
      <w:r>
        <w:tab/>
        <w:t>on tonnage in the case of fishing vessels.</w:t>
      </w:r>
    </w:p>
    <w:p w:rsidR="00E56335" w:rsidRPr="00474C02" w:rsidRDefault="00E56335" w:rsidP="00E56335">
      <w:pPr>
        <w:rPr>
          <w:b/>
          <w:bCs/>
        </w:rPr>
      </w:pPr>
      <w:r w:rsidRPr="00474C02">
        <w:rPr>
          <w:b/>
          <w:bCs/>
        </w:rPr>
        <w:t>Radio sticker</w:t>
      </w:r>
    </w:p>
    <w:p w:rsidR="00E56335" w:rsidRPr="007E2B73" w:rsidRDefault="00E56335" w:rsidP="00E56335">
      <w:pPr>
        <w:rPr>
          <w:lang w:val="en-US"/>
        </w:rPr>
      </w:pPr>
      <w:r w:rsidRPr="007E2B73">
        <w:rPr>
          <w:lang w:val="en-US"/>
        </w:rPr>
        <w:t>The sticker is a label affixed to radio equipment to identify stations authorized following controls.</w:t>
      </w:r>
    </w:p>
    <w:p w:rsidR="00E56335" w:rsidRPr="007E2B73" w:rsidRDefault="00E56335" w:rsidP="00E56335">
      <w:pPr>
        <w:rPr>
          <w:lang w:val="en-US"/>
        </w:rPr>
      </w:pPr>
      <w:r w:rsidRPr="007E2B73">
        <w:rPr>
          <w:lang w:val="en-US"/>
        </w:rPr>
        <w:t>The cost of the sticker depends on the type of station (fixed, mobile, transportable).</w:t>
      </w:r>
    </w:p>
    <w:p w:rsidR="00E56335" w:rsidRDefault="00E56335" w:rsidP="00E56335">
      <w:pPr>
        <w:pStyle w:val="Heading1"/>
      </w:pPr>
      <w:bookmarkStart w:id="713" w:name="_Toc280260066"/>
      <w:bookmarkStart w:id="714" w:name="_Toc280260915"/>
      <w:bookmarkStart w:id="715" w:name="_Toc280272527"/>
      <w:bookmarkStart w:id="716" w:name="_Toc288643030"/>
      <w:r>
        <w:t>III</w:t>
      </w:r>
      <w:r>
        <w:tab/>
        <w:t>OTHER RADIO TAXES</w:t>
      </w:r>
      <w:bookmarkEnd w:id="713"/>
      <w:bookmarkEnd w:id="714"/>
      <w:bookmarkEnd w:id="715"/>
      <w:bookmarkEnd w:id="716"/>
    </w:p>
    <w:p w:rsidR="00E56335" w:rsidRPr="007E2B73" w:rsidRDefault="00E56335" w:rsidP="00E56335">
      <w:pPr>
        <w:rPr>
          <w:lang w:val="en-US"/>
        </w:rPr>
      </w:pPr>
      <w:r w:rsidRPr="007E2B73">
        <w:rPr>
          <w:lang w:val="en-US"/>
        </w:rPr>
        <w:t>Over and above the radio fees charged every two months, the following charges are also levied:</w:t>
      </w:r>
    </w:p>
    <w:p w:rsidR="00E56335" w:rsidRPr="00D57F66" w:rsidRDefault="00E56335" w:rsidP="00E56335">
      <w:pPr>
        <w:rPr>
          <w:b/>
          <w:bCs/>
        </w:rPr>
      </w:pPr>
      <w:r w:rsidRPr="00D57F66">
        <w:rPr>
          <w:b/>
          <w:bCs/>
        </w:rPr>
        <w:t>Type approval or authorization fees</w:t>
      </w:r>
    </w:p>
    <w:p w:rsidR="00E56335" w:rsidRPr="007E2B73" w:rsidRDefault="00E56335" w:rsidP="00E56335">
      <w:pPr>
        <w:rPr>
          <w:lang w:val="en-US"/>
        </w:rPr>
      </w:pPr>
      <w:r w:rsidRPr="007E2B73">
        <w:rPr>
          <w:lang w:val="en-US"/>
        </w:rPr>
        <w:t>This is a fee charged when radio equipment is tested for conformity. Authorizations issued to radio equipment installers constitute proof of their competence to install radio equipment.</w:t>
      </w:r>
    </w:p>
    <w:p w:rsidR="00E56335" w:rsidRPr="007E2B73" w:rsidRDefault="00E56335" w:rsidP="00E56335">
      <w:pPr>
        <w:rPr>
          <w:lang w:val="en-US"/>
        </w:rPr>
      </w:pPr>
      <w:r w:rsidRPr="007E2B73">
        <w:rPr>
          <w:lang w:val="en-US"/>
        </w:rPr>
        <w:t>Terminal equipment authorization and the approval of radio equipment installers give rise to payment of the following lump-sum, non-refundable fees:</w:t>
      </w:r>
    </w:p>
    <w:p w:rsidR="00E56335" w:rsidRDefault="00E56335" w:rsidP="00E56335">
      <w:pPr>
        <w:pStyle w:val="enumlev1"/>
      </w:pPr>
      <w:r>
        <w:t>1)</w:t>
      </w:r>
      <w:r>
        <w:tab/>
        <w:t>For equipment: a file fee and technical control fee per item of equipment.</w:t>
      </w:r>
    </w:p>
    <w:p w:rsidR="00E56335" w:rsidRDefault="00E56335" w:rsidP="00E56335">
      <w:pPr>
        <w:pStyle w:val="enumlev1"/>
      </w:pPr>
      <w:r>
        <w:t>2)</w:t>
      </w:r>
      <w:r>
        <w:tab/>
        <w:t>For installers: a file fee and authorization fee are charged when the authorization is delivered or renewed</w:t>
      </w:r>
    </w:p>
    <w:p w:rsidR="00E56335" w:rsidRPr="00D57F66" w:rsidRDefault="00E56335" w:rsidP="00E56335">
      <w:pPr>
        <w:rPr>
          <w:b/>
          <w:bCs/>
        </w:rPr>
      </w:pPr>
      <w:r w:rsidRPr="00D57F66">
        <w:rPr>
          <w:b/>
          <w:bCs/>
        </w:rPr>
        <w:t>Fee for handling complaints of interference</w:t>
      </w:r>
    </w:p>
    <w:p w:rsidR="00E56335" w:rsidRPr="007E2B73" w:rsidRDefault="00E56335" w:rsidP="00E56335">
      <w:pPr>
        <w:rPr>
          <w:lang w:val="en-US"/>
        </w:rPr>
      </w:pPr>
      <w:r w:rsidRPr="007E2B73">
        <w:rPr>
          <w:lang w:val="en-US"/>
        </w:rPr>
        <w:t>This fee is charged to and paid by the licensees or concession holders at fault, and covers administrative costs or costs related to the interventions effected by the Agency's staff.</w:t>
      </w:r>
    </w:p>
    <w:p w:rsidR="00E56335" w:rsidRPr="00D57F66" w:rsidRDefault="00E56335" w:rsidP="00E56335">
      <w:pPr>
        <w:rPr>
          <w:b/>
          <w:bCs/>
        </w:rPr>
      </w:pPr>
      <w:r w:rsidRPr="00D57F66">
        <w:rPr>
          <w:b/>
          <w:bCs/>
        </w:rPr>
        <w:t>Examination fees</w:t>
      </w:r>
    </w:p>
    <w:p w:rsidR="00E56335" w:rsidRPr="007E2B73" w:rsidRDefault="00E56335" w:rsidP="00E56335">
      <w:pPr>
        <w:rPr>
          <w:lang w:val="en-US"/>
        </w:rPr>
      </w:pPr>
      <w:r w:rsidRPr="007E2B73">
        <w:rPr>
          <w:lang w:val="en-US"/>
        </w:rPr>
        <w:t>For the delivery of a radiotelegraph operator's certificate, radiotelephone operator's certificate or dual operator's certificate, examination fees are charged before the tests commence. Fees for the same amount are payable for the delivery of the certificate(s) to military operators.</w:t>
      </w:r>
    </w:p>
    <w:p w:rsidR="00E56335" w:rsidRPr="007E2B73" w:rsidRDefault="00E56335" w:rsidP="00E56335">
      <w:pPr>
        <w:rPr>
          <w:lang w:val="en-US"/>
        </w:rPr>
      </w:pPr>
      <w:r w:rsidRPr="007E2B73">
        <w:rPr>
          <w:lang w:val="en-US"/>
        </w:rPr>
        <w:t xml:space="preserve">For the delivery, renewal or issue of a duplicate of an amateur, aircraft or ship station licence, and that of an operator's certificate, a lump-sum, non-refundable fee is charged. </w:t>
      </w:r>
    </w:p>
    <w:p w:rsidR="00E56335" w:rsidRPr="00D57F66" w:rsidRDefault="00E56335" w:rsidP="00E56335">
      <w:pPr>
        <w:rPr>
          <w:b/>
          <w:bCs/>
        </w:rPr>
      </w:pPr>
      <w:r w:rsidRPr="00D57F66">
        <w:rPr>
          <w:b/>
          <w:bCs/>
        </w:rPr>
        <w:t>Intervention fees</w:t>
      </w:r>
    </w:p>
    <w:p w:rsidR="00E56335" w:rsidRPr="007E2B73" w:rsidRDefault="00E56335" w:rsidP="00E56335">
      <w:pPr>
        <w:rPr>
          <w:lang w:val="en-US"/>
        </w:rPr>
      </w:pPr>
      <w:r w:rsidRPr="007E2B73">
        <w:rPr>
          <w:lang w:val="en-US"/>
        </w:rPr>
        <w:t>Exceptional fees incurred for the investigating interference caused to a regularly used radio frequency or due to the non-conformity of installations give rise to the payment of a lump-sum fee per intervention. This fee is payable by the owner of the station causing interference or of the non-complying installations.</w:t>
      </w:r>
    </w:p>
    <w:p w:rsidR="00E56335" w:rsidRDefault="00E56335" w:rsidP="00E56335">
      <w:pPr>
        <w:tabs>
          <w:tab w:val="clear" w:pos="794"/>
          <w:tab w:val="clear" w:pos="1191"/>
          <w:tab w:val="clear" w:pos="1588"/>
          <w:tab w:val="clear" w:pos="1985"/>
        </w:tabs>
        <w:overflowPunct/>
        <w:autoSpaceDE/>
        <w:autoSpaceDN/>
        <w:adjustRightInd/>
        <w:spacing w:before="0"/>
        <w:jc w:val="left"/>
        <w:textAlignment w:val="auto"/>
      </w:pPr>
      <w:r>
        <w:br w:type="page"/>
      </w:r>
    </w:p>
    <w:p w:rsidR="00E56335" w:rsidRPr="00871C74" w:rsidRDefault="00E56335" w:rsidP="00E56335">
      <w:pPr>
        <w:pStyle w:val="AppendixNotitle"/>
        <w:rPr>
          <w:lang w:val="fr-CH"/>
        </w:rPr>
      </w:pPr>
      <w:bookmarkStart w:id="717" w:name="_Toc280260916"/>
      <w:bookmarkStart w:id="718" w:name="_Toc280272528"/>
      <w:bookmarkStart w:id="719" w:name="_Toc288643031"/>
      <w:r w:rsidRPr="00871C74">
        <w:rPr>
          <w:lang w:val="fr-CH"/>
        </w:rPr>
        <w:lastRenderedPageBreak/>
        <w:t>Appendice 3.1 (Français)</w:t>
      </w:r>
      <w:r w:rsidRPr="00871C74">
        <w:rPr>
          <w:lang w:val="fr-CH"/>
        </w:rPr>
        <w:br/>
      </w:r>
      <w:r w:rsidRPr="00871C74">
        <w:rPr>
          <w:lang w:val="fr-CH"/>
        </w:rPr>
        <w:br/>
        <w:t>Exemple de système de redevances liées à l'utilisation</w:t>
      </w:r>
      <w:r w:rsidRPr="00871C74">
        <w:rPr>
          <w:lang w:val="fr-CH"/>
        </w:rPr>
        <w:br/>
        <w:t>des fréquences en Côte d'Ivoire</w:t>
      </w:r>
      <w:bookmarkEnd w:id="717"/>
      <w:bookmarkEnd w:id="718"/>
      <w:bookmarkEnd w:id="719"/>
    </w:p>
    <w:p w:rsidR="00E56335" w:rsidRPr="009A06C3" w:rsidRDefault="00E56335" w:rsidP="00E56335">
      <w:pPr>
        <w:pStyle w:val="Heading1"/>
        <w:rPr>
          <w:lang w:val="fr-FR"/>
        </w:rPr>
      </w:pPr>
      <w:bookmarkStart w:id="720" w:name="_Toc280260917"/>
      <w:bookmarkStart w:id="721" w:name="_Toc280272529"/>
      <w:bookmarkStart w:id="722" w:name="_Toc288643032"/>
      <w:r w:rsidRPr="009A06C3">
        <w:rPr>
          <w:lang w:val="fr-FR"/>
        </w:rPr>
        <w:t>I</w:t>
      </w:r>
      <w:r w:rsidRPr="009A06C3">
        <w:rPr>
          <w:lang w:val="fr-FR"/>
        </w:rPr>
        <w:tab/>
        <w:t>INTRODUCTION</w:t>
      </w:r>
      <w:bookmarkEnd w:id="720"/>
      <w:bookmarkEnd w:id="721"/>
      <w:bookmarkEnd w:id="722"/>
    </w:p>
    <w:p w:rsidR="00E56335" w:rsidRPr="00871C74" w:rsidRDefault="00E56335" w:rsidP="00E56335">
      <w:pPr>
        <w:rPr>
          <w:lang w:val="fr-CH"/>
        </w:rPr>
      </w:pPr>
      <w:r w:rsidRPr="00871C74">
        <w:rPr>
          <w:lang w:val="fr-CH"/>
        </w:rPr>
        <w:t>Il importe que l’administration trouve le moyen de garantir l’obtention de recettes suffisantes pour couvrir les coûts d’un programme effectif de gestion du spectre. Un financement judicieux de la gestion du spectre peut s’avérer décisif pour le succès de la mise en œuvre de nouveaux services utilisateurs du spectre, comme pour leur exploitation en l’absence d’un niveau de brouillage préjudiciable.</w:t>
      </w:r>
    </w:p>
    <w:p w:rsidR="00E56335" w:rsidRPr="00871C74" w:rsidRDefault="00E56335" w:rsidP="00E56335">
      <w:pPr>
        <w:rPr>
          <w:lang w:val="fr-CH"/>
        </w:rPr>
      </w:pPr>
      <w:r w:rsidRPr="00871C74">
        <w:rPr>
          <w:lang w:val="fr-CH"/>
        </w:rPr>
        <w:t>De plus, un programme de gestion nationale du spectre correctement financé, offre des possibilités aux fournisseurs de services et aux constructeurs d’équipements, contribuant ainsi largement à la croissance de l’économie.</w:t>
      </w:r>
    </w:p>
    <w:p w:rsidR="00E56335" w:rsidRPr="00871C74" w:rsidRDefault="00E56335" w:rsidP="00E56335">
      <w:pPr>
        <w:rPr>
          <w:lang w:val="fr-CH"/>
        </w:rPr>
      </w:pPr>
      <w:r w:rsidRPr="00871C74">
        <w:rPr>
          <w:lang w:val="fr-CH"/>
        </w:rPr>
        <w:t>En revanche, un financement inadéquat risque de faire échouer ou de retarder la mise en œuvre de précieux services de radiocommunications.</w:t>
      </w:r>
    </w:p>
    <w:p w:rsidR="00E56335" w:rsidRPr="00871C74" w:rsidRDefault="00E56335" w:rsidP="00E56335">
      <w:pPr>
        <w:rPr>
          <w:lang w:val="fr-CH"/>
        </w:rPr>
      </w:pPr>
      <w:r w:rsidRPr="00871C74">
        <w:rPr>
          <w:lang w:val="fr-CH"/>
        </w:rPr>
        <w:t>Pour faire face à ce financement, des taxes et des redevances au titre des licences sont prélevées auprès des utilisateurs du spectre. Elles sont fonction du degré d’utilisation du spectre et de l’avantage économique retiré de cette utilisation.</w:t>
      </w:r>
    </w:p>
    <w:p w:rsidR="00E56335" w:rsidRPr="009A06C3" w:rsidRDefault="00E56335" w:rsidP="00E56335">
      <w:pPr>
        <w:pStyle w:val="Heading1"/>
        <w:rPr>
          <w:lang w:val="fr-FR"/>
        </w:rPr>
      </w:pPr>
      <w:bookmarkStart w:id="723" w:name="_Toc280260918"/>
      <w:bookmarkStart w:id="724" w:name="_Toc280272530"/>
      <w:bookmarkStart w:id="725" w:name="_Toc288643033"/>
      <w:r w:rsidRPr="009A06C3">
        <w:rPr>
          <w:lang w:val="fr-FR"/>
        </w:rPr>
        <w:t>II</w:t>
      </w:r>
      <w:r w:rsidRPr="009A06C3">
        <w:rPr>
          <w:lang w:val="fr-FR"/>
        </w:rPr>
        <w:tab/>
        <w:t>SYSTEME DE FACTURATION DES RESEAUX RADIOELCTRIQUES</w:t>
      </w:r>
      <w:bookmarkEnd w:id="723"/>
      <w:bookmarkEnd w:id="724"/>
      <w:bookmarkEnd w:id="725"/>
    </w:p>
    <w:p w:rsidR="00E56335" w:rsidRPr="00871C74" w:rsidRDefault="00E56335" w:rsidP="00E56335">
      <w:pPr>
        <w:rPr>
          <w:lang w:val="fr-CH"/>
        </w:rPr>
      </w:pPr>
      <w:r w:rsidRPr="00871C74">
        <w:rPr>
          <w:lang w:val="fr-CH"/>
        </w:rPr>
        <w:t>La taxation en Côte d’Ivoire est fonction des éléments suivants:</w:t>
      </w:r>
    </w:p>
    <w:p w:rsidR="00E56335" w:rsidRPr="00871C74" w:rsidRDefault="00E56335" w:rsidP="003F27E3">
      <w:pPr>
        <w:pStyle w:val="enumlev1"/>
        <w:spacing w:before="80"/>
        <w:rPr>
          <w:lang w:val="fr-CH"/>
        </w:rPr>
      </w:pPr>
      <w:r w:rsidRPr="00871C74">
        <w:rPr>
          <w:lang w:val="fr-CH"/>
        </w:rPr>
        <w:t>a)</w:t>
      </w:r>
      <w:r w:rsidRPr="00871C74">
        <w:rPr>
          <w:lang w:val="fr-CH"/>
        </w:rPr>
        <w:tab/>
        <w:t>la fréquence radioélectrique;</w:t>
      </w:r>
    </w:p>
    <w:p w:rsidR="00E56335" w:rsidRPr="00CF0AE3" w:rsidRDefault="00E56335" w:rsidP="003F27E3">
      <w:pPr>
        <w:pStyle w:val="enumlev1"/>
        <w:spacing w:before="80"/>
        <w:rPr>
          <w:lang w:val="fr-FR"/>
        </w:rPr>
      </w:pPr>
      <w:r>
        <w:rPr>
          <w:lang w:val="fr-FR"/>
        </w:rPr>
        <w:t>b)</w:t>
      </w:r>
      <w:r>
        <w:rPr>
          <w:lang w:val="fr-FR"/>
        </w:rPr>
        <w:tab/>
      </w:r>
      <w:r w:rsidRPr="00CF0AE3">
        <w:rPr>
          <w:lang w:val="fr-FR"/>
        </w:rPr>
        <w:t>la quantité du spectre assignée, par exemple la largeur de bande;</w:t>
      </w:r>
    </w:p>
    <w:p w:rsidR="00E56335" w:rsidRPr="00CF0AE3" w:rsidRDefault="00E56335" w:rsidP="003F27E3">
      <w:pPr>
        <w:pStyle w:val="enumlev1"/>
        <w:spacing w:before="80"/>
        <w:rPr>
          <w:lang w:val="fr-FR"/>
        </w:rPr>
      </w:pPr>
      <w:r>
        <w:rPr>
          <w:lang w:val="fr-FR"/>
        </w:rPr>
        <w:t>c)</w:t>
      </w:r>
      <w:r>
        <w:rPr>
          <w:lang w:val="fr-FR"/>
        </w:rPr>
        <w:tab/>
      </w:r>
      <w:r w:rsidRPr="00CF0AE3">
        <w:rPr>
          <w:lang w:val="fr-FR"/>
        </w:rPr>
        <w:t>les canaux ou les liaisons;</w:t>
      </w:r>
    </w:p>
    <w:p w:rsidR="00E56335" w:rsidRPr="00CF0AE3" w:rsidRDefault="00E56335" w:rsidP="003F27E3">
      <w:pPr>
        <w:pStyle w:val="enumlev1"/>
        <w:spacing w:before="80"/>
        <w:rPr>
          <w:lang w:val="fr-FR"/>
        </w:rPr>
      </w:pPr>
      <w:r>
        <w:rPr>
          <w:lang w:val="fr-FR"/>
        </w:rPr>
        <w:t>d)</w:t>
      </w:r>
      <w:r>
        <w:rPr>
          <w:lang w:val="fr-FR"/>
        </w:rPr>
        <w:tab/>
      </w:r>
      <w:r w:rsidRPr="00CF0AE3">
        <w:rPr>
          <w:lang w:val="fr-FR"/>
        </w:rPr>
        <w:t>le niveau de charge des canaux (ou des liaisons), (débit binaire, capacité);</w:t>
      </w:r>
    </w:p>
    <w:p w:rsidR="00E56335" w:rsidRPr="00CF0AE3" w:rsidRDefault="00E56335" w:rsidP="003F27E3">
      <w:pPr>
        <w:pStyle w:val="enumlev1"/>
        <w:spacing w:before="80"/>
        <w:rPr>
          <w:lang w:val="fr-FR"/>
        </w:rPr>
      </w:pPr>
      <w:r>
        <w:rPr>
          <w:lang w:val="fr-FR"/>
        </w:rPr>
        <w:t>e)</w:t>
      </w:r>
      <w:r>
        <w:rPr>
          <w:lang w:val="fr-FR"/>
        </w:rPr>
        <w:tab/>
      </w:r>
      <w:r w:rsidRPr="00CF0AE3">
        <w:rPr>
          <w:lang w:val="fr-FR"/>
        </w:rPr>
        <w:t>l’efficacité spectrale des équipements utilisés;</w:t>
      </w:r>
    </w:p>
    <w:p w:rsidR="00E56335" w:rsidRPr="00CF0AE3" w:rsidRDefault="00E56335" w:rsidP="003F27E3">
      <w:pPr>
        <w:pStyle w:val="enumlev1"/>
        <w:spacing w:before="80"/>
        <w:rPr>
          <w:lang w:val="fr-FR"/>
        </w:rPr>
      </w:pPr>
      <w:r>
        <w:rPr>
          <w:lang w:val="fr-FR"/>
        </w:rPr>
        <w:t>f)</w:t>
      </w:r>
      <w:r>
        <w:rPr>
          <w:lang w:val="fr-FR"/>
        </w:rPr>
        <w:tab/>
      </w:r>
      <w:r w:rsidRPr="00CF0AE3">
        <w:rPr>
          <w:lang w:val="fr-FR"/>
        </w:rPr>
        <w:t>la puissance et la zone de couverture;</w:t>
      </w:r>
    </w:p>
    <w:p w:rsidR="00E56335" w:rsidRPr="00CF0AE3" w:rsidRDefault="00E56335" w:rsidP="003F27E3">
      <w:pPr>
        <w:pStyle w:val="enumlev1"/>
        <w:spacing w:before="80"/>
        <w:rPr>
          <w:lang w:val="fr-FR"/>
        </w:rPr>
      </w:pPr>
      <w:r>
        <w:rPr>
          <w:lang w:val="fr-FR"/>
        </w:rPr>
        <w:t>g)</w:t>
      </w:r>
      <w:r>
        <w:rPr>
          <w:lang w:val="fr-FR"/>
        </w:rPr>
        <w:tab/>
      </w:r>
      <w:r w:rsidRPr="00CF0AE3">
        <w:rPr>
          <w:lang w:val="fr-FR"/>
        </w:rPr>
        <w:t>la nature de l’utilisation des fréquences (usage privé ou à des fins commerciales);</w:t>
      </w:r>
    </w:p>
    <w:p w:rsidR="00E56335" w:rsidRPr="00871C74" w:rsidRDefault="00E56335" w:rsidP="003F27E3">
      <w:pPr>
        <w:pStyle w:val="enumlev1"/>
        <w:spacing w:before="80"/>
        <w:rPr>
          <w:lang w:val="fr-CH"/>
        </w:rPr>
      </w:pPr>
      <w:r w:rsidRPr="00871C74">
        <w:rPr>
          <w:lang w:val="fr-CH"/>
        </w:rPr>
        <w:t>h)</w:t>
      </w:r>
      <w:r w:rsidRPr="00871C74">
        <w:rPr>
          <w:lang w:val="fr-CH"/>
        </w:rPr>
        <w:tab/>
        <w:t>l’emplacement géographique.</w:t>
      </w:r>
    </w:p>
    <w:p w:rsidR="00E56335" w:rsidRPr="00871C74" w:rsidRDefault="00E56335" w:rsidP="00E56335">
      <w:pPr>
        <w:rPr>
          <w:lang w:val="fr-CH"/>
        </w:rPr>
      </w:pPr>
      <w:r w:rsidRPr="00871C74">
        <w:rPr>
          <w:lang w:val="fr-CH"/>
        </w:rPr>
        <w:t>Pour tenir compte de la complexité des opérations d’assignation des fréquences, les redevances sont calculées pour chaque type de licences.</w:t>
      </w:r>
    </w:p>
    <w:p w:rsidR="00E56335" w:rsidRPr="00871C74" w:rsidRDefault="00E56335" w:rsidP="00E56335">
      <w:pPr>
        <w:rPr>
          <w:lang w:val="fr-CH"/>
        </w:rPr>
      </w:pPr>
      <w:r w:rsidRPr="00871C74">
        <w:rPr>
          <w:lang w:val="fr-CH"/>
        </w:rPr>
        <w:t>Ainsi, la réglementation en Côte d’Ivoire (ordonnance 97-173 du 19 mars 1997) prévoit cinq (05) rubriques de facturation des différents réseaux radioélectriques qui sont:</w:t>
      </w:r>
    </w:p>
    <w:p w:rsidR="00E56335" w:rsidRPr="00871C74" w:rsidRDefault="00E56335" w:rsidP="003F27E3">
      <w:pPr>
        <w:pStyle w:val="enumlev1"/>
        <w:spacing w:before="80"/>
        <w:rPr>
          <w:lang w:val="fr-CH"/>
        </w:rPr>
      </w:pPr>
      <w:r w:rsidRPr="00871C74">
        <w:rPr>
          <w:lang w:val="fr-CH"/>
        </w:rPr>
        <w:t>–</w:t>
      </w:r>
      <w:r w:rsidRPr="00871C74">
        <w:rPr>
          <w:lang w:val="fr-CH"/>
        </w:rPr>
        <w:tab/>
        <w:t>la taxe de constitution de dossier;</w:t>
      </w:r>
    </w:p>
    <w:p w:rsidR="00E56335" w:rsidRPr="00871C74" w:rsidRDefault="00E56335" w:rsidP="003F27E3">
      <w:pPr>
        <w:pStyle w:val="enumlev1"/>
        <w:spacing w:before="80"/>
        <w:rPr>
          <w:lang w:val="fr-CH"/>
        </w:rPr>
      </w:pPr>
      <w:r w:rsidRPr="00871C74">
        <w:rPr>
          <w:lang w:val="fr-CH"/>
        </w:rPr>
        <w:t>–</w:t>
      </w:r>
      <w:r w:rsidRPr="00871C74">
        <w:rPr>
          <w:lang w:val="fr-CH"/>
        </w:rPr>
        <w:tab/>
        <w:t>la taxe de contrôle des stations radioélectriques;</w:t>
      </w:r>
    </w:p>
    <w:p w:rsidR="00E56335" w:rsidRPr="00871C74" w:rsidRDefault="00E56335" w:rsidP="003F27E3">
      <w:pPr>
        <w:pStyle w:val="enumlev1"/>
        <w:spacing w:before="80"/>
        <w:rPr>
          <w:lang w:val="fr-CH"/>
        </w:rPr>
      </w:pPr>
      <w:r w:rsidRPr="00871C74">
        <w:rPr>
          <w:lang w:val="fr-CH"/>
        </w:rPr>
        <w:t>–</w:t>
      </w:r>
      <w:r w:rsidRPr="00871C74">
        <w:rPr>
          <w:lang w:val="fr-CH"/>
        </w:rPr>
        <w:tab/>
        <w:t>la contribution pour frais de gestion;</w:t>
      </w:r>
    </w:p>
    <w:p w:rsidR="00E56335" w:rsidRPr="00871C74" w:rsidRDefault="00E56335" w:rsidP="003F27E3">
      <w:pPr>
        <w:pStyle w:val="enumlev1"/>
        <w:spacing w:before="80"/>
        <w:rPr>
          <w:lang w:val="fr-CH"/>
        </w:rPr>
      </w:pPr>
      <w:r w:rsidRPr="00871C74">
        <w:rPr>
          <w:lang w:val="fr-CH"/>
        </w:rPr>
        <w:t>–</w:t>
      </w:r>
      <w:r w:rsidRPr="00871C74">
        <w:rPr>
          <w:lang w:val="fr-CH"/>
        </w:rPr>
        <w:tab/>
        <w:t>la redevance due pour l'utilisation de fréquences radioélectriques ;</w:t>
      </w:r>
    </w:p>
    <w:p w:rsidR="00E56335" w:rsidRPr="00871C74" w:rsidRDefault="00E56335" w:rsidP="003F27E3">
      <w:pPr>
        <w:pStyle w:val="enumlev1"/>
        <w:spacing w:before="80"/>
        <w:rPr>
          <w:lang w:val="fr-CH"/>
        </w:rPr>
      </w:pPr>
      <w:r w:rsidRPr="00871C74">
        <w:rPr>
          <w:lang w:val="fr-CH"/>
        </w:rPr>
        <w:t>–</w:t>
      </w:r>
      <w:r w:rsidRPr="00871C74">
        <w:rPr>
          <w:lang w:val="fr-CH"/>
        </w:rPr>
        <w:tab/>
        <w:t>la taxe de vignette.</w:t>
      </w:r>
    </w:p>
    <w:p w:rsidR="00E56335" w:rsidRPr="00871C74" w:rsidRDefault="00E56335" w:rsidP="00E56335">
      <w:pPr>
        <w:rPr>
          <w:lang w:val="fr-CH"/>
        </w:rPr>
      </w:pPr>
      <w:r w:rsidRPr="00871C74">
        <w:rPr>
          <w:lang w:val="fr-CH"/>
        </w:rPr>
        <w:t>Tous les montants  sont fixés de façon forfaitaire.</w:t>
      </w:r>
    </w:p>
    <w:p w:rsidR="00E56335" w:rsidRPr="003A39BA" w:rsidRDefault="00E56335" w:rsidP="00E56335">
      <w:pPr>
        <w:rPr>
          <w:b/>
          <w:bCs/>
          <w:lang w:val="fr-FR"/>
        </w:rPr>
      </w:pPr>
      <w:r w:rsidRPr="003A39BA">
        <w:rPr>
          <w:b/>
          <w:bCs/>
          <w:lang w:val="fr-FR"/>
        </w:rPr>
        <w:t>La taxe de constitution de dossier</w:t>
      </w:r>
    </w:p>
    <w:p w:rsidR="00E56335" w:rsidRPr="00871C74" w:rsidRDefault="00E56335" w:rsidP="00E56335">
      <w:pPr>
        <w:rPr>
          <w:lang w:val="fr-CH"/>
        </w:rPr>
      </w:pPr>
      <w:r w:rsidRPr="00871C74">
        <w:rPr>
          <w:lang w:val="fr-CH"/>
        </w:rPr>
        <w:t>La taxe de constitution constitue les frais d’études d’un dossier ou d’ouverture de dossier.</w:t>
      </w:r>
    </w:p>
    <w:p w:rsidR="00E56335" w:rsidRPr="00871C74" w:rsidRDefault="00E56335" w:rsidP="00E56335">
      <w:pPr>
        <w:rPr>
          <w:lang w:val="fr-CH"/>
        </w:rPr>
      </w:pPr>
      <w:r w:rsidRPr="00871C74">
        <w:rPr>
          <w:lang w:val="fr-CH"/>
        </w:rPr>
        <w:t>Elle est payable une seule fois lors du dépôt des dossiers et est non remboursable.</w:t>
      </w:r>
    </w:p>
    <w:p w:rsidR="00E56335" w:rsidRDefault="00E56335" w:rsidP="00E56335">
      <w:pPr>
        <w:tabs>
          <w:tab w:val="clear" w:pos="794"/>
          <w:tab w:val="clear" w:pos="1191"/>
          <w:tab w:val="clear" w:pos="1588"/>
          <w:tab w:val="clear" w:pos="1985"/>
        </w:tabs>
        <w:overflowPunct/>
        <w:autoSpaceDE/>
        <w:autoSpaceDN/>
        <w:adjustRightInd/>
        <w:spacing w:before="0"/>
        <w:jc w:val="left"/>
        <w:textAlignment w:val="auto"/>
        <w:rPr>
          <w:b/>
          <w:bCs/>
          <w:lang w:val="fr-FR"/>
        </w:rPr>
      </w:pPr>
      <w:r>
        <w:rPr>
          <w:b/>
          <w:bCs/>
          <w:lang w:val="fr-FR"/>
        </w:rPr>
        <w:br w:type="page"/>
      </w:r>
    </w:p>
    <w:p w:rsidR="00E56335" w:rsidRPr="003A39BA" w:rsidRDefault="00E56335" w:rsidP="00E56335">
      <w:pPr>
        <w:rPr>
          <w:b/>
          <w:bCs/>
          <w:lang w:val="fr-FR"/>
        </w:rPr>
      </w:pPr>
      <w:r w:rsidRPr="003A39BA">
        <w:rPr>
          <w:b/>
          <w:bCs/>
          <w:lang w:val="fr-FR"/>
        </w:rPr>
        <w:lastRenderedPageBreak/>
        <w:t>La taxe de contrôle</w:t>
      </w:r>
    </w:p>
    <w:p w:rsidR="00E56335" w:rsidRPr="00871C74" w:rsidRDefault="00E56335" w:rsidP="00E56335">
      <w:pPr>
        <w:rPr>
          <w:lang w:val="fr-CH"/>
        </w:rPr>
      </w:pPr>
      <w:r w:rsidRPr="00871C74">
        <w:rPr>
          <w:lang w:val="fr-CH"/>
        </w:rPr>
        <w:t>La taxe de contrôle représente les frais de contrôle des équipements de l’opérateur ou des permissionnaires.</w:t>
      </w:r>
    </w:p>
    <w:p w:rsidR="00E56335" w:rsidRPr="00871C74" w:rsidRDefault="00E56335" w:rsidP="00E56335">
      <w:pPr>
        <w:rPr>
          <w:lang w:val="fr-CH"/>
        </w:rPr>
      </w:pPr>
      <w:r w:rsidRPr="00871C74">
        <w:rPr>
          <w:lang w:val="fr-CH"/>
        </w:rPr>
        <w:t>Elle tient compte de la puissance de l’émetteur ou du type de station (relais ou terminale). Elle est due pour l’année entière, quelque soit la date de mise en service du réseau.</w:t>
      </w:r>
    </w:p>
    <w:p w:rsidR="00E56335" w:rsidRPr="003A39BA" w:rsidRDefault="00E56335" w:rsidP="00E56335">
      <w:pPr>
        <w:rPr>
          <w:b/>
          <w:bCs/>
          <w:lang w:val="fr-FR"/>
        </w:rPr>
      </w:pPr>
      <w:r w:rsidRPr="003A39BA">
        <w:rPr>
          <w:b/>
          <w:bCs/>
          <w:lang w:val="fr-FR"/>
        </w:rPr>
        <w:t>La contribution pour frais de gestion</w:t>
      </w:r>
    </w:p>
    <w:p w:rsidR="00E56335" w:rsidRPr="00871C74" w:rsidRDefault="00E56335" w:rsidP="00E56335">
      <w:pPr>
        <w:rPr>
          <w:lang w:val="fr-CH"/>
        </w:rPr>
      </w:pPr>
      <w:r w:rsidRPr="00871C74">
        <w:rPr>
          <w:lang w:val="fr-CH"/>
        </w:rPr>
        <w:t>La contribution pour frais de gestion représente les redevances liées à la gestion de la licence ou du réseau tels que le règlement des litiges entre operateurs ou entre opérateurs et  population, et le renouvellement de la licence.</w:t>
      </w:r>
    </w:p>
    <w:p w:rsidR="00E56335" w:rsidRPr="00871C74" w:rsidRDefault="00E56335" w:rsidP="00E56335">
      <w:pPr>
        <w:rPr>
          <w:lang w:val="fr-CH"/>
        </w:rPr>
      </w:pPr>
      <w:r w:rsidRPr="00871C74">
        <w:rPr>
          <w:lang w:val="fr-CH"/>
        </w:rPr>
        <w:t>Elle est due pour l’année entière quelque soit la date d’établissement du réseau. Elle est non remboursable et calculée en fonction de la taille du réseau et de la zone de couverture (locale, régionale ou nationale).</w:t>
      </w:r>
    </w:p>
    <w:p w:rsidR="00E56335" w:rsidRPr="003A39BA" w:rsidRDefault="00E56335" w:rsidP="00E56335">
      <w:pPr>
        <w:rPr>
          <w:b/>
          <w:bCs/>
          <w:lang w:val="fr-FR"/>
        </w:rPr>
      </w:pPr>
      <w:r w:rsidRPr="003A39BA">
        <w:rPr>
          <w:b/>
          <w:bCs/>
          <w:lang w:val="fr-FR"/>
        </w:rPr>
        <w:t>La redevance due pour l’utilisation de fréquences radioélectriques</w:t>
      </w:r>
    </w:p>
    <w:p w:rsidR="00E56335" w:rsidRPr="00871C74" w:rsidRDefault="00E56335" w:rsidP="00E56335">
      <w:pPr>
        <w:rPr>
          <w:lang w:val="fr-CH"/>
        </w:rPr>
      </w:pPr>
      <w:r w:rsidRPr="00871C74">
        <w:rPr>
          <w:lang w:val="fr-CH"/>
        </w:rPr>
        <w:t>Elle dépend:</w:t>
      </w:r>
    </w:p>
    <w:p w:rsidR="00E56335" w:rsidRPr="00427223" w:rsidRDefault="00E56335" w:rsidP="003F27E3">
      <w:pPr>
        <w:pStyle w:val="enumlev1"/>
        <w:spacing w:before="80"/>
        <w:rPr>
          <w:lang w:val="fr-FR"/>
        </w:rPr>
      </w:pPr>
      <w:r>
        <w:rPr>
          <w:lang w:val="fr-FR"/>
        </w:rPr>
        <w:t>–</w:t>
      </w:r>
      <w:r>
        <w:rPr>
          <w:lang w:val="fr-FR"/>
        </w:rPr>
        <w:tab/>
      </w:r>
      <w:r w:rsidRPr="00427223">
        <w:rPr>
          <w:lang w:val="fr-FR"/>
        </w:rPr>
        <w:t>soit du nombre de liaisons pouvant être établies dans le réseau ou de la taille du réseau, c’est le cas par exemple</w:t>
      </w:r>
      <w:r>
        <w:rPr>
          <w:lang w:val="fr-FR"/>
        </w:rPr>
        <w:t xml:space="preserve"> des réseaux conventionnels,</w:t>
      </w:r>
    </w:p>
    <w:p w:rsidR="00E56335" w:rsidRPr="00427223" w:rsidRDefault="00E56335" w:rsidP="003F27E3">
      <w:pPr>
        <w:pStyle w:val="enumlev1"/>
        <w:spacing w:before="80"/>
        <w:rPr>
          <w:lang w:val="fr-FR"/>
        </w:rPr>
      </w:pPr>
      <w:r>
        <w:rPr>
          <w:lang w:val="fr-FR"/>
        </w:rPr>
        <w:t>–</w:t>
      </w:r>
      <w:r>
        <w:rPr>
          <w:lang w:val="fr-FR"/>
        </w:rPr>
        <w:tab/>
        <w:t>s</w:t>
      </w:r>
      <w:r w:rsidRPr="00427223">
        <w:rPr>
          <w:lang w:val="fr-FR"/>
        </w:rPr>
        <w:t>oit de la zone de  couverture du réseau, de la quantité de spectre allouée ou du nombre de canaux ou de la capacité ou du dé</w:t>
      </w:r>
      <w:r>
        <w:rPr>
          <w:lang w:val="fr-FR"/>
        </w:rPr>
        <w:t>bit de la liaison,</w:t>
      </w:r>
    </w:p>
    <w:p w:rsidR="00E56335" w:rsidRPr="009A06C3" w:rsidRDefault="00E56335" w:rsidP="003F27E3">
      <w:pPr>
        <w:pStyle w:val="enumlev1"/>
        <w:spacing w:before="80"/>
        <w:rPr>
          <w:lang w:val="fr-FR"/>
        </w:rPr>
      </w:pPr>
      <w:r>
        <w:rPr>
          <w:lang w:val="fr-FR"/>
        </w:rPr>
        <w:t>–</w:t>
      </w:r>
      <w:r>
        <w:rPr>
          <w:lang w:val="fr-FR"/>
        </w:rPr>
        <w:tab/>
        <w:t>s</w:t>
      </w:r>
      <w:r w:rsidRPr="009A06C3">
        <w:rPr>
          <w:lang w:val="fr-FR"/>
        </w:rPr>
        <w:t>oit du tonnage pour les navires de pêche.</w:t>
      </w:r>
    </w:p>
    <w:p w:rsidR="00E56335" w:rsidRPr="003A39BA" w:rsidRDefault="00E56335" w:rsidP="00E56335">
      <w:pPr>
        <w:rPr>
          <w:b/>
          <w:bCs/>
          <w:lang w:val="fr-FR"/>
        </w:rPr>
      </w:pPr>
      <w:r w:rsidRPr="003A39BA">
        <w:rPr>
          <w:b/>
          <w:bCs/>
          <w:lang w:val="fr-FR"/>
        </w:rPr>
        <w:t xml:space="preserve">La vignette radioélectrique </w:t>
      </w:r>
    </w:p>
    <w:p w:rsidR="00E56335" w:rsidRPr="00871C74" w:rsidRDefault="00E56335" w:rsidP="00E56335">
      <w:pPr>
        <w:rPr>
          <w:lang w:val="fr-CH"/>
        </w:rPr>
      </w:pPr>
      <w:r w:rsidRPr="00871C74">
        <w:rPr>
          <w:lang w:val="fr-CH"/>
        </w:rPr>
        <w:t>La vignette est un macaron apposé sur les équipements radio, qui a pour objet d’identifier les stations autorisées lors des contrôles.</w:t>
      </w:r>
    </w:p>
    <w:p w:rsidR="00E56335" w:rsidRPr="00871C74" w:rsidRDefault="00E56335" w:rsidP="00E56335">
      <w:pPr>
        <w:rPr>
          <w:lang w:val="fr-CH"/>
        </w:rPr>
      </w:pPr>
      <w:r w:rsidRPr="00871C74">
        <w:rPr>
          <w:lang w:val="fr-CH"/>
        </w:rPr>
        <w:t>Le montant de cette vignette varie en fonction du type de stations (postes fixes, mobiles ou portatifs).</w:t>
      </w:r>
    </w:p>
    <w:p w:rsidR="00E56335" w:rsidRPr="002F019C" w:rsidRDefault="00E56335" w:rsidP="00E56335">
      <w:pPr>
        <w:pStyle w:val="Heading1"/>
        <w:rPr>
          <w:lang w:val="fr-FR"/>
        </w:rPr>
      </w:pPr>
      <w:bookmarkStart w:id="726" w:name="_Toc280260919"/>
      <w:bookmarkStart w:id="727" w:name="_Toc280272531"/>
      <w:bookmarkStart w:id="728" w:name="_Toc288643034"/>
      <w:r w:rsidRPr="002F019C">
        <w:rPr>
          <w:lang w:val="fr-FR"/>
        </w:rPr>
        <w:t>III</w:t>
      </w:r>
      <w:r w:rsidRPr="002F019C">
        <w:rPr>
          <w:lang w:val="fr-FR"/>
        </w:rPr>
        <w:tab/>
        <w:t>Autres taxes radioélectriques</w:t>
      </w:r>
      <w:bookmarkEnd w:id="726"/>
      <w:bookmarkEnd w:id="727"/>
      <w:bookmarkEnd w:id="728"/>
    </w:p>
    <w:p w:rsidR="00E56335" w:rsidRPr="00871C74" w:rsidRDefault="00E56335" w:rsidP="00E56335">
      <w:pPr>
        <w:rPr>
          <w:lang w:val="fr-CH"/>
        </w:rPr>
      </w:pPr>
      <w:r w:rsidRPr="00871C74">
        <w:rPr>
          <w:lang w:val="fr-CH"/>
        </w:rPr>
        <w:t>Outres les taxes radioélectriques perçues par bimestres, les impositions suivantes sont demandées:</w:t>
      </w:r>
    </w:p>
    <w:p w:rsidR="00E56335" w:rsidRPr="00EF4052" w:rsidRDefault="00E56335" w:rsidP="00E56335">
      <w:pPr>
        <w:rPr>
          <w:b/>
          <w:bCs/>
          <w:lang w:val="fr-CH"/>
        </w:rPr>
      </w:pPr>
      <w:r w:rsidRPr="00EF4052">
        <w:rPr>
          <w:b/>
          <w:bCs/>
          <w:lang w:val="fr-CH"/>
        </w:rPr>
        <w:t>Taxes</w:t>
      </w:r>
      <w:r w:rsidRPr="00EF4052">
        <w:rPr>
          <w:b/>
          <w:bCs/>
          <w:lang w:val="fr-FR"/>
        </w:rPr>
        <w:t xml:space="preserve"> d’homologation</w:t>
      </w:r>
      <w:r w:rsidRPr="00EF4052">
        <w:rPr>
          <w:b/>
          <w:bCs/>
          <w:lang w:val="fr-CH"/>
        </w:rPr>
        <w:t xml:space="preserve"> ou d’agreement</w:t>
      </w:r>
    </w:p>
    <w:p w:rsidR="00E56335" w:rsidRPr="00871C74" w:rsidRDefault="00E56335" w:rsidP="00E56335">
      <w:pPr>
        <w:rPr>
          <w:lang w:val="fr-CH"/>
        </w:rPr>
      </w:pPr>
      <w:r w:rsidRPr="00871C74">
        <w:rPr>
          <w:lang w:val="fr-CH"/>
        </w:rPr>
        <w:t xml:space="preserve">Il s’agit d’une taxe perçue lors des tests effectués sur les équipements  radioélectriques afin de s’assurer de leur conformité. L’agrément délivré aux installateurs radioélectriques est une preuve de leur capacité à installer des équipements radioélectriques. </w:t>
      </w:r>
    </w:p>
    <w:p w:rsidR="00E56335" w:rsidRPr="00871C74" w:rsidRDefault="00E56335" w:rsidP="00E56335">
      <w:pPr>
        <w:rPr>
          <w:lang w:val="fr-CH"/>
        </w:rPr>
      </w:pPr>
      <w:r w:rsidRPr="00871C74">
        <w:rPr>
          <w:lang w:val="fr-CH"/>
        </w:rPr>
        <w:t>L'agrément des équipements terminaux et l'admission des installateurs en radiocommunications donnent lieu à la perception des taxes forfaitaires et non remboursables suivantes:</w:t>
      </w:r>
    </w:p>
    <w:p w:rsidR="00E56335" w:rsidRPr="009A06C3" w:rsidRDefault="00E56335" w:rsidP="003F27E3">
      <w:pPr>
        <w:pStyle w:val="enumlev1"/>
        <w:spacing w:before="80"/>
        <w:rPr>
          <w:lang w:val="fr-FR"/>
        </w:rPr>
      </w:pPr>
      <w:r>
        <w:rPr>
          <w:lang w:val="fr-FR"/>
        </w:rPr>
        <w:t>1)</w:t>
      </w:r>
      <w:r>
        <w:rPr>
          <w:lang w:val="fr-FR"/>
        </w:rPr>
        <w:tab/>
      </w:r>
      <w:r w:rsidRPr="009A06C3">
        <w:rPr>
          <w:lang w:val="fr-FR"/>
        </w:rPr>
        <w:t>Pour les équipements: une taxe de constitution de dossier et une taxe de contrôle technique par équipement.</w:t>
      </w:r>
    </w:p>
    <w:p w:rsidR="00E56335" w:rsidRPr="009A06C3" w:rsidRDefault="00E56335" w:rsidP="003F27E3">
      <w:pPr>
        <w:pStyle w:val="enumlev1"/>
        <w:spacing w:before="80"/>
        <w:rPr>
          <w:lang w:val="fr-FR"/>
        </w:rPr>
      </w:pPr>
      <w:r>
        <w:rPr>
          <w:lang w:val="fr-FR"/>
        </w:rPr>
        <w:t>2)</w:t>
      </w:r>
      <w:r>
        <w:rPr>
          <w:lang w:val="fr-FR"/>
        </w:rPr>
        <w:tab/>
      </w:r>
      <w:r w:rsidRPr="009A06C3">
        <w:rPr>
          <w:lang w:val="fr-FR"/>
        </w:rPr>
        <w:t>Pour les installateurs: une taxe de constitution de dossier et une taxe d'agrément sont perçues à la délivrance ou au renouvellement de l'autorisation.</w:t>
      </w:r>
    </w:p>
    <w:p w:rsidR="00E56335" w:rsidRPr="00C047A7" w:rsidRDefault="00E56335" w:rsidP="00E56335">
      <w:pPr>
        <w:rPr>
          <w:b/>
          <w:bCs/>
          <w:lang w:val="fr-FR"/>
        </w:rPr>
      </w:pPr>
      <w:r w:rsidRPr="00C047A7">
        <w:rPr>
          <w:b/>
          <w:bCs/>
          <w:lang w:val="fr-FR"/>
        </w:rPr>
        <w:t>Taxe de traitement des plaintes pour brouillages</w:t>
      </w:r>
    </w:p>
    <w:p w:rsidR="00E56335" w:rsidRPr="00871C74" w:rsidRDefault="00E56335" w:rsidP="00E56335">
      <w:pPr>
        <w:rPr>
          <w:lang w:val="fr-CH"/>
        </w:rPr>
      </w:pPr>
      <w:r w:rsidRPr="00871C74">
        <w:rPr>
          <w:lang w:val="fr-CH"/>
        </w:rPr>
        <w:t xml:space="preserve">Il s’agit d’une taxe perçue et payée par les permissionnaires ou concessionnaires fautifs, qui couvre les frais administratifs ou liés au déplacement des agents de l’Agence. </w:t>
      </w:r>
    </w:p>
    <w:p w:rsidR="00E56335" w:rsidRPr="00C047A7" w:rsidRDefault="00E56335" w:rsidP="00E56335">
      <w:pPr>
        <w:rPr>
          <w:b/>
          <w:bCs/>
          <w:lang w:val="fr-FR"/>
        </w:rPr>
      </w:pPr>
      <w:r w:rsidRPr="00C047A7">
        <w:rPr>
          <w:b/>
          <w:bCs/>
          <w:lang w:val="fr-FR"/>
        </w:rPr>
        <w:t>Droits d'examen</w:t>
      </w:r>
    </w:p>
    <w:p w:rsidR="00E56335" w:rsidRPr="00871C74" w:rsidRDefault="00E56335" w:rsidP="00E56335">
      <w:pPr>
        <w:rPr>
          <w:lang w:val="fr-CH"/>
        </w:rPr>
      </w:pPr>
      <w:r w:rsidRPr="00871C74">
        <w:rPr>
          <w:lang w:val="fr-CH"/>
        </w:rPr>
        <w:t>Pour l'obtention du certificat d'opérateur radiotélégraphiste, du certificat d'opérateur radiotéléphoniste ou du certificat comportant la double mention, des droits d'examen sont perçus avant le début des épreuves. Des droits de même montant sont dus pour la délivrance du ou desdits certificats aux titulaires d'une attestation militaire de capacité d'opérateur.</w:t>
      </w:r>
    </w:p>
    <w:p w:rsidR="00E56335" w:rsidRPr="00871C74" w:rsidRDefault="00E56335" w:rsidP="00E56335">
      <w:pPr>
        <w:rPr>
          <w:lang w:val="fr-CH"/>
        </w:rPr>
      </w:pPr>
      <w:r w:rsidRPr="00871C74">
        <w:rPr>
          <w:lang w:val="fr-CH"/>
        </w:rPr>
        <w:t>Lors de la délivrance, du renouvellement ou de l'établissement d'un duplicata de licence de station d'amateur, d'aéronef ou de navire, et d'un certificat d'opérateur, il est perçu une taxe forfaitaire et non remboursable.</w:t>
      </w:r>
    </w:p>
    <w:p w:rsidR="00E56335" w:rsidRPr="00C047A7" w:rsidRDefault="00E56335" w:rsidP="00E56335">
      <w:pPr>
        <w:rPr>
          <w:b/>
          <w:bCs/>
          <w:lang w:val="fr-FR"/>
        </w:rPr>
      </w:pPr>
      <w:r w:rsidRPr="00C047A7">
        <w:rPr>
          <w:b/>
          <w:bCs/>
          <w:lang w:val="fr-FR"/>
        </w:rPr>
        <w:lastRenderedPageBreak/>
        <w:t>Taxes d'intervention</w:t>
      </w:r>
    </w:p>
    <w:p w:rsidR="00E56335" w:rsidRPr="00871C74" w:rsidRDefault="00E56335" w:rsidP="00E56335">
      <w:pPr>
        <w:rPr>
          <w:lang w:val="fr-CH"/>
        </w:rPr>
      </w:pPr>
      <w:r w:rsidRPr="00871C74">
        <w:rPr>
          <w:lang w:val="fr-CH"/>
        </w:rPr>
        <w:t>Les frais exceptionnels occasionnés pour le relevement du brouillage d'une fréquence radioélectrique régulièrement utilisée ou par la non conformité des installations donnent lieu au paiement d'une taxe forfaitaire par intervention. Cette taxe est due par le propriétaire de la station brouilleuse ou des Installations non conformes.</w:t>
      </w:r>
    </w:p>
    <w:p w:rsidR="00E56335" w:rsidRPr="00871C74" w:rsidRDefault="00E56335" w:rsidP="00E56335">
      <w:pPr>
        <w:tabs>
          <w:tab w:val="clear" w:pos="794"/>
          <w:tab w:val="clear" w:pos="1191"/>
          <w:tab w:val="clear" w:pos="1588"/>
          <w:tab w:val="clear" w:pos="1985"/>
        </w:tabs>
        <w:overflowPunct/>
        <w:autoSpaceDE/>
        <w:autoSpaceDN/>
        <w:adjustRightInd/>
        <w:spacing w:before="0"/>
        <w:jc w:val="left"/>
        <w:textAlignment w:val="auto"/>
        <w:rPr>
          <w:lang w:val="fr-CH"/>
        </w:rPr>
      </w:pPr>
      <w:r w:rsidRPr="00871C74">
        <w:rPr>
          <w:lang w:val="fr-CH"/>
        </w:rPr>
        <w:br w:type="page"/>
      </w:r>
    </w:p>
    <w:p w:rsidR="00E56335" w:rsidRPr="00871C74" w:rsidRDefault="00E56335" w:rsidP="00E56335">
      <w:pPr>
        <w:pStyle w:val="AppendixNotitle"/>
        <w:rPr>
          <w:lang w:val="fr-CH"/>
        </w:rPr>
      </w:pPr>
      <w:bookmarkStart w:id="729" w:name="_Toc280260067"/>
      <w:bookmarkStart w:id="730" w:name="_Toc280260920"/>
      <w:bookmarkStart w:id="731" w:name="_Toc280272532"/>
      <w:bookmarkStart w:id="732" w:name="_Toc288643035"/>
      <w:r w:rsidRPr="00871C74">
        <w:rPr>
          <w:lang w:val="fr-CH"/>
        </w:rPr>
        <w:lastRenderedPageBreak/>
        <w:t>Appendix 3.2</w:t>
      </w:r>
      <w:bookmarkEnd w:id="729"/>
      <w:bookmarkEnd w:id="730"/>
      <w:bookmarkEnd w:id="731"/>
      <w:bookmarkEnd w:id="732"/>
    </w:p>
    <w:p w:rsidR="00E56335" w:rsidRPr="00871C74" w:rsidRDefault="00E56335" w:rsidP="00E56335">
      <w:pPr>
        <w:pStyle w:val="Normalaftertitle0"/>
        <w:rPr>
          <w:lang w:val="fr-CH"/>
        </w:rPr>
      </w:pPr>
    </w:p>
    <w:p w:rsidR="00E56335" w:rsidRDefault="00E56335" w:rsidP="00E56335">
      <w:pPr>
        <w:rPr>
          <w:lang w:val="fr-CH"/>
        </w:rPr>
      </w:pPr>
      <w:r w:rsidRPr="00E21F0F">
        <w:rPr>
          <w:lang w:val="fr-CH"/>
        </w:rPr>
        <w:t xml:space="preserve">ORDONNANCE N° 97/173 du 19 mars 1997 </w:t>
      </w:r>
    </w:p>
    <w:p w:rsidR="00E56335" w:rsidRPr="00E21F0F" w:rsidRDefault="00E56335" w:rsidP="00E56335">
      <w:pPr>
        <w:rPr>
          <w:lang w:val="fr-CH"/>
        </w:rPr>
      </w:pPr>
    </w:p>
    <w:p w:rsidR="00E56335" w:rsidRPr="00E21F0F" w:rsidRDefault="00E56335" w:rsidP="00E56335">
      <w:pPr>
        <w:rPr>
          <w:lang w:val="fr-CH"/>
        </w:rPr>
      </w:pPr>
      <w:r w:rsidRPr="00E21F0F">
        <w:rPr>
          <w:lang w:val="fr-CH"/>
        </w:rPr>
        <w:t xml:space="preserve">Relative aux Droits, Taxe et Redevances Sur les Radiocommunications </w:t>
      </w:r>
    </w:p>
    <w:p w:rsidR="00E56335" w:rsidRPr="00E21F0F" w:rsidRDefault="00E56335" w:rsidP="00E56335">
      <w:pPr>
        <w:rPr>
          <w:lang w:val="fr-CH"/>
        </w:rPr>
      </w:pPr>
    </w:p>
    <w:p w:rsidR="00E56335" w:rsidRPr="00E21F0F" w:rsidRDefault="00E56335" w:rsidP="00E56335">
      <w:pPr>
        <w:pStyle w:val="CM10"/>
        <w:spacing w:after="300" w:line="303" w:lineRule="atLeast"/>
        <w:jc w:val="both"/>
        <w:rPr>
          <w:rFonts w:asciiTheme="majorBidi" w:hAnsiTheme="majorBidi" w:cstheme="majorBidi"/>
          <w:color w:val="000000"/>
          <w:lang w:val="fr-CH"/>
        </w:rPr>
      </w:pPr>
      <w:r w:rsidRPr="00E21F0F">
        <w:rPr>
          <w:rFonts w:asciiTheme="majorBidi" w:hAnsiTheme="majorBidi" w:cstheme="majorBidi"/>
          <w:b/>
          <w:bCs/>
          <w:color w:val="000000"/>
          <w:lang w:val="fr-CH"/>
        </w:rPr>
        <w:t xml:space="preserve">LE PRESIDENT DE LA REPUBLIQUE </w:t>
      </w:r>
    </w:p>
    <w:p w:rsidR="00E56335" w:rsidRPr="00E21F0F" w:rsidRDefault="00E56335" w:rsidP="00E56335">
      <w:pPr>
        <w:rPr>
          <w:lang w:val="fr-CH"/>
        </w:rPr>
      </w:pPr>
      <w:r w:rsidRPr="00E21F0F">
        <w:rPr>
          <w:lang w:val="fr-CH"/>
        </w:rPr>
        <w:t xml:space="preserve">Sur rapport conjoint du Ministre de L’ Economie et des Finances et du Ministre des Infrastructures Economiques ; </w:t>
      </w:r>
    </w:p>
    <w:p w:rsidR="00E56335" w:rsidRPr="00E21F0F" w:rsidRDefault="00E56335" w:rsidP="00E56335">
      <w:pPr>
        <w:rPr>
          <w:lang w:val="fr-CH"/>
        </w:rPr>
      </w:pPr>
      <w:r w:rsidRPr="00E21F0F">
        <w:rPr>
          <w:lang w:val="fr-CH"/>
        </w:rPr>
        <w:t xml:space="preserve">Vu la constitution </w:t>
      </w:r>
    </w:p>
    <w:p w:rsidR="00E56335" w:rsidRPr="00E21F0F" w:rsidRDefault="00E56335" w:rsidP="00E56335">
      <w:pPr>
        <w:rPr>
          <w:lang w:val="fr-CH"/>
        </w:rPr>
      </w:pPr>
      <w:r w:rsidRPr="00E21F0F">
        <w:rPr>
          <w:lang w:val="fr-CH"/>
        </w:rPr>
        <w:t xml:space="preserve">Vu la loi n° 95-526 du7 juillet 1995 portant Code des Télécommunications : </w:t>
      </w:r>
    </w:p>
    <w:p w:rsidR="00E56335" w:rsidRPr="00E21F0F" w:rsidRDefault="00E56335" w:rsidP="00E56335">
      <w:pPr>
        <w:rPr>
          <w:lang w:val="fr-CH"/>
        </w:rPr>
      </w:pPr>
      <w:r w:rsidRPr="00E21F0F">
        <w:rPr>
          <w:lang w:val="fr-CH"/>
        </w:rPr>
        <w:t xml:space="preserve">Vu le Décret n° 85-1089 du 16 Octobre 1985 portant réglementation de la Radioélectricité Privée en Côte d’Ivoire ; </w:t>
      </w:r>
    </w:p>
    <w:p w:rsidR="00E56335" w:rsidRPr="00E21F0F" w:rsidRDefault="00E56335" w:rsidP="00E56335">
      <w:pPr>
        <w:rPr>
          <w:lang w:val="fr-CH"/>
        </w:rPr>
      </w:pPr>
      <w:r w:rsidRPr="00E21F0F">
        <w:rPr>
          <w:lang w:val="fr-CH"/>
        </w:rPr>
        <w:t xml:space="preserve">Vu le Décret n° 95-554 du 19 juillet 1995 portant organisation et fonctionnement de l’Etablissement Public de catégorie particulière dénommé Agence des Télécommunications de côte d’Ivoire ; </w:t>
      </w:r>
    </w:p>
    <w:p w:rsidR="00E56335" w:rsidRPr="00E21F0F" w:rsidRDefault="00E56335" w:rsidP="00E56335">
      <w:pPr>
        <w:rPr>
          <w:lang w:val="fr-CH"/>
        </w:rPr>
      </w:pPr>
      <w:r w:rsidRPr="00E21F0F">
        <w:rPr>
          <w:lang w:val="fr-CH"/>
        </w:rPr>
        <w:t xml:space="preserve">Vu le Décret n° 96-PR/002 du 26 janvier portant nomination des membres du Gouvernement ; tel que modifié par le décret n° 96-PR/10 du 10 Août 1996 ; </w:t>
      </w:r>
    </w:p>
    <w:p w:rsidR="00E56335" w:rsidRPr="00E21F0F" w:rsidRDefault="00E56335" w:rsidP="00E56335">
      <w:pPr>
        <w:rPr>
          <w:lang w:val="fr-CH"/>
        </w:rPr>
      </w:pPr>
      <w:r w:rsidRPr="00E21F0F">
        <w:rPr>
          <w:lang w:val="fr-CH"/>
        </w:rPr>
        <w:t>Vu le Décret n° 96-179 du 1</w:t>
      </w:r>
      <w:r w:rsidRPr="007033AC">
        <w:rPr>
          <w:vertAlign w:val="superscript"/>
          <w:lang w:val="fr-CH"/>
        </w:rPr>
        <w:t>er</w:t>
      </w:r>
      <w:r w:rsidRPr="00E21F0F">
        <w:rPr>
          <w:lang w:val="fr-CH"/>
        </w:rPr>
        <w:t xml:space="preserve"> Mars 1996 portant attributions des membres du Gouvernement ; </w:t>
      </w:r>
    </w:p>
    <w:p w:rsidR="00E56335" w:rsidRPr="00E21F0F" w:rsidRDefault="00E56335" w:rsidP="00E56335">
      <w:pPr>
        <w:pStyle w:val="heading0"/>
        <w:rPr>
          <w:lang w:val="fr-CH"/>
        </w:rPr>
      </w:pPr>
      <w:r w:rsidRPr="00E21F0F">
        <w:rPr>
          <w:lang w:val="fr-CH"/>
        </w:rPr>
        <w:t xml:space="preserve">LE CONSEIL DES MINISTRES ENTENDU ORDONNE </w:t>
      </w:r>
    </w:p>
    <w:p w:rsidR="00E56335" w:rsidRPr="00E21F0F" w:rsidRDefault="00E56335" w:rsidP="00E56335">
      <w:pPr>
        <w:pStyle w:val="ChapNo"/>
        <w:rPr>
          <w:lang w:val="fr-CH"/>
        </w:rPr>
      </w:pPr>
      <w:bookmarkStart w:id="733" w:name="_Toc280261074"/>
      <w:r w:rsidRPr="00E21F0F">
        <w:rPr>
          <w:lang w:val="fr-CH"/>
        </w:rPr>
        <w:t>CHAPITRE 1</w:t>
      </w:r>
      <w:r>
        <w:rPr>
          <w:lang w:val="fr-CH"/>
        </w:rPr>
        <w:br/>
      </w:r>
      <w:r>
        <w:rPr>
          <w:lang w:val="fr-CH"/>
        </w:rPr>
        <w:br/>
        <w:t>DISPOSITIONS GENERALES:</w:t>
      </w:r>
      <w:r>
        <w:rPr>
          <w:lang w:val="fr-CH"/>
        </w:rPr>
        <w:br/>
      </w:r>
      <w:r w:rsidRPr="00E21F0F">
        <w:rPr>
          <w:lang w:val="fr-CH"/>
        </w:rPr>
        <w:t>CHAMP D’APPLICATION</w:t>
      </w:r>
      <w:bookmarkEnd w:id="733"/>
      <w:r w:rsidRPr="00E21F0F">
        <w:rPr>
          <w:lang w:val="fr-CH"/>
        </w:rPr>
        <w:t xml:space="preserve"> </w:t>
      </w:r>
    </w:p>
    <w:p w:rsidR="00E56335" w:rsidRPr="00E21F0F" w:rsidRDefault="00E56335" w:rsidP="00E56335">
      <w:pPr>
        <w:rPr>
          <w:lang w:val="fr-CH"/>
        </w:rPr>
      </w:pPr>
      <w:r w:rsidRPr="00E21F0F">
        <w:rPr>
          <w:b/>
          <w:bCs/>
          <w:u w:val="single"/>
          <w:lang w:val="fr-CH"/>
        </w:rPr>
        <w:t>Article 1</w:t>
      </w:r>
      <w:r w:rsidRPr="009F06C9">
        <w:rPr>
          <w:b/>
          <w:bCs/>
          <w:u w:val="single"/>
          <w:vertAlign w:val="superscript"/>
          <w:lang w:val="fr-CH"/>
        </w:rPr>
        <w:t>er</w:t>
      </w:r>
      <w:r w:rsidRPr="00E21F0F">
        <w:rPr>
          <w:b/>
          <w:bCs/>
          <w:u w:val="single"/>
          <w:lang w:val="fr-CH"/>
        </w:rPr>
        <w:t>:</w:t>
      </w:r>
      <w:r w:rsidRPr="009F06C9">
        <w:rPr>
          <w:b/>
          <w:bCs/>
          <w:lang w:val="fr-CH"/>
        </w:rPr>
        <w:t xml:space="preserve"> </w:t>
      </w:r>
      <w:r w:rsidRPr="00E21F0F">
        <w:rPr>
          <w:lang w:val="fr-CH"/>
        </w:rPr>
        <w:t xml:space="preserve">Les dispositions qui vont suivre définissent les droits, taxes, redevances et contributions perçu par l’Agence des Télécommunications de Côte d’Ivoire(ATCI) et en fixent les montants. </w:t>
      </w:r>
    </w:p>
    <w:p w:rsidR="00E56335" w:rsidRPr="00E21F0F" w:rsidRDefault="00E56335" w:rsidP="00E56335">
      <w:pPr>
        <w:pStyle w:val="ChapNo"/>
        <w:rPr>
          <w:lang w:val="fr-CH"/>
        </w:rPr>
      </w:pPr>
      <w:bookmarkStart w:id="734" w:name="_Toc280261075"/>
      <w:r w:rsidRPr="00E21F0F">
        <w:rPr>
          <w:lang w:val="fr-CH"/>
        </w:rPr>
        <w:lastRenderedPageBreak/>
        <w:t>CHAPITRE I</w:t>
      </w:r>
      <w:r>
        <w:rPr>
          <w:lang w:val="fr-CH"/>
        </w:rPr>
        <w:t>I</w:t>
      </w:r>
      <w:bookmarkEnd w:id="734"/>
    </w:p>
    <w:p w:rsidR="00E56335" w:rsidRPr="00E21F0F" w:rsidRDefault="00E56335" w:rsidP="00E56335">
      <w:pPr>
        <w:pStyle w:val="Chaptitle"/>
        <w:rPr>
          <w:lang w:val="fr-CH"/>
        </w:rPr>
      </w:pPr>
      <w:r w:rsidRPr="00E21F0F">
        <w:rPr>
          <w:lang w:val="fr-CH"/>
        </w:rPr>
        <w:t xml:space="preserve">TAXES REDEVANCES ET CONTRIBUTIONS APPLICABLE AUX RESEAUX ET STATIONS RADIOELECTRIQUES </w:t>
      </w:r>
    </w:p>
    <w:p w:rsidR="00E56335" w:rsidRPr="00EB6A07" w:rsidRDefault="00E56335" w:rsidP="00E56335">
      <w:pPr>
        <w:pStyle w:val="SectionNo"/>
        <w:rPr>
          <w:b/>
          <w:bCs/>
          <w:lang w:val="fr-CH"/>
        </w:rPr>
      </w:pPr>
      <w:bookmarkStart w:id="735" w:name="_Toc280261076"/>
      <w:r>
        <w:rPr>
          <w:lang w:val="fr-CH"/>
        </w:rPr>
        <w:t>SECTION 1</w:t>
      </w:r>
      <w:r>
        <w:rPr>
          <w:lang w:val="fr-CH"/>
        </w:rPr>
        <w:br/>
      </w:r>
      <w:r>
        <w:rPr>
          <w:lang w:val="fr-CH"/>
        </w:rPr>
        <w:br/>
      </w:r>
      <w:r w:rsidRPr="00EB6A07">
        <w:rPr>
          <w:b/>
          <w:bCs/>
          <w:caps w:val="0"/>
          <w:lang w:val="fr-CH"/>
        </w:rPr>
        <w:t>Réseaux radioélectriques des services fixes et mobiles, réseaux et stations terriennes des services fixes par satellite et mobile par satellite</w:t>
      </w:r>
      <w:bookmarkEnd w:id="735"/>
    </w:p>
    <w:p w:rsidR="00E56335" w:rsidRPr="00E21F0F" w:rsidRDefault="00E56335" w:rsidP="00E56335">
      <w:pPr>
        <w:rPr>
          <w:lang w:val="fr-CH"/>
        </w:rPr>
      </w:pPr>
      <w:r w:rsidRPr="00E21F0F">
        <w:rPr>
          <w:b/>
          <w:bCs/>
          <w:u w:val="single"/>
          <w:lang w:val="fr-CH"/>
        </w:rPr>
        <w:t>Art.2</w:t>
      </w:r>
      <w:r w:rsidRPr="00E21F0F">
        <w:rPr>
          <w:lang w:val="fr-CH"/>
        </w:rPr>
        <w:t>:</w:t>
      </w:r>
      <w:r>
        <w:rPr>
          <w:lang w:val="fr-CH"/>
        </w:rPr>
        <w:t xml:space="preserve"> </w:t>
      </w:r>
      <w:r w:rsidRPr="00E21F0F">
        <w:rPr>
          <w:lang w:val="fr-CH"/>
        </w:rPr>
        <w:t>Les demandes ou les titulaires d’autorisation relatives à des réseaux radioélectriques des services fixes et mobiles de terre, ainsi qu’à des réseaux et stations terriennes des services fixes par satellite et mobiles par satellites sont assujettis au paiement des taxes, redevan</w:t>
      </w:r>
      <w:r>
        <w:rPr>
          <w:lang w:val="fr-CH"/>
        </w:rPr>
        <w:t>ces et contributions Ci-après:</w:t>
      </w:r>
    </w:p>
    <w:p w:rsidR="00E56335" w:rsidRPr="00E21F0F" w:rsidRDefault="00E56335" w:rsidP="00E56335">
      <w:pPr>
        <w:pStyle w:val="enumlev1"/>
        <w:rPr>
          <w:lang w:val="fr-CH"/>
        </w:rPr>
      </w:pPr>
      <w:r>
        <w:rPr>
          <w:lang w:val="fr-CH"/>
        </w:rPr>
        <w:t>–</w:t>
      </w:r>
      <w:r>
        <w:rPr>
          <w:lang w:val="fr-CH"/>
        </w:rPr>
        <w:tab/>
      </w:r>
      <w:r w:rsidRPr="00E21F0F">
        <w:rPr>
          <w:lang w:val="fr-CH"/>
        </w:rPr>
        <w:t xml:space="preserve">La taxe de contribution de dossier </w:t>
      </w:r>
    </w:p>
    <w:p w:rsidR="00E56335" w:rsidRPr="00E21F0F" w:rsidRDefault="00E56335" w:rsidP="00E56335">
      <w:pPr>
        <w:pStyle w:val="enumlev1"/>
        <w:rPr>
          <w:lang w:val="fr-CH"/>
        </w:rPr>
      </w:pPr>
      <w:r>
        <w:rPr>
          <w:lang w:val="fr-CH"/>
        </w:rPr>
        <w:t>–</w:t>
      </w:r>
      <w:r>
        <w:rPr>
          <w:lang w:val="fr-CH"/>
        </w:rPr>
        <w:tab/>
      </w:r>
      <w:r w:rsidRPr="00E21F0F">
        <w:rPr>
          <w:lang w:val="fr-CH"/>
        </w:rPr>
        <w:t xml:space="preserve">La taxe de contrôle des stations radioélectriques ; </w:t>
      </w:r>
    </w:p>
    <w:p w:rsidR="00E56335" w:rsidRPr="00E21F0F" w:rsidRDefault="00E56335" w:rsidP="00E56335">
      <w:pPr>
        <w:pStyle w:val="enumlev1"/>
        <w:rPr>
          <w:lang w:val="fr-CH"/>
        </w:rPr>
      </w:pPr>
      <w:r>
        <w:rPr>
          <w:lang w:val="fr-CH"/>
        </w:rPr>
        <w:t>–</w:t>
      </w:r>
      <w:r>
        <w:rPr>
          <w:lang w:val="fr-CH"/>
        </w:rPr>
        <w:tab/>
      </w:r>
      <w:r w:rsidRPr="00E21F0F">
        <w:rPr>
          <w:lang w:val="fr-CH"/>
        </w:rPr>
        <w:t xml:space="preserve">La contribution par frais de gestion </w:t>
      </w:r>
    </w:p>
    <w:p w:rsidR="00E56335" w:rsidRPr="00E21F0F" w:rsidRDefault="00E56335" w:rsidP="00E56335">
      <w:pPr>
        <w:pStyle w:val="enumlev1"/>
        <w:rPr>
          <w:lang w:val="fr-CH"/>
        </w:rPr>
      </w:pPr>
      <w:r>
        <w:rPr>
          <w:lang w:val="fr-CH"/>
        </w:rPr>
        <w:t>–</w:t>
      </w:r>
      <w:r>
        <w:rPr>
          <w:lang w:val="fr-CH"/>
        </w:rPr>
        <w:tab/>
      </w:r>
      <w:r w:rsidRPr="00E21F0F">
        <w:rPr>
          <w:lang w:val="fr-CH"/>
        </w:rPr>
        <w:t xml:space="preserve">La redevance due pour l’utilisation de fréquences radioélectriques </w:t>
      </w:r>
    </w:p>
    <w:p w:rsidR="00E56335" w:rsidRPr="00E21F0F" w:rsidRDefault="00E56335" w:rsidP="00E56335">
      <w:pPr>
        <w:pStyle w:val="SectionNo"/>
        <w:rPr>
          <w:lang w:val="fr-CH"/>
        </w:rPr>
      </w:pPr>
      <w:bookmarkStart w:id="736" w:name="_Toc280261077"/>
      <w:r>
        <w:rPr>
          <w:lang w:val="fr-CH"/>
        </w:rPr>
        <w:t>SECTION II</w:t>
      </w:r>
      <w:r>
        <w:rPr>
          <w:lang w:val="fr-CH"/>
        </w:rPr>
        <w:br/>
      </w:r>
      <w:r>
        <w:rPr>
          <w:lang w:val="fr-CH"/>
        </w:rPr>
        <w:br/>
      </w:r>
      <w:r>
        <w:rPr>
          <w:b/>
          <w:bCs/>
          <w:caps w:val="0"/>
          <w:lang w:val="fr-CH"/>
        </w:rPr>
        <w:t>S</w:t>
      </w:r>
      <w:r w:rsidRPr="00EB6A07">
        <w:rPr>
          <w:b/>
          <w:bCs/>
          <w:caps w:val="0"/>
          <w:lang w:val="fr-CH"/>
        </w:rPr>
        <w:t>stations terriennes de réception communautaire</w:t>
      </w:r>
      <w:bookmarkEnd w:id="736"/>
    </w:p>
    <w:p w:rsidR="00E56335" w:rsidRPr="00E21F0F" w:rsidRDefault="00E56335" w:rsidP="00E56335">
      <w:pPr>
        <w:rPr>
          <w:lang w:val="fr-CH"/>
        </w:rPr>
      </w:pPr>
      <w:r w:rsidRPr="00E21F0F">
        <w:rPr>
          <w:b/>
          <w:bCs/>
          <w:u w:val="single"/>
          <w:lang w:val="fr-CH"/>
        </w:rPr>
        <w:t>Art.3</w:t>
      </w:r>
      <w:r w:rsidRPr="00E21F0F">
        <w:rPr>
          <w:lang w:val="fr-CH"/>
        </w:rPr>
        <w:t>: Les demandeurs ou les titulaires d’autorisations relatives à des installations de radiodiffusion pour la réception collective ou de réception aux fins de redistribution conformément à l’article 20 de la loi n°</w:t>
      </w:r>
      <w:r>
        <w:rPr>
          <w:lang w:val="fr-CH"/>
        </w:rPr>
        <w:t> </w:t>
      </w:r>
      <w:r w:rsidRPr="00E21F0F">
        <w:rPr>
          <w:lang w:val="fr-CH"/>
        </w:rPr>
        <w:t>95-526 du 07 Juillet 1995 portant Code des Télécommunications, sont soumis au paiement des taxes, redevances et contributions p</w:t>
      </w:r>
      <w:r>
        <w:rPr>
          <w:lang w:val="fr-CH"/>
        </w:rPr>
        <w:t>révues à l’article 2 ci-dessus.</w:t>
      </w:r>
    </w:p>
    <w:p w:rsidR="00E56335" w:rsidRPr="00EB6A07" w:rsidRDefault="00E56335" w:rsidP="00E56335">
      <w:pPr>
        <w:pStyle w:val="SectionNo"/>
        <w:rPr>
          <w:b/>
          <w:bCs/>
          <w:lang w:val="fr-CH"/>
        </w:rPr>
      </w:pPr>
      <w:bookmarkStart w:id="737" w:name="_Toc280261078"/>
      <w:r>
        <w:rPr>
          <w:lang w:val="fr-CH"/>
        </w:rPr>
        <w:t>SECTION III</w:t>
      </w:r>
      <w:r>
        <w:rPr>
          <w:lang w:val="fr-CH"/>
        </w:rPr>
        <w:br/>
      </w:r>
      <w:r>
        <w:rPr>
          <w:lang w:val="fr-CH"/>
        </w:rPr>
        <w:br/>
      </w:r>
      <w:r>
        <w:rPr>
          <w:b/>
          <w:bCs/>
          <w:caps w:val="0"/>
          <w:lang w:val="fr-CH"/>
        </w:rPr>
        <w:t>S</w:t>
      </w:r>
      <w:r w:rsidRPr="00EB6A07">
        <w:rPr>
          <w:b/>
          <w:bCs/>
          <w:caps w:val="0"/>
          <w:lang w:val="fr-CH"/>
        </w:rPr>
        <w:t>tation d’animateur</w:t>
      </w:r>
      <w:bookmarkEnd w:id="737"/>
    </w:p>
    <w:p w:rsidR="00E56335" w:rsidRPr="00E21F0F" w:rsidRDefault="00E56335" w:rsidP="00E56335">
      <w:pPr>
        <w:rPr>
          <w:lang w:val="fr-CH"/>
        </w:rPr>
      </w:pPr>
      <w:r w:rsidRPr="00E21F0F">
        <w:rPr>
          <w:b/>
          <w:bCs/>
          <w:u w:val="single"/>
          <w:lang w:val="fr-CH"/>
        </w:rPr>
        <w:t>Art 4:</w:t>
      </w:r>
      <w:r w:rsidRPr="008057FF">
        <w:rPr>
          <w:b/>
          <w:bCs/>
          <w:lang w:val="fr-CH"/>
        </w:rPr>
        <w:t xml:space="preserve"> </w:t>
      </w:r>
      <w:r w:rsidRPr="00E21F0F">
        <w:rPr>
          <w:lang w:val="fr-CH"/>
        </w:rPr>
        <w:t xml:space="preserve">Les demandeurs ou les titulaires d’autorisation relatives à des stations d’animateurs sont soumis au paiement des taxes ci-après : </w:t>
      </w:r>
    </w:p>
    <w:p w:rsidR="00E56335" w:rsidRDefault="00E56335" w:rsidP="00E56335">
      <w:pPr>
        <w:pStyle w:val="enumlev1"/>
        <w:rPr>
          <w:lang w:val="fr-CH"/>
        </w:rPr>
      </w:pPr>
      <w:r>
        <w:rPr>
          <w:lang w:val="fr-CH"/>
        </w:rPr>
        <w:t>–</w:t>
      </w:r>
      <w:r>
        <w:rPr>
          <w:lang w:val="fr-CH"/>
        </w:rPr>
        <w:tab/>
      </w:r>
      <w:r w:rsidRPr="00E21F0F">
        <w:rPr>
          <w:lang w:val="fr-CH"/>
        </w:rPr>
        <w:t>la taxe de constitution des dossiers,</w:t>
      </w:r>
    </w:p>
    <w:p w:rsidR="00E56335" w:rsidRPr="00E21F0F" w:rsidRDefault="00E56335" w:rsidP="00E56335">
      <w:pPr>
        <w:pStyle w:val="enumlev1"/>
        <w:rPr>
          <w:lang w:val="fr-CH"/>
        </w:rPr>
      </w:pPr>
      <w:r>
        <w:rPr>
          <w:lang w:val="fr-CH"/>
        </w:rPr>
        <w:t>–</w:t>
      </w:r>
      <w:r>
        <w:rPr>
          <w:lang w:val="fr-CH"/>
        </w:rPr>
        <w:tab/>
      </w:r>
      <w:r w:rsidRPr="00E21F0F">
        <w:rPr>
          <w:lang w:val="fr-CH"/>
        </w:rPr>
        <w:t xml:space="preserve">la taxe de visite et de contrôle des stations </w:t>
      </w:r>
    </w:p>
    <w:p w:rsidR="00E56335" w:rsidRPr="00E21F0F" w:rsidRDefault="00E56335" w:rsidP="00E56335">
      <w:pPr>
        <w:pStyle w:val="SectionNo"/>
        <w:rPr>
          <w:lang w:val="fr-CH"/>
        </w:rPr>
      </w:pPr>
      <w:bookmarkStart w:id="738" w:name="_Toc280261079"/>
      <w:r>
        <w:rPr>
          <w:lang w:val="fr-CH"/>
        </w:rPr>
        <w:t>SECTION IV</w:t>
      </w:r>
      <w:bookmarkEnd w:id="738"/>
    </w:p>
    <w:p w:rsidR="00E56335" w:rsidRPr="00E21F0F" w:rsidRDefault="00E56335" w:rsidP="00E56335">
      <w:pPr>
        <w:rPr>
          <w:lang w:val="fr-CH"/>
        </w:rPr>
      </w:pPr>
      <w:r w:rsidRPr="00E21F0F">
        <w:rPr>
          <w:lang w:val="fr-CH"/>
        </w:rPr>
        <w:t xml:space="preserve">Utilisation radioélectrique des services de terre, ainsi que les relations terriennes des services spatiaux, temporairement utilisées, donnent lieu à la perception des taxes redevances et contribution ci-après : </w:t>
      </w:r>
    </w:p>
    <w:p w:rsidR="00E56335" w:rsidRPr="00E21F0F" w:rsidRDefault="00E56335" w:rsidP="00E56335">
      <w:pPr>
        <w:pStyle w:val="SectionNo"/>
        <w:rPr>
          <w:lang w:val="fr-CH"/>
        </w:rPr>
      </w:pPr>
      <w:bookmarkStart w:id="739" w:name="_Toc280261080"/>
      <w:r>
        <w:rPr>
          <w:lang w:val="fr-CH"/>
        </w:rPr>
        <w:lastRenderedPageBreak/>
        <w:t>SECTION V</w:t>
      </w:r>
      <w:r>
        <w:rPr>
          <w:lang w:val="fr-CH"/>
        </w:rPr>
        <w:br/>
      </w:r>
      <w:r>
        <w:rPr>
          <w:lang w:val="fr-CH"/>
        </w:rPr>
        <w:br/>
      </w:r>
      <w:r w:rsidRPr="00650A8B">
        <w:rPr>
          <w:b/>
          <w:bCs/>
          <w:caps w:val="0"/>
          <w:lang w:val="fr-CH"/>
        </w:rPr>
        <w:t>Emetteur-récepteur de faible puissance ou postes «CB»</w:t>
      </w:r>
      <w:bookmarkEnd w:id="739"/>
    </w:p>
    <w:p w:rsidR="00E56335" w:rsidRPr="00E21F0F" w:rsidRDefault="00E56335" w:rsidP="00E56335">
      <w:pPr>
        <w:rPr>
          <w:lang w:val="fr-CH"/>
        </w:rPr>
      </w:pPr>
      <w:r w:rsidRPr="00E21F0F">
        <w:rPr>
          <w:b/>
          <w:bCs/>
          <w:u w:val="single"/>
          <w:lang w:val="fr-CH"/>
        </w:rPr>
        <w:t>Art. 6:</w:t>
      </w:r>
      <w:r w:rsidRPr="007D57F9">
        <w:rPr>
          <w:b/>
          <w:bCs/>
          <w:lang w:val="fr-CH"/>
        </w:rPr>
        <w:t xml:space="preserve"> </w:t>
      </w:r>
      <w:r w:rsidRPr="00E21F0F">
        <w:rPr>
          <w:lang w:val="fr-CH"/>
        </w:rPr>
        <w:t xml:space="preserve">L’utilisation de poste émetteur-récepteur fonctionnant sur les canaux banalisés, dits postes CH, est soumise au paiement d’une redevance forfaitaire, non remboursable au moment de la délivrance de l’autorisation. </w:t>
      </w:r>
    </w:p>
    <w:p w:rsidR="00E56335" w:rsidRPr="00E21F0F" w:rsidRDefault="00E56335" w:rsidP="00E56335">
      <w:pPr>
        <w:pStyle w:val="CM10"/>
        <w:spacing w:after="300" w:line="303" w:lineRule="atLeast"/>
        <w:jc w:val="both"/>
        <w:rPr>
          <w:rFonts w:asciiTheme="majorBidi" w:hAnsiTheme="majorBidi" w:cstheme="majorBidi"/>
          <w:lang w:val="fr-CH"/>
        </w:rPr>
      </w:pPr>
      <w:r w:rsidRPr="00E21F0F">
        <w:rPr>
          <w:rFonts w:asciiTheme="majorBidi" w:hAnsiTheme="majorBidi" w:cstheme="majorBidi"/>
          <w:lang w:val="fr-CH"/>
        </w:rPr>
        <w:t xml:space="preserve">Ne sont pas assujettis à cette redevance, les postes CH ayant au maximum 40 canaux fonctionnant exclusivement en modulation angulaire avec une puissance en crête de modulation de 4 watts maxima. </w:t>
      </w:r>
    </w:p>
    <w:p w:rsidR="00E56335" w:rsidRPr="00650A8B" w:rsidRDefault="00E56335" w:rsidP="00E56335">
      <w:pPr>
        <w:pStyle w:val="SectionNo"/>
        <w:rPr>
          <w:b/>
          <w:bCs/>
          <w:lang w:val="fr-CH"/>
        </w:rPr>
      </w:pPr>
      <w:bookmarkStart w:id="740" w:name="_Toc280261081"/>
      <w:r w:rsidRPr="00E21F0F">
        <w:rPr>
          <w:lang w:val="fr-CH"/>
        </w:rPr>
        <w:t>SECTION VI</w:t>
      </w:r>
      <w:r>
        <w:rPr>
          <w:lang w:val="fr-CH"/>
        </w:rPr>
        <w:br/>
      </w:r>
      <w:r>
        <w:rPr>
          <w:lang w:val="fr-CH"/>
        </w:rPr>
        <w:br/>
      </w:r>
      <w:r w:rsidRPr="00650A8B">
        <w:rPr>
          <w:b/>
          <w:bCs/>
          <w:caps w:val="0"/>
          <w:lang w:val="fr-CH"/>
        </w:rPr>
        <w:t>Installation de radiocommunications de modèles réduits</w:t>
      </w:r>
      <w:bookmarkEnd w:id="740"/>
    </w:p>
    <w:p w:rsidR="00E56335" w:rsidRPr="00E21F0F" w:rsidRDefault="00E56335" w:rsidP="00E56335">
      <w:pPr>
        <w:rPr>
          <w:lang w:val="fr-CH"/>
        </w:rPr>
      </w:pPr>
      <w:r w:rsidRPr="00E21F0F">
        <w:rPr>
          <w:b/>
          <w:bCs/>
          <w:u w:val="single"/>
          <w:lang w:val="fr-CH"/>
        </w:rPr>
        <w:t>Art. 7:</w:t>
      </w:r>
      <w:r w:rsidRPr="007D57F9">
        <w:rPr>
          <w:b/>
          <w:bCs/>
          <w:lang w:val="fr-CH"/>
        </w:rPr>
        <w:t xml:space="preserve"> </w:t>
      </w:r>
      <w:r w:rsidRPr="00E21F0F">
        <w:rPr>
          <w:lang w:val="fr-CH"/>
        </w:rPr>
        <w:t xml:space="preserve">L’utilisation de postes émetteurs de modèles réduits et d’une puissance n’excédant pas cinq (5) watts, destinés à la radiocommande, à l’exception de deux autorisés de plein droit, est soumise au paiement d’une redevance et non remboursable </w:t>
      </w:r>
    </w:p>
    <w:p w:rsidR="00E56335" w:rsidRPr="00E21F0F" w:rsidRDefault="00E56335" w:rsidP="00E56335">
      <w:pPr>
        <w:pStyle w:val="SectionNo"/>
        <w:rPr>
          <w:lang w:val="fr-CH"/>
        </w:rPr>
      </w:pPr>
      <w:bookmarkStart w:id="741" w:name="_Toc280261082"/>
      <w:r w:rsidRPr="00E21F0F">
        <w:rPr>
          <w:lang w:val="fr-CH"/>
        </w:rPr>
        <w:t>SECTION VII</w:t>
      </w:r>
      <w:r>
        <w:rPr>
          <w:lang w:val="fr-CH"/>
        </w:rPr>
        <w:br/>
      </w:r>
      <w:r>
        <w:rPr>
          <w:lang w:val="fr-CH"/>
        </w:rPr>
        <w:br/>
      </w:r>
      <w:r>
        <w:rPr>
          <w:rFonts w:asciiTheme="majorBidi" w:hAnsiTheme="majorBidi" w:cstheme="majorBidi"/>
          <w:b/>
          <w:bCs/>
          <w:caps w:val="0"/>
          <w:lang w:val="fr-CH"/>
        </w:rPr>
        <w:t>T</w:t>
      </w:r>
      <w:r w:rsidRPr="00E21F0F">
        <w:rPr>
          <w:rFonts w:asciiTheme="majorBidi" w:hAnsiTheme="majorBidi" w:cstheme="majorBidi"/>
          <w:b/>
          <w:bCs/>
          <w:caps w:val="0"/>
          <w:lang w:val="fr-CH"/>
        </w:rPr>
        <w:t xml:space="preserve">aux et modalités de paiement des droits, taxes et </w:t>
      </w:r>
      <w:r>
        <w:rPr>
          <w:rFonts w:asciiTheme="majorBidi" w:hAnsiTheme="majorBidi" w:cstheme="majorBidi"/>
          <w:b/>
          <w:bCs/>
          <w:caps w:val="0"/>
          <w:lang w:val="fr-CH"/>
        </w:rPr>
        <w:t>R</w:t>
      </w:r>
      <w:r w:rsidRPr="00E21F0F">
        <w:rPr>
          <w:rFonts w:asciiTheme="majorBidi" w:hAnsiTheme="majorBidi" w:cstheme="majorBidi"/>
          <w:b/>
          <w:bCs/>
          <w:caps w:val="0"/>
          <w:lang w:val="fr-CH"/>
        </w:rPr>
        <w:t>edevances radioélectriques</w:t>
      </w:r>
      <w:bookmarkEnd w:id="741"/>
    </w:p>
    <w:p w:rsidR="00E56335" w:rsidRPr="00E21F0F" w:rsidRDefault="00E56335" w:rsidP="00E56335">
      <w:pPr>
        <w:rPr>
          <w:lang w:val="fr-CH"/>
        </w:rPr>
      </w:pPr>
      <w:r w:rsidRPr="00E21F0F">
        <w:rPr>
          <w:b/>
          <w:bCs/>
          <w:u w:val="single"/>
          <w:lang w:val="fr-CH"/>
        </w:rPr>
        <w:t xml:space="preserve">Art. 8: </w:t>
      </w:r>
      <w:r w:rsidRPr="00E21F0F">
        <w:rPr>
          <w:lang w:val="fr-CH"/>
        </w:rPr>
        <w:t xml:space="preserve">Les modalités de paiement des droits, taxes, redevances et contributions fixés dans les sections I à IV ci-dessus, sont les suivantes : </w:t>
      </w:r>
    </w:p>
    <w:p w:rsidR="00E56335" w:rsidRPr="00E21F0F" w:rsidRDefault="00E56335" w:rsidP="00E56335">
      <w:pPr>
        <w:pStyle w:val="enumlev1"/>
        <w:rPr>
          <w:lang w:val="fr-CH"/>
        </w:rPr>
      </w:pPr>
      <w:r>
        <w:rPr>
          <w:lang w:val="fr-CH"/>
        </w:rPr>
        <w:t>–</w:t>
      </w:r>
      <w:r>
        <w:rPr>
          <w:lang w:val="fr-CH"/>
        </w:rPr>
        <w:tab/>
      </w:r>
      <w:r w:rsidRPr="00E21F0F">
        <w:rPr>
          <w:lang w:val="fr-CH"/>
        </w:rPr>
        <w:t xml:space="preserve">la taxe de constitution de dossier, forfaitaire et non remboursable est due avant la délivrance de l’autorisation </w:t>
      </w:r>
    </w:p>
    <w:p w:rsidR="00E56335" w:rsidRPr="00E21F0F" w:rsidRDefault="00E56335" w:rsidP="00E56335">
      <w:pPr>
        <w:pStyle w:val="enumlev1"/>
        <w:rPr>
          <w:lang w:val="fr-CH"/>
        </w:rPr>
      </w:pPr>
      <w:r>
        <w:rPr>
          <w:lang w:val="fr-CH"/>
        </w:rPr>
        <w:t>–</w:t>
      </w:r>
      <w:r>
        <w:rPr>
          <w:lang w:val="fr-CH"/>
        </w:rPr>
        <w:tab/>
      </w:r>
      <w:r w:rsidRPr="00E21F0F">
        <w:rPr>
          <w:lang w:val="fr-CH"/>
        </w:rPr>
        <w:t xml:space="preserve">la taxe de contrôle des stations et la contribution pour frais de gestion, perçues d’avance, sont dues pour l’année en cours et ne sont pas remboursables. </w:t>
      </w:r>
    </w:p>
    <w:p w:rsidR="00E56335" w:rsidRPr="00E21F0F" w:rsidRDefault="00E56335" w:rsidP="00E56335">
      <w:pPr>
        <w:pStyle w:val="enumlev1"/>
        <w:rPr>
          <w:lang w:val="fr-CH"/>
        </w:rPr>
      </w:pPr>
      <w:r>
        <w:rPr>
          <w:lang w:val="fr-CH"/>
        </w:rPr>
        <w:t>–</w:t>
      </w:r>
      <w:r>
        <w:rPr>
          <w:lang w:val="fr-CH"/>
        </w:rPr>
        <w:tab/>
      </w:r>
      <w:r w:rsidRPr="00E21F0F">
        <w:rPr>
          <w:lang w:val="fr-CH"/>
        </w:rPr>
        <w:t>La redevance due pour l’utilisation de fréquence radioélectrique est annuelle ; la première année à partir de la date de mise en service des stations, et les années suivantes à partir du 1</w:t>
      </w:r>
      <w:r w:rsidRPr="003F001E">
        <w:rPr>
          <w:vertAlign w:val="superscript"/>
          <w:lang w:val="fr-CH"/>
        </w:rPr>
        <w:t>er</w:t>
      </w:r>
      <w:r w:rsidRPr="00E21F0F">
        <w:rPr>
          <w:position w:val="12"/>
          <w:vertAlign w:val="superscript"/>
          <w:lang w:val="fr-CH"/>
        </w:rPr>
        <w:t xml:space="preserve"> </w:t>
      </w:r>
      <w:r w:rsidRPr="00E21F0F">
        <w:rPr>
          <w:lang w:val="fr-CH"/>
        </w:rPr>
        <w:t xml:space="preserve">janvier </w:t>
      </w:r>
    </w:p>
    <w:p w:rsidR="00E56335" w:rsidRPr="00E21F0F" w:rsidRDefault="00E56335" w:rsidP="00E56335">
      <w:pPr>
        <w:rPr>
          <w:lang w:val="fr-CH"/>
        </w:rPr>
      </w:pPr>
      <w:r w:rsidRPr="00E21F0F">
        <w:rPr>
          <w:b/>
          <w:bCs/>
          <w:u w:val="single"/>
          <w:lang w:val="fr-CH"/>
        </w:rPr>
        <w:t xml:space="preserve">Art. 9: </w:t>
      </w:r>
      <w:r w:rsidRPr="00E21F0F">
        <w:rPr>
          <w:lang w:val="fr-CH"/>
        </w:rPr>
        <w:t xml:space="preserve">-Le paiement des taxes et redevances est constaté par la délivrance de vignettes obligatoirement apposés sur les appareils, les véhicules et les navires de plaisance dans le cas des stations mobiles. </w:t>
      </w:r>
    </w:p>
    <w:p w:rsidR="00E56335" w:rsidRPr="00E21F0F" w:rsidRDefault="00E56335" w:rsidP="00E56335">
      <w:pPr>
        <w:pStyle w:val="ChapNo"/>
        <w:rPr>
          <w:lang w:val="fr-CH"/>
        </w:rPr>
      </w:pPr>
      <w:bookmarkStart w:id="742" w:name="_Toc280261083"/>
      <w:r w:rsidRPr="00E21F0F">
        <w:rPr>
          <w:lang w:val="fr-CH"/>
        </w:rPr>
        <w:t>CHAPITRE III</w:t>
      </w:r>
      <w:r>
        <w:rPr>
          <w:lang w:val="fr-CH"/>
        </w:rPr>
        <w:br/>
      </w:r>
      <w:r>
        <w:rPr>
          <w:lang w:val="fr-CH"/>
        </w:rPr>
        <w:br/>
      </w:r>
      <w:r w:rsidRPr="00E21F0F">
        <w:rPr>
          <w:lang w:val="fr-CH"/>
        </w:rPr>
        <w:t>DROITS ET TAXES DIVERS</w:t>
      </w:r>
      <w:bookmarkEnd w:id="742"/>
      <w:r w:rsidRPr="00E21F0F">
        <w:rPr>
          <w:lang w:val="fr-CH"/>
        </w:rPr>
        <w:t xml:space="preserve"> </w:t>
      </w:r>
    </w:p>
    <w:p w:rsidR="00E56335" w:rsidRPr="00E21F0F" w:rsidRDefault="00E56335" w:rsidP="00E56335">
      <w:pPr>
        <w:pStyle w:val="SectionNo"/>
        <w:rPr>
          <w:rFonts w:asciiTheme="majorBidi" w:hAnsiTheme="majorBidi" w:cstheme="majorBidi"/>
          <w:lang w:val="fr-CH"/>
        </w:rPr>
      </w:pPr>
      <w:bookmarkStart w:id="743" w:name="_Toc280261084"/>
      <w:r w:rsidRPr="00E21F0F">
        <w:rPr>
          <w:lang w:val="fr-CH"/>
        </w:rPr>
        <w:t>SECTION I</w:t>
      </w:r>
      <w:r>
        <w:rPr>
          <w:lang w:val="fr-CH"/>
        </w:rPr>
        <w:br/>
      </w:r>
      <w:r>
        <w:rPr>
          <w:lang w:val="fr-CH"/>
        </w:rPr>
        <w:br/>
      </w:r>
      <w:r>
        <w:rPr>
          <w:b/>
          <w:bCs/>
          <w:caps w:val="0"/>
          <w:lang w:val="fr-CH"/>
        </w:rPr>
        <w:t>D</w:t>
      </w:r>
      <w:r w:rsidRPr="00650A8B">
        <w:rPr>
          <w:b/>
          <w:bCs/>
          <w:caps w:val="0"/>
          <w:lang w:val="fr-CH"/>
        </w:rPr>
        <w:t>roits d’examen</w:t>
      </w:r>
      <w:bookmarkEnd w:id="743"/>
    </w:p>
    <w:p w:rsidR="00E56335" w:rsidRPr="00E21F0F" w:rsidRDefault="00E56335" w:rsidP="00E56335">
      <w:pPr>
        <w:rPr>
          <w:lang w:val="fr-CH"/>
        </w:rPr>
      </w:pPr>
      <w:r w:rsidRPr="00E21F0F">
        <w:rPr>
          <w:b/>
          <w:bCs/>
          <w:u w:val="single"/>
          <w:lang w:val="fr-CH"/>
        </w:rPr>
        <w:t>Art. 10</w:t>
      </w:r>
      <w:r w:rsidRPr="00E21F0F">
        <w:rPr>
          <w:lang w:val="fr-CH"/>
        </w:rPr>
        <w:t xml:space="preserve">: -Pour l’obtention du certificat d’opérateur radiotélégraphiste, du certificat d’opérateur radiotéléphonique ou du certificat comportant la double mention, des droits d’examen sont perçus avant le début des épreuves. Des droits de même montant sont dus pour la délivrance du ou desdits certificats aux titulaires d’une attestation militaire de capacité d’opérateur. </w:t>
      </w:r>
    </w:p>
    <w:p w:rsidR="00E56335" w:rsidRPr="00E21F0F" w:rsidRDefault="00E56335" w:rsidP="00E56335">
      <w:pPr>
        <w:rPr>
          <w:lang w:val="fr-CH"/>
        </w:rPr>
      </w:pPr>
      <w:r w:rsidRPr="00E21F0F">
        <w:rPr>
          <w:b/>
          <w:bCs/>
          <w:u w:val="single"/>
          <w:lang w:val="fr-CH"/>
        </w:rPr>
        <w:lastRenderedPageBreak/>
        <w:t>Art. 11</w:t>
      </w:r>
      <w:r w:rsidRPr="00E21F0F">
        <w:rPr>
          <w:lang w:val="fr-CH"/>
        </w:rPr>
        <w:t xml:space="preserve">: Lors de délivrance, du renouvellement ou de l’établissement d’un duplicata de licence de station d’amateur, d’aéronef ou de navire, et d’un certificat d’opérateur, il est perçu un droit forfaitaire et non remboursable. </w:t>
      </w:r>
    </w:p>
    <w:p w:rsidR="00E56335" w:rsidRPr="007260D4" w:rsidRDefault="00E56335" w:rsidP="00E56335">
      <w:pPr>
        <w:pStyle w:val="SectionNo"/>
        <w:rPr>
          <w:b/>
          <w:bCs/>
          <w:lang w:val="fr-CH"/>
        </w:rPr>
      </w:pPr>
      <w:bookmarkStart w:id="744" w:name="_Toc280261085"/>
      <w:r>
        <w:rPr>
          <w:lang w:val="fr-CH"/>
        </w:rPr>
        <w:t>SECTION II</w:t>
      </w:r>
      <w:r>
        <w:rPr>
          <w:lang w:val="fr-CH"/>
        </w:rPr>
        <w:br/>
      </w:r>
      <w:r>
        <w:rPr>
          <w:lang w:val="fr-CH"/>
        </w:rPr>
        <w:br/>
      </w:r>
      <w:r>
        <w:rPr>
          <w:b/>
          <w:bCs/>
          <w:caps w:val="0"/>
          <w:lang w:val="fr-CH"/>
        </w:rPr>
        <w:t>T</w:t>
      </w:r>
      <w:r w:rsidRPr="007260D4">
        <w:rPr>
          <w:b/>
          <w:bCs/>
          <w:caps w:val="0"/>
          <w:lang w:val="fr-CH"/>
        </w:rPr>
        <w:t>axe d’intervention</w:t>
      </w:r>
      <w:bookmarkEnd w:id="744"/>
      <w:r w:rsidRPr="007260D4">
        <w:rPr>
          <w:b/>
          <w:bCs/>
          <w:caps w:val="0"/>
          <w:lang w:val="fr-CH"/>
        </w:rPr>
        <w:t xml:space="preserve"> </w:t>
      </w:r>
    </w:p>
    <w:p w:rsidR="00E56335" w:rsidRPr="00E21F0F" w:rsidRDefault="00E56335" w:rsidP="00E56335">
      <w:pPr>
        <w:rPr>
          <w:lang w:val="fr-CH"/>
        </w:rPr>
      </w:pPr>
      <w:r>
        <w:rPr>
          <w:b/>
          <w:bCs/>
          <w:u w:val="single"/>
          <w:lang w:val="fr-CH"/>
        </w:rPr>
        <w:t>Art. 12</w:t>
      </w:r>
      <w:r w:rsidRPr="00E21F0F">
        <w:rPr>
          <w:b/>
          <w:bCs/>
          <w:u w:val="single"/>
          <w:lang w:val="fr-CH"/>
        </w:rPr>
        <w:t>:</w:t>
      </w:r>
      <w:r w:rsidRPr="003B7A9A">
        <w:rPr>
          <w:b/>
          <w:bCs/>
          <w:lang w:val="fr-CH"/>
        </w:rPr>
        <w:t xml:space="preserve"> </w:t>
      </w:r>
      <w:r w:rsidRPr="00E21F0F">
        <w:rPr>
          <w:lang w:val="fr-CH"/>
        </w:rPr>
        <w:t xml:space="preserve">Les frais exceptionnels occasionnés par le brouillage d’une fréquence radioélectrique régulièrement utilisée ou par la non-conformité des installations visées au chapitre II ci-dessus donnent lieu au paiement d’une contribution forfaitaire par intervention. Cette contribution est due par le propriétaire de la station brouille use ou des installations non conformes. </w:t>
      </w:r>
    </w:p>
    <w:p w:rsidR="00E56335" w:rsidRPr="007260D4" w:rsidRDefault="00E56335" w:rsidP="00E56335">
      <w:pPr>
        <w:pStyle w:val="SectionNo"/>
        <w:rPr>
          <w:b/>
          <w:bCs/>
          <w:lang w:val="fr-CH"/>
        </w:rPr>
      </w:pPr>
      <w:bookmarkStart w:id="745" w:name="_Toc280261086"/>
      <w:r w:rsidRPr="00E21F0F">
        <w:rPr>
          <w:lang w:val="fr-CH"/>
        </w:rPr>
        <w:t xml:space="preserve">SECTION III </w:t>
      </w:r>
      <w:r>
        <w:rPr>
          <w:lang w:val="fr-CH"/>
        </w:rPr>
        <w:br/>
      </w:r>
      <w:r>
        <w:rPr>
          <w:lang w:val="fr-CH"/>
        </w:rPr>
        <w:br/>
      </w:r>
      <w:r>
        <w:rPr>
          <w:b/>
          <w:bCs/>
          <w:caps w:val="0"/>
          <w:lang w:val="fr-CH"/>
        </w:rPr>
        <w:t>T</w:t>
      </w:r>
      <w:r w:rsidRPr="007260D4">
        <w:rPr>
          <w:b/>
          <w:bCs/>
          <w:caps w:val="0"/>
          <w:lang w:val="fr-CH"/>
        </w:rPr>
        <w:t>axe d’agrément</w:t>
      </w:r>
      <w:bookmarkEnd w:id="745"/>
      <w:r w:rsidRPr="007260D4">
        <w:rPr>
          <w:b/>
          <w:bCs/>
          <w:caps w:val="0"/>
          <w:lang w:val="fr-CH"/>
        </w:rPr>
        <w:t xml:space="preserve"> </w:t>
      </w:r>
    </w:p>
    <w:p w:rsidR="00E56335" w:rsidRPr="00E21F0F" w:rsidRDefault="00E56335" w:rsidP="00E56335">
      <w:pPr>
        <w:rPr>
          <w:lang w:val="fr-CH"/>
        </w:rPr>
      </w:pPr>
      <w:r w:rsidRPr="00E21F0F">
        <w:rPr>
          <w:b/>
          <w:bCs/>
          <w:u w:val="single"/>
          <w:lang w:val="fr-CH"/>
        </w:rPr>
        <w:t>Art. 13</w:t>
      </w:r>
      <w:r w:rsidRPr="00E21F0F">
        <w:rPr>
          <w:lang w:val="fr-CH"/>
        </w:rPr>
        <w:t xml:space="preserve">: L’agrément des équipements terminaux et l’admission des installateurs en radiocommunications donnent lieu à le perception des redevances forfaitaires et non remboursables suivantes: </w:t>
      </w:r>
    </w:p>
    <w:p w:rsidR="00E56335" w:rsidRPr="00E21F0F" w:rsidRDefault="00E56335" w:rsidP="00E56335">
      <w:pPr>
        <w:pStyle w:val="enumlev1"/>
        <w:rPr>
          <w:lang w:val="fr-CH"/>
        </w:rPr>
      </w:pPr>
      <w:r w:rsidRPr="00406C3E">
        <w:rPr>
          <w:lang w:val="fr-CH"/>
        </w:rPr>
        <w:t>1)</w:t>
      </w:r>
      <w:r w:rsidRPr="00406C3E">
        <w:rPr>
          <w:lang w:val="fr-CH"/>
        </w:rPr>
        <w:tab/>
      </w:r>
      <w:r w:rsidRPr="00E21F0F">
        <w:rPr>
          <w:b/>
          <w:bCs/>
          <w:lang w:val="fr-CH"/>
        </w:rPr>
        <w:t xml:space="preserve">Pour les équipements </w:t>
      </w:r>
      <w:r w:rsidRPr="00E21F0F">
        <w:rPr>
          <w:lang w:val="fr-CH"/>
        </w:rPr>
        <w:t xml:space="preserve">: une taxe de contribution de dossier et une taxe de dossier et une taxe contrôle technique par équipement. </w:t>
      </w:r>
    </w:p>
    <w:p w:rsidR="00E56335" w:rsidRPr="00E21F0F" w:rsidRDefault="00E56335" w:rsidP="00E56335">
      <w:pPr>
        <w:pStyle w:val="enumlev1"/>
        <w:rPr>
          <w:lang w:val="fr-CH"/>
        </w:rPr>
      </w:pPr>
      <w:r w:rsidRPr="00406C3E">
        <w:rPr>
          <w:lang w:val="fr-CH"/>
        </w:rPr>
        <w:t>2)</w:t>
      </w:r>
      <w:r w:rsidRPr="00406C3E">
        <w:rPr>
          <w:lang w:val="fr-CH"/>
        </w:rPr>
        <w:tab/>
      </w:r>
      <w:r w:rsidRPr="00E21F0F">
        <w:rPr>
          <w:b/>
          <w:bCs/>
          <w:lang w:val="fr-CH"/>
        </w:rPr>
        <w:t xml:space="preserve">Pour les installateurs </w:t>
      </w:r>
      <w:r w:rsidRPr="00E21F0F">
        <w:rPr>
          <w:lang w:val="fr-CH"/>
        </w:rPr>
        <w:t xml:space="preserve">: une taxe de constitution de dossier et une taxe d’agrément perçu à la délivrance ou au renouvellement de l’autorisation. </w:t>
      </w:r>
    </w:p>
    <w:p w:rsidR="00E56335" w:rsidRDefault="00E56335" w:rsidP="00E56335">
      <w:pPr>
        <w:tabs>
          <w:tab w:val="clear" w:pos="794"/>
          <w:tab w:val="clear" w:pos="1191"/>
          <w:tab w:val="clear" w:pos="1588"/>
          <w:tab w:val="clear" w:pos="1985"/>
        </w:tabs>
        <w:overflowPunct/>
        <w:autoSpaceDE/>
        <w:autoSpaceDN/>
        <w:adjustRightInd/>
        <w:spacing w:before="0"/>
        <w:jc w:val="left"/>
        <w:textAlignment w:val="auto"/>
        <w:rPr>
          <w:b/>
          <w:caps/>
          <w:sz w:val="28"/>
          <w:lang w:val="fr-CH"/>
        </w:rPr>
      </w:pPr>
      <w:r>
        <w:rPr>
          <w:lang w:val="fr-CH"/>
        </w:rPr>
        <w:br w:type="page"/>
      </w:r>
    </w:p>
    <w:p w:rsidR="00E56335" w:rsidRPr="00E21F0F" w:rsidRDefault="00E56335" w:rsidP="00E56335">
      <w:pPr>
        <w:pStyle w:val="ChapNo"/>
        <w:rPr>
          <w:lang w:val="fr-CH"/>
        </w:rPr>
      </w:pPr>
      <w:bookmarkStart w:id="746" w:name="_Toc280261087"/>
      <w:r>
        <w:rPr>
          <w:lang w:val="fr-CH"/>
        </w:rPr>
        <w:lastRenderedPageBreak/>
        <w:t>CHAPITRE IV</w:t>
      </w:r>
      <w:bookmarkEnd w:id="746"/>
    </w:p>
    <w:p w:rsidR="00E56335" w:rsidRPr="00E21F0F" w:rsidRDefault="00E56335" w:rsidP="00E56335">
      <w:pPr>
        <w:rPr>
          <w:lang w:val="fr-CH"/>
        </w:rPr>
      </w:pPr>
      <w:r w:rsidRPr="00E21F0F">
        <w:rPr>
          <w:b/>
          <w:bCs/>
          <w:u w:val="single"/>
          <w:lang w:val="fr-CH"/>
        </w:rPr>
        <w:t>Art. 14:</w:t>
      </w:r>
      <w:r w:rsidRPr="002F71C2">
        <w:rPr>
          <w:b/>
          <w:bCs/>
          <w:lang w:val="fr-CH"/>
        </w:rPr>
        <w:t xml:space="preserve"> </w:t>
      </w:r>
      <w:r w:rsidRPr="00E21F0F">
        <w:rPr>
          <w:lang w:val="fr-CH"/>
        </w:rPr>
        <w:t>Les montants des droits, taxes, redevances et contributions sont fixés comme suit :</w:t>
      </w:r>
    </w:p>
    <w:p w:rsidR="00E56335" w:rsidRPr="00E21F0F" w:rsidRDefault="00E56335" w:rsidP="00E56335">
      <w:pPr>
        <w:pStyle w:val="Default"/>
        <w:rPr>
          <w:rFonts w:asciiTheme="majorBidi" w:hAnsiTheme="majorBidi" w:cstheme="majorBidi"/>
          <w:lang w:val="fr-CH"/>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36"/>
        <w:gridCol w:w="1230"/>
        <w:gridCol w:w="1134"/>
        <w:gridCol w:w="1276"/>
        <w:gridCol w:w="1264"/>
      </w:tblGrid>
      <w:tr w:rsidR="00E56335" w:rsidRPr="00E21F0F" w:rsidTr="00015D4C">
        <w:trPr>
          <w:jc w:val="center"/>
        </w:trPr>
        <w:tc>
          <w:tcPr>
            <w:tcW w:w="4536" w:type="dxa"/>
          </w:tcPr>
          <w:p w:rsidR="00E56335" w:rsidRPr="00E21F0F" w:rsidRDefault="00E56335" w:rsidP="00015D4C">
            <w:pPr>
              <w:pStyle w:val="Default"/>
              <w:spacing w:before="60" w:after="60"/>
              <w:rPr>
                <w:rFonts w:asciiTheme="majorBidi" w:hAnsiTheme="majorBidi" w:cstheme="majorBidi"/>
                <w:lang w:val="fr-CH"/>
              </w:rPr>
            </w:pPr>
            <w:r w:rsidRPr="00E21F0F">
              <w:rPr>
                <w:rFonts w:asciiTheme="majorBidi" w:hAnsiTheme="majorBidi" w:cstheme="majorBidi"/>
                <w:lang w:val="fr-CH"/>
              </w:rPr>
              <w:t>B1. régional (moyenne de 100km)</w:t>
            </w:r>
          </w:p>
          <w:p w:rsidR="00E56335" w:rsidRPr="00E21F0F" w:rsidRDefault="00E56335" w:rsidP="00015D4C">
            <w:pPr>
              <w:pStyle w:val="Default"/>
              <w:spacing w:before="60" w:after="60"/>
              <w:rPr>
                <w:rFonts w:asciiTheme="majorBidi" w:hAnsiTheme="majorBidi" w:cstheme="majorBidi"/>
                <w:lang w:val="fr-CH"/>
              </w:rPr>
            </w:pPr>
            <w:r w:rsidRPr="00E21F0F">
              <w:rPr>
                <w:rFonts w:asciiTheme="majorBidi" w:hAnsiTheme="majorBidi" w:cstheme="majorBidi"/>
                <w:lang w:val="fr-CH"/>
              </w:rPr>
              <w:t>B2.</w:t>
            </w:r>
            <w:r>
              <w:rPr>
                <w:rFonts w:asciiTheme="majorBidi" w:hAnsiTheme="majorBidi" w:cstheme="majorBidi"/>
                <w:lang w:val="fr-CH"/>
              </w:rPr>
              <w:t xml:space="preserve"> </w:t>
            </w:r>
            <w:r w:rsidRPr="00E21F0F">
              <w:rPr>
                <w:rFonts w:asciiTheme="majorBidi" w:hAnsiTheme="majorBidi" w:cstheme="majorBidi"/>
                <w:lang w:val="fr-CH"/>
              </w:rPr>
              <w:t>réseau int</w:t>
            </w:r>
            <w:r>
              <w:rPr>
                <w:rFonts w:asciiTheme="majorBidi" w:hAnsiTheme="majorBidi" w:cstheme="majorBidi"/>
                <w:lang w:val="fr-CH"/>
              </w:rPr>
              <w:t>er-régional (moyenne</w:t>
            </w:r>
            <w:r>
              <w:rPr>
                <w:rFonts w:asciiTheme="majorBidi" w:hAnsiTheme="majorBidi" w:cstheme="majorBidi"/>
                <w:lang w:val="fr-CH"/>
              </w:rPr>
              <w:br/>
              <w:t>de 250 km)</w:t>
            </w:r>
          </w:p>
          <w:p w:rsidR="00E56335" w:rsidRDefault="00E56335" w:rsidP="00015D4C">
            <w:pPr>
              <w:pStyle w:val="Default"/>
              <w:spacing w:before="60" w:after="60"/>
              <w:rPr>
                <w:rFonts w:asciiTheme="majorBidi" w:hAnsiTheme="majorBidi" w:cstheme="majorBidi"/>
                <w:lang w:val="fr-CH"/>
              </w:rPr>
            </w:pPr>
            <w:r w:rsidRPr="00E21F0F">
              <w:rPr>
                <w:rFonts w:asciiTheme="majorBidi" w:hAnsiTheme="majorBidi" w:cstheme="majorBidi"/>
                <w:lang w:val="fr-CH"/>
              </w:rPr>
              <w:t>B3. rése</w:t>
            </w:r>
            <w:r>
              <w:rPr>
                <w:rFonts w:asciiTheme="majorBidi" w:hAnsiTheme="majorBidi" w:cstheme="majorBidi"/>
                <w:lang w:val="fr-CH"/>
              </w:rPr>
              <w:t>au national (moyenne de 500 km)</w:t>
            </w:r>
          </w:p>
          <w:p w:rsidR="00E56335" w:rsidRPr="00E21F0F" w:rsidRDefault="00E56335" w:rsidP="00015D4C">
            <w:pPr>
              <w:pStyle w:val="Default"/>
              <w:spacing w:before="60" w:after="60"/>
              <w:rPr>
                <w:rFonts w:asciiTheme="majorBidi" w:hAnsiTheme="majorBidi" w:cstheme="majorBidi"/>
                <w:lang w:val="fr-CH"/>
              </w:rPr>
            </w:pPr>
          </w:p>
          <w:p w:rsidR="00E56335" w:rsidRPr="00E21F0F" w:rsidRDefault="00E56335" w:rsidP="00015D4C">
            <w:pPr>
              <w:pStyle w:val="Default"/>
              <w:spacing w:before="60" w:after="60"/>
              <w:rPr>
                <w:rFonts w:asciiTheme="majorBidi" w:hAnsiTheme="majorBidi" w:cstheme="majorBidi"/>
                <w:lang w:val="fr-CH"/>
              </w:rPr>
            </w:pPr>
            <w:r w:rsidRPr="00E21F0F">
              <w:rPr>
                <w:rFonts w:asciiTheme="majorBidi" w:hAnsiTheme="majorBidi" w:cstheme="majorBidi"/>
                <w:lang w:val="fr-CH"/>
              </w:rPr>
              <w:t>C1.</w:t>
            </w:r>
            <w:r>
              <w:rPr>
                <w:rFonts w:asciiTheme="majorBidi" w:hAnsiTheme="majorBidi" w:cstheme="majorBidi"/>
                <w:lang w:val="fr-CH"/>
              </w:rPr>
              <w:t xml:space="preserve"> </w:t>
            </w:r>
            <w:r w:rsidRPr="00E21F0F">
              <w:rPr>
                <w:rFonts w:asciiTheme="majorBidi" w:hAnsiTheme="majorBidi" w:cstheme="majorBidi"/>
                <w:lang w:val="fr-CH"/>
              </w:rPr>
              <w:t>réseau</w:t>
            </w:r>
            <w:r>
              <w:rPr>
                <w:rFonts w:asciiTheme="majorBidi" w:hAnsiTheme="majorBidi" w:cstheme="majorBidi"/>
                <w:lang w:val="fr-CH"/>
              </w:rPr>
              <w:t xml:space="preserve"> comportant moins de 5 stations</w:t>
            </w:r>
          </w:p>
          <w:p w:rsidR="00E56335" w:rsidRDefault="00E56335" w:rsidP="00015D4C">
            <w:pPr>
              <w:pStyle w:val="Default"/>
              <w:spacing w:before="60" w:after="60"/>
              <w:rPr>
                <w:rFonts w:asciiTheme="majorBidi" w:hAnsiTheme="majorBidi" w:cstheme="majorBidi"/>
                <w:lang w:val="fr-CH"/>
              </w:rPr>
            </w:pPr>
            <w:r w:rsidRPr="00E21F0F">
              <w:rPr>
                <w:rFonts w:asciiTheme="majorBidi" w:hAnsiTheme="majorBidi" w:cstheme="majorBidi"/>
                <w:lang w:val="fr-CH"/>
              </w:rPr>
              <w:t>C2.</w:t>
            </w:r>
            <w:r>
              <w:rPr>
                <w:rFonts w:asciiTheme="majorBidi" w:hAnsiTheme="majorBidi" w:cstheme="majorBidi"/>
                <w:lang w:val="fr-CH"/>
              </w:rPr>
              <w:t xml:space="preserve"> réseau de 5 à 10 stations</w:t>
            </w:r>
          </w:p>
          <w:p w:rsidR="00E56335" w:rsidRDefault="00E56335" w:rsidP="00015D4C">
            <w:pPr>
              <w:pStyle w:val="Default"/>
              <w:spacing w:before="60" w:after="60"/>
              <w:rPr>
                <w:rFonts w:asciiTheme="majorBidi" w:hAnsiTheme="majorBidi" w:cstheme="majorBidi"/>
                <w:lang w:val="fr-CH"/>
              </w:rPr>
            </w:pPr>
            <w:r w:rsidRPr="00E21F0F">
              <w:rPr>
                <w:rFonts w:asciiTheme="majorBidi" w:hAnsiTheme="majorBidi" w:cstheme="majorBidi"/>
                <w:lang w:val="fr-CH"/>
              </w:rPr>
              <w:t>C3</w:t>
            </w:r>
            <w:r>
              <w:rPr>
                <w:rFonts w:asciiTheme="majorBidi" w:hAnsiTheme="majorBidi" w:cstheme="majorBidi"/>
                <w:lang w:val="fr-CH"/>
              </w:rPr>
              <w:t>. réseau de plus de 10 stations</w:t>
            </w:r>
          </w:p>
          <w:p w:rsidR="00E56335" w:rsidRDefault="00E56335" w:rsidP="00015D4C">
            <w:pPr>
              <w:pStyle w:val="Default"/>
              <w:spacing w:before="60" w:after="60"/>
              <w:rPr>
                <w:rFonts w:asciiTheme="majorBidi" w:hAnsiTheme="majorBidi" w:cstheme="majorBidi"/>
                <w:lang w:val="fr-CH"/>
              </w:rPr>
            </w:pPr>
          </w:p>
          <w:p w:rsidR="00E56335" w:rsidRDefault="00E56335" w:rsidP="00015D4C">
            <w:pPr>
              <w:pStyle w:val="Default"/>
              <w:spacing w:before="60" w:after="60"/>
              <w:rPr>
                <w:rFonts w:asciiTheme="majorBidi" w:hAnsiTheme="majorBidi" w:cstheme="majorBidi"/>
                <w:lang w:val="fr-CH"/>
              </w:rPr>
            </w:pPr>
            <w:r w:rsidRPr="00E21F0F">
              <w:rPr>
                <w:rFonts w:asciiTheme="majorBidi" w:hAnsiTheme="majorBidi" w:cstheme="majorBidi"/>
                <w:lang w:val="fr-CH"/>
              </w:rPr>
              <w:t>1.3-Réseau de radio recherche/ radiomessagerie (Pagi</w:t>
            </w:r>
            <w:r>
              <w:rPr>
                <w:rFonts w:asciiTheme="majorBidi" w:hAnsiTheme="majorBidi" w:cstheme="majorBidi"/>
                <w:lang w:val="fr-CH"/>
              </w:rPr>
              <w:t>ng) largeur du canal = 12,5 KHz</w:t>
            </w:r>
          </w:p>
          <w:p w:rsidR="00E56335" w:rsidRDefault="00E56335" w:rsidP="00015D4C">
            <w:pPr>
              <w:pStyle w:val="Default"/>
              <w:spacing w:before="60" w:after="60"/>
              <w:rPr>
                <w:rFonts w:asciiTheme="majorBidi" w:hAnsiTheme="majorBidi" w:cstheme="majorBidi"/>
                <w:lang w:val="fr-CH"/>
              </w:rPr>
            </w:pPr>
          </w:p>
          <w:p w:rsidR="00E56335" w:rsidRDefault="00E56335" w:rsidP="00015D4C">
            <w:pPr>
              <w:pStyle w:val="Default"/>
              <w:spacing w:before="60" w:after="60"/>
              <w:rPr>
                <w:rFonts w:asciiTheme="majorBidi" w:hAnsiTheme="majorBidi" w:cstheme="majorBidi"/>
                <w:lang w:val="fr-CH"/>
              </w:rPr>
            </w:pPr>
            <w:r w:rsidRPr="00E21F0F">
              <w:rPr>
                <w:rFonts w:asciiTheme="majorBidi" w:hAnsiTheme="majorBidi" w:cstheme="majorBidi"/>
                <w:lang w:val="fr-CH"/>
              </w:rPr>
              <w:t>A1. réseau local (urbain)</w:t>
            </w:r>
          </w:p>
          <w:p w:rsidR="00E56335" w:rsidRDefault="00E56335" w:rsidP="00015D4C">
            <w:pPr>
              <w:pStyle w:val="Default"/>
              <w:spacing w:before="60" w:after="60"/>
              <w:rPr>
                <w:rFonts w:asciiTheme="majorBidi" w:hAnsiTheme="majorBidi" w:cstheme="majorBidi"/>
                <w:lang w:val="fr-CH"/>
              </w:rPr>
            </w:pPr>
            <w:r w:rsidRPr="00E21F0F">
              <w:rPr>
                <w:rFonts w:asciiTheme="majorBidi" w:hAnsiTheme="majorBidi" w:cstheme="majorBidi"/>
                <w:lang w:val="fr-CH"/>
              </w:rPr>
              <w:t>A2</w:t>
            </w:r>
            <w:r>
              <w:rPr>
                <w:rFonts w:asciiTheme="majorBidi" w:hAnsiTheme="majorBidi" w:cstheme="majorBidi"/>
                <w:lang w:val="fr-CH"/>
              </w:rPr>
              <w:t>. réseau régional (interurbain)</w:t>
            </w:r>
          </w:p>
          <w:p w:rsidR="00E56335" w:rsidRDefault="00E56335" w:rsidP="00015D4C">
            <w:pPr>
              <w:pStyle w:val="Default"/>
              <w:spacing w:before="60" w:after="60"/>
              <w:rPr>
                <w:rFonts w:asciiTheme="majorBidi" w:hAnsiTheme="majorBidi" w:cstheme="majorBidi"/>
                <w:lang w:val="fr-CH"/>
              </w:rPr>
            </w:pPr>
            <w:r w:rsidRPr="00E21F0F">
              <w:rPr>
                <w:rFonts w:asciiTheme="majorBidi" w:hAnsiTheme="majorBidi" w:cstheme="majorBidi"/>
                <w:lang w:val="fr-CH"/>
              </w:rPr>
              <w:t>A3. réseau national</w:t>
            </w:r>
          </w:p>
          <w:p w:rsidR="00E56335" w:rsidRDefault="00E56335" w:rsidP="00015D4C">
            <w:pPr>
              <w:pStyle w:val="Default"/>
              <w:spacing w:before="60" w:after="60"/>
              <w:rPr>
                <w:rFonts w:asciiTheme="majorBidi" w:hAnsiTheme="majorBidi" w:cstheme="majorBidi"/>
                <w:lang w:val="fr-CH"/>
              </w:rPr>
            </w:pPr>
          </w:p>
          <w:p w:rsidR="00E56335" w:rsidRDefault="00E56335" w:rsidP="00015D4C">
            <w:pPr>
              <w:pStyle w:val="Default"/>
              <w:spacing w:before="60" w:after="60"/>
              <w:rPr>
                <w:rFonts w:asciiTheme="majorBidi" w:hAnsiTheme="majorBidi" w:cstheme="majorBidi"/>
                <w:lang w:val="fr-CH"/>
              </w:rPr>
            </w:pPr>
            <w:r w:rsidRPr="00E21F0F">
              <w:rPr>
                <w:rFonts w:asciiTheme="majorBidi" w:hAnsiTheme="majorBidi" w:cstheme="majorBidi"/>
                <w:lang w:val="fr-CH"/>
              </w:rPr>
              <w:t>B1. Station de base</w:t>
            </w:r>
          </w:p>
          <w:p w:rsidR="00E56335" w:rsidRDefault="00E56335" w:rsidP="00015D4C">
            <w:pPr>
              <w:pStyle w:val="Default"/>
              <w:spacing w:before="60" w:after="60"/>
              <w:rPr>
                <w:rFonts w:asciiTheme="majorBidi" w:hAnsiTheme="majorBidi" w:cstheme="majorBidi"/>
                <w:lang w:val="fr-CH"/>
              </w:rPr>
            </w:pPr>
            <w:r w:rsidRPr="00E21F0F">
              <w:rPr>
                <w:rFonts w:asciiTheme="majorBidi" w:hAnsiTheme="majorBidi" w:cstheme="majorBidi"/>
                <w:lang w:val="fr-CH"/>
              </w:rPr>
              <w:t>C1. fréqu</w:t>
            </w:r>
            <w:r>
              <w:rPr>
                <w:rFonts w:asciiTheme="majorBidi" w:hAnsiTheme="majorBidi" w:cstheme="majorBidi"/>
                <w:lang w:val="fr-CH"/>
              </w:rPr>
              <w:t>ence disponible localement</w:t>
            </w:r>
          </w:p>
          <w:p w:rsidR="00E56335" w:rsidRDefault="00E56335" w:rsidP="00015D4C">
            <w:pPr>
              <w:pStyle w:val="Default"/>
              <w:spacing w:before="60" w:after="60"/>
              <w:rPr>
                <w:rFonts w:asciiTheme="majorBidi" w:hAnsiTheme="majorBidi" w:cstheme="majorBidi"/>
                <w:lang w:val="fr-CH"/>
              </w:rPr>
            </w:pPr>
            <w:r w:rsidRPr="00E21F0F">
              <w:rPr>
                <w:rFonts w:asciiTheme="majorBidi" w:hAnsiTheme="majorBidi" w:cstheme="majorBidi"/>
                <w:lang w:val="fr-CH"/>
              </w:rPr>
              <w:t>C2. fréque</w:t>
            </w:r>
            <w:r>
              <w:rPr>
                <w:rFonts w:asciiTheme="majorBidi" w:hAnsiTheme="majorBidi" w:cstheme="majorBidi"/>
                <w:lang w:val="fr-CH"/>
              </w:rPr>
              <w:t>nce disponible au plan régional</w:t>
            </w:r>
          </w:p>
          <w:p w:rsidR="00E56335" w:rsidRPr="00E21F0F" w:rsidRDefault="00E56335" w:rsidP="00015D4C">
            <w:pPr>
              <w:pStyle w:val="Default"/>
              <w:spacing w:before="60" w:after="60"/>
              <w:rPr>
                <w:rFonts w:asciiTheme="majorBidi" w:hAnsiTheme="majorBidi" w:cstheme="majorBidi"/>
                <w:lang w:val="fr-CH"/>
              </w:rPr>
            </w:pPr>
            <w:r w:rsidRPr="00E21F0F">
              <w:rPr>
                <w:rFonts w:asciiTheme="majorBidi" w:hAnsiTheme="majorBidi" w:cstheme="majorBidi"/>
                <w:lang w:val="fr-CH"/>
              </w:rPr>
              <w:t>C3. fréquence sur l’</w:t>
            </w:r>
            <w:r>
              <w:rPr>
                <w:rFonts w:asciiTheme="majorBidi" w:hAnsiTheme="majorBidi" w:cstheme="majorBidi"/>
                <w:lang w:val="fr-CH"/>
              </w:rPr>
              <w:t>ensemble du territoire national</w:t>
            </w:r>
          </w:p>
          <w:p w:rsidR="00E56335" w:rsidRPr="00E21F0F" w:rsidRDefault="00E56335" w:rsidP="00015D4C">
            <w:pPr>
              <w:pStyle w:val="Default"/>
              <w:spacing w:before="60" w:after="60"/>
              <w:rPr>
                <w:rFonts w:asciiTheme="majorBidi" w:hAnsiTheme="majorBidi" w:cstheme="majorBidi"/>
                <w:lang w:val="fr-CH"/>
              </w:rPr>
            </w:pPr>
            <w:r w:rsidRPr="00E21F0F">
              <w:rPr>
                <w:rFonts w:asciiTheme="majorBidi" w:hAnsiTheme="majorBidi" w:cstheme="majorBidi"/>
                <w:lang w:val="fr-CH"/>
              </w:rPr>
              <w:t>14.</w:t>
            </w:r>
            <w:r>
              <w:rPr>
                <w:rFonts w:asciiTheme="majorBidi" w:hAnsiTheme="majorBidi" w:cstheme="majorBidi"/>
                <w:lang w:val="fr-CH"/>
              </w:rPr>
              <w:t xml:space="preserve"> </w:t>
            </w:r>
            <w:r w:rsidRPr="00E21F0F">
              <w:rPr>
                <w:rFonts w:asciiTheme="majorBidi" w:hAnsiTheme="majorBidi" w:cstheme="majorBidi"/>
                <w:lang w:val="fr-CH"/>
              </w:rPr>
              <w:t xml:space="preserve">réseau à </w:t>
            </w:r>
            <w:r>
              <w:rPr>
                <w:rFonts w:asciiTheme="majorBidi" w:hAnsiTheme="majorBidi" w:cstheme="majorBidi"/>
                <w:lang w:val="fr-CH"/>
              </w:rPr>
              <w:t>ressources partagées (Trunking)</w:t>
            </w:r>
          </w:p>
          <w:p w:rsidR="00E56335" w:rsidRPr="00871C74" w:rsidRDefault="00E56335" w:rsidP="00015D4C">
            <w:pPr>
              <w:pStyle w:val="Default"/>
              <w:spacing w:before="60" w:after="60"/>
              <w:rPr>
                <w:rFonts w:asciiTheme="majorBidi" w:hAnsiTheme="majorBidi" w:cstheme="majorBidi"/>
                <w:lang w:val="fr-CH"/>
              </w:rPr>
            </w:pPr>
            <w:r w:rsidRPr="00871C74">
              <w:rPr>
                <w:rFonts w:asciiTheme="majorBidi" w:hAnsiTheme="majorBidi" w:cstheme="majorBidi"/>
                <w:lang w:val="fr-CH"/>
              </w:rPr>
              <w:t>(largeur du canal = 12,5 KHZ)</w:t>
            </w:r>
          </w:p>
          <w:p w:rsidR="00E56335" w:rsidRPr="00871C74" w:rsidRDefault="00E56335" w:rsidP="00015D4C">
            <w:pPr>
              <w:pStyle w:val="Default"/>
              <w:spacing w:before="60" w:after="60"/>
              <w:rPr>
                <w:rFonts w:asciiTheme="majorBidi" w:hAnsiTheme="majorBidi" w:cstheme="majorBidi"/>
                <w:lang w:val="fr-CH"/>
              </w:rPr>
            </w:pPr>
          </w:p>
          <w:p w:rsidR="00E56335" w:rsidRPr="00871C74" w:rsidRDefault="00E56335" w:rsidP="00015D4C">
            <w:pPr>
              <w:pStyle w:val="Default"/>
              <w:spacing w:before="60" w:after="60"/>
              <w:rPr>
                <w:rFonts w:asciiTheme="majorBidi" w:hAnsiTheme="majorBidi" w:cstheme="majorBidi"/>
                <w:lang w:val="fr-CH"/>
              </w:rPr>
            </w:pPr>
            <w:r w:rsidRPr="00871C74">
              <w:rPr>
                <w:rFonts w:asciiTheme="majorBidi" w:hAnsiTheme="majorBidi" w:cstheme="majorBidi"/>
                <w:lang w:val="fr-CH"/>
              </w:rPr>
              <w:t>A1. réseau local (urbain)</w:t>
            </w:r>
          </w:p>
          <w:p w:rsidR="00E56335" w:rsidRPr="00871C74" w:rsidRDefault="00E56335" w:rsidP="00015D4C">
            <w:pPr>
              <w:pStyle w:val="Default"/>
              <w:spacing w:before="60" w:after="60"/>
              <w:rPr>
                <w:rFonts w:asciiTheme="majorBidi" w:hAnsiTheme="majorBidi" w:cstheme="majorBidi"/>
                <w:lang w:val="fr-CH"/>
              </w:rPr>
            </w:pPr>
            <w:r w:rsidRPr="00871C74">
              <w:rPr>
                <w:rFonts w:asciiTheme="majorBidi" w:hAnsiTheme="majorBidi" w:cstheme="majorBidi"/>
                <w:lang w:val="fr-CH"/>
              </w:rPr>
              <w:t>A2. réseau interurbain)</w:t>
            </w:r>
          </w:p>
          <w:p w:rsidR="00E56335" w:rsidRDefault="00E56335" w:rsidP="00015D4C">
            <w:pPr>
              <w:pStyle w:val="Default"/>
              <w:spacing w:before="60" w:after="60"/>
              <w:rPr>
                <w:rFonts w:asciiTheme="majorBidi" w:hAnsiTheme="majorBidi" w:cstheme="majorBidi"/>
                <w:lang w:val="fr-CH"/>
              </w:rPr>
            </w:pPr>
            <w:r>
              <w:rPr>
                <w:rFonts w:asciiTheme="majorBidi" w:hAnsiTheme="majorBidi" w:cstheme="majorBidi"/>
                <w:lang w:val="fr-CH"/>
              </w:rPr>
              <w:t>A3. réseau national</w:t>
            </w:r>
          </w:p>
          <w:p w:rsidR="00E56335" w:rsidRDefault="00E56335" w:rsidP="00015D4C">
            <w:pPr>
              <w:pStyle w:val="Default"/>
              <w:spacing w:before="60" w:after="60"/>
              <w:rPr>
                <w:rFonts w:asciiTheme="majorBidi" w:hAnsiTheme="majorBidi" w:cstheme="majorBidi"/>
                <w:lang w:val="fr-CH"/>
              </w:rPr>
            </w:pPr>
          </w:p>
          <w:p w:rsidR="00E56335" w:rsidRDefault="00E56335" w:rsidP="00015D4C">
            <w:pPr>
              <w:pStyle w:val="Default"/>
              <w:spacing w:before="60" w:after="60"/>
              <w:rPr>
                <w:rFonts w:asciiTheme="majorBidi" w:hAnsiTheme="majorBidi" w:cstheme="majorBidi"/>
                <w:lang w:val="fr-CH"/>
              </w:rPr>
            </w:pPr>
            <w:r>
              <w:rPr>
                <w:rFonts w:asciiTheme="majorBidi" w:hAnsiTheme="majorBidi" w:cstheme="majorBidi"/>
                <w:lang w:val="fr-CH"/>
              </w:rPr>
              <w:t>B1. station de base</w:t>
            </w:r>
          </w:p>
          <w:p w:rsidR="00E56335" w:rsidRDefault="00E56335" w:rsidP="00015D4C">
            <w:pPr>
              <w:pStyle w:val="Default"/>
              <w:spacing w:before="60" w:after="60"/>
              <w:rPr>
                <w:rFonts w:asciiTheme="majorBidi" w:hAnsiTheme="majorBidi" w:cstheme="majorBidi"/>
                <w:lang w:val="fr-CH"/>
              </w:rPr>
            </w:pPr>
          </w:p>
          <w:p w:rsidR="00E56335" w:rsidRDefault="00E56335" w:rsidP="00015D4C">
            <w:pPr>
              <w:pStyle w:val="Default"/>
              <w:spacing w:before="60" w:after="60"/>
              <w:rPr>
                <w:rFonts w:asciiTheme="majorBidi" w:hAnsiTheme="majorBidi" w:cstheme="majorBidi"/>
                <w:lang w:val="fr-CH"/>
              </w:rPr>
            </w:pPr>
            <w:r w:rsidRPr="00E21F0F">
              <w:rPr>
                <w:rFonts w:asciiTheme="majorBidi" w:hAnsiTheme="majorBidi" w:cstheme="majorBidi"/>
                <w:lang w:val="fr-CH"/>
              </w:rPr>
              <w:t>C1. can</w:t>
            </w:r>
            <w:r>
              <w:rPr>
                <w:rFonts w:asciiTheme="majorBidi" w:hAnsiTheme="majorBidi" w:cstheme="majorBidi"/>
                <w:lang w:val="fr-CH"/>
              </w:rPr>
              <w:t>al duplex disponible localement</w:t>
            </w:r>
          </w:p>
          <w:p w:rsidR="00E56335" w:rsidRDefault="00E56335" w:rsidP="00015D4C">
            <w:pPr>
              <w:pStyle w:val="Default"/>
              <w:spacing w:before="60" w:after="60"/>
              <w:rPr>
                <w:rFonts w:asciiTheme="majorBidi" w:hAnsiTheme="majorBidi" w:cstheme="majorBidi"/>
                <w:lang w:val="fr-CH"/>
              </w:rPr>
            </w:pPr>
            <w:r>
              <w:rPr>
                <w:rFonts w:asciiTheme="majorBidi" w:hAnsiTheme="majorBidi" w:cstheme="majorBidi"/>
                <w:lang w:val="fr-CH"/>
              </w:rPr>
              <w:t>C2. canal duplex disponible</w:t>
            </w:r>
          </w:p>
          <w:p w:rsidR="00E56335" w:rsidRPr="00E21F0F" w:rsidRDefault="00E56335" w:rsidP="00015D4C">
            <w:pPr>
              <w:pStyle w:val="Default"/>
              <w:spacing w:before="60" w:after="60"/>
              <w:rPr>
                <w:rFonts w:asciiTheme="majorBidi" w:hAnsiTheme="majorBidi" w:cstheme="majorBidi"/>
                <w:lang w:val="fr-CH"/>
              </w:rPr>
            </w:pPr>
            <w:r w:rsidRPr="00E21F0F">
              <w:rPr>
                <w:rFonts w:asciiTheme="majorBidi" w:hAnsiTheme="majorBidi" w:cstheme="majorBidi"/>
                <w:lang w:val="fr-CH"/>
              </w:rPr>
              <w:t xml:space="preserve">C3. canal duplex disponible sur l’ensemble du territoire national </w:t>
            </w:r>
          </w:p>
        </w:tc>
        <w:tc>
          <w:tcPr>
            <w:tcW w:w="1230" w:type="dxa"/>
          </w:tcPr>
          <w:p w:rsidR="00E56335" w:rsidRPr="00871C74" w:rsidRDefault="00E56335" w:rsidP="00015D4C">
            <w:pPr>
              <w:pStyle w:val="Default"/>
              <w:spacing w:before="60" w:after="60"/>
              <w:jc w:val="center"/>
              <w:rPr>
                <w:rFonts w:asciiTheme="majorBidi" w:hAnsiTheme="majorBidi" w:cstheme="majorBidi"/>
                <w:lang w:val="fr-CH"/>
              </w:rPr>
            </w:pPr>
          </w:p>
          <w:p w:rsidR="00E56335" w:rsidRPr="00871C74" w:rsidRDefault="00E56335" w:rsidP="00015D4C">
            <w:pPr>
              <w:pStyle w:val="Default"/>
              <w:spacing w:before="60" w:after="60"/>
              <w:jc w:val="center"/>
              <w:rPr>
                <w:rFonts w:asciiTheme="majorBidi" w:hAnsiTheme="majorBidi" w:cstheme="majorBidi"/>
                <w:lang w:val="fr-CH"/>
              </w:rPr>
            </w:pPr>
            <w:r w:rsidRPr="00871C74">
              <w:rPr>
                <w:rFonts w:asciiTheme="majorBidi" w:hAnsiTheme="majorBidi" w:cstheme="majorBidi"/>
                <w:lang w:val="fr-CH"/>
              </w:rPr>
              <w:br/>
            </w:r>
          </w:p>
          <w:p w:rsidR="00E56335" w:rsidRPr="00871C74" w:rsidRDefault="00E56335" w:rsidP="00015D4C">
            <w:pPr>
              <w:pStyle w:val="Default"/>
              <w:spacing w:before="60" w:after="60"/>
              <w:jc w:val="center"/>
              <w:rPr>
                <w:rFonts w:asciiTheme="majorBidi" w:hAnsiTheme="majorBidi" w:cstheme="majorBidi"/>
                <w:lang w:val="fr-CH"/>
              </w:rPr>
            </w:pPr>
          </w:p>
          <w:p w:rsidR="00E56335" w:rsidRPr="00871C74" w:rsidRDefault="00E56335" w:rsidP="00015D4C">
            <w:pPr>
              <w:pStyle w:val="Default"/>
              <w:spacing w:before="60" w:after="60"/>
              <w:jc w:val="center"/>
              <w:rPr>
                <w:rFonts w:asciiTheme="majorBidi" w:hAnsiTheme="majorBidi" w:cstheme="majorBidi"/>
                <w:lang w:val="fr-CH"/>
              </w:rPr>
            </w:pPr>
          </w:p>
          <w:p w:rsidR="00E56335" w:rsidRPr="00871C74" w:rsidRDefault="00E56335" w:rsidP="00015D4C">
            <w:pPr>
              <w:pStyle w:val="Default"/>
              <w:spacing w:before="60" w:after="60"/>
              <w:jc w:val="center"/>
              <w:rPr>
                <w:rFonts w:asciiTheme="majorBidi" w:hAnsiTheme="majorBidi" w:cstheme="majorBidi"/>
                <w:lang w:val="fr-CH"/>
              </w:rPr>
            </w:pPr>
          </w:p>
          <w:p w:rsidR="00E56335" w:rsidRPr="00871C74" w:rsidRDefault="00E56335" w:rsidP="00015D4C">
            <w:pPr>
              <w:pStyle w:val="Default"/>
              <w:spacing w:before="60" w:after="60"/>
              <w:jc w:val="center"/>
              <w:rPr>
                <w:rFonts w:asciiTheme="majorBidi" w:hAnsiTheme="majorBidi" w:cstheme="majorBidi"/>
                <w:lang w:val="fr-CH"/>
              </w:rPr>
            </w:pPr>
          </w:p>
          <w:p w:rsidR="00E56335" w:rsidRPr="00871C74" w:rsidRDefault="00E56335" w:rsidP="00015D4C">
            <w:pPr>
              <w:pStyle w:val="Default"/>
              <w:spacing w:before="60" w:after="60"/>
              <w:jc w:val="center"/>
              <w:rPr>
                <w:rFonts w:asciiTheme="majorBidi" w:hAnsiTheme="majorBidi" w:cstheme="majorBidi"/>
                <w:lang w:val="fr-CH"/>
              </w:rPr>
            </w:pPr>
          </w:p>
          <w:p w:rsidR="00E56335" w:rsidRPr="00871C74" w:rsidRDefault="00E56335" w:rsidP="00015D4C">
            <w:pPr>
              <w:pStyle w:val="Default"/>
              <w:spacing w:before="60" w:after="60"/>
              <w:jc w:val="center"/>
              <w:rPr>
                <w:rFonts w:asciiTheme="majorBidi" w:hAnsiTheme="majorBidi" w:cstheme="majorBidi"/>
                <w:lang w:val="fr-CH"/>
              </w:rPr>
            </w:pPr>
          </w:p>
          <w:p w:rsidR="00E56335" w:rsidRPr="00871C74" w:rsidRDefault="00E56335" w:rsidP="00015D4C">
            <w:pPr>
              <w:pStyle w:val="Default"/>
              <w:spacing w:before="60" w:after="60"/>
              <w:jc w:val="center"/>
              <w:rPr>
                <w:rFonts w:asciiTheme="majorBidi" w:hAnsiTheme="majorBidi" w:cstheme="majorBidi"/>
                <w:lang w:val="fr-CH"/>
              </w:rPr>
            </w:pPr>
            <w:r w:rsidRPr="00871C74">
              <w:rPr>
                <w:rFonts w:asciiTheme="majorBidi" w:hAnsiTheme="majorBidi" w:cstheme="majorBidi"/>
                <w:lang w:val="fr-CH"/>
              </w:rPr>
              <w:br/>
            </w:r>
            <w:r w:rsidRPr="00871C74">
              <w:rPr>
                <w:rFonts w:asciiTheme="majorBidi" w:hAnsiTheme="majorBidi" w:cstheme="majorBidi"/>
                <w:lang w:val="fr-CH"/>
              </w:rPr>
              <w:br/>
            </w:r>
          </w:p>
          <w:p w:rsidR="00E56335" w:rsidRPr="00871C74" w:rsidRDefault="00E56335" w:rsidP="00015D4C">
            <w:pPr>
              <w:pStyle w:val="Default"/>
              <w:spacing w:before="60" w:after="60"/>
              <w:jc w:val="center"/>
              <w:rPr>
                <w:rFonts w:asciiTheme="majorBidi" w:hAnsiTheme="majorBidi" w:cstheme="majorBidi"/>
                <w:lang w:val="fr-CH"/>
              </w:rPr>
            </w:pPr>
          </w:p>
          <w:p w:rsidR="00E56335" w:rsidRDefault="00E56335" w:rsidP="00015D4C">
            <w:pPr>
              <w:pStyle w:val="Default"/>
              <w:spacing w:before="60" w:after="60"/>
              <w:jc w:val="center"/>
              <w:rPr>
                <w:rFonts w:asciiTheme="majorBidi" w:hAnsiTheme="majorBidi" w:cstheme="majorBidi"/>
              </w:rPr>
            </w:pPr>
            <w:r w:rsidRPr="00E21F0F">
              <w:rPr>
                <w:rFonts w:asciiTheme="majorBidi" w:hAnsiTheme="majorBidi" w:cstheme="majorBidi"/>
              </w:rPr>
              <w:t>116 000</w:t>
            </w:r>
          </w:p>
          <w:p w:rsidR="00E56335" w:rsidRDefault="00E56335" w:rsidP="00015D4C">
            <w:pPr>
              <w:pStyle w:val="Default"/>
              <w:spacing w:before="60" w:after="60"/>
              <w:jc w:val="center"/>
              <w:rPr>
                <w:rFonts w:asciiTheme="majorBidi" w:hAnsiTheme="majorBidi" w:cstheme="majorBidi"/>
              </w:rPr>
            </w:pPr>
            <w:r w:rsidRPr="00E21F0F">
              <w:rPr>
                <w:rFonts w:asciiTheme="majorBidi" w:hAnsiTheme="majorBidi" w:cstheme="majorBidi"/>
              </w:rPr>
              <w:t>290 000</w:t>
            </w:r>
          </w:p>
          <w:p w:rsidR="00E56335" w:rsidRDefault="00E56335" w:rsidP="00015D4C">
            <w:pPr>
              <w:pStyle w:val="Default"/>
              <w:spacing w:before="60" w:after="60"/>
              <w:jc w:val="center"/>
              <w:rPr>
                <w:rFonts w:asciiTheme="majorBidi" w:hAnsiTheme="majorBidi" w:cstheme="majorBidi"/>
              </w:rPr>
            </w:pPr>
            <w:r w:rsidRPr="00E21F0F">
              <w:rPr>
                <w:rFonts w:asciiTheme="majorBidi" w:hAnsiTheme="majorBidi" w:cstheme="majorBidi"/>
              </w:rPr>
              <w:t>580 000</w:t>
            </w: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r>
              <w:rPr>
                <w:rFonts w:asciiTheme="majorBidi" w:hAnsiTheme="majorBidi" w:cstheme="majorBidi"/>
              </w:rPr>
              <w:t>–</w:t>
            </w:r>
          </w:p>
          <w:p w:rsidR="00E56335" w:rsidRDefault="00E56335" w:rsidP="00015D4C">
            <w:pPr>
              <w:pStyle w:val="Default"/>
              <w:spacing w:before="60" w:after="60"/>
              <w:jc w:val="center"/>
              <w:rPr>
                <w:rFonts w:asciiTheme="majorBidi" w:hAnsiTheme="majorBidi" w:cstheme="majorBidi"/>
              </w:rPr>
            </w:pPr>
            <w:r>
              <w:rPr>
                <w:rFonts w:asciiTheme="majorBidi" w:hAnsiTheme="majorBidi" w:cstheme="majorBidi"/>
              </w:rPr>
              <w:t>–</w:t>
            </w:r>
          </w:p>
          <w:p w:rsidR="00E56335" w:rsidRDefault="00E56335" w:rsidP="00015D4C">
            <w:pPr>
              <w:pStyle w:val="Default"/>
              <w:spacing w:before="60" w:after="60"/>
              <w:jc w:val="center"/>
              <w:rPr>
                <w:rFonts w:asciiTheme="majorBidi" w:hAnsiTheme="majorBidi" w:cstheme="majorBidi"/>
              </w:rPr>
            </w:pPr>
            <w:r>
              <w:rPr>
                <w:rFonts w:asciiTheme="majorBidi" w:hAnsiTheme="majorBidi" w:cstheme="majorBidi"/>
              </w:rPr>
              <w:t>–</w:t>
            </w: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Pr="00E21F0F" w:rsidRDefault="00E56335" w:rsidP="00015D4C">
            <w:pPr>
              <w:pStyle w:val="Default"/>
              <w:spacing w:before="60" w:after="60"/>
              <w:jc w:val="center"/>
              <w:rPr>
                <w:rFonts w:asciiTheme="majorBidi" w:hAnsiTheme="majorBidi" w:cstheme="majorBidi"/>
              </w:rPr>
            </w:pPr>
            <w:r w:rsidRPr="00E21F0F">
              <w:rPr>
                <w:rFonts w:asciiTheme="majorBidi" w:hAnsiTheme="majorBidi" w:cstheme="majorBidi"/>
              </w:rPr>
              <w:t>116 000</w:t>
            </w:r>
          </w:p>
          <w:p w:rsidR="00E56335" w:rsidRDefault="00E56335" w:rsidP="00015D4C">
            <w:pPr>
              <w:pStyle w:val="Default"/>
              <w:spacing w:before="60" w:after="60"/>
              <w:jc w:val="center"/>
              <w:rPr>
                <w:rFonts w:asciiTheme="majorBidi" w:hAnsiTheme="majorBidi" w:cstheme="majorBidi"/>
              </w:rPr>
            </w:pPr>
            <w:r w:rsidRPr="00E21F0F">
              <w:rPr>
                <w:rFonts w:asciiTheme="majorBidi" w:hAnsiTheme="majorBidi" w:cstheme="majorBidi"/>
              </w:rPr>
              <w:t>290 000</w:t>
            </w:r>
          </w:p>
          <w:p w:rsidR="00E56335" w:rsidRPr="00E21F0F" w:rsidRDefault="00E56335" w:rsidP="00015D4C">
            <w:pPr>
              <w:pStyle w:val="Default"/>
              <w:spacing w:before="60" w:after="60"/>
              <w:jc w:val="center"/>
              <w:rPr>
                <w:rFonts w:asciiTheme="majorBidi" w:hAnsiTheme="majorBidi" w:cstheme="majorBidi"/>
                <w:color w:val="auto"/>
                <w:lang w:val="fr-CH"/>
              </w:rPr>
            </w:pPr>
            <w:r w:rsidRPr="00E21F0F">
              <w:rPr>
                <w:rFonts w:asciiTheme="majorBidi" w:hAnsiTheme="majorBidi" w:cstheme="majorBidi"/>
              </w:rPr>
              <w:t>580 000</w:t>
            </w:r>
          </w:p>
        </w:tc>
        <w:tc>
          <w:tcPr>
            <w:tcW w:w="1134" w:type="dxa"/>
          </w:tcPr>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r>
              <w:rPr>
                <w:rFonts w:asciiTheme="majorBidi" w:hAnsiTheme="majorBidi" w:cstheme="majorBidi"/>
              </w:rPr>
              <w:br/>
            </w: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r>
              <w:rPr>
                <w:rFonts w:asciiTheme="majorBidi" w:hAnsiTheme="majorBidi" w:cstheme="majorBidi"/>
              </w:rPr>
              <w:t>–</w:t>
            </w:r>
          </w:p>
          <w:p w:rsidR="00E56335" w:rsidRDefault="00E56335" w:rsidP="00015D4C">
            <w:pPr>
              <w:pStyle w:val="Default"/>
              <w:spacing w:before="60" w:after="60"/>
              <w:jc w:val="center"/>
              <w:rPr>
                <w:rFonts w:asciiTheme="majorBidi" w:hAnsiTheme="majorBidi" w:cstheme="majorBidi"/>
              </w:rPr>
            </w:pPr>
            <w:r>
              <w:rPr>
                <w:rFonts w:asciiTheme="majorBidi" w:hAnsiTheme="majorBidi" w:cstheme="majorBidi"/>
              </w:rPr>
              <w:t>–</w:t>
            </w:r>
          </w:p>
          <w:p w:rsidR="00E56335" w:rsidRDefault="00E56335" w:rsidP="00015D4C">
            <w:pPr>
              <w:pStyle w:val="Default"/>
              <w:spacing w:before="60" w:after="60"/>
              <w:jc w:val="center"/>
              <w:rPr>
                <w:rFonts w:asciiTheme="majorBidi" w:hAnsiTheme="majorBidi" w:cstheme="majorBidi"/>
              </w:rPr>
            </w:pPr>
            <w:r>
              <w:rPr>
                <w:rFonts w:asciiTheme="majorBidi" w:hAnsiTheme="majorBidi" w:cstheme="majorBidi"/>
              </w:rPr>
              <w:t>–</w:t>
            </w:r>
            <w:r>
              <w:rPr>
                <w:rFonts w:asciiTheme="majorBidi" w:hAnsiTheme="majorBidi" w:cstheme="majorBidi"/>
              </w:rPr>
              <w:br/>
            </w:r>
            <w:r>
              <w:rPr>
                <w:rFonts w:asciiTheme="majorBidi" w:hAnsiTheme="majorBidi" w:cstheme="majorBidi"/>
              </w:rPr>
              <w:br/>
            </w: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Pr="00E21F0F" w:rsidRDefault="00E56335" w:rsidP="00015D4C">
            <w:pPr>
              <w:pStyle w:val="Default"/>
              <w:spacing w:before="60" w:after="60"/>
              <w:jc w:val="center"/>
              <w:rPr>
                <w:rFonts w:asciiTheme="majorBidi" w:hAnsiTheme="majorBidi" w:cstheme="majorBidi"/>
              </w:rPr>
            </w:pPr>
            <w:r w:rsidRPr="00E21F0F">
              <w:rPr>
                <w:rFonts w:asciiTheme="majorBidi" w:hAnsiTheme="majorBidi" w:cstheme="majorBidi"/>
              </w:rPr>
              <w:t>34 800</w:t>
            </w: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r>
              <w:rPr>
                <w:rFonts w:asciiTheme="majorBidi" w:hAnsiTheme="majorBidi" w:cstheme="majorBidi"/>
              </w:rPr>
              <w:br/>
            </w: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r w:rsidRPr="00E21F0F">
              <w:rPr>
                <w:rFonts w:asciiTheme="majorBidi" w:hAnsiTheme="majorBidi" w:cstheme="majorBidi"/>
              </w:rPr>
              <w:t>34 800</w:t>
            </w: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r>
              <w:rPr>
                <w:rFonts w:asciiTheme="majorBidi" w:hAnsiTheme="majorBidi" w:cstheme="majorBidi"/>
              </w:rPr>
              <w:t>–</w:t>
            </w:r>
          </w:p>
          <w:p w:rsidR="00E56335" w:rsidRDefault="00E56335" w:rsidP="00015D4C">
            <w:pPr>
              <w:pStyle w:val="Default"/>
              <w:spacing w:before="60" w:after="60"/>
              <w:jc w:val="center"/>
              <w:rPr>
                <w:rFonts w:asciiTheme="majorBidi" w:hAnsiTheme="majorBidi" w:cstheme="majorBidi"/>
              </w:rPr>
            </w:pPr>
            <w:r>
              <w:rPr>
                <w:rFonts w:asciiTheme="majorBidi" w:hAnsiTheme="majorBidi" w:cstheme="majorBidi"/>
              </w:rPr>
              <w:t>–</w:t>
            </w:r>
          </w:p>
          <w:p w:rsidR="00E56335" w:rsidRPr="00E21F0F" w:rsidRDefault="00E56335" w:rsidP="00015D4C">
            <w:pPr>
              <w:pStyle w:val="Default"/>
              <w:spacing w:before="60" w:after="60"/>
              <w:jc w:val="center"/>
              <w:rPr>
                <w:rFonts w:asciiTheme="majorBidi" w:hAnsiTheme="majorBidi" w:cstheme="majorBidi"/>
                <w:color w:val="auto"/>
                <w:lang w:val="fr-CH"/>
              </w:rPr>
            </w:pPr>
            <w:r>
              <w:rPr>
                <w:rFonts w:asciiTheme="majorBidi" w:hAnsiTheme="majorBidi" w:cstheme="majorBidi"/>
              </w:rPr>
              <w:t>–</w:t>
            </w:r>
          </w:p>
        </w:tc>
        <w:tc>
          <w:tcPr>
            <w:tcW w:w="1276" w:type="dxa"/>
          </w:tcPr>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r>
              <w:rPr>
                <w:rFonts w:asciiTheme="majorBidi" w:hAnsiTheme="majorBidi" w:cstheme="majorBidi"/>
              </w:rPr>
              <w:br/>
            </w: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Pr="00E21F0F" w:rsidRDefault="00E56335" w:rsidP="00015D4C">
            <w:pPr>
              <w:pStyle w:val="Default"/>
              <w:spacing w:before="60" w:after="60"/>
              <w:jc w:val="center"/>
              <w:rPr>
                <w:rFonts w:asciiTheme="majorBidi" w:hAnsiTheme="majorBidi" w:cstheme="majorBidi"/>
              </w:rPr>
            </w:pPr>
            <w:r>
              <w:rPr>
                <w:rFonts w:asciiTheme="majorBidi" w:hAnsiTheme="majorBidi" w:cstheme="majorBidi"/>
              </w:rPr>
              <w:t>58 000</w:t>
            </w:r>
          </w:p>
          <w:p w:rsidR="00E56335" w:rsidRDefault="00E56335" w:rsidP="00015D4C">
            <w:pPr>
              <w:pStyle w:val="Default"/>
              <w:spacing w:before="60" w:after="60"/>
              <w:jc w:val="center"/>
              <w:rPr>
                <w:rFonts w:asciiTheme="majorBidi" w:hAnsiTheme="majorBidi" w:cstheme="majorBidi"/>
              </w:rPr>
            </w:pPr>
            <w:r w:rsidRPr="00E21F0F">
              <w:rPr>
                <w:rFonts w:asciiTheme="majorBidi" w:hAnsiTheme="majorBidi" w:cstheme="majorBidi"/>
              </w:rPr>
              <w:t>87 000</w:t>
            </w:r>
          </w:p>
          <w:p w:rsidR="00E56335" w:rsidRDefault="00E56335" w:rsidP="00015D4C">
            <w:pPr>
              <w:pStyle w:val="Default"/>
              <w:spacing w:before="60" w:after="60"/>
              <w:jc w:val="center"/>
              <w:rPr>
                <w:rFonts w:asciiTheme="majorBidi" w:hAnsiTheme="majorBidi" w:cstheme="majorBidi"/>
              </w:rPr>
            </w:pPr>
            <w:r>
              <w:rPr>
                <w:rFonts w:asciiTheme="majorBidi" w:hAnsiTheme="majorBidi" w:cstheme="majorBidi"/>
              </w:rPr>
              <w:t>145 000</w:t>
            </w: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r>
              <w:rPr>
                <w:rFonts w:asciiTheme="majorBidi" w:hAnsiTheme="majorBidi" w:cstheme="majorBidi"/>
              </w:rPr>
              <w:br/>
            </w:r>
            <w:r>
              <w:rPr>
                <w:rFonts w:asciiTheme="majorBidi" w:hAnsiTheme="majorBidi" w:cstheme="majorBidi"/>
              </w:rPr>
              <w:br/>
            </w: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r>
              <w:rPr>
                <w:rFonts w:asciiTheme="majorBidi" w:hAnsiTheme="majorBidi" w:cstheme="majorBidi"/>
              </w:rPr>
              <w:t>580 000</w:t>
            </w:r>
          </w:p>
          <w:p w:rsidR="00E56335" w:rsidRDefault="00E56335" w:rsidP="00015D4C">
            <w:pPr>
              <w:pStyle w:val="Default"/>
              <w:spacing w:before="60" w:after="60"/>
              <w:jc w:val="center"/>
              <w:rPr>
                <w:rFonts w:asciiTheme="majorBidi" w:hAnsiTheme="majorBidi" w:cstheme="majorBidi"/>
              </w:rPr>
            </w:pPr>
            <w:r w:rsidRPr="00E21F0F">
              <w:rPr>
                <w:rFonts w:asciiTheme="majorBidi" w:hAnsiTheme="majorBidi" w:cstheme="majorBidi"/>
              </w:rPr>
              <w:t>870 000</w:t>
            </w:r>
          </w:p>
          <w:p w:rsidR="00E56335" w:rsidRDefault="00E56335" w:rsidP="00015D4C">
            <w:pPr>
              <w:pStyle w:val="Default"/>
              <w:spacing w:before="60" w:after="60"/>
              <w:jc w:val="center"/>
              <w:rPr>
                <w:rFonts w:asciiTheme="majorBidi" w:hAnsiTheme="majorBidi" w:cstheme="majorBidi"/>
              </w:rPr>
            </w:pPr>
            <w:r>
              <w:rPr>
                <w:rFonts w:asciiTheme="majorBidi" w:hAnsiTheme="majorBidi" w:cstheme="majorBidi"/>
              </w:rPr>
              <w:t>1 450 000</w:t>
            </w: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Pr="00E21F0F" w:rsidRDefault="00E56335" w:rsidP="00015D4C">
            <w:pPr>
              <w:pStyle w:val="Default"/>
              <w:spacing w:before="60" w:after="60"/>
              <w:jc w:val="center"/>
              <w:rPr>
                <w:rFonts w:asciiTheme="majorBidi" w:hAnsiTheme="majorBidi" w:cstheme="majorBidi"/>
              </w:rPr>
            </w:pPr>
            <w:r>
              <w:rPr>
                <w:rFonts w:asciiTheme="majorBidi" w:hAnsiTheme="majorBidi" w:cstheme="majorBidi"/>
              </w:rPr>
              <w:t>580 000</w:t>
            </w:r>
          </w:p>
          <w:p w:rsidR="00E56335" w:rsidRPr="00E21F0F" w:rsidRDefault="00E56335" w:rsidP="00015D4C">
            <w:pPr>
              <w:pStyle w:val="Default"/>
              <w:spacing w:before="60" w:after="60"/>
              <w:jc w:val="center"/>
              <w:rPr>
                <w:rFonts w:asciiTheme="majorBidi" w:hAnsiTheme="majorBidi" w:cstheme="majorBidi"/>
              </w:rPr>
            </w:pPr>
            <w:r w:rsidRPr="00E21F0F">
              <w:rPr>
                <w:rFonts w:asciiTheme="majorBidi" w:hAnsiTheme="majorBidi" w:cstheme="majorBidi"/>
              </w:rPr>
              <w:t>870 000</w:t>
            </w:r>
          </w:p>
          <w:p w:rsidR="00E56335" w:rsidRDefault="00E56335" w:rsidP="00015D4C">
            <w:pPr>
              <w:pStyle w:val="Default"/>
              <w:spacing w:before="60" w:after="60"/>
              <w:jc w:val="center"/>
              <w:rPr>
                <w:rFonts w:asciiTheme="majorBidi" w:hAnsiTheme="majorBidi" w:cstheme="majorBidi"/>
              </w:rPr>
            </w:pPr>
            <w:r w:rsidRPr="00E21F0F">
              <w:rPr>
                <w:rFonts w:asciiTheme="majorBidi" w:hAnsiTheme="majorBidi" w:cstheme="majorBidi"/>
              </w:rPr>
              <w:t>1 450 000</w:t>
            </w:r>
            <w:r>
              <w:rPr>
                <w:rFonts w:asciiTheme="majorBidi" w:hAnsiTheme="majorBidi" w:cstheme="majorBidi"/>
              </w:rPr>
              <w:br/>
            </w: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r>
              <w:rPr>
                <w:rFonts w:asciiTheme="majorBidi" w:hAnsiTheme="majorBidi" w:cstheme="majorBidi"/>
              </w:rPr>
              <w:t>–</w:t>
            </w:r>
          </w:p>
          <w:p w:rsidR="00E56335" w:rsidRPr="00E21F0F" w:rsidRDefault="00E56335" w:rsidP="00015D4C">
            <w:pPr>
              <w:pStyle w:val="Default"/>
              <w:spacing w:before="60" w:after="60"/>
              <w:jc w:val="center"/>
              <w:rPr>
                <w:rFonts w:asciiTheme="majorBidi" w:hAnsiTheme="majorBidi" w:cstheme="majorBidi"/>
              </w:rPr>
            </w:pPr>
            <w:r>
              <w:rPr>
                <w:rFonts w:asciiTheme="majorBidi" w:hAnsiTheme="majorBidi" w:cstheme="majorBidi"/>
              </w:rPr>
              <w:t>–</w:t>
            </w:r>
          </w:p>
          <w:p w:rsidR="00E56335" w:rsidRPr="00E21F0F" w:rsidRDefault="00E56335" w:rsidP="00015D4C">
            <w:pPr>
              <w:pStyle w:val="Default"/>
              <w:spacing w:before="60" w:after="60"/>
              <w:jc w:val="center"/>
              <w:rPr>
                <w:rFonts w:asciiTheme="majorBidi" w:hAnsiTheme="majorBidi" w:cstheme="majorBidi"/>
                <w:color w:val="auto"/>
                <w:lang w:val="fr-CH"/>
              </w:rPr>
            </w:pPr>
            <w:r>
              <w:rPr>
                <w:rFonts w:asciiTheme="majorBidi" w:hAnsiTheme="majorBidi" w:cstheme="majorBidi"/>
              </w:rPr>
              <w:t>–</w:t>
            </w:r>
          </w:p>
        </w:tc>
        <w:tc>
          <w:tcPr>
            <w:tcW w:w="1264" w:type="dxa"/>
          </w:tcPr>
          <w:p w:rsidR="00E56335" w:rsidRPr="00E21F0F" w:rsidRDefault="00E56335" w:rsidP="00015D4C">
            <w:pPr>
              <w:pStyle w:val="Default"/>
              <w:spacing w:before="60" w:after="60"/>
              <w:jc w:val="center"/>
              <w:rPr>
                <w:rFonts w:asciiTheme="majorBidi" w:hAnsiTheme="majorBidi" w:cstheme="majorBidi"/>
              </w:rPr>
            </w:pPr>
            <w:r w:rsidRPr="00E21F0F">
              <w:rPr>
                <w:rFonts w:asciiTheme="majorBidi" w:hAnsiTheme="majorBidi" w:cstheme="majorBidi"/>
              </w:rPr>
              <w:t>348 000</w:t>
            </w:r>
          </w:p>
          <w:p w:rsidR="00E56335" w:rsidRPr="00E21F0F" w:rsidRDefault="00E56335" w:rsidP="00015D4C">
            <w:pPr>
              <w:pStyle w:val="Default"/>
              <w:spacing w:before="60" w:after="60"/>
              <w:jc w:val="center"/>
              <w:rPr>
                <w:rFonts w:asciiTheme="majorBidi" w:hAnsiTheme="majorBidi" w:cstheme="majorBidi"/>
              </w:rPr>
            </w:pPr>
            <w:r w:rsidRPr="00E21F0F">
              <w:rPr>
                <w:rFonts w:asciiTheme="majorBidi" w:hAnsiTheme="majorBidi" w:cstheme="majorBidi"/>
              </w:rPr>
              <w:t>870 000</w:t>
            </w:r>
            <w:r>
              <w:rPr>
                <w:rFonts w:asciiTheme="majorBidi" w:hAnsiTheme="majorBidi" w:cstheme="majorBidi"/>
              </w:rPr>
              <w:br/>
            </w:r>
          </w:p>
          <w:p w:rsidR="00E56335" w:rsidRPr="00E21F0F" w:rsidRDefault="00E56335" w:rsidP="00015D4C">
            <w:pPr>
              <w:pStyle w:val="Default"/>
              <w:spacing w:before="60" w:after="60"/>
              <w:jc w:val="center"/>
              <w:rPr>
                <w:rFonts w:asciiTheme="majorBidi" w:hAnsiTheme="majorBidi" w:cstheme="majorBidi"/>
              </w:rPr>
            </w:pPr>
            <w:r w:rsidRPr="00E21F0F">
              <w:rPr>
                <w:rFonts w:asciiTheme="majorBidi" w:hAnsiTheme="majorBidi" w:cstheme="majorBidi"/>
              </w:rPr>
              <w:t>1 740</w:t>
            </w:r>
            <w:r>
              <w:rPr>
                <w:rFonts w:asciiTheme="majorBidi" w:hAnsiTheme="majorBidi" w:cstheme="majorBidi"/>
              </w:rPr>
              <w:t xml:space="preserve"> </w:t>
            </w:r>
            <w:r w:rsidRPr="00E21F0F">
              <w:rPr>
                <w:rFonts w:asciiTheme="majorBidi" w:hAnsiTheme="majorBidi" w:cstheme="majorBidi"/>
              </w:rPr>
              <w:t>000</w:t>
            </w: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r>
              <w:rPr>
                <w:rFonts w:asciiTheme="majorBidi" w:hAnsiTheme="majorBidi" w:cstheme="majorBidi"/>
              </w:rPr>
              <w:br/>
            </w:r>
            <w:r>
              <w:rPr>
                <w:rFonts w:asciiTheme="majorBidi" w:hAnsiTheme="majorBidi" w:cstheme="majorBidi"/>
              </w:rPr>
              <w:br/>
            </w: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Pr="00E21F0F" w:rsidRDefault="00E56335" w:rsidP="00015D4C">
            <w:pPr>
              <w:pStyle w:val="Default"/>
              <w:spacing w:before="60" w:after="60"/>
              <w:jc w:val="center"/>
              <w:rPr>
                <w:rFonts w:asciiTheme="majorBidi" w:hAnsiTheme="majorBidi" w:cstheme="majorBidi"/>
              </w:rPr>
            </w:pPr>
            <w:r w:rsidRPr="00E21F0F">
              <w:rPr>
                <w:rFonts w:asciiTheme="majorBidi" w:hAnsiTheme="majorBidi" w:cstheme="majorBidi"/>
              </w:rPr>
              <w:t>1 004 000</w:t>
            </w:r>
          </w:p>
          <w:p w:rsidR="00E56335" w:rsidRPr="00E21F0F" w:rsidRDefault="00E56335" w:rsidP="00015D4C">
            <w:pPr>
              <w:pStyle w:val="Default"/>
              <w:spacing w:before="60" w:after="60"/>
              <w:jc w:val="center"/>
              <w:rPr>
                <w:rFonts w:asciiTheme="majorBidi" w:hAnsiTheme="majorBidi" w:cstheme="majorBidi"/>
              </w:rPr>
            </w:pPr>
            <w:r w:rsidRPr="00E21F0F">
              <w:rPr>
                <w:rFonts w:asciiTheme="majorBidi" w:hAnsiTheme="majorBidi" w:cstheme="majorBidi"/>
              </w:rPr>
              <w:t xml:space="preserve">3 480 </w:t>
            </w:r>
            <w:r>
              <w:rPr>
                <w:rFonts w:asciiTheme="majorBidi" w:hAnsiTheme="majorBidi" w:cstheme="majorBidi"/>
              </w:rPr>
              <w:t>000</w:t>
            </w:r>
          </w:p>
          <w:p w:rsidR="00E56335" w:rsidRDefault="00E56335" w:rsidP="00015D4C">
            <w:pPr>
              <w:pStyle w:val="Default"/>
              <w:spacing w:before="60" w:after="60"/>
              <w:jc w:val="center"/>
              <w:rPr>
                <w:rFonts w:asciiTheme="majorBidi" w:hAnsiTheme="majorBidi" w:cstheme="majorBidi"/>
              </w:rPr>
            </w:pPr>
            <w:r w:rsidRPr="00E21F0F">
              <w:rPr>
                <w:rFonts w:asciiTheme="majorBidi" w:hAnsiTheme="majorBidi" w:cstheme="majorBidi"/>
              </w:rPr>
              <w:t xml:space="preserve">5 800 </w:t>
            </w:r>
            <w:r>
              <w:rPr>
                <w:rFonts w:asciiTheme="majorBidi" w:hAnsiTheme="majorBidi" w:cstheme="majorBidi"/>
              </w:rPr>
              <w:t>000</w:t>
            </w:r>
            <w:r>
              <w:rPr>
                <w:rFonts w:asciiTheme="majorBidi" w:hAnsiTheme="majorBidi" w:cstheme="majorBidi"/>
              </w:rPr>
              <w:br/>
            </w: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after="60"/>
              <w:jc w:val="center"/>
              <w:rPr>
                <w:rFonts w:asciiTheme="majorBidi" w:hAnsiTheme="majorBidi" w:cstheme="majorBidi"/>
              </w:rPr>
            </w:pPr>
          </w:p>
          <w:p w:rsidR="00E56335" w:rsidRPr="00E21F0F" w:rsidRDefault="00E56335" w:rsidP="00015D4C">
            <w:pPr>
              <w:pStyle w:val="Default"/>
              <w:spacing w:before="60" w:after="60"/>
              <w:jc w:val="center"/>
              <w:rPr>
                <w:rFonts w:asciiTheme="majorBidi" w:hAnsiTheme="majorBidi" w:cstheme="majorBidi"/>
              </w:rPr>
            </w:pPr>
            <w:r w:rsidRPr="00E21F0F">
              <w:rPr>
                <w:rFonts w:asciiTheme="majorBidi" w:hAnsiTheme="majorBidi" w:cstheme="majorBidi"/>
              </w:rPr>
              <w:t xml:space="preserve">1 740 000 </w:t>
            </w:r>
          </w:p>
          <w:p w:rsidR="00E56335" w:rsidRPr="00E21F0F" w:rsidRDefault="00E56335" w:rsidP="00015D4C">
            <w:pPr>
              <w:pStyle w:val="Default"/>
              <w:spacing w:before="60" w:after="60"/>
              <w:jc w:val="center"/>
              <w:rPr>
                <w:rFonts w:asciiTheme="majorBidi" w:hAnsiTheme="majorBidi" w:cstheme="majorBidi"/>
              </w:rPr>
            </w:pPr>
            <w:r w:rsidRPr="00E21F0F">
              <w:rPr>
                <w:rFonts w:asciiTheme="majorBidi" w:hAnsiTheme="majorBidi" w:cstheme="majorBidi"/>
              </w:rPr>
              <w:t xml:space="preserve">5 800 000 </w:t>
            </w:r>
          </w:p>
          <w:p w:rsidR="00E56335" w:rsidRPr="00E21F0F" w:rsidRDefault="00E56335" w:rsidP="00015D4C">
            <w:pPr>
              <w:pStyle w:val="Default"/>
              <w:spacing w:before="60" w:after="60"/>
              <w:jc w:val="center"/>
              <w:rPr>
                <w:rFonts w:asciiTheme="majorBidi" w:hAnsiTheme="majorBidi" w:cstheme="majorBidi"/>
              </w:rPr>
            </w:pPr>
            <w:r w:rsidRPr="00E21F0F">
              <w:rPr>
                <w:rFonts w:asciiTheme="majorBidi" w:hAnsiTheme="majorBidi" w:cstheme="majorBidi"/>
              </w:rPr>
              <w:t xml:space="preserve">8 700 000 </w:t>
            </w:r>
          </w:p>
        </w:tc>
      </w:tr>
    </w:tbl>
    <w:p w:rsidR="00E56335" w:rsidRDefault="00E56335" w:rsidP="00E56335">
      <w:pPr>
        <w:rPr>
          <w:lang w:val="fr-CH"/>
        </w:rPr>
      </w:pPr>
    </w:p>
    <w:p w:rsidR="00E56335" w:rsidRDefault="00E56335" w:rsidP="00E56335">
      <w:pPr>
        <w:rPr>
          <w:lang w:val="fr-CH"/>
        </w:rPr>
      </w:pPr>
    </w:p>
    <w:p w:rsidR="00E56335" w:rsidRDefault="00E56335" w:rsidP="00E56335">
      <w:pPr>
        <w:tabs>
          <w:tab w:val="clear" w:pos="794"/>
          <w:tab w:val="clear" w:pos="1191"/>
          <w:tab w:val="clear" w:pos="1588"/>
          <w:tab w:val="clear" w:pos="1985"/>
        </w:tabs>
        <w:overflowPunct/>
        <w:autoSpaceDE/>
        <w:autoSpaceDN/>
        <w:adjustRightInd/>
        <w:spacing w:before="0"/>
        <w:jc w:val="left"/>
        <w:textAlignment w:val="auto"/>
        <w:rPr>
          <w:lang w:val="fr-CH"/>
        </w:rPr>
      </w:pPr>
      <w:r>
        <w:rPr>
          <w:lang w:val="fr-CH"/>
        </w:rPr>
        <w:br w:type="page"/>
      </w:r>
    </w:p>
    <w:p w:rsidR="00E56335" w:rsidRDefault="00E56335" w:rsidP="00E56335">
      <w:pPr>
        <w:pStyle w:val="AnnexNotitle"/>
        <w:rPr>
          <w:rFonts w:asciiTheme="majorBidi" w:hAnsiTheme="majorBidi" w:cstheme="majorBidi"/>
          <w:bCs/>
          <w:lang w:val="fr-CH"/>
        </w:rPr>
      </w:pPr>
      <w:bookmarkStart w:id="747" w:name="_Toc280260068"/>
      <w:bookmarkStart w:id="748" w:name="_Toc280272533"/>
      <w:bookmarkStart w:id="749" w:name="_Toc288643036"/>
      <w:r>
        <w:rPr>
          <w:lang w:val="fr-CH"/>
        </w:rPr>
        <w:lastRenderedPageBreak/>
        <w:t>ANNEXE</w:t>
      </w:r>
      <w:r>
        <w:rPr>
          <w:lang w:val="fr-CH"/>
        </w:rPr>
        <w:br/>
      </w:r>
      <w:r>
        <w:rPr>
          <w:lang w:val="fr-CH"/>
        </w:rPr>
        <w:br/>
      </w:r>
      <w:r w:rsidRPr="002A0DFA">
        <w:rPr>
          <w:rFonts w:asciiTheme="majorBidi" w:hAnsiTheme="majorBidi" w:cstheme="majorBidi"/>
          <w:bCs/>
          <w:lang w:val="fr-CH"/>
        </w:rPr>
        <w:t>ORDONNANCE N° 97-173 DU 19 MARS 1997 MONTANT DES DROITS, TAXES ET REDEVANCES RADIOELECTRIQUES</w:t>
      </w:r>
      <w:bookmarkEnd w:id="747"/>
      <w:bookmarkEnd w:id="748"/>
      <w:bookmarkEnd w:id="749"/>
    </w:p>
    <w:p w:rsidR="00E56335" w:rsidRDefault="00E56335" w:rsidP="00E56335">
      <w:pPr>
        <w:pStyle w:val="Heading1"/>
        <w:rPr>
          <w:lang w:val="fr-CH"/>
        </w:rPr>
      </w:pPr>
      <w:bookmarkStart w:id="750" w:name="_Toc280260069"/>
      <w:bookmarkStart w:id="751" w:name="_Toc280260921"/>
      <w:bookmarkStart w:id="752" w:name="_Toc280272534"/>
      <w:bookmarkStart w:id="753" w:name="_Toc288643037"/>
      <w:r w:rsidRPr="002A0DFA">
        <w:rPr>
          <w:lang w:val="fr-CH"/>
        </w:rPr>
        <w:t>A</w:t>
      </w:r>
      <w:r>
        <w:rPr>
          <w:lang w:val="fr-CH"/>
        </w:rPr>
        <w:t>-</w:t>
      </w:r>
      <w:r w:rsidRPr="002A0DFA">
        <w:rPr>
          <w:lang w:val="fr-CH"/>
        </w:rPr>
        <w:t>SERVICES DE RADIOCOMMUNICATION DE TERRE</w:t>
      </w:r>
      <w:bookmarkEnd w:id="750"/>
      <w:bookmarkEnd w:id="751"/>
      <w:bookmarkEnd w:id="752"/>
      <w:bookmarkEnd w:id="753"/>
    </w:p>
    <w:p w:rsidR="00E56335" w:rsidRPr="00B80466" w:rsidRDefault="00E56335" w:rsidP="00E56335">
      <w:pPr>
        <w:spacing w:before="0"/>
        <w:rPr>
          <w:lang w:val="fr-CH"/>
        </w:rPr>
      </w:pPr>
    </w:p>
    <w:tbl>
      <w:tblPr>
        <w:tblW w:w="0" w:type="auto"/>
        <w:jc w:val="center"/>
        <w:tblBorders>
          <w:top w:val="nil"/>
          <w:left w:val="nil"/>
          <w:bottom w:val="nil"/>
          <w:right w:val="nil"/>
        </w:tblBorders>
        <w:tblLayout w:type="fixed"/>
        <w:tblLook w:val="0000"/>
      </w:tblPr>
      <w:tblGrid>
        <w:gridCol w:w="3969"/>
        <w:gridCol w:w="1418"/>
        <w:gridCol w:w="1418"/>
        <w:gridCol w:w="1418"/>
        <w:gridCol w:w="1418"/>
      </w:tblGrid>
      <w:tr w:rsidR="00E56335" w:rsidRPr="00871C74"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1C1DEC" w:rsidRDefault="00E56335" w:rsidP="00015D4C">
            <w:pPr>
              <w:pStyle w:val="TableNotitle"/>
              <w:spacing w:before="120"/>
              <w:rPr>
                <w:sz w:val="20"/>
              </w:rPr>
            </w:pPr>
            <w:r w:rsidRPr="001C1DEC">
              <w:rPr>
                <w:sz w:val="20"/>
              </w:rPr>
              <w:t>Réseaux ou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871C74" w:rsidRDefault="00E56335" w:rsidP="00015D4C">
            <w:pPr>
              <w:pStyle w:val="TableNotitle"/>
              <w:spacing w:before="120"/>
              <w:rPr>
                <w:sz w:val="20"/>
                <w:lang w:val="fr-CH"/>
              </w:rPr>
            </w:pPr>
            <w:r w:rsidRPr="00871C74">
              <w:rPr>
                <w:sz w:val="20"/>
                <w:lang w:val="fr-CH"/>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1C1DEC" w:rsidRDefault="00E56335" w:rsidP="00015D4C">
            <w:pPr>
              <w:pStyle w:val="TableNotitle"/>
              <w:spacing w:before="120"/>
              <w:rPr>
                <w:sz w:val="20"/>
                <w:lang w:val="fr-CH"/>
              </w:rPr>
            </w:pPr>
            <w:r w:rsidRPr="001C1DEC">
              <w:rPr>
                <w:sz w:val="20"/>
                <w:lang w:val="fr-CH"/>
              </w:rPr>
              <w:t>Taxe de visite ou de controle des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1C1DEC" w:rsidRDefault="00E56335" w:rsidP="00015D4C">
            <w:pPr>
              <w:pStyle w:val="TableNotitle"/>
              <w:spacing w:before="120"/>
              <w:ind w:leftChars="-50" w:left="-110" w:rightChars="-50" w:right="-110"/>
              <w:rPr>
                <w:sz w:val="20"/>
                <w:lang w:val="fr-CH"/>
              </w:rPr>
            </w:pPr>
            <w:r w:rsidRPr="001C1DEC">
              <w:rPr>
                <w:sz w:val="20"/>
                <w:lang w:val="fr-CH"/>
              </w:rPr>
              <w:t xml:space="preserve">Contribution pour frais de gestion </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1C1DEC" w:rsidRDefault="00E56335" w:rsidP="00015D4C">
            <w:pPr>
              <w:pStyle w:val="TableNotitle"/>
              <w:spacing w:before="120"/>
              <w:ind w:leftChars="-50" w:left="-110" w:rightChars="-50" w:right="-110"/>
              <w:rPr>
                <w:sz w:val="20"/>
                <w:lang w:val="fr-CH"/>
              </w:rPr>
            </w:pPr>
            <w:r w:rsidRPr="001C1DEC">
              <w:rPr>
                <w:sz w:val="20"/>
                <w:lang w:val="fr-CH"/>
              </w:rPr>
              <w:t xml:space="preserve">Redevence pour l’utilisation d’une freqence ou d’un canal radioelectrique </w:t>
            </w:r>
          </w:p>
        </w:tc>
      </w:tr>
      <w:tr w:rsidR="00E56335" w:rsidRPr="00871C74"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ind w:left="284" w:hanging="284"/>
              <w:rPr>
                <w:sz w:val="20"/>
                <w:lang w:val="fr-CH"/>
              </w:rPr>
            </w:pPr>
            <w:r w:rsidRPr="00B728CD">
              <w:rPr>
                <w:sz w:val="20"/>
                <w:lang w:val="fr-CH"/>
              </w:rPr>
              <w:t>I</w:t>
            </w:r>
            <w:r w:rsidRPr="00B728CD">
              <w:rPr>
                <w:rFonts w:asciiTheme="majorBidi" w:hAnsiTheme="majorBidi" w:cstheme="majorBidi"/>
                <w:sz w:val="20"/>
                <w:lang w:val="fr-CH"/>
              </w:rPr>
              <w:t>–</w:t>
            </w:r>
            <w:r w:rsidRPr="00B728CD">
              <w:rPr>
                <w:sz w:val="20"/>
                <w:lang w:val="fr-CH"/>
              </w:rPr>
              <w:t xml:space="preserve">RESEAU FIXE ET MOBILES TERRESTRES INDEPENDANTS A USAGE PRIVEE (Service non commercial) </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ind w:left="851" w:hanging="851"/>
              <w:rPr>
                <w:sz w:val="20"/>
                <w:lang w:val="fr-CH"/>
              </w:rPr>
            </w:pPr>
            <w:r w:rsidRPr="00B728CD">
              <w:rPr>
                <w:sz w:val="20"/>
                <w:lang w:val="fr-CH"/>
              </w:rPr>
              <w:tab/>
              <w:t>I.1</w:t>
            </w:r>
            <w:r w:rsidRPr="00B728CD">
              <w:rPr>
                <w:sz w:val="20"/>
                <w:lang w:val="fr-CH"/>
              </w:rPr>
              <w:tab/>
            </w:r>
            <w:r w:rsidRPr="00B728CD">
              <w:rPr>
                <w:sz w:val="20"/>
                <w:lang w:val="fr-CH"/>
              </w:rPr>
              <w:tab/>
              <w:t xml:space="preserve">Réseau de radiotéléphonie VHF/UHF (largeur du canal= 12,5 kHz </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r w:rsidRPr="00B728CD">
              <w:rPr>
                <w:b/>
                <w:bCs/>
                <w:sz w:val="20"/>
              </w:rPr>
              <w:t>11 600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clear" w:pos="851"/>
                <w:tab w:val="left" w:pos="444"/>
                <w:tab w:val="left" w:pos="833"/>
              </w:tabs>
              <w:ind w:left="851" w:hanging="851"/>
              <w:rPr>
                <w:sz w:val="20"/>
                <w:lang w:val="fr-CH"/>
              </w:rPr>
            </w:pPr>
            <w:r w:rsidRPr="00B728CD">
              <w:rPr>
                <w:sz w:val="20"/>
                <w:lang w:val="fr-CH"/>
              </w:rPr>
              <w:tab/>
            </w:r>
            <w:r w:rsidRPr="00B728CD">
              <w:rPr>
                <w:sz w:val="20"/>
                <w:lang w:val="fr-CH"/>
              </w:rPr>
              <w:tab/>
              <w:t>A1</w:t>
            </w:r>
            <w:r w:rsidRPr="00B728CD">
              <w:rPr>
                <w:sz w:val="20"/>
                <w:lang w:val="fr-CH"/>
              </w:rPr>
              <w:tab/>
              <w:t xml:space="preserve">Puissance de l’émetteur inférieur ou égal à 10 w </w:t>
            </w:r>
          </w:p>
        </w:tc>
        <w:tc>
          <w:tcPr>
            <w:tcW w:w="1418" w:type="dxa"/>
            <w:tcBorders>
              <w:top w:val="single" w:sz="6" w:space="0" w:color="000000"/>
              <w:left w:val="single" w:sz="4" w:space="0" w:color="000000"/>
              <w:bottom w:val="single" w:sz="6" w:space="0" w:color="000000"/>
              <w:right w:val="single" w:sz="4" w:space="0" w:color="000000"/>
            </w:tcBorders>
            <w:vAlign w:val="bottom"/>
          </w:tcPr>
          <w:p w:rsidR="00E56335" w:rsidRPr="00B728CD" w:rsidRDefault="00E56335" w:rsidP="00015D4C">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r w:rsidRPr="00B728CD">
              <w:rPr>
                <w:b/>
                <w:bCs/>
                <w:sz w:val="20"/>
              </w:rPr>
              <w:t>8 700</w:t>
            </w:r>
          </w:p>
        </w:tc>
        <w:tc>
          <w:tcPr>
            <w:tcW w:w="1418" w:type="dxa"/>
            <w:tcBorders>
              <w:top w:val="single" w:sz="6" w:space="0" w:color="000000"/>
              <w:left w:val="single" w:sz="4" w:space="0" w:color="000000"/>
              <w:bottom w:val="single" w:sz="6" w:space="0" w:color="000000"/>
              <w:right w:val="single" w:sz="4" w:space="0" w:color="000000"/>
            </w:tcBorders>
            <w:vAlign w:val="bottom"/>
          </w:tcPr>
          <w:p w:rsidR="00E56335" w:rsidRPr="00B728CD" w:rsidRDefault="00E56335" w:rsidP="00015D4C">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vAlign w:val="bottom"/>
          </w:tcPr>
          <w:p w:rsidR="00E56335" w:rsidRPr="00B728CD" w:rsidRDefault="00E56335" w:rsidP="00015D4C">
            <w:pPr>
              <w:pStyle w:val="TableText0"/>
              <w:jc w:val="center"/>
              <w:rPr>
                <w:sz w:val="20"/>
              </w:rPr>
            </w:pPr>
            <w:r w:rsidRPr="00B728CD">
              <w:rPr>
                <w:sz w:val="20"/>
              </w:rPr>
              <w:t>–</w:t>
            </w:r>
          </w:p>
        </w:tc>
      </w:tr>
      <w:tr w:rsidR="00E56335" w:rsidRPr="00E21F0F" w:rsidTr="00015D4C">
        <w:trPr>
          <w:jc w:val="center"/>
        </w:trPr>
        <w:tc>
          <w:tcPr>
            <w:tcW w:w="3969" w:type="dxa"/>
            <w:tcBorders>
              <w:top w:val="single" w:sz="6" w:space="0" w:color="000000"/>
              <w:left w:val="single" w:sz="4" w:space="0" w:color="000000"/>
              <w:bottom w:val="single" w:sz="4" w:space="0" w:color="000000"/>
              <w:right w:val="single" w:sz="4" w:space="0" w:color="000000"/>
            </w:tcBorders>
            <w:vAlign w:val="center"/>
          </w:tcPr>
          <w:p w:rsidR="00E56335" w:rsidRPr="00B728CD" w:rsidRDefault="00E56335" w:rsidP="00015D4C">
            <w:pPr>
              <w:pStyle w:val="TableText0"/>
              <w:tabs>
                <w:tab w:val="clear" w:pos="567"/>
                <w:tab w:val="clear" w:pos="851"/>
                <w:tab w:val="left" w:pos="444"/>
                <w:tab w:val="left" w:pos="833"/>
              </w:tabs>
              <w:ind w:left="851" w:hanging="851"/>
              <w:rPr>
                <w:sz w:val="20"/>
                <w:lang w:val="fr-CH"/>
              </w:rPr>
            </w:pPr>
            <w:r w:rsidRPr="00B728CD">
              <w:rPr>
                <w:sz w:val="20"/>
                <w:lang w:val="fr-CH"/>
              </w:rPr>
              <w:tab/>
            </w:r>
            <w:r w:rsidRPr="00B728CD">
              <w:rPr>
                <w:sz w:val="20"/>
                <w:lang w:val="fr-CH"/>
              </w:rPr>
              <w:tab/>
              <w:t>A2</w:t>
            </w:r>
            <w:r w:rsidRPr="00B728CD">
              <w:rPr>
                <w:sz w:val="20"/>
                <w:lang w:val="fr-CH"/>
              </w:rPr>
              <w:tab/>
              <w:t xml:space="preserve">Puissance de l’émetteur comprise entre 10 et 25 w </w:t>
            </w:r>
          </w:p>
        </w:tc>
        <w:tc>
          <w:tcPr>
            <w:tcW w:w="1418" w:type="dxa"/>
            <w:tcBorders>
              <w:top w:val="single" w:sz="6" w:space="0" w:color="000000"/>
              <w:left w:val="single" w:sz="4" w:space="0" w:color="000000"/>
              <w:bottom w:val="single" w:sz="4" w:space="0" w:color="000000"/>
              <w:right w:val="single" w:sz="4" w:space="0" w:color="000000"/>
            </w:tcBorders>
            <w:vAlign w:val="center"/>
          </w:tcPr>
          <w:p w:rsidR="00E56335" w:rsidRPr="00B728CD" w:rsidRDefault="00E56335" w:rsidP="00015D4C">
            <w:pPr>
              <w:pStyle w:val="TableText0"/>
              <w:jc w:val="center"/>
              <w:rPr>
                <w:sz w:val="20"/>
              </w:rPr>
            </w:pPr>
            <w:r w:rsidRPr="00B728CD">
              <w:rPr>
                <w:sz w:val="20"/>
              </w:rPr>
              <w:t>–</w:t>
            </w:r>
          </w:p>
        </w:tc>
        <w:tc>
          <w:tcPr>
            <w:tcW w:w="1418" w:type="dxa"/>
            <w:tcBorders>
              <w:top w:val="single" w:sz="6" w:space="0" w:color="000000"/>
              <w:left w:val="single" w:sz="4" w:space="0" w:color="000000"/>
              <w:bottom w:val="single" w:sz="4" w:space="0" w:color="000000"/>
              <w:right w:val="single" w:sz="4" w:space="0" w:color="000000"/>
            </w:tcBorders>
          </w:tcPr>
          <w:p w:rsidR="00E56335" w:rsidRPr="00B728CD" w:rsidRDefault="00E56335" w:rsidP="00015D4C">
            <w:pPr>
              <w:pStyle w:val="TableText0"/>
              <w:jc w:val="center"/>
              <w:rPr>
                <w:sz w:val="20"/>
              </w:rPr>
            </w:pPr>
            <w:r w:rsidRPr="00B728CD">
              <w:rPr>
                <w:b/>
                <w:bCs/>
                <w:sz w:val="20"/>
              </w:rPr>
              <w:t>145 000</w:t>
            </w:r>
          </w:p>
        </w:tc>
        <w:tc>
          <w:tcPr>
            <w:tcW w:w="1418" w:type="dxa"/>
            <w:tcBorders>
              <w:top w:val="single" w:sz="6" w:space="0" w:color="000000"/>
              <w:left w:val="single" w:sz="4" w:space="0" w:color="000000"/>
              <w:bottom w:val="single" w:sz="4" w:space="0" w:color="000000"/>
              <w:right w:val="single" w:sz="4" w:space="0" w:color="000000"/>
            </w:tcBorders>
            <w:vAlign w:val="center"/>
          </w:tcPr>
          <w:p w:rsidR="00E56335" w:rsidRPr="00B728CD" w:rsidRDefault="00E56335" w:rsidP="00015D4C">
            <w:pPr>
              <w:pStyle w:val="TableText0"/>
              <w:jc w:val="center"/>
              <w:rPr>
                <w:sz w:val="20"/>
              </w:rPr>
            </w:pPr>
            <w:r w:rsidRPr="00B728CD">
              <w:rPr>
                <w:sz w:val="20"/>
              </w:rPr>
              <w:t>–</w:t>
            </w:r>
          </w:p>
        </w:tc>
        <w:tc>
          <w:tcPr>
            <w:tcW w:w="1418" w:type="dxa"/>
            <w:tcBorders>
              <w:top w:val="single" w:sz="6" w:space="0" w:color="000000"/>
              <w:left w:val="single" w:sz="4" w:space="0" w:color="000000"/>
              <w:bottom w:val="single" w:sz="4" w:space="0" w:color="000000"/>
              <w:right w:val="single" w:sz="4" w:space="0" w:color="000000"/>
            </w:tcBorders>
            <w:vAlign w:val="center"/>
          </w:tcPr>
          <w:p w:rsidR="00E56335" w:rsidRPr="00B728CD" w:rsidRDefault="00E56335" w:rsidP="00015D4C">
            <w:pPr>
              <w:pStyle w:val="TableText0"/>
              <w:jc w:val="center"/>
              <w:rPr>
                <w:sz w:val="20"/>
              </w:rPr>
            </w:pPr>
            <w:r w:rsidRPr="00B728CD">
              <w:rPr>
                <w:sz w:val="20"/>
              </w:rPr>
              <w:t>–</w:t>
            </w:r>
          </w:p>
        </w:tc>
      </w:tr>
      <w:tr w:rsidR="00E56335" w:rsidRPr="00E21F0F" w:rsidTr="00015D4C">
        <w:trPr>
          <w:jc w:val="center"/>
        </w:trPr>
        <w:tc>
          <w:tcPr>
            <w:tcW w:w="3969" w:type="dxa"/>
            <w:tcBorders>
              <w:top w:val="single" w:sz="4"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clear" w:pos="851"/>
                <w:tab w:val="left" w:pos="444"/>
                <w:tab w:val="left" w:pos="833"/>
              </w:tabs>
              <w:ind w:left="851" w:hanging="851"/>
              <w:rPr>
                <w:sz w:val="20"/>
                <w:lang w:val="fr-CH"/>
              </w:rPr>
            </w:pPr>
            <w:r w:rsidRPr="00B728CD">
              <w:rPr>
                <w:sz w:val="20"/>
                <w:lang w:val="fr-CH"/>
              </w:rPr>
              <w:tab/>
            </w:r>
            <w:r w:rsidRPr="00B728CD">
              <w:rPr>
                <w:sz w:val="20"/>
                <w:lang w:val="fr-CH"/>
              </w:rPr>
              <w:tab/>
              <w:t>A3</w:t>
            </w:r>
            <w:r w:rsidRPr="00B728CD">
              <w:rPr>
                <w:sz w:val="20"/>
                <w:lang w:val="fr-CH"/>
              </w:rPr>
              <w:tab/>
              <w:t xml:space="preserve">Puissance de l’émetteur supérieur à 25 km </w:t>
            </w:r>
          </w:p>
        </w:tc>
        <w:tc>
          <w:tcPr>
            <w:tcW w:w="1418" w:type="dxa"/>
            <w:tcBorders>
              <w:top w:val="single" w:sz="4" w:space="0" w:color="000000"/>
              <w:left w:val="single" w:sz="4" w:space="0" w:color="000000"/>
              <w:bottom w:val="single" w:sz="6" w:space="0" w:color="000000"/>
              <w:right w:val="single" w:sz="4" w:space="0" w:color="000000"/>
            </w:tcBorders>
            <w:vAlign w:val="bottom"/>
          </w:tcPr>
          <w:p w:rsidR="00E56335" w:rsidRPr="00B728CD" w:rsidRDefault="00E56335" w:rsidP="00015D4C">
            <w:pPr>
              <w:pStyle w:val="TableText0"/>
              <w:jc w:val="center"/>
              <w:rPr>
                <w:sz w:val="20"/>
              </w:rPr>
            </w:pPr>
            <w:r w:rsidRPr="00B728CD">
              <w:rPr>
                <w:sz w:val="20"/>
              </w:rPr>
              <w:t>–</w:t>
            </w:r>
          </w:p>
        </w:tc>
        <w:tc>
          <w:tcPr>
            <w:tcW w:w="1418" w:type="dxa"/>
            <w:tcBorders>
              <w:top w:val="single" w:sz="4"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r w:rsidRPr="00B728CD">
              <w:rPr>
                <w:b/>
                <w:bCs/>
                <w:sz w:val="20"/>
              </w:rPr>
              <w:t>58 000</w:t>
            </w:r>
          </w:p>
        </w:tc>
        <w:tc>
          <w:tcPr>
            <w:tcW w:w="1418" w:type="dxa"/>
            <w:tcBorders>
              <w:top w:val="single" w:sz="4" w:space="0" w:color="000000"/>
              <w:left w:val="single" w:sz="4" w:space="0" w:color="000000"/>
              <w:bottom w:val="single" w:sz="6" w:space="0" w:color="000000"/>
              <w:right w:val="single" w:sz="4" w:space="0" w:color="000000"/>
            </w:tcBorders>
            <w:vAlign w:val="bottom"/>
          </w:tcPr>
          <w:p w:rsidR="00E56335" w:rsidRPr="00B728CD" w:rsidRDefault="00E56335" w:rsidP="00015D4C">
            <w:pPr>
              <w:pStyle w:val="TableText0"/>
              <w:jc w:val="center"/>
              <w:rPr>
                <w:sz w:val="20"/>
              </w:rPr>
            </w:pPr>
            <w:r w:rsidRPr="00B728CD">
              <w:rPr>
                <w:sz w:val="20"/>
              </w:rPr>
              <w:t>–</w:t>
            </w:r>
          </w:p>
        </w:tc>
        <w:tc>
          <w:tcPr>
            <w:tcW w:w="1418" w:type="dxa"/>
            <w:tcBorders>
              <w:top w:val="single" w:sz="4" w:space="0" w:color="000000"/>
              <w:left w:val="single" w:sz="4" w:space="0" w:color="000000"/>
              <w:bottom w:val="single" w:sz="6" w:space="0" w:color="000000"/>
              <w:right w:val="single" w:sz="4" w:space="0" w:color="000000"/>
            </w:tcBorders>
            <w:vAlign w:val="bottom"/>
          </w:tcPr>
          <w:p w:rsidR="00E56335" w:rsidRPr="00B728CD" w:rsidRDefault="00E56335" w:rsidP="00015D4C">
            <w:pPr>
              <w:pStyle w:val="TableText0"/>
              <w:jc w:val="center"/>
              <w:rPr>
                <w:sz w:val="20"/>
              </w:rPr>
            </w:pPr>
            <w:r w:rsidRPr="00B728CD">
              <w:rPr>
                <w:sz w:val="20"/>
              </w:rPr>
              <w:t>–</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clear" w:pos="851"/>
                <w:tab w:val="left" w:pos="444"/>
                <w:tab w:val="left" w:pos="833"/>
              </w:tabs>
              <w:ind w:left="851" w:hanging="851"/>
              <w:rPr>
                <w:sz w:val="20"/>
                <w:lang w:val="fr-CH"/>
              </w:rPr>
            </w:pPr>
            <w:r w:rsidRPr="00B728CD">
              <w:rPr>
                <w:sz w:val="20"/>
                <w:lang w:val="fr-CH"/>
              </w:rPr>
              <w:tab/>
            </w:r>
            <w:r w:rsidRPr="00B728CD">
              <w:rPr>
                <w:sz w:val="20"/>
                <w:lang w:val="fr-CH"/>
              </w:rPr>
              <w:tab/>
              <w:t>B1</w:t>
            </w:r>
            <w:r w:rsidRPr="00B728CD">
              <w:rPr>
                <w:sz w:val="20"/>
                <w:lang w:val="fr-CH"/>
              </w:rPr>
              <w:tab/>
              <w:t xml:space="preserve">Réseau local sans relais (moyenne de 10 km) </w:t>
            </w:r>
          </w:p>
        </w:tc>
        <w:tc>
          <w:tcPr>
            <w:tcW w:w="1418" w:type="dxa"/>
            <w:tcBorders>
              <w:top w:val="single" w:sz="6" w:space="0" w:color="000000"/>
              <w:left w:val="single" w:sz="4" w:space="0" w:color="000000"/>
              <w:bottom w:val="single" w:sz="6" w:space="0" w:color="000000"/>
              <w:right w:val="single" w:sz="4" w:space="0" w:color="000000"/>
            </w:tcBorders>
            <w:vAlign w:val="bottom"/>
          </w:tcPr>
          <w:p w:rsidR="00E56335" w:rsidRPr="00B728CD" w:rsidRDefault="00E56335" w:rsidP="00015D4C">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vAlign w:val="bottom"/>
          </w:tcPr>
          <w:p w:rsidR="00E56335" w:rsidRPr="00B728CD" w:rsidRDefault="00E56335" w:rsidP="00015D4C">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r w:rsidRPr="00B728CD">
              <w:rPr>
                <w:b/>
                <w:bCs/>
                <w:sz w:val="20"/>
              </w:rPr>
              <w:t>145 000</w:t>
            </w:r>
          </w:p>
        </w:tc>
      </w:tr>
      <w:tr w:rsidR="00E56335" w:rsidRPr="00E21F0F" w:rsidTr="00015D4C">
        <w:trPr>
          <w:jc w:val="center"/>
        </w:trPr>
        <w:tc>
          <w:tcPr>
            <w:tcW w:w="3969" w:type="dxa"/>
            <w:tcBorders>
              <w:top w:val="single" w:sz="6" w:space="0" w:color="000000"/>
              <w:left w:val="single" w:sz="4" w:space="0" w:color="000000"/>
              <w:bottom w:val="single" w:sz="4" w:space="0" w:color="000000"/>
              <w:right w:val="single" w:sz="4" w:space="0" w:color="000000"/>
            </w:tcBorders>
            <w:vAlign w:val="center"/>
          </w:tcPr>
          <w:p w:rsidR="00E56335" w:rsidRPr="00B728CD" w:rsidRDefault="00E56335" w:rsidP="00015D4C">
            <w:pPr>
              <w:pStyle w:val="TableText0"/>
              <w:tabs>
                <w:tab w:val="clear" w:pos="567"/>
                <w:tab w:val="clear" w:pos="851"/>
                <w:tab w:val="left" w:pos="444"/>
                <w:tab w:val="left" w:pos="833"/>
              </w:tabs>
              <w:ind w:left="851" w:hanging="851"/>
              <w:rPr>
                <w:sz w:val="20"/>
                <w:lang w:val="fr-CH"/>
              </w:rPr>
            </w:pPr>
            <w:r w:rsidRPr="00B728CD">
              <w:rPr>
                <w:sz w:val="20"/>
                <w:lang w:val="fr-CH"/>
              </w:rPr>
              <w:tab/>
            </w:r>
            <w:r w:rsidRPr="00B728CD">
              <w:rPr>
                <w:sz w:val="20"/>
                <w:lang w:val="fr-CH"/>
              </w:rPr>
              <w:tab/>
              <w:t>B2</w:t>
            </w:r>
            <w:r w:rsidRPr="00B728CD">
              <w:rPr>
                <w:sz w:val="20"/>
                <w:lang w:val="fr-CH"/>
              </w:rPr>
              <w:tab/>
              <w:t xml:space="preserve">Réseau local sans relais (moyenne de 25 km) </w:t>
            </w:r>
          </w:p>
        </w:tc>
        <w:tc>
          <w:tcPr>
            <w:tcW w:w="1418" w:type="dxa"/>
            <w:tcBorders>
              <w:top w:val="single" w:sz="6" w:space="0" w:color="000000"/>
              <w:left w:val="single" w:sz="4" w:space="0" w:color="000000"/>
              <w:bottom w:val="single" w:sz="4" w:space="0" w:color="000000"/>
              <w:right w:val="single" w:sz="4" w:space="0" w:color="000000"/>
            </w:tcBorders>
            <w:vAlign w:val="center"/>
          </w:tcPr>
          <w:p w:rsidR="00E56335" w:rsidRPr="00B728CD" w:rsidRDefault="00E56335" w:rsidP="00015D4C">
            <w:pPr>
              <w:pStyle w:val="TableText0"/>
              <w:jc w:val="center"/>
              <w:rPr>
                <w:sz w:val="20"/>
              </w:rPr>
            </w:pPr>
            <w:r w:rsidRPr="00B728CD">
              <w:rPr>
                <w:sz w:val="20"/>
              </w:rPr>
              <w:t>–</w:t>
            </w:r>
          </w:p>
        </w:tc>
        <w:tc>
          <w:tcPr>
            <w:tcW w:w="1418" w:type="dxa"/>
            <w:tcBorders>
              <w:top w:val="single" w:sz="6" w:space="0" w:color="000000"/>
              <w:left w:val="single" w:sz="4" w:space="0" w:color="000000"/>
              <w:bottom w:val="single" w:sz="4" w:space="0" w:color="000000"/>
              <w:right w:val="single" w:sz="4" w:space="0" w:color="000000"/>
            </w:tcBorders>
            <w:vAlign w:val="center"/>
          </w:tcPr>
          <w:p w:rsidR="00E56335" w:rsidRPr="00B728CD" w:rsidRDefault="00E56335" w:rsidP="00015D4C">
            <w:pPr>
              <w:pStyle w:val="TableText0"/>
              <w:jc w:val="center"/>
              <w:rPr>
                <w:sz w:val="20"/>
              </w:rPr>
            </w:pPr>
            <w:r w:rsidRPr="00B728CD">
              <w:rPr>
                <w:sz w:val="20"/>
              </w:rPr>
              <w:t>–</w:t>
            </w:r>
          </w:p>
        </w:tc>
        <w:tc>
          <w:tcPr>
            <w:tcW w:w="1418" w:type="dxa"/>
            <w:tcBorders>
              <w:top w:val="single" w:sz="6" w:space="0" w:color="000000"/>
              <w:left w:val="single" w:sz="4" w:space="0" w:color="000000"/>
              <w:bottom w:val="single" w:sz="4" w:space="0" w:color="000000"/>
              <w:right w:val="single" w:sz="4" w:space="0" w:color="000000"/>
            </w:tcBorders>
            <w:vAlign w:val="center"/>
          </w:tcPr>
          <w:p w:rsidR="00E56335" w:rsidRPr="00B728CD" w:rsidRDefault="00E56335" w:rsidP="00015D4C">
            <w:pPr>
              <w:pStyle w:val="TableText0"/>
              <w:jc w:val="center"/>
              <w:rPr>
                <w:sz w:val="20"/>
              </w:rPr>
            </w:pPr>
            <w:r w:rsidRPr="00B728CD">
              <w:rPr>
                <w:sz w:val="20"/>
              </w:rPr>
              <w:t>–</w:t>
            </w:r>
          </w:p>
        </w:tc>
        <w:tc>
          <w:tcPr>
            <w:tcW w:w="1418" w:type="dxa"/>
            <w:tcBorders>
              <w:top w:val="single" w:sz="6" w:space="0" w:color="000000"/>
              <w:left w:val="single" w:sz="4" w:space="0" w:color="000000"/>
              <w:bottom w:val="single" w:sz="4" w:space="0" w:color="000000"/>
              <w:right w:val="single" w:sz="4" w:space="0" w:color="000000"/>
            </w:tcBorders>
          </w:tcPr>
          <w:p w:rsidR="00E56335" w:rsidRPr="00B728CD" w:rsidRDefault="00E56335" w:rsidP="00015D4C">
            <w:pPr>
              <w:pStyle w:val="TableText0"/>
              <w:jc w:val="center"/>
              <w:rPr>
                <w:sz w:val="20"/>
              </w:rPr>
            </w:pPr>
            <w:r w:rsidRPr="00B728CD">
              <w:rPr>
                <w:b/>
                <w:bCs/>
                <w:sz w:val="20"/>
              </w:rPr>
              <w:t>362 500</w:t>
            </w:r>
          </w:p>
        </w:tc>
      </w:tr>
      <w:tr w:rsidR="00E56335" w:rsidRPr="00871C74" w:rsidTr="00015D4C">
        <w:trPr>
          <w:jc w:val="center"/>
        </w:trPr>
        <w:tc>
          <w:tcPr>
            <w:tcW w:w="3969" w:type="dxa"/>
            <w:tcBorders>
              <w:top w:val="single" w:sz="4" w:space="0" w:color="000000"/>
              <w:left w:val="single" w:sz="4" w:space="0" w:color="000000"/>
              <w:bottom w:val="single" w:sz="6" w:space="0" w:color="000000"/>
              <w:right w:val="single" w:sz="4" w:space="0" w:color="000000"/>
            </w:tcBorders>
          </w:tcPr>
          <w:p w:rsidR="00E56335" w:rsidRPr="00B728CD" w:rsidRDefault="00E56335" w:rsidP="00015D4C">
            <w:pPr>
              <w:pStyle w:val="TableText0"/>
              <w:tabs>
                <w:tab w:val="clear" w:pos="567"/>
                <w:tab w:val="clear" w:pos="851"/>
                <w:tab w:val="left" w:pos="444"/>
                <w:tab w:val="left" w:pos="833"/>
              </w:tabs>
              <w:rPr>
                <w:sz w:val="20"/>
                <w:lang w:val="fr-CH"/>
              </w:rPr>
            </w:pPr>
            <w:r w:rsidRPr="00B728CD">
              <w:rPr>
                <w:sz w:val="20"/>
                <w:lang w:val="fr-CH"/>
              </w:rPr>
              <w:tab/>
            </w:r>
            <w:r w:rsidRPr="00B728CD">
              <w:rPr>
                <w:sz w:val="20"/>
                <w:lang w:val="fr-CH"/>
              </w:rPr>
              <w:tab/>
              <w:t>B3</w:t>
            </w:r>
            <w:r w:rsidRPr="00B728CD">
              <w:rPr>
                <w:sz w:val="20"/>
                <w:lang w:val="fr-CH"/>
              </w:rPr>
              <w:tab/>
              <w:t xml:space="preserve">Réseau local à Abidjan </w:t>
            </w:r>
          </w:p>
        </w:tc>
        <w:tc>
          <w:tcPr>
            <w:tcW w:w="1418" w:type="dxa"/>
            <w:tcBorders>
              <w:top w:val="single" w:sz="4"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jc w:val="center"/>
              <w:rPr>
                <w:sz w:val="20"/>
              </w:rPr>
            </w:pPr>
            <w:r w:rsidRPr="00B728CD">
              <w:rPr>
                <w:sz w:val="20"/>
              </w:rPr>
              <w:t>–</w:t>
            </w:r>
          </w:p>
        </w:tc>
        <w:tc>
          <w:tcPr>
            <w:tcW w:w="1418" w:type="dxa"/>
            <w:tcBorders>
              <w:top w:val="single" w:sz="4"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jc w:val="center"/>
              <w:rPr>
                <w:sz w:val="20"/>
              </w:rPr>
            </w:pPr>
            <w:r w:rsidRPr="00B728CD">
              <w:rPr>
                <w:sz w:val="20"/>
              </w:rPr>
              <w:t>–</w:t>
            </w:r>
          </w:p>
        </w:tc>
        <w:tc>
          <w:tcPr>
            <w:tcW w:w="1418" w:type="dxa"/>
            <w:tcBorders>
              <w:top w:val="single" w:sz="4"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jc w:val="center"/>
              <w:rPr>
                <w:sz w:val="20"/>
              </w:rPr>
            </w:pPr>
            <w:r w:rsidRPr="00B728CD">
              <w:rPr>
                <w:sz w:val="20"/>
              </w:rPr>
              <w:t>–</w:t>
            </w:r>
          </w:p>
        </w:tc>
        <w:tc>
          <w:tcPr>
            <w:tcW w:w="1418" w:type="dxa"/>
            <w:tcBorders>
              <w:top w:val="single" w:sz="4"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r w:rsidRPr="00B728CD">
              <w:rPr>
                <w:b/>
                <w:bCs/>
                <w:sz w:val="20"/>
                <w:lang w:val="fr-CH"/>
              </w:rPr>
              <w:t>Double des tarifs ci dessus</w:t>
            </w:r>
          </w:p>
        </w:tc>
      </w:tr>
      <w:tr w:rsidR="00E56335" w:rsidRPr="00E21F0F" w:rsidTr="00015D4C">
        <w:trPr>
          <w:jc w:val="center"/>
        </w:trPr>
        <w:tc>
          <w:tcPr>
            <w:tcW w:w="3969" w:type="dxa"/>
            <w:tcBorders>
              <w:top w:val="single" w:sz="6" w:space="0" w:color="000000"/>
              <w:left w:val="single" w:sz="4" w:space="0" w:color="000000"/>
              <w:bottom w:val="single" w:sz="4"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sz w:val="20"/>
                <w:lang w:val="fr-CH"/>
              </w:rPr>
            </w:pPr>
            <w:r w:rsidRPr="00B728CD">
              <w:rPr>
                <w:sz w:val="20"/>
                <w:lang w:val="fr-CH"/>
              </w:rPr>
              <w:tab/>
            </w:r>
            <w:r w:rsidRPr="00B728CD">
              <w:rPr>
                <w:sz w:val="20"/>
                <w:lang w:val="fr-CH"/>
              </w:rPr>
              <w:tab/>
              <w:t>C1</w:t>
            </w:r>
            <w:r w:rsidRPr="00B728CD">
              <w:rPr>
                <w:sz w:val="20"/>
                <w:lang w:val="fr-CH"/>
              </w:rPr>
              <w:tab/>
              <w:t xml:space="preserve">Réseau comportant moins de 10 postes à Abidjan </w:t>
            </w:r>
          </w:p>
        </w:tc>
        <w:tc>
          <w:tcPr>
            <w:tcW w:w="1418" w:type="dxa"/>
            <w:tcBorders>
              <w:top w:val="single" w:sz="6" w:space="0" w:color="000000"/>
              <w:left w:val="single" w:sz="4" w:space="0" w:color="000000"/>
              <w:bottom w:val="single" w:sz="4" w:space="0" w:color="000000"/>
              <w:right w:val="single" w:sz="4" w:space="0" w:color="000000"/>
            </w:tcBorders>
            <w:vAlign w:val="center"/>
          </w:tcPr>
          <w:p w:rsidR="00E56335" w:rsidRPr="00B728CD" w:rsidRDefault="00E56335" w:rsidP="00015D4C">
            <w:pPr>
              <w:pStyle w:val="TableText0"/>
              <w:jc w:val="center"/>
              <w:rPr>
                <w:sz w:val="20"/>
              </w:rPr>
            </w:pPr>
            <w:r w:rsidRPr="00B728CD">
              <w:rPr>
                <w:sz w:val="20"/>
              </w:rPr>
              <w:t>–</w:t>
            </w:r>
          </w:p>
        </w:tc>
        <w:tc>
          <w:tcPr>
            <w:tcW w:w="1418" w:type="dxa"/>
            <w:tcBorders>
              <w:top w:val="single" w:sz="6" w:space="0" w:color="000000"/>
              <w:left w:val="single" w:sz="4" w:space="0" w:color="000000"/>
              <w:bottom w:val="single" w:sz="4" w:space="0" w:color="000000"/>
              <w:right w:val="single" w:sz="4" w:space="0" w:color="000000"/>
            </w:tcBorders>
            <w:vAlign w:val="center"/>
          </w:tcPr>
          <w:p w:rsidR="00E56335" w:rsidRPr="00B728CD" w:rsidRDefault="00E56335" w:rsidP="00015D4C">
            <w:pPr>
              <w:pStyle w:val="TableText0"/>
              <w:jc w:val="center"/>
              <w:rPr>
                <w:sz w:val="20"/>
              </w:rPr>
            </w:pPr>
            <w:r w:rsidRPr="00B728CD">
              <w:rPr>
                <w:sz w:val="20"/>
              </w:rPr>
              <w:t>–</w:t>
            </w:r>
          </w:p>
        </w:tc>
        <w:tc>
          <w:tcPr>
            <w:tcW w:w="1418" w:type="dxa"/>
            <w:tcBorders>
              <w:top w:val="single" w:sz="6" w:space="0" w:color="000000"/>
              <w:left w:val="single" w:sz="4" w:space="0" w:color="000000"/>
              <w:bottom w:val="single" w:sz="4" w:space="0" w:color="000000"/>
              <w:right w:val="single" w:sz="4" w:space="0" w:color="000000"/>
            </w:tcBorders>
          </w:tcPr>
          <w:p w:rsidR="00E56335" w:rsidRPr="00B728CD" w:rsidRDefault="00E56335" w:rsidP="00015D4C">
            <w:pPr>
              <w:pStyle w:val="TableText0"/>
              <w:jc w:val="center"/>
              <w:rPr>
                <w:sz w:val="20"/>
              </w:rPr>
            </w:pPr>
            <w:r w:rsidRPr="00B728CD">
              <w:rPr>
                <w:b/>
                <w:bCs/>
                <w:sz w:val="20"/>
              </w:rPr>
              <w:t>290 000</w:t>
            </w:r>
          </w:p>
        </w:tc>
        <w:tc>
          <w:tcPr>
            <w:tcW w:w="1418" w:type="dxa"/>
            <w:tcBorders>
              <w:top w:val="single" w:sz="6" w:space="0" w:color="000000"/>
              <w:left w:val="single" w:sz="4" w:space="0" w:color="000000"/>
              <w:bottom w:val="single" w:sz="4" w:space="0" w:color="000000"/>
              <w:right w:val="single" w:sz="4" w:space="0" w:color="000000"/>
            </w:tcBorders>
          </w:tcPr>
          <w:p w:rsidR="00E56335" w:rsidRPr="00B728CD" w:rsidRDefault="00E56335" w:rsidP="00015D4C">
            <w:pPr>
              <w:pStyle w:val="TableText0"/>
              <w:jc w:val="center"/>
              <w:rPr>
                <w:sz w:val="20"/>
              </w:rPr>
            </w:pPr>
          </w:p>
        </w:tc>
      </w:tr>
      <w:tr w:rsidR="00E56335" w:rsidRPr="00E21F0F" w:rsidTr="00015D4C">
        <w:trPr>
          <w:jc w:val="center"/>
        </w:trPr>
        <w:tc>
          <w:tcPr>
            <w:tcW w:w="3969" w:type="dxa"/>
            <w:tcBorders>
              <w:top w:val="single" w:sz="4"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sz w:val="20"/>
                <w:lang w:val="fr-CH"/>
              </w:rPr>
            </w:pPr>
            <w:r w:rsidRPr="00B728CD">
              <w:rPr>
                <w:sz w:val="20"/>
                <w:lang w:val="fr-CH"/>
              </w:rPr>
              <w:tab/>
            </w:r>
            <w:r w:rsidRPr="00B728CD">
              <w:rPr>
                <w:sz w:val="20"/>
                <w:lang w:val="fr-CH"/>
              </w:rPr>
              <w:tab/>
              <w:t>C2</w:t>
            </w:r>
            <w:r w:rsidRPr="00B728CD">
              <w:rPr>
                <w:sz w:val="20"/>
                <w:lang w:val="fr-CH"/>
              </w:rPr>
              <w:tab/>
              <w:t xml:space="preserve">Réseau de 10 à 50 postes à Abidjan </w:t>
            </w:r>
          </w:p>
        </w:tc>
        <w:tc>
          <w:tcPr>
            <w:tcW w:w="1418" w:type="dxa"/>
            <w:tcBorders>
              <w:top w:val="single" w:sz="4"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jc w:val="center"/>
              <w:rPr>
                <w:sz w:val="20"/>
              </w:rPr>
            </w:pPr>
            <w:r w:rsidRPr="00B728CD">
              <w:rPr>
                <w:sz w:val="20"/>
              </w:rPr>
              <w:t>–</w:t>
            </w:r>
          </w:p>
        </w:tc>
        <w:tc>
          <w:tcPr>
            <w:tcW w:w="1418" w:type="dxa"/>
            <w:tcBorders>
              <w:top w:val="single" w:sz="4"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jc w:val="center"/>
              <w:rPr>
                <w:sz w:val="20"/>
              </w:rPr>
            </w:pPr>
            <w:r w:rsidRPr="00B728CD">
              <w:rPr>
                <w:sz w:val="20"/>
              </w:rPr>
              <w:t>–</w:t>
            </w:r>
          </w:p>
        </w:tc>
        <w:tc>
          <w:tcPr>
            <w:tcW w:w="1418" w:type="dxa"/>
            <w:tcBorders>
              <w:top w:val="single" w:sz="4"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r w:rsidRPr="00B728CD">
              <w:rPr>
                <w:b/>
                <w:bCs/>
                <w:sz w:val="20"/>
              </w:rPr>
              <w:t>145 000</w:t>
            </w:r>
          </w:p>
        </w:tc>
        <w:tc>
          <w:tcPr>
            <w:tcW w:w="1418" w:type="dxa"/>
            <w:tcBorders>
              <w:top w:val="single" w:sz="4"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sz w:val="20"/>
                <w:lang w:val="fr-CH"/>
              </w:rPr>
            </w:pPr>
            <w:r w:rsidRPr="00B728CD">
              <w:rPr>
                <w:sz w:val="20"/>
                <w:lang w:val="fr-CH"/>
              </w:rPr>
              <w:tab/>
            </w:r>
            <w:r w:rsidRPr="00B728CD">
              <w:rPr>
                <w:sz w:val="20"/>
                <w:lang w:val="fr-CH"/>
              </w:rPr>
              <w:tab/>
              <w:t>C3</w:t>
            </w:r>
            <w:r w:rsidRPr="00B728CD">
              <w:rPr>
                <w:sz w:val="20"/>
                <w:lang w:val="fr-CH"/>
              </w:rPr>
              <w:tab/>
              <w:t xml:space="preserve">Réseau de plus de 50 postes à Abidjan </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r w:rsidRPr="00B728CD">
              <w:rPr>
                <w:b/>
                <w:bCs/>
                <w:sz w:val="20"/>
              </w:rPr>
              <w:t>58 000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r>
      <w:tr w:rsidR="00E56335" w:rsidRPr="00E21F0F" w:rsidTr="00015D4C">
        <w:trPr>
          <w:jc w:val="center"/>
        </w:trPr>
        <w:tc>
          <w:tcPr>
            <w:tcW w:w="3969" w:type="dxa"/>
            <w:tcBorders>
              <w:top w:val="single" w:sz="6" w:space="0" w:color="000000"/>
              <w:left w:val="single" w:sz="4" w:space="0" w:color="000000"/>
              <w:bottom w:val="single" w:sz="4" w:space="0" w:color="000000"/>
              <w:right w:val="single" w:sz="4" w:space="0" w:color="000000"/>
            </w:tcBorders>
            <w:vAlign w:val="center"/>
          </w:tcPr>
          <w:p w:rsidR="00E56335" w:rsidRPr="00B728CD" w:rsidRDefault="00E56335" w:rsidP="00015D4C">
            <w:pPr>
              <w:pStyle w:val="TableText0"/>
              <w:tabs>
                <w:tab w:val="clear" w:pos="567"/>
                <w:tab w:val="left" w:pos="444"/>
              </w:tabs>
              <w:rPr>
                <w:sz w:val="20"/>
                <w:lang w:val="fr-CH"/>
              </w:rPr>
            </w:pPr>
            <w:r w:rsidRPr="00B728CD">
              <w:rPr>
                <w:sz w:val="20"/>
                <w:lang w:val="fr-CH"/>
              </w:rPr>
              <w:tab/>
            </w:r>
            <w:r w:rsidRPr="00B728CD">
              <w:rPr>
                <w:sz w:val="20"/>
                <w:lang w:val="fr-CH"/>
              </w:rPr>
              <w:tab/>
              <w:t>C4</w:t>
            </w:r>
            <w:r w:rsidRPr="00B728CD">
              <w:rPr>
                <w:sz w:val="20"/>
                <w:lang w:val="fr-CH"/>
              </w:rPr>
              <w:tab/>
              <w:t xml:space="preserve">Réseau situé hors Abidjan </w:t>
            </w:r>
          </w:p>
        </w:tc>
        <w:tc>
          <w:tcPr>
            <w:tcW w:w="1418" w:type="dxa"/>
            <w:tcBorders>
              <w:top w:val="single" w:sz="6" w:space="0" w:color="000000"/>
              <w:left w:val="single" w:sz="4" w:space="0" w:color="000000"/>
              <w:bottom w:val="single" w:sz="4" w:space="0" w:color="000000"/>
              <w:right w:val="single" w:sz="4" w:space="0" w:color="000000"/>
            </w:tcBorders>
            <w:vAlign w:val="center"/>
          </w:tcPr>
          <w:p w:rsidR="00E56335" w:rsidRPr="00B728CD" w:rsidRDefault="00E56335" w:rsidP="00015D4C">
            <w:pPr>
              <w:pStyle w:val="TableText0"/>
              <w:jc w:val="center"/>
              <w:rPr>
                <w:sz w:val="20"/>
              </w:rPr>
            </w:pPr>
            <w:r w:rsidRPr="00B728CD">
              <w:rPr>
                <w:sz w:val="20"/>
              </w:rPr>
              <w:t>–</w:t>
            </w:r>
          </w:p>
        </w:tc>
        <w:tc>
          <w:tcPr>
            <w:tcW w:w="1418" w:type="dxa"/>
            <w:tcBorders>
              <w:top w:val="single" w:sz="6" w:space="0" w:color="000000"/>
              <w:left w:val="single" w:sz="4" w:space="0" w:color="000000"/>
              <w:bottom w:val="single" w:sz="4" w:space="0" w:color="000000"/>
              <w:right w:val="single" w:sz="4" w:space="0" w:color="000000"/>
            </w:tcBorders>
            <w:vAlign w:val="center"/>
          </w:tcPr>
          <w:p w:rsidR="00E56335" w:rsidRPr="00B728CD" w:rsidRDefault="00E56335" w:rsidP="00015D4C">
            <w:pPr>
              <w:pStyle w:val="TableText0"/>
              <w:jc w:val="center"/>
              <w:rPr>
                <w:sz w:val="20"/>
              </w:rPr>
            </w:pPr>
            <w:r w:rsidRPr="00B728CD">
              <w:rPr>
                <w:sz w:val="20"/>
              </w:rPr>
              <w:t>–</w:t>
            </w:r>
          </w:p>
        </w:tc>
        <w:tc>
          <w:tcPr>
            <w:tcW w:w="1418" w:type="dxa"/>
            <w:tcBorders>
              <w:top w:val="single" w:sz="6" w:space="0" w:color="000000"/>
              <w:left w:val="single" w:sz="4" w:space="0" w:color="000000"/>
              <w:bottom w:val="single" w:sz="4" w:space="0" w:color="000000"/>
              <w:right w:val="single" w:sz="4" w:space="0" w:color="000000"/>
            </w:tcBorders>
          </w:tcPr>
          <w:p w:rsidR="00E56335" w:rsidRPr="00B728CD" w:rsidRDefault="00E56335" w:rsidP="00015D4C">
            <w:pPr>
              <w:pStyle w:val="TableText0"/>
              <w:jc w:val="center"/>
              <w:rPr>
                <w:sz w:val="20"/>
              </w:rPr>
            </w:pPr>
            <w:r w:rsidRPr="00B728CD">
              <w:rPr>
                <w:b/>
                <w:bCs/>
                <w:sz w:val="20"/>
              </w:rPr>
              <w:t>58 000</w:t>
            </w:r>
          </w:p>
        </w:tc>
        <w:tc>
          <w:tcPr>
            <w:tcW w:w="1418" w:type="dxa"/>
            <w:tcBorders>
              <w:top w:val="single" w:sz="6" w:space="0" w:color="000000"/>
              <w:left w:val="single" w:sz="4" w:space="0" w:color="000000"/>
              <w:bottom w:val="single" w:sz="4" w:space="0" w:color="000000"/>
              <w:right w:val="single" w:sz="4" w:space="0" w:color="000000"/>
            </w:tcBorders>
          </w:tcPr>
          <w:p w:rsidR="00E56335" w:rsidRPr="00B728CD" w:rsidRDefault="00E56335" w:rsidP="00015D4C">
            <w:pPr>
              <w:pStyle w:val="TableText0"/>
              <w:jc w:val="center"/>
              <w:rPr>
                <w:sz w:val="20"/>
              </w:rPr>
            </w:pPr>
          </w:p>
        </w:tc>
      </w:tr>
      <w:tr w:rsidR="00E56335" w:rsidRPr="00E21F0F" w:rsidTr="00015D4C">
        <w:trPr>
          <w:jc w:val="center"/>
        </w:trPr>
        <w:tc>
          <w:tcPr>
            <w:tcW w:w="3969" w:type="dxa"/>
            <w:tcBorders>
              <w:top w:val="single" w:sz="4" w:space="0" w:color="000000"/>
              <w:left w:val="single" w:sz="4" w:space="0" w:color="000000"/>
              <w:bottom w:val="single" w:sz="4" w:space="0" w:color="000000"/>
              <w:right w:val="single" w:sz="4" w:space="0" w:color="000000"/>
            </w:tcBorders>
            <w:vAlign w:val="center"/>
          </w:tcPr>
          <w:p w:rsidR="00E56335" w:rsidRPr="00B728CD" w:rsidRDefault="00E56335" w:rsidP="00015D4C">
            <w:pPr>
              <w:pStyle w:val="TableText0"/>
              <w:ind w:left="851" w:hanging="851"/>
              <w:rPr>
                <w:sz w:val="20"/>
                <w:lang w:val="fr-CH"/>
              </w:rPr>
            </w:pPr>
            <w:r w:rsidRPr="00B728CD">
              <w:rPr>
                <w:sz w:val="20"/>
                <w:lang w:val="fr-CH"/>
              </w:rPr>
              <w:tab/>
              <w:t>I.2</w:t>
            </w:r>
            <w:r w:rsidRPr="00B728CD">
              <w:rPr>
                <w:sz w:val="20"/>
                <w:lang w:val="fr-CH"/>
              </w:rPr>
              <w:tab/>
            </w:r>
            <w:r w:rsidRPr="00B728CD">
              <w:rPr>
                <w:sz w:val="20"/>
                <w:lang w:val="fr-CH"/>
              </w:rPr>
              <w:tab/>
              <w:t xml:space="preserve">Réseau de radiotéléphonie MF/HF (largeur du canal = 3 khz) </w:t>
            </w:r>
          </w:p>
        </w:tc>
        <w:tc>
          <w:tcPr>
            <w:tcW w:w="1418" w:type="dxa"/>
            <w:tcBorders>
              <w:top w:val="single" w:sz="4" w:space="0" w:color="000000"/>
              <w:left w:val="single" w:sz="4" w:space="0" w:color="000000"/>
              <w:bottom w:val="single" w:sz="4" w:space="0" w:color="000000"/>
              <w:right w:val="single" w:sz="4" w:space="0" w:color="000000"/>
            </w:tcBorders>
          </w:tcPr>
          <w:p w:rsidR="00E56335" w:rsidRPr="00B728CD" w:rsidRDefault="00E56335" w:rsidP="00015D4C">
            <w:pPr>
              <w:pStyle w:val="TableText0"/>
              <w:jc w:val="center"/>
              <w:rPr>
                <w:sz w:val="20"/>
              </w:rPr>
            </w:pPr>
            <w:r w:rsidRPr="00B728CD">
              <w:rPr>
                <w:b/>
                <w:bCs/>
                <w:sz w:val="20"/>
              </w:rPr>
              <w:t>11 600</w:t>
            </w:r>
          </w:p>
        </w:tc>
        <w:tc>
          <w:tcPr>
            <w:tcW w:w="1418" w:type="dxa"/>
            <w:tcBorders>
              <w:top w:val="single" w:sz="4" w:space="0" w:color="000000"/>
              <w:left w:val="single" w:sz="4" w:space="0" w:color="000000"/>
              <w:bottom w:val="single" w:sz="4"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4" w:space="0" w:color="000000"/>
              <w:left w:val="single" w:sz="4" w:space="0" w:color="000000"/>
              <w:bottom w:val="single" w:sz="4"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4" w:space="0" w:color="000000"/>
              <w:left w:val="single" w:sz="4" w:space="0" w:color="000000"/>
              <w:bottom w:val="single" w:sz="4" w:space="0" w:color="000000"/>
              <w:right w:val="single" w:sz="4" w:space="0" w:color="000000"/>
            </w:tcBorders>
          </w:tcPr>
          <w:p w:rsidR="00E56335" w:rsidRPr="00B728CD" w:rsidRDefault="00E56335" w:rsidP="00015D4C">
            <w:pPr>
              <w:pStyle w:val="TableText0"/>
              <w:jc w:val="center"/>
              <w:rPr>
                <w:sz w:val="20"/>
              </w:rPr>
            </w:pPr>
          </w:p>
        </w:tc>
      </w:tr>
      <w:tr w:rsidR="00E56335" w:rsidRPr="00E21F0F" w:rsidTr="00015D4C">
        <w:trPr>
          <w:jc w:val="center"/>
        </w:trPr>
        <w:tc>
          <w:tcPr>
            <w:tcW w:w="3969" w:type="dxa"/>
            <w:tcBorders>
              <w:top w:val="single" w:sz="4"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sz w:val="20"/>
                <w:lang w:val="fr-CH"/>
              </w:rPr>
            </w:pPr>
            <w:r w:rsidRPr="00B728CD">
              <w:rPr>
                <w:sz w:val="20"/>
                <w:lang w:val="fr-CH"/>
              </w:rPr>
              <w:tab/>
            </w:r>
            <w:r w:rsidRPr="00B728CD">
              <w:rPr>
                <w:sz w:val="20"/>
                <w:lang w:val="fr-CH"/>
              </w:rPr>
              <w:tab/>
              <w:t>A1</w:t>
            </w:r>
            <w:r w:rsidRPr="00B728CD">
              <w:rPr>
                <w:sz w:val="20"/>
                <w:lang w:val="fr-CH"/>
              </w:rPr>
              <w:tab/>
              <w:t xml:space="preserve">Puissance de l’émetteur inférieur à 50 w </w:t>
            </w:r>
          </w:p>
        </w:tc>
        <w:tc>
          <w:tcPr>
            <w:tcW w:w="1418" w:type="dxa"/>
            <w:tcBorders>
              <w:top w:val="single" w:sz="4"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4"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r w:rsidRPr="00B728CD">
              <w:rPr>
                <w:b/>
                <w:bCs/>
                <w:sz w:val="20"/>
              </w:rPr>
              <w:t>14 500</w:t>
            </w:r>
          </w:p>
        </w:tc>
        <w:tc>
          <w:tcPr>
            <w:tcW w:w="1418" w:type="dxa"/>
            <w:tcBorders>
              <w:top w:val="single" w:sz="4"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4"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sz w:val="20"/>
                <w:lang w:val="fr-CH"/>
              </w:rPr>
            </w:pPr>
            <w:r w:rsidRPr="00B728CD">
              <w:rPr>
                <w:sz w:val="20"/>
                <w:lang w:val="fr-CH"/>
              </w:rPr>
              <w:tab/>
            </w:r>
            <w:r w:rsidRPr="00B728CD">
              <w:rPr>
                <w:sz w:val="20"/>
                <w:lang w:val="fr-CH"/>
              </w:rPr>
              <w:tab/>
              <w:t>A2</w:t>
            </w:r>
            <w:r w:rsidRPr="00B728CD">
              <w:rPr>
                <w:sz w:val="20"/>
                <w:lang w:val="fr-CH"/>
              </w:rPr>
              <w:tab/>
              <w:t xml:space="preserve">Puissance de l’émetteur comprise entre 50 et 150 w </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r w:rsidRPr="00B728CD">
              <w:rPr>
                <w:b/>
                <w:bCs/>
                <w:sz w:val="20"/>
              </w:rPr>
              <w:t>17 400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sz w:val="20"/>
                <w:lang w:val="fr-CH"/>
              </w:rPr>
            </w:pPr>
            <w:r w:rsidRPr="00B728CD">
              <w:rPr>
                <w:sz w:val="20"/>
                <w:lang w:val="fr-CH"/>
              </w:rPr>
              <w:tab/>
            </w:r>
            <w:r w:rsidRPr="00B728CD">
              <w:rPr>
                <w:sz w:val="20"/>
                <w:lang w:val="fr-CH"/>
              </w:rPr>
              <w:tab/>
              <w:t>A3</w:t>
            </w:r>
            <w:r w:rsidRPr="00B728CD">
              <w:rPr>
                <w:sz w:val="20"/>
                <w:lang w:val="fr-CH"/>
              </w:rPr>
              <w:tab/>
              <w:t xml:space="preserve">Puissance de l’émetteur supérieur à 150 w </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r w:rsidRPr="00B728CD">
              <w:rPr>
                <w:b/>
                <w:bCs/>
                <w:sz w:val="20"/>
              </w:rPr>
              <w:t>58 000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sz w:val="20"/>
                <w:lang w:val="fr-CH"/>
              </w:rPr>
            </w:pPr>
            <w:r w:rsidRPr="00B728CD">
              <w:rPr>
                <w:rFonts w:asciiTheme="majorBidi" w:hAnsiTheme="majorBidi" w:cstheme="majorBidi"/>
                <w:sz w:val="20"/>
                <w:lang w:val="fr-CH"/>
              </w:rPr>
              <w:tab/>
              <w:t>I.3</w:t>
            </w:r>
            <w:r w:rsidRPr="00B728CD">
              <w:rPr>
                <w:rFonts w:asciiTheme="majorBidi" w:hAnsiTheme="majorBidi" w:cstheme="majorBidi"/>
                <w:sz w:val="20"/>
                <w:lang w:val="fr-CH"/>
              </w:rPr>
              <w:tab/>
              <w:t>Faisceau Hertziens au dessus de 1 GHz</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A1</w:t>
            </w:r>
            <w:r w:rsidRPr="00B728CD">
              <w:rPr>
                <w:rFonts w:asciiTheme="majorBidi" w:hAnsiTheme="majorBidi" w:cstheme="majorBidi"/>
                <w:sz w:val="20"/>
                <w:lang w:val="fr-CH"/>
              </w:rPr>
              <w:tab/>
              <w:t>Artère ou réseau local</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116 000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580 000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1C1DEC" w:rsidRDefault="00E56335" w:rsidP="00015D4C">
            <w:pPr>
              <w:pStyle w:val="TableNotitle"/>
              <w:spacing w:before="120"/>
              <w:rPr>
                <w:sz w:val="20"/>
              </w:rPr>
            </w:pPr>
            <w:r w:rsidRPr="001C1DEC">
              <w:rPr>
                <w:sz w:val="20"/>
              </w:rPr>
              <w:lastRenderedPageBreak/>
              <w:t>Réseaux ou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1C1DEC" w:rsidRDefault="00E56335" w:rsidP="00015D4C">
            <w:pPr>
              <w:pStyle w:val="TableNotitle"/>
              <w:spacing w:before="120"/>
              <w:rPr>
                <w:sz w:val="20"/>
              </w:rPr>
            </w:pPr>
            <w:r w:rsidRPr="001C1DEC">
              <w:rPr>
                <w:sz w:val="20"/>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1C1DEC" w:rsidRDefault="00E56335" w:rsidP="00015D4C">
            <w:pPr>
              <w:pStyle w:val="TableNotitle"/>
              <w:spacing w:before="120"/>
              <w:rPr>
                <w:sz w:val="20"/>
                <w:lang w:val="fr-CH"/>
              </w:rPr>
            </w:pPr>
            <w:r w:rsidRPr="001C1DEC">
              <w:rPr>
                <w:sz w:val="20"/>
                <w:lang w:val="fr-CH"/>
              </w:rPr>
              <w:t>Taxe de visite ou de controle des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1C1DEC" w:rsidRDefault="00E56335" w:rsidP="00015D4C">
            <w:pPr>
              <w:pStyle w:val="TableNotitle"/>
              <w:spacing w:before="120"/>
              <w:ind w:leftChars="-50" w:left="-110" w:rightChars="-50" w:right="-110"/>
              <w:rPr>
                <w:sz w:val="20"/>
                <w:lang w:val="fr-CH"/>
              </w:rPr>
            </w:pPr>
            <w:r w:rsidRPr="001C1DEC">
              <w:rPr>
                <w:sz w:val="20"/>
                <w:lang w:val="fr-CH"/>
              </w:rPr>
              <w:t xml:space="preserve">Contribution pour frais de gestion </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1C1DEC" w:rsidRDefault="00E56335" w:rsidP="00015D4C">
            <w:pPr>
              <w:pStyle w:val="TableNotitle"/>
              <w:spacing w:before="120"/>
              <w:ind w:leftChars="-50" w:left="-110" w:rightChars="-50" w:right="-110"/>
              <w:rPr>
                <w:sz w:val="20"/>
                <w:lang w:val="fr-CH"/>
              </w:rPr>
            </w:pPr>
            <w:r w:rsidRPr="001C1DEC">
              <w:rPr>
                <w:sz w:val="20"/>
                <w:lang w:val="fr-CH"/>
              </w:rPr>
              <w:t xml:space="preserve">Redevence pour l’utilisation d’une freqence ou d’un canal radioelectrique </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sz w:val="20"/>
                <w:lang w:val="fr-CH"/>
              </w:rPr>
            </w:pPr>
            <w:r w:rsidRPr="00B728CD">
              <w:rPr>
                <w:rFonts w:asciiTheme="majorBidi" w:hAnsiTheme="majorBidi" w:cstheme="majorBidi"/>
                <w:sz w:val="20"/>
              </w:rPr>
              <w:tab/>
            </w:r>
            <w:r w:rsidRPr="00B728CD">
              <w:rPr>
                <w:rFonts w:asciiTheme="majorBidi" w:hAnsiTheme="majorBidi" w:cstheme="majorBidi"/>
                <w:sz w:val="20"/>
              </w:rPr>
              <w:tab/>
              <w:t>B1</w:t>
            </w:r>
            <w:r w:rsidRPr="00B728CD">
              <w:rPr>
                <w:rFonts w:asciiTheme="majorBidi" w:hAnsiTheme="majorBidi" w:cstheme="majorBidi"/>
                <w:sz w:val="20"/>
              </w:rPr>
              <w:tab/>
              <w:t>Station terminale</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580 000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1 450 000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r w:rsidRPr="00B728CD">
              <w:rPr>
                <w:sz w:val="20"/>
              </w:rPr>
              <w:t>–</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sz w:val="20"/>
                <w:lang w:val="fr-CH"/>
              </w:rPr>
            </w:pPr>
            <w:r w:rsidRPr="00B728CD">
              <w:rPr>
                <w:rFonts w:asciiTheme="majorBidi" w:hAnsiTheme="majorBidi" w:cstheme="majorBidi"/>
                <w:sz w:val="20"/>
              </w:rPr>
              <w:tab/>
            </w:r>
            <w:r w:rsidRPr="00B728CD">
              <w:rPr>
                <w:rFonts w:asciiTheme="majorBidi" w:hAnsiTheme="majorBidi" w:cstheme="majorBidi"/>
                <w:sz w:val="20"/>
              </w:rPr>
              <w:tab/>
              <w:t>B2</w:t>
            </w:r>
            <w:r w:rsidRPr="00B728CD">
              <w:rPr>
                <w:rFonts w:asciiTheme="majorBidi" w:hAnsiTheme="majorBidi" w:cstheme="majorBidi"/>
                <w:sz w:val="20"/>
              </w:rPr>
              <w:tab/>
              <w:t>Station relais</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r w:rsidRPr="00B728CD">
              <w:rPr>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r w:rsidRPr="00B728CD">
              <w:rPr>
                <w:sz w:val="20"/>
              </w:rPr>
              <w:t>–</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C1</w:t>
            </w:r>
            <w:r w:rsidRPr="00B728CD">
              <w:rPr>
                <w:rFonts w:asciiTheme="majorBidi" w:hAnsiTheme="majorBidi" w:cstheme="majorBidi"/>
                <w:sz w:val="20"/>
                <w:lang w:val="fr-CH"/>
              </w:rPr>
              <w:tab/>
              <w:t>Liaison de 1 à 24 voies téléphoniques ou 2,Mbits/S</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r w:rsidRPr="00B728CD">
              <w:rPr>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29 000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1 160 000</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C2</w:t>
            </w:r>
            <w:r w:rsidRPr="00B728CD">
              <w:rPr>
                <w:rFonts w:asciiTheme="majorBidi" w:hAnsiTheme="majorBidi" w:cstheme="majorBidi"/>
                <w:sz w:val="20"/>
                <w:lang w:val="fr-CH"/>
              </w:rPr>
              <w:tab/>
              <w:t>Liaison de 25 à 120 voies téléphonique de 2,1 à 8 Mbits/S</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r w:rsidRPr="00B728CD">
              <w:rPr>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1 450 000</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C3</w:t>
            </w:r>
            <w:r w:rsidRPr="00B728CD">
              <w:rPr>
                <w:rFonts w:asciiTheme="majorBidi" w:hAnsiTheme="majorBidi" w:cstheme="majorBidi"/>
                <w:sz w:val="20"/>
                <w:lang w:val="fr-CH"/>
              </w:rPr>
              <w:tab/>
              <w:t>Liaison de 121 à 600 voies téléphoniques ou 8 à 34 Mbits/S</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r w:rsidRPr="00B728CD">
              <w:rPr>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1 740 000</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C4</w:t>
            </w:r>
            <w:r w:rsidRPr="00B728CD">
              <w:rPr>
                <w:rFonts w:asciiTheme="majorBidi" w:hAnsiTheme="majorBidi" w:cstheme="majorBidi"/>
                <w:sz w:val="20"/>
                <w:lang w:val="fr-CH"/>
              </w:rPr>
              <w:tab/>
              <w:t>Liaison de plus de 600 voies téléphoniques ou plus de 34 Mbits/S</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r w:rsidRPr="00B728CD">
              <w:rPr>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2 900 000</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284" w:hanging="284"/>
              <w:rPr>
                <w:rFonts w:asciiTheme="majorBidi" w:hAnsiTheme="majorBidi" w:cstheme="majorBidi"/>
                <w:sz w:val="20"/>
                <w:lang w:val="fr-CH"/>
              </w:rPr>
            </w:pPr>
            <w:r w:rsidRPr="00B728CD">
              <w:rPr>
                <w:rFonts w:asciiTheme="majorBidi" w:hAnsiTheme="majorBidi" w:cstheme="majorBidi"/>
                <w:sz w:val="20"/>
                <w:lang w:val="fr-CH"/>
              </w:rPr>
              <w:t>II–RESEAU FIXES ET MOBILES TERRESTRE OUVERTES AU PUBLIC (service commercial)</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II.1</w:t>
            </w:r>
            <w:r w:rsidRPr="00B728CD">
              <w:rPr>
                <w:rFonts w:asciiTheme="majorBidi" w:hAnsiTheme="majorBidi" w:cstheme="majorBidi"/>
                <w:sz w:val="20"/>
                <w:lang w:val="fr-CH"/>
              </w:rPr>
              <w:tab/>
              <w:t>Réseau de recherche et de messagerie (Paging)</w:t>
            </w:r>
            <w:r w:rsidRPr="00B728CD">
              <w:rPr>
                <w:rFonts w:asciiTheme="majorBidi" w:hAnsiTheme="majorBidi" w:cstheme="majorBidi"/>
                <w:sz w:val="20"/>
                <w:lang w:val="fr-CH"/>
              </w:rPr>
              <w:br/>
              <w:t>(Largeur du canal = 12,5 KHz)</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A1</w:t>
            </w:r>
            <w:r w:rsidRPr="00B728CD">
              <w:rPr>
                <w:rFonts w:asciiTheme="majorBidi" w:hAnsiTheme="majorBidi" w:cstheme="majorBidi"/>
                <w:sz w:val="20"/>
                <w:lang w:val="fr-CH"/>
              </w:rPr>
              <w:tab/>
            </w:r>
            <w:r w:rsidRPr="00B728CD">
              <w:rPr>
                <w:rFonts w:asciiTheme="majorBidi" w:hAnsiTheme="majorBidi" w:cstheme="majorBidi"/>
                <w:sz w:val="20"/>
              </w:rPr>
              <w:t>Réseau local (urbain)</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A2</w:t>
            </w:r>
            <w:r w:rsidRPr="00B728CD">
              <w:rPr>
                <w:rFonts w:asciiTheme="majorBidi" w:hAnsiTheme="majorBidi" w:cstheme="majorBidi"/>
                <w:sz w:val="20"/>
              </w:rPr>
              <w:tab/>
              <w:t>Réseau régional (interurbain)</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1 160 000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5 500 000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A3</w:t>
            </w:r>
            <w:r w:rsidRPr="00B728CD">
              <w:rPr>
                <w:rFonts w:asciiTheme="majorBidi" w:hAnsiTheme="majorBidi" w:cstheme="majorBidi"/>
                <w:sz w:val="20"/>
              </w:rPr>
              <w:tab/>
              <w:t>Réseau national</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1 740 000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14 500 000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B1</w:t>
            </w:r>
            <w:r w:rsidRPr="00B728CD">
              <w:rPr>
                <w:rFonts w:asciiTheme="majorBidi" w:hAnsiTheme="majorBidi" w:cstheme="majorBidi"/>
                <w:sz w:val="20"/>
              </w:rPr>
              <w:tab/>
              <w:t>Station de base</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3 770 000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29 000 000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C1</w:t>
            </w:r>
            <w:r w:rsidRPr="00B728CD">
              <w:rPr>
                <w:rFonts w:asciiTheme="majorBidi" w:hAnsiTheme="majorBidi" w:cstheme="majorBidi"/>
                <w:sz w:val="20"/>
              </w:rPr>
              <w:tab/>
              <w:t>Fréquence disponible localement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C2</w:t>
            </w:r>
            <w:r w:rsidRPr="00B728CD">
              <w:rPr>
                <w:rFonts w:asciiTheme="majorBidi" w:hAnsiTheme="majorBidi" w:cstheme="majorBidi"/>
                <w:sz w:val="20"/>
                <w:lang w:val="fr-CH"/>
              </w:rPr>
              <w:tab/>
              <w:t>Fréquence disponible au plan régional</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3 480 000</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C3</w:t>
            </w:r>
            <w:r w:rsidRPr="00B728CD">
              <w:rPr>
                <w:rFonts w:asciiTheme="majorBidi" w:hAnsiTheme="majorBidi" w:cstheme="majorBidi"/>
                <w:sz w:val="20"/>
                <w:lang w:val="fr-CH"/>
              </w:rPr>
              <w:tab/>
              <w:t>Fréquence disponible sur l’ensemble du territoire national</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5 800 000</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II.2</w:t>
            </w:r>
            <w:r w:rsidRPr="00B728CD">
              <w:rPr>
                <w:rFonts w:asciiTheme="majorBidi" w:hAnsiTheme="majorBidi" w:cstheme="majorBidi"/>
                <w:sz w:val="20"/>
                <w:lang w:val="fr-CH"/>
              </w:rPr>
              <w:tab/>
              <w:t>Réseau à ressources partagées (Trun King)</w:t>
            </w:r>
            <w:r w:rsidRPr="00B728CD">
              <w:rPr>
                <w:rFonts w:asciiTheme="majorBidi" w:hAnsiTheme="majorBidi" w:cstheme="majorBidi"/>
                <w:sz w:val="20"/>
                <w:lang w:val="fr-CH"/>
              </w:rPr>
              <w:br/>
              <w:t xml:space="preserve">(Largeur du local = 12,5 KHz) </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8 700 000</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A1</w:t>
            </w:r>
            <w:r w:rsidRPr="00B728CD">
              <w:rPr>
                <w:rFonts w:asciiTheme="majorBidi" w:hAnsiTheme="majorBidi" w:cstheme="majorBidi"/>
                <w:sz w:val="20"/>
                <w:lang w:val="fr-CH"/>
              </w:rPr>
              <w:tab/>
            </w:r>
            <w:r w:rsidRPr="00B728CD">
              <w:rPr>
                <w:rFonts w:asciiTheme="majorBidi" w:hAnsiTheme="majorBidi" w:cstheme="majorBidi"/>
                <w:sz w:val="20"/>
              </w:rPr>
              <w:t>Réseau local (urbain)</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1 160 000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5 500 000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A2</w:t>
            </w:r>
            <w:r w:rsidRPr="00B728CD">
              <w:rPr>
                <w:rFonts w:asciiTheme="majorBidi" w:hAnsiTheme="majorBidi" w:cstheme="majorBidi"/>
                <w:sz w:val="20"/>
              </w:rPr>
              <w:tab/>
              <w:t>Réseau régional (interurbain)</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1 740 000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14 500 000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A3</w:t>
            </w:r>
            <w:r w:rsidRPr="00B728CD">
              <w:rPr>
                <w:rFonts w:asciiTheme="majorBidi" w:hAnsiTheme="majorBidi" w:cstheme="majorBidi"/>
                <w:sz w:val="20"/>
              </w:rPr>
              <w:tab/>
              <w:t>Réseau national</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3 770 000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29 000 000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B1</w:t>
            </w:r>
            <w:r w:rsidRPr="00B728CD">
              <w:rPr>
                <w:rFonts w:asciiTheme="majorBidi" w:hAnsiTheme="majorBidi" w:cstheme="majorBidi"/>
                <w:sz w:val="20"/>
              </w:rPr>
              <w:tab/>
              <w:t>Station de base</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r>
      <w:tr w:rsidR="00E56335" w:rsidRPr="00E21F0F" w:rsidTr="00015D4C">
        <w:trPr>
          <w:jc w:val="center"/>
        </w:trPr>
        <w:tc>
          <w:tcPr>
            <w:tcW w:w="3969" w:type="dxa"/>
            <w:tcBorders>
              <w:top w:val="single" w:sz="6" w:space="0" w:color="000000"/>
              <w:left w:val="single" w:sz="4" w:space="0" w:color="000000"/>
              <w:bottom w:val="single" w:sz="4"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C1</w:t>
            </w:r>
            <w:r w:rsidRPr="00B728CD">
              <w:rPr>
                <w:rFonts w:asciiTheme="majorBidi" w:hAnsiTheme="majorBidi" w:cstheme="majorBidi"/>
                <w:sz w:val="20"/>
                <w:lang w:val="fr-CH"/>
              </w:rPr>
              <w:tab/>
              <w:t>Canal duplex disponible localement</w:t>
            </w:r>
          </w:p>
        </w:tc>
        <w:tc>
          <w:tcPr>
            <w:tcW w:w="1418" w:type="dxa"/>
            <w:tcBorders>
              <w:top w:val="single" w:sz="6" w:space="0" w:color="000000"/>
              <w:left w:val="single" w:sz="4" w:space="0" w:color="000000"/>
              <w:bottom w:val="single" w:sz="4"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4"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4"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4"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5 800 000</w:t>
            </w:r>
          </w:p>
        </w:tc>
      </w:tr>
      <w:tr w:rsidR="00E56335" w:rsidRPr="00E21F0F" w:rsidTr="00015D4C">
        <w:trPr>
          <w:jc w:val="center"/>
        </w:trPr>
        <w:tc>
          <w:tcPr>
            <w:tcW w:w="3969" w:type="dxa"/>
            <w:tcBorders>
              <w:top w:val="single" w:sz="6" w:space="0" w:color="000000"/>
              <w:left w:val="single" w:sz="4" w:space="0" w:color="000000"/>
              <w:bottom w:val="single" w:sz="4"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C2</w:t>
            </w:r>
            <w:r w:rsidRPr="00B728CD">
              <w:rPr>
                <w:rFonts w:asciiTheme="majorBidi" w:hAnsiTheme="majorBidi" w:cstheme="majorBidi"/>
                <w:sz w:val="20"/>
                <w:lang w:val="fr-CH"/>
              </w:rPr>
              <w:tab/>
              <w:t>Canal duplex disponible au plan régional</w:t>
            </w:r>
          </w:p>
        </w:tc>
        <w:tc>
          <w:tcPr>
            <w:tcW w:w="1418" w:type="dxa"/>
            <w:tcBorders>
              <w:top w:val="single" w:sz="6" w:space="0" w:color="000000"/>
              <w:left w:val="single" w:sz="4" w:space="0" w:color="000000"/>
              <w:bottom w:val="single" w:sz="4"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4"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4"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4"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8 700 000</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C3</w:t>
            </w:r>
            <w:r w:rsidRPr="00B728CD">
              <w:rPr>
                <w:rFonts w:asciiTheme="majorBidi" w:hAnsiTheme="majorBidi" w:cstheme="majorBidi"/>
                <w:sz w:val="20"/>
                <w:lang w:val="fr-CH"/>
              </w:rPr>
              <w:tab/>
              <w:t>Canal duplex disponible sur l’ensemble du territoire national</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10 440 000</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t>II.3</w:t>
            </w:r>
            <w:r w:rsidRPr="00B728CD">
              <w:rPr>
                <w:rFonts w:asciiTheme="majorBidi" w:hAnsiTheme="majorBidi" w:cstheme="majorBidi"/>
                <w:sz w:val="20"/>
              </w:rPr>
              <w:tab/>
              <w:t>Réseau cellulaire</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A1</w:t>
            </w:r>
            <w:r w:rsidRPr="00B728CD">
              <w:rPr>
                <w:rFonts w:asciiTheme="majorBidi" w:hAnsiTheme="majorBidi" w:cstheme="majorBidi"/>
                <w:sz w:val="20"/>
              </w:rPr>
              <w:tab/>
              <w:t>Station de base</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3 770 000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B1</w:t>
            </w:r>
            <w:r w:rsidRPr="00B728CD">
              <w:rPr>
                <w:rFonts w:asciiTheme="majorBidi" w:hAnsiTheme="majorBidi" w:cstheme="majorBidi"/>
                <w:sz w:val="20"/>
                <w:lang w:val="fr-CH"/>
              </w:rPr>
              <w:tab/>
              <w:t>Par canal duplexe disponible sur l’ensemble de territoire national</w:t>
            </w:r>
            <w:r w:rsidRPr="00B728CD">
              <w:rPr>
                <w:rFonts w:asciiTheme="majorBidi" w:hAnsiTheme="majorBidi" w:cstheme="majorBidi"/>
                <w:sz w:val="20"/>
                <w:lang w:val="fr-CH"/>
              </w:rPr>
              <w:br/>
              <w:t>(Largeur du canal) = 200 KHz</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10 440 000</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1C1DEC" w:rsidRDefault="00E56335" w:rsidP="00015D4C">
            <w:pPr>
              <w:pStyle w:val="TableNotitle"/>
              <w:spacing w:before="120"/>
              <w:rPr>
                <w:sz w:val="20"/>
              </w:rPr>
            </w:pPr>
            <w:r w:rsidRPr="001C1DEC">
              <w:rPr>
                <w:sz w:val="20"/>
              </w:rPr>
              <w:lastRenderedPageBreak/>
              <w:t>Réseaux ou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1C1DEC" w:rsidRDefault="00E56335" w:rsidP="00015D4C">
            <w:pPr>
              <w:pStyle w:val="TableNotitle"/>
              <w:spacing w:before="120"/>
              <w:rPr>
                <w:sz w:val="20"/>
              </w:rPr>
            </w:pPr>
            <w:r w:rsidRPr="001C1DEC">
              <w:rPr>
                <w:sz w:val="20"/>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1C1DEC" w:rsidRDefault="00E56335" w:rsidP="00015D4C">
            <w:pPr>
              <w:pStyle w:val="TableNotitle"/>
              <w:spacing w:before="120"/>
              <w:rPr>
                <w:sz w:val="20"/>
                <w:lang w:val="fr-CH"/>
              </w:rPr>
            </w:pPr>
            <w:r w:rsidRPr="001C1DEC">
              <w:rPr>
                <w:sz w:val="20"/>
                <w:lang w:val="fr-CH"/>
              </w:rPr>
              <w:t>Taxe de visite ou de controle des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1C1DEC" w:rsidRDefault="00E56335" w:rsidP="00015D4C">
            <w:pPr>
              <w:pStyle w:val="TableNotitle"/>
              <w:spacing w:before="120"/>
              <w:ind w:leftChars="-50" w:left="-110" w:rightChars="-50" w:right="-110"/>
              <w:rPr>
                <w:sz w:val="20"/>
                <w:lang w:val="fr-CH"/>
              </w:rPr>
            </w:pPr>
            <w:r w:rsidRPr="001C1DEC">
              <w:rPr>
                <w:sz w:val="20"/>
                <w:lang w:val="fr-CH"/>
              </w:rPr>
              <w:t xml:space="preserve">Contribution pour frais de gestion </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1C1DEC" w:rsidRDefault="00E56335" w:rsidP="00015D4C">
            <w:pPr>
              <w:pStyle w:val="TableNotitle"/>
              <w:spacing w:before="120"/>
              <w:ind w:leftChars="-50" w:left="-110" w:rightChars="-50" w:right="-110"/>
              <w:rPr>
                <w:sz w:val="20"/>
                <w:lang w:val="fr-CH"/>
              </w:rPr>
            </w:pPr>
            <w:r w:rsidRPr="001C1DEC">
              <w:rPr>
                <w:sz w:val="20"/>
                <w:lang w:val="fr-CH"/>
              </w:rPr>
              <w:t xml:space="preserve">Redevence pour l’utilisation d’une freqence ou d’un canal radioelectrique </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rPr>
            </w:pPr>
            <w:r w:rsidRPr="00B728CD">
              <w:rPr>
                <w:rFonts w:asciiTheme="majorBidi" w:hAnsiTheme="majorBidi" w:cstheme="majorBidi"/>
                <w:sz w:val="20"/>
              </w:rPr>
              <w:tab/>
            </w:r>
            <w:r w:rsidRPr="00B728CD">
              <w:rPr>
                <w:rFonts w:asciiTheme="majorBidi" w:hAnsiTheme="majorBidi" w:cstheme="majorBidi"/>
                <w:sz w:val="20"/>
              </w:rPr>
              <w:tab/>
              <w:t>A1</w:t>
            </w:r>
            <w:r w:rsidRPr="00B728CD">
              <w:rPr>
                <w:rFonts w:asciiTheme="majorBidi" w:hAnsiTheme="majorBidi" w:cstheme="majorBidi"/>
                <w:sz w:val="20"/>
              </w:rPr>
              <w:tab/>
              <w:t>Artère ou réseau local</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1 160 000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5 800 000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rPr>
            </w:pPr>
            <w:r w:rsidRPr="00B728CD">
              <w:rPr>
                <w:rFonts w:asciiTheme="majorBidi" w:hAnsiTheme="majorBidi" w:cstheme="majorBidi"/>
                <w:sz w:val="20"/>
              </w:rPr>
              <w:tab/>
            </w:r>
            <w:r w:rsidRPr="00B728CD">
              <w:rPr>
                <w:rFonts w:asciiTheme="majorBidi" w:hAnsiTheme="majorBidi" w:cstheme="majorBidi"/>
                <w:sz w:val="20"/>
              </w:rPr>
              <w:tab/>
              <w:t>A2</w:t>
            </w:r>
            <w:r w:rsidRPr="00B728CD">
              <w:rPr>
                <w:rFonts w:asciiTheme="majorBidi" w:hAnsiTheme="majorBidi" w:cstheme="majorBidi"/>
                <w:sz w:val="20"/>
              </w:rPr>
              <w:tab/>
              <w:t>Artère ou réseau régional</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1 740 000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14 500 000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rPr>
            </w:pPr>
            <w:r w:rsidRPr="00B728CD">
              <w:rPr>
                <w:rFonts w:asciiTheme="majorBidi" w:hAnsiTheme="majorBidi" w:cstheme="majorBidi"/>
                <w:sz w:val="20"/>
              </w:rPr>
              <w:tab/>
            </w:r>
            <w:r w:rsidRPr="00B728CD">
              <w:rPr>
                <w:rFonts w:asciiTheme="majorBidi" w:hAnsiTheme="majorBidi" w:cstheme="majorBidi"/>
                <w:sz w:val="20"/>
              </w:rPr>
              <w:tab/>
              <w:t>A3 Artère ou réseau national</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3 770 000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29 000 000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rPr>
            </w:pPr>
            <w:r w:rsidRPr="00B728CD">
              <w:rPr>
                <w:rFonts w:asciiTheme="majorBidi" w:hAnsiTheme="majorBidi" w:cstheme="majorBidi"/>
                <w:sz w:val="20"/>
              </w:rPr>
              <w:tab/>
            </w:r>
            <w:r w:rsidRPr="00B728CD">
              <w:rPr>
                <w:rFonts w:asciiTheme="majorBidi" w:hAnsiTheme="majorBidi" w:cstheme="majorBidi"/>
                <w:sz w:val="20"/>
              </w:rPr>
              <w:tab/>
              <w:t>B1</w:t>
            </w:r>
            <w:r w:rsidRPr="00B728CD">
              <w:rPr>
                <w:rFonts w:asciiTheme="majorBidi" w:hAnsiTheme="majorBidi" w:cstheme="majorBidi"/>
                <w:sz w:val="20"/>
              </w:rPr>
              <w:tab/>
              <w:t>Station terminale</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rPr>
            </w:pPr>
            <w:r w:rsidRPr="00B728CD">
              <w:rPr>
                <w:rFonts w:asciiTheme="majorBidi" w:hAnsiTheme="majorBidi" w:cstheme="majorBidi"/>
                <w:sz w:val="20"/>
              </w:rPr>
              <w:tab/>
            </w:r>
            <w:r w:rsidRPr="00B728CD">
              <w:rPr>
                <w:rFonts w:asciiTheme="majorBidi" w:hAnsiTheme="majorBidi" w:cstheme="majorBidi"/>
                <w:sz w:val="20"/>
              </w:rPr>
              <w:tab/>
              <w:t>B2</w:t>
            </w:r>
            <w:r w:rsidRPr="00B728CD">
              <w:rPr>
                <w:rFonts w:asciiTheme="majorBidi" w:hAnsiTheme="majorBidi" w:cstheme="majorBidi"/>
                <w:sz w:val="20"/>
              </w:rPr>
              <w:tab/>
              <w:t>Station terminale</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29 000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C1</w:t>
            </w:r>
            <w:r w:rsidRPr="00B728CD">
              <w:rPr>
                <w:rFonts w:asciiTheme="majorBidi" w:hAnsiTheme="majorBidi" w:cstheme="majorBidi"/>
                <w:sz w:val="20"/>
                <w:lang w:val="fr-CH"/>
              </w:rPr>
              <w:tab/>
              <w:t>Liaison de 120 voies téléphoniques ou de 8 mbits/s</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5 800 000</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C2</w:t>
            </w:r>
            <w:r w:rsidRPr="00B728CD">
              <w:rPr>
                <w:rFonts w:asciiTheme="majorBidi" w:hAnsiTheme="majorBidi" w:cstheme="majorBidi"/>
                <w:sz w:val="20"/>
                <w:lang w:val="fr-CH"/>
              </w:rPr>
              <w:tab/>
              <w:t>Liaison de121 voies téléphoniques ou de 2 ,1 a 8 mbits/s</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10 440 000</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C3</w:t>
            </w:r>
            <w:r w:rsidRPr="00B728CD">
              <w:rPr>
                <w:rFonts w:asciiTheme="majorBidi" w:hAnsiTheme="majorBidi" w:cstheme="majorBidi"/>
                <w:sz w:val="20"/>
                <w:lang w:val="fr-CH"/>
              </w:rPr>
              <w:tab/>
              <w:t>Liaison de 601 a 1 200 voies téléphoniques ou de 34 a 70 mbits/s</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14 500 000</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C4</w:t>
            </w:r>
            <w:r w:rsidRPr="00B728CD">
              <w:rPr>
                <w:rFonts w:asciiTheme="majorBidi" w:hAnsiTheme="majorBidi" w:cstheme="majorBidi"/>
                <w:sz w:val="20"/>
                <w:lang w:val="fr-CH"/>
              </w:rPr>
              <w:tab/>
              <w:t>Liaison plus de 1 200 voies téléphoniques ou de plus de 70 mbits/s</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284" w:hanging="284"/>
              <w:rPr>
                <w:rFonts w:asciiTheme="majorBidi" w:hAnsiTheme="majorBidi" w:cstheme="majorBidi"/>
                <w:sz w:val="20"/>
                <w:lang w:val="fr-CH"/>
              </w:rPr>
            </w:pPr>
            <w:r w:rsidRPr="00B728CD">
              <w:rPr>
                <w:rFonts w:asciiTheme="majorBidi" w:hAnsiTheme="majorBidi" w:cstheme="majorBidi"/>
                <w:sz w:val="20"/>
                <w:lang w:val="fr-CH"/>
              </w:rPr>
              <w:t>III–SERVICE RADIOMARITIME TERRESTRE</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b/>
                <w:bCs/>
                <w:sz w:val="20"/>
                <w:lang w:val="fr-CH"/>
              </w:rPr>
              <w:tab/>
            </w:r>
            <w:r w:rsidRPr="00B728CD">
              <w:rPr>
                <w:rFonts w:asciiTheme="majorBidi" w:hAnsiTheme="majorBidi" w:cstheme="majorBidi"/>
                <w:sz w:val="20"/>
                <w:lang w:val="fr-CH"/>
              </w:rPr>
              <w:t>III.1</w:t>
            </w:r>
            <w:r w:rsidRPr="00B728CD">
              <w:rPr>
                <w:rFonts w:asciiTheme="majorBidi" w:hAnsiTheme="majorBidi" w:cstheme="majorBidi"/>
                <w:sz w:val="20"/>
                <w:lang w:val="fr-CH"/>
              </w:rPr>
              <w:tab/>
              <w:t xml:space="preserve">Station côtière privée (service non commercial) </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580 000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87 000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3 480 000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A1</w:t>
            </w:r>
            <w:r w:rsidRPr="00B728CD">
              <w:rPr>
                <w:rFonts w:asciiTheme="majorBidi" w:hAnsiTheme="majorBidi" w:cstheme="majorBidi"/>
                <w:sz w:val="20"/>
                <w:lang w:val="fr-CH"/>
              </w:rPr>
              <w:tab/>
              <w:t xml:space="preserve">liaison radio téléphonique VHF (25 KHz) </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174 000</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A2</w:t>
            </w:r>
            <w:r w:rsidRPr="00B728CD">
              <w:rPr>
                <w:rFonts w:asciiTheme="majorBidi" w:hAnsiTheme="majorBidi" w:cstheme="majorBidi"/>
                <w:sz w:val="20"/>
                <w:lang w:val="fr-CH"/>
              </w:rPr>
              <w:tab/>
              <w:t xml:space="preserve">liaison radio téléphonique MF/HF (moins de 1 KHz) </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139 200</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A3</w:t>
            </w:r>
            <w:r w:rsidRPr="00B728CD">
              <w:rPr>
                <w:rFonts w:asciiTheme="majorBidi" w:hAnsiTheme="majorBidi" w:cstheme="majorBidi"/>
                <w:sz w:val="20"/>
                <w:lang w:val="fr-CH"/>
              </w:rPr>
              <w:tab/>
              <w:t>liaison radiotéléphonique MH/HF (3 KHz)</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417 600</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III.2</w:t>
            </w:r>
            <w:r w:rsidRPr="00B728CD">
              <w:rPr>
                <w:rFonts w:asciiTheme="majorBidi" w:hAnsiTheme="majorBidi" w:cstheme="majorBidi"/>
                <w:sz w:val="20"/>
                <w:lang w:val="fr-CH"/>
              </w:rPr>
              <w:tab/>
              <w:t xml:space="preserve">Station côtière ouverte à la correspondance publique (service commercial) </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1 450 000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580 000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8 700 000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A1</w:t>
            </w:r>
            <w:r w:rsidRPr="00B728CD">
              <w:rPr>
                <w:rFonts w:asciiTheme="majorBidi" w:hAnsiTheme="majorBidi" w:cstheme="majorBidi"/>
                <w:sz w:val="20"/>
                <w:lang w:val="fr-CH"/>
              </w:rPr>
              <w:tab/>
              <w:t xml:space="preserve">liaison radio téléphonique VHF (25 KHz) </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174 000</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A2</w:t>
            </w:r>
            <w:r w:rsidRPr="00B728CD">
              <w:rPr>
                <w:rFonts w:asciiTheme="majorBidi" w:hAnsiTheme="majorBidi" w:cstheme="majorBidi"/>
                <w:sz w:val="20"/>
                <w:lang w:val="fr-CH"/>
              </w:rPr>
              <w:tab/>
              <w:t xml:space="preserve">liaison radio téléphonique MF/HF (moins de 1 KHz) </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139 000</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A3</w:t>
            </w:r>
            <w:r w:rsidRPr="00B728CD">
              <w:rPr>
                <w:rFonts w:asciiTheme="majorBidi" w:hAnsiTheme="majorBidi" w:cstheme="majorBidi"/>
                <w:sz w:val="20"/>
                <w:lang w:val="fr-CH"/>
              </w:rPr>
              <w:tab/>
              <w:t xml:space="preserve">liaison radiotéléphonique MH/HF (3 KHz) </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417 600</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III.3</w:t>
            </w:r>
            <w:r w:rsidRPr="00B728CD">
              <w:rPr>
                <w:rFonts w:asciiTheme="majorBidi" w:hAnsiTheme="majorBidi" w:cstheme="majorBidi"/>
                <w:sz w:val="20"/>
                <w:lang w:val="fr-CH"/>
              </w:rPr>
              <w:tab/>
              <w:t xml:space="preserve">Station de navire de commerce </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17 400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290 000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A1</w:t>
            </w:r>
            <w:r w:rsidRPr="00B728CD">
              <w:rPr>
                <w:rFonts w:asciiTheme="majorBidi" w:hAnsiTheme="majorBidi" w:cstheme="majorBidi"/>
                <w:sz w:val="20"/>
                <w:lang w:val="fr-CH"/>
              </w:rPr>
              <w:tab/>
              <w:t>Opérations portuaires</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174 000</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III.4</w:t>
            </w:r>
            <w:r w:rsidRPr="00B728CD">
              <w:rPr>
                <w:rFonts w:asciiTheme="majorBidi" w:hAnsiTheme="majorBidi" w:cstheme="majorBidi"/>
                <w:sz w:val="20"/>
                <w:lang w:val="fr-CH"/>
              </w:rPr>
              <w:tab/>
              <w:t>Station de navire de pêche</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A1</w:t>
            </w:r>
            <w:r w:rsidRPr="00B728CD">
              <w:rPr>
                <w:rFonts w:asciiTheme="majorBidi" w:hAnsiTheme="majorBidi" w:cstheme="majorBidi"/>
                <w:sz w:val="20"/>
              </w:rPr>
              <w:tab/>
              <w:t>Moins de 150 tonneaux</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11 600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116 000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rPr>
              <w:tab/>
            </w:r>
            <w:r w:rsidRPr="00B728CD">
              <w:rPr>
                <w:rFonts w:asciiTheme="majorBidi" w:hAnsiTheme="majorBidi" w:cstheme="majorBidi"/>
                <w:sz w:val="20"/>
              </w:rPr>
              <w:tab/>
              <w:t>A2</w:t>
            </w:r>
            <w:r w:rsidRPr="00B728CD">
              <w:rPr>
                <w:rFonts w:asciiTheme="majorBidi" w:hAnsiTheme="majorBidi" w:cstheme="majorBidi"/>
                <w:sz w:val="20"/>
              </w:rPr>
              <w:tab/>
              <w:t>Plus de 150 tonneaux</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11 600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34 000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174 000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rPr>
            </w:pPr>
            <w:r w:rsidRPr="00B728CD">
              <w:rPr>
                <w:rFonts w:asciiTheme="majorBidi" w:hAnsiTheme="majorBidi" w:cstheme="majorBidi"/>
                <w:sz w:val="20"/>
                <w:lang w:val="fr-CH"/>
              </w:rPr>
              <w:tab/>
            </w:r>
            <w:r w:rsidRPr="00B728CD">
              <w:rPr>
                <w:rFonts w:asciiTheme="majorBidi" w:hAnsiTheme="majorBidi" w:cstheme="majorBidi"/>
                <w:sz w:val="20"/>
                <w:lang w:val="fr-CH"/>
              </w:rPr>
              <w:tab/>
              <w:t>B1</w:t>
            </w:r>
            <w:r w:rsidRPr="00B728CD">
              <w:rPr>
                <w:rFonts w:asciiTheme="majorBidi" w:hAnsiTheme="majorBidi" w:cstheme="majorBidi"/>
                <w:sz w:val="20"/>
                <w:lang w:val="fr-CH"/>
              </w:rPr>
              <w:tab/>
              <w:t xml:space="preserve">Opérations portuaires </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174 000</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rPr>
            </w:pPr>
            <w:r w:rsidRPr="00B728CD">
              <w:rPr>
                <w:rFonts w:asciiTheme="majorBidi" w:hAnsiTheme="majorBidi" w:cstheme="majorBidi"/>
                <w:sz w:val="20"/>
                <w:lang w:val="fr-CH"/>
              </w:rPr>
              <w:tab/>
              <w:t>III.5</w:t>
            </w:r>
            <w:r w:rsidRPr="00B728CD">
              <w:rPr>
                <w:rFonts w:asciiTheme="majorBidi" w:hAnsiTheme="majorBidi" w:cstheme="majorBidi"/>
                <w:sz w:val="20"/>
                <w:lang w:val="fr-CH"/>
              </w:rPr>
              <w:tab/>
              <w:t xml:space="preserve">Navire de plaisance </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11 600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58 000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NEANT</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rPr>
            </w:pPr>
            <w:r w:rsidRPr="00B728CD">
              <w:rPr>
                <w:rFonts w:asciiTheme="majorBidi" w:hAnsiTheme="majorBidi" w:cstheme="majorBidi"/>
                <w:sz w:val="20"/>
                <w:lang w:val="fr-CH"/>
              </w:rPr>
              <w:tab/>
              <w:t>III.6</w:t>
            </w:r>
            <w:r w:rsidRPr="00B728CD">
              <w:rPr>
                <w:rFonts w:asciiTheme="majorBidi" w:hAnsiTheme="majorBidi" w:cstheme="majorBidi"/>
                <w:sz w:val="20"/>
                <w:lang w:val="fr-CH"/>
              </w:rPr>
              <w:tab/>
              <w:t>Emetteur-récepteur gamme marine 55 canaux</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11 600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11 600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58 000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Forfait = 696 000</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1C1DEC" w:rsidRDefault="00E56335" w:rsidP="00015D4C">
            <w:pPr>
              <w:pStyle w:val="TableNotitle"/>
              <w:spacing w:before="120"/>
              <w:rPr>
                <w:sz w:val="20"/>
              </w:rPr>
            </w:pPr>
            <w:r w:rsidRPr="001C1DEC">
              <w:rPr>
                <w:sz w:val="20"/>
              </w:rPr>
              <w:lastRenderedPageBreak/>
              <w:t>Réseaux ou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1C1DEC" w:rsidRDefault="00E56335" w:rsidP="00015D4C">
            <w:pPr>
              <w:pStyle w:val="TableNotitle"/>
              <w:spacing w:before="120"/>
              <w:rPr>
                <w:sz w:val="20"/>
              </w:rPr>
            </w:pPr>
            <w:r w:rsidRPr="001C1DEC">
              <w:rPr>
                <w:sz w:val="20"/>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1C1DEC" w:rsidRDefault="00E56335" w:rsidP="00015D4C">
            <w:pPr>
              <w:pStyle w:val="TableNotitle"/>
              <w:spacing w:before="120"/>
              <w:rPr>
                <w:sz w:val="20"/>
                <w:lang w:val="fr-CH"/>
              </w:rPr>
            </w:pPr>
            <w:r w:rsidRPr="001C1DEC">
              <w:rPr>
                <w:sz w:val="20"/>
                <w:lang w:val="fr-CH"/>
              </w:rPr>
              <w:t>Taxe de visite ou de controle des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1C1DEC" w:rsidRDefault="00E56335" w:rsidP="00015D4C">
            <w:pPr>
              <w:pStyle w:val="TableNotitle"/>
              <w:spacing w:before="120"/>
              <w:ind w:leftChars="-50" w:left="-110" w:rightChars="-50" w:right="-110"/>
              <w:rPr>
                <w:sz w:val="20"/>
                <w:lang w:val="fr-CH"/>
              </w:rPr>
            </w:pPr>
            <w:r w:rsidRPr="001C1DEC">
              <w:rPr>
                <w:sz w:val="20"/>
                <w:lang w:val="fr-CH"/>
              </w:rPr>
              <w:t xml:space="preserve">Contribution pour frais de gestion </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1C1DEC" w:rsidRDefault="00E56335" w:rsidP="00015D4C">
            <w:pPr>
              <w:pStyle w:val="TableNotitle"/>
              <w:spacing w:before="120"/>
              <w:ind w:leftChars="-50" w:left="-110" w:rightChars="-50" w:right="-110"/>
              <w:rPr>
                <w:sz w:val="20"/>
                <w:lang w:val="fr-CH"/>
              </w:rPr>
            </w:pPr>
            <w:r w:rsidRPr="001C1DEC">
              <w:rPr>
                <w:sz w:val="20"/>
                <w:lang w:val="fr-CH"/>
              </w:rPr>
              <w:t xml:space="preserve">Redevence pour l’utilisation d’une freqence ou d’un canal radioelectrique </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rPr>
            </w:pPr>
            <w:r w:rsidRPr="00B728CD">
              <w:rPr>
                <w:rFonts w:asciiTheme="majorBidi" w:hAnsiTheme="majorBidi" w:cstheme="majorBidi"/>
                <w:sz w:val="20"/>
                <w:lang w:val="fr-CH"/>
              </w:rPr>
              <w:tab/>
              <w:t>1.</w:t>
            </w:r>
            <w:r w:rsidRPr="00B728CD">
              <w:rPr>
                <w:rFonts w:asciiTheme="majorBidi" w:hAnsiTheme="majorBidi" w:cstheme="majorBidi"/>
                <w:sz w:val="20"/>
                <w:lang w:val="fr-CH"/>
              </w:rPr>
              <w:tab/>
              <w:t>Station aéronautique privée (service non officiel)</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116 000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87 000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580 000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116 000</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rPr>
            </w:pPr>
            <w:r w:rsidRPr="00B728CD">
              <w:rPr>
                <w:rFonts w:asciiTheme="majorBidi" w:hAnsiTheme="majorBidi" w:cstheme="majorBidi"/>
                <w:sz w:val="20"/>
                <w:lang w:val="fr-CH"/>
              </w:rPr>
              <w:tab/>
            </w:r>
            <w:r w:rsidRPr="00B728CD">
              <w:rPr>
                <w:rFonts w:asciiTheme="majorBidi" w:hAnsiTheme="majorBidi" w:cstheme="majorBidi"/>
                <w:sz w:val="20"/>
                <w:lang w:val="fr-CH"/>
              </w:rPr>
              <w:tab/>
            </w:r>
            <w:r w:rsidRPr="00B728CD">
              <w:rPr>
                <w:rFonts w:asciiTheme="majorBidi" w:hAnsiTheme="majorBidi" w:cstheme="majorBidi"/>
                <w:sz w:val="20"/>
                <w:lang w:val="fr-CH"/>
              </w:rPr>
              <w:tab/>
              <w:t>A1</w:t>
            </w:r>
            <w:r w:rsidRPr="00B728CD">
              <w:rPr>
                <w:rFonts w:asciiTheme="majorBidi" w:hAnsiTheme="majorBidi" w:cstheme="majorBidi"/>
                <w:sz w:val="20"/>
                <w:lang w:val="fr-CH"/>
              </w:rPr>
              <w:tab/>
            </w:r>
            <w:r w:rsidRPr="00B728CD">
              <w:rPr>
                <w:rFonts w:asciiTheme="majorBidi" w:hAnsiTheme="majorBidi" w:cstheme="majorBidi"/>
                <w:sz w:val="20"/>
                <w:lang w:val="fr-CH"/>
              </w:rPr>
              <w:tab/>
              <w:t>liaison sol-air</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145 000</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rPr>
            </w:pPr>
            <w:r w:rsidRPr="00B728CD">
              <w:rPr>
                <w:rFonts w:asciiTheme="majorBidi" w:hAnsiTheme="majorBidi" w:cstheme="majorBidi"/>
                <w:b/>
                <w:bCs/>
                <w:sz w:val="20"/>
                <w:lang w:val="fr-CH"/>
              </w:rPr>
              <w:tab/>
            </w:r>
            <w:r w:rsidRPr="00B728CD">
              <w:rPr>
                <w:rFonts w:asciiTheme="majorBidi" w:hAnsiTheme="majorBidi" w:cstheme="majorBidi"/>
                <w:b/>
                <w:bCs/>
                <w:sz w:val="20"/>
                <w:lang w:val="fr-CH"/>
              </w:rPr>
              <w:tab/>
            </w:r>
            <w:r w:rsidRPr="00B728CD">
              <w:rPr>
                <w:rFonts w:asciiTheme="majorBidi" w:hAnsiTheme="majorBidi" w:cstheme="majorBidi"/>
                <w:b/>
                <w:bCs/>
                <w:sz w:val="20"/>
                <w:lang w:val="fr-CH"/>
              </w:rPr>
              <w:tab/>
            </w:r>
            <w:r w:rsidRPr="00B728CD">
              <w:rPr>
                <w:rFonts w:asciiTheme="majorBidi" w:hAnsiTheme="majorBidi" w:cstheme="majorBidi"/>
                <w:sz w:val="20"/>
                <w:lang w:val="fr-CH"/>
              </w:rPr>
              <w:t>A2</w:t>
            </w:r>
            <w:r w:rsidRPr="00B728CD">
              <w:rPr>
                <w:rFonts w:asciiTheme="majorBidi" w:hAnsiTheme="majorBidi" w:cstheme="majorBidi"/>
                <w:sz w:val="20"/>
                <w:lang w:val="fr-CH"/>
              </w:rPr>
              <w:tab/>
            </w:r>
            <w:r w:rsidRPr="00B728CD">
              <w:rPr>
                <w:rFonts w:asciiTheme="majorBidi" w:hAnsiTheme="majorBidi" w:cstheme="majorBidi"/>
                <w:sz w:val="20"/>
                <w:lang w:val="fr-CH"/>
              </w:rPr>
              <w:tab/>
              <w:t xml:space="preserve">liaison sol-sol </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2.</w:t>
            </w:r>
            <w:r w:rsidRPr="00B728CD">
              <w:rPr>
                <w:rFonts w:asciiTheme="majorBidi" w:hAnsiTheme="majorBidi" w:cstheme="majorBidi"/>
                <w:sz w:val="20"/>
                <w:lang w:val="fr-CH"/>
              </w:rPr>
              <w:tab/>
              <w:t>Station d’aéronef civil de transport public</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17 400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58 000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290 000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Néant</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t>3.</w:t>
            </w:r>
            <w:r w:rsidRPr="00B728CD">
              <w:rPr>
                <w:rFonts w:asciiTheme="majorBidi" w:hAnsiTheme="majorBidi" w:cstheme="majorBidi"/>
                <w:sz w:val="20"/>
                <w:lang w:val="fr-CH"/>
              </w:rPr>
              <w:tab/>
              <w:t>Station d’aéronef privée</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11 600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58 000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Néant</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284" w:hanging="284"/>
              <w:rPr>
                <w:rFonts w:asciiTheme="majorBidi" w:hAnsiTheme="majorBidi" w:cstheme="majorBidi"/>
                <w:sz w:val="20"/>
                <w:lang w:val="fr-CH"/>
              </w:rPr>
            </w:pPr>
            <w:r w:rsidRPr="00B728CD">
              <w:rPr>
                <w:rFonts w:asciiTheme="majorBidi" w:hAnsiTheme="majorBidi" w:cstheme="majorBidi"/>
                <w:sz w:val="20"/>
                <w:lang w:val="fr-CH"/>
              </w:rPr>
              <w:t>V–STATIONS DE SERVICE AMATEUR</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Néant</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A1</w:t>
            </w:r>
            <w:r w:rsidRPr="00B728CD">
              <w:rPr>
                <w:rFonts w:asciiTheme="majorBidi" w:hAnsiTheme="majorBidi" w:cstheme="majorBidi"/>
                <w:sz w:val="20"/>
                <w:lang w:val="fr-CH"/>
              </w:rPr>
              <w:tab/>
              <w:t>Station de radiotéléphonie VHF/UMF .</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5 800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8 700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Néant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Néant</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B728CD" w:rsidRDefault="00E56335" w:rsidP="00015D4C">
            <w:pPr>
              <w:pStyle w:val="TableText0"/>
              <w:tabs>
                <w:tab w:val="clear" w:pos="567"/>
                <w:tab w:val="left" w:pos="444"/>
              </w:tabs>
              <w:ind w:left="851" w:hanging="851"/>
              <w:rPr>
                <w:rFonts w:asciiTheme="majorBidi" w:hAnsiTheme="majorBidi" w:cstheme="majorBidi"/>
                <w:sz w:val="20"/>
                <w:lang w:val="fr-CH"/>
              </w:rPr>
            </w:pPr>
            <w:r w:rsidRPr="00B728CD">
              <w:rPr>
                <w:rFonts w:asciiTheme="majorBidi" w:hAnsiTheme="majorBidi" w:cstheme="majorBidi"/>
                <w:sz w:val="20"/>
                <w:lang w:val="fr-CH"/>
              </w:rPr>
              <w:tab/>
            </w:r>
            <w:r w:rsidRPr="00B728CD">
              <w:rPr>
                <w:rFonts w:asciiTheme="majorBidi" w:hAnsiTheme="majorBidi" w:cstheme="majorBidi"/>
                <w:sz w:val="20"/>
                <w:lang w:val="fr-CH"/>
              </w:rPr>
              <w:tab/>
              <w:t>A2</w:t>
            </w:r>
            <w:r w:rsidRPr="00B728CD">
              <w:rPr>
                <w:rFonts w:asciiTheme="majorBidi" w:hAnsiTheme="majorBidi" w:cstheme="majorBidi"/>
                <w:sz w:val="20"/>
                <w:lang w:val="fr-CH"/>
              </w:rPr>
              <w:tab/>
              <w:t>Station de radiotéléphonie et radiotélégraphie MF/HF</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lang w:val="fr-CH"/>
              </w:rPr>
            </w:pPr>
            <w:r w:rsidRPr="00B728CD">
              <w:rPr>
                <w:b/>
                <w:bCs/>
                <w:sz w:val="20"/>
                <w:lang w:val="fr-CH"/>
              </w:rPr>
              <w:t>5 800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17 400</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Néant</w:t>
            </w:r>
          </w:p>
        </w:tc>
        <w:tc>
          <w:tcPr>
            <w:tcW w:w="1418" w:type="dxa"/>
            <w:tcBorders>
              <w:top w:val="single" w:sz="6" w:space="0" w:color="000000"/>
              <w:left w:val="single" w:sz="4" w:space="0" w:color="000000"/>
              <w:bottom w:val="single" w:sz="6" w:space="0" w:color="000000"/>
              <w:right w:val="single" w:sz="4" w:space="0" w:color="000000"/>
            </w:tcBorders>
          </w:tcPr>
          <w:p w:rsidR="00E56335" w:rsidRPr="00B728CD" w:rsidRDefault="00E56335" w:rsidP="00015D4C">
            <w:pPr>
              <w:pStyle w:val="TableText0"/>
              <w:jc w:val="center"/>
              <w:rPr>
                <w:b/>
                <w:bCs/>
                <w:sz w:val="20"/>
              </w:rPr>
            </w:pPr>
            <w:r w:rsidRPr="00B728CD">
              <w:rPr>
                <w:b/>
                <w:bCs/>
                <w:sz w:val="20"/>
              </w:rPr>
              <w:t>Néant</w:t>
            </w:r>
          </w:p>
        </w:tc>
      </w:tr>
    </w:tbl>
    <w:p w:rsidR="00E56335" w:rsidRDefault="00E56335" w:rsidP="00E56335">
      <w:pPr>
        <w:rPr>
          <w:lang w:val="fr-CH"/>
        </w:rPr>
      </w:pPr>
    </w:p>
    <w:p w:rsidR="00E56335" w:rsidRDefault="00E56335" w:rsidP="00E56335">
      <w:pPr>
        <w:pStyle w:val="Heading1"/>
        <w:rPr>
          <w:lang w:val="fr-CH"/>
        </w:rPr>
      </w:pPr>
      <w:bookmarkStart w:id="754" w:name="_Toc280260070"/>
      <w:bookmarkStart w:id="755" w:name="_Toc280260922"/>
      <w:bookmarkStart w:id="756" w:name="_Toc280272535"/>
      <w:bookmarkStart w:id="757" w:name="_Toc288643038"/>
      <w:r w:rsidRPr="00E21F0F">
        <w:rPr>
          <w:lang w:val="fr-CH"/>
        </w:rPr>
        <w:t>B-SERVICE DE RADIOCOMMUNICATION PAR SATELITE</w:t>
      </w:r>
      <w:bookmarkEnd w:id="754"/>
      <w:bookmarkEnd w:id="755"/>
      <w:bookmarkEnd w:id="756"/>
      <w:bookmarkEnd w:id="757"/>
    </w:p>
    <w:p w:rsidR="00E56335" w:rsidRDefault="00E56335" w:rsidP="00E56335">
      <w:pPr>
        <w:spacing w:before="0"/>
        <w:rPr>
          <w:lang w:val="fr-CH"/>
        </w:rPr>
      </w:pPr>
    </w:p>
    <w:tbl>
      <w:tblPr>
        <w:tblW w:w="0" w:type="auto"/>
        <w:jc w:val="center"/>
        <w:tblBorders>
          <w:top w:val="nil"/>
          <w:left w:val="nil"/>
          <w:bottom w:val="nil"/>
          <w:right w:val="nil"/>
        </w:tblBorders>
        <w:tblLayout w:type="fixed"/>
        <w:tblLook w:val="0000"/>
      </w:tblPr>
      <w:tblGrid>
        <w:gridCol w:w="3969"/>
        <w:gridCol w:w="1418"/>
        <w:gridCol w:w="1418"/>
        <w:gridCol w:w="1418"/>
        <w:gridCol w:w="1418"/>
      </w:tblGrid>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Notitle"/>
              <w:spacing w:before="120"/>
              <w:rPr>
                <w:sz w:val="20"/>
              </w:rPr>
            </w:pPr>
            <w:r w:rsidRPr="00860521">
              <w:rPr>
                <w:sz w:val="20"/>
              </w:rPr>
              <w:t>Réseaux ou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Notitle"/>
              <w:spacing w:before="120"/>
              <w:rPr>
                <w:sz w:val="20"/>
              </w:rPr>
            </w:pPr>
            <w:r w:rsidRPr="00860521">
              <w:rPr>
                <w:sz w:val="20"/>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Notitle"/>
              <w:spacing w:before="120"/>
              <w:rPr>
                <w:sz w:val="20"/>
              </w:rPr>
            </w:pPr>
            <w:r w:rsidRPr="00860521">
              <w:rPr>
                <w:sz w:val="20"/>
              </w:rPr>
              <w:t>Taxe de visite ou de controle des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Notitle"/>
              <w:spacing w:before="120"/>
              <w:ind w:leftChars="-50" w:left="-110" w:rightChars="-50" w:right="-110"/>
              <w:rPr>
                <w:sz w:val="20"/>
              </w:rPr>
            </w:pPr>
            <w:r w:rsidRPr="00860521">
              <w:rPr>
                <w:sz w:val="20"/>
              </w:rPr>
              <w:t>Redeverance pour frais de gestion</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Notitle"/>
              <w:spacing w:before="120"/>
              <w:rPr>
                <w:sz w:val="20"/>
              </w:rPr>
            </w:pPr>
            <w:r w:rsidRPr="00860521">
              <w:rPr>
                <w:sz w:val="20"/>
              </w:rPr>
              <w:t xml:space="preserve">Redevence pour l’utilisation d’un canal radioelectrique </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284" w:hanging="284"/>
              <w:rPr>
                <w:rFonts w:asciiTheme="majorBidi" w:hAnsiTheme="majorBidi" w:cstheme="majorBidi"/>
                <w:sz w:val="20"/>
                <w:lang w:val="fr-CH"/>
              </w:rPr>
            </w:pPr>
            <w:r w:rsidRPr="00860521">
              <w:rPr>
                <w:rFonts w:asciiTheme="majorBidi" w:hAnsiTheme="majorBidi" w:cstheme="majorBidi"/>
                <w:sz w:val="20"/>
                <w:lang w:val="fr-CH"/>
              </w:rPr>
              <w:t xml:space="preserve">I–RESEAU ET STATION TERRIENNES A USAGE PRIVEE (Service non commercial) </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t>I.1</w:t>
            </w:r>
            <w:r w:rsidRPr="00860521">
              <w:rPr>
                <w:rFonts w:asciiTheme="majorBidi" w:hAnsiTheme="majorBidi" w:cstheme="majorBidi"/>
                <w:sz w:val="20"/>
                <w:lang w:val="fr-CH"/>
              </w:rPr>
              <w:tab/>
              <w:t xml:space="preserve">Réseau national (fixe ou mobile) </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lang w:val="fr-CH"/>
              </w:rPr>
              <w:t>1 044 000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8 700 000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A1</w:t>
            </w:r>
            <w:r w:rsidRPr="00860521">
              <w:rPr>
                <w:rFonts w:asciiTheme="majorBidi" w:hAnsiTheme="majorBidi" w:cstheme="majorBidi"/>
                <w:sz w:val="20"/>
                <w:lang w:val="fr-CH"/>
              </w:rPr>
              <w:tab/>
              <w:t xml:space="preserve">Station maîtresse </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87 000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A2</w:t>
            </w:r>
            <w:r w:rsidRPr="00860521">
              <w:rPr>
                <w:rFonts w:asciiTheme="majorBidi" w:hAnsiTheme="majorBidi" w:cstheme="majorBidi"/>
                <w:sz w:val="20"/>
                <w:lang w:val="fr-CH"/>
              </w:rPr>
              <w:tab/>
              <w:t xml:space="preserve">Station dépendante </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B1</w:t>
            </w:r>
            <w:r w:rsidRPr="00860521">
              <w:rPr>
                <w:rFonts w:asciiTheme="majorBidi" w:hAnsiTheme="majorBidi" w:cstheme="majorBidi"/>
                <w:sz w:val="20"/>
                <w:lang w:val="fr-CH"/>
              </w:rPr>
              <w:tab/>
              <w:t xml:space="preserve">Liaison de 1 à 24 voies téléphoniques ou moins de 2, 1 Mbits/s </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1 160 000</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B2</w:t>
            </w:r>
            <w:r w:rsidRPr="00860521">
              <w:rPr>
                <w:rFonts w:asciiTheme="majorBidi" w:hAnsiTheme="majorBidi" w:cstheme="majorBidi"/>
                <w:sz w:val="20"/>
                <w:lang w:val="fr-CH"/>
              </w:rPr>
              <w:tab/>
              <w:t xml:space="preserve">Liaison de 25à 120 voies téléphoniques ou moins de 2,1 à 8 Mbits/s </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1 450 000</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B3</w:t>
            </w:r>
            <w:r w:rsidRPr="00860521">
              <w:rPr>
                <w:rFonts w:asciiTheme="majorBidi" w:hAnsiTheme="majorBidi" w:cstheme="majorBidi"/>
                <w:sz w:val="20"/>
                <w:lang w:val="fr-CH"/>
              </w:rPr>
              <w:tab/>
              <w:t xml:space="preserve">Liaison de 121 à 600 voies téléphoniques ou moins de 8 à 34 Mbits </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1 740 000</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B4</w:t>
            </w:r>
            <w:r w:rsidRPr="00860521">
              <w:rPr>
                <w:rFonts w:asciiTheme="majorBidi" w:hAnsiTheme="majorBidi" w:cstheme="majorBidi"/>
                <w:sz w:val="20"/>
                <w:lang w:val="fr-CH"/>
              </w:rPr>
              <w:tab/>
              <w:t>Liaison de plus de 600 voies téléphoniques ou de plus de 34 Mbits</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2 900 000</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t>I.2</w:t>
            </w:r>
            <w:r w:rsidRPr="00860521">
              <w:rPr>
                <w:rFonts w:asciiTheme="majorBidi" w:hAnsiTheme="majorBidi" w:cstheme="majorBidi"/>
                <w:sz w:val="20"/>
                <w:lang w:val="fr-CH"/>
              </w:rPr>
              <w:tab/>
              <w:t xml:space="preserve">d’un réseau international indépendant </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lang w:val="fr-CH"/>
              </w:rPr>
              <w:t>116 000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580 000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348 000</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t>I.3</w:t>
            </w:r>
            <w:r w:rsidRPr="00860521">
              <w:rPr>
                <w:rFonts w:asciiTheme="majorBidi" w:hAnsiTheme="majorBidi" w:cstheme="majorBidi"/>
                <w:sz w:val="20"/>
                <w:lang w:val="fr-CH"/>
              </w:rPr>
              <w:tab/>
              <w:t xml:space="preserve">Micro station terrienne (VSAT) internationale dépendant </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lang w:val="fr-CH"/>
              </w:rPr>
              <w:t>58 000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174 000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145 000</w:t>
            </w:r>
          </w:p>
        </w:tc>
      </w:tr>
      <w:tr w:rsidR="00E56335" w:rsidRPr="00860521"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Notitle"/>
              <w:spacing w:before="120"/>
              <w:rPr>
                <w:sz w:val="20"/>
              </w:rPr>
            </w:pPr>
            <w:r w:rsidRPr="00860521">
              <w:rPr>
                <w:sz w:val="20"/>
              </w:rPr>
              <w:lastRenderedPageBreak/>
              <w:t>Réseaux ou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Notitle"/>
              <w:spacing w:before="120"/>
              <w:rPr>
                <w:sz w:val="20"/>
              </w:rPr>
            </w:pPr>
            <w:r w:rsidRPr="00860521">
              <w:rPr>
                <w:sz w:val="20"/>
              </w:rPr>
              <w:t>Taxe de constitution de dossier</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Notitle"/>
              <w:spacing w:before="120"/>
              <w:rPr>
                <w:sz w:val="20"/>
              </w:rPr>
            </w:pPr>
            <w:r w:rsidRPr="00860521">
              <w:rPr>
                <w:sz w:val="20"/>
              </w:rPr>
              <w:t>Taxe de visite ou de controle des stations</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Notitle"/>
              <w:spacing w:before="120"/>
              <w:ind w:leftChars="-50" w:left="-110" w:rightChars="-50" w:right="-110"/>
              <w:rPr>
                <w:sz w:val="20"/>
              </w:rPr>
            </w:pPr>
            <w:r w:rsidRPr="00860521">
              <w:rPr>
                <w:sz w:val="20"/>
              </w:rPr>
              <w:t>Redeverance pour frais de gestion</w:t>
            </w:r>
          </w:p>
        </w:tc>
        <w:tc>
          <w:tcPr>
            <w:tcW w:w="1418"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Notitle"/>
              <w:spacing w:before="120"/>
              <w:rPr>
                <w:sz w:val="20"/>
              </w:rPr>
            </w:pPr>
            <w:r w:rsidRPr="00860521">
              <w:rPr>
                <w:sz w:val="20"/>
              </w:rPr>
              <w:t xml:space="preserve">Redevence pour l’utilisation d’un canal radioelectrique </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t>I.4</w:t>
            </w:r>
            <w:r w:rsidRPr="00860521">
              <w:rPr>
                <w:rFonts w:asciiTheme="majorBidi" w:hAnsiTheme="majorBidi" w:cstheme="majorBidi"/>
                <w:sz w:val="20"/>
                <w:lang w:val="fr-CH"/>
              </w:rPr>
              <w:tab/>
              <w:t xml:space="preserve">Station terrienne portable ou mobile </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lang w:val="fr-CH"/>
              </w:rPr>
              <w:t>58 000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29 000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145 000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116 000</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t>I.5</w:t>
            </w:r>
            <w:r w:rsidRPr="00860521">
              <w:rPr>
                <w:rFonts w:asciiTheme="majorBidi" w:hAnsiTheme="majorBidi" w:cstheme="majorBidi"/>
                <w:sz w:val="20"/>
                <w:lang w:val="fr-CH"/>
              </w:rPr>
              <w:tab/>
              <w:t>Station terrienne de réception individuelle</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lang w:val="fr-CH"/>
              </w:rPr>
              <w:t>11 600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14 500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Néant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Néant</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284" w:hanging="284"/>
              <w:rPr>
                <w:rFonts w:asciiTheme="majorBidi" w:hAnsiTheme="majorBidi" w:cstheme="majorBidi"/>
                <w:sz w:val="20"/>
                <w:lang w:val="fr-CH"/>
              </w:rPr>
            </w:pPr>
            <w:r w:rsidRPr="00860521">
              <w:rPr>
                <w:rFonts w:asciiTheme="majorBidi" w:hAnsiTheme="majorBidi" w:cstheme="majorBidi"/>
                <w:sz w:val="20"/>
                <w:lang w:val="fr-CH"/>
              </w:rPr>
              <w:t xml:space="preserve">II–RESEAU ET STATIONS TERRIENNES OUVERTS AU PUBLIC (service commercial) </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t>II.1</w:t>
            </w:r>
            <w:r w:rsidRPr="00860521">
              <w:rPr>
                <w:rFonts w:asciiTheme="majorBidi" w:hAnsiTheme="majorBidi" w:cstheme="majorBidi"/>
                <w:sz w:val="20"/>
                <w:lang w:val="fr-CH"/>
              </w:rPr>
              <w:tab/>
              <w:t>Réseau national ouvert au public</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lang w:val="fr-CH"/>
              </w:rPr>
              <w:t>3 770 000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29 000 000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A1</w:t>
            </w:r>
            <w:r w:rsidRPr="00860521">
              <w:rPr>
                <w:rFonts w:asciiTheme="majorBidi" w:hAnsiTheme="majorBidi" w:cstheme="majorBidi"/>
                <w:sz w:val="20"/>
                <w:lang w:val="fr-CH"/>
              </w:rPr>
              <w:tab/>
              <w:t xml:space="preserve">Station terrienne aéronautique côtière ou terrestre </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A2</w:t>
            </w:r>
            <w:r w:rsidRPr="00860521">
              <w:rPr>
                <w:rFonts w:asciiTheme="majorBidi" w:hAnsiTheme="majorBidi" w:cstheme="majorBidi"/>
                <w:sz w:val="20"/>
                <w:lang w:val="fr-CH"/>
              </w:rPr>
              <w:tab/>
              <w:t xml:space="preserve">Station terrienne d’aéronef de navire et terrestre </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87 000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B1</w:t>
            </w:r>
            <w:r w:rsidRPr="00860521">
              <w:rPr>
                <w:rFonts w:asciiTheme="majorBidi" w:hAnsiTheme="majorBidi" w:cstheme="majorBidi"/>
                <w:sz w:val="20"/>
                <w:lang w:val="fr-CH"/>
              </w:rPr>
              <w:tab/>
              <w:t xml:space="preserve">Liaison de 1 à 120 voies téléphoniques ou de 2 à 8 Mbits/s </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58 000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B2</w:t>
            </w:r>
            <w:r w:rsidRPr="00860521">
              <w:rPr>
                <w:rFonts w:asciiTheme="majorBidi" w:hAnsiTheme="majorBidi" w:cstheme="majorBidi"/>
                <w:sz w:val="20"/>
                <w:lang w:val="fr-CH"/>
              </w:rPr>
              <w:tab/>
              <w:t xml:space="preserve">Liaison de 121 à 600 voies téléphoniques ou de 8 à 34 Mbits/s </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5 800 000</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B3</w:t>
            </w:r>
            <w:r w:rsidRPr="00860521">
              <w:rPr>
                <w:rFonts w:asciiTheme="majorBidi" w:hAnsiTheme="majorBidi" w:cstheme="majorBidi"/>
                <w:sz w:val="20"/>
                <w:lang w:val="fr-CH"/>
              </w:rPr>
              <w:tab/>
              <w:t xml:space="preserve">Liaison de 601 à 1200 voies téléphoniques ou de 34 à 70 Mbits/s </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10 440 000</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B4</w:t>
            </w:r>
            <w:r w:rsidRPr="00860521">
              <w:rPr>
                <w:rFonts w:asciiTheme="majorBidi" w:hAnsiTheme="majorBidi" w:cstheme="majorBidi"/>
                <w:sz w:val="20"/>
                <w:lang w:val="fr-CH"/>
              </w:rPr>
              <w:tab/>
              <w:t xml:space="preserve">Liaison de plus de 1 200 voies téléphoniques ou plus de 70 Mbits/s </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14 500 000</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t>II.2</w:t>
            </w:r>
            <w:r w:rsidRPr="00860521">
              <w:rPr>
                <w:rFonts w:asciiTheme="majorBidi" w:hAnsiTheme="majorBidi" w:cstheme="majorBidi"/>
                <w:sz w:val="20"/>
                <w:lang w:val="fr-CH"/>
              </w:rPr>
              <w:tab/>
              <w:t>Station terrienne reliée au réseau public international</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lang w:val="fr-CH"/>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17 400 000</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t>II.3</w:t>
            </w:r>
            <w:r w:rsidRPr="00860521">
              <w:rPr>
                <w:rFonts w:asciiTheme="majorBidi" w:hAnsiTheme="majorBidi" w:cstheme="majorBidi"/>
                <w:sz w:val="20"/>
                <w:lang w:val="fr-CH"/>
              </w:rPr>
              <w:tab/>
              <w:t xml:space="preserve">Station terrienne d’un réseau international indépendant </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lang w:val="fr-CH"/>
              </w:rPr>
              <w:t>1 740 000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87 000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11 600 000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3 480 000</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t>II.4</w:t>
            </w:r>
            <w:r w:rsidRPr="00860521">
              <w:rPr>
                <w:rFonts w:asciiTheme="majorBidi" w:hAnsiTheme="majorBidi" w:cstheme="majorBidi"/>
                <w:sz w:val="20"/>
                <w:lang w:val="fr-CH"/>
              </w:rPr>
              <w:tab/>
              <w:t xml:space="preserve">Station VSAT Internationale indépendant </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lang w:val="fr-CH"/>
              </w:rPr>
              <w:t>870 000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34 800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5 800 000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1 740 000</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t>II.5</w:t>
            </w:r>
            <w:r w:rsidRPr="00860521">
              <w:rPr>
                <w:rFonts w:asciiTheme="majorBidi" w:hAnsiTheme="majorBidi" w:cstheme="majorBidi"/>
                <w:sz w:val="20"/>
                <w:lang w:val="fr-CH"/>
              </w:rPr>
              <w:tab/>
              <w:t xml:space="preserve">Station terrienne de réception communautaire </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lang w:val="fr-CH"/>
              </w:rPr>
              <w:t>580 000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34 000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2 900 000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580 000</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A1</w:t>
            </w:r>
            <w:r w:rsidRPr="00860521">
              <w:rPr>
                <w:rFonts w:asciiTheme="majorBidi" w:hAnsiTheme="majorBidi" w:cstheme="majorBidi"/>
                <w:sz w:val="20"/>
                <w:lang w:val="fr-CH"/>
              </w:rPr>
              <w:tab/>
              <w:t xml:space="preserve">Réception de moins de 5 programmes </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lang w:val="fr-CH"/>
              </w:rPr>
              <w:t>29 000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14 500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290 000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1 450 000</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A2</w:t>
            </w:r>
            <w:r w:rsidRPr="00860521">
              <w:rPr>
                <w:rFonts w:asciiTheme="majorBidi" w:hAnsiTheme="majorBidi" w:cstheme="majorBidi"/>
                <w:sz w:val="20"/>
                <w:lang w:val="fr-CH"/>
              </w:rPr>
              <w:tab/>
              <w:t xml:space="preserve">Réception de moins de 5 à 10 programmes </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lang w:val="fr-CH"/>
              </w:rPr>
              <w:t>58 000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29 000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580 000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5 800 000</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860521" w:rsidRDefault="00E56335" w:rsidP="00015D4C">
            <w:pPr>
              <w:pStyle w:val="TableText0"/>
              <w:tabs>
                <w:tab w:val="clear" w:pos="567"/>
                <w:tab w:val="left" w:pos="444"/>
              </w:tabs>
              <w:ind w:left="851" w:hanging="851"/>
              <w:rPr>
                <w:rFonts w:asciiTheme="majorBidi" w:hAnsiTheme="majorBidi" w:cstheme="majorBidi"/>
                <w:sz w:val="20"/>
                <w:lang w:val="fr-CH"/>
              </w:rPr>
            </w:pPr>
            <w:r w:rsidRPr="00860521">
              <w:rPr>
                <w:rFonts w:asciiTheme="majorBidi" w:hAnsiTheme="majorBidi" w:cstheme="majorBidi"/>
                <w:sz w:val="20"/>
                <w:lang w:val="fr-CH"/>
              </w:rPr>
              <w:tab/>
            </w:r>
            <w:r w:rsidRPr="00860521">
              <w:rPr>
                <w:rFonts w:asciiTheme="majorBidi" w:hAnsiTheme="majorBidi" w:cstheme="majorBidi"/>
                <w:sz w:val="20"/>
                <w:lang w:val="fr-CH"/>
              </w:rPr>
              <w:tab/>
              <w:t>A3</w:t>
            </w:r>
            <w:r w:rsidRPr="00860521">
              <w:rPr>
                <w:rFonts w:asciiTheme="majorBidi" w:hAnsiTheme="majorBidi" w:cstheme="majorBidi"/>
                <w:sz w:val="20"/>
                <w:lang w:val="fr-CH"/>
              </w:rPr>
              <w:tab/>
            </w:r>
            <w:r w:rsidRPr="00860521">
              <w:rPr>
                <w:rFonts w:asciiTheme="majorBidi" w:hAnsiTheme="majorBidi" w:cstheme="majorBidi"/>
                <w:sz w:val="20"/>
              </w:rPr>
              <w:t>Réception de plus de 10 programmes</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lang w:val="fr-CH"/>
              </w:rPr>
            </w:pPr>
            <w:r w:rsidRPr="00860521">
              <w:rPr>
                <w:b/>
                <w:bCs/>
                <w:sz w:val="20"/>
                <w:lang w:val="fr-CH"/>
              </w:rPr>
              <w:t>145 000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58 000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1 160 000</w:t>
            </w:r>
          </w:p>
        </w:tc>
        <w:tc>
          <w:tcPr>
            <w:tcW w:w="1418" w:type="dxa"/>
            <w:tcBorders>
              <w:top w:val="single" w:sz="6" w:space="0" w:color="000000"/>
              <w:left w:val="single" w:sz="4" w:space="0" w:color="000000"/>
              <w:bottom w:val="single" w:sz="6" w:space="0" w:color="000000"/>
              <w:right w:val="single" w:sz="4" w:space="0" w:color="000000"/>
            </w:tcBorders>
          </w:tcPr>
          <w:p w:rsidR="00E56335" w:rsidRPr="00860521" w:rsidRDefault="00E56335" w:rsidP="00015D4C">
            <w:pPr>
              <w:pStyle w:val="TableText0"/>
              <w:jc w:val="center"/>
              <w:rPr>
                <w:b/>
                <w:bCs/>
                <w:sz w:val="20"/>
              </w:rPr>
            </w:pPr>
            <w:r w:rsidRPr="00860521">
              <w:rPr>
                <w:b/>
                <w:bCs/>
                <w:sz w:val="20"/>
              </w:rPr>
              <w:t>11 600 000</w:t>
            </w:r>
          </w:p>
        </w:tc>
      </w:tr>
    </w:tbl>
    <w:p w:rsidR="00E56335" w:rsidRDefault="00E56335" w:rsidP="00E56335">
      <w:pPr>
        <w:rPr>
          <w:lang w:val="fr-CH"/>
        </w:rPr>
      </w:pPr>
    </w:p>
    <w:p w:rsidR="00E56335" w:rsidRDefault="00E56335" w:rsidP="00E56335">
      <w:pPr>
        <w:tabs>
          <w:tab w:val="clear" w:pos="794"/>
          <w:tab w:val="clear" w:pos="1191"/>
          <w:tab w:val="clear" w:pos="1588"/>
          <w:tab w:val="clear" w:pos="1985"/>
        </w:tabs>
        <w:overflowPunct/>
        <w:autoSpaceDE/>
        <w:autoSpaceDN/>
        <w:adjustRightInd/>
        <w:spacing w:before="0"/>
        <w:jc w:val="left"/>
        <w:textAlignment w:val="auto"/>
        <w:rPr>
          <w:b/>
          <w:lang w:val="fr-CH"/>
        </w:rPr>
      </w:pPr>
      <w:bookmarkStart w:id="758" w:name="_Toc280260071"/>
      <w:bookmarkStart w:id="759" w:name="_Toc280260923"/>
      <w:r>
        <w:rPr>
          <w:lang w:val="fr-CH"/>
        </w:rPr>
        <w:br w:type="page"/>
      </w:r>
    </w:p>
    <w:p w:rsidR="00E56335" w:rsidRPr="00336471" w:rsidRDefault="00E56335" w:rsidP="00E56335">
      <w:pPr>
        <w:pStyle w:val="Heading1"/>
        <w:rPr>
          <w:lang w:val="fr-CH"/>
        </w:rPr>
      </w:pPr>
      <w:bookmarkStart w:id="760" w:name="_Toc280272536"/>
      <w:bookmarkStart w:id="761" w:name="_Toc288643039"/>
      <w:r w:rsidRPr="00336471">
        <w:rPr>
          <w:lang w:val="fr-CH"/>
        </w:rPr>
        <w:lastRenderedPageBreak/>
        <w:t>C</w:t>
      </w:r>
      <w:r>
        <w:rPr>
          <w:lang w:val="fr-CH"/>
        </w:rPr>
        <w:t>-</w:t>
      </w:r>
      <w:r w:rsidRPr="00336471">
        <w:rPr>
          <w:lang w:val="fr-CH"/>
        </w:rPr>
        <w:t>UTILISATION TEMPORAIRE DE STATIONS RADIOELESTRIQUES</w:t>
      </w:r>
      <w:bookmarkEnd w:id="758"/>
      <w:bookmarkEnd w:id="759"/>
      <w:bookmarkEnd w:id="760"/>
      <w:bookmarkEnd w:id="761"/>
      <w:r w:rsidRPr="00336471">
        <w:rPr>
          <w:lang w:val="fr-CH"/>
        </w:rPr>
        <w:t xml:space="preserve"> </w:t>
      </w:r>
    </w:p>
    <w:p w:rsidR="00E56335" w:rsidRDefault="00E56335" w:rsidP="00E56335">
      <w:pPr>
        <w:spacing w:before="0"/>
        <w:rPr>
          <w:lang w:val="fr-CH"/>
        </w:rPr>
      </w:pPr>
    </w:p>
    <w:tbl>
      <w:tblPr>
        <w:tblW w:w="0" w:type="auto"/>
        <w:jc w:val="center"/>
        <w:tblBorders>
          <w:top w:val="nil"/>
          <w:left w:val="nil"/>
          <w:bottom w:val="nil"/>
          <w:right w:val="nil"/>
        </w:tblBorders>
        <w:tblLayout w:type="fixed"/>
        <w:tblLook w:val="0000"/>
      </w:tblPr>
      <w:tblGrid>
        <w:gridCol w:w="3969"/>
        <w:gridCol w:w="1418"/>
        <w:gridCol w:w="1418"/>
        <w:gridCol w:w="1418"/>
        <w:gridCol w:w="1418"/>
      </w:tblGrid>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tcPr>
          <w:p w:rsidR="00E56335" w:rsidRPr="00E21F0F" w:rsidRDefault="00E56335" w:rsidP="00015D4C">
            <w:pPr>
              <w:pStyle w:val="TableNotitle"/>
              <w:spacing w:before="120"/>
            </w:pPr>
            <w:r>
              <w:t>Ré</w:t>
            </w:r>
            <w:r w:rsidRPr="00E21F0F">
              <w:t>seaux ou stations</w:t>
            </w:r>
          </w:p>
        </w:tc>
        <w:tc>
          <w:tcPr>
            <w:tcW w:w="1418" w:type="dxa"/>
            <w:tcBorders>
              <w:top w:val="single" w:sz="6" w:space="0" w:color="000000"/>
              <w:left w:val="single" w:sz="4" w:space="0" w:color="000000"/>
              <w:bottom w:val="single" w:sz="6" w:space="0" w:color="000000"/>
              <w:right w:val="single" w:sz="4" w:space="0" w:color="000000"/>
            </w:tcBorders>
          </w:tcPr>
          <w:p w:rsidR="00E56335" w:rsidRPr="00E21F0F" w:rsidRDefault="00E56335" w:rsidP="00015D4C">
            <w:pPr>
              <w:pStyle w:val="TableNotitle"/>
              <w:spacing w:before="120"/>
            </w:pPr>
            <w:r>
              <w:t>T</w:t>
            </w:r>
            <w:r w:rsidRPr="00E21F0F">
              <w:t>axe</w:t>
            </w:r>
            <w:r>
              <w:t xml:space="preserve"> </w:t>
            </w:r>
            <w:r w:rsidRPr="00E21F0F">
              <w:t>de constitution de</w:t>
            </w:r>
            <w:r>
              <w:t> </w:t>
            </w:r>
            <w:r w:rsidRPr="00E21F0F">
              <w:t>dossier</w:t>
            </w:r>
          </w:p>
        </w:tc>
        <w:tc>
          <w:tcPr>
            <w:tcW w:w="1418" w:type="dxa"/>
            <w:tcBorders>
              <w:top w:val="single" w:sz="6" w:space="0" w:color="000000"/>
              <w:left w:val="single" w:sz="4" w:space="0" w:color="000000"/>
              <w:bottom w:val="single" w:sz="6" w:space="0" w:color="000000"/>
              <w:right w:val="single" w:sz="4" w:space="0" w:color="000000"/>
            </w:tcBorders>
          </w:tcPr>
          <w:p w:rsidR="00E56335" w:rsidRPr="00BB6445" w:rsidRDefault="00E56335" w:rsidP="00015D4C">
            <w:pPr>
              <w:pStyle w:val="TableNotitle"/>
              <w:spacing w:before="120"/>
            </w:pPr>
            <w:r w:rsidRPr="00BB6445">
              <w:t>Taxe de visite ou de controle des stations</w:t>
            </w:r>
          </w:p>
        </w:tc>
        <w:tc>
          <w:tcPr>
            <w:tcW w:w="1418" w:type="dxa"/>
            <w:tcBorders>
              <w:top w:val="single" w:sz="6" w:space="0" w:color="000000"/>
              <w:left w:val="single" w:sz="4" w:space="0" w:color="000000"/>
              <w:bottom w:val="single" w:sz="6" w:space="0" w:color="000000"/>
              <w:right w:val="single" w:sz="4" w:space="0" w:color="000000"/>
            </w:tcBorders>
          </w:tcPr>
          <w:p w:rsidR="00E56335" w:rsidRPr="00BB6445" w:rsidRDefault="00E56335" w:rsidP="00015D4C">
            <w:pPr>
              <w:pStyle w:val="TableNotitle"/>
              <w:spacing w:before="120"/>
              <w:ind w:leftChars="-50" w:left="-110" w:rightChars="-50" w:right="-110"/>
            </w:pPr>
            <w:r>
              <w:t>Redeverance pour frais de gestion</w:t>
            </w:r>
          </w:p>
        </w:tc>
        <w:tc>
          <w:tcPr>
            <w:tcW w:w="1418" w:type="dxa"/>
            <w:tcBorders>
              <w:top w:val="single" w:sz="6" w:space="0" w:color="000000"/>
              <w:left w:val="single" w:sz="4" w:space="0" w:color="000000"/>
              <w:bottom w:val="single" w:sz="6" w:space="0" w:color="000000"/>
              <w:right w:val="single" w:sz="4" w:space="0" w:color="000000"/>
            </w:tcBorders>
          </w:tcPr>
          <w:p w:rsidR="00E56335" w:rsidRPr="00BB6445" w:rsidRDefault="00E56335" w:rsidP="00015D4C">
            <w:pPr>
              <w:pStyle w:val="TableNotitle"/>
              <w:spacing w:before="120"/>
            </w:pPr>
            <w:r w:rsidRPr="00BB6445">
              <w:t xml:space="preserve">Redevence </w:t>
            </w:r>
            <w:r>
              <w:t xml:space="preserve">pour </w:t>
            </w:r>
            <w:r w:rsidRPr="00BB6445">
              <w:t xml:space="preserve">utilisation </w:t>
            </w:r>
            <w:r>
              <w:t>de fréquence</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6C00B9" w:rsidRDefault="00E56335" w:rsidP="00015D4C">
            <w:pPr>
              <w:pStyle w:val="TableText0"/>
              <w:tabs>
                <w:tab w:val="clear" w:pos="567"/>
                <w:tab w:val="left" w:pos="444"/>
              </w:tabs>
              <w:ind w:left="284" w:hanging="284"/>
              <w:rPr>
                <w:rFonts w:asciiTheme="majorBidi" w:hAnsiTheme="majorBidi" w:cstheme="majorBidi"/>
                <w:lang w:val="fr-CH"/>
              </w:rPr>
            </w:pPr>
            <w:r w:rsidRPr="00E21F0F">
              <w:rPr>
                <w:rFonts w:asciiTheme="majorBidi" w:hAnsiTheme="majorBidi" w:cstheme="majorBidi"/>
                <w:b/>
                <w:bCs/>
                <w:lang w:val="fr-CH"/>
              </w:rPr>
              <w:t xml:space="preserve">1 – Services de terre </w:t>
            </w:r>
          </w:p>
        </w:tc>
        <w:tc>
          <w:tcPr>
            <w:tcW w:w="1418" w:type="dxa"/>
            <w:tcBorders>
              <w:top w:val="single" w:sz="6" w:space="0" w:color="000000"/>
              <w:left w:val="single" w:sz="4" w:space="0" w:color="000000"/>
              <w:bottom w:val="single" w:sz="6" w:space="0" w:color="000000"/>
              <w:right w:val="single" w:sz="4" w:space="0" w:color="000000"/>
            </w:tcBorders>
          </w:tcPr>
          <w:p w:rsidR="00E56335" w:rsidRPr="0047055F" w:rsidRDefault="00E56335" w:rsidP="00015D4C">
            <w:pPr>
              <w:pStyle w:val="TableText0"/>
              <w:jc w:val="center"/>
              <w:rPr>
                <w:b/>
                <w:bCs/>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Default="00E56335" w:rsidP="00015D4C">
            <w:pPr>
              <w:pStyle w:val="TableText0"/>
              <w:jc w:val="center"/>
              <w:rPr>
                <w:b/>
                <w:bCs/>
              </w:rPr>
            </w:pPr>
          </w:p>
        </w:tc>
        <w:tc>
          <w:tcPr>
            <w:tcW w:w="1418" w:type="dxa"/>
            <w:tcBorders>
              <w:top w:val="single" w:sz="6" w:space="0" w:color="000000"/>
              <w:left w:val="single" w:sz="4" w:space="0" w:color="000000"/>
              <w:bottom w:val="single" w:sz="6" w:space="0" w:color="000000"/>
              <w:right w:val="single" w:sz="4" w:space="0" w:color="000000"/>
            </w:tcBorders>
          </w:tcPr>
          <w:p w:rsidR="00E56335" w:rsidRPr="0047055F" w:rsidRDefault="00E56335" w:rsidP="00015D4C">
            <w:pPr>
              <w:pStyle w:val="TableText0"/>
              <w:jc w:val="center"/>
              <w:rPr>
                <w:b/>
                <w:bCs/>
              </w:rPr>
            </w:pPr>
          </w:p>
        </w:tc>
        <w:tc>
          <w:tcPr>
            <w:tcW w:w="1418" w:type="dxa"/>
            <w:tcBorders>
              <w:top w:val="single" w:sz="6" w:space="0" w:color="000000"/>
              <w:left w:val="single" w:sz="4" w:space="0" w:color="000000"/>
              <w:bottom w:val="single" w:sz="6" w:space="0" w:color="000000"/>
              <w:right w:val="single" w:sz="4" w:space="0" w:color="000000"/>
            </w:tcBorders>
          </w:tcPr>
          <w:p w:rsidR="00E56335" w:rsidRPr="00203296" w:rsidRDefault="00E56335" w:rsidP="00015D4C">
            <w:pPr>
              <w:pStyle w:val="TableText0"/>
              <w:jc w:val="center"/>
              <w:rPr>
                <w:b/>
                <w:bCs/>
              </w:rPr>
            </w:pP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6C00B9" w:rsidRDefault="00E56335" w:rsidP="00015D4C">
            <w:pPr>
              <w:pStyle w:val="TableText0"/>
              <w:tabs>
                <w:tab w:val="clear" w:pos="567"/>
                <w:tab w:val="left" w:pos="444"/>
              </w:tabs>
              <w:ind w:left="851" w:hanging="851"/>
              <w:rPr>
                <w:rFonts w:asciiTheme="majorBidi" w:hAnsiTheme="majorBidi" w:cstheme="majorBidi"/>
                <w:lang w:val="fr-CH"/>
              </w:rPr>
            </w:pPr>
            <w:r>
              <w:rPr>
                <w:rFonts w:asciiTheme="majorBidi" w:hAnsiTheme="majorBidi" w:cstheme="majorBidi"/>
                <w:lang w:val="fr-CH"/>
              </w:rPr>
              <w:tab/>
            </w:r>
            <w:r>
              <w:rPr>
                <w:rFonts w:asciiTheme="majorBidi" w:hAnsiTheme="majorBidi" w:cstheme="majorBidi"/>
                <w:lang w:val="fr-CH"/>
              </w:rPr>
              <w:tab/>
              <w:t>A</w:t>
            </w:r>
            <w:r w:rsidRPr="00E21F0F">
              <w:rPr>
                <w:rFonts w:asciiTheme="majorBidi" w:hAnsiTheme="majorBidi" w:cstheme="majorBidi"/>
                <w:lang w:val="fr-CH"/>
              </w:rPr>
              <w:t>1</w:t>
            </w:r>
            <w:r>
              <w:rPr>
                <w:rFonts w:asciiTheme="majorBidi" w:hAnsiTheme="majorBidi" w:cstheme="majorBidi"/>
                <w:lang w:val="fr-CH"/>
              </w:rPr>
              <w:tab/>
            </w:r>
            <w:r w:rsidRPr="00E21F0F">
              <w:rPr>
                <w:rFonts w:asciiTheme="majorBidi" w:hAnsiTheme="majorBidi" w:cstheme="majorBidi"/>
                <w:lang w:val="fr-CH"/>
              </w:rPr>
              <w:t xml:space="preserve">Station fixe ou de base </w:t>
            </w:r>
          </w:p>
        </w:tc>
        <w:tc>
          <w:tcPr>
            <w:tcW w:w="1418" w:type="dxa"/>
            <w:tcBorders>
              <w:top w:val="single" w:sz="6" w:space="0" w:color="000000"/>
              <w:left w:val="single" w:sz="4" w:space="0" w:color="000000"/>
              <w:bottom w:val="single" w:sz="6" w:space="0" w:color="000000"/>
              <w:right w:val="single" w:sz="4" w:space="0" w:color="000000"/>
            </w:tcBorders>
          </w:tcPr>
          <w:p w:rsidR="00E56335" w:rsidRPr="0047055F" w:rsidRDefault="00E56335" w:rsidP="00015D4C">
            <w:pPr>
              <w:pStyle w:val="TableText0"/>
              <w:jc w:val="center"/>
              <w:rPr>
                <w:b/>
                <w:bCs/>
                <w:lang w:val="fr-CH"/>
              </w:rPr>
            </w:pPr>
            <w:r>
              <w:rPr>
                <w:b/>
                <w:bCs/>
                <w:lang w:val="fr-CH"/>
              </w:rPr>
              <w:t>Néant</w:t>
            </w:r>
          </w:p>
        </w:tc>
        <w:tc>
          <w:tcPr>
            <w:tcW w:w="1418" w:type="dxa"/>
            <w:tcBorders>
              <w:top w:val="single" w:sz="6" w:space="0" w:color="000000"/>
              <w:left w:val="single" w:sz="4" w:space="0" w:color="000000"/>
              <w:bottom w:val="single" w:sz="6" w:space="0" w:color="000000"/>
              <w:right w:val="single" w:sz="4" w:space="0" w:color="000000"/>
            </w:tcBorders>
          </w:tcPr>
          <w:p w:rsidR="00E56335" w:rsidRDefault="00E56335" w:rsidP="00015D4C">
            <w:pPr>
              <w:pStyle w:val="TableText0"/>
              <w:jc w:val="center"/>
              <w:rPr>
                <w:b/>
                <w:bCs/>
              </w:rPr>
            </w:pPr>
            <w:r>
              <w:rPr>
                <w:b/>
                <w:bCs/>
              </w:rPr>
              <w:t>11 600</w:t>
            </w:r>
          </w:p>
        </w:tc>
        <w:tc>
          <w:tcPr>
            <w:tcW w:w="1418" w:type="dxa"/>
            <w:vMerge w:val="restart"/>
            <w:tcBorders>
              <w:top w:val="single" w:sz="6" w:space="0" w:color="000000"/>
              <w:left w:val="single" w:sz="4" w:space="0" w:color="000000"/>
              <w:right w:val="single" w:sz="4" w:space="0" w:color="000000"/>
            </w:tcBorders>
          </w:tcPr>
          <w:p w:rsidR="00E56335" w:rsidRPr="0047055F" w:rsidRDefault="00E56335" w:rsidP="00015D4C">
            <w:pPr>
              <w:pStyle w:val="TableText0"/>
              <w:jc w:val="center"/>
              <w:rPr>
                <w:b/>
                <w:bCs/>
              </w:rPr>
            </w:pPr>
            <w:r>
              <w:rPr>
                <w:b/>
                <w:bCs/>
              </w:rPr>
              <w:t>Calculée au mois entier, au prorata du temps d’utilisation</w:t>
            </w:r>
          </w:p>
        </w:tc>
        <w:tc>
          <w:tcPr>
            <w:tcW w:w="1418" w:type="dxa"/>
            <w:vMerge w:val="restart"/>
            <w:tcBorders>
              <w:top w:val="single" w:sz="6" w:space="0" w:color="000000"/>
              <w:left w:val="single" w:sz="4" w:space="0" w:color="000000"/>
              <w:right w:val="single" w:sz="4" w:space="0" w:color="000000"/>
            </w:tcBorders>
          </w:tcPr>
          <w:p w:rsidR="00E56335" w:rsidRPr="00203296" w:rsidRDefault="00E56335" w:rsidP="00015D4C">
            <w:pPr>
              <w:pStyle w:val="TableText0"/>
              <w:jc w:val="center"/>
              <w:rPr>
                <w:b/>
                <w:bCs/>
              </w:rPr>
            </w:pPr>
            <w:r>
              <w:rPr>
                <w:b/>
                <w:bCs/>
              </w:rPr>
              <w:t>Calculée au mois entier, au prorata du temps d’utilisation</w:t>
            </w: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6C00B9" w:rsidRDefault="00E56335" w:rsidP="00015D4C">
            <w:pPr>
              <w:pStyle w:val="TableText0"/>
              <w:tabs>
                <w:tab w:val="clear" w:pos="567"/>
                <w:tab w:val="left" w:pos="444"/>
              </w:tabs>
              <w:ind w:left="851" w:hanging="851"/>
              <w:rPr>
                <w:rFonts w:asciiTheme="majorBidi" w:hAnsiTheme="majorBidi" w:cstheme="majorBidi"/>
                <w:lang w:val="fr-CH"/>
              </w:rPr>
            </w:pPr>
            <w:r>
              <w:rPr>
                <w:rFonts w:asciiTheme="majorBidi" w:hAnsiTheme="majorBidi" w:cstheme="majorBidi"/>
                <w:lang w:val="fr-CH"/>
              </w:rPr>
              <w:tab/>
            </w:r>
            <w:r>
              <w:rPr>
                <w:rFonts w:asciiTheme="majorBidi" w:hAnsiTheme="majorBidi" w:cstheme="majorBidi"/>
                <w:lang w:val="fr-CH"/>
              </w:rPr>
              <w:tab/>
            </w:r>
            <w:r w:rsidRPr="00E21F0F">
              <w:rPr>
                <w:rFonts w:asciiTheme="majorBidi" w:hAnsiTheme="majorBidi" w:cstheme="majorBidi"/>
                <w:lang w:val="fr-CH"/>
              </w:rPr>
              <w:t>A2</w:t>
            </w:r>
            <w:r>
              <w:rPr>
                <w:rFonts w:asciiTheme="majorBidi" w:hAnsiTheme="majorBidi" w:cstheme="majorBidi"/>
                <w:lang w:val="fr-CH"/>
              </w:rPr>
              <w:tab/>
            </w:r>
            <w:r w:rsidRPr="00E21F0F">
              <w:rPr>
                <w:rFonts w:asciiTheme="majorBidi" w:hAnsiTheme="majorBidi" w:cstheme="majorBidi"/>
                <w:lang w:val="fr-CH"/>
              </w:rPr>
              <w:t xml:space="preserve">Station mobile </w:t>
            </w:r>
          </w:p>
        </w:tc>
        <w:tc>
          <w:tcPr>
            <w:tcW w:w="1418" w:type="dxa"/>
            <w:tcBorders>
              <w:top w:val="single" w:sz="6" w:space="0" w:color="000000"/>
              <w:left w:val="single" w:sz="4" w:space="0" w:color="000000"/>
              <w:bottom w:val="single" w:sz="6" w:space="0" w:color="000000"/>
              <w:right w:val="single" w:sz="4" w:space="0" w:color="000000"/>
            </w:tcBorders>
          </w:tcPr>
          <w:p w:rsidR="00E56335" w:rsidRPr="0047055F" w:rsidRDefault="00E56335" w:rsidP="00015D4C">
            <w:pPr>
              <w:pStyle w:val="TableText0"/>
              <w:jc w:val="center"/>
              <w:rPr>
                <w:b/>
                <w:bCs/>
                <w:lang w:val="fr-CH"/>
              </w:rPr>
            </w:pPr>
            <w:r>
              <w:rPr>
                <w:b/>
                <w:bCs/>
                <w:lang w:val="fr-CH"/>
              </w:rPr>
              <w:t>Néant</w:t>
            </w:r>
          </w:p>
        </w:tc>
        <w:tc>
          <w:tcPr>
            <w:tcW w:w="1418" w:type="dxa"/>
            <w:tcBorders>
              <w:top w:val="single" w:sz="6" w:space="0" w:color="000000"/>
              <w:left w:val="single" w:sz="4" w:space="0" w:color="000000"/>
              <w:bottom w:val="single" w:sz="6" w:space="0" w:color="000000"/>
              <w:right w:val="single" w:sz="4" w:space="0" w:color="000000"/>
            </w:tcBorders>
          </w:tcPr>
          <w:p w:rsidR="00E56335" w:rsidRDefault="00E56335" w:rsidP="00015D4C">
            <w:pPr>
              <w:pStyle w:val="TableText0"/>
              <w:jc w:val="center"/>
              <w:rPr>
                <w:b/>
                <w:bCs/>
              </w:rPr>
            </w:pPr>
            <w:r>
              <w:rPr>
                <w:b/>
                <w:bCs/>
              </w:rPr>
              <w:t>8 700</w:t>
            </w:r>
          </w:p>
        </w:tc>
        <w:tc>
          <w:tcPr>
            <w:tcW w:w="1418" w:type="dxa"/>
            <w:vMerge/>
            <w:tcBorders>
              <w:left w:val="single" w:sz="4" w:space="0" w:color="000000"/>
              <w:right w:val="single" w:sz="4" w:space="0" w:color="000000"/>
            </w:tcBorders>
          </w:tcPr>
          <w:p w:rsidR="00E56335" w:rsidRPr="0047055F" w:rsidRDefault="00E56335" w:rsidP="00015D4C">
            <w:pPr>
              <w:pStyle w:val="TableText0"/>
              <w:jc w:val="center"/>
              <w:rPr>
                <w:b/>
                <w:bCs/>
              </w:rPr>
            </w:pPr>
          </w:p>
        </w:tc>
        <w:tc>
          <w:tcPr>
            <w:tcW w:w="1418" w:type="dxa"/>
            <w:vMerge/>
            <w:tcBorders>
              <w:left w:val="single" w:sz="4" w:space="0" w:color="000000"/>
              <w:right w:val="single" w:sz="4" w:space="0" w:color="000000"/>
            </w:tcBorders>
          </w:tcPr>
          <w:p w:rsidR="00E56335" w:rsidRPr="00203296" w:rsidRDefault="00E56335" w:rsidP="00015D4C">
            <w:pPr>
              <w:pStyle w:val="TableText0"/>
              <w:jc w:val="center"/>
              <w:rPr>
                <w:b/>
                <w:bCs/>
              </w:rPr>
            </w:pP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tcPr>
          <w:p w:rsidR="00E56335" w:rsidRDefault="00E56335" w:rsidP="00015D4C">
            <w:pPr>
              <w:pStyle w:val="TableText0"/>
              <w:tabs>
                <w:tab w:val="clear" w:pos="567"/>
                <w:tab w:val="left" w:pos="444"/>
              </w:tabs>
              <w:ind w:left="851" w:hanging="851"/>
              <w:rPr>
                <w:rFonts w:asciiTheme="majorBidi" w:hAnsiTheme="majorBidi" w:cstheme="majorBidi"/>
                <w:lang w:val="fr-CH"/>
              </w:rPr>
            </w:pPr>
            <w:r>
              <w:rPr>
                <w:rFonts w:asciiTheme="majorBidi" w:hAnsiTheme="majorBidi" w:cstheme="majorBidi"/>
                <w:lang w:val="fr-CH"/>
              </w:rPr>
              <w:tab/>
            </w:r>
            <w:r>
              <w:rPr>
                <w:rFonts w:asciiTheme="majorBidi" w:hAnsiTheme="majorBidi" w:cstheme="majorBidi"/>
                <w:lang w:val="fr-CH"/>
              </w:rPr>
              <w:tab/>
            </w:r>
            <w:r w:rsidRPr="00E21F0F">
              <w:rPr>
                <w:rFonts w:asciiTheme="majorBidi" w:hAnsiTheme="majorBidi" w:cstheme="majorBidi"/>
                <w:lang w:val="fr-CH"/>
              </w:rPr>
              <w:t>A3</w:t>
            </w:r>
            <w:r>
              <w:rPr>
                <w:rFonts w:asciiTheme="majorBidi" w:hAnsiTheme="majorBidi" w:cstheme="majorBidi"/>
                <w:lang w:val="fr-CH"/>
              </w:rPr>
              <w:tab/>
            </w:r>
            <w:r w:rsidRPr="00E21F0F">
              <w:rPr>
                <w:rFonts w:asciiTheme="majorBidi" w:hAnsiTheme="majorBidi" w:cstheme="majorBidi"/>
                <w:lang w:val="fr-CH"/>
              </w:rPr>
              <w:t>Station portable ou portative</w:t>
            </w:r>
          </w:p>
        </w:tc>
        <w:tc>
          <w:tcPr>
            <w:tcW w:w="1418" w:type="dxa"/>
            <w:tcBorders>
              <w:top w:val="single" w:sz="6" w:space="0" w:color="000000"/>
              <w:left w:val="single" w:sz="4" w:space="0" w:color="000000"/>
              <w:bottom w:val="single" w:sz="6" w:space="0" w:color="000000"/>
              <w:right w:val="single" w:sz="4" w:space="0" w:color="000000"/>
            </w:tcBorders>
          </w:tcPr>
          <w:p w:rsidR="00E56335" w:rsidRDefault="00E56335" w:rsidP="00015D4C">
            <w:pPr>
              <w:pStyle w:val="TableText0"/>
              <w:jc w:val="center"/>
              <w:rPr>
                <w:b/>
                <w:bCs/>
                <w:lang w:val="fr-CH"/>
              </w:rPr>
            </w:pPr>
            <w:r>
              <w:rPr>
                <w:b/>
                <w:bCs/>
                <w:lang w:val="fr-CH"/>
              </w:rPr>
              <w:t>Néant</w:t>
            </w:r>
          </w:p>
        </w:tc>
        <w:tc>
          <w:tcPr>
            <w:tcW w:w="1418" w:type="dxa"/>
            <w:tcBorders>
              <w:top w:val="single" w:sz="6" w:space="0" w:color="000000"/>
              <w:left w:val="single" w:sz="4" w:space="0" w:color="000000"/>
              <w:bottom w:val="single" w:sz="6" w:space="0" w:color="000000"/>
              <w:right w:val="single" w:sz="4" w:space="0" w:color="000000"/>
            </w:tcBorders>
          </w:tcPr>
          <w:p w:rsidR="00E56335" w:rsidRDefault="00E56335" w:rsidP="00015D4C">
            <w:pPr>
              <w:pStyle w:val="TableText0"/>
              <w:jc w:val="center"/>
              <w:rPr>
                <w:b/>
                <w:bCs/>
              </w:rPr>
            </w:pPr>
            <w:r>
              <w:rPr>
                <w:b/>
                <w:bCs/>
              </w:rPr>
              <w:t>5 800</w:t>
            </w:r>
          </w:p>
        </w:tc>
        <w:tc>
          <w:tcPr>
            <w:tcW w:w="1418" w:type="dxa"/>
            <w:vMerge/>
            <w:tcBorders>
              <w:left w:val="single" w:sz="4" w:space="0" w:color="000000"/>
              <w:bottom w:val="single" w:sz="6" w:space="0" w:color="000000"/>
              <w:right w:val="single" w:sz="4" w:space="0" w:color="000000"/>
            </w:tcBorders>
          </w:tcPr>
          <w:p w:rsidR="00E56335" w:rsidRPr="0047055F" w:rsidRDefault="00E56335" w:rsidP="00015D4C">
            <w:pPr>
              <w:pStyle w:val="TableText0"/>
              <w:jc w:val="center"/>
              <w:rPr>
                <w:b/>
                <w:bCs/>
              </w:rPr>
            </w:pPr>
          </w:p>
        </w:tc>
        <w:tc>
          <w:tcPr>
            <w:tcW w:w="1418" w:type="dxa"/>
            <w:vMerge/>
            <w:tcBorders>
              <w:left w:val="single" w:sz="4" w:space="0" w:color="000000"/>
              <w:bottom w:val="single" w:sz="6" w:space="0" w:color="000000"/>
              <w:right w:val="single" w:sz="4" w:space="0" w:color="000000"/>
            </w:tcBorders>
          </w:tcPr>
          <w:p w:rsidR="00E56335" w:rsidRPr="00203296" w:rsidRDefault="00E56335" w:rsidP="00015D4C">
            <w:pPr>
              <w:pStyle w:val="TableText0"/>
              <w:jc w:val="center"/>
              <w:rPr>
                <w:b/>
                <w:bCs/>
              </w:rPr>
            </w:pP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6C00B9" w:rsidRDefault="00E56335" w:rsidP="00015D4C">
            <w:pPr>
              <w:pStyle w:val="TableText0"/>
              <w:tabs>
                <w:tab w:val="clear" w:pos="567"/>
                <w:tab w:val="left" w:pos="444"/>
              </w:tabs>
              <w:ind w:left="851" w:hanging="851"/>
              <w:rPr>
                <w:rFonts w:asciiTheme="majorBidi" w:hAnsiTheme="majorBidi" w:cstheme="majorBidi"/>
                <w:lang w:val="fr-CH"/>
              </w:rPr>
            </w:pPr>
            <w:r w:rsidRPr="00E21F0F">
              <w:rPr>
                <w:rFonts w:asciiTheme="majorBidi" w:hAnsiTheme="majorBidi" w:cstheme="majorBidi"/>
                <w:b/>
                <w:bCs/>
                <w:lang w:val="fr-CH"/>
              </w:rPr>
              <w:t xml:space="preserve">2 – Service spatiaux </w:t>
            </w:r>
          </w:p>
        </w:tc>
        <w:tc>
          <w:tcPr>
            <w:tcW w:w="1418" w:type="dxa"/>
            <w:tcBorders>
              <w:top w:val="single" w:sz="6" w:space="0" w:color="000000"/>
              <w:left w:val="single" w:sz="4" w:space="0" w:color="000000"/>
              <w:bottom w:val="single" w:sz="6" w:space="0" w:color="000000"/>
              <w:right w:val="single" w:sz="4" w:space="0" w:color="000000"/>
            </w:tcBorders>
          </w:tcPr>
          <w:p w:rsidR="00E56335" w:rsidRPr="0047055F" w:rsidRDefault="00E56335" w:rsidP="00015D4C">
            <w:pPr>
              <w:pStyle w:val="TableText0"/>
              <w:jc w:val="center"/>
              <w:rPr>
                <w:b/>
                <w:bCs/>
                <w:lang w:val="fr-CH"/>
              </w:rPr>
            </w:pPr>
          </w:p>
        </w:tc>
        <w:tc>
          <w:tcPr>
            <w:tcW w:w="1418" w:type="dxa"/>
            <w:tcBorders>
              <w:top w:val="single" w:sz="6" w:space="0" w:color="000000"/>
              <w:left w:val="single" w:sz="4" w:space="0" w:color="000000"/>
              <w:bottom w:val="single" w:sz="6" w:space="0" w:color="000000"/>
              <w:right w:val="single" w:sz="4" w:space="0" w:color="000000"/>
            </w:tcBorders>
          </w:tcPr>
          <w:p w:rsidR="00E56335" w:rsidRDefault="00E56335" w:rsidP="00015D4C">
            <w:pPr>
              <w:pStyle w:val="TableText0"/>
              <w:jc w:val="center"/>
              <w:rPr>
                <w:b/>
                <w:bCs/>
              </w:rPr>
            </w:pPr>
          </w:p>
        </w:tc>
        <w:tc>
          <w:tcPr>
            <w:tcW w:w="1418" w:type="dxa"/>
            <w:tcBorders>
              <w:top w:val="single" w:sz="6" w:space="0" w:color="000000"/>
              <w:left w:val="single" w:sz="4" w:space="0" w:color="000000"/>
              <w:bottom w:val="single" w:sz="6" w:space="0" w:color="000000"/>
              <w:right w:val="single" w:sz="4" w:space="0" w:color="000000"/>
            </w:tcBorders>
          </w:tcPr>
          <w:p w:rsidR="00E56335" w:rsidRPr="0047055F" w:rsidRDefault="00E56335" w:rsidP="00015D4C">
            <w:pPr>
              <w:pStyle w:val="TableText0"/>
              <w:jc w:val="center"/>
              <w:rPr>
                <w:b/>
                <w:bCs/>
              </w:rPr>
            </w:pPr>
          </w:p>
        </w:tc>
        <w:tc>
          <w:tcPr>
            <w:tcW w:w="1418" w:type="dxa"/>
            <w:tcBorders>
              <w:top w:val="single" w:sz="6" w:space="0" w:color="000000"/>
              <w:left w:val="single" w:sz="4" w:space="0" w:color="000000"/>
              <w:bottom w:val="single" w:sz="6" w:space="0" w:color="000000"/>
              <w:right w:val="single" w:sz="4" w:space="0" w:color="000000"/>
            </w:tcBorders>
          </w:tcPr>
          <w:p w:rsidR="00E56335" w:rsidRPr="00203296" w:rsidRDefault="00E56335" w:rsidP="00015D4C">
            <w:pPr>
              <w:pStyle w:val="TableText0"/>
              <w:jc w:val="center"/>
              <w:rPr>
                <w:b/>
                <w:bCs/>
              </w:rPr>
            </w:pP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6C00B9" w:rsidRDefault="00E56335" w:rsidP="00015D4C">
            <w:pPr>
              <w:pStyle w:val="TableText0"/>
              <w:tabs>
                <w:tab w:val="clear" w:pos="567"/>
                <w:tab w:val="left" w:pos="444"/>
              </w:tabs>
              <w:ind w:left="851" w:hanging="851"/>
              <w:rPr>
                <w:rFonts w:asciiTheme="majorBidi" w:hAnsiTheme="majorBidi" w:cstheme="majorBidi"/>
                <w:lang w:val="fr-CH"/>
              </w:rPr>
            </w:pPr>
            <w:r>
              <w:rPr>
                <w:rFonts w:asciiTheme="majorBidi" w:hAnsiTheme="majorBidi" w:cstheme="majorBidi"/>
                <w:lang w:val="fr-CH"/>
              </w:rPr>
              <w:tab/>
            </w:r>
            <w:r>
              <w:rPr>
                <w:rFonts w:asciiTheme="majorBidi" w:hAnsiTheme="majorBidi" w:cstheme="majorBidi"/>
                <w:lang w:val="fr-CH"/>
              </w:rPr>
              <w:tab/>
            </w:r>
            <w:r w:rsidRPr="00E21F0F">
              <w:rPr>
                <w:rFonts w:asciiTheme="majorBidi" w:hAnsiTheme="majorBidi" w:cstheme="majorBidi"/>
                <w:lang w:val="fr-CH"/>
              </w:rPr>
              <w:t>A1</w:t>
            </w:r>
            <w:r>
              <w:rPr>
                <w:rFonts w:asciiTheme="majorBidi" w:hAnsiTheme="majorBidi" w:cstheme="majorBidi"/>
                <w:lang w:val="fr-CH"/>
              </w:rPr>
              <w:tab/>
            </w:r>
            <w:r w:rsidRPr="00E21F0F">
              <w:rPr>
                <w:rFonts w:asciiTheme="majorBidi" w:hAnsiTheme="majorBidi" w:cstheme="majorBidi"/>
                <w:lang w:val="fr-CH"/>
              </w:rPr>
              <w:t xml:space="preserve">Station terrienne aéronautique, côtière ou terrestre </w:t>
            </w:r>
          </w:p>
        </w:tc>
        <w:tc>
          <w:tcPr>
            <w:tcW w:w="1418" w:type="dxa"/>
            <w:tcBorders>
              <w:top w:val="single" w:sz="6" w:space="0" w:color="000000"/>
              <w:left w:val="single" w:sz="4" w:space="0" w:color="000000"/>
              <w:bottom w:val="single" w:sz="6" w:space="0" w:color="000000"/>
              <w:right w:val="single" w:sz="4" w:space="0" w:color="000000"/>
            </w:tcBorders>
          </w:tcPr>
          <w:p w:rsidR="00E56335" w:rsidRPr="0047055F" w:rsidRDefault="00E56335" w:rsidP="00015D4C">
            <w:pPr>
              <w:pStyle w:val="TableText0"/>
              <w:jc w:val="center"/>
              <w:rPr>
                <w:b/>
                <w:bCs/>
                <w:lang w:val="fr-CH"/>
              </w:rPr>
            </w:pPr>
            <w:r>
              <w:rPr>
                <w:b/>
                <w:bCs/>
                <w:lang w:val="fr-CH"/>
              </w:rPr>
              <w:t>Néant</w:t>
            </w:r>
          </w:p>
        </w:tc>
        <w:tc>
          <w:tcPr>
            <w:tcW w:w="1418" w:type="dxa"/>
            <w:tcBorders>
              <w:top w:val="single" w:sz="6" w:space="0" w:color="000000"/>
              <w:left w:val="single" w:sz="4" w:space="0" w:color="000000"/>
              <w:bottom w:val="single" w:sz="6" w:space="0" w:color="000000"/>
              <w:right w:val="single" w:sz="4" w:space="0" w:color="000000"/>
            </w:tcBorders>
          </w:tcPr>
          <w:p w:rsidR="00E56335" w:rsidRDefault="00E56335" w:rsidP="00015D4C">
            <w:pPr>
              <w:pStyle w:val="TableText0"/>
              <w:jc w:val="center"/>
              <w:rPr>
                <w:b/>
                <w:bCs/>
              </w:rPr>
            </w:pPr>
            <w:r>
              <w:rPr>
                <w:b/>
                <w:bCs/>
              </w:rPr>
              <w:t>29 000</w:t>
            </w:r>
          </w:p>
        </w:tc>
        <w:tc>
          <w:tcPr>
            <w:tcW w:w="1418" w:type="dxa"/>
            <w:tcBorders>
              <w:top w:val="single" w:sz="6" w:space="0" w:color="000000"/>
              <w:left w:val="single" w:sz="4" w:space="0" w:color="000000"/>
              <w:bottom w:val="single" w:sz="6" w:space="0" w:color="000000"/>
              <w:right w:val="single" w:sz="4" w:space="0" w:color="000000"/>
            </w:tcBorders>
          </w:tcPr>
          <w:p w:rsidR="00E56335" w:rsidRPr="0047055F" w:rsidRDefault="00E56335" w:rsidP="00015D4C">
            <w:pPr>
              <w:pStyle w:val="TableText0"/>
              <w:jc w:val="center"/>
              <w:rPr>
                <w:b/>
                <w:bCs/>
              </w:rPr>
            </w:pPr>
          </w:p>
        </w:tc>
        <w:tc>
          <w:tcPr>
            <w:tcW w:w="1418" w:type="dxa"/>
            <w:tcBorders>
              <w:top w:val="single" w:sz="6" w:space="0" w:color="000000"/>
              <w:left w:val="single" w:sz="4" w:space="0" w:color="000000"/>
              <w:bottom w:val="single" w:sz="6" w:space="0" w:color="000000"/>
              <w:right w:val="single" w:sz="4" w:space="0" w:color="000000"/>
            </w:tcBorders>
          </w:tcPr>
          <w:p w:rsidR="00E56335" w:rsidRPr="00203296" w:rsidRDefault="00E56335" w:rsidP="00015D4C">
            <w:pPr>
              <w:pStyle w:val="TableText0"/>
              <w:jc w:val="center"/>
              <w:rPr>
                <w:b/>
                <w:bCs/>
              </w:rPr>
            </w:pP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6C00B9" w:rsidRDefault="00E56335" w:rsidP="00015D4C">
            <w:pPr>
              <w:pStyle w:val="TableText0"/>
              <w:tabs>
                <w:tab w:val="clear" w:pos="567"/>
                <w:tab w:val="left" w:pos="444"/>
              </w:tabs>
              <w:ind w:left="851" w:hanging="851"/>
              <w:rPr>
                <w:rFonts w:asciiTheme="majorBidi" w:hAnsiTheme="majorBidi" w:cstheme="majorBidi"/>
                <w:lang w:val="fr-CH"/>
              </w:rPr>
            </w:pPr>
            <w:r>
              <w:rPr>
                <w:rFonts w:asciiTheme="majorBidi" w:hAnsiTheme="majorBidi" w:cstheme="majorBidi"/>
                <w:lang w:val="fr-CH"/>
              </w:rPr>
              <w:tab/>
            </w:r>
            <w:r>
              <w:rPr>
                <w:rFonts w:asciiTheme="majorBidi" w:hAnsiTheme="majorBidi" w:cstheme="majorBidi"/>
                <w:lang w:val="fr-CH"/>
              </w:rPr>
              <w:tab/>
            </w:r>
            <w:r w:rsidRPr="00E21F0F">
              <w:rPr>
                <w:rFonts w:asciiTheme="majorBidi" w:hAnsiTheme="majorBidi" w:cstheme="majorBidi"/>
                <w:lang w:val="fr-CH"/>
              </w:rPr>
              <w:t>A2</w:t>
            </w:r>
            <w:r>
              <w:rPr>
                <w:rFonts w:asciiTheme="majorBidi" w:hAnsiTheme="majorBidi" w:cstheme="majorBidi"/>
                <w:lang w:val="fr-CH"/>
              </w:rPr>
              <w:tab/>
            </w:r>
            <w:r w:rsidRPr="00E21F0F">
              <w:rPr>
                <w:rFonts w:asciiTheme="majorBidi" w:hAnsiTheme="majorBidi" w:cstheme="majorBidi"/>
                <w:lang w:val="fr-CH"/>
              </w:rPr>
              <w:t xml:space="preserve">Station terrienne mobile </w:t>
            </w:r>
          </w:p>
        </w:tc>
        <w:tc>
          <w:tcPr>
            <w:tcW w:w="1418" w:type="dxa"/>
            <w:tcBorders>
              <w:top w:val="single" w:sz="6" w:space="0" w:color="000000"/>
              <w:left w:val="single" w:sz="4" w:space="0" w:color="000000"/>
              <w:bottom w:val="single" w:sz="6" w:space="0" w:color="000000"/>
              <w:right w:val="single" w:sz="4" w:space="0" w:color="000000"/>
            </w:tcBorders>
          </w:tcPr>
          <w:p w:rsidR="00E56335" w:rsidRPr="0047055F" w:rsidRDefault="00E56335" w:rsidP="00015D4C">
            <w:pPr>
              <w:pStyle w:val="TableText0"/>
              <w:jc w:val="center"/>
              <w:rPr>
                <w:b/>
                <w:bCs/>
                <w:lang w:val="fr-CH"/>
              </w:rPr>
            </w:pPr>
            <w:r>
              <w:rPr>
                <w:b/>
                <w:bCs/>
                <w:lang w:val="fr-CH"/>
              </w:rPr>
              <w:t>Néant</w:t>
            </w:r>
          </w:p>
        </w:tc>
        <w:tc>
          <w:tcPr>
            <w:tcW w:w="1418" w:type="dxa"/>
            <w:tcBorders>
              <w:top w:val="single" w:sz="6" w:space="0" w:color="000000"/>
              <w:left w:val="single" w:sz="4" w:space="0" w:color="000000"/>
              <w:bottom w:val="single" w:sz="6" w:space="0" w:color="000000"/>
              <w:right w:val="single" w:sz="4" w:space="0" w:color="000000"/>
            </w:tcBorders>
          </w:tcPr>
          <w:p w:rsidR="00E56335" w:rsidRDefault="00E56335" w:rsidP="00015D4C">
            <w:pPr>
              <w:pStyle w:val="TableText0"/>
              <w:jc w:val="center"/>
              <w:rPr>
                <w:b/>
                <w:bCs/>
              </w:rPr>
            </w:pPr>
            <w:r>
              <w:rPr>
                <w:b/>
                <w:bCs/>
              </w:rPr>
              <w:t>17 400</w:t>
            </w:r>
          </w:p>
        </w:tc>
        <w:tc>
          <w:tcPr>
            <w:tcW w:w="1418" w:type="dxa"/>
            <w:tcBorders>
              <w:top w:val="single" w:sz="6" w:space="0" w:color="000000"/>
              <w:left w:val="single" w:sz="4" w:space="0" w:color="000000"/>
              <w:bottom w:val="single" w:sz="6" w:space="0" w:color="000000"/>
              <w:right w:val="single" w:sz="4" w:space="0" w:color="000000"/>
            </w:tcBorders>
          </w:tcPr>
          <w:p w:rsidR="00E56335" w:rsidRPr="0047055F" w:rsidRDefault="00E56335" w:rsidP="00015D4C">
            <w:pPr>
              <w:pStyle w:val="TableText0"/>
              <w:jc w:val="center"/>
              <w:rPr>
                <w:b/>
                <w:bCs/>
              </w:rPr>
            </w:pPr>
          </w:p>
        </w:tc>
        <w:tc>
          <w:tcPr>
            <w:tcW w:w="1418" w:type="dxa"/>
            <w:tcBorders>
              <w:top w:val="single" w:sz="6" w:space="0" w:color="000000"/>
              <w:left w:val="single" w:sz="4" w:space="0" w:color="000000"/>
              <w:bottom w:val="single" w:sz="6" w:space="0" w:color="000000"/>
              <w:right w:val="single" w:sz="4" w:space="0" w:color="000000"/>
            </w:tcBorders>
          </w:tcPr>
          <w:p w:rsidR="00E56335" w:rsidRPr="00203296" w:rsidRDefault="00E56335" w:rsidP="00015D4C">
            <w:pPr>
              <w:pStyle w:val="TableText0"/>
              <w:jc w:val="center"/>
              <w:rPr>
                <w:b/>
                <w:bCs/>
              </w:rPr>
            </w:pPr>
          </w:p>
        </w:tc>
      </w:tr>
      <w:tr w:rsidR="00E56335" w:rsidRPr="00203296" w:rsidTr="00015D4C">
        <w:trPr>
          <w:jc w:val="center"/>
        </w:trPr>
        <w:tc>
          <w:tcPr>
            <w:tcW w:w="3969" w:type="dxa"/>
            <w:tcBorders>
              <w:top w:val="single" w:sz="6" w:space="0" w:color="000000"/>
              <w:left w:val="single" w:sz="4" w:space="0" w:color="000000"/>
              <w:bottom w:val="single" w:sz="6" w:space="0" w:color="000000"/>
              <w:right w:val="single" w:sz="4" w:space="0" w:color="000000"/>
            </w:tcBorders>
            <w:vAlign w:val="center"/>
          </w:tcPr>
          <w:p w:rsidR="00E56335" w:rsidRPr="006C00B9" w:rsidRDefault="00E56335" w:rsidP="00015D4C">
            <w:pPr>
              <w:pStyle w:val="TableText0"/>
              <w:tabs>
                <w:tab w:val="clear" w:pos="567"/>
                <w:tab w:val="left" w:pos="444"/>
              </w:tabs>
              <w:ind w:left="851" w:hanging="851"/>
              <w:rPr>
                <w:rFonts w:asciiTheme="majorBidi" w:hAnsiTheme="majorBidi" w:cstheme="majorBidi"/>
                <w:lang w:val="fr-CH"/>
              </w:rPr>
            </w:pPr>
            <w:r>
              <w:rPr>
                <w:rFonts w:asciiTheme="majorBidi" w:hAnsiTheme="majorBidi" w:cstheme="majorBidi"/>
                <w:lang w:val="fr-CH"/>
              </w:rPr>
              <w:tab/>
            </w:r>
            <w:r>
              <w:rPr>
                <w:rFonts w:asciiTheme="majorBidi" w:hAnsiTheme="majorBidi" w:cstheme="majorBidi"/>
                <w:lang w:val="fr-CH"/>
              </w:rPr>
              <w:tab/>
            </w:r>
            <w:r w:rsidRPr="00E21F0F">
              <w:rPr>
                <w:rFonts w:asciiTheme="majorBidi" w:hAnsiTheme="majorBidi" w:cstheme="majorBidi"/>
                <w:lang w:val="fr-CH"/>
              </w:rPr>
              <w:t>A3</w:t>
            </w:r>
            <w:r>
              <w:rPr>
                <w:rFonts w:asciiTheme="majorBidi" w:hAnsiTheme="majorBidi" w:cstheme="majorBidi"/>
                <w:lang w:val="fr-CH"/>
              </w:rPr>
              <w:tab/>
            </w:r>
            <w:r w:rsidRPr="00E21F0F">
              <w:rPr>
                <w:rFonts w:asciiTheme="majorBidi" w:hAnsiTheme="majorBidi" w:cstheme="majorBidi"/>
              </w:rPr>
              <w:t>Station terrienne portable ou portative</w:t>
            </w:r>
          </w:p>
        </w:tc>
        <w:tc>
          <w:tcPr>
            <w:tcW w:w="1418" w:type="dxa"/>
            <w:tcBorders>
              <w:top w:val="single" w:sz="6" w:space="0" w:color="000000"/>
              <w:left w:val="single" w:sz="4" w:space="0" w:color="000000"/>
              <w:bottom w:val="single" w:sz="6" w:space="0" w:color="000000"/>
              <w:right w:val="single" w:sz="4" w:space="0" w:color="000000"/>
            </w:tcBorders>
          </w:tcPr>
          <w:p w:rsidR="00E56335" w:rsidRPr="0047055F" w:rsidRDefault="00E56335" w:rsidP="00015D4C">
            <w:pPr>
              <w:pStyle w:val="TableText0"/>
              <w:jc w:val="center"/>
              <w:rPr>
                <w:b/>
                <w:bCs/>
                <w:lang w:val="fr-CH"/>
              </w:rPr>
            </w:pPr>
            <w:r>
              <w:rPr>
                <w:b/>
                <w:bCs/>
                <w:lang w:val="fr-CH"/>
              </w:rPr>
              <w:t>Néant</w:t>
            </w:r>
          </w:p>
        </w:tc>
        <w:tc>
          <w:tcPr>
            <w:tcW w:w="1418" w:type="dxa"/>
            <w:tcBorders>
              <w:top w:val="single" w:sz="6" w:space="0" w:color="000000"/>
              <w:left w:val="single" w:sz="4" w:space="0" w:color="000000"/>
              <w:bottom w:val="single" w:sz="6" w:space="0" w:color="000000"/>
              <w:right w:val="single" w:sz="4" w:space="0" w:color="000000"/>
            </w:tcBorders>
          </w:tcPr>
          <w:p w:rsidR="00E56335" w:rsidRDefault="00E56335" w:rsidP="00015D4C">
            <w:pPr>
              <w:pStyle w:val="TableText0"/>
              <w:jc w:val="center"/>
              <w:rPr>
                <w:b/>
                <w:bCs/>
              </w:rPr>
            </w:pPr>
            <w:r>
              <w:rPr>
                <w:b/>
                <w:bCs/>
              </w:rPr>
              <w:t>11 600</w:t>
            </w:r>
          </w:p>
        </w:tc>
        <w:tc>
          <w:tcPr>
            <w:tcW w:w="1418" w:type="dxa"/>
            <w:tcBorders>
              <w:top w:val="single" w:sz="6" w:space="0" w:color="000000"/>
              <w:left w:val="single" w:sz="4" w:space="0" w:color="000000"/>
              <w:bottom w:val="single" w:sz="6" w:space="0" w:color="000000"/>
              <w:right w:val="single" w:sz="4" w:space="0" w:color="000000"/>
            </w:tcBorders>
          </w:tcPr>
          <w:p w:rsidR="00E56335" w:rsidRPr="0047055F" w:rsidRDefault="00E56335" w:rsidP="00015D4C">
            <w:pPr>
              <w:pStyle w:val="TableText0"/>
              <w:jc w:val="center"/>
              <w:rPr>
                <w:b/>
                <w:bCs/>
              </w:rPr>
            </w:pPr>
          </w:p>
        </w:tc>
        <w:tc>
          <w:tcPr>
            <w:tcW w:w="1418" w:type="dxa"/>
            <w:tcBorders>
              <w:top w:val="single" w:sz="6" w:space="0" w:color="000000"/>
              <w:left w:val="single" w:sz="4" w:space="0" w:color="000000"/>
              <w:bottom w:val="single" w:sz="6" w:space="0" w:color="000000"/>
              <w:right w:val="single" w:sz="4" w:space="0" w:color="000000"/>
            </w:tcBorders>
          </w:tcPr>
          <w:p w:rsidR="00E56335" w:rsidRPr="00203296" w:rsidRDefault="00E56335" w:rsidP="00015D4C">
            <w:pPr>
              <w:pStyle w:val="TableText0"/>
              <w:jc w:val="center"/>
              <w:rPr>
                <w:b/>
                <w:bCs/>
              </w:rPr>
            </w:pPr>
          </w:p>
        </w:tc>
      </w:tr>
    </w:tbl>
    <w:p w:rsidR="00E56335" w:rsidRDefault="00E56335" w:rsidP="00E56335">
      <w:pPr>
        <w:rPr>
          <w:lang w:val="fr-CH"/>
        </w:rPr>
      </w:pPr>
    </w:p>
    <w:p w:rsidR="00E56335" w:rsidRPr="001E0BE9" w:rsidRDefault="00E56335" w:rsidP="00E56335">
      <w:pPr>
        <w:pStyle w:val="Heading1"/>
        <w:rPr>
          <w:lang w:val="fr-CH"/>
        </w:rPr>
      </w:pPr>
      <w:bookmarkStart w:id="762" w:name="_Toc280260072"/>
      <w:bookmarkStart w:id="763" w:name="_Toc280260924"/>
      <w:bookmarkStart w:id="764" w:name="_Toc280272537"/>
      <w:bookmarkStart w:id="765" w:name="_Toc288643040"/>
      <w:r w:rsidRPr="001E0BE9">
        <w:rPr>
          <w:lang w:val="fr-CH"/>
        </w:rPr>
        <w:t>DROITS ET TAXES DIVERS EQUIPEMENTS SPECIAUX</w:t>
      </w:r>
      <w:bookmarkEnd w:id="762"/>
      <w:bookmarkEnd w:id="763"/>
      <w:bookmarkEnd w:id="764"/>
      <w:bookmarkEnd w:id="765"/>
      <w:r w:rsidRPr="001E0BE9">
        <w:rPr>
          <w:lang w:val="fr-CH"/>
        </w:rPr>
        <w:t xml:space="preserve"> </w:t>
      </w:r>
    </w:p>
    <w:p w:rsidR="00E56335" w:rsidRPr="00E21F0F" w:rsidRDefault="00E56335" w:rsidP="00E56335">
      <w:pPr>
        <w:pStyle w:val="enumlev1"/>
        <w:rPr>
          <w:lang w:val="fr-CH"/>
        </w:rPr>
      </w:pPr>
      <w:r>
        <w:rPr>
          <w:lang w:val="fr-CH"/>
        </w:rPr>
        <w:t>1.</w:t>
      </w:r>
      <w:r>
        <w:rPr>
          <w:lang w:val="fr-CH"/>
        </w:rPr>
        <w:tab/>
      </w:r>
      <w:r w:rsidRPr="00E21F0F">
        <w:rPr>
          <w:lang w:val="fr-CH"/>
        </w:rPr>
        <w:t xml:space="preserve">Emetteurs – Récepteur de faible puissance ou poste « CB » Taxes annuelles forfaitaires </w:t>
      </w:r>
      <w:r w:rsidRPr="00E21F0F">
        <w:rPr>
          <w:b/>
          <w:bCs/>
          <w:lang w:val="fr-CH"/>
        </w:rPr>
        <w:t xml:space="preserve">23 200 F </w:t>
      </w:r>
    </w:p>
    <w:p w:rsidR="00E56335" w:rsidRPr="00E21F0F" w:rsidRDefault="00E56335" w:rsidP="00E56335">
      <w:pPr>
        <w:pStyle w:val="enumlev1"/>
        <w:rPr>
          <w:lang w:val="fr-CH"/>
        </w:rPr>
      </w:pPr>
      <w:r>
        <w:rPr>
          <w:lang w:val="fr-CH"/>
        </w:rPr>
        <w:t>2.</w:t>
      </w:r>
      <w:r>
        <w:rPr>
          <w:lang w:val="fr-CH"/>
        </w:rPr>
        <w:tab/>
      </w:r>
      <w:r w:rsidRPr="00E21F0F">
        <w:rPr>
          <w:lang w:val="fr-CH"/>
        </w:rPr>
        <w:t xml:space="preserve">Installations de radiocommande de modèle réduit </w:t>
      </w:r>
    </w:p>
    <w:p w:rsidR="00E56335" w:rsidRDefault="00E56335" w:rsidP="00E56335">
      <w:pPr>
        <w:rPr>
          <w:lang w:val="fr-CH"/>
        </w:rPr>
      </w:pPr>
      <w:r w:rsidRPr="00E21F0F">
        <w:rPr>
          <w:lang w:val="fr-CH"/>
        </w:rPr>
        <w:t xml:space="preserve">Taxes spéciale ( 5 ans ) </w:t>
      </w:r>
      <w:r w:rsidRPr="00F86594">
        <w:rPr>
          <w:b/>
          <w:bCs/>
          <w:lang w:val="fr-CH"/>
        </w:rPr>
        <w:t>29 000 F</w:t>
      </w:r>
    </w:p>
    <w:p w:rsidR="00E56335" w:rsidRPr="008458E3" w:rsidRDefault="00E56335" w:rsidP="00E56335">
      <w:pPr>
        <w:pStyle w:val="Heading1"/>
        <w:rPr>
          <w:lang w:val="fr-CH"/>
        </w:rPr>
      </w:pPr>
      <w:bookmarkStart w:id="766" w:name="_Toc280260073"/>
      <w:bookmarkStart w:id="767" w:name="_Toc280260925"/>
      <w:bookmarkStart w:id="768" w:name="_Toc280272538"/>
      <w:bookmarkStart w:id="769" w:name="_Toc288643041"/>
      <w:r>
        <w:rPr>
          <w:lang w:val="fr-CH"/>
        </w:rPr>
        <w:t>II – DROIT DE LICENCE/</w:t>
      </w:r>
      <w:r w:rsidRPr="008458E3">
        <w:rPr>
          <w:lang w:val="fr-CH"/>
        </w:rPr>
        <w:t>CERTIFICAT</w:t>
      </w:r>
      <w:bookmarkEnd w:id="766"/>
      <w:bookmarkEnd w:id="767"/>
      <w:bookmarkEnd w:id="768"/>
      <w:bookmarkEnd w:id="769"/>
    </w:p>
    <w:p w:rsidR="00E56335" w:rsidRDefault="00E56335" w:rsidP="00E56335">
      <w:pPr>
        <w:rPr>
          <w:lang w:val="fr-CH"/>
        </w:rPr>
      </w:pPr>
    </w:p>
    <w:tbl>
      <w:tblPr>
        <w:tblW w:w="0" w:type="auto"/>
        <w:jc w:val="center"/>
        <w:tblBorders>
          <w:top w:val="nil"/>
          <w:left w:val="nil"/>
          <w:bottom w:val="nil"/>
          <w:right w:val="nil"/>
        </w:tblBorders>
        <w:tblLayout w:type="fixed"/>
        <w:tblLook w:val="0000"/>
      </w:tblPr>
      <w:tblGrid>
        <w:gridCol w:w="3686"/>
        <w:gridCol w:w="1985"/>
        <w:gridCol w:w="1985"/>
        <w:gridCol w:w="1985"/>
      </w:tblGrid>
      <w:tr w:rsidR="00E56335" w:rsidRPr="00E21F0F" w:rsidTr="00015D4C">
        <w:trPr>
          <w:jc w:val="center"/>
        </w:trPr>
        <w:tc>
          <w:tcPr>
            <w:tcW w:w="3686" w:type="dxa"/>
            <w:tcBorders>
              <w:top w:val="single" w:sz="4" w:space="0" w:color="000000"/>
              <w:left w:val="single" w:sz="4" w:space="0" w:color="000000"/>
              <w:right w:val="single" w:sz="4" w:space="0" w:color="000000"/>
            </w:tcBorders>
          </w:tcPr>
          <w:p w:rsidR="00E56335" w:rsidRPr="00E21F0F" w:rsidRDefault="00E56335" w:rsidP="00015D4C">
            <w:pPr>
              <w:pStyle w:val="TableNotitle"/>
              <w:spacing w:before="120"/>
            </w:pPr>
          </w:p>
        </w:tc>
        <w:tc>
          <w:tcPr>
            <w:tcW w:w="1985" w:type="dxa"/>
            <w:tcBorders>
              <w:top w:val="single" w:sz="4" w:space="0" w:color="000000"/>
              <w:left w:val="single" w:sz="4" w:space="0" w:color="000000"/>
              <w:right w:val="single" w:sz="4" w:space="0" w:color="000000"/>
            </w:tcBorders>
            <w:vAlign w:val="bottom"/>
          </w:tcPr>
          <w:p w:rsidR="00E56335" w:rsidRPr="00E21F0F" w:rsidRDefault="00E56335" w:rsidP="00015D4C">
            <w:pPr>
              <w:pStyle w:val="TableNotitle"/>
              <w:spacing w:before="120"/>
            </w:pPr>
            <w:r w:rsidRPr="00E21F0F">
              <w:rPr>
                <w:bCs/>
              </w:rPr>
              <w:t xml:space="preserve">Etablissement </w:t>
            </w:r>
          </w:p>
        </w:tc>
        <w:tc>
          <w:tcPr>
            <w:tcW w:w="1985" w:type="dxa"/>
            <w:tcBorders>
              <w:top w:val="single" w:sz="4" w:space="0" w:color="000000"/>
              <w:left w:val="single" w:sz="4" w:space="0" w:color="000000"/>
              <w:right w:val="single" w:sz="4" w:space="0" w:color="000000"/>
            </w:tcBorders>
            <w:vAlign w:val="bottom"/>
          </w:tcPr>
          <w:p w:rsidR="00E56335" w:rsidRPr="00E21F0F" w:rsidRDefault="00E56335" w:rsidP="00015D4C">
            <w:pPr>
              <w:pStyle w:val="TableNotitle"/>
              <w:spacing w:before="120"/>
            </w:pPr>
            <w:r w:rsidRPr="00E21F0F">
              <w:rPr>
                <w:bCs/>
              </w:rPr>
              <w:t xml:space="preserve">Renouvellement </w:t>
            </w:r>
          </w:p>
        </w:tc>
        <w:tc>
          <w:tcPr>
            <w:tcW w:w="1985" w:type="dxa"/>
            <w:tcBorders>
              <w:top w:val="single" w:sz="4" w:space="0" w:color="000000"/>
              <w:left w:val="single" w:sz="4" w:space="0" w:color="000000"/>
              <w:right w:val="single" w:sz="4" w:space="0" w:color="000000"/>
            </w:tcBorders>
            <w:vAlign w:val="bottom"/>
          </w:tcPr>
          <w:p w:rsidR="00E56335" w:rsidRPr="00E21F0F" w:rsidRDefault="00E56335" w:rsidP="00015D4C">
            <w:pPr>
              <w:pStyle w:val="TableNotitle"/>
              <w:spacing w:before="120"/>
            </w:pPr>
            <w:r w:rsidRPr="00E21F0F">
              <w:rPr>
                <w:bCs/>
              </w:rPr>
              <w:t xml:space="preserve">DUPLICATA </w:t>
            </w:r>
          </w:p>
        </w:tc>
      </w:tr>
      <w:tr w:rsidR="00E56335" w:rsidRPr="00E21F0F" w:rsidTr="00015D4C">
        <w:trPr>
          <w:jc w:val="center"/>
        </w:trPr>
        <w:tc>
          <w:tcPr>
            <w:tcW w:w="3686" w:type="dxa"/>
            <w:tcBorders>
              <w:left w:val="single" w:sz="4" w:space="0" w:color="000000"/>
              <w:right w:val="single" w:sz="4" w:space="0" w:color="000000"/>
            </w:tcBorders>
          </w:tcPr>
          <w:p w:rsidR="00E56335" w:rsidRPr="00E21F0F" w:rsidRDefault="00E56335" w:rsidP="00015D4C">
            <w:pPr>
              <w:pStyle w:val="Default"/>
              <w:tabs>
                <w:tab w:val="left" w:pos="420"/>
              </w:tabs>
              <w:ind w:left="420" w:hanging="420"/>
              <w:rPr>
                <w:rFonts w:asciiTheme="majorBidi" w:hAnsiTheme="majorBidi" w:cstheme="majorBidi"/>
                <w:lang w:val="fr-CH"/>
              </w:rPr>
            </w:pPr>
            <w:r w:rsidRPr="00E21F0F">
              <w:rPr>
                <w:rFonts w:asciiTheme="majorBidi" w:hAnsiTheme="majorBidi" w:cstheme="majorBidi"/>
                <w:b/>
                <w:bCs/>
                <w:lang w:val="fr-CH"/>
              </w:rPr>
              <w:t>1</w:t>
            </w:r>
            <w:r>
              <w:rPr>
                <w:rFonts w:asciiTheme="majorBidi" w:hAnsiTheme="majorBidi" w:cstheme="majorBidi"/>
                <w:b/>
                <w:bCs/>
                <w:lang w:val="fr-CH"/>
              </w:rPr>
              <w:tab/>
            </w:r>
            <w:r w:rsidRPr="00E21F0F">
              <w:rPr>
                <w:rFonts w:asciiTheme="majorBidi" w:hAnsiTheme="majorBidi" w:cstheme="majorBidi"/>
                <w:lang w:val="fr-CH"/>
              </w:rPr>
              <w:t xml:space="preserve">Station d’amateur d’aéronef ou de navire </w:t>
            </w:r>
          </w:p>
        </w:tc>
        <w:tc>
          <w:tcPr>
            <w:tcW w:w="1985" w:type="dxa"/>
            <w:tcBorders>
              <w:left w:val="single" w:sz="4" w:space="0" w:color="000000"/>
              <w:right w:val="single" w:sz="4" w:space="0" w:color="000000"/>
            </w:tcBorders>
            <w:vAlign w:val="center"/>
          </w:tcPr>
          <w:p w:rsidR="00E56335" w:rsidRPr="00E21F0F" w:rsidRDefault="00E56335" w:rsidP="00015D4C">
            <w:pPr>
              <w:pStyle w:val="Default"/>
              <w:jc w:val="center"/>
              <w:rPr>
                <w:rFonts w:asciiTheme="majorBidi" w:hAnsiTheme="majorBidi" w:cstheme="majorBidi"/>
              </w:rPr>
            </w:pPr>
            <w:r w:rsidRPr="00E21F0F">
              <w:rPr>
                <w:rFonts w:asciiTheme="majorBidi" w:hAnsiTheme="majorBidi" w:cstheme="majorBidi"/>
              </w:rPr>
              <w:t>5 800</w:t>
            </w:r>
          </w:p>
        </w:tc>
        <w:tc>
          <w:tcPr>
            <w:tcW w:w="1985" w:type="dxa"/>
            <w:tcBorders>
              <w:left w:val="single" w:sz="4" w:space="0" w:color="000000"/>
              <w:right w:val="single" w:sz="4" w:space="0" w:color="000000"/>
            </w:tcBorders>
            <w:vAlign w:val="center"/>
          </w:tcPr>
          <w:p w:rsidR="00E56335" w:rsidRPr="00E21F0F" w:rsidRDefault="00E56335" w:rsidP="00015D4C">
            <w:pPr>
              <w:pStyle w:val="Default"/>
              <w:jc w:val="center"/>
              <w:rPr>
                <w:rFonts w:asciiTheme="majorBidi" w:hAnsiTheme="majorBidi" w:cstheme="majorBidi"/>
              </w:rPr>
            </w:pPr>
            <w:r w:rsidRPr="00E21F0F">
              <w:rPr>
                <w:rFonts w:asciiTheme="majorBidi" w:hAnsiTheme="majorBidi" w:cstheme="majorBidi"/>
              </w:rPr>
              <w:t>5 800</w:t>
            </w:r>
          </w:p>
        </w:tc>
        <w:tc>
          <w:tcPr>
            <w:tcW w:w="1985" w:type="dxa"/>
            <w:tcBorders>
              <w:left w:val="single" w:sz="4" w:space="0" w:color="000000"/>
              <w:right w:val="single" w:sz="4" w:space="0" w:color="000000"/>
            </w:tcBorders>
            <w:vAlign w:val="center"/>
          </w:tcPr>
          <w:p w:rsidR="00E56335" w:rsidRPr="00E21F0F" w:rsidRDefault="00E56335" w:rsidP="00015D4C">
            <w:pPr>
              <w:pStyle w:val="Default"/>
              <w:jc w:val="center"/>
              <w:rPr>
                <w:rFonts w:asciiTheme="majorBidi" w:hAnsiTheme="majorBidi" w:cstheme="majorBidi"/>
              </w:rPr>
            </w:pPr>
            <w:r w:rsidRPr="00E21F0F">
              <w:rPr>
                <w:rFonts w:asciiTheme="majorBidi" w:hAnsiTheme="majorBidi" w:cstheme="majorBidi"/>
              </w:rPr>
              <w:t>11 600</w:t>
            </w:r>
          </w:p>
        </w:tc>
      </w:tr>
      <w:tr w:rsidR="00E56335" w:rsidRPr="00E21F0F" w:rsidTr="00015D4C">
        <w:trPr>
          <w:jc w:val="center"/>
        </w:trPr>
        <w:tc>
          <w:tcPr>
            <w:tcW w:w="3686" w:type="dxa"/>
            <w:tcBorders>
              <w:left w:val="single" w:sz="4" w:space="0" w:color="000000"/>
              <w:right w:val="single" w:sz="4" w:space="0" w:color="000000"/>
            </w:tcBorders>
          </w:tcPr>
          <w:p w:rsidR="00E56335" w:rsidRPr="00E21F0F" w:rsidRDefault="00E56335" w:rsidP="00015D4C">
            <w:pPr>
              <w:pStyle w:val="Default"/>
              <w:tabs>
                <w:tab w:val="left" w:pos="420"/>
              </w:tabs>
              <w:ind w:left="420" w:hanging="420"/>
              <w:rPr>
                <w:rFonts w:asciiTheme="majorBidi" w:hAnsiTheme="majorBidi" w:cstheme="majorBidi"/>
                <w:lang w:val="fr-CH"/>
              </w:rPr>
            </w:pPr>
            <w:r w:rsidRPr="00E21F0F">
              <w:rPr>
                <w:rFonts w:asciiTheme="majorBidi" w:hAnsiTheme="majorBidi" w:cstheme="majorBidi"/>
                <w:lang w:val="fr-CH"/>
              </w:rPr>
              <w:t>2</w:t>
            </w:r>
            <w:r>
              <w:rPr>
                <w:rFonts w:asciiTheme="majorBidi" w:hAnsiTheme="majorBidi" w:cstheme="majorBidi"/>
                <w:lang w:val="fr-CH"/>
              </w:rPr>
              <w:tab/>
            </w:r>
            <w:r w:rsidRPr="00E21F0F">
              <w:rPr>
                <w:rFonts w:asciiTheme="majorBidi" w:hAnsiTheme="majorBidi" w:cstheme="majorBidi"/>
                <w:lang w:val="fr-CH"/>
              </w:rPr>
              <w:t xml:space="preserve">Station terrienne d’amateur, d’aéronef ou de navire </w:t>
            </w:r>
          </w:p>
        </w:tc>
        <w:tc>
          <w:tcPr>
            <w:tcW w:w="1985" w:type="dxa"/>
            <w:tcBorders>
              <w:left w:val="single" w:sz="4" w:space="0" w:color="000000"/>
              <w:right w:val="single" w:sz="4" w:space="0" w:color="000000"/>
            </w:tcBorders>
            <w:vAlign w:val="center"/>
          </w:tcPr>
          <w:p w:rsidR="00E56335" w:rsidRPr="00E21F0F" w:rsidRDefault="00E56335" w:rsidP="00015D4C">
            <w:pPr>
              <w:pStyle w:val="Default"/>
              <w:jc w:val="center"/>
              <w:rPr>
                <w:rFonts w:asciiTheme="majorBidi" w:hAnsiTheme="majorBidi" w:cstheme="majorBidi"/>
              </w:rPr>
            </w:pPr>
            <w:r w:rsidRPr="00E21F0F">
              <w:rPr>
                <w:rFonts w:asciiTheme="majorBidi" w:hAnsiTheme="majorBidi" w:cstheme="majorBidi"/>
              </w:rPr>
              <w:t>11 600</w:t>
            </w:r>
          </w:p>
        </w:tc>
        <w:tc>
          <w:tcPr>
            <w:tcW w:w="1985" w:type="dxa"/>
            <w:tcBorders>
              <w:left w:val="single" w:sz="4" w:space="0" w:color="000000"/>
              <w:right w:val="single" w:sz="4" w:space="0" w:color="000000"/>
            </w:tcBorders>
            <w:vAlign w:val="center"/>
          </w:tcPr>
          <w:p w:rsidR="00E56335" w:rsidRPr="00E21F0F" w:rsidRDefault="00E56335" w:rsidP="00015D4C">
            <w:pPr>
              <w:pStyle w:val="Default"/>
              <w:jc w:val="center"/>
              <w:rPr>
                <w:rFonts w:asciiTheme="majorBidi" w:hAnsiTheme="majorBidi" w:cstheme="majorBidi"/>
              </w:rPr>
            </w:pPr>
            <w:r w:rsidRPr="00E21F0F">
              <w:rPr>
                <w:rFonts w:asciiTheme="majorBidi" w:hAnsiTheme="majorBidi" w:cstheme="majorBidi"/>
              </w:rPr>
              <w:t>11 600</w:t>
            </w:r>
          </w:p>
        </w:tc>
        <w:tc>
          <w:tcPr>
            <w:tcW w:w="1985" w:type="dxa"/>
            <w:tcBorders>
              <w:left w:val="single" w:sz="4" w:space="0" w:color="000000"/>
              <w:right w:val="single" w:sz="4" w:space="0" w:color="000000"/>
            </w:tcBorders>
            <w:vAlign w:val="center"/>
          </w:tcPr>
          <w:p w:rsidR="00E56335" w:rsidRPr="00E21F0F" w:rsidRDefault="00E56335" w:rsidP="00015D4C">
            <w:pPr>
              <w:pStyle w:val="Default"/>
              <w:jc w:val="center"/>
              <w:rPr>
                <w:rFonts w:asciiTheme="majorBidi" w:hAnsiTheme="majorBidi" w:cstheme="majorBidi"/>
              </w:rPr>
            </w:pPr>
            <w:r w:rsidRPr="00E21F0F">
              <w:rPr>
                <w:rFonts w:asciiTheme="majorBidi" w:hAnsiTheme="majorBidi" w:cstheme="majorBidi"/>
              </w:rPr>
              <w:t>23 200</w:t>
            </w:r>
          </w:p>
        </w:tc>
      </w:tr>
      <w:tr w:rsidR="00E56335" w:rsidRPr="00E21F0F" w:rsidTr="00015D4C">
        <w:trPr>
          <w:jc w:val="center"/>
        </w:trPr>
        <w:tc>
          <w:tcPr>
            <w:tcW w:w="3686" w:type="dxa"/>
            <w:tcBorders>
              <w:left w:val="single" w:sz="4" w:space="0" w:color="000000"/>
              <w:bottom w:val="single" w:sz="6" w:space="0" w:color="000000"/>
              <w:right w:val="single" w:sz="4" w:space="0" w:color="000000"/>
            </w:tcBorders>
          </w:tcPr>
          <w:p w:rsidR="00E56335" w:rsidRPr="00E21F0F" w:rsidRDefault="00E56335" w:rsidP="00015D4C">
            <w:pPr>
              <w:pStyle w:val="Default"/>
              <w:tabs>
                <w:tab w:val="left" w:pos="420"/>
              </w:tabs>
              <w:spacing w:after="60"/>
              <w:ind w:left="420" w:hanging="420"/>
              <w:rPr>
                <w:rFonts w:asciiTheme="majorBidi" w:hAnsiTheme="majorBidi" w:cstheme="majorBidi"/>
              </w:rPr>
            </w:pPr>
            <w:r>
              <w:rPr>
                <w:rFonts w:asciiTheme="majorBidi" w:hAnsiTheme="majorBidi" w:cstheme="majorBidi"/>
              </w:rPr>
              <w:t>3</w:t>
            </w:r>
            <w:r>
              <w:rPr>
                <w:rFonts w:asciiTheme="majorBidi" w:hAnsiTheme="majorBidi" w:cstheme="majorBidi"/>
              </w:rPr>
              <w:tab/>
            </w:r>
            <w:r w:rsidRPr="00E21F0F">
              <w:rPr>
                <w:rFonts w:asciiTheme="majorBidi" w:hAnsiTheme="majorBidi" w:cstheme="majorBidi"/>
              </w:rPr>
              <w:t xml:space="preserve">Certificat d’opérateur </w:t>
            </w:r>
          </w:p>
        </w:tc>
        <w:tc>
          <w:tcPr>
            <w:tcW w:w="1985" w:type="dxa"/>
            <w:tcBorders>
              <w:left w:val="single" w:sz="4" w:space="0" w:color="000000"/>
              <w:bottom w:val="single" w:sz="6" w:space="0" w:color="000000"/>
              <w:right w:val="single" w:sz="4" w:space="0" w:color="000000"/>
            </w:tcBorders>
          </w:tcPr>
          <w:p w:rsidR="00E56335" w:rsidRPr="00E21F0F" w:rsidRDefault="00E56335" w:rsidP="00015D4C">
            <w:pPr>
              <w:pStyle w:val="Default"/>
              <w:spacing w:after="60"/>
              <w:jc w:val="center"/>
              <w:rPr>
                <w:rFonts w:asciiTheme="majorBidi" w:hAnsiTheme="majorBidi" w:cstheme="majorBidi"/>
              </w:rPr>
            </w:pPr>
            <w:r w:rsidRPr="00E21F0F">
              <w:rPr>
                <w:rFonts w:asciiTheme="majorBidi" w:hAnsiTheme="majorBidi" w:cstheme="majorBidi"/>
              </w:rPr>
              <w:t>5 800</w:t>
            </w:r>
          </w:p>
        </w:tc>
        <w:tc>
          <w:tcPr>
            <w:tcW w:w="1985" w:type="dxa"/>
            <w:tcBorders>
              <w:left w:val="single" w:sz="4" w:space="0" w:color="000000"/>
              <w:bottom w:val="single" w:sz="6" w:space="0" w:color="000000"/>
              <w:right w:val="single" w:sz="4" w:space="0" w:color="000000"/>
            </w:tcBorders>
          </w:tcPr>
          <w:p w:rsidR="00E56335" w:rsidRPr="00E21F0F" w:rsidRDefault="00E56335" w:rsidP="00015D4C">
            <w:pPr>
              <w:pStyle w:val="Default"/>
              <w:spacing w:after="60"/>
              <w:jc w:val="center"/>
              <w:rPr>
                <w:rFonts w:asciiTheme="majorBidi" w:hAnsiTheme="majorBidi" w:cstheme="majorBidi"/>
                <w:color w:val="auto"/>
              </w:rPr>
            </w:pPr>
          </w:p>
        </w:tc>
        <w:tc>
          <w:tcPr>
            <w:tcW w:w="1985" w:type="dxa"/>
            <w:tcBorders>
              <w:left w:val="single" w:sz="4" w:space="0" w:color="000000"/>
              <w:bottom w:val="single" w:sz="6" w:space="0" w:color="000000"/>
              <w:right w:val="single" w:sz="4" w:space="0" w:color="000000"/>
            </w:tcBorders>
          </w:tcPr>
          <w:p w:rsidR="00E56335" w:rsidRPr="00E21F0F" w:rsidRDefault="00E56335" w:rsidP="00015D4C">
            <w:pPr>
              <w:pStyle w:val="Default"/>
              <w:spacing w:after="60"/>
              <w:jc w:val="center"/>
              <w:rPr>
                <w:rFonts w:asciiTheme="majorBidi" w:hAnsiTheme="majorBidi" w:cstheme="majorBidi"/>
              </w:rPr>
            </w:pPr>
            <w:r w:rsidRPr="00E21F0F">
              <w:rPr>
                <w:rFonts w:asciiTheme="majorBidi" w:hAnsiTheme="majorBidi" w:cstheme="majorBidi"/>
              </w:rPr>
              <w:t>11 600</w:t>
            </w:r>
          </w:p>
        </w:tc>
      </w:tr>
    </w:tbl>
    <w:p w:rsidR="00E56335" w:rsidRDefault="00E56335" w:rsidP="00E56335">
      <w:pPr>
        <w:rPr>
          <w:lang w:val="fr-CH"/>
        </w:rPr>
      </w:pPr>
    </w:p>
    <w:tbl>
      <w:tblPr>
        <w:tblW w:w="0" w:type="auto"/>
        <w:jc w:val="center"/>
        <w:tblBorders>
          <w:top w:val="nil"/>
          <w:left w:val="nil"/>
          <w:bottom w:val="nil"/>
          <w:right w:val="nil"/>
        </w:tblBorders>
        <w:tblLayout w:type="fixed"/>
        <w:tblLook w:val="0000"/>
      </w:tblPr>
      <w:tblGrid>
        <w:gridCol w:w="5670"/>
        <w:gridCol w:w="3969"/>
      </w:tblGrid>
      <w:tr w:rsidR="00E56335" w:rsidRPr="00E21F0F" w:rsidTr="00015D4C">
        <w:trPr>
          <w:jc w:val="center"/>
        </w:trPr>
        <w:tc>
          <w:tcPr>
            <w:tcW w:w="5670" w:type="dxa"/>
            <w:tcBorders>
              <w:top w:val="single" w:sz="4" w:space="0" w:color="000000"/>
              <w:left w:val="single" w:sz="4" w:space="0" w:color="000000"/>
              <w:bottom w:val="single" w:sz="6" w:space="0" w:color="000000"/>
              <w:right w:val="single" w:sz="4" w:space="0" w:color="000000"/>
            </w:tcBorders>
          </w:tcPr>
          <w:p w:rsidR="00E56335" w:rsidRDefault="00E56335" w:rsidP="00015D4C">
            <w:pPr>
              <w:pStyle w:val="Default"/>
              <w:tabs>
                <w:tab w:val="left" w:pos="390"/>
              </w:tabs>
              <w:spacing w:before="60" w:after="60"/>
              <w:rPr>
                <w:rFonts w:asciiTheme="majorBidi" w:hAnsiTheme="majorBidi" w:cstheme="majorBidi"/>
                <w:b/>
                <w:bCs/>
                <w:lang w:val="fr-CH"/>
              </w:rPr>
            </w:pPr>
            <w:r w:rsidRPr="00E21F0F">
              <w:rPr>
                <w:rFonts w:asciiTheme="majorBidi" w:hAnsiTheme="majorBidi" w:cstheme="majorBidi"/>
                <w:b/>
                <w:bCs/>
              </w:rPr>
              <w:t>1</w:t>
            </w:r>
            <w:r>
              <w:rPr>
                <w:rFonts w:asciiTheme="majorBidi" w:hAnsiTheme="majorBidi" w:cstheme="majorBidi"/>
                <w:b/>
                <w:bCs/>
              </w:rPr>
              <w:tab/>
              <w:t>Cert</w:t>
            </w:r>
            <w:r w:rsidRPr="00E21F0F">
              <w:rPr>
                <w:rFonts w:asciiTheme="majorBidi" w:hAnsiTheme="majorBidi" w:cstheme="majorBidi"/>
                <w:b/>
                <w:bCs/>
                <w:lang w:val="fr-CH"/>
              </w:rPr>
              <w:t>ificat d’opérateur radiotélégraphique de station de navire</w:t>
            </w:r>
          </w:p>
          <w:p w:rsidR="00E56335" w:rsidRDefault="00E56335" w:rsidP="00015D4C">
            <w:pPr>
              <w:pStyle w:val="Default"/>
              <w:tabs>
                <w:tab w:val="left" w:pos="390"/>
              </w:tabs>
              <w:ind w:left="720" w:hanging="720"/>
              <w:rPr>
                <w:rFonts w:asciiTheme="majorBidi" w:hAnsiTheme="majorBidi" w:cstheme="majorBidi"/>
                <w:lang w:val="fr-CH"/>
              </w:rPr>
            </w:pPr>
            <w:r>
              <w:rPr>
                <w:rFonts w:asciiTheme="majorBidi" w:hAnsiTheme="majorBidi" w:cstheme="majorBidi"/>
                <w:lang w:val="fr-CH"/>
              </w:rPr>
              <w:tab/>
              <w:t>a.</w:t>
            </w:r>
            <w:r>
              <w:rPr>
                <w:rFonts w:asciiTheme="majorBidi" w:hAnsiTheme="majorBidi" w:cstheme="majorBidi"/>
                <w:lang w:val="fr-CH"/>
              </w:rPr>
              <w:tab/>
            </w:r>
            <w:r w:rsidRPr="00E21F0F">
              <w:rPr>
                <w:rFonts w:asciiTheme="majorBidi" w:hAnsiTheme="majorBidi" w:cstheme="majorBidi"/>
                <w:lang w:val="fr-CH"/>
              </w:rPr>
              <w:t>Certificat général d’opérateur des radiocommunications</w:t>
            </w:r>
          </w:p>
          <w:p w:rsidR="00E56335" w:rsidRDefault="00E56335" w:rsidP="00015D4C">
            <w:pPr>
              <w:pStyle w:val="Default"/>
              <w:tabs>
                <w:tab w:val="left" w:pos="390"/>
              </w:tabs>
              <w:ind w:left="720" w:hanging="720"/>
              <w:rPr>
                <w:rFonts w:asciiTheme="majorBidi" w:hAnsiTheme="majorBidi" w:cstheme="majorBidi"/>
                <w:lang w:val="fr-CH"/>
              </w:rPr>
            </w:pPr>
            <w:r>
              <w:rPr>
                <w:rFonts w:asciiTheme="majorBidi" w:hAnsiTheme="majorBidi" w:cstheme="majorBidi"/>
                <w:lang w:val="fr-CH"/>
              </w:rPr>
              <w:tab/>
              <w:t>b.</w:t>
            </w:r>
            <w:r>
              <w:rPr>
                <w:rFonts w:asciiTheme="majorBidi" w:hAnsiTheme="majorBidi" w:cstheme="majorBidi"/>
                <w:lang w:val="fr-CH"/>
              </w:rPr>
              <w:tab/>
            </w:r>
            <w:r w:rsidRPr="00E21F0F">
              <w:rPr>
                <w:rFonts w:asciiTheme="majorBidi" w:hAnsiTheme="majorBidi" w:cstheme="majorBidi"/>
                <w:lang w:val="fr-CH"/>
              </w:rPr>
              <w:t>Certificat d’opérateur radiotélégraphiste de première classe</w:t>
            </w:r>
          </w:p>
          <w:p w:rsidR="00E56335" w:rsidRDefault="00E56335" w:rsidP="00015D4C">
            <w:pPr>
              <w:pStyle w:val="Default"/>
              <w:tabs>
                <w:tab w:val="left" w:pos="390"/>
              </w:tabs>
              <w:ind w:left="720" w:hanging="720"/>
              <w:rPr>
                <w:rFonts w:asciiTheme="majorBidi" w:hAnsiTheme="majorBidi" w:cstheme="majorBidi"/>
                <w:lang w:val="fr-CH"/>
              </w:rPr>
            </w:pPr>
            <w:r>
              <w:rPr>
                <w:rFonts w:asciiTheme="majorBidi" w:hAnsiTheme="majorBidi" w:cstheme="majorBidi"/>
                <w:lang w:val="fr-CH"/>
              </w:rPr>
              <w:tab/>
              <w:t>c.</w:t>
            </w:r>
            <w:r>
              <w:rPr>
                <w:rFonts w:asciiTheme="majorBidi" w:hAnsiTheme="majorBidi" w:cstheme="majorBidi"/>
                <w:lang w:val="fr-CH"/>
              </w:rPr>
              <w:tab/>
            </w:r>
            <w:r w:rsidRPr="00E21F0F">
              <w:rPr>
                <w:rFonts w:asciiTheme="majorBidi" w:hAnsiTheme="majorBidi" w:cstheme="majorBidi"/>
                <w:lang w:val="fr-CH"/>
              </w:rPr>
              <w:t>Certificat d’opérateur radiotélégraphiste de deuxième classe</w:t>
            </w:r>
          </w:p>
          <w:p w:rsidR="00E56335" w:rsidRPr="00E21F0F" w:rsidRDefault="00E56335" w:rsidP="00015D4C">
            <w:pPr>
              <w:pStyle w:val="Default"/>
              <w:tabs>
                <w:tab w:val="left" w:pos="390"/>
              </w:tabs>
              <w:spacing w:after="60"/>
              <w:rPr>
                <w:rFonts w:asciiTheme="majorBidi" w:hAnsiTheme="majorBidi" w:cstheme="majorBidi"/>
                <w:lang w:val="fr-CH"/>
              </w:rPr>
            </w:pPr>
            <w:r>
              <w:rPr>
                <w:rFonts w:asciiTheme="majorBidi" w:hAnsiTheme="majorBidi" w:cstheme="majorBidi"/>
                <w:lang w:val="fr-CH"/>
              </w:rPr>
              <w:tab/>
              <w:t>d.</w:t>
            </w:r>
            <w:r>
              <w:rPr>
                <w:rFonts w:asciiTheme="majorBidi" w:hAnsiTheme="majorBidi" w:cstheme="majorBidi"/>
                <w:lang w:val="fr-CH"/>
              </w:rPr>
              <w:tab/>
            </w:r>
            <w:r w:rsidRPr="00E21F0F">
              <w:rPr>
                <w:rFonts w:asciiTheme="majorBidi" w:hAnsiTheme="majorBidi" w:cstheme="majorBidi"/>
                <w:lang w:val="fr-CH"/>
              </w:rPr>
              <w:t xml:space="preserve">Certificat spécial d’opérateur radiotélégraphiste </w:t>
            </w:r>
          </w:p>
        </w:tc>
        <w:tc>
          <w:tcPr>
            <w:tcW w:w="3969" w:type="dxa"/>
            <w:tcBorders>
              <w:top w:val="single" w:sz="4" w:space="0" w:color="000000"/>
              <w:left w:val="single" w:sz="4" w:space="0" w:color="000000"/>
              <w:bottom w:val="single" w:sz="6" w:space="0" w:color="000000"/>
              <w:right w:val="single" w:sz="4" w:space="0" w:color="000000"/>
            </w:tcBorders>
          </w:tcPr>
          <w:p w:rsidR="00E56335" w:rsidRDefault="00E56335" w:rsidP="00015D4C">
            <w:pPr>
              <w:pStyle w:val="Default"/>
              <w:jc w:val="center"/>
              <w:rPr>
                <w:rFonts w:asciiTheme="majorBidi" w:hAnsiTheme="majorBidi" w:cstheme="majorBidi"/>
              </w:rPr>
            </w:pPr>
            <w:r>
              <w:rPr>
                <w:rFonts w:asciiTheme="majorBidi" w:hAnsiTheme="majorBidi" w:cstheme="majorBidi"/>
              </w:rPr>
              <w:br/>
            </w:r>
          </w:p>
          <w:p w:rsidR="00E56335" w:rsidRDefault="00E56335" w:rsidP="00015D4C">
            <w:pPr>
              <w:pStyle w:val="Default"/>
              <w:jc w:val="center"/>
              <w:rPr>
                <w:rFonts w:asciiTheme="majorBidi" w:hAnsiTheme="majorBidi" w:cstheme="majorBidi"/>
              </w:rPr>
            </w:pPr>
            <w:r w:rsidRPr="00E21F0F">
              <w:rPr>
                <w:rFonts w:asciiTheme="majorBidi" w:hAnsiTheme="majorBidi" w:cstheme="majorBidi"/>
              </w:rPr>
              <w:t>58 000 F</w:t>
            </w:r>
          </w:p>
          <w:p w:rsidR="00E56335" w:rsidRDefault="00E56335" w:rsidP="00015D4C">
            <w:pPr>
              <w:pStyle w:val="Default"/>
              <w:jc w:val="center"/>
              <w:rPr>
                <w:rFonts w:asciiTheme="majorBidi" w:hAnsiTheme="majorBidi" w:cstheme="majorBidi"/>
              </w:rPr>
            </w:pPr>
            <w:r>
              <w:rPr>
                <w:rFonts w:asciiTheme="majorBidi" w:hAnsiTheme="majorBidi" w:cstheme="majorBidi"/>
              </w:rPr>
              <w:br/>
              <w:t>29 000 F</w:t>
            </w:r>
          </w:p>
          <w:p w:rsidR="00E56335" w:rsidRDefault="00E56335" w:rsidP="00015D4C">
            <w:pPr>
              <w:pStyle w:val="Default"/>
              <w:jc w:val="center"/>
              <w:rPr>
                <w:rFonts w:asciiTheme="majorBidi" w:hAnsiTheme="majorBidi" w:cstheme="majorBidi"/>
              </w:rPr>
            </w:pPr>
            <w:r>
              <w:rPr>
                <w:rFonts w:asciiTheme="majorBidi" w:hAnsiTheme="majorBidi" w:cstheme="majorBidi"/>
              </w:rPr>
              <w:br/>
              <w:t>29 000 F</w:t>
            </w:r>
          </w:p>
          <w:p w:rsidR="00E56335" w:rsidRPr="00E21F0F" w:rsidRDefault="00E56335" w:rsidP="00015D4C">
            <w:pPr>
              <w:pStyle w:val="Default"/>
              <w:spacing w:after="60"/>
              <w:jc w:val="center"/>
              <w:rPr>
                <w:rFonts w:asciiTheme="majorBidi" w:hAnsiTheme="majorBidi" w:cstheme="majorBidi"/>
              </w:rPr>
            </w:pPr>
            <w:r>
              <w:rPr>
                <w:rFonts w:asciiTheme="majorBidi" w:hAnsiTheme="majorBidi" w:cstheme="majorBidi"/>
              </w:rPr>
              <w:br/>
            </w:r>
            <w:r w:rsidRPr="00E21F0F">
              <w:rPr>
                <w:rFonts w:asciiTheme="majorBidi" w:hAnsiTheme="majorBidi" w:cstheme="majorBidi"/>
              </w:rPr>
              <w:t>29 000 F</w:t>
            </w:r>
          </w:p>
        </w:tc>
      </w:tr>
      <w:tr w:rsidR="00E56335" w:rsidRPr="00E21F0F" w:rsidTr="00015D4C">
        <w:trPr>
          <w:jc w:val="center"/>
        </w:trPr>
        <w:tc>
          <w:tcPr>
            <w:tcW w:w="5670" w:type="dxa"/>
            <w:tcBorders>
              <w:top w:val="single" w:sz="6" w:space="0" w:color="000000"/>
              <w:left w:val="single" w:sz="4" w:space="0" w:color="000000"/>
              <w:bottom w:val="single" w:sz="6" w:space="0" w:color="000000"/>
              <w:right w:val="single" w:sz="4" w:space="0" w:color="000000"/>
            </w:tcBorders>
          </w:tcPr>
          <w:p w:rsidR="00E56335" w:rsidRDefault="00E56335" w:rsidP="00015D4C">
            <w:pPr>
              <w:pStyle w:val="Default"/>
              <w:tabs>
                <w:tab w:val="left" w:pos="390"/>
              </w:tabs>
              <w:spacing w:before="60" w:after="60"/>
              <w:rPr>
                <w:rFonts w:asciiTheme="majorBidi" w:hAnsiTheme="majorBidi" w:cstheme="majorBidi"/>
                <w:b/>
                <w:bCs/>
                <w:lang w:val="fr-CH"/>
              </w:rPr>
            </w:pPr>
            <w:r>
              <w:rPr>
                <w:rFonts w:asciiTheme="majorBidi" w:hAnsiTheme="majorBidi" w:cstheme="majorBidi"/>
                <w:b/>
                <w:bCs/>
                <w:lang w:val="fr-CH"/>
              </w:rPr>
              <w:lastRenderedPageBreak/>
              <w:t>2</w:t>
            </w:r>
            <w:r>
              <w:rPr>
                <w:rFonts w:asciiTheme="majorBidi" w:hAnsiTheme="majorBidi" w:cstheme="majorBidi"/>
                <w:b/>
                <w:bCs/>
                <w:lang w:val="fr-CH"/>
              </w:rPr>
              <w:tab/>
            </w:r>
            <w:r w:rsidRPr="00E21F0F">
              <w:rPr>
                <w:rFonts w:asciiTheme="majorBidi" w:hAnsiTheme="majorBidi" w:cstheme="majorBidi"/>
                <w:b/>
                <w:bCs/>
                <w:lang w:val="fr-CH"/>
              </w:rPr>
              <w:t>Certificat d’opérateur radiotélégraphiste de station d’aéronef ou de navire</w:t>
            </w:r>
          </w:p>
          <w:p w:rsidR="00E56335" w:rsidRPr="00AC0F92" w:rsidRDefault="00E56335" w:rsidP="00015D4C">
            <w:pPr>
              <w:pStyle w:val="Default"/>
              <w:tabs>
                <w:tab w:val="left" w:pos="390"/>
              </w:tabs>
              <w:ind w:left="720" w:hanging="720"/>
              <w:rPr>
                <w:rFonts w:asciiTheme="majorBidi" w:hAnsiTheme="majorBidi" w:cstheme="majorBidi"/>
                <w:lang w:val="fr-CH"/>
              </w:rPr>
            </w:pPr>
            <w:r w:rsidRPr="00AC0F92">
              <w:rPr>
                <w:rFonts w:asciiTheme="majorBidi" w:hAnsiTheme="majorBidi" w:cstheme="majorBidi"/>
                <w:lang w:val="fr-CH"/>
              </w:rPr>
              <w:tab/>
              <w:t>a.</w:t>
            </w:r>
            <w:r w:rsidRPr="00AC0F92">
              <w:rPr>
                <w:rFonts w:asciiTheme="majorBidi" w:hAnsiTheme="majorBidi" w:cstheme="majorBidi"/>
                <w:lang w:val="fr-CH"/>
              </w:rPr>
              <w:tab/>
              <w:t>Certificat général</w:t>
            </w:r>
          </w:p>
          <w:p w:rsidR="00E56335" w:rsidRPr="00AC0F92" w:rsidRDefault="00E56335" w:rsidP="00015D4C">
            <w:pPr>
              <w:pStyle w:val="Default"/>
              <w:tabs>
                <w:tab w:val="left" w:pos="390"/>
              </w:tabs>
              <w:spacing w:after="60"/>
              <w:ind w:left="720" w:hanging="720"/>
              <w:rPr>
                <w:rFonts w:asciiTheme="majorBidi" w:hAnsiTheme="majorBidi" w:cstheme="majorBidi"/>
                <w:b/>
                <w:bCs/>
                <w:lang w:val="fr-CH"/>
              </w:rPr>
            </w:pPr>
            <w:r w:rsidRPr="00AC0F92">
              <w:rPr>
                <w:rFonts w:asciiTheme="majorBidi" w:hAnsiTheme="majorBidi" w:cstheme="majorBidi"/>
                <w:lang w:val="fr-CH"/>
              </w:rPr>
              <w:tab/>
              <w:t>b.</w:t>
            </w:r>
            <w:r w:rsidRPr="00AC0F92">
              <w:rPr>
                <w:rFonts w:asciiTheme="majorBidi" w:hAnsiTheme="majorBidi" w:cstheme="majorBidi"/>
                <w:lang w:val="fr-CH"/>
              </w:rPr>
              <w:tab/>
              <w:t>Certificat restreint</w:t>
            </w:r>
          </w:p>
        </w:tc>
        <w:tc>
          <w:tcPr>
            <w:tcW w:w="3969" w:type="dxa"/>
            <w:tcBorders>
              <w:top w:val="single" w:sz="6" w:space="0" w:color="000000"/>
              <w:left w:val="single" w:sz="4" w:space="0" w:color="000000"/>
              <w:bottom w:val="single" w:sz="6" w:space="0" w:color="000000"/>
              <w:right w:val="single" w:sz="4" w:space="0" w:color="000000"/>
            </w:tcBorders>
            <w:vAlign w:val="bottom"/>
          </w:tcPr>
          <w:p w:rsidR="00E56335" w:rsidRDefault="00E56335" w:rsidP="00015D4C">
            <w:pPr>
              <w:pStyle w:val="Default"/>
              <w:spacing w:before="60" w:after="60"/>
              <w:jc w:val="center"/>
              <w:rPr>
                <w:rFonts w:asciiTheme="majorBidi" w:hAnsiTheme="majorBidi" w:cstheme="majorBidi"/>
              </w:rPr>
            </w:pPr>
            <w:r>
              <w:rPr>
                <w:rFonts w:asciiTheme="majorBidi" w:hAnsiTheme="majorBidi" w:cstheme="majorBidi"/>
              </w:rPr>
              <w:br/>
            </w:r>
          </w:p>
          <w:p w:rsidR="00E56335" w:rsidRDefault="00E56335" w:rsidP="00015D4C">
            <w:pPr>
              <w:pStyle w:val="Default"/>
              <w:jc w:val="center"/>
              <w:rPr>
                <w:rFonts w:asciiTheme="majorBidi" w:hAnsiTheme="majorBidi" w:cstheme="majorBidi"/>
              </w:rPr>
            </w:pPr>
            <w:r w:rsidRPr="00E21F0F">
              <w:rPr>
                <w:rFonts w:asciiTheme="majorBidi" w:hAnsiTheme="majorBidi" w:cstheme="majorBidi"/>
              </w:rPr>
              <w:t>14 500 F</w:t>
            </w:r>
          </w:p>
          <w:p w:rsidR="00E56335" w:rsidRPr="00E21F0F" w:rsidRDefault="00E56335" w:rsidP="00015D4C">
            <w:pPr>
              <w:pStyle w:val="Default"/>
              <w:spacing w:after="60"/>
              <w:jc w:val="center"/>
              <w:rPr>
                <w:rFonts w:asciiTheme="majorBidi" w:hAnsiTheme="majorBidi" w:cstheme="majorBidi"/>
              </w:rPr>
            </w:pPr>
            <w:r w:rsidRPr="00E21F0F">
              <w:rPr>
                <w:rFonts w:asciiTheme="majorBidi" w:hAnsiTheme="majorBidi" w:cstheme="majorBidi"/>
              </w:rPr>
              <w:t>14 500 F</w:t>
            </w:r>
          </w:p>
        </w:tc>
      </w:tr>
      <w:tr w:rsidR="00E56335" w:rsidRPr="00E21F0F" w:rsidTr="00015D4C">
        <w:trPr>
          <w:jc w:val="center"/>
        </w:trPr>
        <w:tc>
          <w:tcPr>
            <w:tcW w:w="5670" w:type="dxa"/>
            <w:tcBorders>
              <w:top w:val="single" w:sz="6" w:space="0" w:color="000000"/>
              <w:left w:val="single" w:sz="4" w:space="0" w:color="000000"/>
              <w:bottom w:val="single" w:sz="4" w:space="0" w:color="000000"/>
              <w:right w:val="single" w:sz="4" w:space="0" w:color="000000"/>
            </w:tcBorders>
          </w:tcPr>
          <w:p w:rsidR="00E56335" w:rsidRDefault="00E56335" w:rsidP="00015D4C">
            <w:pPr>
              <w:pStyle w:val="Default"/>
              <w:tabs>
                <w:tab w:val="left" w:pos="390"/>
              </w:tabs>
              <w:spacing w:before="60" w:after="60"/>
              <w:rPr>
                <w:rFonts w:asciiTheme="majorBidi" w:hAnsiTheme="majorBidi" w:cstheme="majorBidi"/>
                <w:b/>
                <w:bCs/>
                <w:lang w:val="fr-CH"/>
              </w:rPr>
            </w:pPr>
            <w:r>
              <w:rPr>
                <w:rFonts w:asciiTheme="majorBidi" w:hAnsiTheme="majorBidi" w:cstheme="majorBidi"/>
                <w:b/>
                <w:bCs/>
                <w:lang w:val="fr-CH"/>
              </w:rPr>
              <w:t>3</w:t>
            </w:r>
            <w:r>
              <w:rPr>
                <w:rFonts w:asciiTheme="majorBidi" w:hAnsiTheme="majorBidi" w:cstheme="majorBidi"/>
                <w:b/>
                <w:bCs/>
                <w:lang w:val="fr-CH"/>
              </w:rPr>
              <w:tab/>
            </w:r>
            <w:r w:rsidRPr="00E21F0F">
              <w:rPr>
                <w:rFonts w:asciiTheme="majorBidi" w:hAnsiTheme="majorBidi" w:cstheme="majorBidi"/>
                <w:b/>
                <w:bCs/>
                <w:lang w:val="fr-CH"/>
              </w:rPr>
              <w:t>Certificat d</w:t>
            </w:r>
            <w:r>
              <w:rPr>
                <w:rFonts w:asciiTheme="majorBidi" w:hAnsiTheme="majorBidi" w:cstheme="majorBidi"/>
                <w:b/>
                <w:bCs/>
                <w:lang w:val="fr-CH"/>
              </w:rPr>
              <w:t>’opérateur de station d’amateur</w:t>
            </w:r>
          </w:p>
          <w:p w:rsidR="00E56335" w:rsidRPr="00D936F2" w:rsidRDefault="00E56335" w:rsidP="00015D4C">
            <w:pPr>
              <w:pStyle w:val="Default"/>
              <w:tabs>
                <w:tab w:val="left" w:pos="390"/>
              </w:tabs>
              <w:ind w:left="720" w:hanging="720"/>
              <w:rPr>
                <w:rFonts w:asciiTheme="majorBidi" w:hAnsiTheme="majorBidi" w:cstheme="majorBidi"/>
                <w:lang w:val="fr-CH"/>
              </w:rPr>
            </w:pPr>
            <w:r w:rsidRPr="00D936F2">
              <w:rPr>
                <w:rFonts w:asciiTheme="majorBidi" w:hAnsiTheme="majorBidi" w:cstheme="majorBidi"/>
                <w:lang w:val="fr-CH"/>
              </w:rPr>
              <w:tab/>
              <w:t>a.</w:t>
            </w:r>
            <w:r w:rsidRPr="00D936F2">
              <w:rPr>
                <w:rFonts w:asciiTheme="majorBidi" w:hAnsiTheme="majorBidi" w:cstheme="majorBidi"/>
                <w:lang w:val="fr-CH"/>
              </w:rPr>
              <w:tab/>
              <w:t>Radiotélégraphiste</w:t>
            </w:r>
          </w:p>
          <w:p w:rsidR="00E56335" w:rsidRPr="00AC0F92" w:rsidRDefault="00E56335" w:rsidP="00015D4C">
            <w:pPr>
              <w:pStyle w:val="Default"/>
              <w:tabs>
                <w:tab w:val="left" w:pos="390"/>
              </w:tabs>
              <w:spacing w:after="60"/>
              <w:ind w:left="720" w:hanging="720"/>
              <w:rPr>
                <w:rFonts w:asciiTheme="majorBidi" w:hAnsiTheme="majorBidi" w:cstheme="majorBidi"/>
                <w:b/>
                <w:bCs/>
                <w:lang w:val="fr-CH"/>
              </w:rPr>
            </w:pPr>
            <w:r w:rsidRPr="00D936F2">
              <w:rPr>
                <w:rFonts w:asciiTheme="majorBidi" w:hAnsiTheme="majorBidi" w:cstheme="majorBidi"/>
                <w:lang w:val="fr-CH"/>
              </w:rPr>
              <w:tab/>
              <w:t>b.</w:t>
            </w:r>
            <w:r w:rsidRPr="00D936F2">
              <w:rPr>
                <w:rFonts w:asciiTheme="majorBidi" w:hAnsiTheme="majorBidi" w:cstheme="majorBidi"/>
                <w:lang w:val="fr-CH"/>
              </w:rPr>
              <w:tab/>
              <w:t xml:space="preserve">Radiotélégraphiste </w:t>
            </w:r>
          </w:p>
        </w:tc>
        <w:tc>
          <w:tcPr>
            <w:tcW w:w="3969" w:type="dxa"/>
            <w:tcBorders>
              <w:top w:val="single" w:sz="6" w:space="0" w:color="000000"/>
              <w:left w:val="single" w:sz="4" w:space="0" w:color="000000"/>
              <w:bottom w:val="single" w:sz="4" w:space="0" w:color="000000"/>
              <w:right w:val="single" w:sz="4" w:space="0" w:color="000000"/>
            </w:tcBorders>
          </w:tcPr>
          <w:p w:rsidR="00E56335" w:rsidRDefault="00E56335" w:rsidP="00015D4C">
            <w:pPr>
              <w:pStyle w:val="Default"/>
              <w:spacing w:before="60"/>
              <w:jc w:val="center"/>
              <w:rPr>
                <w:rFonts w:asciiTheme="majorBidi" w:hAnsiTheme="majorBidi" w:cstheme="majorBidi"/>
              </w:rPr>
            </w:pPr>
          </w:p>
          <w:p w:rsidR="00E56335" w:rsidRDefault="00E56335" w:rsidP="00015D4C">
            <w:pPr>
              <w:pStyle w:val="Default"/>
              <w:spacing w:before="60"/>
              <w:jc w:val="center"/>
              <w:rPr>
                <w:rFonts w:asciiTheme="majorBidi" w:hAnsiTheme="majorBidi" w:cstheme="majorBidi"/>
              </w:rPr>
            </w:pPr>
            <w:r w:rsidRPr="00E21F0F">
              <w:rPr>
                <w:rFonts w:asciiTheme="majorBidi" w:hAnsiTheme="majorBidi" w:cstheme="majorBidi"/>
              </w:rPr>
              <w:t>14 500 F</w:t>
            </w:r>
          </w:p>
          <w:p w:rsidR="00E56335" w:rsidRPr="00E21F0F" w:rsidRDefault="00E56335" w:rsidP="00015D4C">
            <w:pPr>
              <w:pStyle w:val="Default"/>
              <w:spacing w:after="60"/>
              <w:jc w:val="center"/>
              <w:rPr>
                <w:rFonts w:asciiTheme="majorBidi" w:hAnsiTheme="majorBidi" w:cstheme="majorBidi"/>
              </w:rPr>
            </w:pPr>
            <w:r w:rsidRPr="00E21F0F">
              <w:rPr>
                <w:rFonts w:asciiTheme="majorBidi" w:hAnsiTheme="majorBidi" w:cstheme="majorBidi"/>
              </w:rPr>
              <w:t>14 500 F</w:t>
            </w:r>
          </w:p>
        </w:tc>
      </w:tr>
    </w:tbl>
    <w:p w:rsidR="00E56335" w:rsidRPr="00E21F0F" w:rsidRDefault="00E56335" w:rsidP="00E56335">
      <w:pPr>
        <w:pStyle w:val="Default"/>
        <w:rPr>
          <w:rFonts w:asciiTheme="majorBidi" w:hAnsiTheme="majorBidi" w:cstheme="majorBidi"/>
          <w:color w:val="auto"/>
          <w:lang w:val="fr-CH"/>
        </w:rPr>
      </w:pPr>
    </w:p>
    <w:p w:rsidR="00E56335" w:rsidRDefault="00E56335" w:rsidP="00E56335">
      <w:pPr>
        <w:pStyle w:val="Heading1"/>
        <w:rPr>
          <w:lang w:val="fr-CH"/>
        </w:rPr>
      </w:pPr>
      <w:bookmarkStart w:id="770" w:name="_Toc280260074"/>
      <w:bookmarkStart w:id="771" w:name="_Toc280260926"/>
      <w:bookmarkStart w:id="772" w:name="_Toc280272539"/>
      <w:bookmarkStart w:id="773" w:name="_Toc288643042"/>
      <w:r w:rsidRPr="007C5653">
        <w:rPr>
          <w:lang w:val="fr-CH"/>
        </w:rPr>
        <w:t>IV</w:t>
      </w:r>
      <w:r>
        <w:rPr>
          <w:lang w:val="fr-CH"/>
        </w:rPr>
        <w:t xml:space="preserve"> – </w:t>
      </w:r>
      <w:r w:rsidRPr="007C5653">
        <w:rPr>
          <w:lang w:val="fr-CH"/>
        </w:rPr>
        <w:t>DR</w:t>
      </w:r>
      <w:r>
        <w:rPr>
          <w:lang w:val="fr-CH"/>
        </w:rPr>
        <w:t>OIT DE DELIVRANCE DES AGREMENTS</w:t>
      </w:r>
      <w:bookmarkEnd w:id="770"/>
      <w:bookmarkEnd w:id="771"/>
      <w:bookmarkEnd w:id="772"/>
      <w:bookmarkEnd w:id="773"/>
    </w:p>
    <w:p w:rsidR="00E56335" w:rsidRPr="007C5653" w:rsidRDefault="00E56335" w:rsidP="00E56335">
      <w:pPr>
        <w:spacing w:before="0"/>
        <w:rPr>
          <w:b/>
          <w:bCs/>
          <w:lang w:val="fr-CH"/>
        </w:rPr>
      </w:pPr>
    </w:p>
    <w:tbl>
      <w:tblPr>
        <w:tblW w:w="0" w:type="auto"/>
        <w:jc w:val="center"/>
        <w:tblBorders>
          <w:top w:val="nil"/>
          <w:left w:val="nil"/>
          <w:bottom w:val="nil"/>
          <w:right w:val="nil"/>
        </w:tblBorders>
        <w:tblLayout w:type="fixed"/>
        <w:tblLook w:val="0000"/>
      </w:tblPr>
      <w:tblGrid>
        <w:gridCol w:w="3969"/>
        <w:gridCol w:w="2835"/>
        <w:gridCol w:w="2835"/>
      </w:tblGrid>
      <w:tr w:rsidR="00E56335" w:rsidRPr="00E21F0F" w:rsidTr="00015D4C">
        <w:trPr>
          <w:jc w:val="center"/>
        </w:trPr>
        <w:tc>
          <w:tcPr>
            <w:tcW w:w="3969" w:type="dxa"/>
            <w:gridSpan w:val="2"/>
            <w:tcBorders>
              <w:top w:val="single" w:sz="4" w:space="0" w:color="000000"/>
              <w:left w:val="single" w:sz="4" w:space="0" w:color="000000"/>
              <w:bottom w:val="single" w:sz="6" w:space="0" w:color="000000"/>
              <w:right w:val="single" w:sz="4" w:space="0" w:color="000000"/>
            </w:tcBorders>
          </w:tcPr>
          <w:p w:rsidR="00E56335" w:rsidRPr="00E21F0F" w:rsidRDefault="00E56335" w:rsidP="00015D4C">
            <w:pPr>
              <w:pStyle w:val="TableNotitle"/>
              <w:spacing w:before="120"/>
              <w:rPr>
                <w:lang w:val="fr-CH"/>
              </w:rPr>
            </w:pPr>
            <w:r w:rsidRPr="00E21F0F">
              <w:rPr>
                <w:lang w:val="fr-CH"/>
              </w:rPr>
              <w:t xml:space="preserve">Taxe de constitution de dossier </w:t>
            </w:r>
          </w:p>
        </w:tc>
        <w:tc>
          <w:tcPr>
            <w:tcW w:w="2835" w:type="dxa"/>
            <w:tcBorders>
              <w:top w:val="single" w:sz="4" w:space="0" w:color="000000"/>
              <w:left w:val="single" w:sz="4" w:space="0" w:color="000000"/>
              <w:bottom w:val="single" w:sz="6" w:space="0" w:color="000000"/>
              <w:right w:val="single" w:sz="4" w:space="0" w:color="000000"/>
            </w:tcBorders>
          </w:tcPr>
          <w:p w:rsidR="00E56335" w:rsidRPr="00E21F0F" w:rsidRDefault="00E56335" w:rsidP="00015D4C">
            <w:pPr>
              <w:pStyle w:val="TableNotitle"/>
              <w:spacing w:before="120"/>
            </w:pPr>
            <w:r w:rsidRPr="00E21F0F">
              <w:t xml:space="preserve">Agrément </w:t>
            </w:r>
          </w:p>
        </w:tc>
      </w:tr>
      <w:tr w:rsidR="00E56335" w:rsidRPr="00E21F0F" w:rsidTr="00015D4C">
        <w:trPr>
          <w:jc w:val="center"/>
        </w:trPr>
        <w:tc>
          <w:tcPr>
            <w:tcW w:w="3969" w:type="dxa"/>
            <w:tcBorders>
              <w:top w:val="single" w:sz="6" w:space="0" w:color="000000"/>
              <w:left w:val="single" w:sz="4" w:space="0" w:color="000000"/>
              <w:bottom w:val="single" w:sz="6" w:space="0" w:color="000000"/>
              <w:right w:val="single" w:sz="4" w:space="0" w:color="000000"/>
            </w:tcBorders>
          </w:tcPr>
          <w:p w:rsidR="00E56335" w:rsidRDefault="00E56335" w:rsidP="00015D4C">
            <w:pPr>
              <w:pStyle w:val="Default"/>
              <w:spacing w:before="60"/>
              <w:rPr>
                <w:rFonts w:asciiTheme="majorBidi" w:hAnsiTheme="majorBidi" w:cstheme="majorBidi"/>
                <w:lang w:val="fr-CH"/>
              </w:rPr>
            </w:pPr>
            <w:r w:rsidRPr="00E21F0F">
              <w:rPr>
                <w:rFonts w:asciiTheme="majorBidi" w:hAnsiTheme="majorBidi" w:cstheme="majorBidi"/>
                <w:lang w:val="fr-CH"/>
              </w:rPr>
              <w:t>1 – Installateur</w:t>
            </w:r>
          </w:p>
          <w:p w:rsidR="00E56335" w:rsidRDefault="00E56335" w:rsidP="00015D4C">
            <w:pPr>
              <w:pStyle w:val="Default"/>
              <w:rPr>
                <w:rFonts w:asciiTheme="majorBidi" w:hAnsiTheme="majorBidi" w:cstheme="majorBidi"/>
                <w:lang w:val="fr-CH"/>
              </w:rPr>
            </w:pPr>
            <w:r w:rsidRPr="00E21F0F">
              <w:rPr>
                <w:rFonts w:asciiTheme="majorBidi" w:hAnsiTheme="majorBidi" w:cstheme="majorBidi"/>
                <w:lang w:val="fr-CH"/>
              </w:rPr>
              <w:t>2 – Vendeur</w:t>
            </w:r>
          </w:p>
          <w:p w:rsidR="00E56335" w:rsidRDefault="00E56335" w:rsidP="00015D4C">
            <w:pPr>
              <w:pStyle w:val="Default"/>
              <w:rPr>
                <w:rFonts w:asciiTheme="majorBidi" w:hAnsiTheme="majorBidi" w:cstheme="majorBidi"/>
                <w:lang w:val="fr-CH"/>
              </w:rPr>
            </w:pPr>
            <w:r>
              <w:rPr>
                <w:rFonts w:asciiTheme="majorBidi" w:hAnsiTheme="majorBidi" w:cstheme="majorBidi"/>
                <w:lang w:val="fr-CH"/>
              </w:rPr>
              <w:t>3 – Equipement terminal simple</w:t>
            </w:r>
          </w:p>
          <w:p w:rsidR="00E56335" w:rsidRPr="00E21F0F" w:rsidRDefault="00E56335" w:rsidP="00015D4C">
            <w:pPr>
              <w:pStyle w:val="Default"/>
              <w:spacing w:after="60"/>
              <w:rPr>
                <w:rFonts w:asciiTheme="majorBidi" w:hAnsiTheme="majorBidi" w:cstheme="majorBidi"/>
                <w:lang w:val="fr-CH"/>
              </w:rPr>
            </w:pPr>
            <w:r w:rsidRPr="00E21F0F">
              <w:rPr>
                <w:rFonts w:asciiTheme="majorBidi" w:hAnsiTheme="majorBidi" w:cstheme="majorBidi"/>
                <w:lang w:val="fr-CH"/>
              </w:rPr>
              <w:t xml:space="preserve">4 – Equipement terminal complexe </w:t>
            </w:r>
          </w:p>
        </w:tc>
        <w:tc>
          <w:tcPr>
            <w:tcW w:w="2835" w:type="dxa"/>
            <w:tcBorders>
              <w:top w:val="single" w:sz="6" w:space="0" w:color="000000"/>
              <w:left w:val="single" w:sz="4" w:space="0" w:color="000000"/>
              <w:bottom w:val="single" w:sz="6" w:space="0" w:color="000000"/>
              <w:right w:val="single" w:sz="4" w:space="0" w:color="000000"/>
            </w:tcBorders>
          </w:tcPr>
          <w:p w:rsidR="00E56335" w:rsidRDefault="00E56335" w:rsidP="00015D4C">
            <w:pPr>
              <w:pStyle w:val="Default"/>
              <w:spacing w:before="60"/>
              <w:jc w:val="center"/>
              <w:rPr>
                <w:rFonts w:asciiTheme="majorBidi" w:hAnsiTheme="majorBidi" w:cstheme="majorBidi"/>
              </w:rPr>
            </w:pPr>
            <w:r w:rsidRPr="00E21F0F">
              <w:rPr>
                <w:rFonts w:asciiTheme="majorBidi" w:hAnsiTheme="majorBidi" w:cstheme="majorBidi"/>
              </w:rPr>
              <w:t>58 000</w:t>
            </w:r>
          </w:p>
          <w:p w:rsidR="00E56335" w:rsidRDefault="00E56335" w:rsidP="00015D4C">
            <w:pPr>
              <w:pStyle w:val="Default"/>
              <w:jc w:val="center"/>
              <w:rPr>
                <w:rFonts w:asciiTheme="majorBidi" w:hAnsiTheme="majorBidi" w:cstheme="majorBidi"/>
              </w:rPr>
            </w:pPr>
            <w:r w:rsidRPr="00E21F0F">
              <w:rPr>
                <w:rFonts w:asciiTheme="majorBidi" w:hAnsiTheme="majorBidi" w:cstheme="majorBidi"/>
              </w:rPr>
              <w:t>58 000</w:t>
            </w:r>
          </w:p>
          <w:p w:rsidR="00E56335" w:rsidRDefault="00E56335" w:rsidP="00015D4C">
            <w:pPr>
              <w:pStyle w:val="Default"/>
              <w:jc w:val="center"/>
              <w:rPr>
                <w:rFonts w:asciiTheme="majorBidi" w:hAnsiTheme="majorBidi" w:cstheme="majorBidi"/>
              </w:rPr>
            </w:pPr>
            <w:r>
              <w:rPr>
                <w:rFonts w:asciiTheme="majorBidi" w:hAnsiTheme="majorBidi" w:cstheme="majorBidi"/>
              </w:rPr>
              <w:t>5 800</w:t>
            </w:r>
          </w:p>
          <w:p w:rsidR="00E56335" w:rsidRPr="00E21F0F" w:rsidRDefault="00E56335" w:rsidP="00015D4C">
            <w:pPr>
              <w:pStyle w:val="Default"/>
              <w:spacing w:after="60"/>
              <w:jc w:val="center"/>
              <w:rPr>
                <w:rFonts w:asciiTheme="majorBidi" w:hAnsiTheme="majorBidi" w:cstheme="majorBidi"/>
              </w:rPr>
            </w:pPr>
            <w:r w:rsidRPr="00E21F0F">
              <w:rPr>
                <w:rFonts w:asciiTheme="majorBidi" w:hAnsiTheme="majorBidi" w:cstheme="majorBidi"/>
              </w:rPr>
              <w:t>11 600</w:t>
            </w:r>
          </w:p>
        </w:tc>
        <w:tc>
          <w:tcPr>
            <w:tcW w:w="2835" w:type="dxa"/>
            <w:tcBorders>
              <w:top w:val="single" w:sz="6" w:space="0" w:color="000000"/>
              <w:left w:val="single" w:sz="4" w:space="0" w:color="000000"/>
              <w:bottom w:val="single" w:sz="4" w:space="0" w:color="000000"/>
              <w:right w:val="single" w:sz="4" w:space="0" w:color="000000"/>
            </w:tcBorders>
          </w:tcPr>
          <w:p w:rsidR="00E56335" w:rsidRDefault="00E56335" w:rsidP="00015D4C">
            <w:pPr>
              <w:pStyle w:val="Default"/>
              <w:spacing w:before="60"/>
              <w:jc w:val="center"/>
              <w:rPr>
                <w:rFonts w:asciiTheme="majorBidi" w:hAnsiTheme="majorBidi" w:cstheme="majorBidi"/>
              </w:rPr>
            </w:pPr>
            <w:r w:rsidRPr="00E21F0F">
              <w:rPr>
                <w:rFonts w:asciiTheme="majorBidi" w:hAnsiTheme="majorBidi" w:cstheme="majorBidi"/>
              </w:rPr>
              <w:t>348 000 F</w:t>
            </w:r>
          </w:p>
          <w:p w:rsidR="00E56335" w:rsidRDefault="00E56335" w:rsidP="00015D4C">
            <w:pPr>
              <w:pStyle w:val="Default"/>
              <w:jc w:val="center"/>
              <w:rPr>
                <w:rFonts w:asciiTheme="majorBidi" w:hAnsiTheme="majorBidi" w:cstheme="majorBidi"/>
              </w:rPr>
            </w:pPr>
            <w:r w:rsidRPr="00E21F0F">
              <w:rPr>
                <w:rFonts w:asciiTheme="majorBidi" w:hAnsiTheme="majorBidi" w:cstheme="majorBidi"/>
              </w:rPr>
              <w:t>145 000 F</w:t>
            </w:r>
          </w:p>
          <w:p w:rsidR="00E56335" w:rsidRDefault="00E56335" w:rsidP="00015D4C">
            <w:pPr>
              <w:pStyle w:val="Default"/>
              <w:jc w:val="center"/>
              <w:rPr>
                <w:rFonts w:asciiTheme="majorBidi" w:hAnsiTheme="majorBidi" w:cstheme="majorBidi"/>
              </w:rPr>
            </w:pPr>
            <w:r>
              <w:rPr>
                <w:rFonts w:asciiTheme="majorBidi" w:hAnsiTheme="majorBidi" w:cstheme="majorBidi"/>
              </w:rPr>
              <w:t>58 500 F</w:t>
            </w:r>
          </w:p>
          <w:p w:rsidR="00E56335" w:rsidRPr="00E21F0F" w:rsidRDefault="00E56335" w:rsidP="00015D4C">
            <w:pPr>
              <w:pStyle w:val="Default"/>
              <w:spacing w:after="60"/>
              <w:jc w:val="center"/>
              <w:rPr>
                <w:rFonts w:asciiTheme="majorBidi" w:hAnsiTheme="majorBidi" w:cstheme="majorBidi"/>
              </w:rPr>
            </w:pPr>
            <w:r w:rsidRPr="00E21F0F">
              <w:rPr>
                <w:rFonts w:asciiTheme="majorBidi" w:hAnsiTheme="majorBidi" w:cstheme="majorBidi"/>
              </w:rPr>
              <w:t>116 000 F</w:t>
            </w:r>
          </w:p>
        </w:tc>
      </w:tr>
      <w:tr w:rsidR="00E56335" w:rsidRPr="00E21F0F" w:rsidTr="00015D4C">
        <w:trPr>
          <w:jc w:val="center"/>
        </w:trPr>
        <w:tc>
          <w:tcPr>
            <w:tcW w:w="3969" w:type="dxa"/>
            <w:tcBorders>
              <w:top w:val="single" w:sz="6" w:space="0" w:color="000000"/>
              <w:left w:val="single" w:sz="4" w:space="0" w:color="000000"/>
              <w:bottom w:val="single" w:sz="4" w:space="0" w:color="000000"/>
              <w:right w:val="single" w:sz="4" w:space="0" w:color="000000"/>
            </w:tcBorders>
          </w:tcPr>
          <w:p w:rsidR="00E56335" w:rsidRDefault="00E56335" w:rsidP="00015D4C">
            <w:pPr>
              <w:pStyle w:val="Default"/>
              <w:spacing w:before="60" w:after="60"/>
              <w:rPr>
                <w:rFonts w:asciiTheme="majorBidi" w:hAnsiTheme="majorBidi" w:cstheme="majorBidi"/>
                <w:b/>
                <w:bCs/>
                <w:lang w:val="fr-CH"/>
              </w:rPr>
            </w:pPr>
            <w:r w:rsidRPr="00E21F0F">
              <w:rPr>
                <w:rFonts w:asciiTheme="majorBidi" w:hAnsiTheme="majorBidi" w:cstheme="majorBidi"/>
                <w:b/>
                <w:bCs/>
                <w:lang w:val="fr-CH"/>
              </w:rPr>
              <w:t>V – TAXES D’INTERVENTIONS</w:t>
            </w:r>
          </w:p>
          <w:p w:rsidR="00E56335" w:rsidRDefault="00E56335" w:rsidP="00015D4C">
            <w:pPr>
              <w:pStyle w:val="Default"/>
              <w:spacing w:before="60"/>
              <w:rPr>
                <w:rFonts w:asciiTheme="majorBidi" w:hAnsiTheme="majorBidi" w:cstheme="majorBidi"/>
                <w:lang w:val="fr-CH"/>
              </w:rPr>
            </w:pPr>
            <w:r>
              <w:rPr>
                <w:rFonts w:asciiTheme="majorBidi" w:hAnsiTheme="majorBidi" w:cstheme="majorBidi"/>
                <w:lang w:val="fr-CH"/>
              </w:rPr>
              <w:t>1 – Cas de brouillages</w:t>
            </w:r>
          </w:p>
          <w:p w:rsidR="00E56335" w:rsidRDefault="00E56335" w:rsidP="00015D4C">
            <w:pPr>
              <w:pStyle w:val="Default"/>
              <w:rPr>
                <w:rFonts w:asciiTheme="majorBidi" w:hAnsiTheme="majorBidi" w:cstheme="majorBidi"/>
                <w:lang w:val="fr-CH"/>
              </w:rPr>
            </w:pPr>
            <w:r w:rsidRPr="00E21F0F">
              <w:rPr>
                <w:rFonts w:asciiTheme="majorBidi" w:hAnsiTheme="majorBidi" w:cstheme="majorBidi"/>
                <w:lang w:val="fr-CH"/>
              </w:rPr>
              <w:t>2 – Cas de n</w:t>
            </w:r>
            <w:r>
              <w:rPr>
                <w:rFonts w:asciiTheme="majorBidi" w:hAnsiTheme="majorBidi" w:cstheme="majorBidi"/>
                <w:lang w:val="fr-CH"/>
              </w:rPr>
              <w:t>on-conformité des installations</w:t>
            </w:r>
          </w:p>
          <w:p w:rsidR="00E56335" w:rsidRPr="00E21F0F" w:rsidRDefault="00E56335" w:rsidP="00015D4C">
            <w:pPr>
              <w:pStyle w:val="Default"/>
              <w:spacing w:after="60"/>
              <w:rPr>
                <w:rFonts w:asciiTheme="majorBidi" w:hAnsiTheme="majorBidi" w:cstheme="majorBidi"/>
                <w:lang w:val="fr-CH"/>
              </w:rPr>
            </w:pPr>
            <w:r w:rsidRPr="00E21F0F">
              <w:rPr>
                <w:rFonts w:asciiTheme="majorBidi" w:hAnsiTheme="majorBidi" w:cstheme="majorBidi"/>
                <w:lang w:val="fr-CH"/>
              </w:rPr>
              <w:t xml:space="preserve">3 </w:t>
            </w:r>
            <w:r>
              <w:rPr>
                <w:rFonts w:asciiTheme="majorBidi" w:hAnsiTheme="majorBidi" w:cstheme="majorBidi"/>
                <w:lang w:val="fr-CH"/>
              </w:rPr>
              <w:t xml:space="preserve">– </w:t>
            </w:r>
            <w:r w:rsidRPr="00E21F0F">
              <w:rPr>
                <w:rFonts w:asciiTheme="majorBidi" w:hAnsiTheme="majorBidi" w:cstheme="majorBidi"/>
                <w:lang w:val="fr-CH"/>
              </w:rPr>
              <w:t>Divers</w:t>
            </w:r>
          </w:p>
        </w:tc>
        <w:tc>
          <w:tcPr>
            <w:tcW w:w="2835" w:type="dxa"/>
            <w:tcBorders>
              <w:top w:val="single" w:sz="6" w:space="0" w:color="000000"/>
              <w:left w:val="single" w:sz="4" w:space="0" w:color="000000"/>
              <w:bottom w:val="single" w:sz="4" w:space="0" w:color="000000"/>
              <w:right w:val="single" w:sz="4" w:space="0" w:color="000000"/>
            </w:tcBorders>
          </w:tcPr>
          <w:p w:rsidR="00E56335" w:rsidRPr="00E21F0F" w:rsidRDefault="00E56335" w:rsidP="00015D4C">
            <w:pPr>
              <w:pStyle w:val="Default"/>
              <w:jc w:val="center"/>
              <w:rPr>
                <w:rFonts w:asciiTheme="majorBidi" w:hAnsiTheme="majorBidi" w:cstheme="majorBidi"/>
                <w:color w:val="auto"/>
                <w:lang w:val="fr-CH"/>
              </w:rPr>
            </w:pPr>
          </w:p>
        </w:tc>
        <w:tc>
          <w:tcPr>
            <w:tcW w:w="2835" w:type="dxa"/>
            <w:tcBorders>
              <w:top w:val="single" w:sz="4" w:space="0" w:color="000000"/>
              <w:left w:val="single" w:sz="4" w:space="0" w:color="000000"/>
              <w:bottom w:val="single" w:sz="4" w:space="0" w:color="000000"/>
              <w:right w:val="single" w:sz="4" w:space="0" w:color="000000"/>
            </w:tcBorders>
          </w:tcPr>
          <w:p w:rsidR="00E56335" w:rsidRDefault="00E56335" w:rsidP="00015D4C">
            <w:pPr>
              <w:pStyle w:val="Default"/>
              <w:spacing w:before="60"/>
              <w:jc w:val="center"/>
              <w:rPr>
                <w:rFonts w:asciiTheme="majorBidi" w:hAnsiTheme="majorBidi" w:cstheme="majorBidi"/>
              </w:rPr>
            </w:pPr>
          </w:p>
          <w:p w:rsidR="00E56335" w:rsidRDefault="00E56335" w:rsidP="00015D4C">
            <w:pPr>
              <w:pStyle w:val="Default"/>
              <w:spacing w:before="60"/>
              <w:jc w:val="center"/>
              <w:rPr>
                <w:rFonts w:asciiTheme="majorBidi" w:hAnsiTheme="majorBidi" w:cstheme="majorBidi"/>
              </w:rPr>
            </w:pPr>
            <w:r w:rsidRPr="00E21F0F">
              <w:rPr>
                <w:rFonts w:asciiTheme="majorBidi" w:hAnsiTheme="majorBidi" w:cstheme="majorBidi"/>
              </w:rPr>
              <w:t>116 000 F</w:t>
            </w:r>
          </w:p>
          <w:p w:rsidR="00E56335" w:rsidRDefault="00E56335" w:rsidP="00015D4C">
            <w:pPr>
              <w:pStyle w:val="Default"/>
              <w:jc w:val="center"/>
              <w:rPr>
                <w:rFonts w:asciiTheme="majorBidi" w:hAnsiTheme="majorBidi" w:cstheme="majorBidi"/>
              </w:rPr>
            </w:pPr>
            <w:r>
              <w:rPr>
                <w:rFonts w:asciiTheme="majorBidi" w:hAnsiTheme="majorBidi" w:cstheme="majorBidi"/>
              </w:rPr>
              <w:t>145 000 F</w:t>
            </w:r>
          </w:p>
          <w:p w:rsidR="00E56335" w:rsidRPr="00E21F0F" w:rsidRDefault="00E56335" w:rsidP="00015D4C">
            <w:pPr>
              <w:pStyle w:val="Default"/>
              <w:jc w:val="center"/>
              <w:rPr>
                <w:rFonts w:asciiTheme="majorBidi" w:hAnsiTheme="majorBidi" w:cstheme="majorBidi"/>
              </w:rPr>
            </w:pPr>
            <w:r>
              <w:rPr>
                <w:rFonts w:asciiTheme="majorBidi" w:hAnsiTheme="majorBidi" w:cstheme="majorBidi"/>
              </w:rPr>
              <w:br/>
            </w:r>
            <w:r w:rsidRPr="00E21F0F">
              <w:rPr>
                <w:rFonts w:asciiTheme="majorBidi" w:hAnsiTheme="majorBidi" w:cstheme="majorBidi"/>
              </w:rPr>
              <w:t>58 000 F</w:t>
            </w:r>
          </w:p>
        </w:tc>
      </w:tr>
      <w:tr w:rsidR="00E56335" w:rsidRPr="00E21F0F" w:rsidTr="00015D4C">
        <w:trPr>
          <w:jc w:val="center"/>
        </w:trPr>
        <w:tc>
          <w:tcPr>
            <w:tcW w:w="3969" w:type="dxa"/>
            <w:tcBorders>
              <w:top w:val="single" w:sz="4" w:space="0" w:color="000000"/>
              <w:left w:val="single" w:sz="4" w:space="0" w:color="000000"/>
              <w:bottom w:val="single" w:sz="4" w:space="0" w:color="000000"/>
              <w:right w:val="single" w:sz="4" w:space="0" w:color="000000"/>
            </w:tcBorders>
            <w:vAlign w:val="bottom"/>
          </w:tcPr>
          <w:p w:rsidR="00E56335" w:rsidRPr="00F60598" w:rsidRDefault="00E56335" w:rsidP="00015D4C">
            <w:pPr>
              <w:pStyle w:val="Default"/>
              <w:spacing w:before="60" w:after="60"/>
              <w:rPr>
                <w:rFonts w:asciiTheme="majorBidi" w:hAnsiTheme="majorBidi" w:cstheme="majorBidi"/>
                <w:b/>
                <w:bCs/>
                <w:lang w:val="fr-CH"/>
              </w:rPr>
            </w:pPr>
            <w:r w:rsidRPr="00F60598">
              <w:rPr>
                <w:rFonts w:asciiTheme="majorBidi" w:hAnsiTheme="majorBidi" w:cstheme="majorBidi"/>
                <w:b/>
                <w:bCs/>
                <w:lang w:val="fr-CH"/>
              </w:rPr>
              <w:t>VI – VIGNETTES</w:t>
            </w:r>
          </w:p>
          <w:p w:rsidR="00E56335" w:rsidRDefault="00E56335" w:rsidP="00015D4C">
            <w:pPr>
              <w:pStyle w:val="Default"/>
              <w:spacing w:before="60"/>
              <w:rPr>
                <w:rFonts w:asciiTheme="majorBidi" w:hAnsiTheme="majorBidi" w:cstheme="majorBidi"/>
                <w:lang w:val="fr-CH"/>
              </w:rPr>
            </w:pPr>
            <w:r>
              <w:rPr>
                <w:rFonts w:asciiTheme="majorBidi" w:hAnsiTheme="majorBidi" w:cstheme="majorBidi"/>
                <w:lang w:val="fr-CH"/>
              </w:rPr>
              <w:t>1 – Poste fixe</w:t>
            </w:r>
          </w:p>
          <w:p w:rsidR="00E56335" w:rsidRDefault="00E56335" w:rsidP="00015D4C">
            <w:pPr>
              <w:pStyle w:val="Default"/>
              <w:rPr>
                <w:rFonts w:asciiTheme="majorBidi" w:hAnsiTheme="majorBidi" w:cstheme="majorBidi"/>
                <w:lang w:val="fr-CH"/>
              </w:rPr>
            </w:pPr>
            <w:r>
              <w:rPr>
                <w:rFonts w:asciiTheme="majorBidi" w:hAnsiTheme="majorBidi" w:cstheme="majorBidi"/>
                <w:lang w:val="fr-CH"/>
              </w:rPr>
              <w:t>2 – Poste mobile</w:t>
            </w:r>
          </w:p>
          <w:p w:rsidR="00E56335" w:rsidRPr="00E21F0F" w:rsidRDefault="00E56335" w:rsidP="00015D4C">
            <w:pPr>
              <w:pStyle w:val="Default"/>
              <w:spacing w:after="60"/>
              <w:rPr>
                <w:rFonts w:asciiTheme="majorBidi" w:hAnsiTheme="majorBidi" w:cstheme="majorBidi"/>
                <w:lang w:val="fr-CH"/>
              </w:rPr>
            </w:pPr>
            <w:r w:rsidRPr="00E21F0F">
              <w:rPr>
                <w:rFonts w:asciiTheme="majorBidi" w:hAnsiTheme="majorBidi" w:cstheme="majorBidi"/>
                <w:lang w:val="fr-CH"/>
              </w:rPr>
              <w:t xml:space="preserve">3 </w:t>
            </w:r>
            <w:r>
              <w:rPr>
                <w:rFonts w:asciiTheme="majorBidi" w:hAnsiTheme="majorBidi" w:cstheme="majorBidi"/>
                <w:lang w:val="fr-CH"/>
              </w:rPr>
              <w:t xml:space="preserve">– </w:t>
            </w:r>
            <w:r w:rsidRPr="00E21F0F">
              <w:rPr>
                <w:rFonts w:asciiTheme="majorBidi" w:hAnsiTheme="majorBidi" w:cstheme="majorBidi"/>
                <w:lang w:val="fr-CH"/>
              </w:rPr>
              <w:t xml:space="preserve">Portatif </w:t>
            </w:r>
          </w:p>
        </w:tc>
        <w:tc>
          <w:tcPr>
            <w:tcW w:w="2835" w:type="dxa"/>
            <w:tcBorders>
              <w:top w:val="single" w:sz="4" w:space="0" w:color="000000"/>
              <w:left w:val="single" w:sz="4" w:space="0" w:color="000000"/>
              <w:bottom w:val="single" w:sz="4" w:space="0" w:color="000000"/>
              <w:right w:val="single" w:sz="4" w:space="0" w:color="000000"/>
            </w:tcBorders>
          </w:tcPr>
          <w:p w:rsidR="00E56335" w:rsidRPr="00E21F0F" w:rsidRDefault="00E56335" w:rsidP="00015D4C">
            <w:pPr>
              <w:pStyle w:val="Default"/>
              <w:jc w:val="center"/>
              <w:rPr>
                <w:rFonts w:asciiTheme="majorBidi" w:hAnsiTheme="majorBidi" w:cstheme="majorBidi"/>
                <w:color w:val="auto"/>
                <w:lang w:val="fr-CH"/>
              </w:rPr>
            </w:pPr>
          </w:p>
        </w:tc>
        <w:tc>
          <w:tcPr>
            <w:tcW w:w="2835" w:type="dxa"/>
            <w:tcBorders>
              <w:top w:val="single" w:sz="4" w:space="0" w:color="000000"/>
              <w:left w:val="single" w:sz="4" w:space="0" w:color="000000"/>
              <w:bottom w:val="single" w:sz="4" w:space="0" w:color="000000"/>
              <w:right w:val="single" w:sz="4" w:space="0" w:color="000000"/>
            </w:tcBorders>
          </w:tcPr>
          <w:p w:rsidR="00E56335" w:rsidRDefault="00E56335" w:rsidP="00015D4C">
            <w:pPr>
              <w:pStyle w:val="Default"/>
              <w:spacing w:before="60" w:after="60"/>
              <w:jc w:val="center"/>
              <w:rPr>
                <w:rFonts w:asciiTheme="majorBidi" w:hAnsiTheme="majorBidi" w:cstheme="majorBidi"/>
              </w:rPr>
            </w:pPr>
          </w:p>
          <w:p w:rsidR="00E56335" w:rsidRDefault="00E56335" w:rsidP="00015D4C">
            <w:pPr>
              <w:pStyle w:val="Default"/>
              <w:spacing w:before="60"/>
              <w:jc w:val="center"/>
              <w:rPr>
                <w:rFonts w:asciiTheme="majorBidi" w:hAnsiTheme="majorBidi" w:cstheme="majorBidi"/>
              </w:rPr>
            </w:pPr>
            <w:r w:rsidRPr="00E21F0F">
              <w:rPr>
                <w:rFonts w:asciiTheme="majorBidi" w:hAnsiTheme="majorBidi" w:cstheme="majorBidi"/>
              </w:rPr>
              <w:t>2 900 F</w:t>
            </w:r>
          </w:p>
          <w:p w:rsidR="00E56335" w:rsidRDefault="00E56335" w:rsidP="00015D4C">
            <w:pPr>
              <w:pStyle w:val="Default"/>
              <w:jc w:val="center"/>
              <w:rPr>
                <w:rFonts w:asciiTheme="majorBidi" w:hAnsiTheme="majorBidi" w:cstheme="majorBidi"/>
              </w:rPr>
            </w:pPr>
            <w:r w:rsidRPr="00E21F0F">
              <w:rPr>
                <w:rFonts w:asciiTheme="majorBidi" w:hAnsiTheme="majorBidi" w:cstheme="majorBidi"/>
              </w:rPr>
              <w:t>1 740 F</w:t>
            </w:r>
          </w:p>
          <w:p w:rsidR="00E56335" w:rsidRPr="00E21F0F" w:rsidRDefault="00E56335" w:rsidP="00015D4C">
            <w:pPr>
              <w:pStyle w:val="Default"/>
              <w:spacing w:after="60"/>
              <w:jc w:val="center"/>
              <w:rPr>
                <w:rFonts w:asciiTheme="majorBidi" w:hAnsiTheme="majorBidi" w:cstheme="majorBidi"/>
                <w:color w:val="auto"/>
              </w:rPr>
            </w:pPr>
            <w:r w:rsidRPr="00E21F0F">
              <w:rPr>
                <w:rFonts w:asciiTheme="majorBidi" w:hAnsiTheme="majorBidi" w:cstheme="majorBidi"/>
              </w:rPr>
              <w:t>1 160 F</w:t>
            </w:r>
          </w:p>
        </w:tc>
      </w:tr>
    </w:tbl>
    <w:p w:rsidR="00E56335" w:rsidRDefault="00E56335" w:rsidP="00E56335">
      <w:pPr>
        <w:rPr>
          <w:lang w:val="fr-CH"/>
        </w:rPr>
      </w:pPr>
    </w:p>
    <w:p w:rsidR="00E56335" w:rsidRPr="00E21F0F" w:rsidRDefault="00E56335" w:rsidP="00E56335">
      <w:pPr>
        <w:pStyle w:val="ChapNo"/>
        <w:rPr>
          <w:rFonts w:asciiTheme="majorBidi" w:hAnsiTheme="majorBidi" w:cstheme="majorBidi"/>
          <w:color w:val="000000"/>
          <w:lang w:val="fr-CH"/>
        </w:rPr>
      </w:pPr>
      <w:bookmarkStart w:id="774" w:name="_Toc280261088"/>
      <w:r w:rsidRPr="00E21F0F">
        <w:rPr>
          <w:lang w:val="fr-CH"/>
        </w:rPr>
        <w:t>CHAPITRE V</w:t>
      </w:r>
      <w:r>
        <w:rPr>
          <w:lang w:val="fr-CH"/>
        </w:rPr>
        <w:br/>
      </w:r>
      <w:r>
        <w:rPr>
          <w:lang w:val="fr-CH"/>
        </w:rPr>
        <w:br/>
      </w:r>
      <w:r w:rsidRPr="00E21F0F">
        <w:rPr>
          <w:rFonts w:asciiTheme="majorBidi" w:hAnsiTheme="majorBidi" w:cstheme="majorBidi"/>
          <w:bCs/>
          <w:color w:val="000000"/>
          <w:lang w:val="fr-CH"/>
        </w:rPr>
        <w:t>DISPOSITION PENALES</w:t>
      </w:r>
      <w:bookmarkEnd w:id="774"/>
    </w:p>
    <w:p w:rsidR="00E56335" w:rsidRPr="00E21F0F" w:rsidRDefault="00E56335" w:rsidP="00E56335">
      <w:pPr>
        <w:rPr>
          <w:rFonts w:asciiTheme="majorBidi" w:hAnsiTheme="majorBidi" w:cstheme="majorBidi"/>
          <w:color w:val="000000"/>
          <w:lang w:val="fr-CH"/>
        </w:rPr>
      </w:pPr>
      <w:r w:rsidRPr="0044719B">
        <w:rPr>
          <w:rFonts w:asciiTheme="majorBidi" w:hAnsiTheme="majorBidi" w:cstheme="majorBidi"/>
          <w:b/>
          <w:bCs/>
          <w:color w:val="000000"/>
          <w:u w:val="single"/>
          <w:lang w:val="fr-CH"/>
        </w:rPr>
        <w:t>Art. 15</w:t>
      </w:r>
      <w:r w:rsidRPr="0044719B">
        <w:rPr>
          <w:rFonts w:asciiTheme="majorBidi" w:hAnsiTheme="majorBidi" w:cstheme="majorBidi"/>
          <w:color w:val="000000"/>
          <w:lang w:val="fr-CH"/>
        </w:rPr>
        <w:t xml:space="preserve">: </w:t>
      </w:r>
      <w:r w:rsidRPr="00E21F0F">
        <w:rPr>
          <w:rFonts w:asciiTheme="majorBidi" w:hAnsiTheme="majorBidi" w:cstheme="majorBidi"/>
          <w:color w:val="000000"/>
          <w:lang w:val="fr-CH"/>
        </w:rPr>
        <w:t xml:space="preserve">Les </w:t>
      </w:r>
      <w:r w:rsidRPr="0044719B">
        <w:rPr>
          <w:lang w:val="fr-CH"/>
        </w:rPr>
        <w:t>infractions</w:t>
      </w:r>
      <w:r w:rsidRPr="00E21F0F">
        <w:rPr>
          <w:rFonts w:asciiTheme="majorBidi" w:hAnsiTheme="majorBidi" w:cstheme="majorBidi"/>
          <w:color w:val="000000"/>
          <w:lang w:val="fr-CH"/>
        </w:rPr>
        <w:t xml:space="preserve"> aux dispositions de la présente ordonnance sont sanctionnées par les articles 14 et 35de la loi </w:t>
      </w:r>
    </w:p>
    <w:p w:rsidR="00E56335" w:rsidRPr="00E21F0F" w:rsidRDefault="00E56335" w:rsidP="00E56335">
      <w:pPr>
        <w:rPr>
          <w:rFonts w:asciiTheme="majorBidi" w:hAnsiTheme="majorBidi" w:cstheme="majorBidi"/>
          <w:color w:val="000000"/>
          <w:lang w:val="fr-CH"/>
        </w:rPr>
      </w:pPr>
      <w:r w:rsidRPr="00E21F0F">
        <w:rPr>
          <w:rFonts w:asciiTheme="majorBidi" w:hAnsiTheme="majorBidi" w:cstheme="majorBidi"/>
          <w:color w:val="000000"/>
          <w:lang w:val="fr-CH"/>
        </w:rPr>
        <w:t>N°95-526 du 7 juillet 1995, porta</w:t>
      </w:r>
      <w:r>
        <w:rPr>
          <w:rFonts w:asciiTheme="majorBidi" w:hAnsiTheme="majorBidi" w:cstheme="majorBidi"/>
          <w:color w:val="000000"/>
          <w:lang w:val="fr-CH"/>
        </w:rPr>
        <w:t>nt code des télécommunications.</w:t>
      </w:r>
    </w:p>
    <w:p w:rsidR="00E56335" w:rsidRPr="00E21F0F" w:rsidRDefault="00E56335" w:rsidP="00E56335">
      <w:pPr>
        <w:rPr>
          <w:rFonts w:asciiTheme="majorBidi" w:hAnsiTheme="majorBidi" w:cstheme="majorBidi"/>
          <w:color w:val="000000"/>
          <w:lang w:val="fr-CH"/>
        </w:rPr>
      </w:pPr>
      <w:r w:rsidRPr="0044719B">
        <w:rPr>
          <w:rFonts w:asciiTheme="majorBidi" w:hAnsiTheme="majorBidi" w:cstheme="majorBidi"/>
          <w:b/>
          <w:bCs/>
          <w:color w:val="000000"/>
          <w:u w:val="single"/>
          <w:lang w:val="fr-CH"/>
        </w:rPr>
        <w:t>Art.</w:t>
      </w:r>
      <w:r>
        <w:rPr>
          <w:rFonts w:asciiTheme="majorBidi" w:hAnsiTheme="majorBidi" w:cstheme="majorBidi"/>
          <w:b/>
          <w:bCs/>
          <w:color w:val="000000"/>
          <w:u w:val="single"/>
          <w:lang w:val="fr-CH"/>
        </w:rPr>
        <w:t xml:space="preserve"> </w:t>
      </w:r>
      <w:r w:rsidRPr="0044719B">
        <w:rPr>
          <w:rFonts w:asciiTheme="majorBidi" w:hAnsiTheme="majorBidi" w:cstheme="majorBidi"/>
          <w:b/>
          <w:bCs/>
          <w:color w:val="000000"/>
          <w:u w:val="single"/>
          <w:lang w:val="fr-CH"/>
        </w:rPr>
        <w:t>16</w:t>
      </w:r>
      <w:r w:rsidRPr="0044719B">
        <w:rPr>
          <w:rFonts w:asciiTheme="majorBidi" w:hAnsiTheme="majorBidi" w:cstheme="majorBidi"/>
          <w:color w:val="000000"/>
          <w:lang w:val="fr-CH"/>
        </w:rPr>
        <w:t xml:space="preserve">: </w:t>
      </w:r>
      <w:r w:rsidRPr="00E21F0F">
        <w:rPr>
          <w:rFonts w:asciiTheme="majorBidi" w:hAnsiTheme="majorBidi" w:cstheme="majorBidi"/>
          <w:color w:val="000000"/>
          <w:lang w:val="fr-CH"/>
        </w:rPr>
        <w:t xml:space="preserve">en outre, le non-paiement des taxes, redevances et contributions entraîne la suspension des autorisation et la </w:t>
      </w:r>
    </w:p>
    <w:p w:rsidR="00E56335" w:rsidRPr="00E21F0F" w:rsidRDefault="00E56335" w:rsidP="00E56335">
      <w:pPr>
        <w:rPr>
          <w:rFonts w:asciiTheme="majorBidi" w:hAnsiTheme="majorBidi" w:cstheme="majorBidi"/>
          <w:color w:val="000000"/>
          <w:lang w:val="fr-CH"/>
        </w:rPr>
      </w:pPr>
      <w:r w:rsidRPr="00E21F0F">
        <w:rPr>
          <w:rFonts w:asciiTheme="majorBidi" w:hAnsiTheme="majorBidi" w:cstheme="majorBidi"/>
          <w:color w:val="000000"/>
          <w:lang w:val="fr-CH"/>
        </w:rPr>
        <w:t xml:space="preserve">Mise sous scellés du matériel radioélectrique. </w:t>
      </w:r>
    </w:p>
    <w:p w:rsidR="00E56335" w:rsidRPr="00E21F0F" w:rsidRDefault="00E56335" w:rsidP="00E56335">
      <w:pPr>
        <w:pStyle w:val="ChapNo"/>
        <w:rPr>
          <w:rFonts w:asciiTheme="majorBidi" w:hAnsiTheme="majorBidi" w:cstheme="majorBidi"/>
          <w:lang w:val="fr-CH"/>
        </w:rPr>
      </w:pPr>
      <w:bookmarkStart w:id="775" w:name="_Toc280261089"/>
      <w:r>
        <w:rPr>
          <w:lang w:val="fr-CH"/>
        </w:rPr>
        <w:t>CHAPITRE VI</w:t>
      </w:r>
      <w:r>
        <w:rPr>
          <w:lang w:val="fr-CH"/>
        </w:rPr>
        <w:br/>
      </w:r>
      <w:r>
        <w:rPr>
          <w:lang w:val="fr-CH"/>
        </w:rPr>
        <w:br/>
      </w:r>
      <w:r w:rsidRPr="00E21F0F">
        <w:rPr>
          <w:rFonts w:asciiTheme="majorBidi" w:hAnsiTheme="majorBidi" w:cstheme="majorBidi"/>
          <w:bCs/>
          <w:lang w:val="fr-CH"/>
        </w:rPr>
        <w:t>DISPOSITION FINALES</w:t>
      </w:r>
      <w:bookmarkEnd w:id="775"/>
      <w:r w:rsidRPr="00E21F0F">
        <w:rPr>
          <w:rFonts w:asciiTheme="majorBidi" w:hAnsiTheme="majorBidi" w:cstheme="majorBidi"/>
          <w:bCs/>
          <w:lang w:val="fr-CH"/>
        </w:rPr>
        <w:t xml:space="preserve"> </w:t>
      </w:r>
    </w:p>
    <w:p w:rsidR="00E56335" w:rsidRPr="00E21F0F" w:rsidRDefault="00E56335" w:rsidP="00E56335">
      <w:pPr>
        <w:rPr>
          <w:rFonts w:asciiTheme="majorBidi" w:hAnsiTheme="majorBidi" w:cstheme="majorBidi"/>
          <w:lang w:val="fr-CH"/>
        </w:rPr>
      </w:pPr>
      <w:r w:rsidRPr="000B259F">
        <w:rPr>
          <w:rFonts w:asciiTheme="majorBidi" w:hAnsiTheme="majorBidi" w:cstheme="majorBidi"/>
          <w:b/>
          <w:bCs/>
          <w:u w:val="single"/>
          <w:lang w:val="fr-CH"/>
        </w:rPr>
        <w:t>Art.</w:t>
      </w:r>
      <w:r>
        <w:rPr>
          <w:rFonts w:asciiTheme="majorBidi" w:hAnsiTheme="majorBidi" w:cstheme="majorBidi"/>
          <w:b/>
          <w:bCs/>
          <w:u w:val="single"/>
          <w:lang w:val="fr-CH"/>
        </w:rPr>
        <w:t xml:space="preserve"> </w:t>
      </w:r>
      <w:r w:rsidRPr="000B259F">
        <w:rPr>
          <w:rFonts w:asciiTheme="majorBidi" w:hAnsiTheme="majorBidi" w:cstheme="majorBidi"/>
          <w:b/>
          <w:bCs/>
          <w:u w:val="single"/>
          <w:lang w:val="fr-CH"/>
        </w:rPr>
        <w:t>17</w:t>
      </w:r>
      <w:r w:rsidRPr="000B259F">
        <w:rPr>
          <w:rFonts w:asciiTheme="majorBidi" w:hAnsiTheme="majorBidi" w:cstheme="majorBidi"/>
          <w:lang w:val="fr-CH"/>
        </w:rPr>
        <w:t>:</w:t>
      </w:r>
      <w:r w:rsidRPr="00E21F0F">
        <w:rPr>
          <w:rFonts w:asciiTheme="majorBidi" w:hAnsiTheme="majorBidi" w:cstheme="majorBidi"/>
          <w:lang w:val="fr-CH"/>
        </w:rPr>
        <w:t xml:space="preserve"> </w:t>
      </w:r>
      <w:r w:rsidRPr="000B259F">
        <w:rPr>
          <w:rFonts w:asciiTheme="majorBidi" w:hAnsiTheme="majorBidi" w:cstheme="majorBidi"/>
          <w:color w:val="000000"/>
          <w:lang w:val="fr-CH"/>
        </w:rPr>
        <w:t>sont</w:t>
      </w:r>
      <w:r w:rsidRPr="00E21F0F">
        <w:rPr>
          <w:rFonts w:asciiTheme="majorBidi" w:hAnsiTheme="majorBidi" w:cstheme="majorBidi"/>
          <w:lang w:val="fr-CH"/>
        </w:rPr>
        <w:t xml:space="preserve"> abrogées toutes les dispositions antérieures contraires a celles de la présente ordonnance </w:t>
      </w:r>
    </w:p>
    <w:p w:rsidR="00E56335" w:rsidRPr="00E21F0F" w:rsidRDefault="00E56335" w:rsidP="00E56335">
      <w:pPr>
        <w:rPr>
          <w:rFonts w:asciiTheme="majorBidi" w:hAnsiTheme="majorBidi" w:cstheme="majorBidi"/>
          <w:lang w:val="fr-CH"/>
        </w:rPr>
      </w:pPr>
      <w:r w:rsidRPr="000B259F">
        <w:rPr>
          <w:rFonts w:asciiTheme="majorBidi" w:hAnsiTheme="majorBidi" w:cstheme="majorBidi"/>
          <w:b/>
          <w:bCs/>
          <w:u w:val="single"/>
          <w:lang w:val="fr-CH"/>
        </w:rPr>
        <w:lastRenderedPageBreak/>
        <w:t>Art.18</w:t>
      </w:r>
      <w:r w:rsidRPr="00E21F0F">
        <w:rPr>
          <w:rFonts w:asciiTheme="majorBidi" w:hAnsiTheme="majorBidi" w:cstheme="majorBidi"/>
          <w:lang w:val="fr-CH"/>
        </w:rPr>
        <w:t>:</w:t>
      </w:r>
      <w:r>
        <w:rPr>
          <w:rFonts w:asciiTheme="majorBidi" w:hAnsiTheme="majorBidi" w:cstheme="majorBidi"/>
          <w:lang w:val="fr-CH"/>
        </w:rPr>
        <w:t xml:space="preserve"> </w:t>
      </w:r>
      <w:r w:rsidRPr="00E21F0F">
        <w:rPr>
          <w:rFonts w:asciiTheme="majorBidi" w:hAnsiTheme="majorBidi" w:cstheme="majorBidi"/>
          <w:lang w:val="fr-CH"/>
        </w:rPr>
        <w:t xml:space="preserve">le ministre de l’Economie et des Finances et le Ministre des infrastructures Economiques </w:t>
      </w:r>
      <w:r w:rsidRPr="000B259F">
        <w:rPr>
          <w:rFonts w:asciiTheme="majorBidi" w:hAnsiTheme="majorBidi" w:cstheme="majorBidi"/>
          <w:color w:val="000000"/>
          <w:lang w:val="fr-CH"/>
        </w:rPr>
        <w:t>sont</w:t>
      </w:r>
      <w:r w:rsidRPr="00E21F0F">
        <w:rPr>
          <w:rFonts w:asciiTheme="majorBidi" w:hAnsiTheme="majorBidi" w:cstheme="majorBidi"/>
          <w:lang w:val="fr-CH"/>
        </w:rPr>
        <w:t xml:space="preserve"> chargés, en ce qui le concerne, de l’application de la présente ordonnance qui sera exécutée comme loi de l’Etat, publiée selon la procédure d’urgence et au journal Officiel de la République de Côte d’Ivoire. </w:t>
      </w:r>
    </w:p>
    <w:p w:rsidR="00E56335" w:rsidRDefault="00E56335" w:rsidP="00E56335">
      <w:pPr>
        <w:rPr>
          <w:lang w:val="fr-CH"/>
        </w:rPr>
      </w:pPr>
    </w:p>
    <w:p w:rsidR="00E56335" w:rsidRDefault="00E56335" w:rsidP="00E56335">
      <w:pPr>
        <w:rPr>
          <w:lang w:val="fr-CH"/>
        </w:rPr>
      </w:pPr>
    </w:p>
    <w:p w:rsidR="00E56335" w:rsidRPr="00E21F0F" w:rsidRDefault="00E56335" w:rsidP="00E56335">
      <w:pPr>
        <w:pStyle w:val="Default"/>
        <w:spacing w:line="303" w:lineRule="atLeast"/>
        <w:ind w:left="5367"/>
        <w:jc w:val="both"/>
        <w:rPr>
          <w:rFonts w:asciiTheme="majorBidi" w:hAnsiTheme="majorBidi" w:cstheme="majorBidi"/>
          <w:lang w:val="fr-CH"/>
        </w:rPr>
      </w:pPr>
      <w:r w:rsidRPr="00E21F0F">
        <w:rPr>
          <w:rFonts w:asciiTheme="majorBidi" w:hAnsiTheme="majorBidi" w:cstheme="majorBidi"/>
          <w:color w:val="auto"/>
          <w:lang w:val="fr-CH"/>
        </w:rPr>
        <w:t xml:space="preserve">Fait à Abidjan, le 19 mars 1997 </w:t>
      </w:r>
    </w:p>
    <w:p w:rsidR="00E56335" w:rsidRPr="00E21F0F" w:rsidRDefault="00E56335" w:rsidP="00E56335">
      <w:pPr>
        <w:pStyle w:val="Default"/>
        <w:rPr>
          <w:rFonts w:asciiTheme="majorBidi" w:hAnsiTheme="majorBidi" w:cstheme="majorBidi"/>
          <w:color w:val="auto"/>
          <w:lang w:val="fr-CH"/>
        </w:rPr>
      </w:pPr>
    </w:p>
    <w:p w:rsidR="00E56335" w:rsidRPr="00E21F0F" w:rsidRDefault="00E56335" w:rsidP="00E56335">
      <w:pPr>
        <w:rPr>
          <w:rFonts w:asciiTheme="majorBidi" w:hAnsiTheme="majorBidi" w:cstheme="majorBidi"/>
          <w:sz w:val="24"/>
          <w:szCs w:val="24"/>
        </w:rPr>
      </w:pPr>
    </w:p>
    <w:p w:rsidR="00E56335" w:rsidRPr="00E21F0F" w:rsidRDefault="00E56335" w:rsidP="00E56335">
      <w:pPr>
        <w:rPr>
          <w:rFonts w:asciiTheme="majorBidi" w:hAnsiTheme="majorBidi" w:cstheme="majorBidi"/>
          <w:sz w:val="24"/>
          <w:szCs w:val="24"/>
        </w:rPr>
      </w:pPr>
    </w:p>
    <w:p w:rsidR="00E56335" w:rsidRPr="00E21F0F" w:rsidRDefault="00E56335" w:rsidP="00E56335">
      <w:pPr>
        <w:pStyle w:val="AnnexNotitle"/>
        <w:rPr>
          <w:rFonts w:asciiTheme="majorBidi" w:hAnsiTheme="majorBidi" w:cstheme="majorBidi"/>
          <w:sz w:val="24"/>
          <w:szCs w:val="24"/>
        </w:rPr>
      </w:pPr>
    </w:p>
    <w:p w:rsidR="00853B80" w:rsidRPr="00853B80" w:rsidRDefault="00853B80" w:rsidP="00E56335">
      <w:pPr>
        <w:pStyle w:val="AppendixNotitle"/>
        <w:rPr>
          <w:lang w:val="en-US" w:eastAsia="zh-CN"/>
        </w:rPr>
      </w:pPr>
    </w:p>
    <w:sectPr w:rsidR="00853B80" w:rsidRPr="00853B80" w:rsidSect="00842F5F">
      <w:headerReference w:type="even" r:id="rId26"/>
      <w:headerReference w:type="default" r:id="rId27"/>
      <w:headerReference w:type="first" r:id="rId28"/>
      <w:type w:val="oddPage"/>
      <w:pgSz w:w="11907" w:h="16834" w:code="9"/>
      <w:pgMar w:top="1418" w:right="1134" w:bottom="1418" w:left="1134" w:header="720" w:footer="720"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4F7" w:rsidRDefault="003944F7">
      <w:r>
        <w:separator/>
      </w:r>
    </w:p>
  </w:endnote>
  <w:endnote w:type="continuationSeparator" w:id="0">
    <w:p w:rsidR="003944F7" w:rsidRDefault="003944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SimSun">
    <w:altName w:val="宋体"/>
    <w:panose1 w:val="02010600030101010101"/>
    <w:charset w:val="86"/>
    <w:family w:val="auto"/>
    <w:pitch w:val="variable"/>
    <w:sig w:usb0="00000003" w:usb1="080E0000" w:usb2="00000010"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Aldine401 BT">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StarSymbol">
    <w:altName w:val="MS Mincho"/>
    <w:charset w:val="80"/>
    <w:family w:val="auto"/>
    <w:pitch w:val="default"/>
    <w:sig w:usb0="00000000" w:usb1="00000000" w:usb2="00000000" w:usb3="00000000" w:csb0="00000000" w:csb1="00000000"/>
  </w:font>
  <w:font w:name="Futura Lt BT">
    <w:panose1 w:val="020B0402020204020303"/>
    <w:charset w:val="00"/>
    <w:family w:val="swiss"/>
    <w:pitch w:val="variable"/>
    <w:sig w:usb0="00000087" w:usb1="00000000" w:usb2="00000000" w:usb3="00000000" w:csb0="0000001B" w:csb1="00000000"/>
  </w:font>
  <w:font w:name="Zurich Ex BT">
    <w:panose1 w:val="020B0505020202020204"/>
    <w:charset w:val="00"/>
    <w:family w:val="swiss"/>
    <w:pitch w:val="variable"/>
    <w:sig w:usb0="00000087" w:usb1="00000000" w:usb2="00000000" w:usb3="00000000" w:csb0="0000001B" w:csb1="00000000"/>
  </w:font>
  <w:font w:name="Univers Extended">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FrugalSans Th">
    <w:panose1 w:val="020B0800000000020000"/>
    <w:charset w:val="00"/>
    <w:family w:val="swiss"/>
    <w:pitch w:val="variable"/>
    <w:sig w:usb0="00000087" w:usb1="00000000" w:usb2="00000000" w:usb3="00000000" w:csb0="0000001B" w:csb1="00000000"/>
  </w:font>
  <w:font w:name="Univers BoldExt">
    <w:panose1 w:val="02000807060000020003"/>
    <w:charset w:val="00"/>
    <w:family w:val="auto"/>
    <w:pitch w:val="variable"/>
    <w:sig w:usb0="80000027"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8E" w:rsidRDefault="0099588E" w:rsidP="001B1C1A">
    <w:pPr>
      <w:pStyle w:val="Footer"/>
      <w:ind w:right="567"/>
      <w:jc w:val="right"/>
    </w:pPr>
    <w:r>
      <w:rPr>
        <w:lang w:val="en-US" w:eastAsia="zh-CN"/>
      </w:rPr>
      <w:drawing>
        <wp:inline distT="0" distB="0" distL="0" distR="0">
          <wp:extent cx="810842" cy="913915"/>
          <wp:effectExtent l="19050" t="0" r="8308" b="0"/>
          <wp:docPr id="12"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8E" w:rsidRDefault="0099588E">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8E" w:rsidRDefault="0099588E" w:rsidP="0011557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8E" w:rsidRPr="007A14EE" w:rsidRDefault="0099588E" w:rsidP="00853B80">
    <w:pPr>
      <w:pStyle w:val="Footer"/>
      <w:tabs>
        <w:tab w:val="center" w:pos="6237"/>
        <w:tab w:val="right" w:pos="8505"/>
      </w:tabs>
      <w:rPr>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8E" w:rsidRPr="00D8522B" w:rsidRDefault="0099588E" w:rsidP="00D852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4F7" w:rsidRDefault="003944F7" w:rsidP="00511488">
      <w:r>
        <w:t>____________________</w:t>
      </w:r>
    </w:p>
  </w:footnote>
  <w:footnote w:type="continuationSeparator" w:id="0">
    <w:p w:rsidR="003944F7" w:rsidRDefault="003944F7">
      <w:r>
        <w:continuationSeparator/>
      </w:r>
    </w:p>
  </w:footnote>
  <w:footnote w:id="1">
    <w:p w:rsidR="0099588E" w:rsidRDefault="0099588E" w:rsidP="00E56335">
      <w:pPr>
        <w:pStyle w:val="FootnoteText"/>
      </w:pPr>
      <w:r>
        <w:rPr>
          <w:rStyle w:val="FootnoteReference"/>
        </w:rPr>
        <w:t>1</w:t>
      </w:r>
      <w:r>
        <w:tab/>
      </w:r>
      <w:r w:rsidRPr="001C4644">
        <w:rPr>
          <w:lang w:val="fr-FR"/>
        </w:rPr>
        <w:t xml:space="preserve">Le terme de « taxe » (ou « impôt ») employé dans ce document est à comprendre dans le sens en usage dans la lange </w:t>
      </w:r>
      <w:r w:rsidRPr="001C4644">
        <w:rPr>
          <w:i/>
          <w:lang w:val="fr-FR"/>
        </w:rPr>
        <w:t>juridique</w:t>
      </w:r>
      <w:r w:rsidRPr="001C4644">
        <w:rPr>
          <w:lang w:val="fr-FR"/>
        </w:rPr>
        <w:t xml:space="preserve"> française. Voir également Chapitre 2.1 ci-dessous. Le Rapport UIT-R SM.2012-1 sur les aspects économiques de la gestion du spectre emploie le terme « taxes d’utilisation du spectre » (Chapitre 2.2.1.2).</w:t>
      </w:r>
    </w:p>
  </w:footnote>
  <w:footnote w:id="2">
    <w:p w:rsidR="0099588E" w:rsidRDefault="0099588E" w:rsidP="00E56335">
      <w:pPr>
        <w:pStyle w:val="FootnoteText"/>
      </w:pPr>
      <w:r>
        <w:rPr>
          <w:rStyle w:val="FootnoteReference"/>
        </w:rPr>
        <w:t>2</w:t>
      </w:r>
      <w:r>
        <w:tab/>
      </w:r>
      <w:r w:rsidRPr="001C4644">
        <w:rPr>
          <w:lang w:val="fr-FR"/>
        </w:rPr>
        <w:t xml:space="preserve">Le terme de « redevance » employé dans ce document est à comprendre dans le sens en usage dans la lange </w:t>
      </w:r>
      <w:r w:rsidRPr="001C4644">
        <w:rPr>
          <w:i/>
          <w:lang w:val="fr-FR"/>
        </w:rPr>
        <w:t>juridique</w:t>
      </w:r>
      <w:r w:rsidRPr="001C4644">
        <w:rPr>
          <w:lang w:val="fr-FR"/>
        </w:rPr>
        <w:t xml:space="preserve"> française. Voir également Chapitre 2.2 ci-dessous. Le terme employé dans le Rapport UIT-R SM.2012-1 sur les aspects économiques de la gestion du spectre est « taxes calculées en fonction des coûts de gestion du spectre » (Chapitre 2.3.4.1).</w:t>
      </w:r>
    </w:p>
  </w:footnote>
  <w:footnote w:id="3">
    <w:p w:rsidR="0099588E" w:rsidRDefault="0099588E" w:rsidP="00E56335">
      <w:pPr>
        <w:pStyle w:val="FootnoteText"/>
      </w:pPr>
      <w:r>
        <w:rPr>
          <w:rStyle w:val="FootnoteReference"/>
        </w:rPr>
        <w:t>3</w:t>
      </w:r>
      <w:r>
        <w:tab/>
      </w:r>
      <w:r w:rsidRPr="001C4644">
        <w:rPr>
          <w:lang w:val="fr-FR"/>
        </w:rPr>
        <w:t>L’administré est défini comme toute personne physique ou morale (société) qui est dans un rapport de dépendance vis-à-vis de l’administration.</w:t>
      </w:r>
    </w:p>
  </w:footnote>
  <w:footnote w:id="4">
    <w:p w:rsidR="0099588E" w:rsidRDefault="0099588E" w:rsidP="00E56335">
      <w:pPr>
        <w:pStyle w:val="FootnoteText"/>
      </w:pPr>
      <w:r>
        <w:rPr>
          <w:rStyle w:val="FootnoteReference"/>
        </w:rPr>
        <w:t>4</w:t>
      </w:r>
      <w:r>
        <w:tab/>
      </w:r>
      <w:r w:rsidRPr="001C4644">
        <w:rPr>
          <w:lang w:val="fr-FR"/>
        </w:rPr>
        <w:t xml:space="preserve">Principe appelé dans le jargon juridique </w:t>
      </w:r>
      <w:r w:rsidRPr="001C4644">
        <w:rPr>
          <w:i/>
          <w:lang w:val="fr-FR"/>
        </w:rPr>
        <w:t>principe de la couverture des coûts</w:t>
      </w:r>
      <w:r w:rsidRPr="001C4644">
        <w:rPr>
          <w:lang w:val="fr-FR"/>
        </w:rPr>
        <w:t>. Celui-ci arrête que le produit total des redevances ne doit pas dépasser la charge financière de la branche de l’administration concernée. Dans le cas où l’usager ne supporte qu’une partie des coûts, le reste est pris en charge par les budgets publics financés par les impôts ou d’autres revenus de l’État. Même si une participation est demandée pour le service obtenu, la part que supporte en fin de compte l’usager ne couvre pas nécessairement l’ensemble des coûts engendrés.</w:t>
      </w:r>
    </w:p>
  </w:footnote>
  <w:footnote w:id="5">
    <w:p w:rsidR="0099588E" w:rsidRDefault="0099588E" w:rsidP="00E56335">
      <w:pPr>
        <w:pStyle w:val="FootnoteText"/>
      </w:pPr>
      <w:r>
        <w:rPr>
          <w:rStyle w:val="FootnoteReference"/>
        </w:rPr>
        <w:t>5</w:t>
      </w:r>
      <w:r>
        <w:tab/>
      </w:r>
      <w:r w:rsidRPr="001C4644">
        <w:rPr>
          <w:lang w:val="fr-FR"/>
        </w:rPr>
        <w:t xml:space="preserve">Appelé dans le jargon juridique le </w:t>
      </w:r>
      <w:r w:rsidRPr="001C4644">
        <w:rPr>
          <w:i/>
          <w:lang w:val="fr-FR"/>
        </w:rPr>
        <w:t>principe de l’équivalence</w:t>
      </w:r>
      <w:r w:rsidRPr="001C4644">
        <w:rPr>
          <w:lang w:val="fr-FR"/>
        </w:rPr>
        <w:t>. Celui-ci dispose que le montant d’une redevance ne doit pas être en disproportion manifeste avec la valeur objective de la prestation. Cette valeur peut se déterminer par référence à l’utilité qu’en retire l’administré.</w:t>
      </w:r>
    </w:p>
  </w:footnote>
  <w:footnote w:id="6">
    <w:p w:rsidR="0099588E" w:rsidRDefault="0099588E" w:rsidP="00E56335">
      <w:pPr>
        <w:pStyle w:val="FootnoteText"/>
      </w:pPr>
      <w:r>
        <w:rPr>
          <w:rStyle w:val="FootnoteReference"/>
        </w:rPr>
        <w:t>6</w:t>
      </w:r>
      <w:r>
        <w:tab/>
      </w:r>
      <w:r w:rsidRPr="00BD6343">
        <w:rPr>
          <w:lang w:val="fr-FR"/>
        </w:rPr>
        <w:t>V</w:t>
      </w:r>
      <w:r w:rsidRPr="00BD6343">
        <w:rPr>
          <w:snapToGrid w:val="0"/>
          <w:lang w:val="fr-FR" w:eastAsia="de-DE"/>
        </w:rPr>
        <w:t>oir</w:t>
      </w:r>
      <w:r w:rsidRPr="00BD6343">
        <w:rPr>
          <w:lang w:val="fr-FR"/>
        </w:rPr>
        <w:t xml:space="preserve"> </w:t>
      </w:r>
      <w:hyperlink r:id="rId1" w:history="1">
        <w:r w:rsidRPr="00190938">
          <w:rPr>
            <w:rStyle w:val="Hyperlink"/>
            <w:lang w:val="fr-FR"/>
          </w:rPr>
          <w:t>http://www.admin.ch/ch/f/rs/7/784.106.fr.pdf</w:t>
        </w:r>
      </w:hyperlink>
    </w:p>
  </w:footnote>
  <w:footnote w:id="7">
    <w:p w:rsidR="0099588E" w:rsidRDefault="0099588E" w:rsidP="00E56335">
      <w:pPr>
        <w:pStyle w:val="FootnoteText"/>
      </w:pPr>
      <w:r>
        <w:rPr>
          <w:rStyle w:val="FootnoteReference"/>
        </w:rPr>
        <w:t>7</w:t>
      </w:r>
      <w:r>
        <w:tab/>
      </w:r>
      <w:r w:rsidRPr="00BD6343">
        <w:rPr>
          <w:lang w:val="fr-FR"/>
        </w:rPr>
        <w:t xml:space="preserve">Voir </w:t>
      </w:r>
      <w:hyperlink r:id="rId2" w:history="1">
        <w:r w:rsidRPr="00190938">
          <w:rPr>
            <w:rStyle w:val="Hyperlink"/>
            <w:lang w:val="fr-FR"/>
          </w:rPr>
          <w:t>http://www.admin.ch/ch/f/rs/7/784.106.12.fr.pdf</w:t>
        </w:r>
      </w:hyperlink>
    </w:p>
  </w:footnote>
  <w:footnote w:id="8">
    <w:p w:rsidR="0099588E" w:rsidRDefault="0099588E" w:rsidP="00E56335">
      <w:pPr>
        <w:pStyle w:val="FootnoteText"/>
      </w:pPr>
      <w:r>
        <w:rPr>
          <w:rStyle w:val="FootnoteReference"/>
        </w:rPr>
        <w:t>8</w:t>
      </w:r>
      <w:r>
        <w:tab/>
      </w:r>
      <w:r w:rsidRPr="001C4644">
        <w:rPr>
          <w:lang w:val="fr-FR"/>
        </w:rPr>
        <w:t xml:space="preserve">Voir </w:t>
      </w:r>
      <w:hyperlink r:id="rId3" w:history="1">
        <w:r w:rsidRPr="00190938">
          <w:rPr>
            <w:rStyle w:val="Hyperlink"/>
            <w:lang w:val="fr-FR"/>
          </w:rPr>
          <w:t>http://www.admin.ch/ch/f/rs/7/784.10.fr.pdf</w:t>
        </w:r>
      </w:hyperlink>
    </w:p>
  </w:footnote>
  <w:footnote w:id="9">
    <w:p w:rsidR="0099588E" w:rsidRDefault="0099588E" w:rsidP="00E56335">
      <w:pPr>
        <w:pStyle w:val="FootnoteText"/>
      </w:pPr>
      <w:r>
        <w:rPr>
          <w:rStyle w:val="FootnoteReference"/>
        </w:rPr>
        <w:t>9</w:t>
      </w:r>
      <w:r>
        <w:tab/>
      </w:r>
      <w:r w:rsidRPr="001C4644">
        <w:rPr>
          <w:lang w:val="fr-FR"/>
        </w:rPr>
        <w:t>En Suisse le gouvernement porte le nom de Conseil fédéral. Sur la base de ce pouvoir réglementaire, il a édicté l’OREDT mentionnée ci-dessus.</w:t>
      </w:r>
    </w:p>
  </w:footnote>
  <w:footnote w:id="10">
    <w:p w:rsidR="0099588E" w:rsidRDefault="0099588E" w:rsidP="00E56335">
      <w:pPr>
        <w:pStyle w:val="FootnoteText"/>
      </w:pPr>
      <w:r>
        <w:rPr>
          <w:rStyle w:val="FootnoteReference"/>
        </w:rPr>
        <w:t>10</w:t>
      </w:r>
      <w:r>
        <w:tab/>
      </w:r>
      <w:r w:rsidRPr="001C4644">
        <w:rPr>
          <w:lang w:val="fr-FR"/>
        </w:rPr>
        <w:t>Voir également le Chapitre 2.2.1.3 du Rapport UIT-R SM.2012-1 sur les aspects économiques de la gestion du spectre.</w:t>
      </w:r>
    </w:p>
  </w:footnote>
  <w:footnote w:id="11">
    <w:p w:rsidR="0099588E" w:rsidRDefault="0099588E" w:rsidP="00E56335">
      <w:pPr>
        <w:pStyle w:val="FootnoteText"/>
      </w:pPr>
      <w:r>
        <w:rPr>
          <w:rStyle w:val="FootnoteReference"/>
        </w:rPr>
        <w:t>11</w:t>
      </w:r>
      <w:r>
        <w:tab/>
      </w:r>
      <w:r w:rsidRPr="00190938">
        <w:rPr>
          <w:rStyle w:val="FooterChar"/>
          <w:lang w:val="fr-FR"/>
        </w:rPr>
        <w:t>V</w:t>
      </w:r>
      <w:r w:rsidRPr="001C4644">
        <w:rPr>
          <w:lang w:val="fr-FR"/>
        </w:rPr>
        <w:t>oir</w:t>
      </w:r>
      <w:r w:rsidRPr="00190938">
        <w:rPr>
          <w:rStyle w:val="FooterChar"/>
          <w:lang w:val="fr-FR"/>
        </w:rPr>
        <w:t xml:space="preserve"> </w:t>
      </w:r>
      <w:hyperlink r:id="rId4" w:history="1">
        <w:r w:rsidRPr="00FD744E">
          <w:rPr>
            <w:rStyle w:val="Hyperlink"/>
            <w:lang w:val="fr-FR"/>
          </w:rPr>
          <w:t>http://www.admin.ch/ch/f/rs/3/313.32.fr.pd</w:t>
        </w:r>
        <w:r w:rsidRPr="00BD6343">
          <w:rPr>
            <w:rStyle w:val="Hyperlink"/>
            <w:lang w:val="fr-FR"/>
          </w:rPr>
          <w:t>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8E" w:rsidRDefault="00BA52D0" w:rsidP="00747593">
    <w:pPr>
      <w:pStyle w:val="Header"/>
      <w:tabs>
        <w:tab w:val="left" w:pos="1122"/>
      </w:tabs>
      <w:rPr>
        <w:lang w:val="fr-CH"/>
      </w:rPr>
    </w:pPr>
    <w:r>
      <w:rPr>
        <w:rStyle w:val="PageNumber"/>
      </w:rPr>
      <w:fldChar w:fldCharType="begin"/>
    </w:r>
    <w:r w:rsidR="0099588E">
      <w:rPr>
        <w:rStyle w:val="PageNumber"/>
      </w:rPr>
      <w:instrText xml:space="preserve"> PAGE </w:instrText>
    </w:r>
    <w:r>
      <w:rPr>
        <w:rStyle w:val="PageNumber"/>
      </w:rPr>
      <w:fldChar w:fldCharType="separate"/>
    </w:r>
    <w:r w:rsidR="0099588E">
      <w:rPr>
        <w:rStyle w:val="PageNumber"/>
        <w:noProof/>
      </w:rPr>
      <w:t>ii</w:t>
    </w:r>
    <w:r>
      <w:rPr>
        <w:rStyle w:val="PageNumber"/>
      </w:rPr>
      <w:fldChar w:fldCharType="end"/>
    </w:r>
    <w:r w:rsidR="0099588E">
      <w:rPr>
        <w:rStyle w:val="PageNumber"/>
        <w:lang w:val="fr-CH"/>
      </w:rPr>
      <w:tab/>
    </w:r>
    <w:r w:rsidR="0099588E">
      <w:rPr>
        <w:rStyle w:val="PageNumber"/>
        <w:lang w:val="fr-CH"/>
      </w:rPr>
      <w:tab/>
      <w:t>Q</w:t>
    </w:r>
    <w:r w:rsidR="0099588E" w:rsidRPr="002D4FCA">
      <w:rPr>
        <w:bCs/>
        <w:szCs w:val="22"/>
        <w:lang w:val="fr-CH"/>
      </w:rPr>
      <w:t>uestion</w:t>
    </w:r>
    <w:r w:rsidR="0099588E">
      <w:rPr>
        <w:b w:val="0"/>
        <w:bCs/>
        <w:szCs w:val="22"/>
        <w:lang w:val="fr-CH"/>
      </w:rPr>
      <w:t xml:space="preserve"> </w:t>
    </w:r>
    <w:r w:rsidR="0099588E">
      <w:rPr>
        <w:bCs/>
        <w:szCs w:val="22"/>
        <w:lang w:val="fr-CH"/>
      </w:rPr>
      <w:t>22</w:t>
    </w:r>
    <w:r w:rsidR="0099588E" w:rsidRPr="00DB09F2">
      <w:rPr>
        <w:bCs/>
        <w:szCs w:val="22"/>
        <w:lang w:val="fr-CH"/>
      </w:rPr>
      <w:t>/</w:t>
    </w:r>
    <w:r w:rsidR="0099588E">
      <w:rPr>
        <w:bCs/>
        <w:szCs w:val="22"/>
        <w:lang w:val="fr-CH"/>
      </w:rPr>
      <w:t>2</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8E" w:rsidRDefault="00BA52D0" w:rsidP="00842F5F">
    <w:pPr>
      <w:pStyle w:val="Header"/>
      <w:tabs>
        <w:tab w:val="left" w:pos="1122"/>
      </w:tabs>
      <w:rPr>
        <w:lang w:val="fr-CH"/>
      </w:rPr>
    </w:pPr>
    <w:r>
      <w:rPr>
        <w:rStyle w:val="PageNumber"/>
      </w:rPr>
      <w:fldChar w:fldCharType="begin"/>
    </w:r>
    <w:r w:rsidR="0099588E">
      <w:rPr>
        <w:rStyle w:val="PageNumber"/>
      </w:rPr>
      <w:instrText xml:space="preserve"> PAGE </w:instrText>
    </w:r>
    <w:r>
      <w:rPr>
        <w:rStyle w:val="PageNumber"/>
      </w:rPr>
      <w:fldChar w:fldCharType="separate"/>
    </w:r>
    <w:r w:rsidR="00871C74">
      <w:rPr>
        <w:rStyle w:val="PageNumber"/>
        <w:noProof/>
      </w:rPr>
      <w:t>84</w:t>
    </w:r>
    <w:r>
      <w:rPr>
        <w:rStyle w:val="PageNumber"/>
      </w:rPr>
      <w:fldChar w:fldCharType="end"/>
    </w:r>
    <w:r w:rsidR="0099588E">
      <w:rPr>
        <w:rStyle w:val="PageNumber"/>
        <w:lang w:val="fr-CH"/>
      </w:rPr>
      <w:tab/>
    </w:r>
    <w:r w:rsidR="0099588E">
      <w:rPr>
        <w:rStyle w:val="PageNumber"/>
        <w:lang w:val="fr-CH"/>
      </w:rPr>
      <w:tab/>
    </w:r>
    <w:fldSimple w:instr=" DOCPROPERTY  Title  \* MERGEFORMAT ">
      <w:r w:rsidR="0099588E">
        <w:rPr>
          <w:rStyle w:val="PageNumber"/>
          <w:rFonts w:hint="eastAsia"/>
          <w:lang w:val="fr-CH"/>
        </w:rPr>
        <w:t>第</w:t>
      </w:r>
      <w:r w:rsidR="0099588E">
        <w:rPr>
          <w:rStyle w:val="PageNumber"/>
          <w:rFonts w:hint="eastAsia"/>
          <w:lang w:val="fr-CH"/>
        </w:rPr>
        <w:t>9</w:t>
      </w:r>
      <w:r w:rsidR="0099588E">
        <w:rPr>
          <w:rStyle w:val="PageNumber"/>
          <w:rFonts w:hint="eastAsia"/>
          <w:lang w:val="fr-CH"/>
        </w:rPr>
        <w:t>号决议</w:t>
      </w:r>
      <w:r w:rsidR="0099588E">
        <w:rPr>
          <w:rStyle w:val="PageNumber"/>
          <w:rFonts w:hint="eastAsia"/>
          <w:lang w:val="fr-CH"/>
        </w:rPr>
        <w:t xml:space="preserve"> </w:t>
      </w:r>
      <w:r w:rsidR="0099588E">
        <w:rPr>
          <w:rStyle w:val="PageNumber"/>
          <w:rFonts w:hint="eastAsia"/>
          <w:lang w:val="fr-CH"/>
        </w:rPr>
        <w:t>–</w:t>
      </w:r>
      <w:r w:rsidR="0099588E">
        <w:rPr>
          <w:rStyle w:val="PageNumber"/>
          <w:rFonts w:hint="eastAsia"/>
          <w:lang w:val="fr-CH"/>
        </w:rPr>
        <w:t xml:space="preserve"> </w:t>
      </w:r>
      <w:r w:rsidR="0099588E">
        <w:rPr>
          <w:rStyle w:val="PageNumber"/>
          <w:rFonts w:hint="eastAsia"/>
          <w:lang w:val="fr-CH"/>
        </w:rPr>
        <w:t>指导原则</w:t>
      </w:r>
    </w:fldSimple>
    <w:r w:rsidR="0099588E">
      <w:rPr>
        <w:bCs/>
        <w:szCs w:val="22"/>
        <w:lang w:val="fr-CH"/>
      </w:rPr>
      <w:tab/>
    </w:r>
    <w:r>
      <w:rPr>
        <w:noProof/>
        <w:lang w:val="en-US" w:eastAsia="zh-CN"/>
      </w:rPr>
      <w:pict>
        <v:shapetype id="_x0000_t202" coordsize="21600,21600" o:spt="202" path="m,l,21600r21600,l21600,xe">
          <v:stroke joinstyle="miter"/>
          <v:path gradientshapeok="t" o:connecttype="rect"/>
        </v:shapetype>
        <v:shape id="_x0000_s2060" type="#_x0000_t202" style="position:absolute;margin-left:721.1pt;margin-top:20.25pt;width:30pt;height:482.25pt;z-index:251664384;mso-position-horizontal-relative:text;mso-position-vertical-relative:text" stroked="f">
          <v:textbox style="layout-flow:vertical;mso-next-textbox:#_x0000_s2060">
            <w:txbxContent>
              <w:p w:rsidR="0099588E" w:rsidRPr="00761109" w:rsidRDefault="00BA52D0" w:rsidP="00015D4C">
                <w:pPr>
                  <w:spacing w:before="0"/>
                  <w:rPr>
                    <w:b/>
                    <w:bCs/>
                  </w:rPr>
                </w:pPr>
                <w:r w:rsidRPr="00761109">
                  <w:rPr>
                    <w:rStyle w:val="PageNumber"/>
                    <w:b/>
                    <w:bCs/>
                  </w:rPr>
                  <w:fldChar w:fldCharType="begin"/>
                </w:r>
                <w:r w:rsidR="0099588E" w:rsidRPr="00761109">
                  <w:rPr>
                    <w:rStyle w:val="PageNumber"/>
                    <w:bCs/>
                  </w:rPr>
                  <w:instrText xml:space="preserve"> PAGE </w:instrText>
                </w:r>
                <w:r w:rsidRPr="00761109">
                  <w:rPr>
                    <w:rStyle w:val="PageNumber"/>
                    <w:b/>
                    <w:bCs/>
                  </w:rPr>
                  <w:fldChar w:fldCharType="separate"/>
                </w:r>
                <w:r w:rsidR="00871C74">
                  <w:rPr>
                    <w:rStyle w:val="PageNumber"/>
                    <w:bCs/>
                    <w:noProof/>
                  </w:rPr>
                  <w:t>84</w:t>
                </w:r>
                <w:r w:rsidRPr="00761109">
                  <w:rPr>
                    <w:rStyle w:val="PageNumber"/>
                    <w:b/>
                    <w:bCs/>
                  </w:rPr>
                  <w:fldChar w:fldCharType="end"/>
                </w:r>
                <w:r w:rsidR="0099588E" w:rsidRPr="00761109">
                  <w:rPr>
                    <w:rStyle w:val="PageNumber"/>
                    <w:bCs/>
                    <w:lang w:val="fr-CH"/>
                  </w:rPr>
                  <w:tab/>
                </w:r>
                <w:r w:rsidR="0099588E" w:rsidRPr="00761109">
                  <w:rPr>
                    <w:rStyle w:val="PageNumber"/>
                    <w:bCs/>
                    <w:lang w:val="fr-CH"/>
                  </w:rPr>
                  <w:tab/>
                </w:r>
                <w:r w:rsidR="0099588E">
                  <w:rPr>
                    <w:rStyle w:val="PageNumber"/>
                    <w:bCs/>
                    <w:lang w:val="fr-CH"/>
                  </w:rPr>
                  <w:tab/>
                </w:r>
                <w:r w:rsidR="0099588E">
                  <w:rPr>
                    <w:rStyle w:val="PageNumber"/>
                    <w:bCs/>
                    <w:lang w:val="fr-CH"/>
                  </w:rPr>
                  <w:tab/>
                </w:r>
                <w:r w:rsidR="0099588E">
                  <w:rPr>
                    <w:rStyle w:val="PageNumber"/>
                    <w:bCs/>
                    <w:lang w:val="fr-CH"/>
                  </w:rPr>
                  <w:tab/>
                </w:r>
                <w:r w:rsidR="0099588E">
                  <w:rPr>
                    <w:rStyle w:val="PageNumber"/>
                    <w:bCs/>
                    <w:lang w:val="fr-CH"/>
                  </w:rPr>
                  <w:tab/>
                </w:r>
                <w:r w:rsidR="0099588E">
                  <w:rPr>
                    <w:rStyle w:val="PageNumber"/>
                    <w:bCs/>
                    <w:lang w:val="fr-CH"/>
                  </w:rPr>
                  <w:tab/>
                </w:r>
                <w:r w:rsidR="0099588E" w:rsidRPr="00761109">
                  <w:rPr>
                    <w:rStyle w:val="PageNumber"/>
                    <w:bCs/>
                    <w:lang w:val="fr-CH"/>
                  </w:rPr>
                  <w:t>Report on Resolution 9</w:t>
                </w:r>
              </w:p>
            </w:txbxContent>
          </v:textbox>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8E" w:rsidRDefault="0099588E" w:rsidP="00842F5F">
    <w:pPr>
      <w:pStyle w:val="Header"/>
      <w:rPr>
        <w:lang w:eastAsia="zh-CN"/>
      </w:rPr>
    </w:pPr>
    <w:r>
      <w:rPr>
        <w:rFonts w:hint="eastAsia"/>
        <w:lang w:eastAsia="zh-CN"/>
      </w:rPr>
      <w:tab/>
    </w:r>
    <w:fldSimple w:instr=" DOCPROPERTY  Title  \* MERGEFORMAT ">
      <w:r>
        <w:rPr>
          <w:rFonts w:hint="eastAsia"/>
          <w:lang w:eastAsia="zh-CN"/>
        </w:rPr>
        <w:t>第</w:t>
      </w:r>
      <w:r>
        <w:rPr>
          <w:rFonts w:hint="eastAsia"/>
          <w:lang w:eastAsia="zh-CN"/>
        </w:rPr>
        <w:t>9</w:t>
      </w:r>
      <w:r>
        <w:rPr>
          <w:rFonts w:hint="eastAsia"/>
          <w:lang w:eastAsia="zh-CN"/>
        </w:rPr>
        <w:t>号决议</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指导原则</w:t>
      </w:r>
    </w:fldSimple>
    <w:r>
      <w:rPr>
        <w:rFonts w:hint="eastAsia"/>
        <w:lang w:eastAsia="zh-CN"/>
      </w:rPr>
      <w:tab/>
    </w:r>
    <w:sdt>
      <w:sdtPr>
        <w:id w:val="428690623"/>
        <w:docPartObj>
          <w:docPartGallery w:val="Page Numbers (Top of Page)"/>
          <w:docPartUnique/>
        </w:docPartObj>
      </w:sdtPr>
      <w:sdtContent>
        <w:fldSimple w:instr=" PAGE   \* MERGEFORMAT ">
          <w:r w:rsidR="00871C74">
            <w:rPr>
              <w:noProof/>
            </w:rPr>
            <w:t>69</w:t>
          </w:r>
        </w:fldSimple>
      </w:sdtContent>
    </w:sdt>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8E" w:rsidRPr="00761109" w:rsidRDefault="00BA52D0" w:rsidP="00015D4C">
    <w:pPr>
      <w:pStyle w:val="Header"/>
    </w:pPr>
    <w:r>
      <w:rPr>
        <w:noProof/>
        <w:lang w:val="en-US" w:eastAsia="zh-CN"/>
      </w:rPr>
      <w:pict>
        <v:shapetype id="_x0000_t202" coordsize="21600,21600" o:spt="202" path="m,l,21600r21600,l21600,xe">
          <v:stroke joinstyle="miter"/>
          <v:path gradientshapeok="t" o:connecttype="rect"/>
        </v:shapetype>
        <v:shape id="_x0000_s2059" type="#_x0000_t202" style="position:absolute;margin-left:727.1pt;margin-top:20.25pt;width:30pt;height:495.75pt;z-index:251663360" stroked="f">
          <v:textbox style="layout-flow:vertical;mso-next-textbox:#_x0000_s2059">
            <w:txbxContent>
              <w:p w:rsidR="0099588E" w:rsidRPr="00761109" w:rsidRDefault="0099588E" w:rsidP="00015D4C">
                <w:pPr>
                  <w:spacing w:before="0"/>
                  <w:rPr>
                    <w:b/>
                    <w:bCs/>
                  </w:rPr>
                </w:pPr>
                <w:r w:rsidRPr="00761109">
                  <w:rPr>
                    <w:rStyle w:val="PageNumber"/>
                    <w:bCs/>
                    <w:lang w:val="fr-CH"/>
                  </w:rPr>
                  <w:tab/>
                </w:r>
                <w:r w:rsidRPr="00761109">
                  <w:rPr>
                    <w:rStyle w:val="PageNumber"/>
                    <w:bCs/>
                    <w:lang w:val="fr-CH"/>
                  </w:rPr>
                  <w:tab/>
                </w:r>
                <w:r>
                  <w:rPr>
                    <w:rStyle w:val="PageNumber"/>
                    <w:bCs/>
                    <w:lang w:val="fr-CH"/>
                  </w:rPr>
                  <w:tab/>
                </w:r>
                <w:r>
                  <w:rPr>
                    <w:rStyle w:val="PageNumber"/>
                    <w:bCs/>
                    <w:lang w:val="fr-CH"/>
                  </w:rPr>
                  <w:tab/>
                </w:r>
                <w:r>
                  <w:rPr>
                    <w:rStyle w:val="PageNumber"/>
                    <w:bCs/>
                    <w:lang w:val="fr-CH"/>
                  </w:rPr>
                  <w:tab/>
                </w:r>
                <w:r>
                  <w:rPr>
                    <w:rStyle w:val="PageNumber"/>
                    <w:bCs/>
                    <w:lang w:val="fr-CH"/>
                  </w:rPr>
                  <w:tab/>
                </w:r>
                <w:r>
                  <w:rPr>
                    <w:rStyle w:val="PageNumber"/>
                    <w:bCs/>
                    <w:lang w:val="fr-CH"/>
                  </w:rPr>
                  <w:tab/>
                </w:r>
                <w:r w:rsidRPr="00761109">
                  <w:rPr>
                    <w:rStyle w:val="PageNumber"/>
                    <w:bCs/>
                    <w:lang w:val="fr-CH"/>
                  </w:rPr>
                  <w:t>Report on Resolution 9</w:t>
                </w:r>
                <w:r>
                  <w:rPr>
                    <w:rStyle w:val="PageNumber"/>
                    <w:bCs/>
                    <w:lang w:val="fr-CH"/>
                  </w:rPr>
                  <w:tab/>
                </w:r>
                <w:r>
                  <w:rPr>
                    <w:rStyle w:val="PageNumber"/>
                    <w:bCs/>
                    <w:lang w:val="fr-CH"/>
                  </w:rPr>
                  <w:tab/>
                </w:r>
                <w:r>
                  <w:rPr>
                    <w:rStyle w:val="PageNumber"/>
                    <w:bCs/>
                    <w:lang w:val="fr-CH"/>
                  </w:rPr>
                  <w:tab/>
                </w:r>
                <w:r>
                  <w:rPr>
                    <w:rStyle w:val="PageNumber"/>
                    <w:bCs/>
                    <w:lang w:val="fr-CH"/>
                  </w:rPr>
                  <w:tab/>
                </w:r>
                <w:r>
                  <w:rPr>
                    <w:rStyle w:val="PageNumber"/>
                    <w:bCs/>
                    <w:lang w:val="fr-CH"/>
                  </w:rPr>
                  <w:tab/>
                </w:r>
                <w:r w:rsidR="00BA52D0" w:rsidRPr="00761109">
                  <w:rPr>
                    <w:rStyle w:val="PageNumber"/>
                    <w:b/>
                    <w:bCs/>
                  </w:rPr>
                  <w:fldChar w:fldCharType="begin"/>
                </w:r>
                <w:r w:rsidRPr="00761109">
                  <w:rPr>
                    <w:rStyle w:val="PageNumber"/>
                    <w:bCs/>
                  </w:rPr>
                  <w:instrText xml:space="preserve"> PAGE </w:instrText>
                </w:r>
                <w:r w:rsidR="00BA52D0" w:rsidRPr="00761109">
                  <w:rPr>
                    <w:rStyle w:val="PageNumber"/>
                    <w:b/>
                    <w:bCs/>
                  </w:rPr>
                  <w:fldChar w:fldCharType="separate"/>
                </w:r>
                <w:r>
                  <w:rPr>
                    <w:rStyle w:val="PageNumber"/>
                    <w:bCs/>
                    <w:noProof/>
                  </w:rPr>
                  <w:t>57</w:t>
                </w:r>
                <w:r w:rsidR="00BA52D0" w:rsidRPr="00761109">
                  <w:rPr>
                    <w:rStyle w:val="PageNumber"/>
                    <w:b/>
                    <w:bCs/>
                  </w:rPr>
                  <w:fldChar w:fldCharType="end"/>
                </w:r>
                <w:r>
                  <w:rPr>
                    <w:rStyle w:val="PageNumber"/>
                    <w:bCs/>
                    <w:lang w:val="fr-CH"/>
                  </w:rPr>
                  <w:tab/>
                </w:r>
                <w:r>
                  <w:rPr>
                    <w:rStyle w:val="PageNumber"/>
                    <w:bCs/>
                    <w:lang w:val="fr-CH"/>
                  </w:rPr>
                  <w:tab/>
                </w:r>
                <w:r>
                  <w:rPr>
                    <w:rStyle w:val="PageNumber"/>
                    <w:bCs/>
                    <w:lang w:val="fr-CH"/>
                  </w:rPr>
                  <w:tab/>
                </w:r>
                <w:r>
                  <w:rPr>
                    <w:rStyle w:val="PageNumber"/>
                    <w:bCs/>
                    <w:lang w:val="fr-CH"/>
                  </w:rPr>
                  <w:tab/>
                </w:r>
                <w:r>
                  <w:rPr>
                    <w:rStyle w:val="PageNumber"/>
                    <w:bCs/>
                    <w:lang w:val="fr-CH"/>
                  </w:rPr>
                  <w:tab/>
                </w:r>
                <w:r w:rsidR="00BA52D0" w:rsidRPr="00761109">
                  <w:rPr>
                    <w:rStyle w:val="PageNumber"/>
                    <w:b/>
                    <w:bCs/>
                  </w:rPr>
                  <w:fldChar w:fldCharType="begin"/>
                </w:r>
                <w:r w:rsidRPr="00761109">
                  <w:rPr>
                    <w:rStyle w:val="PageNumber"/>
                    <w:bCs/>
                  </w:rPr>
                  <w:instrText xml:space="preserve"> PAGE </w:instrText>
                </w:r>
                <w:r w:rsidR="00BA52D0" w:rsidRPr="00761109">
                  <w:rPr>
                    <w:rStyle w:val="PageNumber"/>
                    <w:b/>
                    <w:bCs/>
                  </w:rPr>
                  <w:fldChar w:fldCharType="separate"/>
                </w:r>
                <w:r>
                  <w:rPr>
                    <w:rStyle w:val="PageNumber"/>
                    <w:bCs/>
                    <w:noProof/>
                  </w:rPr>
                  <w:t>57</w:t>
                </w:r>
                <w:r w:rsidR="00BA52D0" w:rsidRPr="00761109">
                  <w:rPr>
                    <w:rStyle w:val="PageNumber"/>
                    <w:b/>
                    <w:bCs/>
                  </w:rPr>
                  <w:fldChar w:fldCharType="end"/>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8E" w:rsidRPr="0013106F" w:rsidRDefault="0099588E" w:rsidP="0013106F">
    <w:pPr>
      <w:pStyle w:val="Header"/>
      <w:tabs>
        <w:tab w:val="clear" w:pos="4820"/>
        <w:tab w:val="clear" w:pos="9639"/>
        <w:tab w:val="left" w:pos="907"/>
        <w:tab w:val="center" w:pos="4849"/>
        <w:tab w:val="right" w:pos="8789"/>
        <w:tab w:val="right" w:pos="9730"/>
      </w:tabs>
      <w:spacing w:before="240"/>
      <w:ind w:left="284" w:right="425"/>
      <w:jc w:val="distribute"/>
      <w:rPr>
        <w:rFonts w:ascii="Univers BoldExt" w:hAnsi="Univers BoldExt"/>
        <w:color w:val="999999"/>
        <w:spacing w:val="108"/>
        <w:sz w:val="24"/>
        <w:szCs w:val="24"/>
        <w:lang w:val="fr-CH"/>
      </w:rPr>
    </w:pPr>
    <w:r w:rsidRPr="0013106F">
      <w:rPr>
        <w:rFonts w:ascii="Univers BoldExt" w:hAnsi="Univers BoldExt" w:hint="eastAsia"/>
        <w:color w:val="999999"/>
        <w:spacing w:val="108"/>
        <w:sz w:val="24"/>
        <w:szCs w:val="24"/>
        <w:lang w:val="fr-CH" w:eastAsia="zh-CN"/>
      </w:rPr>
      <w:t>国际电信联盟</w:t>
    </w:r>
  </w:p>
  <w:p w:rsidR="0099588E" w:rsidRPr="0062594A" w:rsidRDefault="0099588E"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8E" w:rsidRPr="00E87C8C" w:rsidRDefault="0099588E"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BA52D0">
      <w:rPr>
        <w:rStyle w:val="PageNumber"/>
      </w:rPr>
      <w:fldChar w:fldCharType="begin"/>
    </w:r>
    <w:r>
      <w:rPr>
        <w:rStyle w:val="PageNumber"/>
      </w:rPr>
      <w:instrText xml:space="preserve"> PAGE </w:instrText>
    </w:r>
    <w:r w:rsidR="00BA52D0">
      <w:rPr>
        <w:rStyle w:val="PageNumber"/>
      </w:rPr>
      <w:fldChar w:fldCharType="separate"/>
    </w:r>
    <w:r>
      <w:rPr>
        <w:rStyle w:val="PageNumber"/>
        <w:noProof/>
      </w:rPr>
      <w:t>17</w:t>
    </w:r>
    <w:r w:rsidR="00BA52D0">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8E" w:rsidRPr="0093317B" w:rsidRDefault="0099588E"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8E" w:rsidRDefault="00BA52D0" w:rsidP="00B96D3A">
    <w:pPr>
      <w:pStyle w:val="Header"/>
      <w:tabs>
        <w:tab w:val="left" w:pos="1122"/>
      </w:tabs>
      <w:rPr>
        <w:lang w:val="fr-CH"/>
      </w:rPr>
    </w:pPr>
    <w:r>
      <w:rPr>
        <w:rStyle w:val="PageNumber"/>
      </w:rPr>
      <w:fldChar w:fldCharType="begin"/>
    </w:r>
    <w:r w:rsidR="0099588E">
      <w:rPr>
        <w:rStyle w:val="PageNumber"/>
      </w:rPr>
      <w:instrText xml:space="preserve"> PAGE </w:instrText>
    </w:r>
    <w:r>
      <w:rPr>
        <w:rStyle w:val="PageNumber"/>
      </w:rPr>
      <w:fldChar w:fldCharType="separate"/>
    </w:r>
    <w:r w:rsidR="00871C74">
      <w:rPr>
        <w:rStyle w:val="PageNumber"/>
        <w:noProof/>
      </w:rPr>
      <w:t>ii</w:t>
    </w:r>
    <w:r>
      <w:rPr>
        <w:rStyle w:val="PageNumber"/>
      </w:rPr>
      <w:fldChar w:fldCharType="end"/>
    </w:r>
    <w:r w:rsidR="0099588E">
      <w:rPr>
        <w:rStyle w:val="PageNumber"/>
        <w:lang w:val="fr-CH"/>
      </w:rPr>
      <w:tab/>
    </w:r>
    <w:r w:rsidR="0099588E">
      <w:rPr>
        <w:rStyle w:val="PageNumber"/>
        <w:lang w:val="fr-CH"/>
      </w:rPr>
      <w:tab/>
    </w:r>
    <w:fldSimple w:instr=" DOCPROPERTY  Title  \* MERGEFORMAT ">
      <w:r w:rsidR="0099588E" w:rsidRPr="00842F5F">
        <w:rPr>
          <w:rStyle w:val="PageNumber"/>
          <w:rFonts w:hint="eastAsia"/>
          <w:lang w:val="fr-CH"/>
        </w:rPr>
        <w:t>第</w:t>
      </w:r>
      <w:r w:rsidR="0099588E" w:rsidRPr="00842F5F">
        <w:rPr>
          <w:rStyle w:val="PageNumber"/>
          <w:rFonts w:hint="eastAsia"/>
          <w:lang w:val="fr-CH"/>
        </w:rPr>
        <w:t>9</w:t>
      </w:r>
      <w:r w:rsidR="0099588E" w:rsidRPr="00842F5F">
        <w:rPr>
          <w:rStyle w:val="PageNumber"/>
          <w:rFonts w:hint="eastAsia"/>
          <w:lang w:val="fr-CH"/>
        </w:rPr>
        <w:t>号决议</w:t>
      </w:r>
      <w:r w:rsidR="0099588E" w:rsidRPr="00842F5F">
        <w:rPr>
          <w:rStyle w:val="PageNumber"/>
          <w:rFonts w:hint="eastAsia"/>
          <w:lang w:val="fr-CH"/>
        </w:rPr>
        <w:t xml:space="preserve"> </w:t>
      </w:r>
      <w:r w:rsidR="0099588E" w:rsidRPr="00842F5F">
        <w:rPr>
          <w:rStyle w:val="PageNumber"/>
          <w:rFonts w:hint="eastAsia"/>
          <w:lang w:val="fr-CH"/>
        </w:rPr>
        <w:t>–</w:t>
      </w:r>
      <w:r w:rsidR="0099588E">
        <w:rPr>
          <w:rFonts w:hint="eastAsia"/>
        </w:rPr>
        <w:t xml:space="preserve"> </w:t>
      </w:r>
      <w:r w:rsidR="0099588E">
        <w:rPr>
          <w:rFonts w:hint="eastAsia"/>
        </w:rPr>
        <w:t>指导原则</w:t>
      </w:r>
    </w:fldSimple>
    <w:r w:rsidR="0099588E">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8E" w:rsidRDefault="0099588E" w:rsidP="00B96D3A">
    <w:pPr>
      <w:pStyle w:val="Header"/>
      <w:tabs>
        <w:tab w:val="left" w:pos="1122"/>
      </w:tabs>
      <w:rPr>
        <w:lang w:val="fr-CH"/>
      </w:rPr>
    </w:pPr>
    <w:r>
      <w:rPr>
        <w:rStyle w:val="PageNumber"/>
        <w:lang w:val="fr-CH"/>
      </w:rPr>
      <w:tab/>
    </w:r>
    <w:r>
      <w:rPr>
        <w:rStyle w:val="PageNumber"/>
        <w:lang w:val="fr-CH"/>
      </w:rPr>
      <w:tab/>
    </w:r>
    <w:fldSimple w:instr=" DOCPROPERTY  Title  \* MERGEFORMAT ">
      <w:r w:rsidRPr="00842F5F">
        <w:rPr>
          <w:rStyle w:val="PageNumber"/>
          <w:rFonts w:hint="eastAsia"/>
          <w:lang w:val="fr-CH"/>
        </w:rPr>
        <w:t>第</w:t>
      </w:r>
      <w:r w:rsidRPr="00842F5F">
        <w:rPr>
          <w:rStyle w:val="PageNumber"/>
          <w:rFonts w:hint="eastAsia"/>
          <w:lang w:val="fr-CH"/>
        </w:rPr>
        <w:t>9</w:t>
      </w:r>
      <w:r w:rsidRPr="00842F5F">
        <w:rPr>
          <w:rStyle w:val="PageNumber"/>
          <w:rFonts w:hint="eastAsia"/>
          <w:lang w:val="fr-CH"/>
        </w:rPr>
        <w:t>号决议</w:t>
      </w:r>
      <w:r w:rsidRPr="00842F5F">
        <w:rPr>
          <w:rStyle w:val="PageNumber"/>
          <w:rFonts w:hint="eastAsia"/>
          <w:lang w:val="fr-CH"/>
        </w:rPr>
        <w:t xml:space="preserve"> </w:t>
      </w:r>
      <w:r w:rsidRPr="00842F5F">
        <w:rPr>
          <w:rStyle w:val="PageNumber"/>
          <w:rFonts w:hint="eastAsia"/>
          <w:lang w:val="fr-CH"/>
        </w:rPr>
        <w:t>–</w:t>
      </w:r>
      <w:r>
        <w:rPr>
          <w:rFonts w:hint="eastAsia"/>
        </w:rPr>
        <w:t xml:space="preserve"> </w:t>
      </w:r>
      <w:r>
        <w:rPr>
          <w:rFonts w:hint="eastAsia"/>
        </w:rPr>
        <w:t>指导原则</w:t>
      </w:r>
    </w:fldSimple>
    <w:r>
      <w:rPr>
        <w:bCs/>
        <w:szCs w:val="22"/>
        <w:lang w:val="fr-CH"/>
      </w:rPr>
      <w:tab/>
    </w:r>
    <w:r w:rsidR="00BA52D0">
      <w:rPr>
        <w:rStyle w:val="PageNumber"/>
      </w:rPr>
      <w:fldChar w:fldCharType="begin"/>
    </w:r>
    <w:r>
      <w:rPr>
        <w:rStyle w:val="PageNumber"/>
      </w:rPr>
      <w:instrText xml:space="preserve"> PAGE </w:instrText>
    </w:r>
    <w:r w:rsidR="00BA52D0">
      <w:rPr>
        <w:rStyle w:val="PageNumber"/>
      </w:rPr>
      <w:fldChar w:fldCharType="separate"/>
    </w:r>
    <w:r w:rsidR="00871C74">
      <w:rPr>
        <w:rStyle w:val="PageNumber"/>
        <w:noProof/>
      </w:rPr>
      <w:t>i</w:t>
    </w:r>
    <w:r w:rsidR="00BA52D0">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690616"/>
      <w:docPartObj>
        <w:docPartGallery w:val="Page Numbers (Top of Page)"/>
        <w:docPartUnique/>
      </w:docPartObj>
    </w:sdtPr>
    <w:sdtContent>
      <w:p w:rsidR="0099588E" w:rsidRPr="00842F5F" w:rsidRDefault="00BA52D0" w:rsidP="00842F5F">
        <w:pPr>
          <w:pStyle w:val="Header"/>
        </w:pPr>
        <w:fldSimple w:instr=" PAGE   \* MERGEFORMAT ">
          <w:r w:rsidR="00871C74">
            <w:rPr>
              <w:noProof/>
            </w:rPr>
            <w:t>16</w:t>
          </w:r>
        </w:fldSimple>
        <w:r w:rsidR="0099588E">
          <w:rPr>
            <w:rFonts w:hint="eastAsia"/>
            <w:lang w:eastAsia="zh-CN"/>
          </w:rPr>
          <w:tab/>
        </w:r>
        <w:fldSimple w:instr=" DOCPROPERTY  Title  \* MERGEFORMAT ">
          <w:r w:rsidR="0099588E">
            <w:rPr>
              <w:rFonts w:hint="eastAsia"/>
              <w:lang w:eastAsia="zh-CN"/>
            </w:rPr>
            <w:t>第</w:t>
          </w:r>
          <w:r w:rsidR="0099588E">
            <w:rPr>
              <w:rFonts w:hint="eastAsia"/>
              <w:lang w:eastAsia="zh-CN"/>
            </w:rPr>
            <w:t>9</w:t>
          </w:r>
          <w:r w:rsidR="0099588E">
            <w:rPr>
              <w:rFonts w:hint="eastAsia"/>
              <w:lang w:eastAsia="zh-CN"/>
            </w:rPr>
            <w:t>号决议</w:t>
          </w:r>
          <w:r w:rsidR="0099588E">
            <w:rPr>
              <w:rFonts w:hint="eastAsia"/>
              <w:lang w:eastAsia="zh-CN"/>
            </w:rPr>
            <w:t xml:space="preserve"> </w:t>
          </w:r>
          <w:r w:rsidR="0099588E">
            <w:rPr>
              <w:rFonts w:hint="eastAsia"/>
              <w:lang w:eastAsia="zh-CN"/>
            </w:rPr>
            <w:t>–</w:t>
          </w:r>
          <w:r w:rsidR="0099588E">
            <w:rPr>
              <w:rFonts w:hint="eastAsia"/>
              <w:lang w:eastAsia="zh-CN"/>
            </w:rPr>
            <w:t xml:space="preserve"> </w:t>
          </w:r>
          <w:r w:rsidR="0099588E">
            <w:rPr>
              <w:rFonts w:hint="eastAsia"/>
              <w:lang w:eastAsia="zh-CN"/>
            </w:rPr>
            <w:t>指导原则</w:t>
          </w:r>
        </w:fldSimple>
      </w:p>
    </w:sdtContent>
  </w:sdt>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8E" w:rsidRDefault="0099588E" w:rsidP="00842F5F">
    <w:pPr>
      <w:pStyle w:val="Header"/>
      <w:rPr>
        <w:lang w:eastAsia="zh-CN"/>
      </w:rPr>
    </w:pPr>
    <w:r>
      <w:rPr>
        <w:rFonts w:hint="eastAsia"/>
        <w:lang w:eastAsia="zh-CN"/>
      </w:rPr>
      <w:tab/>
    </w:r>
    <w:fldSimple w:instr=" DOCPROPERTY  Title  \* MERGEFORMAT ">
      <w:r>
        <w:rPr>
          <w:rFonts w:hint="eastAsia"/>
          <w:lang w:eastAsia="zh-CN"/>
        </w:rPr>
        <w:t>第</w:t>
      </w:r>
      <w:r>
        <w:rPr>
          <w:rFonts w:hint="eastAsia"/>
          <w:lang w:eastAsia="zh-CN"/>
        </w:rPr>
        <w:t>9</w:t>
      </w:r>
      <w:r>
        <w:rPr>
          <w:rFonts w:hint="eastAsia"/>
          <w:lang w:eastAsia="zh-CN"/>
        </w:rPr>
        <w:t>号决议</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指导原则</w:t>
      </w:r>
    </w:fldSimple>
    <w:r>
      <w:rPr>
        <w:rFonts w:hint="eastAsia"/>
        <w:lang w:eastAsia="zh-CN"/>
      </w:rPr>
      <w:tab/>
    </w:r>
    <w:sdt>
      <w:sdtPr>
        <w:id w:val="428690610"/>
        <w:docPartObj>
          <w:docPartGallery w:val="Page Numbers (Top of Page)"/>
          <w:docPartUnique/>
        </w:docPartObj>
      </w:sdtPr>
      <w:sdtContent>
        <w:fldSimple w:instr=" PAGE   \* MERGEFORMAT ">
          <w:r w:rsidR="00871C74">
            <w:rPr>
              <w:noProof/>
            </w:rPr>
            <w:t>17</w:t>
          </w:r>
        </w:fldSimple>
      </w:sdtContent>
    </w:sdt>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8E" w:rsidRDefault="0099588E" w:rsidP="00853B80">
    <w:pPr>
      <w:pStyle w:val="Header"/>
    </w:pPr>
  </w:p>
  <w:p w:rsidR="0099588E" w:rsidRDefault="009958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75pt;height:8.75pt" o:bullet="t">
        <v:imagedata r:id="rId1" o:title="BD10267_"/>
      </v:shape>
    </w:pict>
  </w:numPicBullet>
  <w:abstractNum w:abstractNumId="0">
    <w:nsid w:val="8EC7C007"/>
    <w:multiLevelType w:val="hybridMultilevel"/>
    <w:tmpl w:val="0EEDAFE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C896D33E"/>
    <w:lvl w:ilvl="0">
      <w:start w:val="1"/>
      <w:numFmt w:val="decimal"/>
      <w:lvlText w:val="%1."/>
      <w:lvlJc w:val="left"/>
      <w:pPr>
        <w:tabs>
          <w:tab w:val="num" w:pos="1492"/>
        </w:tabs>
        <w:ind w:left="1492" w:hanging="360"/>
      </w:pPr>
    </w:lvl>
  </w:abstractNum>
  <w:abstractNum w:abstractNumId="2">
    <w:nsid w:val="FFFFFF7D"/>
    <w:multiLevelType w:val="singleLevel"/>
    <w:tmpl w:val="E6341ACE"/>
    <w:lvl w:ilvl="0">
      <w:start w:val="1"/>
      <w:numFmt w:val="decimal"/>
      <w:lvlText w:val="%1."/>
      <w:lvlJc w:val="left"/>
      <w:pPr>
        <w:tabs>
          <w:tab w:val="num" w:pos="1209"/>
        </w:tabs>
        <w:ind w:left="1209" w:hanging="360"/>
      </w:pPr>
    </w:lvl>
  </w:abstractNum>
  <w:abstractNum w:abstractNumId="3">
    <w:nsid w:val="FFFFFF7E"/>
    <w:multiLevelType w:val="singleLevel"/>
    <w:tmpl w:val="3E3262C0"/>
    <w:lvl w:ilvl="0">
      <w:start w:val="1"/>
      <w:numFmt w:val="decimal"/>
      <w:lvlText w:val="%1."/>
      <w:lvlJc w:val="left"/>
      <w:pPr>
        <w:tabs>
          <w:tab w:val="num" w:pos="926"/>
        </w:tabs>
        <w:ind w:left="926" w:hanging="360"/>
      </w:pPr>
    </w:lvl>
  </w:abstractNum>
  <w:abstractNum w:abstractNumId="4">
    <w:nsid w:val="FFFFFF7F"/>
    <w:multiLevelType w:val="singleLevel"/>
    <w:tmpl w:val="E7E010EA"/>
    <w:lvl w:ilvl="0">
      <w:start w:val="1"/>
      <w:numFmt w:val="decimal"/>
      <w:lvlText w:val="%1."/>
      <w:lvlJc w:val="left"/>
      <w:pPr>
        <w:tabs>
          <w:tab w:val="num" w:pos="643"/>
        </w:tabs>
        <w:ind w:left="643" w:hanging="360"/>
      </w:pPr>
    </w:lvl>
  </w:abstractNum>
  <w:abstractNum w:abstractNumId="5">
    <w:nsid w:val="FFFFFF80"/>
    <w:multiLevelType w:val="singleLevel"/>
    <w:tmpl w:val="6940571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64C226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FA46E8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528862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A165284"/>
    <w:lvl w:ilvl="0">
      <w:start w:val="1"/>
      <w:numFmt w:val="decimal"/>
      <w:lvlText w:val="%1."/>
      <w:lvlJc w:val="left"/>
      <w:pPr>
        <w:tabs>
          <w:tab w:val="num" w:pos="360"/>
        </w:tabs>
        <w:ind w:left="360" w:hanging="360"/>
      </w:pPr>
    </w:lvl>
  </w:abstractNum>
  <w:abstractNum w:abstractNumId="10">
    <w:nsid w:val="FFFFFF89"/>
    <w:multiLevelType w:val="singleLevel"/>
    <w:tmpl w:val="F2F43A6C"/>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FFFFFFFF"/>
    <w:lvl w:ilvl="0">
      <w:numFmt w:val="decimal"/>
      <w:lvlText w:val="*"/>
      <w:lvlJc w:val="left"/>
    </w:lvl>
  </w:abstractNum>
  <w:abstractNum w:abstractNumId="12">
    <w:nsid w:val="00000001"/>
    <w:multiLevelType w:val="multilevel"/>
    <w:tmpl w:val="00000001"/>
    <w:lvl w:ilvl="0">
      <w:start w:val="1"/>
      <w:numFmt w:val="none"/>
      <w:pStyle w:val="CEOHeade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0A8B037"/>
    <w:multiLevelType w:val="hybridMultilevel"/>
    <w:tmpl w:val="339E521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263401E"/>
    <w:multiLevelType w:val="singleLevel"/>
    <w:tmpl w:val="B700F934"/>
    <w:lvl w:ilvl="0">
      <w:start w:val="1"/>
      <w:numFmt w:val="decimal"/>
      <w:lvlText w:val="%1)"/>
      <w:lvlJc w:val="left"/>
      <w:pPr>
        <w:tabs>
          <w:tab w:val="num" w:pos="360"/>
        </w:tabs>
        <w:ind w:left="360" w:hanging="360"/>
      </w:pPr>
    </w:lvl>
  </w:abstractNum>
  <w:abstractNum w:abstractNumId="15">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nsid w:val="0D006C79"/>
    <w:multiLevelType w:val="hybridMultilevel"/>
    <w:tmpl w:val="CD582A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18310AA"/>
    <w:multiLevelType w:val="hybridMultilevel"/>
    <w:tmpl w:val="D9B80F72"/>
    <w:lvl w:ilvl="0" w:tplc="3A5EA914">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nsid w:val="162A06FD"/>
    <w:multiLevelType w:val="multilevel"/>
    <w:tmpl w:val="82C421F8"/>
    <w:lvl w:ilvl="0">
      <w:start w:val="1"/>
      <w:numFmt w:val="decimal"/>
      <w:lvlText w:val="%1"/>
      <w:lvlJc w:val="left"/>
      <w:pPr>
        <w:tabs>
          <w:tab w:val="num" w:pos="792"/>
        </w:tabs>
        <w:ind w:left="792" w:hanging="792"/>
      </w:pPr>
      <w:rPr>
        <w:rFonts w:hint="default"/>
      </w:rPr>
    </w:lvl>
    <w:lvl w:ilvl="1">
      <w:start w:val="20"/>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23E07AD9"/>
    <w:multiLevelType w:val="multilevel"/>
    <w:tmpl w:val="2F04FD90"/>
    <w:lvl w:ilvl="0">
      <w:start w:val="1"/>
      <w:numFmt w:val="decimal"/>
      <w:lvlText w:val="%1"/>
      <w:lvlJc w:val="left"/>
      <w:pPr>
        <w:tabs>
          <w:tab w:val="num" w:pos="792"/>
        </w:tabs>
        <w:ind w:left="792" w:hanging="792"/>
      </w:pPr>
      <w:rPr>
        <w:rFonts w:hint="default"/>
      </w:rPr>
    </w:lvl>
    <w:lvl w:ilvl="1">
      <w:start w:val="8"/>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8476F63"/>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nsid w:val="28FF7C6E"/>
    <w:multiLevelType w:val="hybridMultilevel"/>
    <w:tmpl w:val="D1DA13B6"/>
    <w:lvl w:ilvl="0" w:tplc="8C9CD97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5">
    <w:nsid w:val="37ED3CC0"/>
    <w:multiLevelType w:val="hybridMultilevel"/>
    <w:tmpl w:val="1A881D94"/>
    <w:lvl w:ilvl="0" w:tplc="3FDADA78">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91775F4"/>
    <w:multiLevelType w:val="hybridMultilevel"/>
    <w:tmpl w:val="6762B042"/>
    <w:lvl w:ilvl="0" w:tplc="EB48AD34">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nsid w:val="39827F2D"/>
    <w:multiLevelType w:val="hybridMultilevel"/>
    <w:tmpl w:val="AC920F96"/>
    <w:lvl w:ilvl="0" w:tplc="503A19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3E7D747A"/>
    <w:multiLevelType w:val="multilevel"/>
    <w:tmpl w:val="856AC75E"/>
    <w:lvl w:ilvl="0">
      <w:start w:val="1"/>
      <w:numFmt w:val="decimal"/>
      <w:lvlText w:val="(%1)"/>
      <w:lvlJc w:val="left"/>
      <w:pPr>
        <w:tabs>
          <w:tab w:val="num" w:pos="360"/>
        </w:tabs>
        <w:ind w:left="360" w:hanging="360"/>
      </w:pPr>
      <w:rPr>
        <w:rFonts w:hint="default"/>
        <w:color w:val="FF0000"/>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3FB95AEC"/>
    <w:multiLevelType w:val="hybridMultilevel"/>
    <w:tmpl w:val="03E6ED72"/>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DE005F2A">
      <w:start w:val="1"/>
      <w:numFmt w:val="lowerRoman"/>
      <w:lvlText w:val="%3."/>
      <w:lvlJc w:val="right"/>
      <w:pPr>
        <w:tabs>
          <w:tab w:val="num" w:pos="2160"/>
        </w:tabs>
        <w:ind w:left="2160" w:hanging="180"/>
      </w:pPr>
      <w:rPr>
        <w:rFonts w:cs="Times New Roman"/>
        <w:b/>
        <w:bCs w:val="0"/>
      </w:rPr>
    </w:lvl>
    <w:lvl w:ilvl="3" w:tplc="040C000F">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0">
    <w:nsid w:val="446A3443"/>
    <w:multiLevelType w:val="hybridMultilevel"/>
    <w:tmpl w:val="75580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8B87808"/>
    <w:multiLevelType w:val="multilevel"/>
    <w:tmpl w:val="5ABE81DC"/>
    <w:lvl w:ilvl="0">
      <w:start w:val="1"/>
      <w:numFmt w:val="decimal"/>
      <w:lvlText w:val="%1"/>
      <w:lvlJc w:val="left"/>
      <w:pPr>
        <w:tabs>
          <w:tab w:val="num" w:pos="792"/>
        </w:tabs>
        <w:ind w:left="792" w:hanging="792"/>
      </w:pPr>
      <w:rPr>
        <w:rFonts w:hint="default"/>
      </w:rPr>
    </w:lvl>
    <w:lvl w:ilvl="1">
      <w:start w:val="3"/>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4DC66F3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nsid w:val="53CF6979"/>
    <w:multiLevelType w:val="hybridMultilevel"/>
    <w:tmpl w:val="A2B454EA"/>
    <w:lvl w:ilvl="0" w:tplc="CB565F58">
      <w:start w:val="4"/>
      <w:numFmt w:val="decimal"/>
      <w:lvlText w:val="%1"/>
      <w:lvlJc w:val="left"/>
      <w:pPr>
        <w:tabs>
          <w:tab w:val="num" w:pos="1155"/>
        </w:tabs>
        <w:ind w:left="1155" w:hanging="795"/>
      </w:pPr>
      <w:rPr>
        <w:rFonts w:hint="default"/>
      </w:rPr>
    </w:lvl>
    <w:lvl w:ilvl="1" w:tplc="040C0001">
      <w:start w:val="1"/>
      <w:numFmt w:val="bullet"/>
      <w:lvlText w:val=""/>
      <w:lvlJc w:val="left"/>
      <w:pPr>
        <w:tabs>
          <w:tab w:val="num" w:pos="1440"/>
        </w:tabs>
        <w:ind w:left="1440" w:hanging="360"/>
      </w:pPr>
      <w:rPr>
        <w:rFonts w:ascii="Symbol" w:hAnsi="Symbol" w:cs="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4">
    <w:nsid w:val="54B15ABD"/>
    <w:multiLevelType w:val="multilevel"/>
    <w:tmpl w:val="A094DA1C"/>
    <w:lvl w:ilvl="0">
      <w:start w:val="15"/>
      <w:numFmt w:val="decimal"/>
      <w:lvlText w:val="%1"/>
      <w:lvlJc w:val="left"/>
      <w:pPr>
        <w:tabs>
          <w:tab w:val="num" w:pos="2970"/>
        </w:tabs>
        <w:ind w:left="2970" w:hanging="2970"/>
      </w:pPr>
      <w:rPr>
        <w:rFonts w:hint="default"/>
        <w:b/>
        <w:color w:val="auto"/>
      </w:rPr>
    </w:lvl>
    <w:lvl w:ilvl="1">
      <w:start w:val="7"/>
      <w:numFmt w:val="decimal"/>
      <w:lvlText w:val="%1.%2"/>
      <w:lvlJc w:val="left"/>
      <w:pPr>
        <w:tabs>
          <w:tab w:val="num" w:pos="2970"/>
        </w:tabs>
        <w:ind w:left="2970" w:hanging="2970"/>
      </w:pPr>
      <w:rPr>
        <w:rFonts w:hint="default"/>
        <w:b/>
        <w:color w:val="auto"/>
      </w:rPr>
    </w:lvl>
    <w:lvl w:ilvl="2">
      <w:start w:val="16"/>
      <w:numFmt w:val="decimal"/>
      <w:lvlText w:val="%1.%2-%3"/>
      <w:lvlJc w:val="left"/>
      <w:pPr>
        <w:tabs>
          <w:tab w:val="num" w:pos="2970"/>
        </w:tabs>
        <w:ind w:left="2970" w:hanging="2970"/>
      </w:pPr>
      <w:rPr>
        <w:rFonts w:hint="default"/>
        <w:b/>
        <w:color w:val="auto"/>
      </w:rPr>
    </w:lvl>
    <w:lvl w:ilvl="3">
      <w:start w:val="6"/>
      <w:numFmt w:val="decimal"/>
      <w:lvlText w:val="%1.%2-%3.%4"/>
      <w:lvlJc w:val="left"/>
      <w:pPr>
        <w:tabs>
          <w:tab w:val="num" w:pos="2970"/>
        </w:tabs>
        <w:ind w:left="2970" w:hanging="2970"/>
      </w:pPr>
      <w:rPr>
        <w:rFonts w:hint="default"/>
        <w:b/>
        <w:color w:val="auto"/>
      </w:rPr>
    </w:lvl>
    <w:lvl w:ilvl="4">
      <w:start w:val="1"/>
      <w:numFmt w:val="decimal"/>
      <w:lvlText w:val="%1.%2-%3.%4.%5"/>
      <w:lvlJc w:val="left"/>
      <w:pPr>
        <w:tabs>
          <w:tab w:val="num" w:pos="2970"/>
        </w:tabs>
        <w:ind w:left="2970" w:hanging="2970"/>
      </w:pPr>
      <w:rPr>
        <w:rFonts w:hint="default"/>
        <w:b/>
        <w:color w:val="auto"/>
      </w:rPr>
    </w:lvl>
    <w:lvl w:ilvl="5">
      <w:start w:val="1"/>
      <w:numFmt w:val="decimal"/>
      <w:lvlText w:val="%1.%2-%3.%4.%5.%6"/>
      <w:lvlJc w:val="left"/>
      <w:pPr>
        <w:tabs>
          <w:tab w:val="num" w:pos="2970"/>
        </w:tabs>
        <w:ind w:left="2970" w:hanging="2970"/>
      </w:pPr>
      <w:rPr>
        <w:rFonts w:hint="default"/>
        <w:b/>
        <w:color w:val="auto"/>
      </w:rPr>
    </w:lvl>
    <w:lvl w:ilvl="6">
      <w:start w:val="1"/>
      <w:numFmt w:val="decimal"/>
      <w:lvlText w:val="%1.%2-%3.%4.%5.%6.%7"/>
      <w:lvlJc w:val="left"/>
      <w:pPr>
        <w:tabs>
          <w:tab w:val="num" w:pos="2970"/>
        </w:tabs>
        <w:ind w:left="2970" w:hanging="2970"/>
      </w:pPr>
      <w:rPr>
        <w:rFonts w:hint="default"/>
        <w:b/>
        <w:color w:val="auto"/>
      </w:rPr>
    </w:lvl>
    <w:lvl w:ilvl="7">
      <w:start w:val="1"/>
      <w:numFmt w:val="decimal"/>
      <w:lvlText w:val="%1.%2-%3.%4.%5.%6.%7.%8"/>
      <w:lvlJc w:val="left"/>
      <w:pPr>
        <w:tabs>
          <w:tab w:val="num" w:pos="2970"/>
        </w:tabs>
        <w:ind w:left="2970" w:hanging="2970"/>
      </w:pPr>
      <w:rPr>
        <w:rFonts w:hint="default"/>
        <w:b/>
        <w:color w:val="auto"/>
      </w:rPr>
    </w:lvl>
    <w:lvl w:ilvl="8">
      <w:start w:val="1"/>
      <w:numFmt w:val="decimal"/>
      <w:lvlText w:val="%1.%2-%3.%4.%5.%6.%7.%8.%9"/>
      <w:lvlJc w:val="left"/>
      <w:pPr>
        <w:tabs>
          <w:tab w:val="num" w:pos="2970"/>
        </w:tabs>
        <w:ind w:left="2970" w:hanging="2970"/>
      </w:pPr>
      <w:rPr>
        <w:rFonts w:hint="default"/>
        <w:b/>
        <w:color w:val="auto"/>
      </w:rPr>
    </w:lvl>
  </w:abstractNum>
  <w:abstractNum w:abstractNumId="35">
    <w:nsid w:val="5B2979C0"/>
    <w:multiLevelType w:val="multilevel"/>
    <w:tmpl w:val="12F6CCEC"/>
    <w:lvl w:ilvl="0">
      <w:start w:val="1"/>
      <w:numFmt w:val="decimal"/>
      <w:lvlText w:val="%1"/>
      <w:lvlJc w:val="left"/>
      <w:pPr>
        <w:tabs>
          <w:tab w:val="num" w:pos="432"/>
        </w:tabs>
        <w:ind w:left="432" w:hanging="432"/>
      </w:pPr>
      <w:rPr>
        <w:rFonts w:cs="Times New Roman" w:hint="default"/>
        <w:color w:val="auto"/>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6">
    <w:nsid w:val="5B505F91"/>
    <w:multiLevelType w:val="hybridMultilevel"/>
    <w:tmpl w:val="4EEC26AE"/>
    <w:lvl w:ilvl="0" w:tplc="E67237BC">
      <w:numFmt w:val="bullet"/>
      <w:lvlText w:val=""/>
      <w:lvlJc w:val="left"/>
      <w:pPr>
        <w:tabs>
          <w:tab w:val="num" w:pos="284"/>
        </w:tabs>
        <w:ind w:left="284" w:hanging="284"/>
      </w:pPr>
      <w:rPr>
        <w:rFonts w:ascii="Symbol" w:hAnsi="Symbol" w:hint="default"/>
      </w:rPr>
    </w:lvl>
    <w:lvl w:ilvl="1" w:tplc="B6B6F83E" w:tentative="1">
      <w:start w:val="1"/>
      <w:numFmt w:val="bullet"/>
      <w:lvlText w:val="o"/>
      <w:lvlJc w:val="left"/>
      <w:pPr>
        <w:tabs>
          <w:tab w:val="num" w:pos="1440"/>
        </w:tabs>
        <w:ind w:left="1440" w:hanging="360"/>
      </w:pPr>
      <w:rPr>
        <w:rFonts w:ascii="Courier New" w:hAnsi="Courier New" w:cs="Courier New" w:hint="default"/>
      </w:rPr>
    </w:lvl>
    <w:lvl w:ilvl="2" w:tplc="2BDCF8E8" w:tentative="1">
      <w:start w:val="1"/>
      <w:numFmt w:val="bullet"/>
      <w:lvlText w:val=""/>
      <w:lvlJc w:val="left"/>
      <w:pPr>
        <w:tabs>
          <w:tab w:val="num" w:pos="2160"/>
        </w:tabs>
        <w:ind w:left="2160" w:hanging="360"/>
      </w:pPr>
      <w:rPr>
        <w:rFonts w:ascii="Wingdings" w:hAnsi="Wingdings" w:hint="default"/>
      </w:rPr>
    </w:lvl>
    <w:lvl w:ilvl="3" w:tplc="73ACFDC6" w:tentative="1">
      <w:start w:val="1"/>
      <w:numFmt w:val="bullet"/>
      <w:lvlText w:val=""/>
      <w:lvlJc w:val="left"/>
      <w:pPr>
        <w:tabs>
          <w:tab w:val="num" w:pos="2880"/>
        </w:tabs>
        <w:ind w:left="2880" w:hanging="360"/>
      </w:pPr>
      <w:rPr>
        <w:rFonts w:ascii="Symbol" w:hAnsi="Symbol" w:hint="default"/>
      </w:rPr>
    </w:lvl>
    <w:lvl w:ilvl="4" w:tplc="334C7194" w:tentative="1">
      <w:start w:val="1"/>
      <w:numFmt w:val="bullet"/>
      <w:lvlText w:val="o"/>
      <w:lvlJc w:val="left"/>
      <w:pPr>
        <w:tabs>
          <w:tab w:val="num" w:pos="3600"/>
        </w:tabs>
        <w:ind w:left="3600" w:hanging="360"/>
      </w:pPr>
      <w:rPr>
        <w:rFonts w:ascii="Courier New" w:hAnsi="Courier New" w:cs="Courier New" w:hint="default"/>
      </w:rPr>
    </w:lvl>
    <w:lvl w:ilvl="5" w:tplc="D3806140" w:tentative="1">
      <w:start w:val="1"/>
      <w:numFmt w:val="bullet"/>
      <w:lvlText w:val=""/>
      <w:lvlJc w:val="left"/>
      <w:pPr>
        <w:tabs>
          <w:tab w:val="num" w:pos="4320"/>
        </w:tabs>
        <w:ind w:left="4320" w:hanging="360"/>
      </w:pPr>
      <w:rPr>
        <w:rFonts w:ascii="Wingdings" w:hAnsi="Wingdings" w:hint="default"/>
      </w:rPr>
    </w:lvl>
    <w:lvl w:ilvl="6" w:tplc="604A6DA6" w:tentative="1">
      <w:start w:val="1"/>
      <w:numFmt w:val="bullet"/>
      <w:lvlText w:val=""/>
      <w:lvlJc w:val="left"/>
      <w:pPr>
        <w:tabs>
          <w:tab w:val="num" w:pos="5040"/>
        </w:tabs>
        <w:ind w:left="5040" w:hanging="360"/>
      </w:pPr>
      <w:rPr>
        <w:rFonts w:ascii="Symbol" w:hAnsi="Symbol" w:hint="default"/>
      </w:rPr>
    </w:lvl>
    <w:lvl w:ilvl="7" w:tplc="029ED17C" w:tentative="1">
      <w:start w:val="1"/>
      <w:numFmt w:val="bullet"/>
      <w:lvlText w:val="o"/>
      <w:lvlJc w:val="left"/>
      <w:pPr>
        <w:tabs>
          <w:tab w:val="num" w:pos="5760"/>
        </w:tabs>
        <w:ind w:left="5760" w:hanging="360"/>
      </w:pPr>
      <w:rPr>
        <w:rFonts w:ascii="Courier New" w:hAnsi="Courier New" w:cs="Courier New" w:hint="default"/>
      </w:rPr>
    </w:lvl>
    <w:lvl w:ilvl="8" w:tplc="2AA0C012" w:tentative="1">
      <w:start w:val="1"/>
      <w:numFmt w:val="bullet"/>
      <w:lvlText w:val=""/>
      <w:lvlJc w:val="left"/>
      <w:pPr>
        <w:tabs>
          <w:tab w:val="num" w:pos="6480"/>
        </w:tabs>
        <w:ind w:left="6480" w:hanging="360"/>
      </w:pPr>
      <w:rPr>
        <w:rFonts w:ascii="Wingdings" w:hAnsi="Wingdings" w:hint="default"/>
      </w:rPr>
    </w:lvl>
  </w:abstractNum>
  <w:abstractNum w:abstractNumId="37">
    <w:nsid w:val="61536E0C"/>
    <w:multiLevelType w:val="hybridMultilevel"/>
    <w:tmpl w:val="3A12123E"/>
    <w:lvl w:ilvl="0" w:tplc="4B1E25F4">
      <w:start w:val="1"/>
      <w:numFmt w:val="decimal"/>
      <w:lvlText w:val="%1."/>
      <w:lvlJc w:val="left"/>
      <w:pPr>
        <w:tabs>
          <w:tab w:val="num" w:pos="360"/>
        </w:tabs>
        <w:ind w:left="360" w:hanging="360"/>
      </w:pPr>
    </w:lvl>
    <w:lvl w:ilvl="1" w:tplc="47B43CD4">
      <w:start w:val="1"/>
      <w:numFmt w:val="lowerLetter"/>
      <w:lvlText w:val="%2."/>
      <w:lvlJc w:val="left"/>
      <w:pPr>
        <w:tabs>
          <w:tab w:val="num" w:pos="1080"/>
        </w:tabs>
        <w:ind w:left="1080" w:hanging="360"/>
      </w:pPr>
    </w:lvl>
    <w:lvl w:ilvl="2" w:tplc="F9E8DC3E">
      <w:start w:val="1"/>
      <w:numFmt w:val="lowerRoman"/>
      <w:lvlText w:val="%3."/>
      <w:lvlJc w:val="right"/>
      <w:pPr>
        <w:tabs>
          <w:tab w:val="num" w:pos="1800"/>
        </w:tabs>
        <w:ind w:left="1800" w:hanging="180"/>
      </w:pPr>
    </w:lvl>
    <w:lvl w:ilvl="3" w:tplc="B6EAB58A" w:tentative="1">
      <w:start w:val="1"/>
      <w:numFmt w:val="decimal"/>
      <w:lvlText w:val="%4."/>
      <w:lvlJc w:val="left"/>
      <w:pPr>
        <w:tabs>
          <w:tab w:val="num" w:pos="2520"/>
        </w:tabs>
        <w:ind w:left="2520" w:hanging="360"/>
      </w:pPr>
    </w:lvl>
    <w:lvl w:ilvl="4" w:tplc="0A10755E" w:tentative="1">
      <w:start w:val="1"/>
      <w:numFmt w:val="lowerLetter"/>
      <w:lvlText w:val="%5."/>
      <w:lvlJc w:val="left"/>
      <w:pPr>
        <w:tabs>
          <w:tab w:val="num" w:pos="3240"/>
        </w:tabs>
        <w:ind w:left="3240" w:hanging="360"/>
      </w:pPr>
    </w:lvl>
    <w:lvl w:ilvl="5" w:tplc="0A3AA60A" w:tentative="1">
      <w:start w:val="1"/>
      <w:numFmt w:val="lowerRoman"/>
      <w:lvlText w:val="%6."/>
      <w:lvlJc w:val="right"/>
      <w:pPr>
        <w:tabs>
          <w:tab w:val="num" w:pos="3960"/>
        </w:tabs>
        <w:ind w:left="3960" w:hanging="180"/>
      </w:pPr>
    </w:lvl>
    <w:lvl w:ilvl="6" w:tplc="7296460C" w:tentative="1">
      <w:start w:val="1"/>
      <w:numFmt w:val="decimal"/>
      <w:lvlText w:val="%7."/>
      <w:lvlJc w:val="left"/>
      <w:pPr>
        <w:tabs>
          <w:tab w:val="num" w:pos="4680"/>
        </w:tabs>
        <w:ind w:left="4680" w:hanging="360"/>
      </w:pPr>
    </w:lvl>
    <w:lvl w:ilvl="7" w:tplc="C5D2AF22" w:tentative="1">
      <w:start w:val="1"/>
      <w:numFmt w:val="lowerLetter"/>
      <w:lvlText w:val="%8."/>
      <w:lvlJc w:val="left"/>
      <w:pPr>
        <w:tabs>
          <w:tab w:val="num" w:pos="5400"/>
        </w:tabs>
        <w:ind w:left="5400" w:hanging="360"/>
      </w:pPr>
    </w:lvl>
    <w:lvl w:ilvl="8" w:tplc="414A3A38" w:tentative="1">
      <w:start w:val="1"/>
      <w:numFmt w:val="lowerRoman"/>
      <w:lvlText w:val="%9."/>
      <w:lvlJc w:val="right"/>
      <w:pPr>
        <w:tabs>
          <w:tab w:val="num" w:pos="6120"/>
        </w:tabs>
        <w:ind w:left="6120" w:hanging="180"/>
      </w:pPr>
    </w:lvl>
  </w:abstractNum>
  <w:abstractNum w:abstractNumId="38">
    <w:nsid w:val="65495C12"/>
    <w:multiLevelType w:val="multilevel"/>
    <w:tmpl w:val="C0A2ABBE"/>
    <w:lvl w:ilvl="0">
      <w:start w:val="1"/>
      <w:numFmt w:val="decimal"/>
      <w:lvlText w:val="%1"/>
      <w:lvlJc w:val="left"/>
      <w:pPr>
        <w:tabs>
          <w:tab w:val="num" w:pos="792"/>
        </w:tabs>
        <w:ind w:left="792" w:hanging="792"/>
      </w:pPr>
      <w:rPr>
        <w:rFonts w:hint="default"/>
      </w:rPr>
    </w:lvl>
    <w:lvl w:ilvl="1">
      <w:start w:val="15"/>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0CB61D4"/>
    <w:multiLevelType w:val="multilevel"/>
    <w:tmpl w:val="B3821D76"/>
    <w:lvl w:ilvl="0">
      <w:start w:val="15"/>
      <w:numFmt w:val="decimal"/>
      <w:lvlText w:val="%1"/>
      <w:lvlJc w:val="left"/>
      <w:pPr>
        <w:tabs>
          <w:tab w:val="num" w:pos="2970"/>
        </w:tabs>
        <w:ind w:left="2970" w:hanging="2970"/>
      </w:pPr>
      <w:rPr>
        <w:rFonts w:hint="default"/>
        <w:b/>
        <w:color w:val="auto"/>
      </w:rPr>
    </w:lvl>
    <w:lvl w:ilvl="1">
      <w:start w:val="63"/>
      <w:numFmt w:val="decimal"/>
      <w:lvlText w:val="%1.%2"/>
      <w:lvlJc w:val="left"/>
      <w:pPr>
        <w:tabs>
          <w:tab w:val="num" w:pos="2970"/>
        </w:tabs>
        <w:ind w:left="2970" w:hanging="2970"/>
      </w:pPr>
      <w:rPr>
        <w:rFonts w:hint="default"/>
        <w:b/>
        <w:color w:val="auto"/>
      </w:rPr>
    </w:lvl>
    <w:lvl w:ilvl="2">
      <w:start w:val="15"/>
      <w:numFmt w:val="decimal"/>
      <w:lvlText w:val="%1.%2-%3"/>
      <w:lvlJc w:val="left"/>
      <w:pPr>
        <w:tabs>
          <w:tab w:val="num" w:pos="2970"/>
        </w:tabs>
        <w:ind w:left="2970" w:hanging="2970"/>
      </w:pPr>
      <w:rPr>
        <w:rFonts w:hint="default"/>
        <w:b/>
        <w:color w:val="auto"/>
      </w:rPr>
    </w:lvl>
    <w:lvl w:ilvl="3">
      <w:start w:val="7"/>
      <w:numFmt w:val="decimal"/>
      <w:lvlText w:val="%1.%2-%3.%4"/>
      <w:lvlJc w:val="left"/>
      <w:pPr>
        <w:tabs>
          <w:tab w:val="num" w:pos="2970"/>
        </w:tabs>
        <w:ind w:left="2970" w:hanging="2970"/>
      </w:pPr>
      <w:rPr>
        <w:rFonts w:hint="default"/>
        <w:b/>
        <w:color w:val="auto"/>
      </w:rPr>
    </w:lvl>
    <w:lvl w:ilvl="4">
      <w:start w:val="1"/>
      <w:numFmt w:val="decimal"/>
      <w:lvlText w:val="%1.%2-%3.%4.%5"/>
      <w:lvlJc w:val="left"/>
      <w:pPr>
        <w:tabs>
          <w:tab w:val="num" w:pos="2970"/>
        </w:tabs>
        <w:ind w:left="2970" w:hanging="2970"/>
      </w:pPr>
      <w:rPr>
        <w:rFonts w:hint="default"/>
        <w:b/>
        <w:color w:val="auto"/>
      </w:rPr>
    </w:lvl>
    <w:lvl w:ilvl="5">
      <w:start w:val="1"/>
      <w:numFmt w:val="decimal"/>
      <w:lvlText w:val="%1.%2-%3.%4.%5.%6"/>
      <w:lvlJc w:val="left"/>
      <w:pPr>
        <w:tabs>
          <w:tab w:val="num" w:pos="2970"/>
        </w:tabs>
        <w:ind w:left="2970" w:hanging="2970"/>
      </w:pPr>
      <w:rPr>
        <w:rFonts w:hint="default"/>
        <w:b/>
        <w:color w:val="auto"/>
      </w:rPr>
    </w:lvl>
    <w:lvl w:ilvl="6">
      <w:start w:val="1"/>
      <w:numFmt w:val="decimal"/>
      <w:lvlText w:val="%1.%2-%3.%4.%5.%6.%7"/>
      <w:lvlJc w:val="left"/>
      <w:pPr>
        <w:tabs>
          <w:tab w:val="num" w:pos="2970"/>
        </w:tabs>
        <w:ind w:left="2970" w:hanging="2970"/>
      </w:pPr>
      <w:rPr>
        <w:rFonts w:hint="default"/>
        <w:b/>
        <w:color w:val="auto"/>
      </w:rPr>
    </w:lvl>
    <w:lvl w:ilvl="7">
      <w:start w:val="1"/>
      <w:numFmt w:val="decimal"/>
      <w:lvlText w:val="%1.%2-%3.%4.%5.%6.%7.%8"/>
      <w:lvlJc w:val="left"/>
      <w:pPr>
        <w:tabs>
          <w:tab w:val="num" w:pos="2970"/>
        </w:tabs>
        <w:ind w:left="2970" w:hanging="2970"/>
      </w:pPr>
      <w:rPr>
        <w:rFonts w:hint="default"/>
        <w:b/>
        <w:color w:val="auto"/>
      </w:rPr>
    </w:lvl>
    <w:lvl w:ilvl="8">
      <w:start w:val="1"/>
      <w:numFmt w:val="decimal"/>
      <w:lvlText w:val="%1.%2-%3.%4.%5.%6.%7.%8.%9"/>
      <w:lvlJc w:val="left"/>
      <w:pPr>
        <w:tabs>
          <w:tab w:val="num" w:pos="2970"/>
        </w:tabs>
        <w:ind w:left="2970" w:hanging="2970"/>
      </w:pPr>
      <w:rPr>
        <w:rFonts w:hint="default"/>
        <w:b/>
        <w:color w:val="auto"/>
      </w:rPr>
    </w:lvl>
  </w:abstractNum>
  <w:abstractNum w:abstractNumId="41">
    <w:nsid w:val="730D028F"/>
    <w:multiLevelType w:val="multilevel"/>
    <w:tmpl w:val="85E41DA4"/>
    <w:lvl w:ilvl="0">
      <w:start w:val="5"/>
      <w:numFmt w:val="decimal"/>
      <w:suff w:val="nothing"/>
      <w:lvlText w:val="ARTICLE %1 - "/>
      <w:lvlJc w:val="center"/>
      <w:pPr>
        <w:ind w:left="4320" w:hanging="4320"/>
      </w:pPr>
      <w:rPr>
        <w:rFonts w:ascii="Times New Roman Bold" w:hAnsi="Times New Roman Bold" w:cs="Times New Roman" w:hint="default"/>
        <w:b/>
        <w:i w:val="0"/>
        <w:caps/>
        <w:sz w:val="24"/>
        <w:szCs w:val="24"/>
        <w:u w:val="none"/>
      </w:rPr>
    </w:lvl>
    <w:lvl w:ilvl="1">
      <w:start w:val="1"/>
      <w:numFmt w:val="decimal"/>
      <w:isLgl/>
      <w:lvlText w:val="%1.%2"/>
      <w:lvlJc w:val="left"/>
      <w:pPr>
        <w:tabs>
          <w:tab w:val="num" w:pos="1008"/>
        </w:tabs>
        <w:ind w:left="1008" w:hanging="1008"/>
      </w:pPr>
      <w:rPr>
        <w:rFonts w:ascii="Times New Roman Bold" w:hAnsi="Times New Roman Bold" w:cs="Times New Roman" w:hint="default"/>
        <w:b/>
        <w:i w:val="0"/>
        <w:sz w:val="24"/>
        <w:szCs w:val="24"/>
        <w:u w:val="none"/>
      </w:rPr>
    </w:lvl>
    <w:lvl w:ilvl="2">
      <w:start w:val="1"/>
      <w:numFmt w:val="decimal"/>
      <w:lvlText w:val="%1.%2.%3."/>
      <w:lvlJc w:val="left"/>
      <w:pPr>
        <w:tabs>
          <w:tab w:val="num" w:pos="1008"/>
        </w:tabs>
        <w:ind w:left="1008" w:hanging="1008"/>
      </w:pPr>
      <w:rPr>
        <w:rFonts w:ascii="Times New Roman" w:hAnsi="Times New Roman" w:cs="Times New Roman" w:hint="default"/>
        <w:b w:val="0"/>
        <w:i w:val="0"/>
        <w:sz w:val="24"/>
        <w:szCs w:val="24"/>
        <w:u w:val="none"/>
      </w:rPr>
    </w:lvl>
    <w:lvl w:ilvl="3">
      <w:start w:val="1"/>
      <w:numFmt w:val="lowerLetter"/>
      <w:lvlText w:val="(%4)"/>
      <w:lvlJc w:val="left"/>
      <w:pPr>
        <w:tabs>
          <w:tab w:val="num" w:pos="1728"/>
        </w:tabs>
        <w:ind w:left="1728" w:hanging="720"/>
      </w:pPr>
      <w:rPr>
        <w:rFonts w:ascii="Times New Roman" w:hAnsi="Times New Roman" w:cs="Times New Roman" w:hint="default"/>
        <w:b w:val="0"/>
        <w:i w:val="0"/>
        <w:sz w:val="24"/>
        <w:szCs w:val="24"/>
        <w:u w:val="none"/>
      </w:rPr>
    </w:lvl>
    <w:lvl w:ilvl="4">
      <w:start w:val="1"/>
      <w:numFmt w:val="lowerRoman"/>
      <w:lvlText w:val="(%5)"/>
      <w:lvlJc w:val="left"/>
      <w:pPr>
        <w:tabs>
          <w:tab w:val="num" w:pos="2448"/>
        </w:tabs>
        <w:ind w:left="2448" w:hanging="720"/>
      </w:pPr>
      <w:rPr>
        <w:rFonts w:ascii="Times New Roman" w:hAnsi="Times New Roman" w:cs="Times New Roman" w:hint="default"/>
        <w:b w:val="0"/>
        <w:i w:val="0"/>
        <w:sz w:val="24"/>
        <w:szCs w:val="24"/>
        <w:u w:val="none"/>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4320"/>
        </w:tabs>
        <w:ind w:left="4320" w:hanging="720"/>
      </w:pPr>
      <w:rPr>
        <w:rFonts w:cs="Times New Roman" w:hint="default"/>
      </w:rPr>
    </w:lvl>
    <w:lvl w:ilvl="8">
      <w:start w:val="1"/>
      <w:numFmt w:val="upperLetter"/>
      <w:lvlText w:val="%9)"/>
      <w:lvlJc w:val="left"/>
      <w:pPr>
        <w:tabs>
          <w:tab w:val="num" w:pos="4320"/>
        </w:tabs>
        <w:ind w:left="4320" w:hanging="720"/>
      </w:pPr>
      <w:rPr>
        <w:rFonts w:cs="Times New Roman" w:hint="default"/>
      </w:rPr>
    </w:lvl>
  </w:abstractNum>
  <w:abstractNum w:abstractNumId="42">
    <w:nsid w:val="79306EEA"/>
    <w:multiLevelType w:val="multilevel"/>
    <w:tmpl w:val="12C42EE4"/>
    <w:lvl w:ilvl="0">
      <w:start w:val="1"/>
      <w:numFmt w:val="decimal"/>
      <w:lvlText w:val="%1"/>
      <w:lvlJc w:val="left"/>
      <w:pPr>
        <w:tabs>
          <w:tab w:val="num" w:pos="795"/>
        </w:tabs>
        <w:ind w:left="795" w:hanging="795"/>
      </w:pPr>
      <w:rPr>
        <w:rFonts w:cs="Times New Roman" w:hint="default"/>
      </w:rPr>
    </w:lvl>
    <w:lvl w:ilvl="1">
      <w:start w:val="1"/>
      <w:numFmt w:val="decimal"/>
      <w:isLgl/>
      <w:lvlText w:val="%1.%2"/>
      <w:lvlJc w:val="left"/>
      <w:pPr>
        <w:tabs>
          <w:tab w:val="num" w:pos="795"/>
        </w:tabs>
        <w:ind w:left="795" w:hanging="795"/>
      </w:pPr>
      <w:rPr>
        <w:rFonts w:cs="Times New Roman" w:hint="default"/>
      </w:rPr>
    </w:lvl>
    <w:lvl w:ilvl="2">
      <w:start w:val="1"/>
      <w:numFmt w:val="decimal"/>
      <w:isLgl/>
      <w:lvlText w:val="%1.%2.%3"/>
      <w:lvlJc w:val="left"/>
      <w:pPr>
        <w:tabs>
          <w:tab w:val="num" w:pos="795"/>
        </w:tabs>
        <w:ind w:left="795" w:hanging="795"/>
      </w:pPr>
      <w:rPr>
        <w:rFonts w:cs="Times New Roman" w:hint="default"/>
      </w:rPr>
    </w:lvl>
    <w:lvl w:ilvl="3">
      <w:start w:val="1"/>
      <w:numFmt w:val="decimal"/>
      <w:isLgl/>
      <w:lvlText w:val="%1.%2.%3.%4"/>
      <w:lvlJc w:val="left"/>
      <w:pPr>
        <w:tabs>
          <w:tab w:val="num" w:pos="795"/>
        </w:tabs>
        <w:ind w:left="795" w:hanging="79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3">
    <w:nsid w:val="797F57B2"/>
    <w:multiLevelType w:val="multilevel"/>
    <w:tmpl w:val="1996DA9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4">
    <w:nsid w:val="7A2E094F"/>
    <w:multiLevelType w:val="hybridMultilevel"/>
    <w:tmpl w:val="B4A0EF7E"/>
    <w:lvl w:ilvl="0" w:tplc="D9B0D9B4">
      <w:start w:val="1"/>
      <w:numFmt w:val="bullet"/>
      <w:lvlText w:val=""/>
      <w:lvlJc w:val="left"/>
      <w:pPr>
        <w:tabs>
          <w:tab w:val="num" w:pos="360"/>
        </w:tabs>
        <w:ind w:left="360" w:hanging="360"/>
      </w:pPr>
      <w:rPr>
        <w:rFonts w:ascii="Symbol" w:hAnsi="Symbol" w:hint="default"/>
      </w:rPr>
    </w:lvl>
    <w:lvl w:ilvl="1" w:tplc="8F949AD4" w:tentative="1">
      <w:start w:val="1"/>
      <w:numFmt w:val="bullet"/>
      <w:lvlText w:val="o"/>
      <w:lvlJc w:val="left"/>
      <w:pPr>
        <w:tabs>
          <w:tab w:val="num" w:pos="1080"/>
        </w:tabs>
        <w:ind w:left="1080" w:hanging="360"/>
      </w:pPr>
      <w:rPr>
        <w:rFonts w:ascii="Courier New" w:hAnsi="Courier New" w:cs="Courier New" w:hint="default"/>
      </w:rPr>
    </w:lvl>
    <w:lvl w:ilvl="2" w:tplc="48623DC4" w:tentative="1">
      <w:start w:val="1"/>
      <w:numFmt w:val="bullet"/>
      <w:lvlText w:val=""/>
      <w:lvlJc w:val="left"/>
      <w:pPr>
        <w:tabs>
          <w:tab w:val="num" w:pos="1800"/>
        </w:tabs>
        <w:ind w:left="1800" w:hanging="360"/>
      </w:pPr>
      <w:rPr>
        <w:rFonts w:ascii="Wingdings" w:hAnsi="Wingdings" w:hint="default"/>
      </w:rPr>
    </w:lvl>
    <w:lvl w:ilvl="3" w:tplc="EABE2744" w:tentative="1">
      <w:start w:val="1"/>
      <w:numFmt w:val="bullet"/>
      <w:lvlText w:val=""/>
      <w:lvlJc w:val="left"/>
      <w:pPr>
        <w:tabs>
          <w:tab w:val="num" w:pos="2520"/>
        </w:tabs>
        <w:ind w:left="2520" w:hanging="360"/>
      </w:pPr>
      <w:rPr>
        <w:rFonts w:ascii="Symbol" w:hAnsi="Symbol" w:hint="default"/>
      </w:rPr>
    </w:lvl>
    <w:lvl w:ilvl="4" w:tplc="AE187604" w:tentative="1">
      <w:start w:val="1"/>
      <w:numFmt w:val="bullet"/>
      <w:lvlText w:val="o"/>
      <w:lvlJc w:val="left"/>
      <w:pPr>
        <w:tabs>
          <w:tab w:val="num" w:pos="3240"/>
        </w:tabs>
        <w:ind w:left="3240" w:hanging="360"/>
      </w:pPr>
      <w:rPr>
        <w:rFonts w:ascii="Courier New" w:hAnsi="Courier New" w:cs="Courier New" w:hint="default"/>
      </w:rPr>
    </w:lvl>
    <w:lvl w:ilvl="5" w:tplc="E61EB78C" w:tentative="1">
      <w:start w:val="1"/>
      <w:numFmt w:val="bullet"/>
      <w:lvlText w:val=""/>
      <w:lvlJc w:val="left"/>
      <w:pPr>
        <w:tabs>
          <w:tab w:val="num" w:pos="3960"/>
        </w:tabs>
        <w:ind w:left="3960" w:hanging="360"/>
      </w:pPr>
      <w:rPr>
        <w:rFonts w:ascii="Wingdings" w:hAnsi="Wingdings" w:hint="default"/>
      </w:rPr>
    </w:lvl>
    <w:lvl w:ilvl="6" w:tplc="FB5A45D0" w:tentative="1">
      <w:start w:val="1"/>
      <w:numFmt w:val="bullet"/>
      <w:lvlText w:val=""/>
      <w:lvlJc w:val="left"/>
      <w:pPr>
        <w:tabs>
          <w:tab w:val="num" w:pos="4680"/>
        </w:tabs>
        <w:ind w:left="4680" w:hanging="360"/>
      </w:pPr>
      <w:rPr>
        <w:rFonts w:ascii="Symbol" w:hAnsi="Symbol" w:hint="default"/>
      </w:rPr>
    </w:lvl>
    <w:lvl w:ilvl="7" w:tplc="AFEA5A1C" w:tentative="1">
      <w:start w:val="1"/>
      <w:numFmt w:val="bullet"/>
      <w:lvlText w:val="o"/>
      <w:lvlJc w:val="left"/>
      <w:pPr>
        <w:tabs>
          <w:tab w:val="num" w:pos="5400"/>
        </w:tabs>
        <w:ind w:left="5400" w:hanging="360"/>
      </w:pPr>
      <w:rPr>
        <w:rFonts w:ascii="Courier New" w:hAnsi="Courier New" w:cs="Courier New" w:hint="default"/>
      </w:rPr>
    </w:lvl>
    <w:lvl w:ilvl="8" w:tplc="3B4638A4" w:tentative="1">
      <w:start w:val="1"/>
      <w:numFmt w:val="bullet"/>
      <w:lvlText w:val=""/>
      <w:lvlJc w:val="left"/>
      <w:pPr>
        <w:tabs>
          <w:tab w:val="num" w:pos="6120"/>
        </w:tabs>
        <w:ind w:left="6120" w:hanging="360"/>
      </w:pPr>
      <w:rPr>
        <w:rFonts w:ascii="Wingdings" w:hAnsi="Wingdings" w:hint="default"/>
      </w:rPr>
    </w:lvl>
  </w:abstractNum>
  <w:abstractNum w:abstractNumId="45">
    <w:nsid w:val="7AF8608A"/>
    <w:multiLevelType w:val="multilevel"/>
    <w:tmpl w:val="9BDAA224"/>
    <w:lvl w:ilvl="0">
      <w:start w:val="17"/>
      <w:numFmt w:val="decimal"/>
      <w:lvlText w:val="%1"/>
      <w:lvlJc w:val="left"/>
      <w:pPr>
        <w:tabs>
          <w:tab w:val="num" w:pos="2970"/>
        </w:tabs>
        <w:ind w:left="2970" w:hanging="2970"/>
      </w:pPr>
      <w:rPr>
        <w:rFonts w:hint="default"/>
        <w:b/>
        <w:color w:val="auto"/>
      </w:rPr>
    </w:lvl>
    <w:lvl w:ilvl="1">
      <w:start w:val="1"/>
      <w:numFmt w:val="decimal"/>
      <w:lvlText w:val="%1.%2"/>
      <w:lvlJc w:val="left"/>
      <w:pPr>
        <w:tabs>
          <w:tab w:val="num" w:pos="2970"/>
        </w:tabs>
        <w:ind w:left="2970" w:hanging="2970"/>
      </w:pPr>
      <w:rPr>
        <w:rFonts w:hint="default"/>
        <w:b/>
        <w:color w:val="auto"/>
      </w:rPr>
    </w:lvl>
    <w:lvl w:ilvl="2">
      <w:start w:val="17"/>
      <w:numFmt w:val="decimal"/>
      <w:lvlText w:val="%1.%2-%3"/>
      <w:lvlJc w:val="left"/>
      <w:pPr>
        <w:tabs>
          <w:tab w:val="num" w:pos="2970"/>
        </w:tabs>
        <w:ind w:left="2970" w:hanging="2970"/>
      </w:pPr>
      <w:rPr>
        <w:rFonts w:hint="default"/>
        <w:b/>
        <w:color w:val="auto"/>
      </w:rPr>
    </w:lvl>
    <w:lvl w:ilvl="3">
      <w:start w:val="2"/>
      <w:numFmt w:val="decimal"/>
      <w:lvlText w:val="%1.%2-%3.%4"/>
      <w:lvlJc w:val="left"/>
      <w:pPr>
        <w:tabs>
          <w:tab w:val="num" w:pos="2970"/>
        </w:tabs>
        <w:ind w:left="2970" w:hanging="2970"/>
      </w:pPr>
      <w:rPr>
        <w:rFonts w:hint="default"/>
        <w:b/>
        <w:color w:val="auto"/>
      </w:rPr>
    </w:lvl>
    <w:lvl w:ilvl="4">
      <w:start w:val="1"/>
      <w:numFmt w:val="decimal"/>
      <w:lvlText w:val="%1.%2-%3.%4.%5"/>
      <w:lvlJc w:val="left"/>
      <w:pPr>
        <w:tabs>
          <w:tab w:val="num" w:pos="2970"/>
        </w:tabs>
        <w:ind w:left="2970" w:hanging="2970"/>
      </w:pPr>
      <w:rPr>
        <w:rFonts w:hint="default"/>
        <w:b/>
        <w:color w:val="auto"/>
      </w:rPr>
    </w:lvl>
    <w:lvl w:ilvl="5">
      <w:start w:val="1"/>
      <w:numFmt w:val="decimal"/>
      <w:lvlText w:val="%1.%2-%3.%4.%5.%6"/>
      <w:lvlJc w:val="left"/>
      <w:pPr>
        <w:tabs>
          <w:tab w:val="num" w:pos="2970"/>
        </w:tabs>
        <w:ind w:left="2970" w:hanging="2970"/>
      </w:pPr>
      <w:rPr>
        <w:rFonts w:hint="default"/>
        <w:b/>
        <w:color w:val="auto"/>
      </w:rPr>
    </w:lvl>
    <w:lvl w:ilvl="6">
      <w:start w:val="1"/>
      <w:numFmt w:val="decimal"/>
      <w:lvlText w:val="%1.%2-%3.%4.%5.%6.%7"/>
      <w:lvlJc w:val="left"/>
      <w:pPr>
        <w:tabs>
          <w:tab w:val="num" w:pos="2970"/>
        </w:tabs>
        <w:ind w:left="2970" w:hanging="2970"/>
      </w:pPr>
      <w:rPr>
        <w:rFonts w:hint="default"/>
        <w:b/>
        <w:color w:val="auto"/>
      </w:rPr>
    </w:lvl>
    <w:lvl w:ilvl="7">
      <w:start w:val="1"/>
      <w:numFmt w:val="decimal"/>
      <w:lvlText w:val="%1.%2-%3.%4.%5.%6.%7.%8"/>
      <w:lvlJc w:val="left"/>
      <w:pPr>
        <w:tabs>
          <w:tab w:val="num" w:pos="2970"/>
        </w:tabs>
        <w:ind w:left="2970" w:hanging="2970"/>
      </w:pPr>
      <w:rPr>
        <w:rFonts w:hint="default"/>
        <w:b/>
        <w:color w:val="auto"/>
      </w:rPr>
    </w:lvl>
    <w:lvl w:ilvl="8">
      <w:start w:val="1"/>
      <w:numFmt w:val="decimal"/>
      <w:lvlText w:val="%1.%2-%3.%4.%5.%6.%7.%8.%9"/>
      <w:lvlJc w:val="left"/>
      <w:pPr>
        <w:tabs>
          <w:tab w:val="num" w:pos="2970"/>
        </w:tabs>
        <w:ind w:left="2970" w:hanging="2970"/>
      </w:pPr>
      <w:rPr>
        <w:rFonts w:hint="default"/>
        <w:b/>
        <w:color w:val="auto"/>
      </w:rPr>
    </w:lvl>
  </w:abstractNum>
  <w:abstractNum w:abstractNumId="46">
    <w:nsid w:val="7B803F8C"/>
    <w:multiLevelType w:val="hybridMultilevel"/>
    <w:tmpl w:val="29843874"/>
    <w:lvl w:ilvl="0" w:tplc="702E0368">
      <w:start w:val="1"/>
      <w:numFmt w:val="lowerLetter"/>
      <w:lvlText w:val="%1."/>
      <w:lvlJc w:val="left"/>
      <w:pPr>
        <w:tabs>
          <w:tab w:val="num" w:pos="360"/>
        </w:tabs>
        <w:ind w:left="360" w:hanging="360"/>
      </w:pPr>
      <w:rPr>
        <w:rFonts w:hint="default"/>
      </w:rPr>
    </w:lvl>
    <w:lvl w:ilvl="1" w:tplc="1D8841C2">
      <w:start w:val="1"/>
      <w:numFmt w:val="lowerLetter"/>
      <w:lvlText w:val="%2."/>
      <w:lvlJc w:val="left"/>
      <w:pPr>
        <w:tabs>
          <w:tab w:val="num" w:pos="360"/>
        </w:tabs>
        <w:ind w:left="360" w:hanging="360"/>
      </w:pPr>
      <w:rPr>
        <w:rFonts w:hint="default"/>
      </w:rPr>
    </w:lvl>
    <w:lvl w:ilvl="2" w:tplc="1ABE5492" w:tentative="1">
      <w:start w:val="1"/>
      <w:numFmt w:val="lowerRoman"/>
      <w:lvlText w:val="%3."/>
      <w:lvlJc w:val="right"/>
      <w:pPr>
        <w:tabs>
          <w:tab w:val="num" w:pos="1080"/>
        </w:tabs>
        <w:ind w:left="1080" w:hanging="180"/>
      </w:pPr>
    </w:lvl>
    <w:lvl w:ilvl="3" w:tplc="FF6ECC2A" w:tentative="1">
      <w:start w:val="1"/>
      <w:numFmt w:val="decimal"/>
      <w:lvlText w:val="%4."/>
      <w:lvlJc w:val="left"/>
      <w:pPr>
        <w:tabs>
          <w:tab w:val="num" w:pos="1800"/>
        </w:tabs>
        <w:ind w:left="1800" w:hanging="360"/>
      </w:pPr>
    </w:lvl>
    <w:lvl w:ilvl="4" w:tplc="03866CA4" w:tentative="1">
      <w:start w:val="1"/>
      <w:numFmt w:val="lowerLetter"/>
      <w:lvlText w:val="%5."/>
      <w:lvlJc w:val="left"/>
      <w:pPr>
        <w:tabs>
          <w:tab w:val="num" w:pos="2520"/>
        </w:tabs>
        <w:ind w:left="2520" w:hanging="360"/>
      </w:pPr>
    </w:lvl>
    <w:lvl w:ilvl="5" w:tplc="54860E82" w:tentative="1">
      <w:start w:val="1"/>
      <w:numFmt w:val="lowerRoman"/>
      <w:lvlText w:val="%6."/>
      <w:lvlJc w:val="right"/>
      <w:pPr>
        <w:tabs>
          <w:tab w:val="num" w:pos="3240"/>
        </w:tabs>
        <w:ind w:left="3240" w:hanging="180"/>
      </w:pPr>
    </w:lvl>
    <w:lvl w:ilvl="6" w:tplc="02BC5C46" w:tentative="1">
      <w:start w:val="1"/>
      <w:numFmt w:val="decimal"/>
      <w:lvlText w:val="%7."/>
      <w:lvlJc w:val="left"/>
      <w:pPr>
        <w:tabs>
          <w:tab w:val="num" w:pos="3960"/>
        </w:tabs>
        <w:ind w:left="3960" w:hanging="360"/>
      </w:pPr>
    </w:lvl>
    <w:lvl w:ilvl="7" w:tplc="5F6636F8" w:tentative="1">
      <w:start w:val="1"/>
      <w:numFmt w:val="lowerLetter"/>
      <w:lvlText w:val="%8."/>
      <w:lvlJc w:val="left"/>
      <w:pPr>
        <w:tabs>
          <w:tab w:val="num" w:pos="4680"/>
        </w:tabs>
        <w:ind w:left="4680" w:hanging="360"/>
      </w:pPr>
    </w:lvl>
    <w:lvl w:ilvl="8" w:tplc="17BE39DC" w:tentative="1">
      <w:start w:val="1"/>
      <w:numFmt w:val="lowerRoman"/>
      <w:lvlText w:val="%9."/>
      <w:lvlJc w:val="right"/>
      <w:pPr>
        <w:tabs>
          <w:tab w:val="num" w:pos="5400"/>
        </w:tabs>
        <w:ind w:left="5400" w:hanging="180"/>
      </w:pPr>
    </w:lvl>
  </w:abstractNum>
  <w:abstractNum w:abstractNumId="47">
    <w:nsid w:val="7FA10C87"/>
    <w:multiLevelType w:val="hybridMultilevel"/>
    <w:tmpl w:val="FC7E00C2"/>
    <w:lvl w:ilvl="0" w:tplc="040C0017">
      <w:start w:val="5"/>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36"/>
  </w:num>
  <w:num w:numId="4">
    <w:abstractNumId w:val="26"/>
  </w:num>
  <w:num w:numId="5">
    <w:abstractNumId w:val="15"/>
  </w:num>
  <w:num w:numId="6">
    <w:abstractNumId w:val="46"/>
  </w:num>
  <w:num w:numId="7">
    <w:abstractNumId w:val="17"/>
  </w:num>
  <w:num w:numId="8">
    <w:abstractNumId w:val="24"/>
  </w:num>
  <w:num w:numId="9">
    <w:abstractNumId w:val="25"/>
  </w:num>
  <w:num w:numId="10">
    <w:abstractNumId w:val="23"/>
  </w:num>
  <w:num w:numId="11">
    <w:abstractNumId w:val="39"/>
  </w:num>
  <w:num w:numId="12">
    <w:abstractNumId w:val="35"/>
  </w:num>
  <w:num w:numId="13">
    <w:abstractNumId w:val="32"/>
  </w:num>
  <w:num w:numId="14">
    <w:abstractNumId w:val="42"/>
  </w:num>
  <w:num w:numId="15">
    <w:abstractNumId w:val="22"/>
  </w:num>
  <w:num w:numId="16">
    <w:abstractNumId w:val="43"/>
  </w:num>
  <w:num w:numId="17">
    <w:abstractNumId w:val="41"/>
  </w:num>
  <w:num w:numId="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8"/>
  </w:num>
  <w:num w:numId="21">
    <w:abstractNumId w:val="11"/>
    <w:lvlOverride w:ilvl="0">
      <w:lvl w:ilvl="0">
        <w:numFmt w:val="bullet"/>
        <w:lvlText w:val=""/>
        <w:legacy w:legacy="1" w:legacySpace="0" w:legacyIndent="0"/>
        <w:lvlJc w:val="left"/>
        <w:rPr>
          <w:rFonts w:ascii="Symbol" w:hAnsi="Symbol" w:hint="default"/>
        </w:rPr>
      </w:lvl>
    </w:lvlOverride>
  </w:num>
  <w:num w:numId="22">
    <w:abstractNumId w:val="33"/>
  </w:num>
  <w:num w:numId="23">
    <w:abstractNumId w:val="8"/>
  </w:num>
  <w:num w:numId="24">
    <w:abstractNumId w:val="7"/>
  </w:num>
  <w:num w:numId="25">
    <w:abstractNumId w:val="6"/>
  </w:num>
  <w:num w:numId="26">
    <w:abstractNumId w:val="5"/>
  </w:num>
  <w:num w:numId="27">
    <w:abstractNumId w:val="9"/>
  </w:num>
  <w:num w:numId="28">
    <w:abstractNumId w:val="4"/>
  </w:num>
  <w:num w:numId="29">
    <w:abstractNumId w:val="3"/>
  </w:num>
  <w:num w:numId="30">
    <w:abstractNumId w:val="2"/>
  </w:num>
  <w:num w:numId="31">
    <w:abstractNumId w:val="1"/>
  </w:num>
  <w:num w:numId="32">
    <w:abstractNumId w:val="30"/>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29"/>
  </w:num>
  <w:num w:numId="36">
    <w:abstractNumId w:val="31"/>
  </w:num>
  <w:num w:numId="37">
    <w:abstractNumId w:val="27"/>
  </w:num>
  <w:num w:numId="38">
    <w:abstractNumId w:val="21"/>
  </w:num>
  <w:num w:numId="39">
    <w:abstractNumId w:val="38"/>
  </w:num>
  <w:num w:numId="40">
    <w:abstractNumId w:val="20"/>
  </w:num>
  <w:num w:numId="41">
    <w:abstractNumId w:val="44"/>
  </w:num>
  <w:num w:numId="42">
    <w:abstractNumId w:val="12"/>
  </w:num>
  <w:num w:numId="43">
    <w:abstractNumId w:val="40"/>
  </w:num>
  <w:num w:numId="44">
    <w:abstractNumId w:val="34"/>
  </w:num>
  <w:num w:numId="45">
    <w:abstractNumId w:val="45"/>
  </w:num>
  <w:num w:numId="46">
    <w:abstractNumId w:val="47"/>
  </w:num>
  <w:num w:numId="47">
    <w:abstractNumId w:val="18"/>
  </w:num>
  <w:num w:numId="48">
    <w:abstractNumId w:val="13"/>
  </w:num>
  <w:num w:numId="49">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ctiveWritingStyle w:appName="MSWord" w:lang="en-GB" w:vendorID="64" w:dllVersion="131077" w:nlCheck="1" w:checkStyle="1"/>
  <w:activeWritingStyle w:appName="MSWord" w:lang="en-US" w:vendorID="64" w:dllVersion="131077" w:nlCheck="1" w:checkStyle="1"/>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de-CH" w:vendorID="64" w:dllVersion="131078" w:nlCheck="1" w:checkStyle="1"/>
  <w:activeWritingStyle w:appName="MSWord" w:lang="fr-CH" w:vendorID="64" w:dllVersion="131078" w:nlCheck="1" w:checkStyle="1"/>
  <w:activeWritingStyle w:appName="MSWord" w:lang="de-D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AU" w:vendorID="64" w:dllVersion="131078" w:nlCheck="1" w:checkStyle="1"/>
  <w:attachedTemplate r:id="rId1"/>
  <w:stylePaneFormatFilter w:val="3001"/>
  <w:stylePaneSortMethod w:val="0000"/>
  <w:defaultTabStop w:val="720"/>
  <w:hyphenationZone w:val="357"/>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42265"/>
    <o:shapelayout v:ext="edit">
      <o:idmap v:ext="edit" data="2"/>
    </o:shapelayout>
  </w:hdrShapeDefaults>
  <w:footnotePr>
    <w:footnote w:id="-1"/>
    <w:footnote w:id="0"/>
  </w:footnotePr>
  <w:endnotePr>
    <w:endnote w:id="-1"/>
    <w:endnote w:id="0"/>
  </w:endnotePr>
  <w:compat>
    <w:useFELayout/>
  </w:compat>
  <w:rsids>
    <w:rsidRoot w:val="00F97148"/>
    <w:rsid w:val="00000A4F"/>
    <w:rsid w:val="000032CF"/>
    <w:rsid w:val="0000365F"/>
    <w:rsid w:val="000038A5"/>
    <w:rsid w:val="00007953"/>
    <w:rsid w:val="0001099A"/>
    <w:rsid w:val="00010B79"/>
    <w:rsid w:val="00010FE6"/>
    <w:rsid w:val="00011887"/>
    <w:rsid w:val="00013915"/>
    <w:rsid w:val="00013DC1"/>
    <w:rsid w:val="00015535"/>
    <w:rsid w:val="00015D4C"/>
    <w:rsid w:val="0001651E"/>
    <w:rsid w:val="00016903"/>
    <w:rsid w:val="00016BF5"/>
    <w:rsid w:val="000231E5"/>
    <w:rsid w:val="0002641B"/>
    <w:rsid w:val="0003039B"/>
    <w:rsid w:val="00030629"/>
    <w:rsid w:val="00032CDA"/>
    <w:rsid w:val="0003433B"/>
    <w:rsid w:val="000343B3"/>
    <w:rsid w:val="00035700"/>
    <w:rsid w:val="00036303"/>
    <w:rsid w:val="0003633E"/>
    <w:rsid w:val="00041985"/>
    <w:rsid w:val="000438AD"/>
    <w:rsid w:val="0004485F"/>
    <w:rsid w:val="00047026"/>
    <w:rsid w:val="0004791C"/>
    <w:rsid w:val="00052702"/>
    <w:rsid w:val="00055C69"/>
    <w:rsid w:val="00061064"/>
    <w:rsid w:val="000615C2"/>
    <w:rsid w:val="0006325B"/>
    <w:rsid w:val="00065262"/>
    <w:rsid w:val="00065683"/>
    <w:rsid w:val="00065842"/>
    <w:rsid w:val="0006684C"/>
    <w:rsid w:val="00067022"/>
    <w:rsid w:val="00070BBB"/>
    <w:rsid w:val="0007242C"/>
    <w:rsid w:val="00073A0C"/>
    <w:rsid w:val="0007593A"/>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68A9"/>
    <w:rsid w:val="00096FCD"/>
    <w:rsid w:val="00097754"/>
    <w:rsid w:val="000A068B"/>
    <w:rsid w:val="000A0BAE"/>
    <w:rsid w:val="000A1C7E"/>
    <w:rsid w:val="000A1CB8"/>
    <w:rsid w:val="000A2861"/>
    <w:rsid w:val="000A2922"/>
    <w:rsid w:val="000A596D"/>
    <w:rsid w:val="000A6EEF"/>
    <w:rsid w:val="000B146C"/>
    <w:rsid w:val="000B1E86"/>
    <w:rsid w:val="000B3024"/>
    <w:rsid w:val="000B30AE"/>
    <w:rsid w:val="000B33D5"/>
    <w:rsid w:val="000B403C"/>
    <w:rsid w:val="000B54BE"/>
    <w:rsid w:val="000B5C27"/>
    <w:rsid w:val="000B736B"/>
    <w:rsid w:val="000C0DA9"/>
    <w:rsid w:val="000C1194"/>
    <w:rsid w:val="000C1A79"/>
    <w:rsid w:val="000C1C46"/>
    <w:rsid w:val="000C523A"/>
    <w:rsid w:val="000C5CBD"/>
    <w:rsid w:val="000C6E3D"/>
    <w:rsid w:val="000C7F20"/>
    <w:rsid w:val="000D1657"/>
    <w:rsid w:val="000D476E"/>
    <w:rsid w:val="000D4A85"/>
    <w:rsid w:val="000D5603"/>
    <w:rsid w:val="000D5C10"/>
    <w:rsid w:val="000D7851"/>
    <w:rsid w:val="000E2E20"/>
    <w:rsid w:val="000E36DD"/>
    <w:rsid w:val="000E405B"/>
    <w:rsid w:val="000E5BF1"/>
    <w:rsid w:val="000E6C26"/>
    <w:rsid w:val="000E7C4A"/>
    <w:rsid w:val="000F00FF"/>
    <w:rsid w:val="000F0928"/>
    <w:rsid w:val="000F126E"/>
    <w:rsid w:val="000F375A"/>
    <w:rsid w:val="000F444B"/>
    <w:rsid w:val="000F6A2A"/>
    <w:rsid w:val="0010310F"/>
    <w:rsid w:val="001035E3"/>
    <w:rsid w:val="0010386F"/>
    <w:rsid w:val="0010499F"/>
    <w:rsid w:val="00105CFB"/>
    <w:rsid w:val="00112903"/>
    <w:rsid w:val="001134F9"/>
    <w:rsid w:val="00113C23"/>
    <w:rsid w:val="0011440A"/>
    <w:rsid w:val="00114AA7"/>
    <w:rsid w:val="00115571"/>
    <w:rsid w:val="00115E2D"/>
    <w:rsid w:val="001162EB"/>
    <w:rsid w:val="001174F4"/>
    <w:rsid w:val="0012283B"/>
    <w:rsid w:val="001229D0"/>
    <w:rsid w:val="00123E51"/>
    <w:rsid w:val="00124DAD"/>
    <w:rsid w:val="00125ADB"/>
    <w:rsid w:val="0012623E"/>
    <w:rsid w:val="00126ED1"/>
    <w:rsid w:val="0012717E"/>
    <w:rsid w:val="0013106F"/>
    <w:rsid w:val="00131F4D"/>
    <w:rsid w:val="00132FDF"/>
    <w:rsid w:val="00136260"/>
    <w:rsid w:val="00137E5A"/>
    <w:rsid w:val="00141100"/>
    <w:rsid w:val="00141723"/>
    <w:rsid w:val="001426A7"/>
    <w:rsid w:val="001454D4"/>
    <w:rsid w:val="0014691A"/>
    <w:rsid w:val="001476E5"/>
    <w:rsid w:val="00147E69"/>
    <w:rsid w:val="0015035A"/>
    <w:rsid w:val="00153922"/>
    <w:rsid w:val="00155A67"/>
    <w:rsid w:val="001560F3"/>
    <w:rsid w:val="0015627E"/>
    <w:rsid w:val="00156988"/>
    <w:rsid w:val="00156DA9"/>
    <w:rsid w:val="00163165"/>
    <w:rsid w:val="00163F7E"/>
    <w:rsid w:val="00166053"/>
    <w:rsid w:val="00166431"/>
    <w:rsid w:val="00170FE4"/>
    <w:rsid w:val="0017110E"/>
    <w:rsid w:val="001719C0"/>
    <w:rsid w:val="00171B83"/>
    <w:rsid w:val="00172018"/>
    <w:rsid w:val="00173A63"/>
    <w:rsid w:val="00173ED0"/>
    <w:rsid w:val="001744CA"/>
    <w:rsid w:val="001757A8"/>
    <w:rsid w:val="0017672F"/>
    <w:rsid w:val="00180BBF"/>
    <w:rsid w:val="00181882"/>
    <w:rsid w:val="001836BF"/>
    <w:rsid w:val="00183F01"/>
    <w:rsid w:val="001906BB"/>
    <w:rsid w:val="00190F06"/>
    <w:rsid w:val="00191E9B"/>
    <w:rsid w:val="001927C0"/>
    <w:rsid w:val="00192AD0"/>
    <w:rsid w:val="0019314C"/>
    <w:rsid w:val="00193445"/>
    <w:rsid w:val="00193CCB"/>
    <w:rsid w:val="0019421A"/>
    <w:rsid w:val="0019694A"/>
    <w:rsid w:val="001A0156"/>
    <w:rsid w:val="001A1806"/>
    <w:rsid w:val="001A1EBB"/>
    <w:rsid w:val="001A30C0"/>
    <w:rsid w:val="001A3E3C"/>
    <w:rsid w:val="001A4124"/>
    <w:rsid w:val="001A648C"/>
    <w:rsid w:val="001A6CBC"/>
    <w:rsid w:val="001B112E"/>
    <w:rsid w:val="001B1BC3"/>
    <w:rsid w:val="001B1C1A"/>
    <w:rsid w:val="001B1CCF"/>
    <w:rsid w:val="001B4837"/>
    <w:rsid w:val="001B55C5"/>
    <w:rsid w:val="001B6AC1"/>
    <w:rsid w:val="001B6C2B"/>
    <w:rsid w:val="001B7013"/>
    <w:rsid w:val="001B7231"/>
    <w:rsid w:val="001C02E3"/>
    <w:rsid w:val="001C10F0"/>
    <w:rsid w:val="001C147D"/>
    <w:rsid w:val="001C2DA0"/>
    <w:rsid w:val="001C2FE5"/>
    <w:rsid w:val="001C387C"/>
    <w:rsid w:val="001C450B"/>
    <w:rsid w:val="001C4BA3"/>
    <w:rsid w:val="001C621D"/>
    <w:rsid w:val="001C739F"/>
    <w:rsid w:val="001D0543"/>
    <w:rsid w:val="001D1509"/>
    <w:rsid w:val="001D1739"/>
    <w:rsid w:val="001D1B00"/>
    <w:rsid w:val="001D3015"/>
    <w:rsid w:val="001D40DC"/>
    <w:rsid w:val="001D40F5"/>
    <w:rsid w:val="001D411E"/>
    <w:rsid w:val="001D622B"/>
    <w:rsid w:val="001D62B2"/>
    <w:rsid w:val="001D7B29"/>
    <w:rsid w:val="001D7EB3"/>
    <w:rsid w:val="001E1987"/>
    <w:rsid w:val="001E2C63"/>
    <w:rsid w:val="001E35F8"/>
    <w:rsid w:val="001E393C"/>
    <w:rsid w:val="001E3E82"/>
    <w:rsid w:val="001E4E68"/>
    <w:rsid w:val="001E4EFC"/>
    <w:rsid w:val="001E6B63"/>
    <w:rsid w:val="001E7CAC"/>
    <w:rsid w:val="001F05BD"/>
    <w:rsid w:val="001F05EE"/>
    <w:rsid w:val="001F1011"/>
    <w:rsid w:val="001F2F83"/>
    <w:rsid w:val="001F3051"/>
    <w:rsid w:val="001F3325"/>
    <w:rsid w:val="001F3BFE"/>
    <w:rsid w:val="001F632A"/>
    <w:rsid w:val="002001C0"/>
    <w:rsid w:val="002009F0"/>
    <w:rsid w:val="00200D16"/>
    <w:rsid w:val="00202194"/>
    <w:rsid w:val="002024CF"/>
    <w:rsid w:val="00206C31"/>
    <w:rsid w:val="00206DD5"/>
    <w:rsid w:val="0020761F"/>
    <w:rsid w:val="002107F4"/>
    <w:rsid w:val="00210C72"/>
    <w:rsid w:val="00215528"/>
    <w:rsid w:val="00215C08"/>
    <w:rsid w:val="00217E9F"/>
    <w:rsid w:val="00217FC1"/>
    <w:rsid w:val="00222646"/>
    <w:rsid w:val="00224924"/>
    <w:rsid w:val="0022778B"/>
    <w:rsid w:val="00227800"/>
    <w:rsid w:val="002314C9"/>
    <w:rsid w:val="0023295F"/>
    <w:rsid w:val="002336B5"/>
    <w:rsid w:val="00234059"/>
    <w:rsid w:val="00235E81"/>
    <w:rsid w:val="002369FD"/>
    <w:rsid w:val="0023765F"/>
    <w:rsid w:val="00240C1C"/>
    <w:rsid w:val="00240EA5"/>
    <w:rsid w:val="0024122F"/>
    <w:rsid w:val="00242DAE"/>
    <w:rsid w:val="00244D9A"/>
    <w:rsid w:val="00244EF3"/>
    <w:rsid w:val="002455FC"/>
    <w:rsid w:val="00245C7B"/>
    <w:rsid w:val="002460E4"/>
    <w:rsid w:val="00246A28"/>
    <w:rsid w:val="00246ABA"/>
    <w:rsid w:val="00246FE8"/>
    <w:rsid w:val="00247AA5"/>
    <w:rsid w:val="00254364"/>
    <w:rsid w:val="00256C4F"/>
    <w:rsid w:val="00260AAB"/>
    <w:rsid w:val="00260F99"/>
    <w:rsid w:val="0026248C"/>
    <w:rsid w:val="002634F5"/>
    <w:rsid w:val="00264224"/>
    <w:rsid w:val="002647F0"/>
    <w:rsid w:val="0026535F"/>
    <w:rsid w:val="00267ED8"/>
    <w:rsid w:val="0027059E"/>
    <w:rsid w:val="00271302"/>
    <w:rsid w:val="002714E0"/>
    <w:rsid w:val="00274628"/>
    <w:rsid w:val="0027589D"/>
    <w:rsid w:val="00275ABD"/>
    <w:rsid w:val="00277B65"/>
    <w:rsid w:val="00280AEE"/>
    <w:rsid w:val="00281436"/>
    <w:rsid w:val="002823CD"/>
    <w:rsid w:val="00282BE9"/>
    <w:rsid w:val="00284032"/>
    <w:rsid w:val="00287100"/>
    <w:rsid w:val="00290099"/>
    <w:rsid w:val="00290643"/>
    <w:rsid w:val="00291785"/>
    <w:rsid w:val="00291A4D"/>
    <w:rsid w:val="00291B8E"/>
    <w:rsid w:val="00291FEB"/>
    <w:rsid w:val="002949F9"/>
    <w:rsid w:val="00294C26"/>
    <w:rsid w:val="00294C44"/>
    <w:rsid w:val="00295870"/>
    <w:rsid w:val="00296DBD"/>
    <w:rsid w:val="00296EDF"/>
    <w:rsid w:val="0029787C"/>
    <w:rsid w:val="002A1026"/>
    <w:rsid w:val="002A13DE"/>
    <w:rsid w:val="002A1617"/>
    <w:rsid w:val="002A27D0"/>
    <w:rsid w:val="002A33A2"/>
    <w:rsid w:val="002A4500"/>
    <w:rsid w:val="002A4BFD"/>
    <w:rsid w:val="002A62A0"/>
    <w:rsid w:val="002A6A17"/>
    <w:rsid w:val="002B0E45"/>
    <w:rsid w:val="002B2BA5"/>
    <w:rsid w:val="002B347C"/>
    <w:rsid w:val="002B53E2"/>
    <w:rsid w:val="002B62CE"/>
    <w:rsid w:val="002C37A9"/>
    <w:rsid w:val="002C5F86"/>
    <w:rsid w:val="002C67D1"/>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766F"/>
    <w:rsid w:val="002D7756"/>
    <w:rsid w:val="002E060D"/>
    <w:rsid w:val="002E22B6"/>
    <w:rsid w:val="002E2FC7"/>
    <w:rsid w:val="002E410D"/>
    <w:rsid w:val="002E6625"/>
    <w:rsid w:val="002E6A8B"/>
    <w:rsid w:val="002F03DD"/>
    <w:rsid w:val="002F29A6"/>
    <w:rsid w:val="002F30F0"/>
    <w:rsid w:val="002F31A2"/>
    <w:rsid w:val="002F49C3"/>
    <w:rsid w:val="002F68AC"/>
    <w:rsid w:val="002F68B0"/>
    <w:rsid w:val="002F7CBE"/>
    <w:rsid w:val="002F7CE1"/>
    <w:rsid w:val="00300AAB"/>
    <w:rsid w:val="00301B3B"/>
    <w:rsid w:val="0030342E"/>
    <w:rsid w:val="003036CC"/>
    <w:rsid w:val="00304C0D"/>
    <w:rsid w:val="003072AC"/>
    <w:rsid w:val="00310994"/>
    <w:rsid w:val="00311A96"/>
    <w:rsid w:val="00311D5D"/>
    <w:rsid w:val="0031285A"/>
    <w:rsid w:val="003136AD"/>
    <w:rsid w:val="00315567"/>
    <w:rsid w:val="003156AF"/>
    <w:rsid w:val="003160B6"/>
    <w:rsid w:val="00316FFD"/>
    <w:rsid w:val="00320D72"/>
    <w:rsid w:val="0032559F"/>
    <w:rsid w:val="003266BD"/>
    <w:rsid w:val="00327F7B"/>
    <w:rsid w:val="00330221"/>
    <w:rsid w:val="00331292"/>
    <w:rsid w:val="003315E8"/>
    <w:rsid w:val="00337712"/>
    <w:rsid w:val="00337912"/>
    <w:rsid w:val="00340618"/>
    <w:rsid w:val="00343171"/>
    <w:rsid w:val="003437E9"/>
    <w:rsid w:val="00343D7F"/>
    <w:rsid w:val="00344381"/>
    <w:rsid w:val="003479E0"/>
    <w:rsid w:val="00350544"/>
    <w:rsid w:val="00355278"/>
    <w:rsid w:val="00355785"/>
    <w:rsid w:val="00355E77"/>
    <w:rsid w:val="00356049"/>
    <w:rsid w:val="00356CC2"/>
    <w:rsid w:val="003603B5"/>
    <w:rsid w:val="00364137"/>
    <w:rsid w:val="0036541D"/>
    <w:rsid w:val="00366375"/>
    <w:rsid w:val="00370725"/>
    <w:rsid w:val="00370C9A"/>
    <w:rsid w:val="0037236B"/>
    <w:rsid w:val="00372DEF"/>
    <w:rsid w:val="00376745"/>
    <w:rsid w:val="00377B49"/>
    <w:rsid w:val="0038021B"/>
    <w:rsid w:val="00381342"/>
    <w:rsid w:val="00381F3F"/>
    <w:rsid w:val="00382983"/>
    <w:rsid w:val="003829E6"/>
    <w:rsid w:val="00383F84"/>
    <w:rsid w:val="00387213"/>
    <w:rsid w:val="00390223"/>
    <w:rsid w:val="003907FB"/>
    <w:rsid w:val="003944F7"/>
    <w:rsid w:val="003946E7"/>
    <w:rsid w:val="00394791"/>
    <w:rsid w:val="0039616F"/>
    <w:rsid w:val="00396F81"/>
    <w:rsid w:val="003A04EA"/>
    <w:rsid w:val="003A5E56"/>
    <w:rsid w:val="003A6D13"/>
    <w:rsid w:val="003A717A"/>
    <w:rsid w:val="003B0EFD"/>
    <w:rsid w:val="003B1017"/>
    <w:rsid w:val="003B1AFC"/>
    <w:rsid w:val="003B1CC2"/>
    <w:rsid w:val="003B6263"/>
    <w:rsid w:val="003B765D"/>
    <w:rsid w:val="003C0BF7"/>
    <w:rsid w:val="003C138C"/>
    <w:rsid w:val="003C1634"/>
    <w:rsid w:val="003C39F0"/>
    <w:rsid w:val="003C4615"/>
    <w:rsid w:val="003C4A4C"/>
    <w:rsid w:val="003C60F1"/>
    <w:rsid w:val="003C617B"/>
    <w:rsid w:val="003C6CA8"/>
    <w:rsid w:val="003C6CAF"/>
    <w:rsid w:val="003C6D0A"/>
    <w:rsid w:val="003C78B2"/>
    <w:rsid w:val="003C7BF7"/>
    <w:rsid w:val="003D0AF3"/>
    <w:rsid w:val="003D1E70"/>
    <w:rsid w:val="003D2732"/>
    <w:rsid w:val="003D28C4"/>
    <w:rsid w:val="003D2DBE"/>
    <w:rsid w:val="003E0EB8"/>
    <w:rsid w:val="003E26DC"/>
    <w:rsid w:val="003E2E93"/>
    <w:rsid w:val="003E4192"/>
    <w:rsid w:val="003E41BF"/>
    <w:rsid w:val="003E4ACF"/>
    <w:rsid w:val="003E4C34"/>
    <w:rsid w:val="003E4E0B"/>
    <w:rsid w:val="003E6203"/>
    <w:rsid w:val="003E656B"/>
    <w:rsid w:val="003E6C90"/>
    <w:rsid w:val="003E712A"/>
    <w:rsid w:val="003F1DF3"/>
    <w:rsid w:val="003F268C"/>
    <w:rsid w:val="003F27E3"/>
    <w:rsid w:val="003F3793"/>
    <w:rsid w:val="003F4B00"/>
    <w:rsid w:val="003F5B1B"/>
    <w:rsid w:val="003F64C1"/>
    <w:rsid w:val="003F6E93"/>
    <w:rsid w:val="004022EE"/>
    <w:rsid w:val="004022F0"/>
    <w:rsid w:val="004027AB"/>
    <w:rsid w:val="00402CCF"/>
    <w:rsid w:val="00402E74"/>
    <w:rsid w:val="00404F1D"/>
    <w:rsid w:val="004109A1"/>
    <w:rsid w:val="00412409"/>
    <w:rsid w:val="0041291B"/>
    <w:rsid w:val="0041414F"/>
    <w:rsid w:val="00416CAB"/>
    <w:rsid w:val="004179BC"/>
    <w:rsid w:val="004204B9"/>
    <w:rsid w:val="00420F48"/>
    <w:rsid w:val="00422957"/>
    <w:rsid w:val="00423203"/>
    <w:rsid w:val="00425516"/>
    <w:rsid w:val="00425EEA"/>
    <w:rsid w:val="00425F5D"/>
    <w:rsid w:val="004325CD"/>
    <w:rsid w:val="00432EAD"/>
    <w:rsid w:val="00433AF2"/>
    <w:rsid w:val="00433B27"/>
    <w:rsid w:val="00433D6A"/>
    <w:rsid w:val="00435AA2"/>
    <w:rsid w:val="00435C38"/>
    <w:rsid w:val="0043625B"/>
    <w:rsid w:val="00437234"/>
    <w:rsid w:val="00437306"/>
    <w:rsid w:val="004400F8"/>
    <w:rsid w:val="0044119B"/>
    <w:rsid w:val="00442FC0"/>
    <w:rsid w:val="00443F05"/>
    <w:rsid w:val="00444069"/>
    <w:rsid w:val="004452B8"/>
    <w:rsid w:val="00445B0E"/>
    <w:rsid w:val="004461A0"/>
    <w:rsid w:val="0045095B"/>
    <w:rsid w:val="00450F5E"/>
    <w:rsid w:val="00451F70"/>
    <w:rsid w:val="00453732"/>
    <w:rsid w:val="00462254"/>
    <w:rsid w:val="0046306C"/>
    <w:rsid w:val="004632F7"/>
    <w:rsid w:val="00463770"/>
    <w:rsid w:val="00467DF9"/>
    <w:rsid w:val="00470244"/>
    <w:rsid w:val="0047229C"/>
    <w:rsid w:val="00473765"/>
    <w:rsid w:val="00473947"/>
    <w:rsid w:val="0047660C"/>
    <w:rsid w:val="004772F3"/>
    <w:rsid w:val="00480196"/>
    <w:rsid w:val="00480D3F"/>
    <w:rsid w:val="004833C0"/>
    <w:rsid w:val="004848FD"/>
    <w:rsid w:val="004850D3"/>
    <w:rsid w:val="00486AE5"/>
    <w:rsid w:val="00486E6B"/>
    <w:rsid w:val="00486F07"/>
    <w:rsid w:val="00487898"/>
    <w:rsid w:val="0048795F"/>
    <w:rsid w:val="00487FEE"/>
    <w:rsid w:val="00490187"/>
    <w:rsid w:val="00491CD2"/>
    <w:rsid w:val="00493A5F"/>
    <w:rsid w:val="0049418E"/>
    <w:rsid w:val="00494537"/>
    <w:rsid w:val="004958C8"/>
    <w:rsid w:val="004A212F"/>
    <w:rsid w:val="004A3104"/>
    <w:rsid w:val="004A4C07"/>
    <w:rsid w:val="004A5C70"/>
    <w:rsid w:val="004A7428"/>
    <w:rsid w:val="004B0781"/>
    <w:rsid w:val="004B1877"/>
    <w:rsid w:val="004B30C2"/>
    <w:rsid w:val="004B4949"/>
    <w:rsid w:val="004B531A"/>
    <w:rsid w:val="004B6CDD"/>
    <w:rsid w:val="004B6F23"/>
    <w:rsid w:val="004B7BDA"/>
    <w:rsid w:val="004B7DC2"/>
    <w:rsid w:val="004C0320"/>
    <w:rsid w:val="004C09E4"/>
    <w:rsid w:val="004C1E49"/>
    <w:rsid w:val="004C1FBA"/>
    <w:rsid w:val="004C228C"/>
    <w:rsid w:val="004C2B34"/>
    <w:rsid w:val="004C3771"/>
    <w:rsid w:val="004D0A60"/>
    <w:rsid w:val="004D0D2B"/>
    <w:rsid w:val="004D360D"/>
    <w:rsid w:val="004D4DC7"/>
    <w:rsid w:val="004D70BA"/>
    <w:rsid w:val="004E0D03"/>
    <w:rsid w:val="004E18ED"/>
    <w:rsid w:val="004E1A7F"/>
    <w:rsid w:val="004E3BB4"/>
    <w:rsid w:val="004E46AA"/>
    <w:rsid w:val="004E48B6"/>
    <w:rsid w:val="004E5BAF"/>
    <w:rsid w:val="004E6529"/>
    <w:rsid w:val="004F0C31"/>
    <w:rsid w:val="004F1055"/>
    <w:rsid w:val="004F1504"/>
    <w:rsid w:val="004F2162"/>
    <w:rsid w:val="004F22F1"/>
    <w:rsid w:val="004F3149"/>
    <w:rsid w:val="004F4542"/>
    <w:rsid w:val="004F4634"/>
    <w:rsid w:val="004F50C6"/>
    <w:rsid w:val="004F52FD"/>
    <w:rsid w:val="004F6E8F"/>
    <w:rsid w:val="00502CC5"/>
    <w:rsid w:val="005035A3"/>
    <w:rsid w:val="005054DD"/>
    <w:rsid w:val="0050673A"/>
    <w:rsid w:val="005072C0"/>
    <w:rsid w:val="00511488"/>
    <w:rsid w:val="00512CC8"/>
    <w:rsid w:val="005133C3"/>
    <w:rsid w:val="00513D5B"/>
    <w:rsid w:val="0051402C"/>
    <w:rsid w:val="00514B41"/>
    <w:rsid w:val="0052016F"/>
    <w:rsid w:val="005203F8"/>
    <w:rsid w:val="00520894"/>
    <w:rsid w:val="00523EA6"/>
    <w:rsid w:val="00526EBB"/>
    <w:rsid w:val="00527073"/>
    <w:rsid w:val="00530357"/>
    <w:rsid w:val="00534CBB"/>
    <w:rsid w:val="00535489"/>
    <w:rsid w:val="00535C30"/>
    <w:rsid w:val="00536338"/>
    <w:rsid w:val="00536FE0"/>
    <w:rsid w:val="00537B1C"/>
    <w:rsid w:val="0054008F"/>
    <w:rsid w:val="00541026"/>
    <w:rsid w:val="005422CE"/>
    <w:rsid w:val="00543384"/>
    <w:rsid w:val="005449F9"/>
    <w:rsid w:val="00545855"/>
    <w:rsid w:val="00546E3D"/>
    <w:rsid w:val="005506F8"/>
    <w:rsid w:val="005516AD"/>
    <w:rsid w:val="00551EC8"/>
    <w:rsid w:val="00553859"/>
    <w:rsid w:val="00553871"/>
    <w:rsid w:val="00553D5A"/>
    <w:rsid w:val="00554C4E"/>
    <w:rsid w:val="005553F4"/>
    <w:rsid w:val="0055641B"/>
    <w:rsid w:val="0055685F"/>
    <w:rsid w:val="00556883"/>
    <w:rsid w:val="00556D78"/>
    <w:rsid w:val="00560DB3"/>
    <w:rsid w:val="0056101E"/>
    <w:rsid w:val="00561B1E"/>
    <w:rsid w:val="00561E3D"/>
    <w:rsid w:val="0056350A"/>
    <w:rsid w:val="00566AA8"/>
    <w:rsid w:val="00567410"/>
    <w:rsid w:val="00571538"/>
    <w:rsid w:val="00571C9A"/>
    <w:rsid w:val="00575EC2"/>
    <w:rsid w:val="00576909"/>
    <w:rsid w:val="00576A3C"/>
    <w:rsid w:val="00577838"/>
    <w:rsid w:val="00577ED5"/>
    <w:rsid w:val="005825D6"/>
    <w:rsid w:val="005829F9"/>
    <w:rsid w:val="00583470"/>
    <w:rsid w:val="005836FD"/>
    <w:rsid w:val="00583865"/>
    <w:rsid w:val="00583B0F"/>
    <w:rsid w:val="00584E09"/>
    <w:rsid w:val="00585801"/>
    <w:rsid w:val="00585974"/>
    <w:rsid w:val="00594F8D"/>
    <w:rsid w:val="00597D24"/>
    <w:rsid w:val="00597EF4"/>
    <w:rsid w:val="005A01F6"/>
    <w:rsid w:val="005A131C"/>
    <w:rsid w:val="005A3562"/>
    <w:rsid w:val="005A3678"/>
    <w:rsid w:val="005A396A"/>
    <w:rsid w:val="005A3B2B"/>
    <w:rsid w:val="005A4F79"/>
    <w:rsid w:val="005A76EF"/>
    <w:rsid w:val="005B0547"/>
    <w:rsid w:val="005B3037"/>
    <w:rsid w:val="005B333D"/>
    <w:rsid w:val="005B38B5"/>
    <w:rsid w:val="005B6841"/>
    <w:rsid w:val="005B7B4D"/>
    <w:rsid w:val="005C656B"/>
    <w:rsid w:val="005C6D5B"/>
    <w:rsid w:val="005C7389"/>
    <w:rsid w:val="005D129C"/>
    <w:rsid w:val="005D3B1E"/>
    <w:rsid w:val="005D4B12"/>
    <w:rsid w:val="005D5873"/>
    <w:rsid w:val="005D5A95"/>
    <w:rsid w:val="005D6BCF"/>
    <w:rsid w:val="005D6F84"/>
    <w:rsid w:val="005E073F"/>
    <w:rsid w:val="005E0960"/>
    <w:rsid w:val="005E0A51"/>
    <w:rsid w:val="005E108E"/>
    <w:rsid w:val="005E19BA"/>
    <w:rsid w:val="005E3627"/>
    <w:rsid w:val="005E3C36"/>
    <w:rsid w:val="005E5408"/>
    <w:rsid w:val="005E69D5"/>
    <w:rsid w:val="005E702A"/>
    <w:rsid w:val="005F0038"/>
    <w:rsid w:val="005F195A"/>
    <w:rsid w:val="005F25E8"/>
    <w:rsid w:val="005F300D"/>
    <w:rsid w:val="005F3A1A"/>
    <w:rsid w:val="005F3BA5"/>
    <w:rsid w:val="005F3C1E"/>
    <w:rsid w:val="005F3ED5"/>
    <w:rsid w:val="005F6B21"/>
    <w:rsid w:val="00600310"/>
    <w:rsid w:val="00600376"/>
    <w:rsid w:val="00601903"/>
    <w:rsid w:val="00601B7B"/>
    <w:rsid w:val="00601FDD"/>
    <w:rsid w:val="0060238B"/>
    <w:rsid w:val="00602BEF"/>
    <w:rsid w:val="00604A68"/>
    <w:rsid w:val="00604D51"/>
    <w:rsid w:val="00605805"/>
    <w:rsid w:val="006059B6"/>
    <w:rsid w:val="0060625E"/>
    <w:rsid w:val="00606A25"/>
    <w:rsid w:val="006070F7"/>
    <w:rsid w:val="00607BF2"/>
    <w:rsid w:val="00610B9B"/>
    <w:rsid w:val="0061125E"/>
    <w:rsid w:val="006139CD"/>
    <w:rsid w:val="00614008"/>
    <w:rsid w:val="0061625A"/>
    <w:rsid w:val="00616940"/>
    <w:rsid w:val="0061763D"/>
    <w:rsid w:val="00622F67"/>
    <w:rsid w:val="00625367"/>
    <w:rsid w:val="0062683D"/>
    <w:rsid w:val="006311D9"/>
    <w:rsid w:val="006336DA"/>
    <w:rsid w:val="006345D0"/>
    <w:rsid w:val="00634AB7"/>
    <w:rsid w:val="00640F60"/>
    <w:rsid w:val="00641555"/>
    <w:rsid w:val="00641684"/>
    <w:rsid w:val="00643C57"/>
    <w:rsid w:val="006445FF"/>
    <w:rsid w:val="0064488D"/>
    <w:rsid w:val="00644DBF"/>
    <w:rsid w:val="006451FC"/>
    <w:rsid w:val="00645D4F"/>
    <w:rsid w:val="00651328"/>
    <w:rsid w:val="00651A6E"/>
    <w:rsid w:val="00651EF8"/>
    <w:rsid w:val="00655CB5"/>
    <w:rsid w:val="00655FB7"/>
    <w:rsid w:val="0065638A"/>
    <w:rsid w:val="00656718"/>
    <w:rsid w:val="00660205"/>
    <w:rsid w:val="00660F9B"/>
    <w:rsid w:val="00661AA1"/>
    <w:rsid w:val="0066436F"/>
    <w:rsid w:val="00665A91"/>
    <w:rsid w:val="0066600F"/>
    <w:rsid w:val="00666B6F"/>
    <w:rsid w:val="0067031B"/>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6DA7"/>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29C4"/>
    <w:rsid w:val="006A53AF"/>
    <w:rsid w:val="006A593A"/>
    <w:rsid w:val="006B0FA8"/>
    <w:rsid w:val="006B18DC"/>
    <w:rsid w:val="006B2211"/>
    <w:rsid w:val="006B709C"/>
    <w:rsid w:val="006B7241"/>
    <w:rsid w:val="006C0726"/>
    <w:rsid w:val="006C3C3B"/>
    <w:rsid w:val="006C4BA5"/>
    <w:rsid w:val="006C5093"/>
    <w:rsid w:val="006C59DF"/>
    <w:rsid w:val="006C60C5"/>
    <w:rsid w:val="006C69A9"/>
    <w:rsid w:val="006C6AF7"/>
    <w:rsid w:val="006C755C"/>
    <w:rsid w:val="006D09FA"/>
    <w:rsid w:val="006D1AA6"/>
    <w:rsid w:val="006D31D9"/>
    <w:rsid w:val="006D7D65"/>
    <w:rsid w:val="006E0CF1"/>
    <w:rsid w:val="006E244C"/>
    <w:rsid w:val="006E55FD"/>
    <w:rsid w:val="006E5CF2"/>
    <w:rsid w:val="006E713D"/>
    <w:rsid w:val="006F01A1"/>
    <w:rsid w:val="006F0B3D"/>
    <w:rsid w:val="006F2B58"/>
    <w:rsid w:val="006F3DCF"/>
    <w:rsid w:val="006F4A36"/>
    <w:rsid w:val="006F5226"/>
    <w:rsid w:val="006F73AE"/>
    <w:rsid w:val="006F7432"/>
    <w:rsid w:val="006F7B0E"/>
    <w:rsid w:val="00700B57"/>
    <w:rsid w:val="00702D47"/>
    <w:rsid w:val="00703141"/>
    <w:rsid w:val="00703CBD"/>
    <w:rsid w:val="00710223"/>
    <w:rsid w:val="007104E8"/>
    <w:rsid w:val="007107E9"/>
    <w:rsid w:val="00711687"/>
    <w:rsid w:val="007119F7"/>
    <w:rsid w:val="00713822"/>
    <w:rsid w:val="00715574"/>
    <w:rsid w:val="00715A2A"/>
    <w:rsid w:val="00716600"/>
    <w:rsid w:val="00716936"/>
    <w:rsid w:val="00716F37"/>
    <w:rsid w:val="00716F96"/>
    <w:rsid w:val="00717DD7"/>
    <w:rsid w:val="007219BB"/>
    <w:rsid w:val="00721D95"/>
    <w:rsid w:val="0072230F"/>
    <w:rsid w:val="0072267D"/>
    <w:rsid w:val="00723136"/>
    <w:rsid w:val="00724153"/>
    <w:rsid w:val="00724B21"/>
    <w:rsid w:val="00725F11"/>
    <w:rsid w:val="00727A55"/>
    <w:rsid w:val="00732EF0"/>
    <w:rsid w:val="00733044"/>
    <w:rsid w:val="007333AC"/>
    <w:rsid w:val="00733534"/>
    <w:rsid w:val="00734720"/>
    <w:rsid w:val="00734A3E"/>
    <w:rsid w:val="00736BF4"/>
    <w:rsid w:val="007373B1"/>
    <w:rsid w:val="00740179"/>
    <w:rsid w:val="007412AC"/>
    <w:rsid w:val="0074140E"/>
    <w:rsid w:val="0074387F"/>
    <w:rsid w:val="00747593"/>
    <w:rsid w:val="007533EC"/>
    <w:rsid w:val="007549AD"/>
    <w:rsid w:val="00756221"/>
    <w:rsid w:val="0075795E"/>
    <w:rsid w:val="00757F2E"/>
    <w:rsid w:val="00760788"/>
    <w:rsid w:val="007619B4"/>
    <w:rsid w:val="00761BB2"/>
    <w:rsid w:val="00764248"/>
    <w:rsid w:val="007642BF"/>
    <w:rsid w:val="00765AE8"/>
    <w:rsid w:val="00766F72"/>
    <w:rsid w:val="00771441"/>
    <w:rsid w:val="007724C7"/>
    <w:rsid w:val="00773401"/>
    <w:rsid w:val="0077508D"/>
    <w:rsid w:val="00780862"/>
    <w:rsid w:val="00782520"/>
    <w:rsid w:val="007830E0"/>
    <w:rsid w:val="00783A1F"/>
    <w:rsid w:val="00784C35"/>
    <w:rsid w:val="00785015"/>
    <w:rsid w:val="0078682F"/>
    <w:rsid w:val="00786D7F"/>
    <w:rsid w:val="00790393"/>
    <w:rsid w:val="00791592"/>
    <w:rsid w:val="00791968"/>
    <w:rsid w:val="0079310F"/>
    <w:rsid w:val="0079380D"/>
    <w:rsid w:val="00794700"/>
    <w:rsid w:val="00795C4D"/>
    <w:rsid w:val="007970DD"/>
    <w:rsid w:val="007A06FA"/>
    <w:rsid w:val="007A2247"/>
    <w:rsid w:val="007A3BF5"/>
    <w:rsid w:val="007A76F4"/>
    <w:rsid w:val="007B04D0"/>
    <w:rsid w:val="007B3444"/>
    <w:rsid w:val="007B4B2E"/>
    <w:rsid w:val="007B5989"/>
    <w:rsid w:val="007B61BD"/>
    <w:rsid w:val="007C05DE"/>
    <w:rsid w:val="007C16B3"/>
    <w:rsid w:val="007C22BE"/>
    <w:rsid w:val="007C35E3"/>
    <w:rsid w:val="007C5683"/>
    <w:rsid w:val="007C56A1"/>
    <w:rsid w:val="007C776B"/>
    <w:rsid w:val="007C7A5C"/>
    <w:rsid w:val="007D0CE4"/>
    <w:rsid w:val="007D0FC9"/>
    <w:rsid w:val="007D1D68"/>
    <w:rsid w:val="007D4666"/>
    <w:rsid w:val="007D752C"/>
    <w:rsid w:val="007D77AC"/>
    <w:rsid w:val="007D7FF4"/>
    <w:rsid w:val="007E1F25"/>
    <w:rsid w:val="007E5552"/>
    <w:rsid w:val="007E5853"/>
    <w:rsid w:val="007E5DB8"/>
    <w:rsid w:val="007E7358"/>
    <w:rsid w:val="007E7ABB"/>
    <w:rsid w:val="007F0553"/>
    <w:rsid w:val="007F0B17"/>
    <w:rsid w:val="007F0FA2"/>
    <w:rsid w:val="007F22CA"/>
    <w:rsid w:val="007F2806"/>
    <w:rsid w:val="007F39F1"/>
    <w:rsid w:val="007F3AC1"/>
    <w:rsid w:val="007F3CF6"/>
    <w:rsid w:val="007F3FEB"/>
    <w:rsid w:val="007F473A"/>
    <w:rsid w:val="007F5944"/>
    <w:rsid w:val="008033A9"/>
    <w:rsid w:val="00805BBB"/>
    <w:rsid w:val="0080634C"/>
    <w:rsid w:val="00811065"/>
    <w:rsid w:val="00811B41"/>
    <w:rsid w:val="008129C6"/>
    <w:rsid w:val="008154A5"/>
    <w:rsid w:val="00817E99"/>
    <w:rsid w:val="00821B86"/>
    <w:rsid w:val="00822963"/>
    <w:rsid w:val="00822ACE"/>
    <w:rsid w:val="00822D58"/>
    <w:rsid w:val="00822F0A"/>
    <w:rsid w:val="00830310"/>
    <w:rsid w:val="008310B3"/>
    <w:rsid w:val="00833443"/>
    <w:rsid w:val="008346BA"/>
    <w:rsid w:val="00834AC8"/>
    <w:rsid w:val="00835EAD"/>
    <w:rsid w:val="008414EB"/>
    <w:rsid w:val="0084160D"/>
    <w:rsid w:val="008426A3"/>
    <w:rsid w:val="00842CEB"/>
    <w:rsid w:val="00842F5F"/>
    <w:rsid w:val="00844F2A"/>
    <w:rsid w:val="008468B9"/>
    <w:rsid w:val="00846F1C"/>
    <w:rsid w:val="0084713C"/>
    <w:rsid w:val="00847206"/>
    <w:rsid w:val="00850602"/>
    <w:rsid w:val="00853B80"/>
    <w:rsid w:val="00853C04"/>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BBB"/>
    <w:rsid w:val="00871C74"/>
    <w:rsid w:val="00871CE0"/>
    <w:rsid w:val="00871F70"/>
    <w:rsid w:val="00873754"/>
    <w:rsid w:val="0087488B"/>
    <w:rsid w:val="008752C9"/>
    <w:rsid w:val="0087551E"/>
    <w:rsid w:val="00875A15"/>
    <w:rsid w:val="00877E09"/>
    <w:rsid w:val="008811ED"/>
    <w:rsid w:val="008846E5"/>
    <w:rsid w:val="00885383"/>
    <w:rsid w:val="0088702E"/>
    <w:rsid w:val="008871DE"/>
    <w:rsid w:val="00890458"/>
    <w:rsid w:val="008908E6"/>
    <w:rsid w:val="00891D36"/>
    <w:rsid w:val="00891F35"/>
    <w:rsid w:val="008946E2"/>
    <w:rsid w:val="00895962"/>
    <w:rsid w:val="00895B40"/>
    <w:rsid w:val="00895E9F"/>
    <w:rsid w:val="00896B55"/>
    <w:rsid w:val="008A0296"/>
    <w:rsid w:val="008A07E9"/>
    <w:rsid w:val="008A0BB2"/>
    <w:rsid w:val="008A12BB"/>
    <w:rsid w:val="008A14C2"/>
    <w:rsid w:val="008A3BF9"/>
    <w:rsid w:val="008A4658"/>
    <w:rsid w:val="008A4AAC"/>
    <w:rsid w:val="008A7874"/>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351"/>
    <w:rsid w:val="008D1DF2"/>
    <w:rsid w:val="008D3746"/>
    <w:rsid w:val="008D3C05"/>
    <w:rsid w:val="008D4586"/>
    <w:rsid w:val="008D65AC"/>
    <w:rsid w:val="008D6FE0"/>
    <w:rsid w:val="008D730D"/>
    <w:rsid w:val="008D7320"/>
    <w:rsid w:val="008E0586"/>
    <w:rsid w:val="008E1065"/>
    <w:rsid w:val="008E2BAC"/>
    <w:rsid w:val="008E414E"/>
    <w:rsid w:val="008E4A16"/>
    <w:rsid w:val="008E4C99"/>
    <w:rsid w:val="008E4E33"/>
    <w:rsid w:val="008E674B"/>
    <w:rsid w:val="008E6D15"/>
    <w:rsid w:val="008F01E6"/>
    <w:rsid w:val="008F05D0"/>
    <w:rsid w:val="008F1AEE"/>
    <w:rsid w:val="008F29FE"/>
    <w:rsid w:val="008F3858"/>
    <w:rsid w:val="008F3D4D"/>
    <w:rsid w:val="008F414A"/>
    <w:rsid w:val="008F43E8"/>
    <w:rsid w:val="008F459F"/>
    <w:rsid w:val="008F63E5"/>
    <w:rsid w:val="008F6D7F"/>
    <w:rsid w:val="008F7400"/>
    <w:rsid w:val="009009C3"/>
    <w:rsid w:val="00901955"/>
    <w:rsid w:val="00902981"/>
    <w:rsid w:val="00903797"/>
    <w:rsid w:val="00903FF2"/>
    <w:rsid w:val="00904765"/>
    <w:rsid w:val="0090533E"/>
    <w:rsid w:val="0091035A"/>
    <w:rsid w:val="00911D79"/>
    <w:rsid w:val="00912549"/>
    <w:rsid w:val="00913113"/>
    <w:rsid w:val="00913193"/>
    <w:rsid w:val="0091546F"/>
    <w:rsid w:val="0091625B"/>
    <w:rsid w:val="009205FA"/>
    <w:rsid w:val="0092228F"/>
    <w:rsid w:val="0092386B"/>
    <w:rsid w:val="009240F9"/>
    <w:rsid w:val="00924BE4"/>
    <w:rsid w:val="0092517D"/>
    <w:rsid w:val="00927349"/>
    <w:rsid w:val="0092741A"/>
    <w:rsid w:val="00927755"/>
    <w:rsid w:val="009322C0"/>
    <w:rsid w:val="00933009"/>
    <w:rsid w:val="0093301D"/>
    <w:rsid w:val="0093317B"/>
    <w:rsid w:val="00933216"/>
    <w:rsid w:val="00934942"/>
    <w:rsid w:val="00934FC0"/>
    <w:rsid w:val="0094362C"/>
    <w:rsid w:val="0094369E"/>
    <w:rsid w:val="009439CD"/>
    <w:rsid w:val="009446CB"/>
    <w:rsid w:val="0094485D"/>
    <w:rsid w:val="00944972"/>
    <w:rsid w:val="00944BD3"/>
    <w:rsid w:val="00944DD7"/>
    <w:rsid w:val="00945242"/>
    <w:rsid w:val="009509C1"/>
    <w:rsid w:val="009523CD"/>
    <w:rsid w:val="0095312C"/>
    <w:rsid w:val="00953B9C"/>
    <w:rsid w:val="009546BE"/>
    <w:rsid w:val="0095653B"/>
    <w:rsid w:val="00956C8C"/>
    <w:rsid w:val="009575B0"/>
    <w:rsid w:val="00957D65"/>
    <w:rsid w:val="009612AF"/>
    <w:rsid w:val="00961AB8"/>
    <w:rsid w:val="0096232E"/>
    <w:rsid w:val="0096269D"/>
    <w:rsid w:val="00964050"/>
    <w:rsid w:val="00964347"/>
    <w:rsid w:val="00964627"/>
    <w:rsid w:val="00966FFE"/>
    <w:rsid w:val="00967ED9"/>
    <w:rsid w:val="00970514"/>
    <w:rsid w:val="00970688"/>
    <w:rsid w:val="00973CF6"/>
    <w:rsid w:val="00974F1C"/>
    <w:rsid w:val="00975CD6"/>
    <w:rsid w:val="009772EE"/>
    <w:rsid w:val="00986821"/>
    <w:rsid w:val="00990C57"/>
    <w:rsid w:val="0099149A"/>
    <w:rsid w:val="00991D8E"/>
    <w:rsid w:val="009936FB"/>
    <w:rsid w:val="00993733"/>
    <w:rsid w:val="0099384E"/>
    <w:rsid w:val="00993B48"/>
    <w:rsid w:val="00994A02"/>
    <w:rsid w:val="0099520D"/>
    <w:rsid w:val="0099588E"/>
    <w:rsid w:val="00996152"/>
    <w:rsid w:val="00996528"/>
    <w:rsid w:val="00996598"/>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32E4"/>
    <w:rsid w:val="009B3CDA"/>
    <w:rsid w:val="009B73D5"/>
    <w:rsid w:val="009B7F27"/>
    <w:rsid w:val="009C27B3"/>
    <w:rsid w:val="009C5764"/>
    <w:rsid w:val="009C61C4"/>
    <w:rsid w:val="009D09D6"/>
    <w:rsid w:val="009D30D7"/>
    <w:rsid w:val="009D4341"/>
    <w:rsid w:val="009D58B3"/>
    <w:rsid w:val="009D75A3"/>
    <w:rsid w:val="009D76D7"/>
    <w:rsid w:val="009E11F3"/>
    <w:rsid w:val="009E28F7"/>
    <w:rsid w:val="009E3002"/>
    <w:rsid w:val="009E3483"/>
    <w:rsid w:val="009E43F0"/>
    <w:rsid w:val="009E49BD"/>
    <w:rsid w:val="009E53A2"/>
    <w:rsid w:val="009E584C"/>
    <w:rsid w:val="009E7F03"/>
    <w:rsid w:val="009F4C28"/>
    <w:rsid w:val="009F5668"/>
    <w:rsid w:val="009F6FA8"/>
    <w:rsid w:val="009F71C2"/>
    <w:rsid w:val="00A00E0A"/>
    <w:rsid w:val="00A04BF1"/>
    <w:rsid w:val="00A066A4"/>
    <w:rsid w:val="00A06E48"/>
    <w:rsid w:val="00A10FE5"/>
    <w:rsid w:val="00A11A3F"/>
    <w:rsid w:val="00A11ACD"/>
    <w:rsid w:val="00A13C39"/>
    <w:rsid w:val="00A1442A"/>
    <w:rsid w:val="00A15B9B"/>
    <w:rsid w:val="00A172EC"/>
    <w:rsid w:val="00A1756D"/>
    <w:rsid w:val="00A20E1B"/>
    <w:rsid w:val="00A20FD1"/>
    <w:rsid w:val="00A2202A"/>
    <w:rsid w:val="00A228DD"/>
    <w:rsid w:val="00A22F3C"/>
    <w:rsid w:val="00A23520"/>
    <w:rsid w:val="00A25D6A"/>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9B8"/>
    <w:rsid w:val="00A45FE8"/>
    <w:rsid w:val="00A524FF"/>
    <w:rsid w:val="00A52738"/>
    <w:rsid w:val="00A566B0"/>
    <w:rsid w:val="00A61351"/>
    <w:rsid w:val="00A61D95"/>
    <w:rsid w:val="00A64A6B"/>
    <w:rsid w:val="00A64D82"/>
    <w:rsid w:val="00A65172"/>
    <w:rsid w:val="00A66033"/>
    <w:rsid w:val="00A666D7"/>
    <w:rsid w:val="00A67650"/>
    <w:rsid w:val="00A67D91"/>
    <w:rsid w:val="00A7120D"/>
    <w:rsid w:val="00A72060"/>
    <w:rsid w:val="00A721A6"/>
    <w:rsid w:val="00A729DE"/>
    <w:rsid w:val="00A72F67"/>
    <w:rsid w:val="00A7540D"/>
    <w:rsid w:val="00A77AE4"/>
    <w:rsid w:val="00A82838"/>
    <w:rsid w:val="00A83924"/>
    <w:rsid w:val="00A83EAF"/>
    <w:rsid w:val="00A847FE"/>
    <w:rsid w:val="00A851EB"/>
    <w:rsid w:val="00A85D08"/>
    <w:rsid w:val="00A92040"/>
    <w:rsid w:val="00A9553B"/>
    <w:rsid w:val="00A96242"/>
    <w:rsid w:val="00A96CB0"/>
    <w:rsid w:val="00AA1B34"/>
    <w:rsid w:val="00AA204C"/>
    <w:rsid w:val="00AA2AAC"/>
    <w:rsid w:val="00AA2F70"/>
    <w:rsid w:val="00AA5FB6"/>
    <w:rsid w:val="00AA7B93"/>
    <w:rsid w:val="00AA7D06"/>
    <w:rsid w:val="00AA7DDE"/>
    <w:rsid w:val="00AB0398"/>
    <w:rsid w:val="00AB119B"/>
    <w:rsid w:val="00AB15EE"/>
    <w:rsid w:val="00AB26CE"/>
    <w:rsid w:val="00AB2B48"/>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41EF"/>
    <w:rsid w:val="00AD4C93"/>
    <w:rsid w:val="00AD4FF9"/>
    <w:rsid w:val="00AD552B"/>
    <w:rsid w:val="00AD70DC"/>
    <w:rsid w:val="00AD7C8A"/>
    <w:rsid w:val="00AE0334"/>
    <w:rsid w:val="00AE3FE4"/>
    <w:rsid w:val="00AE7855"/>
    <w:rsid w:val="00AE7A3B"/>
    <w:rsid w:val="00AF2001"/>
    <w:rsid w:val="00AF2564"/>
    <w:rsid w:val="00AF3CFF"/>
    <w:rsid w:val="00AF5696"/>
    <w:rsid w:val="00AF712B"/>
    <w:rsid w:val="00B005E6"/>
    <w:rsid w:val="00B01199"/>
    <w:rsid w:val="00B02614"/>
    <w:rsid w:val="00B0278B"/>
    <w:rsid w:val="00B032EC"/>
    <w:rsid w:val="00B03ECA"/>
    <w:rsid w:val="00B04761"/>
    <w:rsid w:val="00B05935"/>
    <w:rsid w:val="00B10C36"/>
    <w:rsid w:val="00B11073"/>
    <w:rsid w:val="00B111A9"/>
    <w:rsid w:val="00B11208"/>
    <w:rsid w:val="00B1244B"/>
    <w:rsid w:val="00B12A0A"/>
    <w:rsid w:val="00B12F6A"/>
    <w:rsid w:val="00B131D6"/>
    <w:rsid w:val="00B13FBC"/>
    <w:rsid w:val="00B17677"/>
    <w:rsid w:val="00B2236D"/>
    <w:rsid w:val="00B22BE0"/>
    <w:rsid w:val="00B239FC"/>
    <w:rsid w:val="00B25DE6"/>
    <w:rsid w:val="00B27BCC"/>
    <w:rsid w:val="00B31680"/>
    <w:rsid w:val="00B31B23"/>
    <w:rsid w:val="00B32A4C"/>
    <w:rsid w:val="00B347F3"/>
    <w:rsid w:val="00B35702"/>
    <w:rsid w:val="00B37EBC"/>
    <w:rsid w:val="00B409B6"/>
    <w:rsid w:val="00B4669D"/>
    <w:rsid w:val="00B469DD"/>
    <w:rsid w:val="00B5122F"/>
    <w:rsid w:val="00B519B3"/>
    <w:rsid w:val="00B51E98"/>
    <w:rsid w:val="00B5372A"/>
    <w:rsid w:val="00B54343"/>
    <w:rsid w:val="00B5568B"/>
    <w:rsid w:val="00B60BCC"/>
    <w:rsid w:val="00B60C0E"/>
    <w:rsid w:val="00B60D26"/>
    <w:rsid w:val="00B626EB"/>
    <w:rsid w:val="00B6310B"/>
    <w:rsid w:val="00B633F9"/>
    <w:rsid w:val="00B63E2D"/>
    <w:rsid w:val="00B6562D"/>
    <w:rsid w:val="00B67674"/>
    <w:rsid w:val="00B71F78"/>
    <w:rsid w:val="00B73B1D"/>
    <w:rsid w:val="00B74397"/>
    <w:rsid w:val="00B7767D"/>
    <w:rsid w:val="00B77CB7"/>
    <w:rsid w:val="00B81098"/>
    <w:rsid w:val="00B81703"/>
    <w:rsid w:val="00B81D10"/>
    <w:rsid w:val="00B84631"/>
    <w:rsid w:val="00B85053"/>
    <w:rsid w:val="00B8559F"/>
    <w:rsid w:val="00B8575D"/>
    <w:rsid w:val="00B85AB6"/>
    <w:rsid w:val="00B8708E"/>
    <w:rsid w:val="00B87D86"/>
    <w:rsid w:val="00B909D3"/>
    <w:rsid w:val="00B91A2E"/>
    <w:rsid w:val="00B925DA"/>
    <w:rsid w:val="00B92E48"/>
    <w:rsid w:val="00B93C69"/>
    <w:rsid w:val="00B942BA"/>
    <w:rsid w:val="00B94E2C"/>
    <w:rsid w:val="00B95843"/>
    <w:rsid w:val="00B96D3A"/>
    <w:rsid w:val="00BA1418"/>
    <w:rsid w:val="00BA238E"/>
    <w:rsid w:val="00BA35FC"/>
    <w:rsid w:val="00BA4F76"/>
    <w:rsid w:val="00BA52D0"/>
    <w:rsid w:val="00BB0293"/>
    <w:rsid w:val="00BB0A0C"/>
    <w:rsid w:val="00BB67B0"/>
    <w:rsid w:val="00BB6AA5"/>
    <w:rsid w:val="00BB6C9C"/>
    <w:rsid w:val="00BB7B5D"/>
    <w:rsid w:val="00BC3498"/>
    <w:rsid w:val="00BC3EB4"/>
    <w:rsid w:val="00BC5BC4"/>
    <w:rsid w:val="00BC72B7"/>
    <w:rsid w:val="00BC7867"/>
    <w:rsid w:val="00BD0968"/>
    <w:rsid w:val="00BD119D"/>
    <w:rsid w:val="00BD55BA"/>
    <w:rsid w:val="00BD5621"/>
    <w:rsid w:val="00BD6494"/>
    <w:rsid w:val="00BE0875"/>
    <w:rsid w:val="00BE2D8F"/>
    <w:rsid w:val="00BF40B4"/>
    <w:rsid w:val="00BF57C1"/>
    <w:rsid w:val="00BF7D99"/>
    <w:rsid w:val="00BF7EF8"/>
    <w:rsid w:val="00C004F9"/>
    <w:rsid w:val="00C023B2"/>
    <w:rsid w:val="00C02A9A"/>
    <w:rsid w:val="00C02D3D"/>
    <w:rsid w:val="00C06F9E"/>
    <w:rsid w:val="00C07E1D"/>
    <w:rsid w:val="00C11A62"/>
    <w:rsid w:val="00C13215"/>
    <w:rsid w:val="00C13461"/>
    <w:rsid w:val="00C1358F"/>
    <w:rsid w:val="00C14C21"/>
    <w:rsid w:val="00C15390"/>
    <w:rsid w:val="00C15EB2"/>
    <w:rsid w:val="00C161A6"/>
    <w:rsid w:val="00C20E45"/>
    <w:rsid w:val="00C259BF"/>
    <w:rsid w:val="00C27917"/>
    <w:rsid w:val="00C303D6"/>
    <w:rsid w:val="00C307E8"/>
    <w:rsid w:val="00C3104A"/>
    <w:rsid w:val="00C32159"/>
    <w:rsid w:val="00C33340"/>
    <w:rsid w:val="00C33663"/>
    <w:rsid w:val="00C35F4F"/>
    <w:rsid w:val="00C36D0B"/>
    <w:rsid w:val="00C37CC8"/>
    <w:rsid w:val="00C37E45"/>
    <w:rsid w:val="00C4011C"/>
    <w:rsid w:val="00C40171"/>
    <w:rsid w:val="00C41792"/>
    <w:rsid w:val="00C44206"/>
    <w:rsid w:val="00C454C2"/>
    <w:rsid w:val="00C45DCA"/>
    <w:rsid w:val="00C46817"/>
    <w:rsid w:val="00C500AF"/>
    <w:rsid w:val="00C51015"/>
    <w:rsid w:val="00C51A53"/>
    <w:rsid w:val="00C51F71"/>
    <w:rsid w:val="00C535A3"/>
    <w:rsid w:val="00C53D94"/>
    <w:rsid w:val="00C56C28"/>
    <w:rsid w:val="00C61637"/>
    <w:rsid w:val="00C62BE4"/>
    <w:rsid w:val="00C63D35"/>
    <w:rsid w:val="00C6437B"/>
    <w:rsid w:val="00C6597A"/>
    <w:rsid w:val="00C65B1D"/>
    <w:rsid w:val="00C67536"/>
    <w:rsid w:val="00C7132C"/>
    <w:rsid w:val="00C72CAC"/>
    <w:rsid w:val="00C74AAD"/>
    <w:rsid w:val="00C74DB7"/>
    <w:rsid w:val="00C75CD6"/>
    <w:rsid w:val="00C761AE"/>
    <w:rsid w:val="00C76ADD"/>
    <w:rsid w:val="00C76B98"/>
    <w:rsid w:val="00C76DB3"/>
    <w:rsid w:val="00C7703C"/>
    <w:rsid w:val="00C77DBB"/>
    <w:rsid w:val="00C80C1B"/>
    <w:rsid w:val="00C842F9"/>
    <w:rsid w:val="00C84EE1"/>
    <w:rsid w:val="00C861B4"/>
    <w:rsid w:val="00C904CF"/>
    <w:rsid w:val="00C9068A"/>
    <w:rsid w:val="00C92A36"/>
    <w:rsid w:val="00C930D0"/>
    <w:rsid w:val="00C93737"/>
    <w:rsid w:val="00C94987"/>
    <w:rsid w:val="00C974DB"/>
    <w:rsid w:val="00CA32B4"/>
    <w:rsid w:val="00CA3629"/>
    <w:rsid w:val="00CA5900"/>
    <w:rsid w:val="00CA615C"/>
    <w:rsid w:val="00CA6FB1"/>
    <w:rsid w:val="00CA7989"/>
    <w:rsid w:val="00CB158C"/>
    <w:rsid w:val="00CB1F4E"/>
    <w:rsid w:val="00CB3DCB"/>
    <w:rsid w:val="00CB40E7"/>
    <w:rsid w:val="00CB740C"/>
    <w:rsid w:val="00CC10ED"/>
    <w:rsid w:val="00CC51F8"/>
    <w:rsid w:val="00CC68B2"/>
    <w:rsid w:val="00CC79EB"/>
    <w:rsid w:val="00CD08A5"/>
    <w:rsid w:val="00CD2BA9"/>
    <w:rsid w:val="00CD4694"/>
    <w:rsid w:val="00CD4A6D"/>
    <w:rsid w:val="00CD5BBC"/>
    <w:rsid w:val="00CE11A4"/>
    <w:rsid w:val="00CE1F20"/>
    <w:rsid w:val="00CE57F6"/>
    <w:rsid w:val="00CE6CBD"/>
    <w:rsid w:val="00CE72B1"/>
    <w:rsid w:val="00CF0028"/>
    <w:rsid w:val="00CF1ADE"/>
    <w:rsid w:val="00CF1C82"/>
    <w:rsid w:val="00CF31EF"/>
    <w:rsid w:val="00CF3E45"/>
    <w:rsid w:val="00CF469A"/>
    <w:rsid w:val="00CF584C"/>
    <w:rsid w:val="00CF5859"/>
    <w:rsid w:val="00CF76B1"/>
    <w:rsid w:val="00CF789C"/>
    <w:rsid w:val="00D007A1"/>
    <w:rsid w:val="00D01BB3"/>
    <w:rsid w:val="00D023A8"/>
    <w:rsid w:val="00D03845"/>
    <w:rsid w:val="00D05415"/>
    <w:rsid w:val="00D06E34"/>
    <w:rsid w:val="00D07644"/>
    <w:rsid w:val="00D07F2F"/>
    <w:rsid w:val="00D10DAA"/>
    <w:rsid w:val="00D13A3A"/>
    <w:rsid w:val="00D13C3F"/>
    <w:rsid w:val="00D13D51"/>
    <w:rsid w:val="00D16363"/>
    <w:rsid w:val="00D17663"/>
    <w:rsid w:val="00D17BFF"/>
    <w:rsid w:val="00D20936"/>
    <w:rsid w:val="00D223C0"/>
    <w:rsid w:val="00D22643"/>
    <w:rsid w:val="00D2298B"/>
    <w:rsid w:val="00D278DE"/>
    <w:rsid w:val="00D308F2"/>
    <w:rsid w:val="00D3099D"/>
    <w:rsid w:val="00D35862"/>
    <w:rsid w:val="00D400DF"/>
    <w:rsid w:val="00D403F8"/>
    <w:rsid w:val="00D42148"/>
    <w:rsid w:val="00D425BD"/>
    <w:rsid w:val="00D434BF"/>
    <w:rsid w:val="00D44E5B"/>
    <w:rsid w:val="00D5490C"/>
    <w:rsid w:val="00D54F5F"/>
    <w:rsid w:val="00D565EC"/>
    <w:rsid w:val="00D57A43"/>
    <w:rsid w:val="00D60711"/>
    <w:rsid w:val="00D61858"/>
    <w:rsid w:val="00D61D78"/>
    <w:rsid w:val="00D629DE"/>
    <w:rsid w:val="00D630F1"/>
    <w:rsid w:val="00D64D12"/>
    <w:rsid w:val="00D64E25"/>
    <w:rsid w:val="00D653D6"/>
    <w:rsid w:val="00D66604"/>
    <w:rsid w:val="00D72438"/>
    <w:rsid w:val="00D72DF5"/>
    <w:rsid w:val="00D73E1B"/>
    <w:rsid w:val="00D75BF0"/>
    <w:rsid w:val="00D76966"/>
    <w:rsid w:val="00D80177"/>
    <w:rsid w:val="00D80DFF"/>
    <w:rsid w:val="00D81BCA"/>
    <w:rsid w:val="00D81C45"/>
    <w:rsid w:val="00D82754"/>
    <w:rsid w:val="00D84416"/>
    <w:rsid w:val="00D8522B"/>
    <w:rsid w:val="00D85358"/>
    <w:rsid w:val="00D85EEA"/>
    <w:rsid w:val="00D86694"/>
    <w:rsid w:val="00D86934"/>
    <w:rsid w:val="00D908B4"/>
    <w:rsid w:val="00D9325E"/>
    <w:rsid w:val="00D9362D"/>
    <w:rsid w:val="00D95D8B"/>
    <w:rsid w:val="00D9684E"/>
    <w:rsid w:val="00DA13B1"/>
    <w:rsid w:val="00DA209B"/>
    <w:rsid w:val="00DA31C2"/>
    <w:rsid w:val="00DA3317"/>
    <w:rsid w:val="00DA38AC"/>
    <w:rsid w:val="00DA482A"/>
    <w:rsid w:val="00DA6802"/>
    <w:rsid w:val="00DB09F2"/>
    <w:rsid w:val="00DB2266"/>
    <w:rsid w:val="00DB6D85"/>
    <w:rsid w:val="00DC01EF"/>
    <w:rsid w:val="00DC08AC"/>
    <w:rsid w:val="00DC0F14"/>
    <w:rsid w:val="00DC0F30"/>
    <w:rsid w:val="00DC1677"/>
    <w:rsid w:val="00DC18F2"/>
    <w:rsid w:val="00DC51E7"/>
    <w:rsid w:val="00DC5376"/>
    <w:rsid w:val="00DC5ECF"/>
    <w:rsid w:val="00DC61F2"/>
    <w:rsid w:val="00DC6637"/>
    <w:rsid w:val="00DC759C"/>
    <w:rsid w:val="00DD11CC"/>
    <w:rsid w:val="00DD132D"/>
    <w:rsid w:val="00DD227B"/>
    <w:rsid w:val="00DD2AEC"/>
    <w:rsid w:val="00DD2D08"/>
    <w:rsid w:val="00DD34EE"/>
    <w:rsid w:val="00DD35EE"/>
    <w:rsid w:val="00DD39A3"/>
    <w:rsid w:val="00DD44DC"/>
    <w:rsid w:val="00DD50E9"/>
    <w:rsid w:val="00DD79FB"/>
    <w:rsid w:val="00DE0146"/>
    <w:rsid w:val="00DE1E30"/>
    <w:rsid w:val="00DE3322"/>
    <w:rsid w:val="00DE3339"/>
    <w:rsid w:val="00DE34A7"/>
    <w:rsid w:val="00DE5826"/>
    <w:rsid w:val="00DF0344"/>
    <w:rsid w:val="00DF1207"/>
    <w:rsid w:val="00DF69AC"/>
    <w:rsid w:val="00DF7464"/>
    <w:rsid w:val="00E032B0"/>
    <w:rsid w:val="00E03724"/>
    <w:rsid w:val="00E03A5B"/>
    <w:rsid w:val="00E0411B"/>
    <w:rsid w:val="00E05CCB"/>
    <w:rsid w:val="00E10A58"/>
    <w:rsid w:val="00E12076"/>
    <w:rsid w:val="00E176CC"/>
    <w:rsid w:val="00E20004"/>
    <w:rsid w:val="00E2047A"/>
    <w:rsid w:val="00E213DE"/>
    <w:rsid w:val="00E21765"/>
    <w:rsid w:val="00E240BE"/>
    <w:rsid w:val="00E24B71"/>
    <w:rsid w:val="00E2565B"/>
    <w:rsid w:val="00E26B06"/>
    <w:rsid w:val="00E31DD7"/>
    <w:rsid w:val="00E341DF"/>
    <w:rsid w:val="00E346BE"/>
    <w:rsid w:val="00E34AAE"/>
    <w:rsid w:val="00E352E0"/>
    <w:rsid w:val="00E3651B"/>
    <w:rsid w:val="00E37388"/>
    <w:rsid w:val="00E4237D"/>
    <w:rsid w:val="00E428A5"/>
    <w:rsid w:val="00E42BE3"/>
    <w:rsid w:val="00E43DBA"/>
    <w:rsid w:val="00E44717"/>
    <w:rsid w:val="00E4479A"/>
    <w:rsid w:val="00E4520D"/>
    <w:rsid w:val="00E46AE5"/>
    <w:rsid w:val="00E46DA8"/>
    <w:rsid w:val="00E508E2"/>
    <w:rsid w:val="00E529B8"/>
    <w:rsid w:val="00E541B2"/>
    <w:rsid w:val="00E54640"/>
    <w:rsid w:val="00E5487F"/>
    <w:rsid w:val="00E54D9F"/>
    <w:rsid w:val="00E56335"/>
    <w:rsid w:val="00E62058"/>
    <w:rsid w:val="00E6310F"/>
    <w:rsid w:val="00E63419"/>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5958"/>
    <w:rsid w:val="00E978B3"/>
    <w:rsid w:val="00E97C1F"/>
    <w:rsid w:val="00EA07D0"/>
    <w:rsid w:val="00EA0DF8"/>
    <w:rsid w:val="00EA1DE4"/>
    <w:rsid w:val="00EA5863"/>
    <w:rsid w:val="00EA59C2"/>
    <w:rsid w:val="00EA5D14"/>
    <w:rsid w:val="00EA6DDD"/>
    <w:rsid w:val="00EA7773"/>
    <w:rsid w:val="00EB0657"/>
    <w:rsid w:val="00EB19A3"/>
    <w:rsid w:val="00EB33C8"/>
    <w:rsid w:val="00EB3DAF"/>
    <w:rsid w:val="00EB403F"/>
    <w:rsid w:val="00EB6601"/>
    <w:rsid w:val="00EB68AF"/>
    <w:rsid w:val="00EB6A81"/>
    <w:rsid w:val="00EB6E23"/>
    <w:rsid w:val="00EC275F"/>
    <w:rsid w:val="00EC2A2B"/>
    <w:rsid w:val="00EC4D30"/>
    <w:rsid w:val="00EC6564"/>
    <w:rsid w:val="00EC7E85"/>
    <w:rsid w:val="00ED024A"/>
    <w:rsid w:val="00ED0AD0"/>
    <w:rsid w:val="00ED16F0"/>
    <w:rsid w:val="00ED1CC2"/>
    <w:rsid w:val="00ED2E8C"/>
    <w:rsid w:val="00ED3767"/>
    <w:rsid w:val="00ED3A4E"/>
    <w:rsid w:val="00ED3D19"/>
    <w:rsid w:val="00EE0B9B"/>
    <w:rsid w:val="00EE3439"/>
    <w:rsid w:val="00EE415B"/>
    <w:rsid w:val="00EE63AF"/>
    <w:rsid w:val="00EE72C6"/>
    <w:rsid w:val="00EE76B9"/>
    <w:rsid w:val="00EF0CDB"/>
    <w:rsid w:val="00EF1608"/>
    <w:rsid w:val="00EF16FF"/>
    <w:rsid w:val="00EF330B"/>
    <w:rsid w:val="00EF39E8"/>
    <w:rsid w:val="00EF5A1B"/>
    <w:rsid w:val="00F00D44"/>
    <w:rsid w:val="00F01822"/>
    <w:rsid w:val="00F022EF"/>
    <w:rsid w:val="00F02C39"/>
    <w:rsid w:val="00F03BD7"/>
    <w:rsid w:val="00F03C37"/>
    <w:rsid w:val="00F06B09"/>
    <w:rsid w:val="00F06EC5"/>
    <w:rsid w:val="00F06FBF"/>
    <w:rsid w:val="00F07019"/>
    <w:rsid w:val="00F072AA"/>
    <w:rsid w:val="00F1086F"/>
    <w:rsid w:val="00F10AB9"/>
    <w:rsid w:val="00F10F4D"/>
    <w:rsid w:val="00F113D4"/>
    <w:rsid w:val="00F11B71"/>
    <w:rsid w:val="00F1255A"/>
    <w:rsid w:val="00F133CD"/>
    <w:rsid w:val="00F1510F"/>
    <w:rsid w:val="00F152A2"/>
    <w:rsid w:val="00F15354"/>
    <w:rsid w:val="00F1747D"/>
    <w:rsid w:val="00F17D7A"/>
    <w:rsid w:val="00F21571"/>
    <w:rsid w:val="00F21DDF"/>
    <w:rsid w:val="00F230ED"/>
    <w:rsid w:val="00F24B62"/>
    <w:rsid w:val="00F25101"/>
    <w:rsid w:val="00F258EF"/>
    <w:rsid w:val="00F26143"/>
    <w:rsid w:val="00F26B50"/>
    <w:rsid w:val="00F316E1"/>
    <w:rsid w:val="00F328BF"/>
    <w:rsid w:val="00F329C9"/>
    <w:rsid w:val="00F33588"/>
    <w:rsid w:val="00F34C15"/>
    <w:rsid w:val="00F3573E"/>
    <w:rsid w:val="00F36EF4"/>
    <w:rsid w:val="00F375BD"/>
    <w:rsid w:val="00F42D6C"/>
    <w:rsid w:val="00F42E9B"/>
    <w:rsid w:val="00F474B4"/>
    <w:rsid w:val="00F503A8"/>
    <w:rsid w:val="00F5260C"/>
    <w:rsid w:val="00F539F9"/>
    <w:rsid w:val="00F540D0"/>
    <w:rsid w:val="00F546A5"/>
    <w:rsid w:val="00F54B93"/>
    <w:rsid w:val="00F55D33"/>
    <w:rsid w:val="00F55FFA"/>
    <w:rsid w:val="00F566EC"/>
    <w:rsid w:val="00F6068E"/>
    <w:rsid w:val="00F61542"/>
    <w:rsid w:val="00F61786"/>
    <w:rsid w:val="00F61A6F"/>
    <w:rsid w:val="00F6208C"/>
    <w:rsid w:val="00F629C5"/>
    <w:rsid w:val="00F65231"/>
    <w:rsid w:val="00F65236"/>
    <w:rsid w:val="00F70BEF"/>
    <w:rsid w:val="00F73B36"/>
    <w:rsid w:val="00F73B8A"/>
    <w:rsid w:val="00F756E6"/>
    <w:rsid w:val="00F7586C"/>
    <w:rsid w:val="00F76227"/>
    <w:rsid w:val="00F76A3A"/>
    <w:rsid w:val="00F76A5F"/>
    <w:rsid w:val="00F77EB2"/>
    <w:rsid w:val="00F816EB"/>
    <w:rsid w:val="00F81A7E"/>
    <w:rsid w:val="00F81C67"/>
    <w:rsid w:val="00F8278A"/>
    <w:rsid w:val="00F8454D"/>
    <w:rsid w:val="00F8571A"/>
    <w:rsid w:val="00F90C4B"/>
    <w:rsid w:val="00F90F52"/>
    <w:rsid w:val="00F92E00"/>
    <w:rsid w:val="00F932E9"/>
    <w:rsid w:val="00F9393D"/>
    <w:rsid w:val="00F93C65"/>
    <w:rsid w:val="00F93CBA"/>
    <w:rsid w:val="00F944CE"/>
    <w:rsid w:val="00F9653B"/>
    <w:rsid w:val="00F96FB6"/>
    <w:rsid w:val="00F97148"/>
    <w:rsid w:val="00FA074B"/>
    <w:rsid w:val="00FA0D23"/>
    <w:rsid w:val="00FA2BA6"/>
    <w:rsid w:val="00FA3F6F"/>
    <w:rsid w:val="00FA46B7"/>
    <w:rsid w:val="00FA49A6"/>
    <w:rsid w:val="00FA55B5"/>
    <w:rsid w:val="00FA5E76"/>
    <w:rsid w:val="00FA7E5C"/>
    <w:rsid w:val="00FB18DD"/>
    <w:rsid w:val="00FB38A9"/>
    <w:rsid w:val="00FB582D"/>
    <w:rsid w:val="00FB5F1E"/>
    <w:rsid w:val="00FB6015"/>
    <w:rsid w:val="00FB6040"/>
    <w:rsid w:val="00FB7393"/>
    <w:rsid w:val="00FC29B6"/>
    <w:rsid w:val="00FC3AFD"/>
    <w:rsid w:val="00FC794C"/>
    <w:rsid w:val="00FC7A06"/>
    <w:rsid w:val="00FD1D12"/>
    <w:rsid w:val="00FD32CF"/>
    <w:rsid w:val="00FD4840"/>
    <w:rsid w:val="00FD4D4D"/>
    <w:rsid w:val="00FD5074"/>
    <w:rsid w:val="00FE08CF"/>
    <w:rsid w:val="00FE2A8D"/>
    <w:rsid w:val="00FE6326"/>
    <w:rsid w:val="00FF1492"/>
    <w:rsid w:val="00FF1C2F"/>
    <w:rsid w:val="00FF1D49"/>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42265"/>
    <o:shapelayout v:ext="edit">
      <o:idmap v:ext="edit" data="1,6,37,4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index heading" w:uiPriority="99"/>
    <w:lsdException w:name="caption" w:qFormat="1"/>
    <w:lsdException w:name="line number" w:uiPriority="99"/>
    <w:lsdException w:name="List Number" w:uiPriority="99"/>
    <w:lsdException w:name="List 2" w:uiPriority="99"/>
    <w:lsdException w:name="List Number 2" w:uiPriority="99"/>
    <w:lsdException w:name="Title" w:qFormat="1"/>
    <w:lsdException w:name="Body Text Indent" w:uiPriority="99"/>
    <w:lsdException w:name="Subtitle" w:qFormat="1"/>
    <w:lsdException w:name="Body Text First Indent 2" w:uiPriority="99"/>
    <w:lsdException w:name="Hyperlink" w:uiPriority="99"/>
    <w:lsdException w:name="Strong" w:qFormat="1"/>
    <w:lsdException w:name="Emphasis" w:qFormat="1"/>
    <w:lsdException w:name="Document Map" w:uiPriority="99"/>
    <w:lsdException w:name="Plain Text" w:uiPriority="99"/>
    <w:lsdException w:name="No List"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6335"/>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SimSun" w:hAnsi="Times New Roman"/>
      <w:sz w:val="22"/>
      <w:lang w:val="en-GB" w:eastAsia="en-US"/>
    </w:rPr>
  </w:style>
  <w:style w:type="paragraph" w:styleId="Heading1">
    <w:name w:val="heading 1"/>
    <w:basedOn w:val="Normal"/>
    <w:next w:val="Normal"/>
    <w:link w:val="Heading1Char"/>
    <w:qFormat/>
    <w:rsid w:val="00E56335"/>
    <w:pPr>
      <w:keepNext/>
      <w:keepLines/>
      <w:spacing w:before="360"/>
      <w:ind w:left="794" w:hanging="794"/>
      <w:outlineLvl w:val="0"/>
    </w:pPr>
    <w:rPr>
      <w:b/>
    </w:rPr>
  </w:style>
  <w:style w:type="paragraph" w:styleId="Heading2">
    <w:name w:val="heading 2"/>
    <w:basedOn w:val="Heading1"/>
    <w:next w:val="Normal"/>
    <w:link w:val="Heading2Char"/>
    <w:qFormat/>
    <w:rsid w:val="00511488"/>
    <w:pPr>
      <w:spacing w:before="240"/>
      <w:outlineLvl w:val="1"/>
    </w:pPr>
  </w:style>
  <w:style w:type="paragraph" w:styleId="Heading3">
    <w:name w:val="heading 3"/>
    <w:basedOn w:val="Heading1"/>
    <w:next w:val="Normal"/>
    <w:link w:val="Heading3Char"/>
    <w:qFormat/>
    <w:rsid w:val="003C1634"/>
    <w:pPr>
      <w:spacing w:before="240"/>
      <w:outlineLvl w:val="2"/>
    </w:pPr>
  </w:style>
  <w:style w:type="paragraph" w:styleId="Heading4">
    <w:name w:val="heading 4"/>
    <w:basedOn w:val="Heading3"/>
    <w:next w:val="Normal"/>
    <w:link w:val="Heading4Char"/>
    <w:qFormat/>
    <w:rsid w:val="00016BF5"/>
    <w:pPr>
      <w:tabs>
        <w:tab w:val="clear" w:pos="794"/>
        <w:tab w:val="left" w:pos="1021"/>
      </w:tabs>
      <w:ind w:left="1021" w:hanging="1021"/>
      <w:outlineLvl w:val="3"/>
    </w:pPr>
  </w:style>
  <w:style w:type="paragraph" w:styleId="Heading5">
    <w:name w:val="heading 5"/>
    <w:basedOn w:val="Heading4"/>
    <w:next w:val="Normal"/>
    <w:link w:val="Heading5Char"/>
    <w:qFormat/>
    <w:rsid w:val="00016BF5"/>
    <w:pPr>
      <w:outlineLvl w:val="4"/>
    </w:pPr>
  </w:style>
  <w:style w:type="paragraph" w:styleId="Heading6">
    <w:name w:val="heading 6"/>
    <w:basedOn w:val="Heading4"/>
    <w:next w:val="Normal"/>
    <w:link w:val="Heading6Char"/>
    <w:qFormat/>
    <w:rsid w:val="00016BF5"/>
    <w:pPr>
      <w:tabs>
        <w:tab w:val="clear" w:pos="1021"/>
        <w:tab w:val="clear" w:pos="1191"/>
      </w:tabs>
      <w:ind w:left="1588" w:hanging="1588"/>
      <w:outlineLvl w:val="5"/>
    </w:pPr>
  </w:style>
  <w:style w:type="paragraph" w:styleId="Heading7">
    <w:name w:val="heading 7"/>
    <w:basedOn w:val="Heading6"/>
    <w:next w:val="Normal"/>
    <w:link w:val="Heading7Char"/>
    <w:qFormat/>
    <w:rsid w:val="00016BF5"/>
    <w:pPr>
      <w:outlineLvl w:val="6"/>
    </w:pPr>
  </w:style>
  <w:style w:type="paragraph" w:styleId="Heading8">
    <w:name w:val="heading 8"/>
    <w:basedOn w:val="Heading6"/>
    <w:next w:val="Normal"/>
    <w:link w:val="Heading8Char"/>
    <w:qFormat/>
    <w:rsid w:val="00016BF5"/>
    <w:pPr>
      <w:outlineLvl w:val="7"/>
    </w:pPr>
  </w:style>
  <w:style w:type="paragraph" w:styleId="Heading9">
    <w:name w:val="heading 9"/>
    <w:basedOn w:val="Heading6"/>
    <w:next w:val="Normal"/>
    <w:link w:val="Heading9Char"/>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56335"/>
    <w:rPr>
      <w:rFonts w:ascii="Times New Roman" w:eastAsia="SimSun" w:hAnsi="Times New Roman"/>
      <w:b/>
      <w:sz w:val="22"/>
      <w:lang w:val="en-GB" w:eastAsia="en-US"/>
    </w:rPr>
  </w:style>
  <w:style w:type="character" w:customStyle="1" w:styleId="Heading2Char">
    <w:name w:val="Heading 2 Char"/>
    <w:basedOn w:val="DefaultParagraphFont"/>
    <w:link w:val="Heading2"/>
    <w:rsid w:val="00853B80"/>
    <w:rPr>
      <w:rFonts w:ascii="Times New Roman" w:eastAsia="SimSun" w:hAnsi="Times New Roman"/>
      <w:b/>
      <w:sz w:val="24"/>
      <w:lang w:val="en-GB" w:eastAsia="en-US"/>
    </w:rPr>
  </w:style>
  <w:style w:type="character" w:customStyle="1" w:styleId="Heading3Char">
    <w:name w:val="Heading 3 Char"/>
    <w:basedOn w:val="DefaultParagraphFont"/>
    <w:link w:val="Heading3"/>
    <w:rsid w:val="00853B80"/>
    <w:rPr>
      <w:rFonts w:ascii="Times New Roman" w:eastAsia="SimSun" w:hAnsi="Times New Roman"/>
      <w:b/>
      <w:sz w:val="22"/>
      <w:lang w:val="en-GB" w:eastAsia="en-US"/>
    </w:rPr>
  </w:style>
  <w:style w:type="character" w:customStyle="1" w:styleId="Heading4Char">
    <w:name w:val="Heading 4 Char"/>
    <w:basedOn w:val="DefaultParagraphFont"/>
    <w:link w:val="Heading4"/>
    <w:rsid w:val="00853B80"/>
    <w:rPr>
      <w:rFonts w:ascii="Times New Roman" w:eastAsia="SimSun" w:hAnsi="Times New Roman"/>
      <w:b/>
      <w:sz w:val="22"/>
      <w:lang w:val="en-GB" w:eastAsia="en-US"/>
    </w:rPr>
  </w:style>
  <w:style w:type="character" w:customStyle="1" w:styleId="Heading5Char">
    <w:name w:val="Heading 5 Char"/>
    <w:basedOn w:val="DefaultParagraphFont"/>
    <w:link w:val="Heading5"/>
    <w:rsid w:val="00853B80"/>
    <w:rPr>
      <w:rFonts w:ascii="Times New Roman" w:eastAsia="SimSun" w:hAnsi="Times New Roman"/>
      <w:b/>
      <w:sz w:val="22"/>
      <w:lang w:val="en-GB" w:eastAsia="en-US"/>
    </w:rPr>
  </w:style>
  <w:style w:type="character" w:customStyle="1" w:styleId="Heading6Char">
    <w:name w:val="Heading 6 Char"/>
    <w:basedOn w:val="DefaultParagraphFont"/>
    <w:link w:val="Heading6"/>
    <w:rsid w:val="00853B80"/>
    <w:rPr>
      <w:rFonts w:ascii="Times New Roman" w:eastAsia="SimSun" w:hAnsi="Times New Roman"/>
      <w:b/>
      <w:sz w:val="22"/>
      <w:lang w:val="en-GB" w:eastAsia="en-US"/>
    </w:rPr>
  </w:style>
  <w:style w:type="character" w:customStyle="1" w:styleId="Heading7Char">
    <w:name w:val="Heading 7 Char"/>
    <w:basedOn w:val="DefaultParagraphFont"/>
    <w:link w:val="Heading7"/>
    <w:rsid w:val="00853B80"/>
    <w:rPr>
      <w:rFonts w:ascii="Times New Roman" w:eastAsia="SimSun" w:hAnsi="Times New Roman"/>
      <w:b/>
      <w:sz w:val="22"/>
      <w:lang w:val="en-GB" w:eastAsia="en-US"/>
    </w:rPr>
  </w:style>
  <w:style w:type="character" w:customStyle="1" w:styleId="Heading8Char">
    <w:name w:val="Heading 8 Char"/>
    <w:basedOn w:val="DefaultParagraphFont"/>
    <w:link w:val="Heading8"/>
    <w:rsid w:val="00853B80"/>
    <w:rPr>
      <w:rFonts w:ascii="Times New Roman" w:eastAsia="SimSun" w:hAnsi="Times New Roman"/>
      <w:b/>
      <w:sz w:val="22"/>
      <w:lang w:val="en-GB" w:eastAsia="en-US"/>
    </w:rPr>
  </w:style>
  <w:style w:type="character" w:customStyle="1" w:styleId="Heading9Char">
    <w:name w:val="Heading 9 Char"/>
    <w:basedOn w:val="DefaultParagraphFont"/>
    <w:link w:val="Heading9"/>
    <w:rsid w:val="00853B80"/>
    <w:rPr>
      <w:rFonts w:ascii="Times New Roman" w:eastAsia="SimSun" w:hAnsi="Times New Roman"/>
      <w:b/>
      <w:sz w:val="22"/>
      <w:lang w:val="en-GB" w:eastAsia="en-US"/>
    </w:rPr>
  </w:style>
  <w:style w:type="paragraph" w:customStyle="1" w:styleId="AnnexNotitle">
    <w:name w:val="Annex_No &amp; title"/>
    <w:basedOn w:val="Normal"/>
    <w:next w:val="Normal"/>
    <w:rsid w:val="001C2DA0"/>
    <w:pPr>
      <w:keepNext/>
      <w:keepLines/>
      <w:spacing w:before="480"/>
      <w:jc w:val="center"/>
    </w:pPr>
    <w:rPr>
      <w:b/>
      <w:sz w:val="28"/>
    </w:rPr>
  </w:style>
  <w:style w:type="paragraph" w:customStyle="1" w:styleId="normal0">
    <w:name w:val="normal"/>
    <w:basedOn w:val="Normal"/>
    <w:qFormat/>
    <w:rsid w:val="00E56335"/>
    <w:pPr>
      <w:ind w:firstLine="454"/>
    </w:pPr>
    <w:rPr>
      <w:lang w:eastAsia="zh-CN"/>
    </w:r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Call">
    <w:name w:val="Call"/>
    <w:basedOn w:val="Normal"/>
    <w:next w:val="Normal"/>
    <w:rsid w:val="0008342F"/>
    <w:pPr>
      <w:keepNext/>
      <w:keepLines/>
      <w:spacing w:before="160"/>
      <w:ind w:left="794"/>
    </w:pPr>
    <w:rPr>
      <w:i/>
    </w:rPr>
  </w:style>
  <w:style w:type="character" w:styleId="EndnoteReference">
    <w:name w:val="endnote reference"/>
    <w:basedOn w:val="DefaultParagraphFont"/>
    <w:rsid w:val="0008342F"/>
    <w:rPr>
      <w:vertAlign w:val="superscript"/>
    </w:rPr>
  </w:style>
  <w:style w:type="paragraph" w:customStyle="1" w:styleId="enumlev1">
    <w:name w:val="enumlev1"/>
    <w:basedOn w:val="Normal"/>
    <w:link w:val="enumlev1Char"/>
    <w:qFormat/>
    <w:rsid w:val="008414EB"/>
    <w:pPr>
      <w:ind w:left="794" w:hanging="794"/>
    </w:pPr>
  </w:style>
  <w:style w:type="character" w:customStyle="1" w:styleId="enumlev1Char">
    <w:name w:val="enumlev1 Char"/>
    <w:basedOn w:val="DefaultParagraphFont"/>
    <w:link w:val="enumlev1"/>
    <w:rsid w:val="008414EB"/>
    <w:rPr>
      <w:rFonts w:ascii="Times New Roman" w:eastAsia="SimSun" w:hAnsi="Times New Roman"/>
      <w:sz w:val="22"/>
      <w:lang w:val="en-GB" w:eastAsia="en-US"/>
    </w:r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B96D3A"/>
    <w:pPr>
      <w:keepNext/>
      <w:keepLines/>
      <w:spacing w:before="240" w:after="120"/>
      <w:jc w:val="center"/>
    </w:pPr>
  </w:style>
  <w:style w:type="paragraph" w:customStyle="1" w:styleId="FigureNotitle">
    <w:name w:val="Figure_No &amp; title"/>
    <w:basedOn w:val="Normal"/>
    <w:next w:val="Normal"/>
    <w:rsid w:val="00B96D3A"/>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styleId="Footer">
    <w:name w:val="footer"/>
    <w:basedOn w:val="Normal"/>
    <w:link w:val="FooterChar"/>
    <w:rsid w:val="0008342F"/>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locked/>
    <w:rsid w:val="00853B80"/>
    <w:rPr>
      <w:rFonts w:ascii="Times New Roman" w:eastAsia="SimSun" w:hAnsi="Times New Roman"/>
      <w:caps/>
      <w:noProof/>
      <w:sz w:val="16"/>
      <w:lang w:val="en-GB" w:eastAsia="en-US"/>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paragraph" w:customStyle="1" w:styleId="Note">
    <w:name w:val="Note"/>
    <w:basedOn w:val="Normal"/>
    <w:rsid w:val="0008342F"/>
    <w:pPr>
      <w:spacing w:before="80"/>
    </w:pPr>
  </w:style>
  <w:style w:type="paragraph" w:customStyle="1" w:styleId="Formal">
    <w:name w:val="Formal"/>
    <w:basedOn w:val="Normal"/>
    <w:rsid w:val="002F03D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842F5F"/>
    <w:pPr>
      <w:tabs>
        <w:tab w:val="clear" w:pos="794"/>
        <w:tab w:val="clear" w:pos="1191"/>
        <w:tab w:val="clear" w:pos="1588"/>
        <w:tab w:val="clear" w:pos="1985"/>
        <w:tab w:val="center" w:pos="4820"/>
        <w:tab w:val="right" w:pos="9639"/>
      </w:tabs>
      <w:spacing w:before="0"/>
      <w:jc w:val="left"/>
    </w:pPr>
    <w:rPr>
      <w:b/>
    </w:rPr>
  </w:style>
  <w:style w:type="character" w:customStyle="1" w:styleId="HeaderChar">
    <w:name w:val="Header Char"/>
    <w:basedOn w:val="DefaultParagraphFont"/>
    <w:link w:val="Header"/>
    <w:uiPriority w:val="99"/>
    <w:locked/>
    <w:rsid w:val="00842F5F"/>
    <w:rPr>
      <w:rFonts w:ascii="Times New Roman" w:eastAsia="SimSun" w:hAnsi="Times New Roman"/>
      <w:b/>
      <w:sz w:val="22"/>
      <w:lang w:val="en-GB" w:eastAsia="en-US"/>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qFormat/>
    <w:rsid w:val="00EF0CDB"/>
    <w:pPr>
      <w:keepNext/>
      <w:spacing w:before="160"/>
    </w:pPr>
    <w:rPr>
      <w:rFonts w:eastAsia="STKaiti"/>
      <w:sz w:val="24"/>
    </w:rPr>
  </w:style>
  <w:style w:type="paragraph" w:styleId="Index1">
    <w:name w:val="index 1"/>
    <w:basedOn w:val="Normal"/>
    <w:next w:val="Normal"/>
    <w:rsid w:val="0008342F"/>
  </w:style>
  <w:style w:type="paragraph" w:styleId="Index2">
    <w:name w:val="index 2"/>
    <w:basedOn w:val="Normal"/>
    <w:next w:val="Normal"/>
    <w:rsid w:val="0008342F"/>
    <w:pPr>
      <w:ind w:left="283"/>
    </w:pPr>
  </w:style>
  <w:style w:type="paragraph" w:styleId="Index3">
    <w:name w:val="index 3"/>
    <w:basedOn w:val="Normal"/>
    <w:next w:val="Normal"/>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
    <w:rsid w:val="0008342F"/>
    <w:pPr>
      <w:keepNext/>
      <w:keepLines/>
      <w:spacing w:before="240" w:after="280"/>
      <w:jc w:val="center"/>
    </w:pPr>
    <w:rPr>
      <w:b/>
      <w:sz w:val="28"/>
    </w:rPr>
  </w:style>
  <w:style w:type="paragraph" w:customStyle="1" w:styleId="Recdate">
    <w:name w:val="Rec_date"/>
    <w:basedOn w:val="Normal"/>
    <w:next w:val="Normal"/>
    <w:rsid w:val="00B96D3A"/>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
    <w:rsid w:val="00246FE8"/>
    <w:pPr>
      <w:keepNext/>
      <w:keepLines/>
      <w:spacing w:before="480" w:after="280"/>
      <w:jc w:val="center"/>
    </w:pPr>
    <w:rPr>
      <w:b/>
      <w:sz w:val="28"/>
    </w:rPr>
  </w:style>
  <w:style w:type="paragraph" w:customStyle="1" w:styleId="Source">
    <w:name w:val="Source"/>
    <w:basedOn w:val="Normal"/>
    <w:next w:val="Normal"/>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1C2DA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B96D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link w:val="TableNotitleChar"/>
    <w:rsid w:val="0008342F"/>
    <w:pPr>
      <w:keepNext/>
      <w:keepLines/>
      <w:spacing w:before="360" w:after="120"/>
      <w:jc w:val="center"/>
    </w:pPr>
    <w:rPr>
      <w:b/>
    </w:rPr>
  </w:style>
  <w:style w:type="character" w:customStyle="1" w:styleId="TableNotitleChar">
    <w:name w:val="Table_No &amp; title Char"/>
    <w:basedOn w:val="DefaultParagraphFont"/>
    <w:link w:val="TableNotitle"/>
    <w:locked/>
    <w:rsid w:val="00853B80"/>
    <w:rPr>
      <w:rFonts w:ascii="Times New Roman" w:eastAsia="SimSun" w:hAnsi="Times New Roman"/>
      <w:b/>
      <w:sz w:val="22"/>
      <w:lang w:val="en-GB" w:eastAsia="en-US"/>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924BE4"/>
    <w:pPr>
      <w:keepLines/>
      <w:tabs>
        <w:tab w:val="clear" w:pos="794"/>
        <w:tab w:val="clear" w:pos="1191"/>
        <w:tab w:val="clear" w:pos="1588"/>
        <w:tab w:val="clear" w:pos="1985"/>
        <w:tab w:val="left" w:pos="964"/>
        <w:tab w:val="left" w:leader="dot" w:pos="8789"/>
        <w:tab w:val="right" w:pos="9639"/>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uiPriority w:val="39"/>
    <w:rsid w:val="0008342F"/>
  </w:style>
  <w:style w:type="paragraph" w:styleId="TOC5">
    <w:name w:val="toc 5"/>
    <w:basedOn w:val="TOC4"/>
    <w:uiPriority w:val="39"/>
    <w:rsid w:val="0008342F"/>
  </w:style>
  <w:style w:type="paragraph" w:styleId="TOC6">
    <w:name w:val="toc 6"/>
    <w:basedOn w:val="TOC4"/>
    <w:uiPriority w:val="39"/>
    <w:rsid w:val="0008342F"/>
  </w:style>
  <w:style w:type="paragraph" w:styleId="TOC7">
    <w:name w:val="toc 7"/>
    <w:basedOn w:val="TOC4"/>
    <w:uiPriority w:val="39"/>
    <w:rsid w:val="0008342F"/>
  </w:style>
  <w:style w:type="paragraph" w:styleId="TOC8">
    <w:name w:val="toc 8"/>
    <w:basedOn w:val="TOC4"/>
    <w:uiPriority w:val="39"/>
    <w:rsid w:val="0008342F"/>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aliases w:val="CEO_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aliases w:val="CEO_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2"/>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uiPriority w:val="39"/>
    <w:rsid w:val="0008342F"/>
    <w:pPr>
      <w:tabs>
        <w:tab w:val="clear" w:pos="794"/>
        <w:tab w:val="clear" w:pos="1191"/>
        <w:tab w:val="clear" w:pos="1588"/>
        <w:tab w:val="clear" w:pos="1985"/>
      </w:tabs>
      <w:ind w:left="1920"/>
    </w:pPr>
  </w:style>
  <w:style w:type="paragraph" w:customStyle="1" w:styleId="Normalaftertitle">
    <w:name w:val="Normal after title"/>
    <w:basedOn w:val="Normal"/>
    <w:next w:val="Normal"/>
    <w:rsid w:val="00EC7E85"/>
    <w:pPr>
      <w:spacing w:before="280"/>
    </w:pPr>
  </w:style>
  <w:style w:type="paragraph" w:customStyle="1" w:styleId="FigureTitle">
    <w:name w:val="Figure Title"/>
    <w:basedOn w:val="Normal"/>
    <w:next w:val="Normal"/>
    <w:rsid w:val="00BB7B5D"/>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link w:val="TitleChar"/>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character" w:customStyle="1" w:styleId="TitleChar">
    <w:name w:val="Title Char"/>
    <w:basedOn w:val="DefaultParagraphFont"/>
    <w:link w:val="Title"/>
    <w:uiPriority w:val="99"/>
    <w:locked/>
    <w:rsid w:val="00853B80"/>
    <w:rPr>
      <w:rFonts w:ascii="Times New Roman" w:eastAsia="SimSun" w:hAnsi="Times New Roman"/>
      <w:b/>
      <w:sz w:val="32"/>
      <w:szCs w:val="24"/>
      <w:lang w:eastAsia="en-US"/>
    </w:rPr>
  </w:style>
  <w:style w:type="paragraph" w:styleId="TableofFigures">
    <w:name w:val="table of figures"/>
    <w:basedOn w:val="Normal"/>
    <w:next w:val="Normal"/>
    <w:semiHidden/>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customStyle="1" w:styleId="Notes">
    <w:name w:val="Notes"/>
    <w:basedOn w:val="DefaultParagraphFont"/>
    <w:rsid w:val="00013DC1"/>
    <w:rPr>
      <w:rFonts w:ascii="Arial" w:hAnsi="Arial"/>
      <w:sz w:val="16"/>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qForma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0">
    <w:name w:val="Annex_NoTitle"/>
    <w:basedOn w:val="Normal"/>
    <w:next w:val="Normal"/>
    <w:rsid w:val="007B61BD"/>
    <w:pPr>
      <w:keepNext/>
      <w:keepLines/>
      <w:snapToGrid w:val="0"/>
      <w:spacing w:before="480" w:line="316" w:lineRule="exact"/>
      <w:jc w:val="center"/>
    </w:pPr>
    <w:rPr>
      <w:rFonts w:eastAsia="Times New Roman"/>
      <w:b/>
      <w:bCs/>
      <w:sz w:val="28"/>
    </w:rPr>
  </w:style>
  <w:style w:type="character" w:customStyle="1" w:styleId="AnnexNoTitleChar">
    <w:name w:val="Annex_NoTitle Char"/>
    <w:basedOn w:val="DefaultParagraphFont"/>
    <w:rsid w:val="007B61BD"/>
    <w:rPr>
      <w:rFonts w:ascii="Trebuchet MS" w:hAnsi="Trebuchet MS"/>
      <w:b/>
      <w:noProof w:val="0"/>
      <w:sz w:val="28"/>
      <w:lang w:val="en-GB" w:eastAsia="en-US" w:bidi="ar-SA"/>
    </w:rPr>
  </w:style>
  <w:style w:type="paragraph" w:customStyle="1" w:styleId="Figuretitle0">
    <w:name w:val="Figure_title"/>
    <w:basedOn w:val="Normal"/>
    <w:next w:val="Normal"/>
    <w:rsid w:val="007B61BD"/>
    <w:pPr>
      <w:keepLines/>
      <w:snapToGrid w:val="0"/>
      <w:spacing w:before="0" w:after="120" w:line="316" w:lineRule="exact"/>
      <w:jc w:val="center"/>
    </w:pPr>
    <w:rPr>
      <w:rFonts w:eastAsia="Times New Roman"/>
      <w:b/>
      <w:bCs/>
      <w:sz w:val="24"/>
    </w:rPr>
  </w:style>
  <w:style w:type="paragraph" w:customStyle="1" w:styleId="Tabletitle">
    <w:name w:val="Table_title"/>
    <w:basedOn w:val="Normal"/>
    <w:next w:val="Tablehead"/>
    <w:rsid w:val="007B61BD"/>
    <w:pPr>
      <w:keepNext/>
      <w:keepLines/>
      <w:snapToGrid w:val="0"/>
      <w:spacing w:before="0" w:after="120" w:line="316" w:lineRule="exact"/>
      <w:jc w:val="center"/>
    </w:pPr>
    <w:rPr>
      <w:rFonts w:eastAsia="Times New Roman"/>
      <w:b/>
      <w:bCs/>
      <w:sz w:val="24"/>
    </w:rPr>
  </w:style>
  <w:style w:type="character" w:customStyle="1" w:styleId="HeadingbChar">
    <w:name w:val="Heading_b Char"/>
    <w:basedOn w:val="DefaultParagraphFont"/>
    <w:rsid w:val="007B61BD"/>
    <w:rPr>
      <w:rFonts w:ascii="Trebuchet MS" w:hAnsi="Trebuchet MS"/>
      <w:b/>
      <w:noProof w:val="0"/>
      <w:sz w:val="24"/>
      <w:lang w:val="en-GB" w:eastAsia="en-US" w:bidi="ar-SA"/>
    </w:rPr>
  </w:style>
  <w:style w:type="paragraph" w:customStyle="1" w:styleId="Titre">
    <w:name w:val="Titre"/>
    <w:basedOn w:val="Normal"/>
    <w:next w:val="Normal"/>
    <w:rsid w:val="00853B80"/>
    <w:pPr>
      <w:keepNext/>
      <w:tabs>
        <w:tab w:val="clear" w:pos="794"/>
        <w:tab w:val="clear" w:pos="1191"/>
        <w:tab w:val="clear" w:pos="1588"/>
        <w:tab w:val="clear" w:pos="1985"/>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Lgende">
    <w:name w:val="Légende"/>
    <w:basedOn w:val="Normal"/>
    <w:rsid w:val="00853B80"/>
    <w:pPr>
      <w:suppressLineNumbers/>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hAnsi="Trebuchet MS" w:cs="Tahoma"/>
      <w:i/>
      <w:iCs/>
      <w:sz w:val="24"/>
      <w:szCs w:val="24"/>
      <w:lang w:val="en-US" w:eastAsia="ar-SA"/>
    </w:rPr>
  </w:style>
  <w:style w:type="paragraph" w:customStyle="1" w:styleId="Rpertoire">
    <w:name w:val="Répertoire"/>
    <w:basedOn w:val="Normal"/>
    <w:rsid w:val="00853B80"/>
    <w:pPr>
      <w:suppressLineNumbers/>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hAnsi="Trebuchet MS" w:cs="Tahoma"/>
      <w:sz w:val="20"/>
      <w:lang w:val="en-US" w:eastAsia="ar-SA"/>
    </w:rPr>
  </w:style>
  <w:style w:type="paragraph" w:customStyle="1" w:styleId="Titre1">
    <w:name w:val="Titre1"/>
    <w:basedOn w:val="Normal"/>
    <w:next w:val="Normal"/>
    <w:rsid w:val="00853B80"/>
    <w:pPr>
      <w:keepNext/>
      <w:tabs>
        <w:tab w:val="clear" w:pos="794"/>
        <w:tab w:val="clear" w:pos="1191"/>
        <w:tab w:val="clear" w:pos="1588"/>
        <w:tab w:val="clear" w:pos="1985"/>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Lgende1">
    <w:name w:val="Légende1"/>
    <w:basedOn w:val="Normal"/>
    <w:rsid w:val="00853B80"/>
    <w:pPr>
      <w:suppressLineNumbers/>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hAnsi="Trebuchet MS" w:cs="Tahoma"/>
      <w:i/>
      <w:iCs/>
      <w:sz w:val="24"/>
      <w:szCs w:val="24"/>
      <w:lang w:val="en-US" w:eastAsia="ar-SA"/>
    </w:rPr>
  </w:style>
  <w:style w:type="paragraph" w:customStyle="1" w:styleId="Titredetableau">
    <w:name w:val="Titre de tableau"/>
    <w:basedOn w:val="Normal"/>
    <w:rsid w:val="002F03DD"/>
    <w:pPr>
      <w:suppressLineNumbers/>
      <w:suppressAutoHyphens/>
      <w:autoSpaceDN/>
      <w:adjustRightInd/>
      <w:jc w:val="center"/>
    </w:pPr>
    <w:rPr>
      <w:rFonts w:cs="CG Times"/>
      <w:b/>
      <w:bCs/>
      <w:sz w:val="24"/>
      <w:lang w:val="fr-FR" w:eastAsia="ar-SA"/>
    </w:rPr>
  </w:style>
  <w:style w:type="paragraph" w:customStyle="1" w:styleId="heading10">
    <w:name w:val="heading1"/>
    <w:basedOn w:val="Normal"/>
    <w:uiPriority w:val="99"/>
    <w:rsid w:val="002F03DD"/>
    <w:pPr>
      <w:tabs>
        <w:tab w:val="clear" w:pos="794"/>
        <w:tab w:val="clear" w:pos="1191"/>
        <w:tab w:val="clear" w:pos="1588"/>
        <w:tab w:val="clear" w:pos="1985"/>
      </w:tabs>
      <w:overflowPunct/>
      <w:autoSpaceDE/>
      <w:autoSpaceDN/>
      <w:adjustRightInd/>
      <w:spacing w:before="0"/>
      <w:textAlignment w:val="auto"/>
    </w:pPr>
    <w:rPr>
      <w:rFonts w:ascii="Arial" w:hAnsi="Arial" w:cs="Arial"/>
      <w:sz w:val="24"/>
      <w:szCs w:val="24"/>
      <w:lang w:val="en-US"/>
    </w:rPr>
  </w:style>
  <w:style w:type="paragraph" w:styleId="Index4">
    <w:name w:val="index 4"/>
    <w:basedOn w:val="Normal"/>
    <w:next w:val="Normal"/>
    <w:autoRedefine/>
    <w:uiPriority w:val="99"/>
    <w:rsid w:val="00853B80"/>
    <w:pPr>
      <w:tabs>
        <w:tab w:val="clear" w:pos="794"/>
        <w:tab w:val="clear" w:pos="1191"/>
        <w:tab w:val="clear" w:pos="1588"/>
        <w:tab w:val="clear" w:pos="1985"/>
      </w:tabs>
      <w:overflowPunct/>
      <w:autoSpaceDE/>
      <w:autoSpaceDN/>
      <w:adjustRightInd/>
      <w:spacing w:before="0"/>
      <w:ind w:left="960" w:hanging="240"/>
      <w:jc w:val="left"/>
      <w:textAlignment w:val="auto"/>
    </w:pPr>
    <w:rPr>
      <w:rFonts w:ascii="Arial" w:hAnsi="Arial" w:cs="Arial"/>
      <w:sz w:val="18"/>
      <w:szCs w:val="18"/>
    </w:rPr>
  </w:style>
  <w:style w:type="paragraph" w:styleId="Index5">
    <w:name w:val="index 5"/>
    <w:basedOn w:val="Normal"/>
    <w:next w:val="Normal"/>
    <w:autoRedefine/>
    <w:uiPriority w:val="99"/>
    <w:rsid w:val="00853B80"/>
    <w:pPr>
      <w:tabs>
        <w:tab w:val="clear" w:pos="794"/>
        <w:tab w:val="clear" w:pos="1191"/>
        <w:tab w:val="clear" w:pos="1588"/>
        <w:tab w:val="clear" w:pos="1985"/>
      </w:tabs>
      <w:overflowPunct/>
      <w:autoSpaceDE/>
      <w:autoSpaceDN/>
      <w:adjustRightInd/>
      <w:spacing w:before="0"/>
      <w:ind w:left="1200" w:hanging="240"/>
      <w:jc w:val="left"/>
      <w:textAlignment w:val="auto"/>
    </w:pPr>
    <w:rPr>
      <w:rFonts w:ascii="Arial" w:hAnsi="Arial" w:cs="Arial"/>
      <w:sz w:val="18"/>
      <w:szCs w:val="18"/>
    </w:rPr>
  </w:style>
  <w:style w:type="paragraph" w:styleId="Index6">
    <w:name w:val="index 6"/>
    <w:basedOn w:val="Normal"/>
    <w:next w:val="Normal"/>
    <w:autoRedefine/>
    <w:uiPriority w:val="99"/>
    <w:rsid w:val="00853B80"/>
    <w:pPr>
      <w:tabs>
        <w:tab w:val="clear" w:pos="794"/>
        <w:tab w:val="clear" w:pos="1191"/>
        <w:tab w:val="clear" w:pos="1588"/>
        <w:tab w:val="clear" w:pos="1985"/>
      </w:tabs>
      <w:overflowPunct/>
      <w:autoSpaceDE/>
      <w:autoSpaceDN/>
      <w:adjustRightInd/>
      <w:spacing w:before="0"/>
      <w:ind w:left="1440" w:hanging="240"/>
      <w:jc w:val="left"/>
      <w:textAlignment w:val="auto"/>
    </w:pPr>
    <w:rPr>
      <w:rFonts w:ascii="Arial" w:hAnsi="Arial" w:cs="Arial"/>
      <w:sz w:val="18"/>
      <w:szCs w:val="18"/>
    </w:rPr>
  </w:style>
  <w:style w:type="paragraph" w:styleId="Index7">
    <w:name w:val="index 7"/>
    <w:basedOn w:val="Normal"/>
    <w:next w:val="Normal"/>
    <w:autoRedefine/>
    <w:uiPriority w:val="99"/>
    <w:rsid w:val="00853B80"/>
    <w:pPr>
      <w:tabs>
        <w:tab w:val="clear" w:pos="794"/>
        <w:tab w:val="clear" w:pos="1191"/>
        <w:tab w:val="clear" w:pos="1588"/>
        <w:tab w:val="clear" w:pos="1985"/>
      </w:tabs>
      <w:overflowPunct/>
      <w:autoSpaceDE/>
      <w:autoSpaceDN/>
      <w:adjustRightInd/>
      <w:spacing w:before="0"/>
      <w:ind w:left="1680" w:hanging="240"/>
      <w:jc w:val="left"/>
      <w:textAlignment w:val="auto"/>
    </w:pPr>
    <w:rPr>
      <w:rFonts w:ascii="Arial" w:hAnsi="Arial" w:cs="Arial"/>
      <w:sz w:val="18"/>
      <w:szCs w:val="18"/>
    </w:rPr>
  </w:style>
  <w:style w:type="paragraph" w:styleId="Index8">
    <w:name w:val="index 8"/>
    <w:basedOn w:val="Normal"/>
    <w:next w:val="Normal"/>
    <w:autoRedefine/>
    <w:uiPriority w:val="99"/>
    <w:rsid w:val="00853B80"/>
    <w:pPr>
      <w:tabs>
        <w:tab w:val="clear" w:pos="794"/>
        <w:tab w:val="clear" w:pos="1191"/>
        <w:tab w:val="clear" w:pos="1588"/>
        <w:tab w:val="clear" w:pos="1985"/>
      </w:tabs>
      <w:overflowPunct/>
      <w:autoSpaceDE/>
      <w:autoSpaceDN/>
      <w:adjustRightInd/>
      <w:spacing w:before="0"/>
      <w:ind w:left="1920" w:hanging="240"/>
      <w:jc w:val="left"/>
      <w:textAlignment w:val="auto"/>
    </w:pPr>
    <w:rPr>
      <w:rFonts w:ascii="Arial" w:hAnsi="Arial" w:cs="Arial"/>
      <w:sz w:val="18"/>
      <w:szCs w:val="18"/>
    </w:rPr>
  </w:style>
  <w:style w:type="paragraph" w:styleId="Index9">
    <w:name w:val="index 9"/>
    <w:basedOn w:val="Normal"/>
    <w:next w:val="Normal"/>
    <w:autoRedefine/>
    <w:uiPriority w:val="99"/>
    <w:rsid w:val="00853B80"/>
    <w:pPr>
      <w:tabs>
        <w:tab w:val="clear" w:pos="794"/>
        <w:tab w:val="clear" w:pos="1191"/>
        <w:tab w:val="clear" w:pos="1588"/>
        <w:tab w:val="clear" w:pos="1985"/>
      </w:tabs>
      <w:overflowPunct/>
      <w:autoSpaceDE/>
      <w:autoSpaceDN/>
      <w:adjustRightInd/>
      <w:spacing w:before="0"/>
      <w:ind w:left="2160" w:hanging="240"/>
      <w:jc w:val="left"/>
      <w:textAlignment w:val="auto"/>
    </w:pPr>
    <w:rPr>
      <w:rFonts w:ascii="Arial" w:hAnsi="Arial" w:cs="Arial"/>
      <w:sz w:val="18"/>
      <w:szCs w:val="18"/>
    </w:rPr>
  </w:style>
  <w:style w:type="paragraph" w:styleId="IndexHeading">
    <w:name w:val="index heading"/>
    <w:basedOn w:val="Normal"/>
    <w:next w:val="Index1"/>
    <w:uiPriority w:val="99"/>
    <w:rsid w:val="00853B80"/>
    <w:pPr>
      <w:tabs>
        <w:tab w:val="clear" w:pos="794"/>
        <w:tab w:val="clear" w:pos="1191"/>
        <w:tab w:val="clear" w:pos="1588"/>
        <w:tab w:val="clear" w:pos="1985"/>
      </w:tabs>
      <w:overflowPunct/>
      <w:autoSpaceDE/>
      <w:autoSpaceDN/>
      <w:adjustRightInd/>
      <w:spacing w:before="240" w:after="120"/>
      <w:jc w:val="center"/>
      <w:textAlignment w:val="auto"/>
    </w:pPr>
    <w:rPr>
      <w:rFonts w:ascii="Arial" w:hAnsi="Arial" w:cs="Arial"/>
      <w:b/>
      <w:bCs/>
      <w:sz w:val="26"/>
      <w:szCs w:val="26"/>
    </w:rPr>
  </w:style>
  <w:style w:type="paragraph" w:customStyle="1" w:styleId="Header1">
    <w:name w:val="Header 1."/>
    <w:basedOn w:val="Heading1"/>
    <w:next w:val="Normal"/>
    <w:link w:val="Header1Char"/>
    <w:uiPriority w:val="99"/>
    <w:rsid w:val="00853B80"/>
    <w:pPr>
      <w:keepLines w:val="0"/>
      <w:tabs>
        <w:tab w:val="clear" w:pos="794"/>
        <w:tab w:val="clear" w:pos="1191"/>
        <w:tab w:val="clear" w:pos="1588"/>
        <w:tab w:val="clear" w:pos="1985"/>
        <w:tab w:val="num" w:pos="720"/>
      </w:tabs>
      <w:overflowPunct/>
      <w:autoSpaceDE/>
      <w:autoSpaceDN/>
      <w:adjustRightInd/>
      <w:spacing w:before="0"/>
      <w:ind w:left="720" w:hanging="720"/>
      <w:jc w:val="left"/>
      <w:textAlignment w:val="auto"/>
    </w:pPr>
    <w:rPr>
      <w:rFonts w:ascii="Arial" w:eastAsia="SimHei" w:hAnsi="Arial" w:cs="Simplified Arabic"/>
      <w:bCs/>
      <w:smallCaps/>
      <w:sz w:val="19"/>
      <w:szCs w:val="28"/>
      <w:u w:val="single"/>
      <w:lang w:eastAsia="zh-CN"/>
    </w:rPr>
  </w:style>
  <w:style w:type="character" w:customStyle="1" w:styleId="Header1Char">
    <w:name w:val="Header 1. Char"/>
    <w:basedOn w:val="Heading1Char"/>
    <w:link w:val="Header1"/>
    <w:uiPriority w:val="99"/>
    <w:locked/>
    <w:rsid w:val="00853B80"/>
    <w:rPr>
      <w:rFonts w:ascii="Arial" w:eastAsia="SimHei" w:hAnsi="Arial" w:cs="Simplified Arabic"/>
      <w:bCs/>
      <w:smallCaps/>
      <w:sz w:val="19"/>
      <w:szCs w:val="28"/>
      <w:u w:val="single"/>
    </w:rPr>
  </w:style>
  <w:style w:type="character" w:styleId="LineNumber">
    <w:name w:val="line number"/>
    <w:basedOn w:val="DefaultParagraphFont"/>
    <w:uiPriority w:val="99"/>
    <w:rsid w:val="00853B80"/>
    <w:rPr>
      <w:rFonts w:cs="Times New Roman"/>
    </w:rPr>
  </w:style>
  <w:style w:type="numbering" w:customStyle="1" w:styleId="NoList1">
    <w:name w:val="No List1"/>
    <w:next w:val="NoList"/>
    <w:uiPriority w:val="99"/>
    <w:semiHidden/>
    <w:unhideWhenUsed/>
    <w:rsid w:val="00E10A58"/>
  </w:style>
  <w:style w:type="paragraph" w:customStyle="1" w:styleId="Normalaftertitle0">
    <w:name w:val="Normal_after_title"/>
    <w:basedOn w:val="Normal"/>
    <w:next w:val="Normal"/>
    <w:rsid w:val="00E10A58"/>
    <w:pPr>
      <w:spacing w:before="360"/>
    </w:pPr>
    <w:rPr>
      <w:rFonts w:eastAsia="Times New Roman"/>
    </w:rPr>
  </w:style>
  <w:style w:type="paragraph" w:customStyle="1" w:styleId="ASN1">
    <w:name w:val="ASN.1"/>
    <w:basedOn w:val="Normal"/>
    <w:rsid w:val="00E10A5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hapNo">
    <w:name w:val="Chap_No"/>
    <w:basedOn w:val="Normal"/>
    <w:next w:val="Chaptitle"/>
    <w:rsid w:val="00E10A58"/>
    <w:pPr>
      <w:keepNext/>
      <w:keepLines/>
      <w:spacing w:before="480"/>
      <w:jc w:val="center"/>
    </w:pPr>
    <w:rPr>
      <w:rFonts w:eastAsia="Times New Roman"/>
      <w:b/>
      <w:caps/>
      <w:sz w:val="28"/>
    </w:rPr>
  </w:style>
  <w:style w:type="paragraph" w:customStyle="1" w:styleId="Chaptitle">
    <w:name w:val="Chap_title"/>
    <w:basedOn w:val="Normal"/>
    <w:next w:val="Normalaftertitle0"/>
    <w:rsid w:val="00E10A58"/>
    <w:pPr>
      <w:keepNext/>
      <w:keepLines/>
      <w:spacing w:before="240"/>
      <w:jc w:val="center"/>
    </w:pPr>
    <w:rPr>
      <w:rFonts w:eastAsia="Times New Roman"/>
      <w:b/>
      <w:sz w:val="28"/>
    </w:rPr>
  </w:style>
  <w:style w:type="paragraph" w:customStyle="1" w:styleId="Figurewithouttitle">
    <w:name w:val="Figure_without_title"/>
    <w:basedOn w:val="Normal"/>
    <w:next w:val="Normalaftertitle0"/>
    <w:rsid w:val="00E10A58"/>
    <w:pPr>
      <w:keepLines/>
      <w:spacing w:before="240" w:after="120"/>
      <w:jc w:val="center"/>
    </w:pPr>
    <w:rPr>
      <w:rFonts w:eastAsia="Times New Roman"/>
    </w:rPr>
  </w:style>
  <w:style w:type="character" w:styleId="FootnoteReference">
    <w:name w:val="footnote reference"/>
    <w:aliases w:val="Appel note de bas de p,Footnote Reference/"/>
    <w:basedOn w:val="DefaultParagraphFont"/>
    <w:rsid w:val="00E10A58"/>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E10A58"/>
    <w:pPr>
      <w:keepLines/>
      <w:tabs>
        <w:tab w:val="left" w:pos="255"/>
      </w:tabs>
      <w:ind w:left="255" w:hanging="255"/>
    </w:pPr>
    <w:rPr>
      <w:rFonts w:eastAsia="Times New Roman"/>
      <w:sz w:val="18"/>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E10A58"/>
    <w:rPr>
      <w:rFonts w:ascii="Times New Roman" w:eastAsia="Times New Roman" w:hAnsi="Times New Roman"/>
      <w:sz w:val="18"/>
      <w:lang w:eastAsia="en-US"/>
    </w:rPr>
  </w:style>
  <w:style w:type="paragraph" w:customStyle="1" w:styleId="FiguretitleBR">
    <w:name w:val="Figure_title_BR"/>
    <w:basedOn w:val="TabletitleBR"/>
    <w:next w:val="Figurewithouttitle"/>
    <w:rsid w:val="00E10A58"/>
    <w:pPr>
      <w:keepNext w:val="0"/>
      <w:spacing w:after="480"/>
    </w:pPr>
    <w:rPr>
      <w:rFonts w:eastAsia="Times New Roman"/>
    </w:rPr>
  </w:style>
  <w:style w:type="paragraph" w:customStyle="1" w:styleId="FigureNoBR">
    <w:name w:val="Figure_No_BR"/>
    <w:basedOn w:val="Normal"/>
    <w:next w:val="FiguretitleBR"/>
    <w:rsid w:val="00E10A58"/>
    <w:pPr>
      <w:keepNext/>
      <w:keepLines/>
      <w:spacing w:before="480" w:after="120"/>
      <w:jc w:val="center"/>
    </w:pPr>
    <w:rPr>
      <w:rFonts w:eastAsia="Times New Roman"/>
      <w:caps/>
    </w:rPr>
  </w:style>
  <w:style w:type="paragraph" w:styleId="BodyText3">
    <w:name w:val="Body Text 3"/>
    <w:basedOn w:val="Normal"/>
    <w:link w:val="BodyText3Char"/>
    <w:rsid w:val="00E10A58"/>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rFonts w:eastAsia="Times New Roman"/>
      <w:szCs w:val="24"/>
      <w:lang w:val="en-US"/>
    </w:rPr>
  </w:style>
  <w:style w:type="character" w:customStyle="1" w:styleId="BodyText3Char">
    <w:name w:val="Body Text 3 Char"/>
    <w:basedOn w:val="DefaultParagraphFont"/>
    <w:link w:val="BodyText3"/>
    <w:rsid w:val="00E10A58"/>
    <w:rPr>
      <w:rFonts w:ascii="Times New Roman" w:eastAsia="Times New Roman" w:hAnsi="Times New Roman"/>
      <w:sz w:val="22"/>
      <w:szCs w:val="24"/>
      <w:shd w:val="pct12" w:color="auto" w:fill="auto"/>
      <w:lang w:eastAsia="en-US"/>
    </w:rPr>
  </w:style>
  <w:style w:type="paragraph" w:styleId="ListBullet">
    <w:name w:val="List Bullet"/>
    <w:basedOn w:val="Normal"/>
    <w:autoRedefine/>
    <w:rsid w:val="00E10A58"/>
    <w:pPr>
      <w:tabs>
        <w:tab w:val="num" w:pos="360"/>
      </w:tabs>
      <w:ind w:left="360" w:hanging="360"/>
    </w:pPr>
    <w:rPr>
      <w:rFonts w:eastAsia="Times New Roman"/>
    </w:rPr>
  </w:style>
  <w:style w:type="paragraph" w:customStyle="1" w:styleId="Boulet1">
    <w:name w:val="Boulet1"/>
    <w:basedOn w:val="Normal"/>
    <w:rsid w:val="00E10A58"/>
    <w:pPr>
      <w:widowControl w:val="0"/>
      <w:tabs>
        <w:tab w:val="clear" w:pos="794"/>
        <w:tab w:val="clear" w:pos="1191"/>
        <w:tab w:val="clear" w:pos="1588"/>
        <w:tab w:val="clear" w:pos="1985"/>
        <w:tab w:val="left" w:pos="360"/>
      </w:tabs>
      <w:spacing w:before="60" w:line="240" w:lineRule="atLeast"/>
      <w:ind w:left="360" w:hanging="360"/>
    </w:pPr>
    <w:rPr>
      <w:rFonts w:ascii="Aldine401 BT" w:eastAsia="Times New Roman" w:hAnsi="Aldine401 BT"/>
      <w:color w:val="000000"/>
      <w:sz w:val="20"/>
      <w:lang w:val="fr-FR"/>
    </w:rPr>
  </w:style>
  <w:style w:type="paragraph" w:customStyle="1" w:styleId="headfoot">
    <w:name w:val="head_foot"/>
    <w:basedOn w:val="Normal"/>
    <w:next w:val="Normal"/>
    <w:rsid w:val="00E10A58"/>
    <w:pPr>
      <w:tabs>
        <w:tab w:val="clear" w:pos="794"/>
        <w:tab w:val="clear" w:pos="1191"/>
        <w:tab w:val="clear" w:pos="1588"/>
        <w:tab w:val="clear" w:pos="1985"/>
      </w:tabs>
      <w:spacing w:before="0"/>
    </w:pPr>
    <w:rPr>
      <w:rFonts w:eastAsia="Times New Roman"/>
      <w:color w:val="FF0000"/>
      <w:sz w:val="8"/>
      <w:lang w:val="en-US"/>
    </w:rPr>
  </w:style>
  <w:style w:type="paragraph" w:styleId="BodyText">
    <w:name w:val="Body Text"/>
    <w:basedOn w:val="Normal"/>
    <w:link w:val="BodyTextChar"/>
    <w:rsid w:val="00E10A58"/>
    <w:pPr>
      <w:spacing w:before="0"/>
    </w:pPr>
    <w:rPr>
      <w:rFonts w:eastAsia="Times New Roman"/>
      <w:bCs/>
      <w:lang w:val="en-US"/>
    </w:rPr>
  </w:style>
  <w:style w:type="character" w:customStyle="1" w:styleId="BodyTextChar">
    <w:name w:val="Body Text Char"/>
    <w:basedOn w:val="DefaultParagraphFont"/>
    <w:link w:val="BodyText"/>
    <w:rsid w:val="00E10A58"/>
    <w:rPr>
      <w:rFonts w:ascii="Times New Roman" w:eastAsia="Times New Roman" w:hAnsi="Times New Roman"/>
      <w:bCs/>
      <w:sz w:val="22"/>
      <w:lang w:eastAsia="en-US"/>
    </w:rPr>
  </w:style>
  <w:style w:type="paragraph" w:styleId="BodyText2">
    <w:name w:val="Body Text 2"/>
    <w:basedOn w:val="Normal"/>
    <w:link w:val="BodyText2Char"/>
    <w:rsid w:val="00E10A58"/>
    <w:pPr>
      <w:spacing w:before="0"/>
    </w:pPr>
    <w:rPr>
      <w:rFonts w:eastAsia="Times New Roman"/>
      <w:b/>
      <w:sz w:val="16"/>
    </w:rPr>
  </w:style>
  <w:style w:type="character" w:customStyle="1" w:styleId="BodyText2Char">
    <w:name w:val="Body Text 2 Char"/>
    <w:basedOn w:val="DefaultParagraphFont"/>
    <w:link w:val="BodyText2"/>
    <w:rsid w:val="00E10A58"/>
    <w:rPr>
      <w:rFonts w:ascii="Times New Roman" w:eastAsia="Times New Roman" w:hAnsi="Times New Roman"/>
      <w:b/>
      <w:sz w:val="16"/>
      <w:lang w:val="en-GB" w:eastAsia="en-US"/>
    </w:rPr>
  </w:style>
  <w:style w:type="character" w:styleId="CommentReference">
    <w:name w:val="annotation reference"/>
    <w:basedOn w:val="DefaultParagraphFont"/>
    <w:rsid w:val="00E10A58"/>
    <w:rPr>
      <w:sz w:val="16"/>
      <w:szCs w:val="16"/>
    </w:rPr>
  </w:style>
  <w:style w:type="paragraph" w:styleId="CommentText">
    <w:name w:val="annotation text"/>
    <w:basedOn w:val="Normal"/>
    <w:link w:val="CommentTextChar"/>
    <w:rsid w:val="00E10A58"/>
    <w:rPr>
      <w:rFonts w:eastAsia="Times New Roman"/>
      <w:sz w:val="20"/>
    </w:rPr>
  </w:style>
  <w:style w:type="character" w:customStyle="1" w:styleId="CommentTextChar">
    <w:name w:val="Comment Text Char"/>
    <w:basedOn w:val="DefaultParagraphFont"/>
    <w:link w:val="CommentText"/>
    <w:rsid w:val="00E10A58"/>
    <w:rPr>
      <w:rFonts w:ascii="Times New Roman" w:eastAsia="Times New Roman" w:hAnsi="Times New Roman"/>
      <w:lang w:val="en-GB" w:eastAsia="en-US"/>
    </w:rPr>
  </w:style>
  <w:style w:type="paragraph" w:styleId="CommentSubject">
    <w:name w:val="annotation subject"/>
    <w:basedOn w:val="CommentText"/>
    <w:next w:val="CommentText"/>
    <w:link w:val="CommentSubjectChar"/>
    <w:rsid w:val="00E10A58"/>
    <w:rPr>
      <w:b/>
      <w:bCs/>
    </w:rPr>
  </w:style>
  <w:style w:type="character" w:customStyle="1" w:styleId="CommentSubjectChar">
    <w:name w:val="Comment Subject Char"/>
    <w:basedOn w:val="CommentTextChar"/>
    <w:link w:val="CommentSubject"/>
    <w:rsid w:val="00E10A58"/>
    <w:rPr>
      <w:b/>
      <w:bCs/>
    </w:rPr>
  </w:style>
  <w:style w:type="character" w:customStyle="1" w:styleId="Alloc">
    <w:name w:val="Alloc"/>
    <w:basedOn w:val="DefaultParagraphFont"/>
    <w:rsid w:val="00E10A58"/>
    <w:rPr>
      <w:rFonts w:ascii="Arial" w:hAnsi="Arial"/>
      <w:sz w:val="16"/>
    </w:rPr>
  </w:style>
  <w:style w:type="character" w:customStyle="1" w:styleId="Remarks">
    <w:name w:val="Remarks"/>
    <w:basedOn w:val="DefaultParagraphFont"/>
    <w:rsid w:val="00E10A58"/>
    <w:rPr>
      <w:sz w:val="24"/>
    </w:rPr>
  </w:style>
  <w:style w:type="table" w:customStyle="1" w:styleId="TableGrid1">
    <w:name w:val="Table Grid1"/>
    <w:basedOn w:val="TableNormal"/>
    <w:next w:val="TableGrid"/>
    <w:rsid w:val="00E10A58"/>
    <w:pPr>
      <w:tabs>
        <w:tab w:val="left" w:pos="794"/>
        <w:tab w:val="left" w:pos="1191"/>
        <w:tab w:val="left" w:pos="1588"/>
        <w:tab w:val="left" w:pos="1985"/>
      </w:tabs>
      <w:overflowPunct w:val="0"/>
      <w:autoSpaceDE w:val="0"/>
      <w:autoSpaceDN w:val="0"/>
      <w:adjustRightInd w:val="0"/>
      <w:snapToGrid w:val="0"/>
      <w:spacing w:before="160"/>
      <w:jc w:val="both"/>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0A58"/>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E10A58"/>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E10A58"/>
    <w:rPr>
      <w:rFonts w:ascii="Tahoma" w:eastAsia="Times New Roman" w:hAnsi="Tahoma" w:cs="Tahoma"/>
      <w:sz w:val="16"/>
      <w:szCs w:val="16"/>
      <w:lang w:val="en-GB" w:eastAsia="en-US"/>
    </w:rPr>
  </w:style>
  <w:style w:type="paragraph" w:customStyle="1" w:styleId="CEONormal">
    <w:name w:val="CEO_Normal"/>
    <w:autoRedefine/>
    <w:rsid w:val="00E10A58"/>
    <w:pPr>
      <w:spacing w:before="120"/>
    </w:pPr>
    <w:rPr>
      <w:rFonts w:ascii="Verdana" w:eastAsia="SimSun" w:hAnsi="Verdana"/>
      <w:sz w:val="19"/>
      <w:szCs w:val="19"/>
      <w:lang w:val="en-GB" w:eastAsia="en-US"/>
    </w:rPr>
  </w:style>
  <w:style w:type="paragraph" w:customStyle="1" w:styleId="CEOForAction">
    <w:name w:val="CEO_ForAction"/>
    <w:basedOn w:val="CEONormal"/>
    <w:next w:val="CEOSourceTitle"/>
    <w:rsid w:val="00E10A58"/>
    <w:pPr>
      <w:spacing w:after="120"/>
      <w:ind w:left="743"/>
    </w:pPr>
    <w:rPr>
      <w:b/>
      <w:bCs/>
      <w:iCs/>
    </w:rPr>
  </w:style>
  <w:style w:type="paragraph" w:customStyle="1" w:styleId="CEOSourceTitle">
    <w:name w:val="CEO_Source_Title"/>
    <w:basedOn w:val="Normal"/>
    <w:rsid w:val="00E10A58"/>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19"/>
      <w:szCs w:val="19"/>
    </w:rPr>
  </w:style>
  <w:style w:type="paragraph" w:customStyle="1" w:styleId="CEODocDates">
    <w:name w:val="CEO_DocDates"/>
    <w:basedOn w:val="Normal"/>
    <w:next w:val="Normal"/>
    <w:rsid w:val="00E10A58"/>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DocNo">
    <w:name w:val="CEO_DocNo"/>
    <w:basedOn w:val="Normal"/>
    <w:next w:val="Normal"/>
    <w:rsid w:val="00E10A58"/>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MeetingDates">
    <w:name w:val="CEO_MeetingDates"/>
    <w:basedOn w:val="Normal"/>
    <w:rsid w:val="00E10A58"/>
    <w:pPr>
      <w:tabs>
        <w:tab w:val="clear" w:pos="794"/>
        <w:tab w:val="clear" w:pos="1191"/>
        <w:tab w:val="clear" w:pos="1588"/>
        <w:tab w:val="clear" w:pos="1985"/>
      </w:tabs>
      <w:overflowPunct/>
      <w:autoSpaceDE/>
      <w:autoSpaceDN/>
      <w:adjustRightInd/>
      <w:spacing w:before="0" w:after="40"/>
      <w:jc w:val="left"/>
      <w:textAlignment w:val="auto"/>
    </w:pPr>
    <w:rPr>
      <w:rFonts w:ascii="Verdana" w:eastAsia="SimHei" w:hAnsi="Verdana" w:cs="Simplified Arabic"/>
      <w:b/>
      <w:sz w:val="19"/>
      <w:szCs w:val="19"/>
    </w:rPr>
  </w:style>
  <w:style w:type="paragraph" w:customStyle="1" w:styleId="CEOMeetingName">
    <w:name w:val="CEO_MeetingName"/>
    <w:basedOn w:val="Normal"/>
    <w:rsid w:val="00E10A58"/>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OriginalLanguage">
    <w:name w:val="CEO_OriginalLanguage"/>
    <w:basedOn w:val="Normal"/>
    <w:next w:val="Normal"/>
    <w:rsid w:val="00E10A58"/>
    <w:pPr>
      <w:tabs>
        <w:tab w:val="clear" w:pos="794"/>
        <w:tab w:val="clear" w:pos="1191"/>
        <w:tab w:val="clear" w:pos="1588"/>
        <w:tab w:val="clear" w:pos="1985"/>
      </w:tabs>
      <w:overflowPunct/>
      <w:autoSpaceDE/>
      <w:autoSpaceDN/>
      <w:adjustRightInd/>
      <w:spacing w:before="240" w:after="120"/>
      <w:jc w:val="left"/>
      <w:textAlignment w:val="auto"/>
    </w:pPr>
    <w:rPr>
      <w:rFonts w:ascii="Verdana" w:eastAsia="SimHei" w:hAnsi="Verdana" w:cs="Simplified Arabic"/>
      <w:b/>
      <w:sz w:val="19"/>
      <w:szCs w:val="19"/>
    </w:rPr>
  </w:style>
  <w:style w:type="paragraph" w:customStyle="1" w:styleId="CEOQuestion">
    <w:name w:val="CEO_Question"/>
    <w:basedOn w:val="CEOOriginalLanguage"/>
    <w:rsid w:val="00E10A58"/>
    <w:pPr>
      <w:tabs>
        <w:tab w:val="left" w:pos="2098"/>
      </w:tabs>
      <w:ind w:left="2098" w:hanging="2098"/>
    </w:pPr>
    <w:rPr>
      <w:lang w:val="fr-CH"/>
    </w:rPr>
  </w:style>
  <w:style w:type="paragraph" w:customStyle="1" w:styleId="CEOSectorName">
    <w:name w:val="CEO_SectorName"/>
    <w:basedOn w:val="Normal"/>
    <w:rsid w:val="00E10A58"/>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26"/>
      <w:szCs w:val="28"/>
    </w:rPr>
  </w:style>
  <w:style w:type="paragraph" w:customStyle="1" w:styleId="CEOSourceTitleDetails">
    <w:name w:val="CEO_SourceTitleDetails"/>
    <w:basedOn w:val="Normal"/>
    <w:rsid w:val="00E10A58"/>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Cs/>
      <w:sz w:val="19"/>
      <w:szCs w:val="19"/>
    </w:rPr>
  </w:style>
  <w:style w:type="paragraph" w:customStyle="1" w:styleId="CEOLogo">
    <w:name w:val="CEO_Logo"/>
    <w:basedOn w:val="CEONormal"/>
    <w:rsid w:val="00E10A58"/>
    <w:pPr>
      <w:spacing w:before="0"/>
      <w:jc w:val="right"/>
    </w:pPr>
  </w:style>
  <w:style w:type="paragraph" w:customStyle="1" w:styleId="CEORevision">
    <w:name w:val="CEO_Revision"/>
    <w:basedOn w:val="CEONormal"/>
    <w:autoRedefine/>
    <w:rsid w:val="00E10A58"/>
    <w:pPr>
      <w:tabs>
        <w:tab w:val="left" w:pos="1928"/>
      </w:tabs>
    </w:pPr>
    <w:rPr>
      <w:b/>
      <w:sz w:val="18"/>
      <w:szCs w:val="18"/>
    </w:rPr>
  </w:style>
  <w:style w:type="paragraph" w:customStyle="1" w:styleId="CEOActionRequired">
    <w:name w:val="CEO_ActionRequired"/>
    <w:basedOn w:val="CEONormal"/>
    <w:rsid w:val="00E10A58"/>
    <w:pPr>
      <w:tabs>
        <w:tab w:val="left" w:pos="1928"/>
      </w:tabs>
    </w:pPr>
    <w:rPr>
      <w:b/>
    </w:rPr>
  </w:style>
  <w:style w:type="paragraph" w:customStyle="1" w:styleId="CEOFooterContact2-3">
    <w:name w:val="CEO_FooterContact2-3"/>
    <w:basedOn w:val="Normal"/>
    <w:rsid w:val="00E10A58"/>
    <w:pPr>
      <w:tabs>
        <w:tab w:val="clear" w:pos="794"/>
        <w:tab w:val="clear" w:pos="1191"/>
        <w:tab w:val="clear" w:pos="1588"/>
        <w:tab w:val="clear" w:pos="1985"/>
      </w:tabs>
      <w:overflowPunct/>
      <w:autoSpaceDE/>
      <w:autoSpaceDN/>
      <w:adjustRightInd/>
      <w:spacing w:before="0"/>
      <w:ind w:left="3827" w:hanging="2268"/>
      <w:jc w:val="left"/>
      <w:textAlignment w:val="auto"/>
    </w:pPr>
    <w:rPr>
      <w:rFonts w:ascii="Verdana" w:hAnsi="Verdana"/>
      <w:sz w:val="16"/>
      <w:szCs w:val="16"/>
    </w:rPr>
  </w:style>
  <w:style w:type="paragraph" w:customStyle="1" w:styleId="CEOFooterContact1">
    <w:name w:val="CEO_FooterContact1"/>
    <w:basedOn w:val="Normal"/>
    <w:next w:val="CEOFooterContact2-3"/>
    <w:rsid w:val="00E10A58"/>
    <w:pPr>
      <w:pBdr>
        <w:top w:val="single" w:sz="4" w:space="5" w:color="auto"/>
      </w:pBdr>
      <w:tabs>
        <w:tab w:val="clear" w:pos="794"/>
        <w:tab w:val="clear" w:pos="1191"/>
        <w:tab w:val="clear" w:pos="1588"/>
        <w:tab w:val="clear" w:pos="1985"/>
        <w:tab w:val="left" w:pos="1560"/>
      </w:tabs>
      <w:overflowPunct/>
      <w:autoSpaceDE/>
      <w:autoSpaceDN/>
      <w:adjustRightInd/>
      <w:ind w:left="3827" w:hanging="3827"/>
      <w:jc w:val="left"/>
      <w:textAlignment w:val="auto"/>
    </w:pPr>
    <w:rPr>
      <w:rFonts w:ascii="Verdana" w:hAnsi="Verdana"/>
      <w:sz w:val="16"/>
      <w:szCs w:val="16"/>
    </w:rPr>
  </w:style>
  <w:style w:type="paragraph" w:customStyle="1" w:styleId="CEODocTitle2lines-Second">
    <w:name w:val="CEO_DocTitle2lines-Second"/>
    <w:basedOn w:val="CEODocTitle2lines-First"/>
    <w:rsid w:val="00E10A58"/>
    <w:pPr>
      <w:spacing w:before="0" w:after="480"/>
    </w:pPr>
  </w:style>
  <w:style w:type="paragraph" w:customStyle="1" w:styleId="CEODocTitle2lines-First">
    <w:name w:val="CEO_DocTitle2lines-First"/>
    <w:basedOn w:val="CEODocTitle-1line"/>
    <w:next w:val="Normal"/>
    <w:link w:val="CEODocTitle2lines-FirstChar"/>
    <w:rsid w:val="00E10A58"/>
    <w:pPr>
      <w:spacing w:after="0"/>
    </w:pPr>
  </w:style>
  <w:style w:type="paragraph" w:customStyle="1" w:styleId="CEODocTitle-1line">
    <w:name w:val="CEO_DocTitle-1line"/>
    <w:basedOn w:val="Normal"/>
    <w:next w:val="Normal"/>
    <w:link w:val="CEODocTitle-1lineChar"/>
    <w:rsid w:val="00E10A58"/>
    <w:pPr>
      <w:tabs>
        <w:tab w:val="clear" w:pos="794"/>
        <w:tab w:val="clear" w:pos="1191"/>
        <w:tab w:val="clear" w:pos="1588"/>
        <w:tab w:val="clear" w:pos="1985"/>
      </w:tabs>
      <w:overflowPunct/>
      <w:autoSpaceDE/>
      <w:autoSpaceDN/>
      <w:adjustRightInd/>
      <w:spacing w:before="480" w:after="480"/>
      <w:jc w:val="center"/>
      <w:textAlignment w:val="auto"/>
    </w:pPr>
    <w:rPr>
      <w:rFonts w:ascii="Verdana" w:eastAsia="SimHei" w:hAnsi="Verdana" w:cs="Simplified Arabic"/>
      <w:b/>
      <w:bCs/>
      <w:sz w:val="28"/>
      <w:szCs w:val="28"/>
      <w:lang w:val="en-US"/>
    </w:rPr>
  </w:style>
  <w:style w:type="paragraph" w:customStyle="1" w:styleId="CEOcontributionH1">
    <w:name w:val="CEO_contributionH1"/>
    <w:basedOn w:val="CEOcontribution-H123"/>
    <w:next w:val="CEONormal"/>
    <w:rsid w:val="00E10A58"/>
    <w:pPr>
      <w:keepNext/>
      <w:keepLines/>
      <w:tabs>
        <w:tab w:val="clear" w:pos="720"/>
      </w:tabs>
      <w:spacing w:before="480"/>
      <w:ind w:left="0" w:firstLine="0"/>
    </w:pPr>
  </w:style>
  <w:style w:type="paragraph" w:customStyle="1" w:styleId="CEOcontribution-H123">
    <w:name w:val="CEO_contribution-H123"/>
    <w:basedOn w:val="Normal"/>
    <w:rsid w:val="00E10A58"/>
    <w:pPr>
      <w:tabs>
        <w:tab w:val="clear" w:pos="794"/>
        <w:tab w:val="clear" w:pos="1191"/>
        <w:tab w:val="clear" w:pos="1588"/>
        <w:tab w:val="clear" w:pos="1985"/>
        <w:tab w:val="num" w:pos="720"/>
      </w:tabs>
      <w:overflowPunct/>
      <w:autoSpaceDE/>
      <w:autoSpaceDN/>
      <w:adjustRightInd/>
      <w:spacing w:after="120"/>
      <w:ind w:left="720" w:hanging="360"/>
      <w:jc w:val="left"/>
      <w:textAlignment w:val="auto"/>
    </w:pPr>
    <w:rPr>
      <w:rFonts w:ascii="Verdana" w:eastAsia="SimHei" w:hAnsi="Verdana" w:cs="Simplified Arabic"/>
      <w:b/>
      <w:sz w:val="19"/>
      <w:szCs w:val="19"/>
    </w:rPr>
  </w:style>
  <w:style w:type="paragraph" w:customStyle="1" w:styleId="CEOParagraph11">
    <w:name w:val="CEO_Paragraph 1.1"/>
    <w:basedOn w:val="Heading2"/>
    <w:rsid w:val="00E10A58"/>
    <w:pPr>
      <w:keepNext w:val="0"/>
      <w:keepLines w:val="0"/>
      <w:tabs>
        <w:tab w:val="clear" w:pos="794"/>
        <w:tab w:val="clear" w:pos="1191"/>
        <w:tab w:val="clear" w:pos="1588"/>
        <w:tab w:val="clear" w:pos="1985"/>
      </w:tabs>
      <w:overflowPunct/>
      <w:autoSpaceDE/>
      <w:autoSpaceDN/>
      <w:adjustRightInd/>
      <w:spacing w:before="120" w:after="120"/>
      <w:ind w:left="0" w:firstLine="0"/>
      <w:jc w:val="left"/>
      <w:textAlignment w:val="auto"/>
    </w:pPr>
    <w:rPr>
      <w:rFonts w:ascii="Verdana" w:eastAsia="SimHei" w:hAnsi="Verdana" w:cs="Simplified Arabic"/>
      <w:b w:val="0"/>
      <w:sz w:val="18"/>
      <w:szCs w:val="28"/>
      <w:lang w:eastAsia="zh-CN"/>
    </w:rPr>
  </w:style>
  <w:style w:type="paragraph" w:customStyle="1" w:styleId="CEOIndent1-123">
    <w:name w:val="CEO_Indent1-123"/>
    <w:basedOn w:val="Normal"/>
    <w:rsid w:val="00E10A58"/>
    <w:pPr>
      <w:tabs>
        <w:tab w:val="clear" w:pos="794"/>
        <w:tab w:val="clear" w:pos="1191"/>
        <w:tab w:val="clear" w:pos="1588"/>
        <w:tab w:val="clear" w:pos="1985"/>
        <w:tab w:val="num" w:pos="927"/>
      </w:tabs>
      <w:overflowPunct/>
      <w:autoSpaceDE/>
      <w:autoSpaceDN/>
      <w:adjustRightInd/>
      <w:spacing w:before="60" w:after="60"/>
      <w:ind w:left="927" w:right="709" w:hanging="360"/>
      <w:jc w:val="left"/>
      <w:textAlignment w:val="auto"/>
    </w:pPr>
    <w:rPr>
      <w:rFonts w:ascii="Verdana" w:eastAsia="SimHei" w:hAnsi="Verdana" w:cs="Simplified Arabic"/>
      <w:bCs/>
      <w:sz w:val="19"/>
      <w:szCs w:val="19"/>
      <w:lang w:val="en-US"/>
    </w:rPr>
  </w:style>
  <w:style w:type="paragraph" w:customStyle="1" w:styleId="CEOAgendaItemN">
    <w:name w:val="CEO_AgendaItemN°"/>
    <w:basedOn w:val="CEOIndent1-123"/>
    <w:rsid w:val="00E10A58"/>
    <w:pPr>
      <w:tabs>
        <w:tab w:val="clear" w:pos="927"/>
      </w:tabs>
      <w:ind w:left="0" w:right="12" w:firstLine="0"/>
      <w:jc w:val="right"/>
    </w:pPr>
  </w:style>
  <w:style w:type="paragraph" w:customStyle="1" w:styleId="CEODocNoDetails">
    <w:name w:val="CEO_DocNoDetails"/>
    <w:basedOn w:val="Normal"/>
    <w:rsid w:val="00E10A58"/>
    <w:pPr>
      <w:tabs>
        <w:tab w:val="clear" w:pos="794"/>
        <w:tab w:val="clear" w:pos="1191"/>
        <w:tab w:val="clear" w:pos="1588"/>
        <w:tab w:val="clear" w:pos="1985"/>
      </w:tabs>
      <w:overflowPunct/>
      <w:autoSpaceDE/>
      <w:autoSpaceDN/>
      <w:adjustRightInd/>
      <w:spacing w:before="80" w:after="80"/>
      <w:jc w:val="center"/>
      <w:textAlignment w:val="auto"/>
    </w:pPr>
    <w:rPr>
      <w:rFonts w:ascii="Verdana" w:eastAsia="SimHei" w:hAnsi="Verdana" w:cs="Simplified Arabic"/>
      <w:bCs/>
      <w:sz w:val="19"/>
      <w:szCs w:val="19"/>
    </w:rPr>
  </w:style>
  <w:style w:type="paragraph" w:customStyle="1" w:styleId="CEOFooter">
    <w:name w:val="CEO_Footer"/>
    <w:basedOn w:val="Normal"/>
    <w:rsid w:val="00E10A58"/>
    <w:pPr>
      <w:tabs>
        <w:tab w:val="clear" w:pos="794"/>
        <w:tab w:val="clear" w:pos="1191"/>
        <w:tab w:val="clear" w:pos="1588"/>
        <w:tab w:val="clear" w:pos="1985"/>
        <w:tab w:val="right" w:pos="9072"/>
      </w:tabs>
      <w:overflowPunct/>
      <w:autoSpaceDE/>
      <w:autoSpaceDN/>
      <w:adjustRightInd/>
      <w:spacing w:before="0"/>
      <w:jc w:val="left"/>
      <w:textAlignment w:val="auto"/>
    </w:pPr>
    <w:rPr>
      <w:rFonts w:ascii="Verdana" w:eastAsia="SimHei" w:hAnsi="Verdana" w:cs="Simplified Arabic"/>
      <w:bCs/>
      <w:sz w:val="16"/>
      <w:szCs w:val="19"/>
    </w:rPr>
  </w:style>
  <w:style w:type="paragraph" w:customStyle="1" w:styleId="CEOHeader1">
    <w:name w:val="CEO_Header1"/>
    <w:basedOn w:val="Normal"/>
    <w:rsid w:val="00E10A58"/>
    <w:pPr>
      <w:numPr>
        <w:numId w:val="42"/>
      </w:num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Cs/>
      <w:sz w:val="19"/>
      <w:szCs w:val="19"/>
      <w:lang w:val="en-US"/>
    </w:rPr>
  </w:style>
  <w:style w:type="paragraph" w:customStyle="1" w:styleId="CEOHeader2">
    <w:name w:val="CEO_Header2"/>
    <w:basedOn w:val="Normal"/>
    <w:rsid w:val="00E10A58"/>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lang w:val="en-US"/>
    </w:rPr>
  </w:style>
  <w:style w:type="paragraph" w:customStyle="1" w:styleId="CEOHeaderPageNumber">
    <w:name w:val="CEO_HeaderPageNumber"/>
    <w:basedOn w:val="Normal"/>
    <w:rsid w:val="00E10A58"/>
    <w:pPr>
      <w:tabs>
        <w:tab w:val="clear" w:pos="794"/>
        <w:tab w:val="clear" w:pos="1191"/>
        <w:tab w:val="clear" w:pos="1588"/>
        <w:tab w:val="clear" w:pos="1985"/>
        <w:tab w:val="center" w:pos="4536"/>
        <w:tab w:val="right" w:pos="9072"/>
      </w:tabs>
      <w:overflowPunct/>
      <w:autoSpaceDE/>
      <w:autoSpaceDN/>
      <w:adjustRightInd/>
      <w:spacing w:before="0"/>
      <w:jc w:val="right"/>
      <w:textAlignment w:val="auto"/>
    </w:pPr>
    <w:rPr>
      <w:rFonts w:ascii="Verdana" w:eastAsia="SimHei" w:hAnsi="Verdana" w:cs="Simplified Arabic"/>
      <w:bCs/>
      <w:smallCaps/>
      <w:sz w:val="19"/>
      <w:szCs w:val="19"/>
      <w:lang w:val="en-US"/>
    </w:rPr>
  </w:style>
  <w:style w:type="paragraph" w:customStyle="1" w:styleId="CEOcontributionStart">
    <w:name w:val="CEO_contributionStart"/>
    <w:basedOn w:val="CEOcontribution-H123"/>
    <w:rsid w:val="00E10A58"/>
    <w:pPr>
      <w:tabs>
        <w:tab w:val="clear" w:pos="720"/>
      </w:tabs>
      <w:spacing w:before="360"/>
      <w:ind w:left="0" w:firstLine="0"/>
    </w:pPr>
    <w:rPr>
      <w:b w:val="0"/>
    </w:rPr>
  </w:style>
  <w:style w:type="paragraph" w:customStyle="1" w:styleId="CEOParagraph111">
    <w:name w:val="CEO_Paragraph1.1.1"/>
    <w:basedOn w:val="Heading3"/>
    <w:rsid w:val="00E10A58"/>
    <w:pPr>
      <w:keepNext w:val="0"/>
      <w:keepLines w:val="0"/>
      <w:tabs>
        <w:tab w:val="clear" w:pos="794"/>
        <w:tab w:val="clear" w:pos="1191"/>
        <w:tab w:val="clear" w:pos="1588"/>
        <w:tab w:val="clear" w:pos="1985"/>
      </w:tabs>
      <w:overflowPunct/>
      <w:autoSpaceDE/>
      <w:autoSpaceDN/>
      <w:adjustRightInd/>
      <w:spacing w:before="0"/>
      <w:ind w:left="0" w:firstLine="0"/>
      <w:jc w:val="left"/>
      <w:textAlignment w:val="auto"/>
    </w:pPr>
    <w:rPr>
      <w:rFonts w:ascii="Verdana" w:eastAsia="SimHei" w:hAnsi="Verdana" w:cs="Simplified Arabic"/>
      <w:b w:val="0"/>
      <w:sz w:val="19"/>
      <w:szCs w:val="28"/>
      <w:lang w:eastAsia="zh-CN"/>
    </w:rPr>
  </w:style>
  <w:style w:type="paragraph" w:customStyle="1" w:styleId="CEOindent-abc">
    <w:name w:val="CEO_indent-abc"/>
    <w:basedOn w:val="Normal"/>
    <w:rsid w:val="00E10A58"/>
    <w:pPr>
      <w:tabs>
        <w:tab w:val="clear" w:pos="794"/>
        <w:tab w:val="clear" w:pos="1191"/>
        <w:tab w:val="clear" w:pos="1588"/>
        <w:tab w:val="clear" w:pos="1985"/>
        <w:tab w:val="num" w:pos="1440"/>
      </w:tabs>
      <w:overflowPunct/>
      <w:autoSpaceDE/>
      <w:autoSpaceDN/>
      <w:adjustRightInd/>
      <w:spacing w:before="0"/>
      <w:ind w:left="1440" w:hanging="360"/>
      <w:jc w:val="left"/>
      <w:textAlignment w:val="auto"/>
    </w:pPr>
    <w:rPr>
      <w:rFonts w:ascii="Verdana" w:eastAsia="SimHei" w:hAnsi="Verdana" w:cs="Traditional Arabic"/>
      <w:bCs/>
      <w:sz w:val="18"/>
      <w:szCs w:val="28"/>
    </w:rPr>
  </w:style>
  <w:style w:type="paragraph" w:customStyle="1" w:styleId="CEOIndent-bulletsblackdot">
    <w:name w:val="CEO_Indent-bulletsblackdot"/>
    <w:basedOn w:val="Normal"/>
    <w:rsid w:val="00E10A58"/>
    <w:pPr>
      <w:tabs>
        <w:tab w:val="clear" w:pos="794"/>
        <w:tab w:val="clear" w:pos="1191"/>
        <w:tab w:val="clear" w:pos="1588"/>
        <w:tab w:val="clear" w:pos="1985"/>
        <w:tab w:val="num" w:pos="284"/>
      </w:tabs>
      <w:overflowPunct/>
      <w:autoSpaceDE/>
      <w:autoSpaceDN/>
      <w:adjustRightInd/>
      <w:spacing w:before="60" w:after="60"/>
      <w:ind w:left="284" w:hanging="284"/>
      <w:jc w:val="left"/>
      <w:textAlignment w:val="auto"/>
    </w:pPr>
    <w:rPr>
      <w:rFonts w:ascii="Verdana" w:eastAsia="SimHei" w:hAnsi="Verdana" w:cs="Simplified Arabic"/>
      <w:bCs/>
      <w:sz w:val="19"/>
      <w:szCs w:val="19"/>
    </w:rPr>
  </w:style>
  <w:style w:type="paragraph" w:customStyle="1" w:styleId="CEOIndent-bulletsBlueSquare">
    <w:name w:val="CEO_Indent-bulletsBlueSquare"/>
    <w:basedOn w:val="CEOIndent-bulletsblackdot"/>
    <w:rsid w:val="00E10A58"/>
    <w:pPr>
      <w:tabs>
        <w:tab w:val="clear" w:pos="284"/>
        <w:tab w:val="num" w:pos="927"/>
      </w:tabs>
      <w:ind w:left="927" w:hanging="360"/>
    </w:pPr>
  </w:style>
  <w:style w:type="paragraph" w:customStyle="1" w:styleId="CEOQuestionDetails">
    <w:name w:val="CEO_QuestionDetails"/>
    <w:basedOn w:val="CEOOriginalLanguage"/>
    <w:rsid w:val="00E10A58"/>
    <w:rPr>
      <w:b w:val="0"/>
      <w:bCs/>
    </w:rPr>
  </w:style>
  <w:style w:type="paragraph" w:customStyle="1" w:styleId="CEOSignatureName">
    <w:name w:val="CEO_SignatureName"/>
    <w:basedOn w:val="Normal"/>
    <w:rsid w:val="00E10A58"/>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rsid w:val="00E10A58"/>
    <w:pPr>
      <w:spacing w:before="0"/>
    </w:pPr>
  </w:style>
  <w:style w:type="paragraph" w:customStyle="1" w:styleId="CEOSTG">
    <w:name w:val="CEO_STG"/>
    <w:basedOn w:val="CEOOriginalLanguage"/>
    <w:rsid w:val="00E10A58"/>
    <w:pPr>
      <w:spacing w:before="120"/>
      <w:jc w:val="center"/>
    </w:pPr>
  </w:style>
  <w:style w:type="paragraph" w:customStyle="1" w:styleId="CEOindent-endash">
    <w:name w:val="CEO_indent-endash"/>
    <w:basedOn w:val="CEOEmdashList"/>
    <w:rsid w:val="00E10A58"/>
    <w:pPr>
      <w:tabs>
        <w:tab w:val="num" w:pos="1134"/>
      </w:tabs>
      <w:ind w:left="1134" w:hanging="360"/>
    </w:pPr>
  </w:style>
  <w:style w:type="paragraph" w:customStyle="1" w:styleId="CEOEmdashList">
    <w:name w:val="CEO_EmdashList"/>
    <w:basedOn w:val="CEONormal"/>
    <w:rsid w:val="00E10A58"/>
  </w:style>
  <w:style w:type="paragraph" w:customStyle="1" w:styleId="CEOConsidering">
    <w:name w:val="CEO_Considering"/>
    <w:basedOn w:val="CEONormal"/>
    <w:rsid w:val="00E10A58"/>
    <w:pPr>
      <w:keepNext/>
      <w:keepLines/>
      <w:spacing w:after="120"/>
      <w:ind w:left="851"/>
    </w:pPr>
    <w:rPr>
      <w:i/>
      <w:iCs/>
    </w:rPr>
  </w:style>
  <w:style w:type="paragraph" w:customStyle="1" w:styleId="CEOEndBar">
    <w:name w:val="CEO_EndBar"/>
    <w:basedOn w:val="CEONormal"/>
    <w:rsid w:val="00E10A58"/>
    <w:pPr>
      <w:spacing w:after="120"/>
      <w:jc w:val="center"/>
    </w:pPr>
  </w:style>
  <w:style w:type="paragraph" w:customStyle="1" w:styleId="CEOExtract">
    <w:name w:val="CEO_Extract"/>
    <w:basedOn w:val="CEONormal"/>
    <w:rsid w:val="00E10A58"/>
    <w:pPr>
      <w:keepNext/>
      <w:keepLines/>
      <w:spacing w:after="120"/>
    </w:pPr>
  </w:style>
  <w:style w:type="paragraph" w:customStyle="1" w:styleId="CEOHeader">
    <w:name w:val="CEO_Header"/>
    <w:basedOn w:val="Normal"/>
    <w:rsid w:val="00E10A58"/>
    <w:pPr>
      <w:tabs>
        <w:tab w:val="clear" w:pos="794"/>
        <w:tab w:val="clear" w:pos="1191"/>
        <w:tab w:val="clear" w:pos="1588"/>
        <w:tab w:val="clear" w:pos="1985"/>
        <w:tab w:val="center" w:pos="5103"/>
        <w:tab w:val="right" w:pos="10206"/>
      </w:tabs>
      <w:overflowPunct/>
      <w:autoSpaceDE/>
      <w:autoSpaceDN/>
      <w:adjustRightInd/>
      <w:spacing w:after="480"/>
      <w:ind w:right="357"/>
      <w:jc w:val="left"/>
      <w:textAlignment w:val="auto"/>
    </w:pPr>
    <w:rPr>
      <w:rFonts w:ascii="Verdana" w:eastAsia="SimHei" w:hAnsi="Verdana" w:cs="Simplified Arabic"/>
      <w:bCs/>
      <w:smallCaps/>
      <w:spacing w:val="24"/>
      <w:sz w:val="18"/>
      <w:szCs w:val="18"/>
      <w:lang w:val="en-US" w:eastAsia="zh-CN"/>
    </w:rPr>
  </w:style>
  <w:style w:type="paragraph" w:customStyle="1" w:styleId="CEOResText">
    <w:name w:val="CEO_ResText"/>
    <w:basedOn w:val="CEONormal"/>
    <w:rsid w:val="00E10A58"/>
    <w:pPr>
      <w:spacing w:after="120"/>
      <w:ind w:left="426"/>
    </w:pPr>
  </w:style>
  <w:style w:type="paragraph" w:customStyle="1" w:styleId="CEOMeetingSTG">
    <w:name w:val="CEO_MeetingSTG"/>
    <w:basedOn w:val="CEOMeetingName"/>
    <w:rsid w:val="00E10A58"/>
    <w:pPr>
      <w:spacing w:before="120" w:after="120"/>
    </w:pPr>
  </w:style>
  <w:style w:type="paragraph" w:customStyle="1" w:styleId="CEORevisionNote">
    <w:name w:val="CEO_RevisionNote"/>
    <w:basedOn w:val="CEORevision"/>
    <w:autoRedefine/>
    <w:rsid w:val="00E10A58"/>
    <w:pPr>
      <w:spacing w:after="120"/>
    </w:pPr>
    <w:rPr>
      <w:b w:val="0"/>
      <w:i/>
      <w:iCs/>
      <w:lang w:val="en-US"/>
    </w:rPr>
  </w:style>
  <w:style w:type="paragraph" w:customStyle="1" w:styleId="CEORequiredAction">
    <w:name w:val="CEO_RequiredAction"/>
    <w:basedOn w:val="CEONormal"/>
    <w:rsid w:val="00E10A58"/>
    <w:pPr>
      <w:tabs>
        <w:tab w:val="left" w:pos="1928"/>
      </w:tabs>
    </w:pPr>
    <w:rPr>
      <w:b/>
    </w:rPr>
  </w:style>
  <w:style w:type="paragraph" w:customStyle="1" w:styleId="CEOAnnex">
    <w:name w:val="CEO_Annex"/>
    <w:basedOn w:val="CEOSignatureTitle"/>
    <w:rsid w:val="00E10A58"/>
    <w:pPr>
      <w:spacing w:before="1000"/>
    </w:pPr>
  </w:style>
  <w:style w:type="paragraph" w:customStyle="1" w:styleId="CEOEndashListNoIndent">
    <w:name w:val="CEO_EndashListNoIndent"/>
    <w:basedOn w:val="CEONormal"/>
    <w:rsid w:val="00E10A58"/>
    <w:pPr>
      <w:tabs>
        <w:tab w:val="num" w:pos="2237"/>
      </w:tabs>
      <w:ind w:left="2237" w:hanging="360"/>
    </w:pPr>
  </w:style>
  <w:style w:type="paragraph" w:customStyle="1" w:styleId="CEOFootnoteText">
    <w:name w:val="CEO_Footnote Text"/>
    <w:basedOn w:val="CEONormal"/>
    <w:rsid w:val="00E10A58"/>
    <w:pPr>
      <w:tabs>
        <w:tab w:val="left" w:pos="357"/>
      </w:tabs>
      <w:spacing w:before="0"/>
    </w:pPr>
  </w:style>
  <w:style w:type="paragraph" w:customStyle="1" w:styleId="CEOHeading1-Numbered">
    <w:name w:val="CEO_Heading1-Numbered"/>
    <w:basedOn w:val="CEONormal"/>
    <w:rsid w:val="00E10A58"/>
    <w:pPr>
      <w:pBdr>
        <w:bottom w:val="single" w:sz="12" w:space="1" w:color="808080"/>
      </w:pBdr>
      <w:tabs>
        <w:tab w:val="num" w:pos="360"/>
      </w:tabs>
      <w:ind w:left="360" w:hanging="360"/>
    </w:pPr>
    <w:rPr>
      <w:b/>
      <w:bCs/>
      <w:color w:val="808080"/>
      <w:sz w:val="20"/>
    </w:rPr>
  </w:style>
  <w:style w:type="paragraph" w:customStyle="1" w:styleId="CEOHeading1">
    <w:name w:val="CEO_Heading1"/>
    <w:basedOn w:val="CEOHeading1-Numbered"/>
    <w:next w:val="CEONormal"/>
    <w:rsid w:val="00E10A58"/>
    <w:pPr>
      <w:tabs>
        <w:tab w:val="clear" w:pos="360"/>
      </w:tabs>
      <w:ind w:left="0" w:firstLine="0"/>
    </w:pPr>
    <w:rPr>
      <w:lang w:val="fr-CH"/>
    </w:rPr>
  </w:style>
  <w:style w:type="paragraph" w:customStyle="1" w:styleId="CEOIndent1-abc">
    <w:name w:val="CEO_Indent1-abc"/>
    <w:basedOn w:val="CEONormal"/>
    <w:rsid w:val="00E10A58"/>
    <w:pPr>
      <w:tabs>
        <w:tab w:val="num" w:pos="1494"/>
      </w:tabs>
      <w:spacing w:before="60" w:after="60"/>
      <w:ind w:left="1494" w:right="709" w:hanging="360"/>
    </w:pPr>
  </w:style>
  <w:style w:type="paragraph" w:customStyle="1" w:styleId="CEOAbstract">
    <w:name w:val="CEOAbstract"/>
    <w:rsid w:val="00E10A58"/>
    <w:pPr>
      <w:tabs>
        <w:tab w:val="left" w:pos="2127"/>
      </w:tabs>
    </w:pPr>
    <w:rPr>
      <w:rFonts w:ascii="Verdana" w:eastAsia="SimHei" w:hAnsi="Verdana" w:cs="Simplified Arabic"/>
      <w:b/>
      <w:sz w:val="19"/>
      <w:szCs w:val="22"/>
      <w:lang w:val="fr-CA"/>
    </w:rPr>
  </w:style>
  <w:style w:type="paragraph" w:customStyle="1" w:styleId="CEOSignature">
    <w:name w:val="CEO_Signature"/>
    <w:basedOn w:val="CEONormal"/>
    <w:rsid w:val="00E10A58"/>
    <w:pPr>
      <w:spacing w:before="720"/>
    </w:pPr>
  </w:style>
  <w:style w:type="paragraph" w:customStyle="1" w:styleId="CEOSmall">
    <w:name w:val="CEO_Small"/>
    <w:basedOn w:val="CEONormal"/>
    <w:rsid w:val="00E10A58"/>
  </w:style>
  <w:style w:type="paragraph" w:customStyle="1" w:styleId="CEOStartNextPage">
    <w:name w:val="CEO_StartNextPage"/>
    <w:next w:val="CEONormal"/>
    <w:rsid w:val="00E10A58"/>
    <w:pPr>
      <w:spacing w:before="120"/>
      <w:jc w:val="center"/>
    </w:pPr>
    <w:rPr>
      <w:rFonts w:ascii="Verdana" w:eastAsia="SimHei" w:hAnsi="Verdana" w:cs="Simplified Arabic"/>
      <w:sz w:val="16"/>
      <w:szCs w:val="24"/>
      <w:lang w:val="en-GB" w:eastAsia="en-US"/>
    </w:rPr>
  </w:style>
  <w:style w:type="paragraph" w:customStyle="1" w:styleId="CEOSummaryStartHere">
    <w:name w:val="CEO_Summary_StartHere"/>
    <w:rsid w:val="00E10A58"/>
    <w:pPr>
      <w:spacing w:before="120" w:after="120"/>
      <w:jc w:val="center"/>
    </w:pPr>
    <w:rPr>
      <w:rFonts w:ascii="Verdana" w:eastAsia="SimHei" w:hAnsi="Verdana" w:cs="Simplified Arabic"/>
      <w:bCs/>
      <w:sz w:val="16"/>
      <w:szCs w:val="16"/>
      <w:lang w:val="fr-FR"/>
    </w:rPr>
  </w:style>
  <w:style w:type="paragraph" w:customStyle="1" w:styleId="CEOAbstract0">
    <w:name w:val="CEO_Abstract"/>
    <w:rsid w:val="00E10A58"/>
    <w:pPr>
      <w:tabs>
        <w:tab w:val="left" w:pos="2127"/>
      </w:tabs>
      <w:spacing w:before="360" w:after="120"/>
    </w:pPr>
    <w:rPr>
      <w:rFonts w:ascii="Verdana" w:eastAsia="SimHei" w:hAnsi="Verdana" w:cs="Simplified Arabic"/>
      <w:b/>
      <w:sz w:val="19"/>
      <w:szCs w:val="22"/>
      <w:lang w:val="fr-CA"/>
    </w:rPr>
  </w:style>
  <w:style w:type="paragraph" w:customStyle="1" w:styleId="CEOActionRequiredDetails">
    <w:name w:val="CEO_ActionRequiredDetails"/>
    <w:rsid w:val="00E10A58"/>
    <w:pPr>
      <w:spacing w:before="120"/>
    </w:pPr>
    <w:rPr>
      <w:rFonts w:ascii="Verdana" w:eastAsia="SimSun" w:hAnsi="Verdana"/>
      <w:bCs/>
      <w:sz w:val="19"/>
      <w:szCs w:val="19"/>
      <w:lang w:val="en-GB" w:eastAsia="en-US"/>
    </w:rPr>
  </w:style>
  <w:style w:type="paragraph" w:customStyle="1" w:styleId="Band">
    <w:name w:val="Band"/>
    <w:basedOn w:val="ECA"/>
    <w:rsid w:val="00E10A58"/>
  </w:style>
  <w:style w:type="character" w:customStyle="1" w:styleId="WW-Absatz-Standardschriftart">
    <w:name w:val="WW-Absatz-Standardschriftart"/>
    <w:rsid w:val="00E10A58"/>
  </w:style>
  <w:style w:type="character" w:customStyle="1" w:styleId="WW-Absatz-Standardschriftart1">
    <w:name w:val="WW-Absatz-Standardschriftart1"/>
    <w:rsid w:val="00E10A58"/>
  </w:style>
  <w:style w:type="character" w:customStyle="1" w:styleId="WW-Absatz-Standardschriftart11">
    <w:name w:val="WW-Absatz-Standardschriftart11"/>
    <w:rsid w:val="00E10A58"/>
  </w:style>
  <w:style w:type="character" w:customStyle="1" w:styleId="WW-Absatz-Standardschriftart111">
    <w:name w:val="WW-Absatz-Standardschriftart111"/>
    <w:rsid w:val="00E10A58"/>
  </w:style>
  <w:style w:type="character" w:customStyle="1" w:styleId="WW-Absatz-Standardschriftart1111">
    <w:name w:val="WW-Absatz-Standardschriftart1111"/>
    <w:rsid w:val="00E10A58"/>
  </w:style>
  <w:style w:type="character" w:customStyle="1" w:styleId="WW-Absatz-Standardschriftart11111">
    <w:name w:val="WW-Absatz-Standardschriftart11111"/>
    <w:rsid w:val="00E10A58"/>
  </w:style>
  <w:style w:type="character" w:customStyle="1" w:styleId="WW-Absatz-Standardschriftart111111">
    <w:name w:val="WW-Absatz-Standardschriftart111111"/>
    <w:rsid w:val="00E10A58"/>
  </w:style>
  <w:style w:type="character" w:customStyle="1" w:styleId="WW-Absatz-Standardschriftart1111111">
    <w:name w:val="WW-Absatz-Standardschriftart1111111"/>
    <w:rsid w:val="00E10A58"/>
  </w:style>
  <w:style w:type="character" w:customStyle="1" w:styleId="WW-Absatz-Standardschriftart11111111">
    <w:name w:val="WW-Absatz-Standardschriftart11111111"/>
    <w:rsid w:val="00E10A58"/>
  </w:style>
  <w:style w:type="character" w:customStyle="1" w:styleId="WW-Absatz-Standardschriftart111111111">
    <w:name w:val="WW-Absatz-Standardschriftart111111111"/>
    <w:rsid w:val="00E10A58"/>
  </w:style>
  <w:style w:type="character" w:customStyle="1" w:styleId="WW-Absatz-Standardschriftart1111111111">
    <w:name w:val="WW-Absatz-Standardschriftart1111111111"/>
    <w:rsid w:val="00E10A58"/>
  </w:style>
  <w:style w:type="character" w:customStyle="1" w:styleId="WW-Absatz-Standardschriftart11111111111">
    <w:name w:val="WW-Absatz-Standardschriftart11111111111"/>
    <w:rsid w:val="00E10A58"/>
  </w:style>
  <w:style w:type="character" w:customStyle="1" w:styleId="WW-Absatz-Standardschriftart111111111111">
    <w:name w:val="WW-Absatz-Standardschriftart111111111111"/>
    <w:rsid w:val="00E10A58"/>
  </w:style>
  <w:style w:type="character" w:customStyle="1" w:styleId="WW-Absatz-Standardschriftart1111111111111">
    <w:name w:val="WW-Absatz-Standardschriftart1111111111111"/>
    <w:rsid w:val="00E10A58"/>
  </w:style>
  <w:style w:type="character" w:customStyle="1" w:styleId="WW-Absatz-Standardschriftart11111111111111">
    <w:name w:val="WW-Absatz-Standardschriftart11111111111111"/>
    <w:rsid w:val="00E10A58"/>
  </w:style>
  <w:style w:type="character" w:customStyle="1" w:styleId="WW-Absatz-Standardschriftart1111111111111111">
    <w:name w:val="WW-Absatz-Standardschriftart1111111111111111"/>
    <w:rsid w:val="00E10A58"/>
  </w:style>
  <w:style w:type="character" w:customStyle="1" w:styleId="Policepardfaut">
    <w:name w:val="Police par défaut"/>
    <w:rsid w:val="00E10A58"/>
  </w:style>
  <w:style w:type="character" w:customStyle="1" w:styleId="WW-Absatz-Standardschriftart11111111111111111">
    <w:name w:val="WW-Absatz-Standardschriftart11111111111111111"/>
    <w:rsid w:val="00E10A58"/>
  </w:style>
  <w:style w:type="character" w:customStyle="1" w:styleId="WW-Absatz-Standardschriftart111111111111111111">
    <w:name w:val="WW-Absatz-Standardschriftart111111111111111111"/>
    <w:rsid w:val="00E10A58"/>
  </w:style>
  <w:style w:type="character" w:customStyle="1" w:styleId="WW-Absatz-Standardschriftart1111111111111111111">
    <w:name w:val="WW-Absatz-Standardschriftart1111111111111111111"/>
    <w:rsid w:val="00E10A58"/>
  </w:style>
  <w:style w:type="character" w:customStyle="1" w:styleId="WW8Num5z0">
    <w:name w:val="WW8Num5z0"/>
    <w:rsid w:val="00E10A58"/>
    <w:rPr>
      <w:rFonts w:ascii="Symbol" w:hAnsi="Symbol"/>
    </w:rPr>
  </w:style>
  <w:style w:type="character" w:customStyle="1" w:styleId="WW8Num6z0">
    <w:name w:val="WW8Num6z0"/>
    <w:rsid w:val="00E10A58"/>
    <w:rPr>
      <w:rFonts w:ascii="Symbol" w:hAnsi="Symbol"/>
    </w:rPr>
  </w:style>
  <w:style w:type="character" w:customStyle="1" w:styleId="WW8Num7z0">
    <w:name w:val="WW8Num7z0"/>
    <w:rsid w:val="00E10A58"/>
    <w:rPr>
      <w:rFonts w:ascii="Symbol" w:hAnsi="Symbol"/>
    </w:rPr>
  </w:style>
  <w:style w:type="character" w:customStyle="1" w:styleId="WW8Num8z0">
    <w:name w:val="WW8Num8z0"/>
    <w:rsid w:val="00E10A58"/>
    <w:rPr>
      <w:rFonts w:ascii="Symbol" w:hAnsi="Symbol"/>
    </w:rPr>
  </w:style>
  <w:style w:type="character" w:customStyle="1" w:styleId="WW8Num10z0">
    <w:name w:val="WW8Num10z0"/>
    <w:rsid w:val="00E10A58"/>
    <w:rPr>
      <w:rFonts w:ascii="Symbol" w:hAnsi="Symbol"/>
    </w:rPr>
  </w:style>
  <w:style w:type="character" w:customStyle="1" w:styleId="WW8Num13z0">
    <w:name w:val="WW8Num13z0"/>
    <w:rsid w:val="00E10A58"/>
    <w:rPr>
      <w:rFonts w:ascii="Verdana" w:hAnsi="Verdana"/>
      <w:b w:val="0"/>
      <w:i w:val="0"/>
      <w:color w:val="auto"/>
      <w:sz w:val="18"/>
    </w:rPr>
  </w:style>
  <w:style w:type="character" w:customStyle="1" w:styleId="WW8NumSt11z0">
    <w:name w:val="WW8NumSt11z0"/>
    <w:rsid w:val="00E10A58"/>
    <w:rPr>
      <w:rFonts w:ascii="Symbol" w:hAnsi="Symbol"/>
    </w:rPr>
  </w:style>
  <w:style w:type="character" w:customStyle="1" w:styleId="MOS-NormalChar">
    <w:name w:val="MOS-Normal Char"/>
    <w:basedOn w:val="DefaultParagraphFont"/>
    <w:rsid w:val="00E10A58"/>
    <w:rPr>
      <w:rFonts w:ascii="Verdana" w:eastAsia="SimSun" w:hAnsi="Verdana" w:cs="Traditional Arabic"/>
      <w:noProof w:val="0"/>
      <w:sz w:val="18"/>
      <w:szCs w:val="28"/>
      <w:lang w:val="en-GB" w:eastAsia="ar-SA" w:bidi="ar-SA"/>
    </w:rPr>
  </w:style>
  <w:style w:type="character" w:customStyle="1" w:styleId="MOSQuestionNameChar">
    <w:name w:val="MOSQuestionName Char"/>
    <w:basedOn w:val="MOS-NormalChar"/>
    <w:rsid w:val="00E10A58"/>
    <w:rPr>
      <w:b/>
      <w:bCs/>
    </w:rPr>
  </w:style>
  <w:style w:type="character" w:customStyle="1" w:styleId="MOSForActionCharChar">
    <w:name w:val="MOSForAction Char Char"/>
    <w:basedOn w:val="MOSQuestionNameChar"/>
    <w:rsid w:val="00E10A58"/>
  </w:style>
  <w:style w:type="character" w:customStyle="1" w:styleId="MOSForInfoChar">
    <w:name w:val="MOSForInfo Char"/>
    <w:basedOn w:val="MOSQuestionNameChar"/>
    <w:rsid w:val="00E10A58"/>
  </w:style>
  <w:style w:type="character" w:customStyle="1" w:styleId="Mos-NormalBoldChar">
    <w:name w:val="Mos-NormalBold Char"/>
    <w:basedOn w:val="MOS-NormalChar"/>
    <w:rsid w:val="00E10A58"/>
    <w:rPr>
      <w:b/>
    </w:rPr>
  </w:style>
  <w:style w:type="character" w:customStyle="1" w:styleId="Puces">
    <w:name w:val="Puces"/>
    <w:rsid w:val="00E10A58"/>
    <w:rPr>
      <w:rFonts w:ascii="StarSymbol" w:eastAsia="StarSymbol" w:hAnsi="StarSymbol" w:cs="StarSymbol"/>
      <w:sz w:val="18"/>
      <w:szCs w:val="18"/>
    </w:rPr>
  </w:style>
  <w:style w:type="character" w:customStyle="1" w:styleId="Caractresdenumrotation">
    <w:name w:val="Caractères de numérotation"/>
    <w:rsid w:val="00E10A58"/>
  </w:style>
  <w:style w:type="paragraph" w:styleId="List">
    <w:name w:val="List"/>
    <w:basedOn w:val="BodyText"/>
    <w:rsid w:val="00E10A58"/>
    <w:pPr>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bCs w:val="0"/>
      <w:sz w:val="20"/>
      <w:lang w:eastAsia="ar-SA"/>
    </w:rPr>
  </w:style>
  <w:style w:type="paragraph" w:customStyle="1" w:styleId="MOS-SGHeader">
    <w:name w:val="MOS-SGHeader"/>
    <w:basedOn w:val="Normal"/>
    <w:rsid w:val="00E10A58"/>
    <w:pPr>
      <w:tabs>
        <w:tab w:val="clear" w:pos="794"/>
        <w:tab w:val="clear" w:pos="1191"/>
        <w:tab w:val="clear" w:pos="1588"/>
        <w:tab w:val="clear" w:pos="1985"/>
      </w:tabs>
      <w:suppressAutoHyphens/>
      <w:overflowPunct/>
      <w:autoSpaceDE/>
      <w:autoSpaceDN/>
      <w:adjustRightInd/>
      <w:spacing w:before="360" w:after="48" w:line="240" w:lineRule="atLeast"/>
      <w:jc w:val="left"/>
      <w:textAlignment w:val="auto"/>
    </w:pPr>
    <w:rPr>
      <w:rFonts w:ascii="Verdana" w:hAnsi="Verdana" w:cs="Times"/>
      <w:b/>
      <w:position w:val="26"/>
      <w:sz w:val="26"/>
      <w:szCs w:val="26"/>
      <w:lang w:val="en-US" w:eastAsia="ar-SA"/>
    </w:rPr>
  </w:style>
  <w:style w:type="paragraph" w:styleId="EnvelopeAddress">
    <w:name w:val="envelope address"/>
    <w:basedOn w:val="Normal"/>
    <w:rsid w:val="00E10A58"/>
    <w:pPr>
      <w:tabs>
        <w:tab w:val="clear" w:pos="794"/>
        <w:tab w:val="clear" w:pos="1191"/>
        <w:tab w:val="clear" w:pos="1588"/>
        <w:tab w:val="clear" w:pos="1985"/>
      </w:tabs>
      <w:suppressAutoHyphens/>
      <w:overflowPunct/>
      <w:autoSpaceDE/>
      <w:autoSpaceDN/>
      <w:adjustRightInd/>
      <w:spacing w:after="120"/>
      <w:ind w:left="2880"/>
      <w:jc w:val="left"/>
      <w:textAlignment w:val="auto"/>
    </w:pPr>
    <w:rPr>
      <w:rFonts w:ascii="Trebuchet MS" w:hAnsi="Trebuchet MS" w:cs="Arial"/>
      <w:sz w:val="24"/>
      <w:szCs w:val="24"/>
      <w:lang w:val="en-US" w:eastAsia="ar-SA"/>
    </w:rPr>
  </w:style>
  <w:style w:type="paragraph" w:styleId="EnvelopeReturn">
    <w:name w:val="envelope return"/>
    <w:basedOn w:val="Normal"/>
    <w:rsid w:val="00E10A58"/>
    <w:pPr>
      <w:tabs>
        <w:tab w:val="clear" w:pos="794"/>
        <w:tab w:val="clear" w:pos="1191"/>
        <w:tab w:val="clear" w:pos="1588"/>
        <w:tab w:val="clear" w:pos="1985"/>
      </w:tabs>
      <w:suppressAutoHyphens/>
      <w:overflowPunct/>
      <w:autoSpaceDE/>
      <w:autoSpaceDN/>
      <w:adjustRightInd/>
      <w:spacing w:after="120"/>
      <w:jc w:val="left"/>
      <w:textAlignment w:val="auto"/>
    </w:pPr>
    <w:rPr>
      <w:rFonts w:ascii="Verdana" w:hAnsi="Verdana" w:cs="Arial"/>
      <w:sz w:val="20"/>
      <w:lang w:val="en-US" w:eastAsia="ar-SA"/>
    </w:rPr>
  </w:style>
  <w:style w:type="paragraph" w:customStyle="1" w:styleId="MOS-Normal">
    <w:name w:val="MOS-Normal"/>
    <w:rsid w:val="00E10A58"/>
    <w:pPr>
      <w:suppressAutoHyphens/>
      <w:spacing w:before="120" w:after="120"/>
    </w:pPr>
    <w:rPr>
      <w:rFonts w:ascii="Verdana" w:eastAsia="SimSun" w:hAnsi="Verdana" w:cs="Traditional Arabic"/>
      <w:sz w:val="18"/>
      <w:szCs w:val="28"/>
      <w:lang w:val="en-GB" w:eastAsia="ar-SA"/>
    </w:rPr>
  </w:style>
  <w:style w:type="paragraph" w:customStyle="1" w:styleId="MOSSignature">
    <w:name w:val="MOSSignature"/>
    <w:basedOn w:val="Normal"/>
    <w:rsid w:val="00E10A58"/>
    <w:pPr>
      <w:tabs>
        <w:tab w:val="clear" w:pos="794"/>
        <w:tab w:val="clear" w:pos="1191"/>
        <w:tab w:val="clear" w:pos="1588"/>
        <w:tab w:val="clear" w:pos="1985"/>
      </w:tabs>
      <w:suppressAutoHyphens/>
      <w:overflowPunct/>
      <w:autoSpaceDE/>
      <w:autoSpaceDN/>
      <w:adjustRightInd/>
      <w:spacing w:before="720"/>
      <w:jc w:val="left"/>
      <w:textAlignment w:val="auto"/>
    </w:pPr>
    <w:rPr>
      <w:rFonts w:ascii="Verdana" w:hAnsi="Verdana"/>
      <w:sz w:val="18"/>
      <w:lang w:eastAsia="ar-SA"/>
    </w:rPr>
  </w:style>
  <w:style w:type="paragraph" w:customStyle="1" w:styleId="MOS-SignatureTitle">
    <w:name w:val="MOS-SignatureTitle"/>
    <w:basedOn w:val="MOSSignature"/>
    <w:rsid w:val="00E10A58"/>
    <w:pPr>
      <w:spacing w:before="0"/>
    </w:pPr>
  </w:style>
  <w:style w:type="paragraph" w:customStyle="1" w:styleId="MOSFooter">
    <w:name w:val="MOSFooter"/>
    <w:basedOn w:val="Normal"/>
    <w:rsid w:val="00E10A58"/>
    <w:pPr>
      <w:tabs>
        <w:tab w:val="clear" w:pos="794"/>
        <w:tab w:val="clear" w:pos="1191"/>
        <w:tab w:val="clear" w:pos="1588"/>
        <w:tab w:val="clear" w:pos="1985"/>
        <w:tab w:val="right" w:pos="9072"/>
      </w:tabs>
      <w:suppressAutoHyphens/>
      <w:overflowPunct/>
      <w:autoSpaceDE/>
      <w:autoSpaceDN/>
      <w:adjustRightInd/>
      <w:spacing w:before="0"/>
      <w:jc w:val="left"/>
      <w:textAlignment w:val="auto"/>
    </w:pPr>
    <w:rPr>
      <w:rFonts w:ascii="Verdana" w:hAnsi="Verdana"/>
      <w:sz w:val="16"/>
      <w:lang w:eastAsia="ar-SA"/>
    </w:rPr>
  </w:style>
  <w:style w:type="paragraph" w:customStyle="1" w:styleId="MOSAnnex">
    <w:name w:val="MOSAnnex"/>
    <w:basedOn w:val="MOS-SignatureTitle"/>
    <w:rsid w:val="00E10A58"/>
    <w:pPr>
      <w:spacing w:before="1000"/>
    </w:pPr>
  </w:style>
  <w:style w:type="paragraph" w:customStyle="1" w:styleId="MOSBureau">
    <w:name w:val="MOSBureau"/>
    <w:basedOn w:val="Normal"/>
    <w:rsid w:val="00E10A58"/>
    <w:pPr>
      <w:tabs>
        <w:tab w:val="clear" w:pos="794"/>
        <w:tab w:val="clear" w:pos="1191"/>
        <w:tab w:val="clear" w:pos="1588"/>
        <w:tab w:val="clear" w:pos="1985"/>
        <w:tab w:val="right" w:pos="8732"/>
      </w:tabs>
      <w:suppressAutoHyphens/>
      <w:overflowPunct/>
      <w:autoSpaceDE/>
      <w:autoSpaceDN/>
      <w:adjustRightInd/>
      <w:jc w:val="left"/>
      <w:textAlignment w:val="auto"/>
    </w:pPr>
    <w:rPr>
      <w:rFonts w:ascii="Futura Lt BT" w:eastAsia="Times New Roman" w:hAnsi="Futura Lt BT"/>
      <w:sz w:val="28"/>
      <w:lang w:val="en-US" w:eastAsia="he-IL" w:bidi="he-IL"/>
    </w:rPr>
  </w:style>
  <w:style w:type="paragraph" w:customStyle="1" w:styleId="MOSLetterHead-Contacts">
    <w:name w:val="MOSLetterHead-Contacts"/>
    <w:basedOn w:val="Normal"/>
    <w:next w:val="Normal"/>
    <w:rsid w:val="00E10A58"/>
    <w:pPr>
      <w:tabs>
        <w:tab w:val="clear" w:pos="794"/>
        <w:tab w:val="clear" w:pos="1191"/>
        <w:tab w:val="clear" w:pos="1588"/>
        <w:tab w:val="clear" w:pos="1985"/>
        <w:tab w:val="left" w:pos="8364"/>
      </w:tabs>
      <w:suppressAutoHyphens/>
      <w:overflowPunct/>
      <w:autoSpaceDE/>
      <w:autoSpaceDN/>
      <w:adjustRightInd/>
      <w:snapToGrid w:val="0"/>
      <w:spacing w:before="20" w:after="20"/>
      <w:jc w:val="left"/>
      <w:textAlignment w:val="auto"/>
    </w:pPr>
    <w:rPr>
      <w:rFonts w:ascii="Futura Lt BT" w:hAnsi="Futura Lt BT"/>
      <w:spacing w:val="20"/>
      <w:sz w:val="20"/>
      <w:lang w:val="de-DE" w:eastAsia="ar-SA"/>
    </w:rPr>
  </w:style>
  <w:style w:type="paragraph" w:customStyle="1" w:styleId="MOS-Date">
    <w:name w:val="MOS-Date"/>
    <w:basedOn w:val="Normal"/>
    <w:rsid w:val="00E10A58"/>
    <w:pPr>
      <w:tabs>
        <w:tab w:val="clear" w:pos="794"/>
        <w:tab w:val="clear" w:pos="1191"/>
        <w:tab w:val="clear" w:pos="1588"/>
        <w:tab w:val="clear" w:pos="1985"/>
      </w:tabs>
      <w:suppressAutoHyphens/>
      <w:overflowPunct/>
      <w:autoSpaceDE/>
      <w:autoSpaceDN/>
      <w:adjustRightInd/>
      <w:spacing w:after="120"/>
      <w:ind w:left="34" w:right="317"/>
      <w:jc w:val="right"/>
      <w:textAlignment w:val="auto"/>
    </w:pPr>
    <w:rPr>
      <w:rFonts w:ascii="Verdana" w:hAnsi="Verdana"/>
      <w:sz w:val="18"/>
      <w:lang w:eastAsia="ar-SA"/>
    </w:rPr>
  </w:style>
  <w:style w:type="paragraph" w:customStyle="1" w:styleId="MOSAPContacts">
    <w:name w:val="MOSAPContacts"/>
    <w:basedOn w:val="Normal"/>
    <w:rsid w:val="00E10A58"/>
    <w:pPr>
      <w:tabs>
        <w:tab w:val="clear" w:pos="794"/>
        <w:tab w:val="clear" w:pos="1191"/>
        <w:tab w:val="clear" w:pos="1588"/>
        <w:tab w:val="clear" w:pos="1985"/>
      </w:tabs>
      <w:suppressAutoHyphens/>
      <w:overflowPunct/>
      <w:autoSpaceDE/>
      <w:autoSpaceDN/>
      <w:adjustRightInd/>
      <w:spacing w:before="0"/>
      <w:jc w:val="left"/>
      <w:textAlignment w:val="auto"/>
    </w:pPr>
    <w:rPr>
      <w:rFonts w:ascii="Verdana" w:hAnsi="Verdana"/>
      <w:sz w:val="18"/>
      <w:lang w:eastAsia="ar-SA"/>
    </w:rPr>
  </w:style>
  <w:style w:type="paragraph" w:customStyle="1" w:styleId="MOSLetterHead-AddLine12">
    <w:name w:val="MOSLetterHead-AddLine1_2"/>
    <w:basedOn w:val="Normal"/>
    <w:rsid w:val="00E10A58"/>
    <w:pPr>
      <w:tabs>
        <w:tab w:val="clear" w:pos="794"/>
        <w:tab w:val="clear" w:pos="1191"/>
        <w:tab w:val="clear" w:pos="1588"/>
        <w:tab w:val="clear" w:pos="1985"/>
      </w:tabs>
      <w:suppressAutoHyphens/>
      <w:overflowPunct/>
      <w:autoSpaceDE/>
      <w:autoSpaceDN/>
      <w:adjustRightInd/>
      <w:spacing w:before="0"/>
      <w:ind w:left="34" w:right="318"/>
      <w:jc w:val="left"/>
      <w:textAlignment w:val="auto"/>
    </w:pPr>
    <w:rPr>
      <w:rFonts w:ascii="Futura Lt BT" w:hAnsi="Futura Lt BT"/>
      <w:b/>
      <w:sz w:val="18"/>
      <w:lang w:eastAsia="ar-SA"/>
    </w:rPr>
  </w:style>
  <w:style w:type="paragraph" w:customStyle="1" w:styleId="MOSLetterHead-AddLine3">
    <w:name w:val="MOSLetterHead-AddLine3"/>
    <w:basedOn w:val="Normal"/>
    <w:rsid w:val="00E10A58"/>
    <w:pPr>
      <w:tabs>
        <w:tab w:val="clear" w:pos="794"/>
        <w:tab w:val="clear" w:pos="1191"/>
        <w:tab w:val="clear" w:pos="1588"/>
        <w:tab w:val="clear" w:pos="1985"/>
      </w:tabs>
      <w:suppressAutoHyphens/>
      <w:overflowPunct/>
      <w:autoSpaceDE/>
      <w:autoSpaceDN/>
      <w:adjustRightInd/>
      <w:spacing w:before="0" w:after="120"/>
      <w:ind w:left="34" w:right="318"/>
      <w:jc w:val="left"/>
      <w:textAlignment w:val="auto"/>
    </w:pPr>
    <w:rPr>
      <w:rFonts w:ascii="Futura Lt BT" w:hAnsi="Futura Lt BT"/>
      <w:b/>
      <w:sz w:val="18"/>
      <w:lang w:eastAsia="ar-SA"/>
    </w:rPr>
  </w:style>
  <w:style w:type="paragraph" w:customStyle="1" w:styleId="MOSLetterHead-Addline12Right">
    <w:name w:val="MOSLetterHead-Addline1_2Right"/>
    <w:basedOn w:val="Normal"/>
    <w:rsid w:val="00E10A58"/>
    <w:pPr>
      <w:tabs>
        <w:tab w:val="clear" w:pos="794"/>
        <w:tab w:val="clear" w:pos="1191"/>
        <w:tab w:val="clear" w:pos="1588"/>
        <w:tab w:val="clear" w:pos="1985"/>
      </w:tabs>
      <w:suppressAutoHyphens/>
      <w:overflowPunct/>
      <w:autoSpaceDE/>
      <w:autoSpaceDN/>
      <w:adjustRightInd/>
      <w:spacing w:before="0"/>
      <w:ind w:left="34"/>
      <w:jc w:val="right"/>
      <w:textAlignment w:val="auto"/>
    </w:pPr>
    <w:rPr>
      <w:rFonts w:ascii="Futura Lt BT" w:hAnsi="Futura Lt BT"/>
      <w:b/>
      <w:sz w:val="18"/>
      <w:lang w:eastAsia="ar-SA"/>
    </w:rPr>
  </w:style>
  <w:style w:type="paragraph" w:customStyle="1" w:styleId="MOSLetterHead-AddLine3Right">
    <w:name w:val="MOSLetterHead-AddLine3Right"/>
    <w:basedOn w:val="MOSLetterHead-Addline12Right"/>
    <w:rsid w:val="00E10A58"/>
  </w:style>
  <w:style w:type="paragraph" w:customStyle="1" w:styleId="MOSSectionBreauCircular">
    <w:name w:val="MOSSectionBreauCircular"/>
    <w:basedOn w:val="Normal"/>
    <w:rsid w:val="00E10A58"/>
    <w:pPr>
      <w:tabs>
        <w:tab w:val="clear" w:pos="794"/>
        <w:tab w:val="clear" w:pos="1191"/>
        <w:tab w:val="clear" w:pos="1588"/>
        <w:tab w:val="clear" w:pos="1985"/>
      </w:tabs>
      <w:suppressAutoHyphens/>
      <w:overflowPunct/>
      <w:autoSpaceDE/>
      <w:autoSpaceDN/>
      <w:adjustRightInd/>
      <w:spacing w:before="0"/>
      <w:jc w:val="left"/>
      <w:textAlignment w:val="auto"/>
    </w:pPr>
    <w:rPr>
      <w:rFonts w:ascii="Trebuchet MS" w:hAnsi="Trebuchet MS"/>
      <w:b/>
      <w:bCs/>
      <w:sz w:val="8"/>
      <w:szCs w:val="8"/>
      <w:lang w:eastAsia="ar-SA"/>
    </w:rPr>
  </w:style>
  <w:style w:type="paragraph" w:customStyle="1" w:styleId="MOSEmdashList">
    <w:name w:val="MOSEmdashList"/>
    <w:basedOn w:val="Normal"/>
    <w:rsid w:val="00E10A58"/>
    <w:pPr>
      <w:tabs>
        <w:tab w:val="clear" w:pos="794"/>
        <w:tab w:val="clear" w:pos="1191"/>
        <w:tab w:val="clear" w:pos="1588"/>
        <w:tab w:val="clear" w:pos="1985"/>
        <w:tab w:val="left" w:pos="459"/>
      </w:tabs>
      <w:suppressAutoHyphens/>
      <w:overflowPunct/>
      <w:autoSpaceDE/>
      <w:autoSpaceDN/>
      <w:adjustRightInd/>
      <w:spacing w:before="0"/>
      <w:ind w:left="-1100"/>
      <w:jc w:val="left"/>
      <w:textAlignment w:val="auto"/>
    </w:pPr>
    <w:rPr>
      <w:rFonts w:ascii="Verdana" w:hAnsi="Verdana"/>
      <w:sz w:val="20"/>
      <w:lang w:val="en-US" w:eastAsia="ar-SA"/>
    </w:rPr>
  </w:style>
  <w:style w:type="paragraph" w:customStyle="1" w:styleId="MOSPage">
    <w:name w:val="MOSPage"/>
    <w:basedOn w:val="MOSFooter"/>
    <w:rsid w:val="00E10A58"/>
    <w:pPr>
      <w:jc w:val="right"/>
    </w:pPr>
    <w:rPr>
      <w:smallCaps/>
      <w:spacing w:val="24"/>
      <w:szCs w:val="18"/>
      <w:lang w:val="fr-CH"/>
    </w:rPr>
  </w:style>
  <w:style w:type="paragraph" w:customStyle="1" w:styleId="MOSSourceTitle">
    <w:name w:val="MOSSource_Title"/>
    <w:basedOn w:val="Normal"/>
    <w:rsid w:val="00E10A58"/>
    <w:pPr>
      <w:tabs>
        <w:tab w:val="clear" w:pos="794"/>
        <w:tab w:val="clear" w:pos="1191"/>
        <w:tab w:val="clear" w:pos="1588"/>
        <w:tab w:val="clear" w:pos="1985"/>
      </w:tabs>
      <w:suppressAutoHyphens/>
      <w:overflowPunct/>
      <w:autoSpaceDE/>
      <w:autoSpaceDN/>
      <w:adjustRightInd/>
      <w:spacing w:before="60" w:after="60"/>
      <w:jc w:val="left"/>
      <w:textAlignment w:val="auto"/>
    </w:pPr>
    <w:rPr>
      <w:rFonts w:ascii="Verdana" w:hAnsi="Verdana"/>
      <w:b/>
      <w:bCs/>
      <w:sz w:val="18"/>
      <w:lang w:eastAsia="ar-SA"/>
    </w:rPr>
  </w:style>
  <w:style w:type="paragraph" w:customStyle="1" w:styleId="MOSQuestionName">
    <w:name w:val="MOSQuestionName"/>
    <w:basedOn w:val="MOS-Normal"/>
    <w:rsid w:val="00E10A58"/>
    <w:rPr>
      <w:b/>
      <w:bCs/>
    </w:rPr>
  </w:style>
  <w:style w:type="paragraph" w:customStyle="1" w:styleId="MOSMeetingName">
    <w:name w:val="MOSMeetingName"/>
    <w:basedOn w:val="Normal"/>
    <w:rsid w:val="00E10A58"/>
    <w:pPr>
      <w:tabs>
        <w:tab w:val="clear" w:pos="794"/>
        <w:tab w:val="clear" w:pos="1191"/>
        <w:tab w:val="clear" w:pos="1588"/>
        <w:tab w:val="clear" w:pos="1985"/>
        <w:tab w:val="left" w:pos="851"/>
      </w:tabs>
      <w:suppressAutoHyphens/>
      <w:overflowPunct/>
      <w:autoSpaceDE/>
      <w:autoSpaceDN/>
      <w:adjustRightInd/>
      <w:spacing w:after="120" w:line="240" w:lineRule="atLeast"/>
      <w:jc w:val="left"/>
      <w:textAlignment w:val="auto"/>
    </w:pPr>
    <w:rPr>
      <w:rFonts w:ascii="Verdana" w:hAnsi="Verdana"/>
      <w:b/>
      <w:sz w:val="20"/>
      <w:lang w:val="en-US" w:eastAsia="ar-SA"/>
    </w:rPr>
  </w:style>
  <w:style w:type="paragraph" w:customStyle="1" w:styleId="MOSDocInfo">
    <w:name w:val="MOSDocInfo"/>
    <w:basedOn w:val="Normal"/>
    <w:rsid w:val="00E10A58"/>
    <w:pPr>
      <w:tabs>
        <w:tab w:val="clear" w:pos="794"/>
        <w:tab w:val="clear" w:pos="1191"/>
        <w:tab w:val="clear" w:pos="1588"/>
        <w:tab w:val="clear" w:pos="1985"/>
        <w:tab w:val="left" w:pos="851"/>
      </w:tabs>
      <w:suppressAutoHyphens/>
      <w:overflowPunct/>
      <w:autoSpaceDE/>
      <w:autoSpaceDN/>
      <w:adjustRightInd/>
      <w:spacing w:before="0" w:line="240" w:lineRule="atLeast"/>
      <w:ind w:left="97"/>
      <w:jc w:val="left"/>
      <w:textAlignment w:val="auto"/>
    </w:pPr>
    <w:rPr>
      <w:rFonts w:ascii="Verdana" w:hAnsi="Verdana"/>
      <w:b/>
      <w:sz w:val="20"/>
      <w:lang w:eastAsia="ar-SA"/>
    </w:rPr>
  </w:style>
  <w:style w:type="paragraph" w:customStyle="1" w:styleId="MOSTableDocs">
    <w:name w:val="MOSTableDocs"/>
    <w:basedOn w:val="Normal"/>
    <w:rsid w:val="00E10A58"/>
    <w:pPr>
      <w:tabs>
        <w:tab w:val="clear" w:pos="794"/>
        <w:tab w:val="clear" w:pos="1191"/>
        <w:tab w:val="clear" w:pos="1588"/>
        <w:tab w:val="clear" w:pos="1985"/>
      </w:tabs>
      <w:suppressAutoHyphens/>
      <w:overflowPunct/>
      <w:autoSpaceDE/>
      <w:autoSpaceDN/>
      <w:adjustRightInd/>
      <w:spacing w:after="120"/>
      <w:jc w:val="center"/>
      <w:textAlignment w:val="auto"/>
    </w:pPr>
    <w:rPr>
      <w:rFonts w:ascii="Verdana" w:hAnsi="Verdana"/>
      <w:b/>
      <w:bCs/>
      <w:sz w:val="18"/>
      <w:lang w:eastAsia="ar-SA"/>
    </w:rPr>
  </w:style>
  <w:style w:type="paragraph" w:customStyle="1" w:styleId="MOS-SGFooterAdd">
    <w:name w:val="MOS-SGFooterAdd"/>
    <w:basedOn w:val="Footer"/>
    <w:rsid w:val="00E10A58"/>
    <w:pPr>
      <w:tabs>
        <w:tab w:val="clear" w:pos="5954"/>
        <w:tab w:val="clear" w:pos="9639"/>
        <w:tab w:val="center" w:pos="4320"/>
        <w:tab w:val="right" w:pos="8640"/>
      </w:tabs>
      <w:suppressAutoHyphens/>
      <w:overflowPunct/>
      <w:autoSpaceDE/>
      <w:autoSpaceDN/>
      <w:adjustRightInd/>
      <w:spacing w:before="120"/>
      <w:jc w:val="center"/>
      <w:textAlignment w:val="auto"/>
    </w:pPr>
    <w:rPr>
      <w:rFonts w:ascii="Zurich Ex BT" w:hAnsi="Zurich Ex BT" w:cs="Univers Extended"/>
      <w:caps w:val="0"/>
      <w:noProof w:val="0"/>
      <w:szCs w:val="16"/>
      <w:lang w:val="fr-CH" w:eastAsia="ar-SA"/>
    </w:rPr>
  </w:style>
  <w:style w:type="paragraph" w:customStyle="1" w:styleId="MOSNormalCentered">
    <w:name w:val="MOSNormalCentered"/>
    <w:basedOn w:val="MOS-Normal"/>
    <w:rsid w:val="00E10A58"/>
    <w:pPr>
      <w:jc w:val="center"/>
    </w:pPr>
  </w:style>
  <w:style w:type="paragraph" w:customStyle="1" w:styleId="MOSFooterAddress">
    <w:name w:val="MOSFooterAddress"/>
    <w:basedOn w:val="Footer"/>
    <w:rsid w:val="00E10A58"/>
    <w:pPr>
      <w:tabs>
        <w:tab w:val="clear" w:pos="5954"/>
        <w:tab w:val="clear" w:pos="9639"/>
        <w:tab w:val="center" w:pos="4320"/>
        <w:tab w:val="right" w:pos="8640"/>
      </w:tabs>
      <w:suppressAutoHyphens/>
      <w:overflowPunct/>
      <w:autoSpaceDE/>
      <w:autoSpaceDN/>
      <w:adjustRightInd/>
      <w:spacing w:before="120"/>
      <w:jc w:val="center"/>
      <w:textAlignment w:val="auto"/>
    </w:pPr>
    <w:rPr>
      <w:rFonts w:ascii="Zurich Ex BT" w:hAnsi="Zurich Ex BT" w:cs="Wingdings"/>
      <w:bCs/>
      <w:caps w:val="0"/>
      <w:noProof w:val="0"/>
      <w:spacing w:val="22"/>
      <w:sz w:val="14"/>
      <w:szCs w:val="14"/>
      <w:lang w:val="fr-CH" w:eastAsia="ar-SA"/>
    </w:rPr>
  </w:style>
  <w:style w:type="paragraph" w:customStyle="1" w:styleId="MOS-TickBox">
    <w:name w:val="MOS-TickBox"/>
    <w:basedOn w:val="MOSQuestionName"/>
    <w:rsid w:val="00E10A58"/>
    <w:pPr>
      <w:spacing w:before="40"/>
      <w:ind w:left="51" w:right="851"/>
      <w:jc w:val="right"/>
    </w:pPr>
    <w:rPr>
      <w:bCs w:val="0"/>
      <w:iCs/>
      <w:sz w:val="16"/>
      <w:szCs w:val="16"/>
    </w:rPr>
  </w:style>
  <w:style w:type="paragraph" w:customStyle="1" w:styleId="MOSForAction">
    <w:name w:val="MOSForAction"/>
    <w:basedOn w:val="MOSQuestionName"/>
    <w:rsid w:val="00E10A58"/>
    <w:pPr>
      <w:tabs>
        <w:tab w:val="right" w:pos="2596"/>
        <w:tab w:val="right" w:pos="3736"/>
      </w:tabs>
      <w:spacing w:before="200"/>
      <w:ind w:left="193" w:right="142"/>
    </w:pPr>
  </w:style>
  <w:style w:type="paragraph" w:customStyle="1" w:styleId="MOSForInfo">
    <w:name w:val="MOSForInfo"/>
    <w:basedOn w:val="MOSQuestionName"/>
    <w:rsid w:val="00E10A58"/>
    <w:pPr>
      <w:tabs>
        <w:tab w:val="right" w:pos="2596"/>
        <w:tab w:val="right" w:pos="3877"/>
      </w:tabs>
      <w:spacing w:after="0"/>
      <w:ind w:left="193"/>
    </w:pPr>
  </w:style>
  <w:style w:type="paragraph" w:customStyle="1" w:styleId="Mos-NormalBold">
    <w:name w:val="Mos-NormalBold"/>
    <w:basedOn w:val="MOS-Normal"/>
    <w:rsid w:val="00E10A58"/>
    <w:pPr>
      <w:tabs>
        <w:tab w:val="left" w:pos="3660"/>
        <w:tab w:val="left" w:pos="4253"/>
        <w:tab w:val="left" w:pos="5529"/>
      </w:tabs>
      <w:snapToGrid w:val="0"/>
    </w:pPr>
    <w:rPr>
      <w:b/>
    </w:rPr>
  </w:style>
  <w:style w:type="paragraph" w:customStyle="1" w:styleId="MOSAbstract">
    <w:name w:val="MOSAbstract"/>
    <w:basedOn w:val="Mos-NormalBold"/>
    <w:rsid w:val="00E10A58"/>
    <w:pPr>
      <w:jc w:val="center"/>
    </w:pPr>
    <w:rPr>
      <w:sz w:val="22"/>
      <w:szCs w:val="22"/>
    </w:rPr>
  </w:style>
  <w:style w:type="paragraph" w:customStyle="1" w:styleId="MOSAbstractNoteStartDoc">
    <w:name w:val="MOSAbstractNote_StartDoc"/>
    <w:basedOn w:val="MOSFooterAddress"/>
    <w:rsid w:val="00E10A58"/>
    <w:pPr>
      <w:spacing w:before="0"/>
    </w:pPr>
    <w:rPr>
      <w:rFonts w:ascii="Arial" w:hAnsi="Arial" w:cs="Arial"/>
      <w:sz w:val="16"/>
      <w:szCs w:val="16"/>
    </w:rPr>
  </w:style>
  <w:style w:type="paragraph" w:customStyle="1" w:styleId="MOSAbstractText">
    <w:name w:val="MOSAbstractText"/>
    <w:basedOn w:val="MOS-Normal"/>
    <w:rsid w:val="00E10A58"/>
    <w:pPr>
      <w:ind w:left="142" w:right="284"/>
    </w:pPr>
  </w:style>
  <w:style w:type="paragraph" w:customStyle="1" w:styleId="MOS-BoxText">
    <w:name w:val="MOS-BoxText"/>
    <w:basedOn w:val="MOS-Normal"/>
    <w:rsid w:val="00E10A58"/>
    <w:pPr>
      <w:spacing w:before="0" w:after="0"/>
      <w:jc w:val="center"/>
    </w:pPr>
  </w:style>
  <w:style w:type="paragraph" w:customStyle="1" w:styleId="MOS-SquareBox">
    <w:name w:val="MOS-SquareBox"/>
    <w:basedOn w:val="Normal"/>
    <w:rsid w:val="00E10A58"/>
    <w:pPr>
      <w:tabs>
        <w:tab w:val="clear" w:pos="794"/>
        <w:tab w:val="clear" w:pos="1191"/>
        <w:tab w:val="clear" w:pos="1588"/>
        <w:tab w:val="clear" w:pos="1985"/>
      </w:tabs>
      <w:suppressAutoHyphens/>
      <w:overflowPunct/>
      <w:autoSpaceDE/>
      <w:autoSpaceDN/>
      <w:adjustRightInd/>
      <w:spacing w:before="0"/>
      <w:jc w:val="left"/>
      <w:textAlignment w:val="auto"/>
    </w:pPr>
    <w:rPr>
      <w:rFonts w:ascii="Verdana" w:hAnsi="Verdana" w:cs="Traditional Arabic"/>
      <w:sz w:val="18"/>
      <w:szCs w:val="28"/>
      <w:lang w:eastAsia="ar-SA"/>
    </w:rPr>
  </w:style>
  <w:style w:type="paragraph" w:customStyle="1" w:styleId="Contenudetableau">
    <w:name w:val="Contenu de tableau"/>
    <w:basedOn w:val="Normal"/>
    <w:rsid w:val="00E10A58"/>
    <w:pPr>
      <w:suppressLineNumbers/>
      <w:suppressAutoHyphens/>
      <w:autoSpaceDN/>
      <w:adjustRightInd/>
      <w:jc w:val="left"/>
    </w:pPr>
    <w:rPr>
      <w:rFonts w:eastAsia="Times New Roman" w:cs="CG Times"/>
      <w:sz w:val="24"/>
      <w:lang w:val="fr-FR" w:eastAsia="ar-SA"/>
    </w:rPr>
  </w:style>
  <w:style w:type="paragraph" w:customStyle="1" w:styleId="Contenuducadre">
    <w:name w:val="Contenu du cadre"/>
    <w:basedOn w:val="BodyText"/>
    <w:rsid w:val="00E10A58"/>
    <w:pPr>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bCs w:val="0"/>
      <w:sz w:val="20"/>
      <w:lang w:eastAsia="ar-SA"/>
    </w:rPr>
  </w:style>
  <w:style w:type="character" w:customStyle="1" w:styleId="CEODocTitle-1lineChar">
    <w:name w:val="CEO_DocTitle-1line Char"/>
    <w:basedOn w:val="DefaultParagraphFont"/>
    <w:link w:val="CEODocTitle-1line"/>
    <w:rsid w:val="00E10A58"/>
    <w:rPr>
      <w:rFonts w:ascii="Verdana" w:eastAsia="SimHei" w:hAnsi="Verdana" w:cs="Simplified Arabic"/>
      <w:b/>
      <w:bCs/>
      <w:sz w:val="28"/>
      <w:szCs w:val="28"/>
      <w:lang w:eastAsia="en-US"/>
    </w:rPr>
  </w:style>
  <w:style w:type="character" w:customStyle="1" w:styleId="CEODocTitle2lines-FirstChar">
    <w:name w:val="CEO_DocTitle2lines-First Char"/>
    <w:basedOn w:val="CEODocTitle-1lineChar"/>
    <w:link w:val="CEODocTitle2lines-First"/>
    <w:rsid w:val="00E10A58"/>
    <w:rPr>
      <w:b/>
      <w:bCs/>
    </w:rPr>
  </w:style>
  <w:style w:type="character" w:customStyle="1" w:styleId="StyleLienhypertextesuivi">
    <w:name w:val="Style Lien hypertexte suivi"/>
    <w:basedOn w:val="FollowedHyperlink"/>
    <w:rsid w:val="00E10A58"/>
    <w:rPr>
      <w:rFonts w:ascii="Arial" w:hAnsi="Arial" w:cs="Arial"/>
      <w:noProof w:val="0"/>
      <w:sz w:val="20"/>
      <w:szCs w:val="20"/>
      <w:lang w:val="en-GB"/>
    </w:rPr>
  </w:style>
  <w:style w:type="character" w:styleId="HTMLCite">
    <w:name w:val="HTML Cite"/>
    <w:basedOn w:val="DefaultParagraphFont"/>
    <w:rsid w:val="00E10A58"/>
    <w:rPr>
      <w:rFonts w:ascii="Trebuchet MS" w:hAnsi="Trebuchet MS" w:cs="Times New Roman"/>
      <w:i/>
      <w:iCs/>
      <w:noProof w:val="0"/>
      <w:lang w:val="en-GB"/>
    </w:rPr>
  </w:style>
  <w:style w:type="paragraph" w:customStyle="1" w:styleId="ECA">
    <w:name w:val="ECA"/>
    <w:basedOn w:val="Normal"/>
    <w:rsid w:val="00E10A58"/>
    <w:pPr>
      <w:tabs>
        <w:tab w:val="clear" w:pos="794"/>
        <w:tab w:val="clear" w:pos="1191"/>
        <w:tab w:val="clear" w:pos="1588"/>
        <w:tab w:val="clear" w:pos="1985"/>
        <w:tab w:val="left" w:pos="1113"/>
        <w:tab w:val="left" w:pos="3381"/>
        <w:tab w:val="left" w:pos="5701"/>
        <w:tab w:val="left" w:pos="8167"/>
        <w:tab w:val="left" w:pos="9618"/>
      </w:tabs>
      <w:suppressAutoHyphens/>
      <w:overflowPunct/>
      <w:autoSpaceDE/>
      <w:autoSpaceDN/>
      <w:adjustRightInd/>
      <w:spacing w:before="60" w:after="40"/>
      <w:ind w:left="-23"/>
      <w:jc w:val="left"/>
      <w:textAlignment w:val="auto"/>
    </w:pPr>
    <w:rPr>
      <w:rFonts w:ascii="Arial" w:eastAsia="Times New Roman" w:hAnsi="Arial"/>
      <w:spacing w:val="-2"/>
      <w:sz w:val="20"/>
      <w:lang w:val="en-US"/>
    </w:rPr>
  </w:style>
  <w:style w:type="character" w:customStyle="1" w:styleId="Freq">
    <w:name w:val="Freq"/>
    <w:basedOn w:val="DefaultParagraphFont"/>
    <w:rsid w:val="00E10A58"/>
    <w:rPr>
      <w:rFonts w:ascii="Trebuchet MS" w:hAnsi="Trebuchet MS"/>
      <w:noProof w:val="0"/>
      <w:sz w:val="24"/>
      <w:lang w:val="en-GB"/>
    </w:rPr>
  </w:style>
  <w:style w:type="paragraph" w:customStyle="1" w:styleId="CEORevision2">
    <w:name w:val="CEO_Revision2"/>
    <w:basedOn w:val="CEONormal"/>
    <w:next w:val="Normal"/>
    <w:rsid w:val="00E10A58"/>
    <w:rPr>
      <w:sz w:val="16"/>
      <w:szCs w:val="16"/>
      <w:lang w:val="es-ES"/>
    </w:rPr>
  </w:style>
  <w:style w:type="character" w:styleId="PlaceholderText">
    <w:name w:val="Placeholder Text"/>
    <w:basedOn w:val="DefaultParagraphFont"/>
    <w:uiPriority w:val="99"/>
    <w:semiHidden/>
    <w:rsid w:val="00E10A58"/>
    <w:rPr>
      <w:color w:val="808080"/>
    </w:rPr>
  </w:style>
  <w:style w:type="paragraph" w:customStyle="1" w:styleId="CM10">
    <w:name w:val="CM10"/>
    <w:basedOn w:val="Default"/>
    <w:next w:val="Default"/>
    <w:uiPriority w:val="99"/>
    <w:rsid w:val="00E10A58"/>
    <w:rPr>
      <w:rFonts w:ascii="Times" w:eastAsiaTheme="minorEastAsia" w:hAnsi="Times" w:cstheme="minorBidi"/>
      <w:color w:val="auto"/>
    </w:rPr>
  </w:style>
  <w:style w:type="paragraph" w:customStyle="1" w:styleId="CM1">
    <w:name w:val="CM1"/>
    <w:basedOn w:val="Default"/>
    <w:next w:val="Default"/>
    <w:uiPriority w:val="99"/>
    <w:rsid w:val="00E10A58"/>
    <w:pPr>
      <w:spacing w:line="303" w:lineRule="atLeast"/>
    </w:pPr>
    <w:rPr>
      <w:rFonts w:ascii="Times" w:eastAsiaTheme="minorEastAsia" w:hAnsi="Times" w:cstheme="minorBidi"/>
      <w:color w:val="auto"/>
    </w:rPr>
  </w:style>
  <w:style w:type="paragraph" w:customStyle="1" w:styleId="CM11">
    <w:name w:val="CM11"/>
    <w:basedOn w:val="Default"/>
    <w:next w:val="Default"/>
    <w:uiPriority w:val="99"/>
    <w:rsid w:val="00E10A58"/>
    <w:rPr>
      <w:rFonts w:ascii="Times" w:eastAsiaTheme="minorEastAsia" w:hAnsi="Times" w:cstheme="minorBidi"/>
      <w:color w:val="auto"/>
    </w:rPr>
  </w:style>
  <w:style w:type="paragraph" w:customStyle="1" w:styleId="CM2">
    <w:name w:val="CM2"/>
    <w:basedOn w:val="Default"/>
    <w:next w:val="Default"/>
    <w:uiPriority w:val="99"/>
    <w:rsid w:val="00E10A58"/>
    <w:pPr>
      <w:spacing w:line="303" w:lineRule="atLeast"/>
    </w:pPr>
    <w:rPr>
      <w:rFonts w:ascii="Times" w:eastAsiaTheme="minorEastAsia" w:hAnsi="Times" w:cstheme="minorBidi"/>
      <w:color w:val="auto"/>
    </w:rPr>
  </w:style>
  <w:style w:type="paragraph" w:customStyle="1" w:styleId="CM3">
    <w:name w:val="CM3"/>
    <w:basedOn w:val="Default"/>
    <w:next w:val="Default"/>
    <w:uiPriority w:val="99"/>
    <w:rsid w:val="00E10A58"/>
    <w:pPr>
      <w:spacing w:line="303" w:lineRule="atLeast"/>
    </w:pPr>
    <w:rPr>
      <w:rFonts w:ascii="Times" w:eastAsiaTheme="minorEastAsia" w:hAnsi="Times" w:cstheme="minorBidi"/>
      <w:color w:val="auto"/>
    </w:rPr>
  </w:style>
  <w:style w:type="paragraph" w:customStyle="1" w:styleId="CM5">
    <w:name w:val="CM5"/>
    <w:basedOn w:val="Default"/>
    <w:next w:val="Default"/>
    <w:uiPriority w:val="99"/>
    <w:rsid w:val="00E10A58"/>
    <w:pPr>
      <w:spacing w:line="303" w:lineRule="atLeast"/>
    </w:pPr>
    <w:rPr>
      <w:rFonts w:ascii="Times" w:eastAsiaTheme="minorEastAsia" w:hAnsi="Times" w:cstheme="minorBidi"/>
      <w:color w:val="auto"/>
    </w:rPr>
  </w:style>
  <w:style w:type="paragraph" w:customStyle="1" w:styleId="CM8">
    <w:name w:val="CM8"/>
    <w:basedOn w:val="Default"/>
    <w:next w:val="Default"/>
    <w:uiPriority w:val="99"/>
    <w:rsid w:val="00E10A58"/>
    <w:pPr>
      <w:spacing w:line="303" w:lineRule="atLeast"/>
    </w:pPr>
    <w:rPr>
      <w:rFonts w:ascii="Times" w:eastAsiaTheme="minorEastAsia" w:hAnsi="Times" w:cstheme="minorBidi"/>
      <w:color w:val="auto"/>
    </w:rPr>
  </w:style>
  <w:style w:type="paragraph" w:customStyle="1" w:styleId="CM4">
    <w:name w:val="CM4"/>
    <w:basedOn w:val="Default"/>
    <w:next w:val="Default"/>
    <w:uiPriority w:val="99"/>
    <w:rsid w:val="00E10A58"/>
    <w:pPr>
      <w:spacing w:line="303" w:lineRule="atLeast"/>
    </w:pPr>
    <w:rPr>
      <w:rFonts w:ascii="Times" w:eastAsiaTheme="minorEastAsia" w:hAnsi="Times" w:cstheme="minorBidi"/>
      <w:color w:val="auto"/>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oleObject" Target="embeddings/oleObject1.bin"/><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admin.ch/ch/f/rs/7/784.10.fr.pdf" TargetMode="External"/><Relationship Id="rId2" Type="http://schemas.openxmlformats.org/officeDocument/2006/relationships/hyperlink" Target="http://www.admin.ch/ch/f/rs/7/784.106.12.fr.pdf" TargetMode="External"/><Relationship Id="rId1" Type="http://schemas.openxmlformats.org/officeDocument/2006/relationships/hyperlink" Target="http://www.admin.ch/ch/f/rs/7/784.106.fr.pdf" TargetMode="External"/><Relationship Id="rId4" Type="http://schemas.openxmlformats.org/officeDocument/2006/relationships/hyperlink" Target="http://www.admin.ch/ch/f/rs/3/313.32.fr.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F046A-0A9C-4AFA-B9D8-4179770D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674</TotalTime>
  <Pages>91</Pages>
  <Words>22654</Words>
  <Characters>129128</Characters>
  <Application>Microsoft Office Word</Application>
  <DocSecurity>0</DocSecurity>
  <Lines>1076</Lines>
  <Paragraphs>302</Paragraphs>
  <ScaleCrop>false</ScaleCrop>
  <HeadingPairs>
    <vt:vector size="2" baseType="variant">
      <vt:variant>
        <vt:lpstr>Title</vt:lpstr>
      </vt:variant>
      <vt:variant>
        <vt:i4>1</vt:i4>
      </vt:variant>
    </vt:vector>
  </HeadingPairs>
  <TitlesOfParts>
    <vt:vector size="1" baseType="lpstr">
      <vt:lpstr>第9号决议 – 指导原则</vt:lpstr>
    </vt:vector>
  </TitlesOfParts>
  <Manager>General Secretariat - Pool</Manager>
  <Company>International Telecommunication Union (ITU)</Company>
  <LinksUpToDate>false</LinksUpToDate>
  <CharactersWithSpaces>151480</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第9号决议 – 指导原则</dc:title>
  <dc:subject/>
  <dc:creator>ITU</dc:creator>
  <cp:keywords/>
  <dc:description/>
  <cp:lastModifiedBy>lucasi</cp:lastModifiedBy>
  <cp:revision>39</cp:revision>
  <cp:lastPrinted>2010-02-10T08:13:00Z</cp:lastPrinted>
  <dcterms:created xsi:type="dcterms:W3CDTF">2011-03-21T13:44:00Z</dcterms:created>
  <dcterms:modified xsi:type="dcterms:W3CDTF">2011-03-25T13:48:00Z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