
<file path=[Content_Types].xml><?xml version="1.0" encoding="utf-8"?>
<Types xmlns="http://schemas.openxmlformats.org/package/2006/content-types">
  <Default Extension="png" ContentType="image/png"/>
  <Default Extension="bin" ContentType="application/vnd.ms-office.activeX"/>
  <Default Extension="jpeg" ContentType="image/jpe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activeX/activeX17.xml" ContentType="application/vnd.ms-office.activeX+xml"/>
  <Override PartName="/word/activeX/activeX18.xml" ContentType="application/vnd.ms-office.activeX+xml"/>
  <Override PartName="/word/activeX/activeX19.xml" ContentType="application/vnd.ms-office.activeX+xml"/>
  <Override PartName="/word/activeX/activeX20.xml" ContentType="application/vnd.ms-office.activeX+xml"/>
  <Override PartName="/word/activeX/activeX21.xml" ContentType="application/vnd.ms-office.activeX+xml"/>
  <Override PartName="/word/activeX/activeX22.xml" ContentType="application/vnd.ms-office.activeX+xml"/>
  <Override PartName="/word/activeX/activeX23.xml" ContentType="application/vnd.ms-office.activeX+xml"/>
  <Override PartName="/word/activeX/activeX24.xml" ContentType="application/vnd.ms-office.activeX+xml"/>
  <Override PartName="/word/activeX/activeX25.xml" ContentType="application/vnd.ms-office.activeX+xml"/>
  <Override PartName="/word/activeX/activeX26.xml" ContentType="application/vnd.ms-office.activeX+xml"/>
  <Override PartName="/word/activeX/activeX27.xml" ContentType="application/vnd.ms-office.activeX+xml"/>
  <Override PartName="/word/activeX/activeX28.xml" ContentType="application/vnd.ms-office.activeX+xml"/>
  <Override PartName="/word/activeX/activeX29.xml" ContentType="application/vnd.ms-office.activeX+xml"/>
  <Override PartName="/word/activeX/activeX30.xml" ContentType="application/vnd.ms-office.activeX+xml"/>
  <Override PartName="/word/activeX/activeX31.xml" ContentType="application/vnd.ms-office.activeX+xml"/>
  <Override PartName="/word/activeX/activeX32.xml" ContentType="application/vnd.ms-office.activeX+xml"/>
  <Override PartName="/word/activeX/activeX33.xml" ContentType="application/vnd.ms-office.activeX+xml"/>
  <Override PartName="/word/activeX/activeX34.xml" ContentType="application/vnd.ms-office.activeX+xml"/>
  <Override PartName="/word/activeX/activeX35.xml" ContentType="application/vnd.ms-office.activeX+xml"/>
  <Override PartName="/word/activeX/activeX36.xml" ContentType="application/vnd.ms-office.activeX+xml"/>
  <Override PartName="/word/activeX/activeX37.xml" ContentType="application/vnd.ms-office.activeX+xml"/>
  <Override PartName="/word/activeX/activeX38.xml" ContentType="application/vnd.ms-office.activeX+xml"/>
  <Override PartName="/word/activeX/activeX39.xml" ContentType="application/vnd.ms-office.activeX+xml"/>
  <Override PartName="/word/activeX/activeX40.xml" ContentType="application/vnd.ms-office.activeX+xml"/>
  <Override PartName="/word/activeX/activeX41.xml" ContentType="application/vnd.ms-office.activeX+xml"/>
  <Override PartName="/word/activeX/activeX42.xml" ContentType="application/vnd.ms-office.activeX+xml"/>
  <Override PartName="/word/activeX/activeX43.xml" ContentType="application/vnd.ms-office.activeX+xml"/>
  <Override PartName="/word/activeX/activeX44.xml" ContentType="application/vnd.ms-office.activeX+xml"/>
  <Override PartName="/word/activeX/activeX45.xml" ContentType="application/vnd.ms-office.activeX+xml"/>
  <Override PartName="/word/activeX/activeX46.xml" ContentType="application/vnd.ms-office.activeX+xml"/>
  <Override PartName="/word/activeX/activeX47.xml" ContentType="application/vnd.ms-office.activeX+xml"/>
  <Override PartName="/word/activeX/activeX48.xml" ContentType="application/vnd.ms-office.activeX+xml"/>
  <Override PartName="/word/activeX/activeX49.xml" ContentType="application/vnd.ms-office.activeX+xml"/>
  <Override PartName="/word/activeX/activeX50.xml" ContentType="application/vnd.ms-office.activeX+xml"/>
  <Override PartName="/word/activeX/activeX51.xml" ContentType="application/vnd.ms-office.activeX+xml"/>
  <Override PartName="/word/activeX/activeX52.xml" ContentType="application/vnd.ms-office.activeX+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620BF" w:rsidRPr="007132F4" w:rsidRDefault="00B620BF" w:rsidP="00B620BF">
      <w:pPr>
        <w:pStyle w:val="Heading1"/>
        <w:rPr>
          <w:bCs w:val="0"/>
          <w:smallCaps/>
          <w:kern w:val="2"/>
          <w:szCs w:val="19"/>
          <w:lang w:eastAsia="ko-KR" w:bidi="th-TH"/>
        </w:rPr>
      </w:pPr>
      <w:bookmarkStart w:id="0" w:name="_Toc377976416"/>
      <w:r w:rsidRPr="007132F4">
        <w:rPr>
          <w:bCs w:val="0"/>
          <w:kern w:val="2"/>
          <w:szCs w:val="19"/>
          <w:lang w:eastAsia="ko-KR" w:bidi="th-TH"/>
        </w:rPr>
        <w:t>Annexes</w:t>
      </w:r>
      <w:bookmarkEnd w:id="0"/>
    </w:p>
    <w:p w:rsidR="00B620BF" w:rsidRPr="007132F4" w:rsidRDefault="00B620BF" w:rsidP="00D50C7B">
      <w:pPr>
        <w:pStyle w:val="HeadingB"/>
        <w:rPr>
          <w:smallCaps/>
          <w:lang w:eastAsia="ko-KR" w:bidi="th-TH"/>
        </w:rPr>
      </w:pPr>
      <w:bookmarkStart w:id="1" w:name="_Toc377976417"/>
      <w:r w:rsidRPr="007132F4">
        <w:rPr>
          <w:lang w:eastAsia="ko-KR" w:bidi="th-TH"/>
        </w:rPr>
        <w:t>A</w:t>
      </w:r>
      <w:r>
        <w:rPr>
          <w:lang w:eastAsia="ko-KR" w:bidi="th-TH"/>
        </w:rPr>
        <w:t>nnex</w:t>
      </w:r>
      <w:r w:rsidRPr="007132F4">
        <w:rPr>
          <w:lang w:eastAsia="ko-KR" w:bidi="th-TH"/>
        </w:rPr>
        <w:t xml:space="preserve"> 1: Definitions ― Available references on ICT and climate change</w:t>
      </w:r>
      <w:bookmarkEnd w:id="1"/>
    </w:p>
    <w:p w:rsidR="00B620BF" w:rsidRPr="00227579" w:rsidRDefault="00B620BF" w:rsidP="00D50C7B">
      <w:pPr>
        <w:pStyle w:val="HeadingB"/>
        <w:rPr>
          <w:smallCaps/>
          <w:lang w:eastAsia="ko-KR" w:bidi="th-TH"/>
        </w:rPr>
      </w:pPr>
      <w:bookmarkStart w:id="2" w:name="_Toc377976418"/>
      <w:r w:rsidRPr="00227579">
        <w:rPr>
          <w:lang w:eastAsia="ko-KR" w:bidi="th-TH"/>
        </w:rPr>
        <w:t>A</w:t>
      </w:r>
      <w:r>
        <w:rPr>
          <w:lang w:eastAsia="ko-KR" w:bidi="th-TH"/>
        </w:rPr>
        <w:t>nnex</w:t>
      </w:r>
      <w:r w:rsidRPr="00227579">
        <w:rPr>
          <w:lang w:eastAsia="ko-KR" w:bidi="th-TH"/>
        </w:rPr>
        <w:t xml:space="preserve"> 2: Climate change: importance of the oceans, extremes phenomena, examples of climate change in some countries</w:t>
      </w:r>
      <w:bookmarkEnd w:id="2"/>
    </w:p>
    <w:p w:rsidR="00B620BF" w:rsidRPr="00227579" w:rsidRDefault="00B620BF" w:rsidP="00D50C7B">
      <w:pPr>
        <w:pStyle w:val="HeadingB"/>
        <w:rPr>
          <w:smallCaps/>
          <w:lang w:eastAsia="ko-KR" w:bidi="th-TH"/>
        </w:rPr>
      </w:pPr>
      <w:bookmarkStart w:id="3" w:name="_Toc377976419"/>
      <w:r w:rsidRPr="00227579">
        <w:rPr>
          <w:lang w:eastAsia="ko-KR" w:bidi="th-TH"/>
        </w:rPr>
        <w:t>A</w:t>
      </w:r>
      <w:r>
        <w:rPr>
          <w:lang w:eastAsia="ko-KR" w:bidi="th-TH"/>
        </w:rPr>
        <w:t>nnex</w:t>
      </w:r>
      <w:r w:rsidRPr="00227579">
        <w:rPr>
          <w:lang w:eastAsia="ko-KR" w:bidi="th-TH"/>
        </w:rPr>
        <w:t xml:space="preserve"> 3: Questionnaire about ICT and climate change</w:t>
      </w:r>
      <w:r w:rsidR="00312509">
        <w:rPr>
          <w:lang w:eastAsia="ko-KR" w:bidi="th-TH"/>
        </w:rPr>
        <w:t xml:space="preserve"> –</w:t>
      </w:r>
      <w:r w:rsidRPr="00227579">
        <w:rPr>
          <w:lang w:eastAsia="ko-KR" w:bidi="th-TH"/>
        </w:rPr>
        <w:t xml:space="preserve"> Proposal for an ITU-D Recommendation</w:t>
      </w:r>
      <w:bookmarkEnd w:id="3"/>
    </w:p>
    <w:p w:rsidR="00B620BF" w:rsidRPr="00227579" w:rsidRDefault="00B620BF" w:rsidP="00D50C7B">
      <w:pPr>
        <w:pStyle w:val="HeadingB"/>
        <w:rPr>
          <w:smallCaps/>
          <w:lang w:eastAsia="ko-KR" w:bidi="th-TH"/>
        </w:rPr>
      </w:pPr>
      <w:bookmarkStart w:id="4" w:name="_Toc377976420"/>
      <w:r w:rsidRPr="00227579">
        <w:rPr>
          <w:lang w:eastAsia="ko-KR" w:bidi="th-TH"/>
        </w:rPr>
        <w:t>A</w:t>
      </w:r>
      <w:r>
        <w:rPr>
          <w:lang w:eastAsia="ko-KR" w:bidi="th-TH"/>
        </w:rPr>
        <w:t>nnex</w:t>
      </w:r>
      <w:r w:rsidRPr="00227579">
        <w:rPr>
          <w:lang w:eastAsia="ko-KR" w:bidi="th-TH"/>
        </w:rPr>
        <w:t xml:space="preserve"> 4: ICT footprint</w:t>
      </w:r>
      <w:bookmarkEnd w:id="4"/>
    </w:p>
    <w:p w:rsidR="00B620BF" w:rsidRPr="00227579" w:rsidRDefault="00B620BF" w:rsidP="00D50C7B">
      <w:pPr>
        <w:pStyle w:val="HeadingB"/>
        <w:rPr>
          <w:smallCaps/>
          <w:lang w:eastAsia="ko-KR" w:bidi="th-TH"/>
        </w:rPr>
      </w:pPr>
      <w:bookmarkStart w:id="5" w:name="_Toc377976421"/>
      <w:r w:rsidRPr="00227579">
        <w:rPr>
          <w:lang w:eastAsia="ko-KR" w:bidi="th-TH"/>
        </w:rPr>
        <w:t>A</w:t>
      </w:r>
      <w:r>
        <w:rPr>
          <w:lang w:eastAsia="ko-KR" w:bidi="th-TH"/>
        </w:rPr>
        <w:t>nnex</w:t>
      </w:r>
      <w:r w:rsidRPr="00227579">
        <w:rPr>
          <w:lang w:eastAsia="ko-KR" w:bidi="th-TH"/>
        </w:rPr>
        <w:t xml:space="preserve"> 5: Green ICT</w:t>
      </w:r>
      <w:bookmarkEnd w:id="5"/>
    </w:p>
    <w:p w:rsidR="00B620BF" w:rsidRPr="00227579" w:rsidRDefault="00B620BF" w:rsidP="00D50C7B">
      <w:pPr>
        <w:pStyle w:val="HeadingB"/>
        <w:rPr>
          <w:smallCaps/>
          <w:lang w:eastAsia="ko-KR" w:bidi="th-TH"/>
        </w:rPr>
      </w:pPr>
      <w:bookmarkStart w:id="6" w:name="_Toc377976422"/>
      <w:r w:rsidRPr="00227579">
        <w:rPr>
          <w:lang w:eastAsia="ko-KR" w:bidi="th-TH"/>
        </w:rPr>
        <w:t>A</w:t>
      </w:r>
      <w:r>
        <w:rPr>
          <w:lang w:eastAsia="ko-KR" w:bidi="th-TH"/>
        </w:rPr>
        <w:t>nnex</w:t>
      </w:r>
      <w:r w:rsidRPr="00227579">
        <w:rPr>
          <w:lang w:eastAsia="ko-KR" w:bidi="th-TH"/>
        </w:rPr>
        <w:t xml:space="preserve"> 6: ICT case studies</w:t>
      </w:r>
      <w:bookmarkEnd w:id="6"/>
    </w:p>
    <w:p w:rsidR="00B620BF" w:rsidRPr="00227579" w:rsidRDefault="00B620BF" w:rsidP="00D50C7B">
      <w:pPr>
        <w:pStyle w:val="HeadingB"/>
        <w:rPr>
          <w:smallCaps/>
          <w:lang w:eastAsia="ko-KR" w:bidi="th-TH"/>
        </w:rPr>
      </w:pPr>
      <w:bookmarkStart w:id="7" w:name="_Toc377976423"/>
      <w:r w:rsidRPr="00227579">
        <w:rPr>
          <w:lang w:eastAsia="ko-KR" w:bidi="th-TH"/>
        </w:rPr>
        <w:t>A</w:t>
      </w:r>
      <w:r>
        <w:rPr>
          <w:lang w:eastAsia="ko-KR" w:bidi="th-TH"/>
        </w:rPr>
        <w:t>nnex</w:t>
      </w:r>
      <w:r w:rsidRPr="00227579">
        <w:rPr>
          <w:lang w:eastAsia="ko-KR" w:bidi="th-TH"/>
        </w:rPr>
        <w:t xml:space="preserve"> 7: I</w:t>
      </w:r>
      <w:r w:rsidR="00312509">
        <w:rPr>
          <w:lang w:eastAsia="ko-KR" w:bidi="th-TH"/>
        </w:rPr>
        <w:t>CT, electricity and SMART grids</w:t>
      </w:r>
      <w:bookmarkEnd w:id="7"/>
    </w:p>
    <w:p w:rsidR="00B620BF" w:rsidRDefault="00B620BF" w:rsidP="00D50C7B">
      <w:pPr>
        <w:pStyle w:val="HeadingB"/>
        <w:rPr>
          <w:smallCaps/>
          <w:lang w:eastAsia="ko-KR" w:bidi="th-TH"/>
        </w:rPr>
      </w:pPr>
      <w:bookmarkStart w:id="8" w:name="_Toc377976424"/>
      <w:r w:rsidRPr="00227579">
        <w:rPr>
          <w:lang w:eastAsia="ko-KR" w:bidi="th-TH"/>
        </w:rPr>
        <w:t>A</w:t>
      </w:r>
      <w:r>
        <w:rPr>
          <w:lang w:eastAsia="ko-KR" w:bidi="th-TH"/>
        </w:rPr>
        <w:t>nnex 8: Resolution ITU R 60 (2012)</w:t>
      </w:r>
      <w:bookmarkEnd w:id="8"/>
      <w:r>
        <w:rPr>
          <w:lang w:eastAsia="ko-KR" w:bidi="th-TH"/>
        </w:rPr>
        <w:t xml:space="preserve"> </w:t>
      </w:r>
    </w:p>
    <w:p w:rsidR="00B620BF" w:rsidRPr="00227579" w:rsidRDefault="00B620BF" w:rsidP="00D50C7B">
      <w:pPr>
        <w:pStyle w:val="HeadingB"/>
        <w:rPr>
          <w:smallCaps/>
          <w:lang w:eastAsia="ko-KR" w:bidi="th-TH"/>
        </w:rPr>
      </w:pPr>
      <w:bookmarkStart w:id="9" w:name="_Toc377976425"/>
      <w:r w:rsidRPr="00227579">
        <w:rPr>
          <w:lang w:eastAsia="ko-KR" w:bidi="th-TH"/>
        </w:rPr>
        <w:t>A</w:t>
      </w:r>
      <w:r>
        <w:rPr>
          <w:lang w:eastAsia="ko-KR" w:bidi="th-TH"/>
        </w:rPr>
        <w:t>nnex</w:t>
      </w:r>
      <w:r w:rsidRPr="00227579">
        <w:rPr>
          <w:lang w:eastAsia="ko-KR" w:bidi="th-TH"/>
        </w:rPr>
        <w:t xml:space="preserve"> 9: Rebound effect</w:t>
      </w:r>
      <w:bookmarkEnd w:id="9"/>
    </w:p>
    <w:p w:rsidR="00B620BF" w:rsidRPr="00227579" w:rsidRDefault="00B620BF" w:rsidP="00D50C7B">
      <w:pPr>
        <w:pStyle w:val="HeadingB"/>
        <w:rPr>
          <w:smallCaps/>
          <w:lang w:eastAsia="ko-KR" w:bidi="th-TH"/>
        </w:rPr>
      </w:pPr>
      <w:bookmarkStart w:id="10" w:name="_Toc377976426"/>
      <w:r w:rsidRPr="00227579">
        <w:rPr>
          <w:lang w:eastAsia="ko-KR" w:bidi="th-TH"/>
        </w:rPr>
        <w:t>A</w:t>
      </w:r>
      <w:r>
        <w:rPr>
          <w:lang w:eastAsia="ko-KR" w:bidi="th-TH"/>
        </w:rPr>
        <w:t>nnex</w:t>
      </w:r>
      <w:r w:rsidRPr="00227579">
        <w:rPr>
          <w:lang w:eastAsia="ko-KR" w:bidi="th-TH"/>
        </w:rPr>
        <w:t xml:space="preserve"> 10: ICT and climate change relevant standardization activities</w:t>
      </w:r>
      <w:bookmarkEnd w:id="10"/>
    </w:p>
    <w:p w:rsidR="00B620BF" w:rsidRDefault="00B620BF" w:rsidP="00D50C7B">
      <w:pPr>
        <w:pStyle w:val="HeadingB"/>
        <w:rPr>
          <w:lang w:val="en-GB"/>
        </w:rPr>
      </w:pPr>
      <w:bookmarkStart w:id="11" w:name="_Toc377976427"/>
      <w:r w:rsidRPr="00227579">
        <w:rPr>
          <w:lang w:eastAsia="ko-KR" w:bidi="th-TH"/>
        </w:rPr>
        <w:t>A</w:t>
      </w:r>
      <w:r>
        <w:rPr>
          <w:lang w:eastAsia="ko-KR" w:bidi="th-TH"/>
        </w:rPr>
        <w:t>nnex</w:t>
      </w:r>
      <w:r w:rsidRPr="00227579">
        <w:rPr>
          <w:lang w:eastAsia="ko-KR" w:bidi="th-TH"/>
        </w:rPr>
        <w:t xml:space="preserve"> 11: World Summit on the Information Society (WSIS) and the environment</w:t>
      </w:r>
      <w:bookmarkEnd w:id="11"/>
    </w:p>
    <w:p w:rsidR="008228A6" w:rsidRPr="00E94F9B" w:rsidRDefault="00E94F9B" w:rsidP="00E94F9B">
      <w:pPr>
        <w:spacing w:before="240"/>
        <w:rPr>
          <w:lang w:val="en-US"/>
        </w:rPr>
      </w:pPr>
      <w:r w:rsidRPr="00E94F9B">
        <w:rPr>
          <w:b/>
          <w:bCs/>
          <w:lang w:val="en-AU" w:eastAsia="ko-KR" w:bidi="th-TH"/>
        </w:rPr>
        <w:t>Annex 12: List of relevant ITU Reports and Recommendations</w:t>
      </w:r>
    </w:p>
    <w:p w:rsidR="000A71D3" w:rsidRDefault="000A71D3" w:rsidP="00133CDA">
      <w:pPr>
        <w:rPr>
          <w:lang w:val="en-US"/>
        </w:rPr>
      </w:pPr>
    </w:p>
    <w:p w:rsidR="002A103D" w:rsidRDefault="002A103D" w:rsidP="00133CDA">
      <w:pPr>
        <w:rPr>
          <w:lang w:val="en-US"/>
        </w:rPr>
      </w:pPr>
    </w:p>
    <w:p w:rsidR="002A103D" w:rsidRDefault="002A103D" w:rsidP="00133CDA">
      <w:pPr>
        <w:rPr>
          <w:lang w:val="en-US"/>
        </w:rPr>
      </w:pPr>
    </w:p>
    <w:p w:rsidR="002A103D" w:rsidRDefault="002A103D" w:rsidP="00133CDA">
      <w:pPr>
        <w:rPr>
          <w:lang w:val="en-US"/>
        </w:rPr>
      </w:pPr>
    </w:p>
    <w:p w:rsidR="002A103D" w:rsidRDefault="002A103D" w:rsidP="00133CDA">
      <w:pPr>
        <w:rPr>
          <w:lang w:val="en-US"/>
        </w:rPr>
      </w:pPr>
    </w:p>
    <w:p w:rsidR="002A103D" w:rsidRDefault="002A103D" w:rsidP="00133CDA">
      <w:pPr>
        <w:rPr>
          <w:lang w:val="en-US"/>
        </w:rPr>
      </w:pPr>
    </w:p>
    <w:p w:rsidR="00F3255F" w:rsidRDefault="00F3255F" w:rsidP="00006784">
      <w:pPr>
        <w:pStyle w:val="Heading1"/>
        <w:spacing w:before="0"/>
        <w:ind w:left="851" w:hanging="851"/>
        <w:sectPr w:rsidR="00F3255F" w:rsidSect="00F3255F">
          <w:headerReference w:type="default" r:id="rId9"/>
          <w:footerReference w:type="default" r:id="rId10"/>
          <w:endnotePr>
            <w:numFmt w:val="decimal"/>
          </w:endnotePr>
          <w:type w:val="oddPage"/>
          <w:pgSz w:w="11907" w:h="16840" w:code="9"/>
          <w:pgMar w:top="1418" w:right="1418" w:bottom="1418" w:left="1418" w:header="709" w:footer="709" w:gutter="0"/>
          <w:cols w:space="708"/>
          <w:docGrid w:linePitch="360"/>
        </w:sectPr>
      </w:pPr>
      <w:bookmarkStart w:id="12" w:name="_Toc377721042"/>
      <w:bookmarkStart w:id="13" w:name="_Toc377976428"/>
    </w:p>
    <w:bookmarkEnd w:id="12"/>
    <w:bookmarkEnd w:id="13"/>
    <w:p w:rsidR="00606EA3" w:rsidRPr="00671D53" w:rsidRDefault="00606EA3" w:rsidP="00606EA3">
      <w:pPr>
        <w:pStyle w:val="Heading1"/>
        <w:spacing w:before="0"/>
        <w:ind w:left="851" w:hanging="851"/>
      </w:pPr>
      <w:r w:rsidRPr="00671D53">
        <w:lastRenderedPageBreak/>
        <w:t xml:space="preserve">Annex 1: </w:t>
      </w:r>
      <w:r>
        <w:tab/>
      </w:r>
      <w:r w:rsidRPr="00671D53">
        <w:t>Definitions ― Available references on ICT and climate change</w:t>
      </w:r>
    </w:p>
    <w:p w:rsidR="00606EA3" w:rsidRPr="00671D53" w:rsidRDefault="00606EA3" w:rsidP="00606EA3">
      <w:pPr>
        <w:pStyle w:val="Heading2"/>
        <w:rPr>
          <w:lang w:val="fr-CH"/>
        </w:rPr>
      </w:pPr>
      <w:bookmarkStart w:id="14" w:name="_Toc377721043"/>
      <w:bookmarkStart w:id="15" w:name="_Toc377976429"/>
      <w:r w:rsidRPr="00671D53">
        <w:rPr>
          <w:lang w:val="fr-CH"/>
        </w:rPr>
        <w:t>1.1</w:t>
      </w:r>
      <w:r w:rsidRPr="00671D53">
        <w:rPr>
          <w:lang w:val="fr-CH"/>
        </w:rPr>
        <w:tab/>
      </w:r>
      <w:r w:rsidRPr="00671D53">
        <w:rPr>
          <w:rStyle w:val="Hyperlink"/>
          <w:color w:val="005173"/>
          <w:u w:val="none"/>
          <w:lang w:val="fr-CH"/>
        </w:rPr>
        <w:t>Scientific documents</w:t>
      </w:r>
      <w:bookmarkEnd w:id="14"/>
      <w:bookmarkEnd w:id="15"/>
    </w:p>
    <w:p w:rsidR="00606EA3" w:rsidRPr="00487360" w:rsidRDefault="00606EA3" w:rsidP="00606EA3">
      <w:pPr>
        <w:pStyle w:val="HeadingB"/>
        <w:rPr>
          <w:lang w:val="fr-CH"/>
        </w:rPr>
      </w:pPr>
      <w:r w:rsidRPr="00487360">
        <w:rPr>
          <w:lang w:val="fr-CH"/>
        </w:rPr>
        <w:t>Scientific journals and books</w:t>
      </w:r>
    </w:p>
    <w:p w:rsidR="00606EA3" w:rsidRPr="00F528EA" w:rsidRDefault="00606EA3" w:rsidP="00606EA3">
      <w:pPr>
        <w:pStyle w:val="Enumlevel1"/>
        <w:rPr>
          <w:lang w:val="fr-FR"/>
        </w:rPr>
      </w:pPr>
      <w:r w:rsidRPr="005653CC">
        <w:rPr>
          <w:lang w:val="fr-CH"/>
        </w:rPr>
        <w:t>•</w:t>
      </w:r>
      <w:r w:rsidRPr="005653CC">
        <w:rPr>
          <w:lang w:val="fr-CH"/>
        </w:rPr>
        <w:tab/>
      </w:r>
      <w:r w:rsidRPr="001C69F4">
        <w:rPr>
          <w:lang w:val="fr-CH"/>
        </w:rPr>
        <w:t>La Recherche, Réchauffement : ce que mesurent les spécialistes, pp 62 à 66, novembre 2011</w:t>
      </w:r>
    </w:p>
    <w:p w:rsidR="00606EA3" w:rsidRPr="001C69F4" w:rsidRDefault="00606EA3" w:rsidP="00606EA3">
      <w:pPr>
        <w:pStyle w:val="Enumlevel1"/>
        <w:rPr>
          <w:lang w:val="fr-CH"/>
        </w:rPr>
      </w:pPr>
      <w:r w:rsidRPr="005653CC">
        <w:rPr>
          <w:lang w:val="fr-CH"/>
        </w:rPr>
        <w:t>•</w:t>
      </w:r>
      <w:r w:rsidRPr="005653CC">
        <w:rPr>
          <w:lang w:val="fr-CH"/>
        </w:rPr>
        <w:tab/>
      </w:r>
      <w:r w:rsidRPr="001C69F4">
        <w:rPr>
          <w:lang w:val="fr-CH"/>
        </w:rPr>
        <w:t>CNRS, Le climat à découvert, CNRS éditions, 2011</w:t>
      </w:r>
    </w:p>
    <w:p w:rsidR="00606EA3" w:rsidRPr="00383297" w:rsidRDefault="00606EA3" w:rsidP="00606EA3">
      <w:pPr>
        <w:pStyle w:val="Enumlevel1"/>
        <w:rPr>
          <w:lang w:val="fr-CH"/>
        </w:rPr>
      </w:pPr>
      <w:r w:rsidRPr="005653CC">
        <w:rPr>
          <w:lang w:val="fr-CH"/>
        </w:rPr>
        <w:t>•</w:t>
      </w:r>
      <w:r w:rsidRPr="005653CC">
        <w:rPr>
          <w:lang w:val="fr-CH"/>
        </w:rPr>
        <w:tab/>
      </w:r>
      <w:r w:rsidRPr="00383297">
        <w:rPr>
          <w:lang w:val="fr-CH"/>
        </w:rPr>
        <w:t>OECD, Space Technologies and Climate change, 2008</w:t>
      </w:r>
      <w:bookmarkStart w:id="16" w:name="OLE_LINK2"/>
      <w:bookmarkStart w:id="17" w:name="OLE_LINK1"/>
    </w:p>
    <w:p w:rsidR="00606EA3" w:rsidRPr="00671D53" w:rsidRDefault="00606EA3" w:rsidP="00A965D1">
      <w:pPr>
        <w:pStyle w:val="Heading2"/>
        <w:tabs>
          <w:tab w:val="center" w:pos="4535"/>
        </w:tabs>
        <w:rPr>
          <w:lang w:val="fr-CH"/>
        </w:rPr>
      </w:pPr>
      <w:bookmarkStart w:id="18" w:name="_Toc377721044"/>
      <w:bookmarkStart w:id="19" w:name="_Toc377976430"/>
      <w:r w:rsidRPr="00671D53">
        <w:rPr>
          <w:lang w:val="fr-CH"/>
        </w:rPr>
        <w:t>1.2</w:t>
      </w:r>
      <w:r w:rsidRPr="00671D53">
        <w:rPr>
          <w:lang w:val="fr-CH"/>
        </w:rPr>
        <w:tab/>
        <w:t>UN agencies</w:t>
      </w:r>
      <w:bookmarkEnd w:id="18"/>
      <w:bookmarkEnd w:id="19"/>
      <w:r w:rsidR="00A965D1">
        <w:rPr>
          <w:lang w:val="fr-CH"/>
        </w:rPr>
        <w:tab/>
      </w:r>
    </w:p>
    <w:bookmarkEnd w:id="16"/>
    <w:bookmarkEnd w:id="17"/>
    <w:p w:rsidR="00606EA3" w:rsidRPr="00487360" w:rsidRDefault="00606EA3" w:rsidP="00606EA3">
      <w:pPr>
        <w:pStyle w:val="HeadingB"/>
        <w:rPr>
          <w:lang w:val="fr-CH"/>
        </w:rPr>
      </w:pPr>
      <w:r w:rsidRPr="00487360">
        <w:rPr>
          <w:lang w:val="fr-CH"/>
        </w:rPr>
        <w:t>Convention-Cadre des Nations Unies sur les changements climatiques (CCNUCC)</w:t>
      </w:r>
    </w:p>
    <w:p w:rsidR="00606EA3" w:rsidRPr="00DB49CA" w:rsidRDefault="00606EA3" w:rsidP="00606EA3">
      <w:pPr>
        <w:pStyle w:val="Enumlevel1"/>
        <w:rPr>
          <w:lang w:val="fr-CH"/>
        </w:rPr>
      </w:pPr>
      <w:r w:rsidRPr="005653CC">
        <w:rPr>
          <w:lang w:val="fr-CH"/>
        </w:rPr>
        <w:t>•</w:t>
      </w:r>
      <w:r w:rsidRPr="005653CC">
        <w:rPr>
          <w:lang w:val="fr-CH"/>
        </w:rPr>
        <w:tab/>
        <w:t>Kit d’information sur les changements climatiques, juillet 2002 ;</w:t>
      </w:r>
      <w:r>
        <w:rPr>
          <w:lang w:val="fr-CH"/>
        </w:rPr>
        <w:t xml:space="preserve"> </w:t>
      </w:r>
      <w:hyperlink r:id="rId11" w:history="1">
        <w:r w:rsidRPr="00FE4927">
          <w:rPr>
            <w:rStyle w:val="Hyperlink"/>
            <w:szCs w:val="19"/>
            <w:lang w:val="fr-CH"/>
          </w:rPr>
          <w:t>http://unfccc.int/essential_background/background_publications_htmlpdf/climate_change_information_kit/items/305.php</w:t>
        </w:r>
      </w:hyperlink>
    </w:p>
    <w:p w:rsidR="00606EA3" w:rsidRPr="005653CC" w:rsidRDefault="00606EA3" w:rsidP="00606EA3">
      <w:pPr>
        <w:pStyle w:val="Enumlevel1"/>
        <w:rPr>
          <w:lang w:val="fr-CH"/>
        </w:rPr>
      </w:pPr>
      <w:r w:rsidRPr="005653CC">
        <w:rPr>
          <w:lang w:val="fr-CH"/>
        </w:rPr>
        <w:t>•</w:t>
      </w:r>
      <w:r w:rsidRPr="005653CC">
        <w:rPr>
          <w:lang w:val="fr-CH"/>
        </w:rPr>
        <w:tab/>
      </w:r>
      <w:r w:rsidRPr="005653CC">
        <w:rPr>
          <w:rFonts w:eastAsia="Times New Roman" w:cs="Verdana"/>
          <w:bCs/>
          <w:lang w:val="fr-CH" w:eastAsia="fr-FR"/>
        </w:rPr>
        <w:t>Convention-Cadre des Nations Unies sur les changements climatiques (CCNUCC</w:t>
      </w:r>
      <w:r w:rsidRPr="005653CC">
        <w:rPr>
          <w:rFonts w:eastAsia="Times New Roman" w:cs="Verdana"/>
          <w:bCs/>
          <w:color w:val="000000"/>
          <w:lang w:val="fr-CH" w:eastAsia="fr-FR"/>
        </w:rPr>
        <w:t>),</w:t>
      </w:r>
      <w:r w:rsidRPr="005653CC">
        <w:rPr>
          <w:lang w:val="fr-CH"/>
        </w:rPr>
        <w:t xml:space="preserve"> 1992 ;</w:t>
      </w:r>
      <w:r>
        <w:rPr>
          <w:lang w:val="fr-CH"/>
        </w:rPr>
        <w:t xml:space="preserve"> </w:t>
      </w:r>
      <w:hyperlink r:id="rId12" w:history="1">
        <w:r w:rsidRPr="00FE4927">
          <w:rPr>
            <w:rStyle w:val="Hyperlink"/>
            <w:szCs w:val="19"/>
            <w:lang w:val="fr-CH"/>
          </w:rPr>
          <w:t>http://unfccc.int/essential_background/convention/background/items/2853.php</w:t>
        </w:r>
      </w:hyperlink>
    </w:p>
    <w:p w:rsidR="00606EA3" w:rsidRPr="00487360" w:rsidRDefault="00606EA3" w:rsidP="00606EA3">
      <w:pPr>
        <w:pStyle w:val="HeadingB"/>
        <w:rPr>
          <w:lang w:val="fr-CH"/>
        </w:rPr>
      </w:pPr>
      <w:r w:rsidRPr="00487360">
        <w:rPr>
          <w:lang w:val="fr-CH"/>
        </w:rPr>
        <w:t xml:space="preserve">Colloque de l’UIT sur les TIC et les changements climatiques </w:t>
      </w:r>
    </w:p>
    <w:p w:rsidR="00606EA3" w:rsidRPr="00742EB0" w:rsidRDefault="00606EA3" w:rsidP="00606EA3">
      <w:pPr>
        <w:pStyle w:val="Enumlevel1"/>
        <w:rPr>
          <w:lang w:val="fr-CH"/>
        </w:rPr>
      </w:pPr>
      <w:r w:rsidRPr="005653CC">
        <w:rPr>
          <w:lang w:val="fr-CH"/>
        </w:rPr>
        <w:t>•</w:t>
      </w:r>
      <w:r w:rsidRPr="005653CC">
        <w:rPr>
          <w:lang w:val="fr-CH"/>
        </w:rPr>
        <w:tab/>
      </w:r>
      <w:r w:rsidRPr="00742EB0">
        <w:rPr>
          <w:lang w:val="fr-CH"/>
        </w:rPr>
        <w:t>UIT, Colloque de l’UIT sur les TIC et les changements climatiques,</w:t>
      </w:r>
      <w:hyperlink w:history="1"/>
      <w:r w:rsidRPr="00742EB0">
        <w:rPr>
          <w:lang w:val="fr-CH"/>
        </w:rPr>
        <w:t xml:space="preserve"> Quito (Equateur), 8-10 juillet 2009 ; Rapport général sur les TIC et les changements climatiques; </w:t>
      </w:r>
      <w:hyperlink r:id="rId13" w:history="1">
        <w:r w:rsidRPr="00E328E4">
          <w:rPr>
            <w:rStyle w:val="Hyperlink"/>
            <w:szCs w:val="19"/>
            <w:lang w:val="fr-CH"/>
          </w:rPr>
          <w:t>www.itu.int/themes/climate/</w:t>
        </w:r>
      </w:hyperlink>
    </w:p>
    <w:p w:rsidR="00606EA3" w:rsidRPr="00D51FC2" w:rsidRDefault="00606EA3" w:rsidP="00606EA3">
      <w:pPr>
        <w:spacing w:after="60"/>
        <w:rPr>
          <w:szCs w:val="19"/>
          <w:lang w:val="fr-CH"/>
        </w:rPr>
      </w:pPr>
      <w:r w:rsidRPr="00D51FC2">
        <w:rPr>
          <w:b/>
          <w:szCs w:val="19"/>
          <w:lang w:val="fr-CH"/>
        </w:rPr>
        <w:t>Premier séminaire UIT/OMM sur l’utilisation du spectre radio pour la météorologie</w:t>
      </w:r>
      <w:r w:rsidRPr="00D51FC2">
        <w:rPr>
          <w:szCs w:val="19"/>
          <w:lang w:val="fr-CH"/>
        </w:rPr>
        <w:t>: prévision du temps, eau et suivi du climat, OMM, 16-18 septembre 2009</w:t>
      </w:r>
      <w:r>
        <w:rPr>
          <w:szCs w:val="19"/>
          <w:lang w:val="fr-CH"/>
        </w:rPr>
        <w:t> ;</w:t>
      </w:r>
    </w:p>
    <w:p w:rsidR="00606EA3" w:rsidRPr="00D51FC2" w:rsidRDefault="00433698" w:rsidP="00606EA3">
      <w:pPr>
        <w:spacing w:before="60" w:after="60"/>
        <w:rPr>
          <w:szCs w:val="19"/>
          <w:lang w:val="fr-CH"/>
        </w:rPr>
      </w:pPr>
      <w:hyperlink r:id="rId14" w:history="1">
        <w:r w:rsidR="00606EA3" w:rsidRPr="00E328E4">
          <w:rPr>
            <w:rStyle w:val="Hyperlink"/>
            <w:szCs w:val="19"/>
            <w:lang w:val="fr-CH"/>
          </w:rPr>
          <w:t>www.itu.int/ITU-R/index.asp?category=conferences&amp;rlink=seminar-itu-wmo&amp;lang=en</w:t>
        </w:r>
      </w:hyperlink>
    </w:p>
    <w:p w:rsidR="00606EA3" w:rsidRPr="00487360" w:rsidRDefault="00606EA3" w:rsidP="00606EA3">
      <w:pPr>
        <w:pStyle w:val="HeadingB"/>
        <w:rPr>
          <w:lang w:val="fr-CH"/>
        </w:rPr>
      </w:pPr>
      <w:r w:rsidRPr="00487360">
        <w:rPr>
          <w:lang w:val="fr-CH"/>
        </w:rPr>
        <w:t>GIEC Groupe d’experts intergouvernemental sur l’évolution du climat</w:t>
      </w:r>
    </w:p>
    <w:p w:rsidR="00606EA3" w:rsidRPr="00FE4927" w:rsidRDefault="00606EA3" w:rsidP="00606EA3">
      <w:pPr>
        <w:pStyle w:val="Enumlevel1"/>
        <w:rPr>
          <w:szCs w:val="19"/>
          <w:lang w:val="fr-CH"/>
        </w:rPr>
      </w:pPr>
      <w:r w:rsidRPr="005653CC">
        <w:rPr>
          <w:lang w:val="fr-CH"/>
        </w:rPr>
        <w:t>•</w:t>
      </w:r>
      <w:r w:rsidRPr="005653CC">
        <w:rPr>
          <w:lang w:val="fr-CH"/>
        </w:rPr>
        <w:tab/>
      </w:r>
      <w:hyperlink r:id="rId15" w:history="1">
        <w:r w:rsidRPr="00E328E4">
          <w:rPr>
            <w:rStyle w:val="Hyperlink"/>
            <w:szCs w:val="19"/>
            <w:lang w:val="fr-CH"/>
          </w:rPr>
          <w:t>www.ipcc.ch/home_languages_main_french.htm</w:t>
        </w:r>
      </w:hyperlink>
    </w:p>
    <w:p w:rsidR="00606EA3" w:rsidRPr="00FE4927" w:rsidRDefault="00606EA3" w:rsidP="00606EA3">
      <w:pPr>
        <w:pStyle w:val="Enumlevel1"/>
        <w:spacing w:before="0"/>
        <w:ind w:firstLine="0"/>
        <w:rPr>
          <w:rStyle w:val="Hyperlink"/>
          <w:szCs w:val="19"/>
          <w:lang w:val="fr-CH"/>
        </w:rPr>
      </w:pPr>
      <w:r w:rsidRPr="00F528EA">
        <w:rPr>
          <w:szCs w:val="19"/>
          <w:lang w:val="fr-CH"/>
        </w:rPr>
        <w:t xml:space="preserve">Rapports disponibles sur </w:t>
      </w:r>
      <w:hyperlink r:id="rId16" w:history="1">
        <w:r w:rsidRPr="00E328E4">
          <w:rPr>
            <w:rStyle w:val="Hyperlink"/>
            <w:szCs w:val="19"/>
            <w:lang w:val="fr-CH"/>
          </w:rPr>
          <w:t>www.ipcc.ch/publications_and_data/publications_and_data.htm</w:t>
        </w:r>
      </w:hyperlink>
    </w:p>
    <w:p w:rsidR="00606EA3" w:rsidRPr="00671D53" w:rsidRDefault="00606EA3" w:rsidP="00606EA3">
      <w:pPr>
        <w:pStyle w:val="Heading2"/>
        <w:rPr>
          <w:lang w:val="fr-CH"/>
        </w:rPr>
      </w:pPr>
      <w:bookmarkStart w:id="20" w:name="_Toc377721045"/>
      <w:bookmarkStart w:id="21" w:name="_Toc377976431"/>
      <w:r w:rsidRPr="00671D53">
        <w:rPr>
          <w:lang w:val="fr-CH"/>
        </w:rPr>
        <w:t>1.3</w:t>
      </w:r>
      <w:r w:rsidRPr="00671D53">
        <w:rPr>
          <w:lang w:val="fr-CH"/>
        </w:rPr>
        <w:tab/>
        <w:t>Space agencies</w:t>
      </w:r>
      <w:bookmarkEnd w:id="20"/>
      <w:bookmarkEnd w:id="21"/>
    </w:p>
    <w:p w:rsidR="00606EA3" w:rsidRPr="00487360" w:rsidRDefault="00606EA3" w:rsidP="00606EA3">
      <w:pPr>
        <w:pStyle w:val="HeadingB"/>
        <w:rPr>
          <w:lang w:val="fr-CH"/>
        </w:rPr>
      </w:pPr>
      <w:r w:rsidRPr="00487360">
        <w:rPr>
          <w:lang w:val="fr-CH"/>
        </w:rPr>
        <w:t>EUMETSAT, Organisation européenne pour l'exploitation des satellites météorologiques</w:t>
      </w:r>
    </w:p>
    <w:p w:rsidR="00606EA3" w:rsidRPr="00B751BD" w:rsidRDefault="00606EA3" w:rsidP="00F95A55">
      <w:pPr>
        <w:pStyle w:val="Enumlevel1"/>
        <w:rPr>
          <w:szCs w:val="19"/>
          <w:lang w:val="fr-CH"/>
        </w:rPr>
      </w:pPr>
      <w:r w:rsidRPr="008B3EAB">
        <w:rPr>
          <w:lang w:val="fr-CH"/>
        </w:rPr>
        <w:t>•</w:t>
      </w:r>
      <w:r w:rsidRPr="008B3EAB">
        <w:rPr>
          <w:lang w:val="fr-CH"/>
        </w:rPr>
        <w:tab/>
      </w:r>
      <w:hyperlink r:id="rId17" w:history="1">
        <w:r w:rsidR="00F95A55" w:rsidRPr="00B751BD">
          <w:rPr>
            <w:rStyle w:val="Hyperlink"/>
            <w:szCs w:val="19"/>
            <w:lang w:val="fr-CH"/>
          </w:rPr>
          <w:t>http://www.eumetsat.int/Home/Main/AboutEUMETSAT/ClimateMonitoring/index.htm?l=en</w:t>
        </w:r>
      </w:hyperlink>
    </w:p>
    <w:p w:rsidR="00606EA3" w:rsidRPr="008B3EAB" w:rsidRDefault="00606EA3" w:rsidP="00606EA3">
      <w:pPr>
        <w:pStyle w:val="Enumlevel1"/>
        <w:rPr>
          <w:szCs w:val="19"/>
          <w:lang w:val="en-US"/>
        </w:rPr>
      </w:pPr>
      <w:r w:rsidRPr="00742EB0">
        <w:rPr>
          <w:lang w:val="en-US"/>
        </w:rPr>
        <w:t>•</w:t>
      </w:r>
      <w:r w:rsidRPr="00742EB0">
        <w:rPr>
          <w:lang w:val="en-US"/>
        </w:rPr>
        <w:tab/>
      </w:r>
      <w:r w:rsidRPr="008B3EAB">
        <w:rPr>
          <w:szCs w:val="19"/>
          <w:lang w:val="en-US"/>
        </w:rPr>
        <w:t>Rapport: Climate monitoring, meeting the challenge</w:t>
      </w:r>
    </w:p>
    <w:p w:rsidR="00606EA3" w:rsidRPr="00D51FC2" w:rsidRDefault="00606EA3" w:rsidP="00606EA3">
      <w:pPr>
        <w:pStyle w:val="HeadingB"/>
      </w:pPr>
      <w:r w:rsidRPr="00D51FC2">
        <w:t>CNES, Agence française de l’Espace</w:t>
      </w:r>
    </w:p>
    <w:p w:rsidR="00606EA3" w:rsidRPr="00D51FC2" w:rsidRDefault="00606EA3" w:rsidP="00606EA3">
      <w:pPr>
        <w:pStyle w:val="ListParagraph"/>
        <w:numPr>
          <w:ilvl w:val="0"/>
          <w:numId w:val="36"/>
        </w:numPr>
        <w:rPr>
          <w:lang w:val="fr-CH"/>
        </w:rPr>
      </w:pPr>
      <w:r w:rsidRPr="00F528EA">
        <w:rPr>
          <w:szCs w:val="19"/>
          <w:lang w:val="fr-CH"/>
        </w:rPr>
        <w:t>Terre environnement climat</w:t>
      </w:r>
      <w:r>
        <w:rPr>
          <w:szCs w:val="19"/>
          <w:lang w:val="fr-CH"/>
        </w:rPr>
        <w:t xml:space="preserve"> ;</w:t>
      </w:r>
      <w:r w:rsidRPr="00F528EA">
        <w:rPr>
          <w:lang w:val="fr-CH"/>
        </w:rPr>
        <w:t xml:space="preserve"> </w:t>
      </w:r>
      <w:hyperlink r:id="rId18" w:history="1">
        <w:r w:rsidRPr="00E328E4">
          <w:rPr>
            <w:rStyle w:val="Hyperlink"/>
            <w:szCs w:val="19"/>
            <w:lang w:val="fr-CH"/>
          </w:rPr>
          <w:t>www.cnes.fr/web/CNES-fr/7090-terre-environnement-et-climat.php</w:t>
        </w:r>
      </w:hyperlink>
    </w:p>
    <w:p w:rsidR="00606EA3" w:rsidRPr="00487360" w:rsidRDefault="00606EA3" w:rsidP="00606EA3">
      <w:pPr>
        <w:pStyle w:val="HeadingB"/>
        <w:rPr>
          <w:lang w:val="fr-CH"/>
        </w:rPr>
      </w:pPr>
      <w:r w:rsidRPr="00487360">
        <w:rPr>
          <w:lang w:val="fr-CH"/>
        </w:rPr>
        <w:t>ESA, Agence spatiale européenne</w:t>
      </w:r>
    </w:p>
    <w:p w:rsidR="00606EA3" w:rsidRPr="00B751BD" w:rsidRDefault="00606EA3" w:rsidP="00606EA3">
      <w:pPr>
        <w:pStyle w:val="Enumlevel1"/>
        <w:rPr>
          <w:szCs w:val="19"/>
          <w:lang w:val="fr-CH"/>
        </w:rPr>
      </w:pPr>
      <w:r w:rsidRPr="008B3EAB">
        <w:rPr>
          <w:lang w:val="fr-CH"/>
        </w:rPr>
        <w:t>•</w:t>
      </w:r>
      <w:r w:rsidRPr="008B3EAB">
        <w:rPr>
          <w:lang w:val="fr-CH"/>
        </w:rPr>
        <w:tab/>
      </w:r>
      <w:r w:rsidRPr="00F528EA">
        <w:rPr>
          <w:szCs w:val="19"/>
          <w:lang w:val="fr-CH"/>
        </w:rPr>
        <w:t xml:space="preserve">Le changement climatique, mythe ou </w:t>
      </w:r>
      <w:r w:rsidRPr="008B3EAB">
        <w:rPr>
          <w:lang w:val="fr-CH"/>
        </w:rPr>
        <w:t>réalité</w:t>
      </w:r>
      <w:r w:rsidRPr="00F528EA">
        <w:rPr>
          <w:szCs w:val="19"/>
          <w:lang w:val="fr-CH"/>
        </w:rPr>
        <w:t>?</w:t>
      </w:r>
      <w:r>
        <w:rPr>
          <w:szCs w:val="19"/>
          <w:lang w:val="fr-CH"/>
        </w:rPr>
        <w:t xml:space="preserve"> ;</w:t>
      </w:r>
      <w:hyperlink r:id="rId19" w:history="1">
        <w:r w:rsidRPr="00E328E4">
          <w:rPr>
            <w:rStyle w:val="Hyperlink"/>
            <w:szCs w:val="19"/>
            <w:lang w:val="fr-CH"/>
          </w:rPr>
          <w:t>www.esa.int/esaCP/ESAYGOZ84UC_France_0.html</w:t>
        </w:r>
      </w:hyperlink>
    </w:p>
    <w:p w:rsidR="00606EA3" w:rsidRPr="00742EB0" w:rsidRDefault="00606EA3" w:rsidP="00606EA3">
      <w:pPr>
        <w:pStyle w:val="HeadingB"/>
      </w:pPr>
      <w:r w:rsidRPr="00742EB0">
        <w:t>NOAA, National Oceanic and Atmospheric Administration (Agence météorologique nationale américaine)</w:t>
      </w:r>
    </w:p>
    <w:p w:rsidR="00606EA3" w:rsidRPr="00F528EA" w:rsidRDefault="00606EA3" w:rsidP="00606EA3">
      <w:pPr>
        <w:pStyle w:val="Enumlevel1"/>
      </w:pPr>
      <w:r w:rsidRPr="00742EB0">
        <w:rPr>
          <w:lang w:val="en-US"/>
        </w:rPr>
        <w:t>•</w:t>
      </w:r>
      <w:r w:rsidRPr="00742EB0">
        <w:rPr>
          <w:lang w:val="en-US"/>
        </w:rPr>
        <w:tab/>
      </w:r>
      <w:r w:rsidRPr="00F528EA">
        <w:t>State of the climate 2010</w:t>
      </w:r>
      <w:r>
        <w:t>;</w:t>
      </w:r>
      <w:r w:rsidRPr="00F528EA">
        <w:t xml:space="preserve"> </w:t>
      </w:r>
      <w:hyperlink r:id="rId20" w:history="1">
        <w:r w:rsidRPr="00E328E4">
          <w:rPr>
            <w:rStyle w:val="Hyperlink"/>
            <w:szCs w:val="19"/>
          </w:rPr>
          <w:t>www.ncdc.noaa.gov/bams-state-of-the-climate/2010.php</w:t>
        </w:r>
      </w:hyperlink>
    </w:p>
    <w:p w:rsidR="00606EA3" w:rsidRPr="00F528EA" w:rsidRDefault="00606EA3" w:rsidP="00606EA3">
      <w:pPr>
        <w:pStyle w:val="Enumlevel1"/>
        <w:rPr>
          <w:rFonts w:cs="Times New Roman"/>
          <w:lang w:val="fr-CH" w:eastAsia="ko-KR"/>
        </w:rPr>
      </w:pPr>
      <w:r w:rsidRPr="00742EB0">
        <w:rPr>
          <w:lang w:val="fr-CH"/>
        </w:rPr>
        <w:t>•</w:t>
      </w:r>
      <w:r w:rsidRPr="00742EB0">
        <w:rPr>
          <w:lang w:val="fr-CH"/>
        </w:rPr>
        <w:tab/>
        <w:t>Indicateurs</w:t>
      </w:r>
      <w:r w:rsidRPr="00F528EA">
        <w:rPr>
          <w:lang w:val="fr-CH"/>
        </w:rPr>
        <w:t xml:space="preserve"> des changements climatiques</w:t>
      </w:r>
      <w:r>
        <w:rPr>
          <w:lang w:val="fr-CH"/>
        </w:rPr>
        <w:t> ;</w:t>
      </w:r>
      <w:r w:rsidRPr="00F528EA">
        <w:rPr>
          <w:lang w:val="fr-CH"/>
        </w:rPr>
        <w:t xml:space="preserve"> </w:t>
      </w:r>
      <w:hyperlink r:id="rId21" w:history="1">
        <w:r w:rsidRPr="00E328E4">
          <w:rPr>
            <w:rStyle w:val="Hyperlink"/>
            <w:szCs w:val="19"/>
            <w:lang w:val="fr-CH"/>
          </w:rPr>
          <w:t>www.ncdc.noaa.gov/indicators/</w:t>
        </w:r>
      </w:hyperlink>
      <w:r w:rsidRPr="00F528EA">
        <w:rPr>
          <w:rFonts w:cs="Times New Roman"/>
          <w:lang w:val="fr-CH" w:eastAsia="ko-KR"/>
        </w:rPr>
        <w:t xml:space="preserve"> </w:t>
      </w:r>
    </w:p>
    <w:p w:rsidR="00606EA3" w:rsidRPr="00487360" w:rsidRDefault="00606EA3" w:rsidP="00606EA3">
      <w:pPr>
        <w:pStyle w:val="HeadingB"/>
        <w:rPr>
          <w:rFonts w:eastAsia="Batang"/>
          <w:lang w:val="fr-CH" w:eastAsia="ko-KR"/>
        </w:rPr>
      </w:pPr>
      <w:r w:rsidRPr="00487360">
        <w:rPr>
          <w:lang w:val="fr-CH"/>
        </w:rPr>
        <w:lastRenderedPageBreak/>
        <w:t>Université de Manchester (Royaume-Uni)</w:t>
      </w:r>
    </w:p>
    <w:p w:rsidR="00606EA3" w:rsidRPr="00D94DFC" w:rsidRDefault="00606EA3" w:rsidP="00606EA3">
      <w:pPr>
        <w:pStyle w:val="Enumlevel1"/>
      </w:pPr>
      <w:r>
        <w:t>•</w:t>
      </w:r>
      <w:r>
        <w:tab/>
      </w:r>
      <w:r w:rsidRPr="00D94DFC">
        <w:rPr>
          <w:rFonts w:eastAsia="Times New Roman" w:cs="Times-BoldItalic"/>
          <w:iCs/>
          <w:lang w:eastAsia="fr-FR"/>
        </w:rPr>
        <w:t>Unveiling t</w:t>
      </w:r>
      <w:r w:rsidRPr="00D94DFC">
        <w:t>he Links between ICTs &amp; Climate Change in Developing Countries: A Scoping Study, Angelica Valeria Ospina et Richard Heeks, 2010</w:t>
      </w:r>
    </w:p>
    <w:p w:rsidR="00606EA3" w:rsidRPr="00F528EA" w:rsidRDefault="00606EA3" w:rsidP="00606EA3">
      <w:pPr>
        <w:pStyle w:val="Enumlevel1"/>
      </w:pPr>
      <w:r>
        <w:t>•</w:t>
      </w:r>
      <w:r>
        <w:tab/>
      </w:r>
      <w:r w:rsidRPr="00F528EA">
        <w:t>Centre for Development Informatics, Institute for Development Policy and Management, SED</w:t>
      </w:r>
      <w:r>
        <w:t xml:space="preserve">; </w:t>
      </w:r>
      <w:hyperlink r:id="rId22" w:history="1">
        <w:r w:rsidRPr="001B650C">
          <w:rPr>
            <w:rStyle w:val="Hyperlink"/>
            <w:bCs/>
            <w:lang w:val="en-US"/>
          </w:rPr>
          <w:t>www.manchester.ac.uk/cdi</w:t>
        </w:r>
      </w:hyperlink>
      <w:r w:rsidRPr="00F528EA">
        <w:t xml:space="preserve"> </w:t>
      </w:r>
    </w:p>
    <w:p w:rsidR="00606EA3" w:rsidRPr="00AE5280" w:rsidRDefault="00606EA3" w:rsidP="00606EA3">
      <w:pPr>
        <w:pStyle w:val="Heading2"/>
      </w:pPr>
      <w:bookmarkStart w:id="22" w:name="_Toc377721046"/>
      <w:bookmarkStart w:id="23" w:name="_Toc377976432"/>
      <w:r w:rsidRPr="00AE5280">
        <w:t>1.4</w:t>
      </w:r>
      <w:r w:rsidRPr="00AE5280">
        <w:tab/>
        <w:t>Policy and strategy</w:t>
      </w:r>
      <w:bookmarkEnd w:id="22"/>
      <w:bookmarkEnd w:id="23"/>
    </w:p>
    <w:p w:rsidR="00606EA3" w:rsidRPr="00F528EA" w:rsidRDefault="00606EA3" w:rsidP="00606EA3">
      <w:pPr>
        <w:pStyle w:val="Enumlevel1"/>
      </w:pPr>
      <w:r>
        <w:t>•</w:t>
      </w:r>
      <w:r>
        <w:tab/>
        <w:t xml:space="preserve">NICCD, </w:t>
      </w:r>
      <w:hyperlink r:id="rId23" w:history="1">
        <w:r w:rsidRPr="0068645D">
          <w:rPr>
            <w:rStyle w:val="Hyperlink"/>
          </w:rPr>
          <w:t>Making Policy on ICTs and Climate Change in Developing Countries</w:t>
        </w:r>
      </w:hyperlink>
      <w:r w:rsidRPr="00D51FC2">
        <w:t xml:space="preserve">: </w:t>
      </w:r>
      <w:r w:rsidRPr="00D51FC2">
        <w:rPr>
          <w:bCs/>
          <w:lang w:val="en-US"/>
        </w:rPr>
        <w:t>This guide is for policy makers on ICTs and climate change identifies the ICTs, climate change and development (ICCD) policy actors and priorities at three levels: international, national and sub-national</w:t>
      </w:r>
      <w:r>
        <w:rPr>
          <w:bCs/>
          <w:lang w:val="en-US"/>
        </w:rPr>
        <w:t>, 2012</w:t>
      </w:r>
    </w:p>
    <w:p w:rsidR="00606EA3" w:rsidRPr="00D51FC2" w:rsidRDefault="00606EA3" w:rsidP="00606EA3">
      <w:pPr>
        <w:pStyle w:val="Enumlevel1"/>
        <w:rPr>
          <w:lang w:val="en-US"/>
        </w:rPr>
      </w:pPr>
      <w:r>
        <w:t>•</w:t>
      </w:r>
      <w:r>
        <w:tab/>
      </w:r>
      <w:r>
        <w:rPr>
          <w:bCs/>
          <w:lang w:val="en-US"/>
        </w:rPr>
        <w:t xml:space="preserve">World Bank, </w:t>
      </w:r>
      <w:hyperlink r:id="rId24" w:history="1">
        <w:r w:rsidRPr="00D51FC2">
          <w:rPr>
            <w:rStyle w:val="Hyperlink"/>
            <w:bCs/>
            <w:lang w:val="en-US"/>
          </w:rPr>
          <w:t>Municipal ICT Capacity and its Impact on the Climate-Change Affected Urban Poor</w:t>
        </w:r>
      </w:hyperlink>
      <w:r w:rsidRPr="00D51FC2">
        <w:rPr>
          <w:bCs/>
          <w:lang w:val="en-US"/>
        </w:rPr>
        <w:t xml:space="preserve"> - </w:t>
      </w:r>
      <w:hyperlink r:id="rId25" w:history="1">
        <w:r w:rsidRPr="0068645D">
          <w:rPr>
            <w:rStyle w:val="Hyperlink"/>
            <w:bCs/>
            <w:lang w:val="en-US"/>
          </w:rPr>
          <w:t>The Case of Mozambique Report</w:t>
        </w:r>
      </w:hyperlink>
      <w:r>
        <w:rPr>
          <w:bCs/>
          <w:lang w:val="en-US"/>
        </w:rPr>
        <w:t>, 2012</w:t>
      </w:r>
    </w:p>
    <w:p w:rsidR="00606EA3" w:rsidRPr="00D51FC2" w:rsidRDefault="00606EA3" w:rsidP="00606EA3">
      <w:pPr>
        <w:pStyle w:val="Enumlevel1"/>
        <w:rPr>
          <w:lang w:val="en-US"/>
        </w:rPr>
      </w:pPr>
      <w:r>
        <w:t>•</w:t>
      </w:r>
      <w:r>
        <w:tab/>
      </w:r>
      <w:r>
        <w:rPr>
          <w:bCs/>
          <w:lang w:val="en-US"/>
        </w:rPr>
        <w:t xml:space="preserve">World Bank, African Development Bank, </w:t>
      </w:r>
      <w:r w:rsidRPr="00D51FC2">
        <w:rPr>
          <w:bCs/>
          <w:lang w:val="en-US"/>
        </w:rPr>
        <w:t xml:space="preserve">Africa Transformation-Ready: </w:t>
      </w:r>
      <w:hyperlink r:id="rId26" w:history="1">
        <w:r w:rsidRPr="00D51FC2">
          <w:rPr>
            <w:rStyle w:val="Hyperlink"/>
            <w:bCs/>
            <w:lang w:val="en-US"/>
          </w:rPr>
          <w:t>The Strategic Application of Information and Communication Technologies to Climate Change Adaptation in Africa</w:t>
        </w:r>
      </w:hyperlink>
      <w:r>
        <w:rPr>
          <w:bCs/>
          <w:lang w:val="en-US"/>
        </w:rPr>
        <w:t>, 2012</w:t>
      </w:r>
    </w:p>
    <w:p w:rsidR="00606EA3" w:rsidRPr="00D51FC2" w:rsidRDefault="00606EA3" w:rsidP="00606EA3">
      <w:pPr>
        <w:pStyle w:val="Enumlevel1"/>
        <w:rPr>
          <w:lang w:val="en-US"/>
        </w:rPr>
      </w:pPr>
      <w:r>
        <w:t>•</w:t>
      </w:r>
      <w:r>
        <w:tab/>
      </w:r>
      <w:r w:rsidRPr="00D51FC2">
        <w:rPr>
          <w:lang w:val="en-US"/>
        </w:rPr>
        <w:t>OECD</w:t>
      </w:r>
      <w:r>
        <w:rPr>
          <w:lang w:val="en-US"/>
        </w:rPr>
        <w:t>,</w:t>
      </w:r>
      <w:r w:rsidRPr="00D51FC2">
        <w:rPr>
          <w:lang w:val="en-US"/>
        </w:rPr>
        <w:t xml:space="preserve"> </w:t>
      </w:r>
      <w:hyperlink r:id="rId27" w:history="1">
        <w:r w:rsidRPr="00D51FC2">
          <w:rPr>
            <w:rStyle w:val="Hyperlink"/>
            <w:lang w:val="en-US"/>
          </w:rPr>
          <w:t>Economic Aspects of Adaptation to Climate Change: Costs, Benefits and Policy Intruments</w:t>
        </w:r>
      </w:hyperlink>
      <w:r>
        <w:rPr>
          <w:bCs/>
          <w:lang w:val="en-US"/>
        </w:rPr>
        <w:t>, 2008</w:t>
      </w:r>
    </w:p>
    <w:p w:rsidR="00606EA3" w:rsidRPr="00D51FC2" w:rsidRDefault="00606EA3" w:rsidP="00606EA3">
      <w:pPr>
        <w:pStyle w:val="Enumlevel1"/>
        <w:rPr>
          <w:lang w:val="en-US"/>
        </w:rPr>
      </w:pPr>
      <w:r>
        <w:t>•</w:t>
      </w:r>
      <w:r>
        <w:tab/>
      </w:r>
      <w:r w:rsidRPr="00D51FC2">
        <w:rPr>
          <w:lang w:val="en-US"/>
        </w:rPr>
        <w:t>Ospina, A. V. &amp; Heeks, R.</w:t>
      </w:r>
      <w:r>
        <w:rPr>
          <w:lang w:val="en-US"/>
        </w:rPr>
        <w:t>,</w:t>
      </w:r>
      <w:r w:rsidRPr="00D51FC2">
        <w:rPr>
          <w:lang w:val="en-US"/>
        </w:rPr>
        <w:t xml:space="preserve"> </w:t>
      </w:r>
      <w:hyperlink r:id="rId28" w:history="1">
        <w:r w:rsidRPr="00D51FC2">
          <w:rPr>
            <w:rStyle w:val="Hyperlink"/>
            <w:lang w:val="en-US"/>
          </w:rPr>
          <w:t>ICTs and Climate Change Adaptation</w:t>
        </w:r>
      </w:hyperlink>
      <w:r w:rsidRPr="00D51FC2">
        <w:rPr>
          <w:lang w:val="en-US"/>
        </w:rPr>
        <w:t>: Enabling Innovative Strategies</w:t>
      </w:r>
      <w:r>
        <w:rPr>
          <w:lang w:val="en-US"/>
        </w:rPr>
        <w:t>,</w:t>
      </w:r>
      <w:r w:rsidRPr="0068645D">
        <w:rPr>
          <w:lang w:val="en-US"/>
        </w:rPr>
        <w:t xml:space="preserve"> </w:t>
      </w:r>
      <w:r w:rsidRPr="00D51FC2">
        <w:rPr>
          <w:lang w:val="en-US"/>
        </w:rPr>
        <w:t>2011</w:t>
      </w:r>
    </w:p>
    <w:p w:rsidR="00606EA3" w:rsidRPr="00D51FC2" w:rsidRDefault="00606EA3" w:rsidP="00606EA3">
      <w:pPr>
        <w:pStyle w:val="Enumlevel1"/>
        <w:rPr>
          <w:lang w:val="en-US"/>
        </w:rPr>
      </w:pPr>
      <w:r>
        <w:t>•</w:t>
      </w:r>
      <w:r>
        <w:tab/>
      </w:r>
      <w:r w:rsidRPr="00D51FC2">
        <w:rPr>
          <w:lang w:val="en-US"/>
        </w:rPr>
        <w:t xml:space="preserve">Roeth, H., Wokeck, L., Heeks, R., &amp; Labelle, R. </w:t>
      </w:r>
      <w:hyperlink r:id="rId29" w:history="1">
        <w:r w:rsidRPr="00D51FC2">
          <w:rPr>
            <w:rStyle w:val="Hyperlink"/>
            <w:lang w:val="en-US"/>
          </w:rPr>
          <w:t>ICTs and Climate Change Mitigation in Developing Countries</w:t>
        </w:r>
      </w:hyperlink>
      <w:r>
        <w:rPr>
          <w:bCs/>
          <w:lang w:val="en-US"/>
        </w:rPr>
        <w:t>, 2012</w:t>
      </w:r>
    </w:p>
    <w:p w:rsidR="00606EA3" w:rsidRPr="00D51FC2" w:rsidRDefault="00606EA3" w:rsidP="00606EA3">
      <w:pPr>
        <w:pStyle w:val="Enumlevel1"/>
        <w:rPr>
          <w:lang w:val="en-US"/>
        </w:rPr>
      </w:pPr>
      <w:r>
        <w:t>•</w:t>
      </w:r>
      <w:r>
        <w:tab/>
      </w:r>
      <w:r w:rsidRPr="00D51FC2">
        <w:rPr>
          <w:lang w:val="en-US"/>
        </w:rPr>
        <w:t>Ospina, A. V. &amp; Heeks, R.</w:t>
      </w:r>
      <w:r>
        <w:rPr>
          <w:lang w:val="en-US"/>
        </w:rPr>
        <w:t>,</w:t>
      </w:r>
      <w:r w:rsidRPr="00D51FC2">
        <w:rPr>
          <w:lang w:val="en-US"/>
        </w:rPr>
        <w:t xml:space="preserve"> </w:t>
      </w:r>
      <w:hyperlink r:id="rId30" w:history="1">
        <w:r w:rsidRPr="00D51FC2">
          <w:rPr>
            <w:rStyle w:val="Hyperlink"/>
            <w:lang w:val="en-US"/>
          </w:rPr>
          <w:t>ICT-Enabled Responses to Climate Change in Rural Agricultural Communities</w:t>
        </w:r>
      </w:hyperlink>
      <w:r>
        <w:rPr>
          <w:bCs/>
          <w:lang w:val="en-US"/>
        </w:rPr>
        <w:t>, 2012</w:t>
      </w:r>
      <w:r w:rsidRPr="00D51FC2">
        <w:rPr>
          <w:lang w:val="en-US"/>
        </w:rPr>
        <w:t xml:space="preserve"> </w:t>
      </w:r>
    </w:p>
    <w:p w:rsidR="00606EA3" w:rsidRPr="00D51FC2" w:rsidRDefault="00606EA3" w:rsidP="00606EA3">
      <w:pPr>
        <w:pStyle w:val="Enumlevel1"/>
        <w:rPr>
          <w:lang w:val="en-US"/>
        </w:rPr>
      </w:pPr>
      <w:r>
        <w:t>•</w:t>
      </w:r>
      <w:r>
        <w:tab/>
      </w:r>
      <w:r w:rsidRPr="00D51FC2">
        <w:rPr>
          <w:lang w:val="en-US"/>
        </w:rPr>
        <w:t>Ospina, A. V. &amp; Heeks, R.</w:t>
      </w:r>
      <w:r>
        <w:rPr>
          <w:lang w:val="en-US"/>
        </w:rPr>
        <w:t xml:space="preserve">, </w:t>
      </w:r>
      <w:hyperlink r:id="rId31" w:history="1">
        <w:r w:rsidRPr="00D51FC2">
          <w:rPr>
            <w:rStyle w:val="Hyperlink"/>
            <w:lang w:val="en-US"/>
          </w:rPr>
          <w:t>The Future Research Agenda for ICTs, Climate Change and Development</w:t>
        </w:r>
      </w:hyperlink>
      <w:r>
        <w:rPr>
          <w:bCs/>
          <w:lang w:val="en-US"/>
        </w:rPr>
        <w:t>, 2012</w:t>
      </w:r>
      <w:r w:rsidRPr="00D51FC2">
        <w:rPr>
          <w:lang w:val="en-US"/>
        </w:rPr>
        <w:t xml:space="preserve"> </w:t>
      </w:r>
    </w:p>
    <w:p w:rsidR="00606EA3" w:rsidRPr="00AE5280" w:rsidRDefault="00606EA3" w:rsidP="00606EA3">
      <w:pPr>
        <w:pStyle w:val="Heading2"/>
      </w:pPr>
      <w:bookmarkStart w:id="24" w:name="_Toc377721047"/>
      <w:bookmarkStart w:id="25" w:name="_Toc377976433"/>
      <w:r w:rsidRPr="00AE5280">
        <w:t>1.5</w:t>
      </w:r>
      <w:r w:rsidRPr="00AE5280">
        <w:tab/>
        <w:t>Case studies</w:t>
      </w:r>
      <w:bookmarkEnd w:id="24"/>
      <w:bookmarkEnd w:id="25"/>
    </w:p>
    <w:p w:rsidR="00606EA3" w:rsidRPr="00D51FC2" w:rsidRDefault="00606EA3" w:rsidP="00606EA3">
      <w:pPr>
        <w:pStyle w:val="Enumlevel1"/>
      </w:pPr>
      <w:r>
        <w:t>•</w:t>
      </w:r>
      <w:r>
        <w:tab/>
      </w:r>
      <w:r w:rsidRPr="00D51FC2">
        <w:t>Chohan, F., Hester, V. &amp; Munro, R.</w:t>
      </w:r>
      <w:r>
        <w:t>,</w:t>
      </w:r>
      <w:r w:rsidRPr="00D51FC2">
        <w:t xml:space="preserve"> </w:t>
      </w:r>
      <w:hyperlink r:id="rId32" w:history="1">
        <w:r w:rsidRPr="00D51FC2">
          <w:rPr>
            <w:rStyle w:val="Hyperlink"/>
            <w:bCs/>
            <w:lang w:val="en-US"/>
          </w:rPr>
          <w:t>Pakreport: Crowdsourcing for Multipurpose and Multicategory Climate-related Disaster Reporting. ICTs, Climate Change and Disaster Management Case Study</w:t>
        </w:r>
        <w:r>
          <w:t>, 2012</w:t>
        </w:r>
      </w:hyperlink>
      <w:r w:rsidRPr="00D51FC2">
        <w:t xml:space="preserve"> </w:t>
      </w:r>
    </w:p>
    <w:p w:rsidR="00606EA3" w:rsidRPr="00D51FC2" w:rsidRDefault="00606EA3" w:rsidP="00606EA3">
      <w:pPr>
        <w:pStyle w:val="Enumlevel1"/>
      </w:pPr>
      <w:r>
        <w:t>•</w:t>
      </w:r>
      <w:r>
        <w:tab/>
      </w:r>
      <w:r w:rsidRPr="00D51FC2">
        <w:t>Wickramasinghe, K.</w:t>
      </w:r>
      <w:r>
        <w:t>,</w:t>
      </w:r>
      <w:r w:rsidRPr="00D51FC2">
        <w:t xml:space="preserve"> </w:t>
      </w:r>
      <w:hyperlink r:id="rId33" w:history="1">
        <w:r w:rsidRPr="00D51FC2">
          <w:rPr>
            <w:rStyle w:val="Hyperlink"/>
            <w:bCs/>
            <w:lang w:val="en-US"/>
          </w:rPr>
          <w:t>Role of ICTs in Early Warning of Climate-Related Disaster: A Sri Lankan Case Study. ICTs, Climate Change and Disaster Management Case Study</w:t>
        </w:r>
      </w:hyperlink>
      <w:r>
        <w:t>, 2012</w:t>
      </w:r>
      <w:r w:rsidRPr="00D51FC2">
        <w:t xml:space="preserve"> </w:t>
      </w:r>
    </w:p>
    <w:p w:rsidR="00606EA3" w:rsidRPr="00D51FC2" w:rsidRDefault="00606EA3" w:rsidP="00606EA3">
      <w:pPr>
        <w:pStyle w:val="Enumlevel1"/>
      </w:pPr>
      <w:r>
        <w:t>•</w:t>
      </w:r>
      <w:r>
        <w:tab/>
      </w:r>
      <w:r w:rsidRPr="00D51FC2">
        <w:t>Giri, S. &amp; Malakar, Y.</w:t>
      </w:r>
      <w:r>
        <w:t>,</w:t>
      </w:r>
      <w:hyperlink r:id="rId34" w:history="1">
        <w:r w:rsidRPr="00D51FC2">
          <w:rPr>
            <w:rStyle w:val="Hyperlink"/>
            <w:bCs/>
            <w:lang w:val="en-US"/>
          </w:rPr>
          <w:t>Using Mobile Phones to Reduce the Adversities of Climate Change in Rural Nepal. ICTs, Climate Change and Disaster Management Case Study</w:t>
        </w:r>
        <w:r>
          <w:t>, 2012</w:t>
        </w:r>
      </w:hyperlink>
      <w:r w:rsidRPr="00D51FC2">
        <w:t xml:space="preserve"> </w:t>
      </w:r>
    </w:p>
    <w:p w:rsidR="00606EA3" w:rsidRPr="00D51FC2" w:rsidRDefault="00606EA3" w:rsidP="00606EA3">
      <w:pPr>
        <w:pStyle w:val="Enumlevel1"/>
      </w:pPr>
      <w:r>
        <w:t>•</w:t>
      </w:r>
      <w:r>
        <w:tab/>
      </w:r>
      <w:r w:rsidRPr="00D51FC2">
        <w:t>Lemaire, I. &amp; Muniz, S.</w:t>
      </w:r>
      <w:r>
        <w:t>,</w:t>
      </w:r>
      <w:r w:rsidRPr="00D51FC2">
        <w:t xml:space="preserve"> </w:t>
      </w:r>
      <w:hyperlink r:id="rId35" w:history="1">
        <w:r w:rsidRPr="00D51FC2">
          <w:rPr>
            <w:rStyle w:val="Hyperlink"/>
            <w:bCs/>
            <w:lang w:val="en-US"/>
          </w:rPr>
          <w:t>Participatory Video for Monitoring and Evaluation of Community-Based Adaptation to Climate Change. New ICT Routes to Climate Change Adaptation Case Study</w:t>
        </w:r>
      </w:hyperlink>
      <w:r>
        <w:t>, 2012</w:t>
      </w:r>
      <w:r w:rsidRPr="00D51FC2">
        <w:t xml:space="preserve"> </w:t>
      </w:r>
    </w:p>
    <w:p w:rsidR="00606EA3" w:rsidRPr="00D51FC2" w:rsidRDefault="00606EA3" w:rsidP="00606EA3">
      <w:pPr>
        <w:pStyle w:val="Enumlevel1"/>
      </w:pPr>
      <w:r>
        <w:t>•</w:t>
      </w:r>
      <w:r>
        <w:tab/>
      </w:r>
      <w:r w:rsidRPr="00D51FC2">
        <w:t>Harvey, B. &amp; Mitchell, T.</w:t>
      </w:r>
      <w:r>
        <w:t xml:space="preserve">, </w:t>
      </w:r>
      <w:hyperlink r:id="rId36" w:history="1">
        <w:r w:rsidRPr="00D51FC2">
          <w:rPr>
            <w:rStyle w:val="Hyperlink"/>
            <w:bCs/>
            <w:lang w:val="en-US"/>
          </w:rPr>
          <w:t>ICT-Enabled Knowledge Sharing in North-South Partnerships: Lessons from the AfricaAdapt Network. New ICT Routes to Climate Change Adaptation Case Study</w:t>
        </w:r>
      </w:hyperlink>
      <w:r>
        <w:t>, 2012</w:t>
      </w:r>
      <w:r w:rsidRPr="00D51FC2">
        <w:t xml:space="preserve"> </w:t>
      </w:r>
    </w:p>
    <w:p w:rsidR="00606EA3" w:rsidRPr="00D51FC2" w:rsidRDefault="00606EA3" w:rsidP="00606EA3">
      <w:pPr>
        <w:pStyle w:val="Enumlevel1"/>
      </w:pPr>
      <w:r>
        <w:t>•</w:t>
      </w:r>
      <w:r>
        <w:tab/>
      </w:r>
      <w:r w:rsidRPr="00D51FC2">
        <w:t>Saravanan, R.</w:t>
      </w:r>
      <w:r>
        <w:t>,</w:t>
      </w:r>
      <w:r w:rsidRPr="00D51FC2">
        <w:t xml:space="preserve"> e-Arik: </w:t>
      </w:r>
      <w:hyperlink r:id="rId37" w:history="1">
        <w:r w:rsidRPr="00D51FC2">
          <w:rPr>
            <w:rStyle w:val="Hyperlink"/>
            <w:bCs/>
            <w:lang w:val="en-US"/>
          </w:rPr>
          <w:t>Using ICTs to Facilitate Climate-Smart Agriculture among Tribal Farmers in North-East India. ICTs and Agricultural Adaptation to Climate Change Case Study</w:t>
        </w:r>
      </w:hyperlink>
      <w:r>
        <w:t>, 2011</w:t>
      </w:r>
      <w:r w:rsidRPr="00D51FC2">
        <w:t xml:space="preserve"> </w:t>
      </w:r>
    </w:p>
    <w:p w:rsidR="00606EA3" w:rsidRPr="00D51FC2" w:rsidRDefault="00606EA3" w:rsidP="00606EA3">
      <w:pPr>
        <w:pStyle w:val="Enumlevel1"/>
      </w:pPr>
      <w:r>
        <w:t>•</w:t>
      </w:r>
      <w:r>
        <w:tab/>
      </w:r>
      <w:r w:rsidRPr="00D51FC2">
        <w:t>Rezaul Haq, A. H., Bakuluzzaman, M., Dash, M., Uzzaman, R. &amp; Nandi, R.</w:t>
      </w:r>
      <w:r>
        <w:t xml:space="preserve">, </w:t>
      </w:r>
      <w:hyperlink r:id="rId38" w:history="1">
        <w:r w:rsidRPr="00D51FC2">
          <w:rPr>
            <w:rStyle w:val="Hyperlink"/>
            <w:bCs/>
            <w:lang w:val="en-US"/>
          </w:rPr>
          <w:t>An ICT-Based Community Plant Clinic for Climate-Resilient Agricultural Practices in Bangladesh. ICTs and Agricultural Adaptation to Climate Change Case Study</w:t>
        </w:r>
        <w:r>
          <w:t>, 2011</w:t>
        </w:r>
      </w:hyperlink>
      <w:r w:rsidRPr="00D51FC2">
        <w:t xml:space="preserve"> </w:t>
      </w:r>
    </w:p>
    <w:p w:rsidR="00606EA3" w:rsidRPr="00D51FC2" w:rsidRDefault="00606EA3" w:rsidP="00606EA3">
      <w:pPr>
        <w:pStyle w:val="Enumlevel1"/>
      </w:pPr>
      <w:r>
        <w:lastRenderedPageBreak/>
        <w:t>•</w:t>
      </w:r>
      <w:r>
        <w:tab/>
      </w:r>
      <w:r w:rsidRPr="00D51FC2">
        <w:t>Caceres Cabana, Y.</w:t>
      </w:r>
      <w:r>
        <w:t xml:space="preserve">, </w:t>
      </w:r>
      <w:hyperlink r:id="rId39" w:history="1">
        <w:r w:rsidRPr="00D51FC2">
          <w:rPr>
            <w:rStyle w:val="Hyperlink"/>
            <w:bCs/>
            <w:lang w:val="en-US"/>
          </w:rPr>
          <w:t>Using Radio to Improve Local Responses to Climate Variability: The Case of Alpaca Farmers in the Peruvian Andes. ICTs and Agricultural Adaptation to Climate Cha</w:t>
        </w:r>
        <w:r>
          <w:rPr>
            <w:rStyle w:val="Hyperlink"/>
            <w:bCs/>
            <w:lang w:val="en-US"/>
          </w:rPr>
          <w:t>n</w:t>
        </w:r>
        <w:r w:rsidRPr="00D51FC2">
          <w:rPr>
            <w:rStyle w:val="Hyperlink"/>
            <w:bCs/>
            <w:lang w:val="en-US"/>
          </w:rPr>
          <w:t>ge Case Study</w:t>
        </w:r>
      </w:hyperlink>
      <w:r>
        <w:t>, 2012</w:t>
      </w:r>
    </w:p>
    <w:p w:rsidR="00606EA3" w:rsidRPr="00D51FC2" w:rsidRDefault="00606EA3" w:rsidP="00606EA3">
      <w:pPr>
        <w:pStyle w:val="Enumlevel1"/>
      </w:pPr>
      <w:r>
        <w:t>•</w:t>
      </w:r>
      <w:r>
        <w:tab/>
      </w:r>
      <w:r w:rsidRPr="00D51FC2">
        <w:t>Braun, P. &amp; Faisal Islam, M.</w:t>
      </w:r>
      <w:r>
        <w:t>,</w:t>
      </w:r>
      <w:r w:rsidRPr="00D51FC2">
        <w:t xml:space="preserve"> </w:t>
      </w:r>
      <w:hyperlink r:id="rId40" w:history="1">
        <w:r w:rsidRPr="00D51FC2">
          <w:rPr>
            <w:rStyle w:val="Hyperlink"/>
            <w:bCs/>
            <w:lang w:val="en-US"/>
          </w:rPr>
          <w:t>ICT-enabled Knowledge Brokering for Farmers in Coastal Areas of Bangladesh. ICTs and Agricultural Adaptation to Climate Change Case Study</w:t>
        </w:r>
        <w:r>
          <w:t>, 2011</w:t>
        </w:r>
      </w:hyperlink>
    </w:p>
    <w:p w:rsidR="00606EA3" w:rsidRPr="00D51FC2" w:rsidRDefault="00606EA3" w:rsidP="00606EA3">
      <w:pPr>
        <w:pStyle w:val="Enumlevel1"/>
      </w:pPr>
      <w:r>
        <w:t>•</w:t>
      </w:r>
      <w:r>
        <w:tab/>
      </w:r>
      <w:r w:rsidRPr="00D51FC2">
        <w:t>Ospina, A.V.</w:t>
      </w:r>
      <w:r>
        <w:t>,</w:t>
      </w:r>
      <w:r w:rsidRPr="00D51FC2">
        <w:t xml:space="preserve"> </w:t>
      </w:r>
      <w:hyperlink r:id="rId41" w:history="1">
        <w:r w:rsidRPr="00D51FC2">
          <w:rPr>
            <w:rStyle w:val="Hyperlink"/>
            <w:bCs/>
            <w:lang w:val="en-US"/>
          </w:rPr>
          <w:t>e-Adaptation within Agricultural Livelihoods in Colombia’s High Mountain Regions. ICTs and Agricultural Adaptation to Climate Change Case Study</w:t>
        </w:r>
      </w:hyperlink>
      <w:r>
        <w:t>, 2012</w:t>
      </w:r>
      <w:r w:rsidRPr="00D51FC2">
        <w:t xml:space="preserve"> </w:t>
      </w:r>
    </w:p>
    <w:p w:rsidR="00606EA3" w:rsidRPr="00D51FC2" w:rsidRDefault="00606EA3" w:rsidP="00606EA3">
      <w:pPr>
        <w:pStyle w:val="Enumlevel1"/>
      </w:pPr>
      <w:r>
        <w:t>•</w:t>
      </w:r>
      <w:r>
        <w:tab/>
      </w:r>
      <w:r w:rsidRPr="00D51FC2">
        <w:t>Jones, R. &amp; Siemering, B.</w:t>
      </w:r>
      <w:r>
        <w:t xml:space="preserve">, </w:t>
      </w:r>
      <w:hyperlink r:id="rId42" w:history="1">
        <w:r w:rsidRPr="00D51FC2">
          <w:rPr>
            <w:rStyle w:val="Hyperlink"/>
            <w:bCs/>
            <w:lang w:val="en-US"/>
          </w:rPr>
          <w:t>Combining Local Radio and Mobile Phones to Promote Climate Stewardship. ICTs and Climate Change Mitigation Case Study</w:t>
        </w:r>
      </w:hyperlink>
      <w:r>
        <w:t>, 2012</w:t>
      </w:r>
      <w:r w:rsidRPr="00D51FC2">
        <w:t xml:space="preserve"> </w:t>
      </w:r>
    </w:p>
    <w:p w:rsidR="00606EA3" w:rsidRPr="00D51FC2" w:rsidRDefault="00606EA3" w:rsidP="00606EA3">
      <w:pPr>
        <w:pStyle w:val="Enumlevel1"/>
      </w:pPr>
      <w:r>
        <w:t>•</w:t>
      </w:r>
      <w:r>
        <w:tab/>
      </w:r>
      <w:r w:rsidRPr="00D51FC2">
        <w:t>Mahalik, D.</w:t>
      </w:r>
      <w:r>
        <w:t xml:space="preserve">, </w:t>
      </w:r>
      <w:hyperlink r:id="rId43" w:history="1">
        <w:r w:rsidRPr="00D51FC2">
          <w:rPr>
            <w:rStyle w:val="Hyperlink"/>
            <w:bCs/>
            <w:lang w:val="en-US"/>
          </w:rPr>
          <w:t>Reducing Carbon Emissions through Videoconferencing: An Indian Case Study. ICTs and Climate Change Mitigation Case Study</w:t>
        </w:r>
      </w:hyperlink>
      <w:r>
        <w:t>, 2012</w:t>
      </w:r>
    </w:p>
    <w:p w:rsidR="00606EA3" w:rsidRPr="00D51FC2" w:rsidRDefault="00606EA3" w:rsidP="00606EA3">
      <w:pPr>
        <w:pStyle w:val="Enumlevel1"/>
      </w:pPr>
      <w:r>
        <w:t>•</w:t>
      </w:r>
      <w:r>
        <w:tab/>
      </w:r>
      <w:r w:rsidRPr="00D51FC2">
        <w:t>Gross, I.</w:t>
      </w:r>
      <w:r>
        <w:t>,</w:t>
      </w:r>
      <w:hyperlink r:id="rId44" w:history="1">
        <w:r>
          <w:rPr>
            <w:rStyle w:val="Hyperlink"/>
            <w:bCs/>
          </w:rPr>
          <w:t xml:space="preserve"> </w:t>
        </w:r>
        <w:r w:rsidRPr="00D51FC2">
          <w:rPr>
            <w:rStyle w:val="Hyperlink"/>
            <w:bCs/>
            <w:lang w:val="en-US"/>
          </w:rPr>
          <w:t>Mitigating ICT-Related Carbon Emissions: Using Renewable Energy to Power Base Stations in Africa's Mobile Telecommunications Sector. ICTs and Climate Change Mitigation Case Study</w:t>
        </w:r>
        <w:r>
          <w:t>, 2012</w:t>
        </w:r>
      </w:hyperlink>
    </w:p>
    <w:p w:rsidR="00606EA3" w:rsidRPr="00D51FC2" w:rsidRDefault="00606EA3" w:rsidP="00606EA3">
      <w:pPr>
        <w:pStyle w:val="Enumlevel1"/>
      </w:pPr>
      <w:r>
        <w:t>•</w:t>
      </w:r>
      <w:r>
        <w:tab/>
      </w:r>
      <w:r w:rsidRPr="00D51FC2">
        <w:t>Rajão, R.</w:t>
      </w:r>
      <w:r>
        <w:t>,</w:t>
      </w:r>
      <w:r w:rsidRPr="00D51FC2">
        <w:t xml:space="preserve"> </w:t>
      </w:r>
      <w:hyperlink r:id="rId45" w:history="1">
        <w:r w:rsidRPr="00D51FC2">
          <w:rPr>
            <w:rStyle w:val="Hyperlink"/>
            <w:bCs/>
            <w:lang w:val="en-US"/>
          </w:rPr>
          <w:t>ICT</w:t>
        </w:r>
        <w:r w:rsidRPr="00D51FC2">
          <w:rPr>
            <w:rStyle w:val="Hyperlink"/>
            <w:bCs/>
            <w:lang w:val="en-US"/>
          </w:rPr>
          <w:softHyphen/>
          <w:t>Based Monitoring of Climate Change</w:t>
        </w:r>
        <w:r w:rsidRPr="00D51FC2">
          <w:rPr>
            <w:rStyle w:val="Hyperlink"/>
            <w:bCs/>
            <w:lang w:val="en-US"/>
          </w:rPr>
          <w:softHyphen/>
          <w:t>Related Deforestation: The Case of INPE in the Brazilian Amazon. ICTs and Climate Change Monitoring Case Study</w:t>
        </w:r>
      </w:hyperlink>
      <w:r>
        <w:t>, 2011</w:t>
      </w:r>
      <w:r w:rsidRPr="00D51FC2">
        <w:t xml:space="preserve"> </w:t>
      </w:r>
    </w:p>
    <w:p w:rsidR="00606EA3" w:rsidRPr="00D51FC2" w:rsidRDefault="00606EA3" w:rsidP="00606EA3">
      <w:pPr>
        <w:pStyle w:val="Enumlevel1"/>
      </w:pPr>
      <w:r>
        <w:t>•</w:t>
      </w:r>
      <w:r>
        <w:tab/>
      </w:r>
      <w:r w:rsidRPr="00D51FC2">
        <w:t>Anderton, K.</w:t>
      </w:r>
      <w:r>
        <w:t>,</w:t>
      </w:r>
      <w:hyperlink r:id="rId46" w:history="1">
        <w:r w:rsidRPr="00D51FC2">
          <w:rPr>
            <w:rStyle w:val="Hyperlink"/>
            <w:bCs/>
            <w:lang w:val="en-US"/>
          </w:rPr>
          <w:t>Improving Access to Mapping, Modelling and Scenario</w:t>
        </w:r>
        <w:r w:rsidRPr="00D51FC2">
          <w:rPr>
            <w:rStyle w:val="Hyperlink"/>
            <w:bCs/>
            <w:lang w:val="en-US"/>
          </w:rPr>
          <w:softHyphen/>
          <w:t>Building Technology in Climate</w:t>
        </w:r>
        <w:r w:rsidRPr="00D51FC2">
          <w:rPr>
            <w:rStyle w:val="Hyperlink"/>
            <w:bCs/>
            <w:lang w:val="en-US"/>
          </w:rPr>
          <w:softHyphen/>
          <w:t>Vulnerable Regions: Learning from ClimSAT. ICTs and Climate Change Monitoring Case Study</w:t>
        </w:r>
      </w:hyperlink>
      <w:r>
        <w:t>, 2011</w:t>
      </w:r>
      <w:r w:rsidRPr="00D51FC2">
        <w:t xml:space="preserve"> </w:t>
      </w:r>
    </w:p>
    <w:p w:rsidR="00606EA3" w:rsidRPr="00D51FC2" w:rsidRDefault="00606EA3" w:rsidP="00606EA3">
      <w:pPr>
        <w:pStyle w:val="Enumlevel1"/>
      </w:pPr>
      <w:r>
        <w:t>•</w:t>
      </w:r>
      <w:r>
        <w:tab/>
      </w:r>
      <w:r w:rsidRPr="00D51FC2">
        <w:t>Hassanin, L.</w:t>
      </w:r>
      <w:r>
        <w:t>,</w:t>
      </w:r>
      <w:hyperlink r:id="rId47" w:history="1">
        <w:r w:rsidRPr="00D51FC2">
          <w:rPr>
            <w:rStyle w:val="Hyperlink"/>
            <w:bCs/>
            <w:lang w:val="en-US"/>
          </w:rPr>
          <w:t>Learning from Egypt's Environmental Monitoring and Reporting Systems. ICTs and Climate Change Monitoring Case Study</w:t>
        </w:r>
      </w:hyperlink>
      <w:r>
        <w:t>, 2011</w:t>
      </w:r>
    </w:p>
    <w:p w:rsidR="00606EA3" w:rsidRPr="00D51FC2" w:rsidRDefault="00606EA3" w:rsidP="00606EA3">
      <w:pPr>
        <w:pStyle w:val="Enumlevel1"/>
      </w:pPr>
      <w:r>
        <w:t>•</w:t>
      </w:r>
      <w:r>
        <w:tab/>
      </w:r>
      <w:r w:rsidRPr="00D51FC2">
        <w:t>Gibson, T., &amp; Scott, N.</w:t>
      </w:r>
      <w:r>
        <w:t>,</w:t>
      </w:r>
      <w:r w:rsidRPr="00D51FC2">
        <w:t xml:space="preserve"> </w:t>
      </w:r>
      <w:hyperlink r:id="rId48" w:history="1">
        <w:r w:rsidRPr="00D51FC2">
          <w:rPr>
            <w:rStyle w:val="Hyperlink"/>
            <w:bCs/>
            <w:lang w:val="en-US"/>
          </w:rPr>
          <w:t>Using ICTs to Integrate Frontline Views into Strategic Planning for Climate Change. ICTs and Climate Change Strategy Case Study</w:t>
        </w:r>
      </w:hyperlink>
      <w:r>
        <w:t>, 2011</w:t>
      </w:r>
    </w:p>
    <w:p w:rsidR="00606EA3" w:rsidRPr="00D51FC2" w:rsidRDefault="00606EA3" w:rsidP="00606EA3">
      <w:pPr>
        <w:pStyle w:val="Enumlevel1"/>
      </w:pPr>
      <w:r>
        <w:t>•</w:t>
      </w:r>
      <w:r>
        <w:tab/>
      </w:r>
      <w:r w:rsidRPr="00D51FC2">
        <w:t>Madari, U.</w:t>
      </w:r>
      <w:r>
        <w:t>,</w:t>
      </w:r>
      <w:r w:rsidRPr="00D51FC2">
        <w:t xml:space="preserve"> </w:t>
      </w:r>
      <w:hyperlink r:id="rId49" w:history="1">
        <w:r w:rsidRPr="00D51FC2">
          <w:rPr>
            <w:rStyle w:val="Hyperlink"/>
            <w:bCs/>
            <w:lang w:val="en-US"/>
          </w:rPr>
          <w:t>Supporting Strategic Decision</w:t>
        </w:r>
        <w:r w:rsidRPr="00D51FC2">
          <w:rPr>
            <w:rStyle w:val="Hyperlink"/>
            <w:bCs/>
            <w:lang w:val="en-US"/>
          </w:rPr>
          <w:softHyphen/>
          <w:t>Making on Climate Change Through Environmental Information Systems: The Case of ENVIS. ICTs and Climate Change Strategy Case Study</w:t>
        </w:r>
        <w:r>
          <w:t>, 2011</w:t>
        </w:r>
      </w:hyperlink>
      <w:r w:rsidRPr="00D51FC2">
        <w:t xml:space="preserve"> </w:t>
      </w:r>
    </w:p>
    <w:p w:rsidR="00606EA3" w:rsidRPr="00D51FC2" w:rsidRDefault="00606EA3" w:rsidP="00606EA3">
      <w:pPr>
        <w:pStyle w:val="Enumlevel1"/>
      </w:pPr>
      <w:r>
        <w:t>•</w:t>
      </w:r>
      <w:r>
        <w:tab/>
      </w:r>
      <w:r w:rsidRPr="00D51FC2">
        <w:t>Marino, O.</w:t>
      </w:r>
      <w:r>
        <w:t>,</w:t>
      </w:r>
      <w:r w:rsidRPr="00D51FC2">
        <w:t xml:space="preserve"> </w:t>
      </w:r>
      <w:hyperlink r:id="rId50" w:history="1">
        <w:r w:rsidRPr="00D51FC2">
          <w:rPr>
            <w:rStyle w:val="Hyperlink"/>
            <w:bCs/>
            <w:lang w:val="en-US"/>
          </w:rPr>
          <w:t>Building the Evidence Base for Strategic Action on Climate Change: Mexico City's Virtual Climate Change Centre. ICTs and Climate Change Strategy Case Study</w:t>
        </w:r>
      </w:hyperlink>
      <w:r>
        <w:t>, 2011</w:t>
      </w:r>
      <w:r w:rsidRPr="00D51FC2">
        <w:t xml:space="preserve"> </w:t>
      </w:r>
    </w:p>
    <w:p w:rsidR="00606EA3" w:rsidRPr="00D51FC2" w:rsidRDefault="00606EA3" w:rsidP="00606EA3">
      <w:pPr>
        <w:pStyle w:val="Enumlevel1"/>
      </w:pPr>
      <w:r>
        <w:t>•</w:t>
      </w:r>
      <w:r>
        <w:tab/>
      </w:r>
      <w:r w:rsidRPr="00D51FC2">
        <w:t>Mahony, M., &amp; Hulme, M.</w:t>
      </w:r>
      <w:r>
        <w:t xml:space="preserve">, </w:t>
      </w:r>
      <w:hyperlink r:id="rId51" w:history="1">
        <w:r w:rsidRPr="00D51FC2">
          <w:rPr>
            <w:rStyle w:val="Hyperlink"/>
            <w:bCs/>
            <w:lang w:val="en-US"/>
          </w:rPr>
          <w:t>PRECIS: Regional Climate Modelling for Adaptation and Development Planning. ICTs and Climate Change Strategy Case Study</w:t>
        </w:r>
        <w:r>
          <w:t>, 2011</w:t>
        </w:r>
      </w:hyperlink>
    </w:p>
    <w:p w:rsidR="00606EA3" w:rsidRPr="00AE5280" w:rsidRDefault="00606EA3" w:rsidP="00606EA3">
      <w:pPr>
        <w:pStyle w:val="Heading2"/>
      </w:pPr>
      <w:bookmarkStart w:id="26" w:name="_Toc377721048"/>
      <w:bookmarkStart w:id="27" w:name="_Toc377976434"/>
      <w:r w:rsidRPr="00AE5280">
        <w:t>1.6</w:t>
      </w:r>
      <w:r w:rsidRPr="00AE5280">
        <w:tab/>
        <w:t>National organizations</w:t>
      </w:r>
      <w:bookmarkEnd w:id="26"/>
      <w:bookmarkEnd w:id="27"/>
    </w:p>
    <w:p w:rsidR="00606EA3" w:rsidRPr="005B7E11" w:rsidRDefault="00606EA3" w:rsidP="00606EA3">
      <w:pPr>
        <w:pStyle w:val="Enumlevel1"/>
        <w:rPr>
          <w:bCs/>
          <w:lang w:val="en-US"/>
        </w:rPr>
      </w:pPr>
      <w:r>
        <w:t>•</w:t>
      </w:r>
      <w:r>
        <w:tab/>
        <w:t xml:space="preserve">Australia, Victorian Government, Department of Treasury and Finance, </w:t>
      </w:r>
      <w:hyperlink r:id="rId52" w:history="1">
        <w:r w:rsidRPr="005B7E11">
          <w:rPr>
            <w:rStyle w:val="Hyperlink"/>
          </w:rPr>
          <w:t>Whole of Victorian Government ICT Policy: Environmentally sustainable</w:t>
        </w:r>
      </w:hyperlink>
      <w:r>
        <w:t xml:space="preserve">, </w:t>
      </w:r>
      <w:r w:rsidRPr="00D51FC2">
        <w:t xml:space="preserve">Victorian </w:t>
      </w:r>
      <w:r w:rsidRPr="005B7E11">
        <w:rPr>
          <w:bCs/>
          <w:lang w:val="en-US"/>
        </w:rPr>
        <w:t xml:space="preserve">Government departments and agencies will seek to reduce ICT-related carbon emissions through reduced ICT energy use, </w:t>
      </w:r>
      <w:r>
        <w:rPr>
          <w:bCs/>
          <w:lang w:val="en-US"/>
        </w:rPr>
        <w:t>2010</w:t>
      </w:r>
      <w:r w:rsidRPr="005B7E11">
        <w:rPr>
          <w:bCs/>
          <w:lang w:val="en-US"/>
        </w:rPr>
        <w:t xml:space="preserve"> </w:t>
      </w:r>
    </w:p>
    <w:p w:rsidR="00606EA3" w:rsidRPr="00D51FC2" w:rsidRDefault="00606EA3" w:rsidP="00606EA3">
      <w:pPr>
        <w:pStyle w:val="Enumlevel1"/>
        <w:rPr>
          <w:bCs/>
          <w:lang w:val="en-US"/>
        </w:rPr>
      </w:pPr>
      <w:r>
        <w:t>•</w:t>
      </w:r>
      <w:r>
        <w:tab/>
      </w:r>
      <w:r w:rsidRPr="00D51FC2">
        <w:rPr>
          <w:bCs/>
          <w:lang w:val="en-US"/>
        </w:rPr>
        <w:t>U</w:t>
      </w:r>
      <w:r>
        <w:rPr>
          <w:bCs/>
          <w:lang w:val="en-US"/>
        </w:rPr>
        <w:t xml:space="preserve">nited </w:t>
      </w:r>
      <w:r w:rsidRPr="00D51FC2">
        <w:rPr>
          <w:bCs/>
          <w:lang w:val="en-US"/>
        </w:rPr>
        <w:t>K</w:t>
      </w:r>
      <w:r>
        <w:rPr>
          <w:bCs/>
          <w:lang w:val="en-US"/>
        </w:rPr>
        <w:t>ingdom,</w:t>
      </w:r>
      <w:r w:rsidRPr="00D51FC2">
        <w:rPr>
          <w:bCs/>
          <w:lang w:val="en-US"/>
        </w:rPr>
        <w:t xml:space="preserve"> </w:t>
      </w:r>
      <w:hyperlink r:id="rId53" w:history="1">
        <w:r w:rsidRPr="005B7E11">
          <w:rPr>
            <w:rStyle w:val="Hyperlink"/>
            <w:bCs/>
            <w:lang w:val="en-US"/>
          </w:rPr>
          <w:t>Government ICT Strategy</w:t>
        </w:r>
        <w:r>
          <w:rPr>
            <w:rStyle w:val="Hyperlink"/>
            <w:bCs/>
            <w:lang w:val="en-US"/>
          </w:rPr>
          <w:t>:</w:t>
        </w:r>
        <w:r w:rsidRPr="005B7E11">
          <w:rPr>
            <w:rStyle w:val="Hyperlink"/>
            <w:bCs/>
            <w:lang w:val="en-US"/>
          </w:rPr>
          <w:t xml:space="preserve"> Smarter, cheaper, greener</w:t>
        </w:r>
      </w:hyperlink>
      <w:r w:rsidRPr="005B7E11">
        <w:rPr>
          <w:bCs/>
          <w:lang w:val="en-US"/>
        </w:rPr>
        <w:t>, 201</w:t>
      </w:r>
      <w:r>
        <w:rPr>
          <w:bCs/>
          <w:lang w:val="en-US"/>
        </w:rPr>
        <w:t>0</w:t>
      </w:r>
    </w:p>
    <w:p w:rsidR="00606EA3" w:rsidRPr="00D51FC2" w:rsidRDefault="00606EA3" w:rsidP="00606EA3">
      <w:pPr>
        <w:pStyle w:val="Enumlevel1"/>
        <w:rPr>
          <w:bCs/>
          <w:lang w:val="en-US"/>
        </w:rPr>
      </w:pPr>
      <w:r>
        <w:t>•</w:t>
      </w:r>
      <w:r>
        <w:tab/>
      </w:r>
      <w:r>
        <w:rPr>
          <w:bCs/>
          <w:lang w:val="en-US"/>
        </w:rPr>
        <w:t xml:space="preserve">Malta, </w:t>
      </w:r>
      <w:r w:rsidRPr="00D51FC2">
        <w:rPr>
          <w:bCs/>
          <w:lang w:val="en-US"/>
        </w:rPr>
        <w:t>Ministry for Resources and Rural Affairs</w:t>
      </w:r>
      <w:r>
        <w:rPr>
          <w:bCs/>
          <w:lang w:val="en-US"/>
        </w:rPr>
        <w:t>,</w:t>
      </w:r>
      <w:r w:rsidRPr="00D51FC2">
        <w:rPr>
          <w:bCs/>
          <w:lang w:val="en-US"/>
        </w:rPr>
        <w:t xml:space="preserve"> Government of Malta, </w:t>
      </w:r>
      <w:hyperlink r:id="rId54" w:history="1">
        <w:r w:rsidRPr="00D51FC2">
          <w:rPr>
            <w:rStyle w:val="Hyperlink"/>
            <w:bCs/>
            <w:lang w:val="en-US"/>
          </w:rPr>
          <w:t>National Strategy for Policy and Abatement Measures Relating to the Reduction of Greenhouse Gas Emissions</w:t>
        </w:r>
      </w:hyperlink>
      <w:r w:rsidRPr="005B7E11">
        <w:rPr>
          <w:bCs/>
          <w:lang w:val="en-US"/>
        </w:rPr>
        <w:t>, 201</w:t>
      </w:r>
      <w:r>
        <w:rPr>
          <w:bCs/>
          <w:lang w:val="en-US"/>
        </w:rPr>
        <w:t>1</w:t>
      </w:r>
    </w:p>
    <w:p w:rsidR="00606EA3" w:rsidRPr="00D51FC2" w:rsidRDefault="00606EA3" w:rsidP="00606EA3">
      <w:pPr>
        <w:pStyle w:val="Heading2"/>
      </w:pPr>
      <w:bookmarkStart w:id="28" w:name="_Toc377721049"/>
      <w:bookmarkStart w:id="29" w:name="_Toc377976435"/>
      <w:r w:rsidRPr="00D51FC2">
        <w:t>1.7</w:t>
      </w:r>
      <w:r w:rsidRPr="00D51FC2">
        <w:tab/>
        <w:t xml:space="preserve">Other </w:t>
      </w:r>
      <w:r w:rsidRPr="00F63EDA">
        <w:t>related</w:t>
      </w:r>
      <w:r w:rsidRPr="00D51FC2">
        <w:t xml:space="preserve"> </w:t>
      </w:r>
      <w:r>
        <w:t>r</w:t>
      </w:r>
      <w:r w:rsidRPr="00D51FC2">
        <w:t>esources</w:t>
      </w:r>
      <w:bookmarkEnd w:id="28"/>
      <w:bookmarkEnd w:id="29"/>
    </w:p>
    <w:p w:rsidR="00606EA3" w:rsidRPr="00D51FC2" w:rsidRDefault="00606EA3" w:rsidP="00606EA3">
      <w:pPr>
        <w:pStyle w:val="Enumlevel1"/>
        <w:rPr>
          <w:bCs/>
          <w:lang w:val="en-US"/>
        </w:rPr>
      </w:pPr>
      <w:r>
        <w:t>•</w:t>
      </w:r>
      <w:r>
        <w:tab/>
      </w:r>
      <w:hyperlink r:id="rId55" w:history="1">
        <w:r w:rsidRPr="00D51FC2">
          <w:rPr>
            <w:rStyle w:val="Hyperlink"/>
            <w:bCs/>
          </w:rPr>
          <w:t>Broadband Commision</w:t>
        </w:r>
      </w:hyperlink>
      <w:r>
        <w:rPr>
          <w:bCs/>
          <w:lang w:val="en-US"/>
        </w:rPr>
        <w:t xml:space="preserve">, </w:t>
      </w:r>
      <w:hyperlink r:id="rId56" w:history="1">
        <w:r>
          <w:rPr>
            <w:rStyle w:val="Hyperlink"/>
            <w:bCs/>
          </w:rPr>
          <w:t>The broadband bridge - L</w:t>
        </w:r>
        <w:r w:rsidRPr="00D51FC2">
          <w:rPr>
            <w:rStyle w:val="Hyperlink"/>
            <w:bCs/>
          </w:rPr>
          <w:t xml:space="preserve">inking ICT with </w:t>
        </w:r>
        <w:r>
          <w:rPr>
            <w:rStyle w:val="Hyperlink"/>
            <w:bCs/>
          </w:rPr>
          <w:t>c</w:t>
        </w:r>
        <w:r w:rsidRPr="00D51FC2">
          <w:rPr>
            <w:rStyle w:val="Hyperlink"/>
            <w:bCs/>
          </w:rPr>
          <w:t xml:space="preserve">limate </w:t>
        </w:r>
        <w:r>
          <w:rPr>
            <w:rStyle w:val="Hyperlink"/>
            <w:bCs/>
          </w:rPr>
          <w:t>a</w:t>
        </w:r>
        <w:r w:rsidRPr="00D51FC2">
          <w:rPr>
            <w:rStyle w:val="Hyperlink"/>
            <w:bCs/>
          </w:rPr>
          <w:t xml:space="preserve">ction for a </w:t>
        </w:r>
        <w:r>
          <w:rPr>
            <w:rStyle w:val="Hyperlink"/>
            <w:bCs/>
          </w:rPr>
          <w:t>l</w:t>
        </w:r>
        <w:r w:rsidRPr="00D51FC2">
          <w:rPr>
            <w:rStyle w:val="Hyperlink"/>
            <w:bCs/>
          </w:rPr>
          <w:t xml:space="preserve">ow </w:t>
        </w:r>
        <w:r>
          <w:rPr>
            <w:rStyle w:val="Hyperlink"/>
            <w:bCs/>
          </w:rPr>
          <w:t>c</w:t>
        </w:r>
        <w:r w:rsidRPr="00D51FC2">
          <w:rPr>
            <w:rStyle w:val="Hyperlink"/>
            <w:bCs/>
          </w:rPr>
          <w:t xml:space="preserve">arbon </w:t>
        </w:r>
        <w:r>
          <w:rPr>
            <w:rStyle w:val="Hyperlink"/>
            <w:bCs/>
          </w:rPr>
          <w:t>e</w:t>
        </w:r>
        <w:r w:rsidRPr="00D51FC2">
          <w:rPr>
            <w:rStyle w:val="Hyperlink"/>
            <w:bCs/>
          </w:rPr>
          <w:t>conomy</w:t>
        </w:r>
      </w:hyperlink>
      <w:r>
        <w:rPr>
          <w:bCs/>
          <w:lang w:val="en-US"/>
        </w:rPr>
        <w:t>, 2013</w:t>
      </w:r>
    </w:p>
    <w:p w:rsidR="00606EA3" w:rsidRPr="00D51FC2" w:rsidRDefault="00606EA3" w:rsidP="00606EA3">
      <w:pPr>
        <w:pStyle w:val="Enumlevel1"/>
        <w:rPr>
          <w:bCs/>
          <w:lang w:val="en-US"/>
        </w:rPr>
      </w:pPr>
      <w:r>
        <w:t>•</w:t>
      </w:r>
      <w:r>
        <w:tab/>
      </w:r>
      <w:r>
        <w:rPr>
          <w:lang w:val="en-US"/>
        </w:rPr>
        <w:t xml:space="preserve">UNCSD, </w:t>
      </w:r>
      <w:hyperlink r:id="rId57" w:history="1">
        <w:r w:rsidRPr="00D51FC2">
          <w:rPr>
            <w:rStyle w:val="Hyperlink"/>
            <w:lang w:val="en-US"/>
          </w:rPr>
          <w:t>The Future We Want</w:t>
        </w:r>
      </w:hyperlink>
      <w:r>
        <w:rPr>
          <w:bCs/>
          <w:lang w:val="en-US"/>
        </w:rPr>
        <w:t xml:space="preserve">, </w:t>
      </w:r>
      <w:r w:rsidRPr="00D51FC2">
        <w:rPr>
          <w:bCs/>
          <w:lang w:val="en-US"/>
        </w:rPr>
        <w:t>Rio+20 outcome document, the role of ICTs is explicitly mentioned in articles 44, 65, 114, 128 and 230 of the document</w:t>
      </w:r>
      <w:r>
        <w:rPr>
          <w:bCs/>
          <w:lang w:val="en-US"/>
        </w:rPr>
        <w:t>, 2012</w:t>
      </w:r>
    </w:p>
    <w:p w:rsidR="00606EA3" w:rsidRPr="00D51FC2" w:rsidRDefault="00606EA3" w:rsidP="00606EA3">
      <w:pPr>
        <w:pStyle w:val="Enumlevel1"/>
        <w:rPr>
          <w:bCs/>
          <w:lang w:val="en-US"/>
        </w:rPr>
      </w:pPr>
      <w:r>
        <w:t>•</w:t>
      </w:r>
      <w:r>
        <w:tab/>
      </w:r>
      <w:r w:rsidRPr="00D51FC2">
        <w:rPr>
          <w:bCs/>
          <w:lang w:val="en-US"/>
        </w:rPr>
        <w:t>InfoDev, ARD and World Bank</w:t>
      </w:r>
      <w:r>
        <w:rPr>
          <w:bCs/>
          <w:lang w:val="en-US"/>
        </w:rPr>
        <w:t>,</w:t>
      </w:r>
      <w:r w:rsidRPr="00D51FC2">
        <w:rPr>
          <w:bCs/>
          <w:lang w:val="en-US"/>
        </w:rPr>
        <w:t xml:space="preserve"> </w:t>
      </w:r>
      <w:hyperlink r:id="rId58" w:history="1">
        <w:r w:rsidRPr="00801825">
          <w:rPr>
            <w:rStyle w:val="Hyperlink"/>
            <w:bCs/>
            <w:lang w:val="en-US"/>
          </w:rPr>
          <w:t xml:space="preserve">ICT and Agriculture – </w:t>
        </w:r>
        <w:r w:rsidRPr="00801825">
          <w:rPr>
            <w:rStyle w:val="Hyperlink"/>
            <w:bCs/>
          </w:rPr>
          <w:t>Research and Impact</w:t>
        </w:r>
      </w:hyperlink>
      <w:r w:rsidRPr="00D51FC2">
        <w:rPr>
          <w:bCs/>
          <w:lang w:val="en-US"/>
        </w:rPr>
        <w:t xml:space="preserve"> &amp; </w:t>
      </w:r>
      <w:hyperlink r:id="rId59" w:history="1">
        <w:r w:rsidRPr="00D51FC2">
          <w:rPr>
            <w:rStyle w:val="Hyperlink"/>
            <w:bCs/>
          </w:rPr>
          <w:t>ICT in Agriculture Sourcebook</w:t>
        </w:r>
      </w:hyperlink>
      <w:r>
        <w:rPr>
          <w:bCs/>
          <w:lang w:val="en-US"/>
        </w:rPr>
        <w:t>, 2010</w:t>
      </w:r>
    </w:p>
    <w:p w:rsidR="00606EA3" w:rsidRPr="00D51FC2" w:rsidRDefault="00606EA3" w:rsidP="00606EA3">
      <w:pPr>
        <w:pStyle w:val="Enumlevel1"/>
        <w:rPr>
          <w:bCs/>
          <w:lang w:val="en-US"/>
        </w:rPr>
      </w:pPr>
      <w:r>
        <w:lastRenderedPageBreak/>
        <w:t>•</w:t>
      </w:r>
      <w:r>
        <w:tab/>
      </w:r>
      <w:r w:rsidRPr="00D51FC2">
        <w:rPr>
          <w:bCs/>
          <w:lang w:val="en-US"/>
        </w:rPr>
        <w:t>ITU, World Bank, IFC and InfoDev</w:t>
      </w:r>
      <w:r>
        <w:rPr>
          <w:bCs/>
          <w:lang w:val="en-US"/>
        </w:rPr>
        <w:t>,</w:t>
      </w:r>
      <w:r w:rsidRPr="00D51FC2">
        <w:rPr>
          <w:bCs/>
          <w:lang w:val="en-US"/>
        </w:rPr>
        <w:t xml:space="preserve"> </w:t>
      </w:r>
      <w:hyperlink r:id="rId60" w:history="1">
        <w:r w:rsidRPr="00D51FC2">
          <w:rPr>
            <w:rStyle w:val="Hyperlink"/>
          </w:rPr>
          <w:t>Telecommunications Regulation Handboo</w:t>
        </w:r>
        <w:r>
          <w:rPr>
            <w:rStyle w:val="Hyperlink"/>
          </w:rPr>
          <w:t>k (Tenth anniversary edition)</w:t>
        </w:r>
      </w:hyperlink>
      <w:r>
        <w:rPr>
          <w:bCs/>
          <w:lang w:val="en-US"/>
        </w:rPr>
        <w:t>, 2011</w:t>
      </w:r>
    </w:p>
    <w:p w:rsidR="00606EA3" w:rsidRPr="00D51FC2" w:rsidRDefault="00606EA3" w:rsidP="00606EA3">
      <w:pPr>
        <w:pStyle w:val="Enumlevel1"/>
        <w:rPr>
          <w:bCs/>
          <w:lang w:val="en-US"/>
        </w:rPr>
      </w:pPr>
      <w:r>
        <w:t>•</w:t>
      </w:r>
      <w:r>
        <w:tab/>
      </w:r>
      <w:r w:rsidRPr="00D51FC2">
        <w:rPr>
          <w:bCs/>
          <w:lang w:val="en-US"/>
        </w:rPr>
        <w:t>InfoDev</w:t>
      </w:r>
      <w:r>
        <w:rPr>
          <w:bCs/>
          <w:lang w:val="en-US"/>
        </w:rPr>
        <w:t>,</w:t>
      </w:r>
      <w:r w:rsidRPr="00D51FC2">
        <w:rPr>
          <w:bCs/>
          <w:lang w:val="en-US"/>
        </w:rPr>
        <w:t xml:space="preserve"> </w:t>
      </w:r>
      <w:hyperlink r:id="rId61" w:history="1">
        <w:r w:rsidRPr="00D51FC2">
          <w:rPr>
            <w:rStyle w:val="Hyperlink"/>
          </w:rPr>
          <w:t>ICT for Development: Contributing to the Millennium Development Goals</w:t>
        </w:r>
      </w:hyperlink>
      <w:r>
        <w:rPr>
          <w:bCs/>
          <w:lang w:val="en-US"/>
        </w:rPr>
        <w:t>, 2003</w:t>
      </w:r>
    </w:p>
    <w:p w:rsidR="00606EA3" w:rsidRPr="00D51FC2" w:rsidRDefault="00606EA3" w:rsidP="00606EA3">
      <w:pPr>
        <w:pStyle w:val="Enumlevel1"/>
        <w:rPr>
          <w:bCs/>
        </w:rPr>
      </w:pPr>
      <w:r>
        <w:t>•</w:t>
      </w:r>
      <w:r>
        <w:tab/>
      </w:r>
      <w:r w:rsidRPr="00D51FC2">
        <w:rPr>
          <w:bCs/>
          <w:lang w:val="en-US"/>
        </w:rPr>
        <w:t>United States, Enironmental Protection Agency</w:t>
      </w:r>
      <w:r>
        <w:rPr>
          <w:bCs/>
          <w:lang w:val="en-US"/>
        </w:rPr>
        <w:t>,</w:t>
      </w:r>
      <w:r w:rsidRPr="00D51FC2">
        <w:rPr>
          <w:bCs/>
          <w:lang w:val="en-US"/>
        </w:rPr>
        <w:t xml:space="preserve"> </w:t>
      </w:r>
      <w:hyperlink r:id="rId62" w:history="1">
        <w:r w:rsidRPr="00D51FC2">
          <w:rPr>
            <w:rStyle w:val="Hyperlink"/>
          </w:rPr>
          <w:t>Climate Change Impacts and Adapting to Change</w:t>
        </w:r>
      </w:hyperlink>
      <w:r>
        <w:rPr>
          <w:bCs/>
          <w:lang w:val="en-US"/>
        </w:rPr>
        <w:t xml:space="preserve"> website</w:t>
      </w:r>
    </w:p>
    <w:p w:rsidR="00606EA3" w:rsidRPr="00F94C4D" w:rsidRDefault="00606EA3" w:rsidP="00606EA3">
      <w:pPr>
        <w:pStyle w:val="Enumlevel1"/>
        <w:rPr>
          <w:rStyle w:val="Hyperlink"/>
          <w:bCs/>
          <w:lang w:val="en-US"/>
        </w:rPr>
      </w:pPr>
      <w:r>
        <w:t>•</w:t>
      </w:r>
      <w:r>
        <w:tab/>
      </w:r>
      <w:r>
        <w:rPr>
          <w:bCs/>
        </w:rPr>
        <w:t>T</w:t>
      </w:r>
      <w:r w:rsidRPr="00D51FC2">
        <w:rPr>
          <w:bCs/>
          <w:lang w:val="en-US"/>
        </w:rPr>
        <w:t>he following link provides references to external resources compiled by the ITU-T</w:t>
      </w:r>
      <w:r>
        <w:rPr>
          <w:bCs/>
          <w:lang w:val="en-US"/>
        </w:rPr>
        <w:t xml:space="preserve"> on </w:t>
      </w:r>
      <w:hyperlink r:id="rId63" w:history="1">
        <w:r w:rsidRPr="00D51FC2">
          <w:rPr>
            <w:rStyle w:val="Hyperlink"/>
            <w:bCs/>
            <w:lang w:val="en-US"/>
          </w:rPr>
          <w:t>Climate Change and ICTs</w:t>
        </w:r>
      </w:hyperlink>
      <w:r>
        <w:rPr>
          <w:bCs/>
          <w:lang w:val="en-US"/>
        </w:rPr>
        <w:t xml:space="preserve">; </w:t>
      </w:r>
      <w:hyperlink r:id="rId64" w:history="1">
        <w:r w:rsidRPr="00356C51">
          <w:rPr>
            <w:rStyle w:val="Hyperlink"/>
            <w:bCs/>
            <w:lang w:val="en-US"/>
          </w:rPr>
          <w:t>http://www.itu.int/ITU-T/worksem/climatechange/resources.html</w:t>
        </w:r>
      </w:hyperlink>
      <w:r>
        <w:rPr>
          <w:bCs/>
          <w:lang w:val="en-US"/>
        </w:rPr>
        <w:t xml:space="preserve"> </w:t>
      </w:r>
    </w:p>
    <w:p w:rsidR="00606EA3" w:rsidRPr="00D51FC2" w:rsidRDefault="00606EA3" w:rsidP="00606EA3">
      <w:pPr>
        <w:numPr>
          <w:ilvl w:val="0"/>
          <w:numId w:val="13"/>
        </w:numPr>
        <w:ind w:left="0" w:firstLine="0"/>
        <w:rPr>
          <w:bCs/>
          <w:lang w:val="en-US"/>
        </w:rPr>
      </w:pPr>
      <w:r w:rsidRPr="00086351">
        <w:rPr>
          <w:lang w:val="en-US"/>
        </w:rPr>
        <w:br w:type="page"/>
      </w:r>
    </w:p>
    <w:p w:rsidR="00606EA3" w:rsidRPr="00671D53" w:rsidRDefault="00606EA3" w:rsidP="00606EA3">
      <w:pPr>
        <w:pStyle w:val="Heading1"/>
        <w:spacing w:before="0"/>
        <w:ind w:left="1134" w:hanging="1134"/>
      </w:pPr>
      <w:bookmarkStart w:id="30" w:name="_Toc377721050"/>
      <w:bookmarkStart w:id="31" w:name="_Toc377976436"/>
      <w:r w:rsidRPr="00671D53">
        <w:lastRenderedPageBreak/>
        <w:t xml:space="preserve">Annex 2: </w:t>
      </w:r>
      <w:r>
        <w:tab/>
      </w:r>
      <w:r w:rsidRPr="00671D53">
        <w:t>Climate change: importance of the oceans, extremes phenomena, examples of climate change in some countries</w:t>
      </w:r>
      <w:bookmarkEnd w:id="30"/>
      <w:bookmarkEnd w:id="31"/>
    </w:p>
    <w:p w:rsidR="00606EA3" w:rsidRPr="00D51FC2" w:rsidRDefault="00606EA3" w:rsidP="00606EA3">
      <w:pPr>
        <w:pStyle w:val="Heading2"/>
      </w:pPr>
      <w:bookmarkStart w:id="32" w:name="_Toc377721051"/>
      <w:bookmarkStart w:id="33" w:name="_Toc377976437"/>
      <w:r>
        <w:t>2.1</w:t>
      </w:r>
      <w:r>
        <w:tab/>
      </w:r>
      <w:r w:rsidRPr="00D51FC2">
        <w:t>Importance of the oceans</w:t>
      </w:r>
      <w:bookmarkEnd w:id="32"/>
      <w:bookmarkEnd w:id="33"/>
    </w:p>
    <w:p w:rsidR="00606EA3" w:rsidRDefault="00606EA3" w:rsidP="00606EA3">
      <w:pPr>
        <w:rPr>
          <w:bCs/>
          <w:lang w:val="en" w:eastAsia="en-GB"/>
        </w:rPr>
      </w:pPr>
      <w:r w:rsidRPr="002A103D">
        <w:rPr>
          <w:lang w:val="en-US"/>
        </w:rPr>
        <w:t>T</w:t>
      </w:r>
      <w:r w:rsidRPr="00D51FC2">
        <w:rPr>
          <w:lang w:val="en" w:eastAsia="en-GB"/>
        </w:rPr>
        <w:t>he ocean plays an important role in climate and climate change. The ocean is under the influence of his exchanges with the atmosphere in terms of mass, energy and momentum. Its heat capacity is about a thousand times greater than that of the atmosphere and the assimilation of net heat from the ocean is several times greater than that of the atmosphere. Changes in heat transport and sea surface temperature have significant effects on many regional climates in the world. Life in the oceans depends on the biogeochemical status of the seas is affected by changes in their physical state and circulation. Pollution, greenhouse gas emissions greenhouse and commercial fishing are changing the world's oceans, vast expanses of water we thought insensitive to human activities. Scientists are trying to better understand the critical role that the oceans play in global climate. Nowadays, it is difficult to de</w:t>
      </w:r>
      <w:r>
        <w:rPr>
          <w:lang w:val="en" w:eastAsia="en-GB"/>
        </w:rPr>
        <w:t>ny the following three factors:</w:t>
      </w:r>
    </w:p>
    <w:p w:rsidR="00606EA3" w:rsidRPr="00D51FC2" w:rsidRDefault="00606EA3" w:rsidP="00606EA3">
      <w:pPr>
        <w:pStyle w:val="Enumlevel1"/>
      </w:pPr>
      <w:r>
        <w:t>•</w:t>
      </w:r>
      <w:r>
        <w:tab/>
      </w:r>
      <w:r w:rsidRPr="00D51FC2">
        <w:t>The amount of carbon dioxide in the atmosphere increases.</w:t>
      </w:r>
    </w:p>
    <w:p w:rsidR="00606EA3" w:rsidRPr="00D51FC2" w:rsidRDefault="00606EA3" w:rsidP="00606EA3">
      <w:pPr>
        <w:pStyle w:val="Enumlevel1"/>
      </w:pPr>
      <w:r>
        <w:t>•</w:t>
      </w:r>
      <w:r>
        <w:tab/>
      </w:r>
      <w:r w:rsidRPr="00D51FC2">
        <w:t>The average temperature of the air in the lower layer of the atmosphere (the closest to the surface of the earth) and to increase the surface of the ocean.</w:t>
      </w:r>
    </w:p>
    <w:p w:rsidR="00606EA3" w:rsidRPr="00D51FC2" w:rsidRDefault="00606EA3" w:rsidP="00606EA3">
      <w:pPr>
        <w:pStyle w:val="Enumlevel1"/>
      </w:pPr>
      <w:r>
        <w:t>•</w:t>
      </w:r>
      <w:r>
        <w:tab/>
      </w:r>
      <w:r w:rsidRPr="00D51FC2">
        <w:t>The mean sea level is rising faster than any time since the end of the last glacial period.</w:t>
      </w:r>
    </w:p>
    <w:p w:rsidR="00606EA3" w:rsidRPr="00D51FC2" w:rsidRDefault="00606EA3" w:rsidP="00606EA3">
      <w:pPr>
        <w:rPr>
          <w:bCs/>
          <w:lang w:val="en-GB" w:eastAsia="en-GB"/>
        </w:rPr>
      </w:pPr>
      <w:r w:rsidRPr="00D51FC2">
        <w:rPr>
          <w:lang w:val="en" w:eastAsia="en-GB"/>
        </w:rPr>
        <w:t>The rapid change in the chemical composition of sea water endangers ocean ecosystems that were already under pressure due to overfishing and we do not know exactly what the impact of this on future climate change.</w:t>
      </w:r>
    </w:p>
    <w:p w:rsidR="00606EA3" w:rsidRPr="00D51FC2" w:rsidRDefault="00606EA3" w:rsidP="00606EA3">
      <w:pPr>
        <w:pStyle w:val="Heading3"/>
      </w:pPr>
      <w:r>
        <w:t>2.1.1</w:t>
      </w:r>
      <w:r>
        <w:tab/>
      </w:r>
      <w:r w:rsidRPr="00A86BBD">
        <w:t>The</w:t>
      </w:r>
      <w:r w:rsidRPr="00D51FC2">
        <w:t xml:space="preserve"> ocean: a huge "treadmill"</w:t>
      </w:r>
    </w:p>
    <w:p w:rsidR="00606EA3" w:rsidRDefault="00606EA3" w:rsidP="00606EA3">
      <w:pPr>
        <w:rPr>
          <w:lang w:val="en" w:eastAsia="zh-CN"/>
        </w:rPr>
      </w:pPr>
      <w:r w:rsidRPr="00E55042">
        <w:rPr>
          <w:lang w:val="en-US"/>
        </w:rPr>
        <w:t>T</w:t>
      </w:r>
      <w:r w:rsidRPr="00D51FC2">
        <w:rPr>
          <w:lang w:val="en" w:eastAsia="zh-CN"/>
        </w:rPr>
        <w:t>he five oceans of the world are not separated from each other. Groundwater flows continuously, forming a huge treadmill: the warm waters of the area are from the equator toward the poles and cold water poles deep seated range from the poles to the equator. Scientists call this phenomenon thermohaline circulation or convection because it is due to temperature (thermo) and salinity (haline) water.</w:t>
      </w:r>
    </w:p>
    <w:p w:rsidR="00606EA3" w:rsidRDefault="00606EA3" w:rsidP="00606EA3">
      <w:pPr>
        <w:rPr>
          <w:lang w:val="en" w:eastAsia="zh-CN"/>
        </w:rPr>
      </w:pPr>
      <w:r w:rsidRPr="00D51FC2">
        <w:rPr>
          <w:lang w:val="en" w:eastAsia="zh-CN"/>
        </w:rPr>
        <w:t>The waters are divided into several layers according to their density, which rarely mix. The warm waters circulate to the surface, while the cold water flow at depth. Even in the tropics, deep waters are almost cold. There is an increasing expansion of hot water when the sea level rises with ocean warming.</w:t>
      </w:r>
    </w:p>
    <w:p w:rsidR="00606EA3" w:rsidRDefault="00606EA3" w:rsidP="00606EA3">
      <w:pPr>
        <w:rPr>
          <w:lang w:val="en" w:eastAsia="zh-CN"/>
        </w:rPr>
      </w:pPr>
      <w:r w:rsidRPr="00D51FC2">
        <w:rPr>
          <w:lang w:val="en" w:eastAsia="zh-CN"/>
        </w:rPr>
        <w:t>In the North Atlantic, the flow of convection maintains the temperature of the atmosphere at a level higher than it would otherwise be. Under the effect of the thermohaline circulation and wind, surface waters transport heat from the equator toward the poles.</w:t>
      </w:r>
    </w:p>
    <w:p w:rsidR="00606EA3" w:rsidRDefault="00606EA3" w:rsidP="00606EA3">
      <w:pPr>
        <w:rPr>
          <w:lang w:val="en" w:eastAsia="zh-CN"/>
        </w:rPr>
      </w:pPr>
      <w:r w:rsidRPr="00D51FC2">
        <w:rPr>
          <w:lang w:val="en" w:eastAsia="zh-CN"/>
        </w:rPr>
        <w:t>With global warming, it is possible that the glaciers of the North Pole is so rapid that a large volume of fresh water flowing into the ocean, causing a slowdown or shutdown of the thermohaline circulation. Some evidence suggests that this phenomenon occurred in this place there for thousands of years, ending the glacial period. Many researchers believe that it is unlikely that this phenomenon is repeated today.</w:t>
      </w:r>
      <w:r>
        <w:rPr>
          <w:lang w:val="en" w:eastAsia="zh-CN"/>
        </w:rPr>
        <w:t xml:space="preserve"> </w:t>
      </w:r>
    </w:p>
    <w:p w:rsidR="00606EA3" w:rsidRPr="00D51FC2" w:rsidRDefault="00606EA3" w:rsidP="00606EA3">
      <w:pPr>
        <w:rPr>
          <w:lang w:val="en" w:eastAsia="zh-CN"/>
        </w:rPr>
      </w:pPr>
      <w:r w:rsidRPr="00D51FC2">
        <w:rPr>
          <w:lang w:val="en" w:eastAsia="zh-CN"/>
        </w:rPr>
        <w:t>According to most climate models, the slow movement, but nobody knows exactly how fast or how far. Slowing the circulation in the North Atlantic has an impact on the climate in Europe: average temperatures continue to rise, but less rapidly as the traffic slows.</w:t>
      </w:r>
    </w:p>
    <w:p w:rsidR="00606EA3" w:rsidRDefault="00606EA3" w:rsidP="00606EA3">
      <w:pPr>
        <w:spacing w:before="0"/>
        <w:jc w:val="left"/>
        <w:rPr>
          <w:rFonts w:eastAsia="Times New Roman" w:cs="Helvetica"/>
          <w:b/>
          <w:bCs/>
          <w:i/>
          <w:iCs/>
          <w:color w:val="005173"/>
          <w:sz w:val="24"/>
          <w:szCs w:val="32"/>
          <w:lang w:val="en-US"/>
        </w:rPr>
      </w:pPr>
      <w:r w:rsidRPr="00BA297E">
        <w:rPr>
          <w:lang w:val="en-US"/>
        </w:rPr>
        <w:br w:type="page"/>
      </w:r>
    </w:p>
    <w:p w:rsidR="00606EA3" w:rsidRPr="00D51FC2" w:rsidRDefault="00606EA3" w:rsidP="00606EA3">
      <w:pPr>
        <w:pStyle w:val="Heading3"/>
      </w:pPr>
      <w:r w:rsidRPr="00D51FC2">
        <w:lastRenderedPageBreak/>
        <w:t>2.1.2</w:t>
      </w:r>
      <w:r>
        <w:tab/>
      </w:r>
      <w:r w:rsidRPr="00D51FC2">
        <w:t>A carbon sink and heat</w:t>
      </w:r>
    </w:p>
    <w:p w:rsidR="00606EA3" w:rsidRDefault="00606EA3" w:rsidP="00606EA3">
      <w:pPr>
        <w:rPr>
          <w:szCs w:val="19"/>
          <w:lang w:val="en"/>
        </w:rPr>
      </w:pPr>
      <w:r w:rsidRPr="00D51FC2">
        <w:rPr>
          <w:szCs w:val="19"/>
          <w:lang w:val="en"/>
        </w:rPr>
        <w:t>Oceans absorb from 80 to 90% of the heat from the atmosphere. Without them, the planet would warm much faster. An increase in air temperature that would normally take hundreds of years does take while dozens. The oceans absorb carbon dioxide from entering the water where it dissolves to form carbon dioxide, like bubbles in a carbonated beverage. A large-scale thermohaline circulation induced cold-water diving (so rich in CO</w:t>
      </w:r>
      <w:r w:rsidRPr="00DE0E49">
        <w:rPr>
          <w:szCs w:val="19"/>
          <w:vertAlign w:val="subscript"/>
          <w:lang w:val="en"/>
        </w:rPr>
        <w:t>2</w:t>
      </w:r>
      <w:r w:rsidRPr="00D51FC2">
        <w:rPr>
          <w:szCs w:val="19"/>
          <w:lang w:val="en"/>
        </w:rPr>
        <w:t>, because CO</w:t>
      </w:r>
      <w:r w:rsidRPr="00DE0E49">
        <w:rPr>
          <w:szCs w:val="19"/>
          <w:vertAlign w:val="subscript"/>
          <w:lang w:val="en"/>
        </w:rPr>
        <w:t>2</w:t>
      </w:r>
      <w:r w:rsidRPr="00D51FC2">
        <w:rPr>
          <w:szCs w:val="19"/>
          <w:lang w:val="en"/>
        </w:rPr>
        <w:t xml:space="preserve"> has a greater solubility in cold water) to the deep ocean at high latitudes, especially in the North Atlantic then rise more or less diffuse these deep waters to the surface areas of deep water formation. Variability of solubility with temperature exacerbates the "degassing" of CO</w:t>
      </w:r>
      <w:r w:rsidRPr="00DE0E49">
        <w:rPr>
          <w:szCs w:val="19"/>
          <w:vertAlign w:val="subscript"/>
          <w:lang w:val="en"/>
        </w:rPr>
        <w:t>2</w:t>
      </w:r>
      <w:r w:rsidRPr="00D51FC2">
        <w:rPr>
          <w:szCs w:val="19"/>
          <w:lang w:val="en"/>
        </w:rPr>
        <w:t xml:space="preserve"> at low latitudes and absorption by the ocean at high latitudes. Carbon storage in the ocean is strongly associated with the ability of the deep ocean to collect and retain carbon exported. A change in the thermohaline circulation induced disruption of trade between the ocean surface and the deep ocean: on short time scales, a decrease in the circulation will reduce the intensity of the pump dynamics and thus reduce the training of CO</w:t>
      </w:r>
      <w:r w:rsidRPr="00DE0E49">
        <w:rPr>
          <w:szCs w:val="19"/>
          <w:vertAlign w:val="subscript"/>
          <w:lang w:val="en"/>
        </w:rPr>
        <w:t>2</w:t>
      </w:r>
      <w:r w:rsidRPr="00D51FC2">
        <w:rPr>
          <w:szCs w:val="19"/>
          <w:lang w:val="en"/>
        </w:rPr>
        <w:t xml:space="preserve"> to the deep ocean, while on longer time scales, the return of carbon to the deep surface is also reduced</w:t>
      </w:r>
      <w:r>
        <w:rPr>
          <w:szCs w:val="19"/>
          <w:lang w:val="en"/>
        </w:rPr>
        <w:t>.</w:t>
      </w:r>
    </w:p>
    <w:p w:rsidR="00606EA3" w:rsidRPr="00D51FC2" w:rsidRDefault="00606EA3" w:rsidP="00606EA3">
      <w:pPr>
        <w:rPr>
          <w:szCs w:val="19"/>
          <w:lang w:val="en"/>
        </w:rPr>
      </w:pPr>
      <w:r w:rsidRPr="00D51FC2">
        <w:rPr>
          <w:szCs w:val="19"/>
          <w:lang w:val="en"/>
        </w:rPr>
        <w:t>According to the Fourth Assessment Report of the Intergovernmental Panel on Climate Change (2007), ocean acidity has increased by nearly 30% over the last 200 years, and mainly due to increasing the carbon dioxide released by humans into the atmosphere.</w:t>
      </w:r>
    </w:p>
    <w:p w:rsidR="00606EA3" w:rsidRPr="00D51FC2" w:rsidRDefault="00606EA3" w:rsidP="00606EA3">
      <w:pPr>
        <w:pStyle w:val="Heading2"/>
      </w:pPr>
      <w:bookmarkStart w:id="34" w:name="_Toc377721052"/>
      <w:bookmarkStart w:id="35" w:name="_Toc377976438"/>
      <w:r w:rsidRPr="00D51FC2">
        <w:t>2.2</w:t>
      </w:r>
      <w:r w:rsidRPr="00D51FC2">
        <w:tab/>
        <w:t xml:space="preserve">Extreme phenomena such as floods </w:t>
      </w:r>
      <w:r w:rsidRPr="00A86BBD">
        <w:t>in</w:t>
      </w:r>
      <w:r w:rsidRPr="00D51FC2">
        <w:t xml:space="preserve"> Australia (December 2010/January 2011)</w:t>
      </w:r>
      <w:bookmarkEnd w:id="34"/>
      <w:bookmarkEnd w:id="35"/>
    </w:p>
    <w:p w:rsidR="00606EA3" w:rsidRDefault="00606EA3" w:rsidP="00606EA3">
      <w:pPr>
        <w:rPr>
          <w:szCs w:val="19"/>
          <w:lang w:val="en"/>
        </w:rPr>
      </w:pPr>
      <w:r w:rsidRPr="00D51FC2">
        <w:rPr>
          <w:szCs w:val="19"/>
          <w:lang w:val="en"/>
        </w:rPr>
        <w:t>Meteorological services in Australia have announced that the floods that killed ten people between November 2010 and January 2011 were due to the La Niña weather phenomenon, which has been the source of the wettest year ever recorded in Queensland since meteorological records are established. In contrast to El Niño, La Niña is characterized by an increase in surface temperature of the sea areas in central and eastern Pacific.</w:t>
      </w:r>
    </w:p>
    <w:p w:rsidR="00606EA3" w:rsidRDefault="00606EA3" w:rsidP="00606EA3">
      <w:pPr>
        <w:rPr>
          <w:szCs w:val="19"/>
          <w:lang w:val="en"/>
        </w:rPr>
      </w:pPr>
      <w:r w:rsidRPr="00D51FC2">
        <w:rPr>
          <w:szCs w:val="19"/>
          <w:lang w:val="en"/>
        </w:rPr>
        <w:t>According to the World Meteorological Organization, this phenomenon reappeared in July, usually accompanied by heavy rains Indonesia, Malaysia and Australia, droughts in South America, more storms in the Atlantic tropical, cold waves in North America and rainy weather in the south-eastern Africa.</w:t>
      </w:r>
    </w:p>
    <w:p w:rsidR="00606EA3" w:rsidRPr="003879E6" w:rsidRDefault="00606EA3" w:rsidP="00606EA3">
      <w:pPr>
        <w:pStyle w:val="Figure"/>
        <w:rPr>
          <w:sz w:val="8"/>
          <w:szCs w:val="8"/>
          <w:lang w:val="en-GB"/>
        </w:rPr>
      </w:pPr>
    </w:p>
    <w:p w:rsidR="00606EA3" w:rsidRDefault="00606EA3" w:rsidP="00606EA3">
      <w:pPr>
        <w:pStyle w:val="Figure"/>
        <w:rPr>
          <w:lang w:val="en-GB"/>
        </w:rPr>
      </w:pPr>
      <w:r>
        <w:rPr>
          <w:noProof/>
          <w:lang w:val="en-US" w:eastAsia="zh-CN"/>
        </w:rPr>
        <w:t xml:space="preserve"> </w:t>
      </w:r>
      <w:r w:rsidRPr="00D51FC2">
        <w:rPr>
          <w:noProof/>
          <w:lang w:val="en-US" w:eastAsia="zh-CN"/>
        </w:rPr>
        <w:drawing>
          <wp:inline distT="0" distB="0" distL="0" distR="0" wp14:anchorId="65155548" wp14:editId="7E759BC5">
            <wp:extent cx="3220278" cy="17615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220278" cy="1761520"/>
                    </a:xfrm>
                    <a:prstGeom prst="rect">
                      <a:avLst/>
                    </a:prstGeom>
                    <a:noFill/>
                    <a:ln>
                      <a:noFill/>
                    </a:ln>
                  </pic:spPr>
                </pic:pic>
              </a:graphicData>
            </a:graphic>
          </wp:inline>
        </w:drawing>
      </w:r>
      <w:r w:rsidRPr="00D51FC2">
        <w:rPr>
          <w:noProof/>
          <w:lang w:val="en-US" w:eastAsia="zh-CN"/>
        </w:rPr>
        <w:drawing>
          <wp:inline distT="0" distB="0" distL="0" distR="0" wp14:anchorId="00E5D4FF" wp14:editId="0C28FADB">
            <wp:extent cx="2274073" cy="1992088"/>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277717" cy="1995280"/>
                    </a:xfrm>
                    <a:prstGeom prst="rect">
                      <a:avLst/>
                    </a:prstGeom>
                    <a:noFill/>
                    <a:ln>
                      <a:noFill/>
                    </a:ln>
                  </pic:spPr>
                </pic:pic>
              </a:graphicData>
            </a:graphic>
          </wp:inline>
        </w:drawing>
      </w:r>
    </w:p>
    <w:p w:rsidR="00606EA3" w:rsidRPr="003879E6" w:rsidRDefault="00606EA3" w:rsidP="00606EA3">
      <w:pPr>
        <w:pStyle w:val="Figure"/>
        <w:rPr>
          <w:sz w:val="8"/>
          <w:szCs w:val="8"/>
          <w:lang w:val="en-GB"/>
        </w:rPr>
      </w:pPr>
    </w:p>
    <w:p w:rsidR="00606EA3" w:rsidRDefault="00606EA3" w:rsidP="00606EA3">
      <w:pPr>
        <w:rPr>
          <w:szCs w:val="19"/>
          <w:lang w:val="en"/>
        </w:rPr>
      </w:pPr>
      <w:r w:rsidRPr="00D51FC2">
        <w:rPr>
          <w:szCs w:val="19"/>
          <w:lang w:val="en"/>
        </w:rPr>
        <w:t>In its original sense, El Niño is a warm water current that flows periodically along the coast of Ecuador and Peru, disrupting the local fishery. This ocean is associated with a fluctuation regime intertropical surface pressure and circulation in the Indian Ocean and the Pacific, called the Southern Oscillation. Collectively, this coupled atmosphere-ocean phenomenon is known as the El Niño Southern Oscillation, or ENSO.</w:t>
      </w:r>
    </w:p>
    <w:p w:rsidR="00606EA3" w:rsidRDefault="00606EA3" w:rsidP="00606EA3">
      <w:pPr>
        <w:spacing w:before="0"/>
        <w:jc w:val="left"/>
        <w:rPr>
          <w:szCs w:val="19"/>
          <w:lang w:val="en"/>
        </w:rPr>
      </w:pPr>
      <w:r>
        <w:rPr>
          <w:szCs w:val="19"/>
          <w:lang w:val="en"/>
        </w:rPr>
        <w:br w:type="page"/>
      </w:r>
    </w:p>
    <w:p w:rsidR="00606EA3" w:rsidRPr="00D51FC2" w:rsidRDefault="00606EA3" w:rsidP="00606EA3">
      <w:pPr>
        <w:rPr>
          <w:szCs w:val="19"/>
          <w:lang w:val="en"/>
        </w:rPr>
      </w:pPr>
      <w:r w:rsidRPr="00D51FC2">
        <w:rPr>
          <w:szCs w:val="19"/>
          <w:lang w:val="en"/>
        </w:rPr>
        <w:lastRenderedPageBreak/>
        <w:t>Under normal circumstances, the tropical Pacific warm in the West Pacific and cold in the East. When El Niño occurs, the prevailing trade winds diminish and the equatorial countercurrent strengthens, accordingly, the warm surface waters in the area of Indonesia moves eastward to cover the cold waters of the Peru current. This has a significant impact on the wind, the temperature of the sea surface and precipitation patterns in the tropical Pacific. It has climatic effects throughout the Pacific region and in many parts of the world. However, this phenomenon El Ni no lui_meme contains its own end, as snaps a wave that relaxes the system to the "normal" state. The opposite of an El Niño event is called La Niña.</w:t>
      </w:r>
    </w:p>
    <w:p w:rsidR="00606EA3" w:rsidRPr="000B6B25" w:rsidRDefault="00606EA3" w:rsidP="00606EA3">
      <w:pPr>
        <w:pStyle w:val="Figure"/>
        <w:rPr>
          <w:sz w:val="8"/>
          <w:szCs w:val="8"/>
          <w:lang w:val="en-GB"/>
        </w:rPr>
      </w:pPr>
    </w:p>
    <w:p w:rsidR="00606EA3" w:rsidRDefault="00606EA3" w:rsidP="00606EA3">
      <w:pPr>
        <w:pStyle w:val="Figure"/>
        <w:rPr>
          <w:lang w:val="en-GB"/>
        </w:rPr>
      </w:pPr>
      <w:r w:rsidRPr="00D51FC2">
        <w:rPr>
          <w:noProof/>
          <w:lang w:val="en-US" w:eastAsia="zh-CN"/>
        </w:rPr>
        <w:drawing>
          <wp:inline distT="0" distB="0" distL="0" distR="0" wp14:anchorId="1B2C4A3A" wp14:editId="0D284790">
            <wp:extent cx="3200400" cy="20383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200400" cy="2038350"/>
                    </a:xfrm>
                    <a:prstGeom prst="rect">
                      <a:avLst/>
                    </a:prstGeom>
                    <a:noFill/>
                    <a:ln>
                      <a:noFill/>
                    </a:ln>
                  </pic:spPr>
                </pic:pic>
              </a:graphicData>
            </a:graphic>
          </wp:inline>
        </w:drawing>
      </w:r>
    </w:p>
    <w:p w:rsidR="00606EA3" w:rsidRPr="000B6B25" w:rsidRDefault="00606EA3" w:rsidP="00606EA3">
      <w:pPr>
        <w:pStyle w:val="Figure"/>
        <w:rPr>
          <w:sz w:val="8"/>
          <w:szCs w:val="8"/>
          <w:lang w:val="en-GB"/>
        </w:rPr>
      </w:pPr>
    </w:p>
    <w:p w:rsidR="00606EA3" w:rsidRPr="006228E3" w:rsidRDefault="00606EA3" w:rsidP="00606EA3">
      <w:pPr>
        <w:pStyle w:val="Heading2"/>
      </w:pPr>
      <w:bookmarkStart w:id="36" w:name="_Toc377721053"/>
      <w:bookmarkStart w:id="37" w:name="_Toc377976439"/>
      <w:r w:rsidRPr="006228E3">
        <w:t>2.3</w:t>
      </w:r>
      <w:r w:rsidRPr="006228E3">
        <w:tab/>
      </w:r>
      <w:r w:rsidRPr="00A86BBD">
        <w:t>Examples</w:t>
      </w:r>
      <w:r w:rsidRPr="006228E3">
        <w:t xml:space="preserve"> of climate changes in some countries</w:t>
      </w:r>
      <w:bookmarkEnd w:id="36"/>
      <w:bookmarkEnd w:id="37"/>
    </w:p>
    <w:p w:rsidR="00606EA3" w:rsidRPr="002A103D" w:rsidRDefault="00606EA3" w:rsidP="00606EA3">
      <w:pPr>
        <w:pStyle w:val="HeadingB"/>
      </w:pPr>
      <w:r w:rsidRPr="002A103D">
        <w:t>Impacts of climate change in Ghana</w:t>
      </w:r>
    </w:p>
    <w:p w:rsidR="00606EA3" w:rsidRPr="00D51FC2" w:rsidRDefault="00606EA3" w:rsidP="00606EA3">
      <w:pPr>
        <w:pStyle w:val="Enumlevel1"/>
      </w:pPr>
      <w:r>
        <w:t>–</w:t>
      </w:r>
      <w:r>
        <w:tab/>
      </w:r>
      <w:r w:rsidRPr="002A103D">
        <w:t xml:space="preserve">Evidence of climate change abound in Ghana. </w:t>
      </w:r>
      <w:r w:rsidRPr="002A103D">
        <w:rPr>
          <w:b/>
        </w:rPr>
        <w:t>Temperature has increased</w:t>
      </w:r>
      <w:r w:rsidRPr="002A103D">
        <w:t xml:space="preserve"> by 0.6 - 0.8 °C since 1960. </w:t>
      </w:r>
    </w:p>
    <w:p w:rsidR="00606EA3" w:rsidRPr="00D51FC2" w:rsidRDefault="00606EA3" w:rsidP="00606EA3">
      <w:pPr>
        <w:pStyle w:val="Enumlevel1"/>
      </w:pPr>
      <w:r>
        <w:t>–</w:t>
      </w:r>
      <w:r>
        <w:tab/>
      </w:r>
      <w:r w:rsidRPr="002A103D">
        <w:t xml:space="preserve">According to projections of the Environmental Protection Agency (EPA), by 2080 the </w:t>
      </w:r>
      <w:r w:rsidRPr="002A103D">
        <w:rPr>
          <w:b/>
        </w:rPr>
        <w:t xml:space="preserve">rainfall will reduce </w:t>
      </w:r>
      <w:r w:rsidRPr="002A103D">
        <w:t xml:space="preserve">by 20% to 40% while the temperature will rise by 4.5 C. </w:t>
      </w:r>
    </w:p>
    <w:p w:rsidR="00606EA3" w:rsidRPr="00D51FC2" w:rsidRDefault="00606EA3" w:rsidP="00606EA3">
      <w:pPr>
        <w:pStyle w:val="Enumlevel1"/>
      </w:pPr>
      <w:r>
        <w:t>–</w:t>
      </w:r>
      <w:r>
        <w:tab/>
      </w:r>
      <w:r w:rsidRPr="002A103D">
        <w:t xml:space="preserve">All these conditions will not be suitable for the </w:t>
      </w:r>
      <w:r w:rsidRPr="002A103D">
        <w:rPr>
          <w:b/>
        </w:rPr>
        <w:t xml:space="preserve">growing of cocoa </w:t>
      </w:r>
      <w:r w:rsidRPr="002A103D">
        <w:t xml:space="preserve">anywhere in the country. </w:t>
      </w:r>
    </w:p>
    <w:p w:rsidR="00606EA3" w:rsidRPr="00D51FC2" w:rsidRDefault="00606EA3" w:rsidP="00606EA3">
      <w:pPr>
        <w:pStyle w:val="Enumlevel1"/>
      </w:pPr>
      <w:r>
        <w:t>–</w:t>
      </w:r>
      <w:r>
        <w:tab/>
      </w:r>
      <w:r w:rsidRPr="002A103D">
        <w:t xml:space="preserve">The </w:t>
      </w:r>
      <w:r w:rsidRPr="002A103D">
        <w:rPr>
          <w:b/>
        </w:rPr>
        <w:t xml:space="preserve">rainfall pattern is </w:t>
      </w:r>
      <w:r w:rsidRPr="002A103D">
        <w:t>affecting maize production. By 2020 it is projected that there will be a 7% decline in production.</w:t>
      </w:r>
    </w:p>
    <w:p w:rsidR="00606EA3" w:rsidRPr="00671D53" w:rsidRDefault="00606EA3" w:rsidP="00606EA3">
      <w:pPr>
        <w:pStyle w:val="Heading1"/>
        <w:spacing w:before="0"/>
        <w:ind w:left="1134" w:hanging="1134"/>
      </w:pPr>
      <w:r w:rsidRPr="00671D53">
        <w:br w:type="page"/>
      </w:r>
      <w:bookmarkStart w:id="38" w:name="_Toc377721054"/>
      <w:bookmarkStart w:id="39" w:name="_Toc377976440"/>
      <w:r w:rsidRPr="00671D53">
        <w:lastRenderedPageBreak/>
        <w:t xml:space="preserve">Annex 3: </w:t>
      </w:r>
      <w:r>
        <w:tab/>
      </w:r>
      <w:r w:rsidRPr="00671D53">
        <w:t>Questionnaire about ICT and climate change - Proposal for an ITU-D Recommendation</w:t>
      </w:r>
      <w:bookmarkEnd w:id="38"/>
      <w:bookmarkEnd w:id="39"/>
    </w:p>
    <w:p w:rsidR="00606EA3" w:rsidRPr="00ED1894" w:rsidRDefault="00606EA3" w:rsidP="00606EA3">
      <w:pPr>
        <w:rPr>
          <w:bCs/>
          <w:szCs w:val="19"/>
          <w:lang w:val="en-GB"/>
        </w:rPr>
      </w:pPr>
      <w:r w:rsidRPr="00D51FC2">
        <w:rPr>
          <w:szCs w:val="19"/>
          <w:lang w:val="en-GB"/>
        </w:rPr>
        <w:t>This annex contains an analysis of the questionnaire, and following the answers and the findings contained in the Report and the other annexes, an ITU-D recommendation is proposed on the overall issue on ICT and climate change.</w:t>
      </w:r>
    </w:p>
    <w:tbl>
      <w:tblPr>
        <w:tblStyle w:val="TableGrid1"/>
        <w:tblW w:w="9645" w:type="dxa"/>
        <w:tblInd w:w="108" w:type="dxa"/>
        <w:tblLayout w:type="fixed"/>
        <w:tblLook w:val="04A0" w:firstRow="1" w:lastRow="0" w:firstColumn="1" w:lastColumn="0" w:noHBand="0" w:noVBand="1"/>
      </w:tblPr>
      <w:tblGrid>
        <w:gridCol w:w="9645"/>
      </w:tblGrid>
      <w:tr w:rsidR="00606EA3" w:rsidRPr="00E94F9B" w:rsidTr="00606EA3">
        <w:tc>
          <w:tcPr>
            <w:tcW w:w="9639" w:type="dxa"/>
            <w:tcBorders>
              <w:top w:val="single" w:sz="4" w:space="0" w:color="auto"/>
              <w:left w:val="single" w:sz="4" w:space="0" w:color="auto"/>
              <w:bottom w:val="single" w:sz="4" w:space="0" w:color="auto"/>
              <w:right w:val="single" w:sz="4" w:space="0" w:color="auto"/>
            </w:tcBorders>
            <w:hideMark/>
          </w:tcPr>
          <w:p w:rsidR="00606EA3" w:rsidRPr="002A103D" w:rsidRDefault="00606EA3" w:rsidP="00606EA3">
            <w:pPr>
              <w:numPr>
                <w:ilvl w:val="0"/>
                <w:numId w:val="15"/>
              </w:numPr>
              <w:contextualSpacing/>
              <w:jc w:val="left"/>
              <w:rPr>
                <w:rFonts w:eastAsia="SimSun" w:cs="Traditional Arabic"/>
                <w:szCs w:val="19"/>
                <w:lang w:val="en-US" w:eastAsia="en-US"/>
              </w:rPr>
            </w:pPr>
            <w:r w:rsidRPr="002A103D">
              <w:rPr>
                <w:rFonts w:eastAsia="SimSun" w:cs="Traditional Arabic"/>
                <w:szCs w:val="19"/>
                <w:lang w:val="en-US" w:eastAsia="en-US"/>
              </w:rPr>
              <w:t>Does your government (or company) have any policy regarding climate change?</w:t>
            </w:r>
          </w:p>
          <w:tbl>
            <w:tblPr>
              <w:tblW w:w="0" w:type="auto"/>
              <w:tblCellSpacing w:w="0" w:type="dxa"/>
              <w:tblInd w:w="15" w:type="dxa"/>
              <w:tblBorders>
                <w:top w:val="single" w:sz="6" w:space="0" w:color="99CCFF"/>
                <w:left w:val="single" w:sz="6" w:space="0" w:color="99CCFF"/>
                <w:bottom w:val="single" w:sz="6" w:space="0" w:color="99CCFF"/>
                <w:right w:val="single" w:sz="6" w:space="0" w:color="99CCFF"/>
              </w:tblBorders>
              <w:shd w:val="clear" w:color="auto" w:fill="C0D8FE"/>
              <w:tblLayout w:type="fixed"/>
              <w:tblCellMar>
                <w:left w:w="0" w:type="dxa"/>
                <w:right w:w="0" w:type="dxa"/>
              </w:tblCellMar>
              <w:tblLook w:val="04A0" w:firstRow="1" w:lastRow="0" w:firstColumn="1" w:lastColumn="0" w:noHBand="0" w:noVBand="1"/>
            </w:tblPr>
            <w:tblGrid>
              <w:gridCol w:w="1459"/>
            </w:tblGrid>
            <w:tr w:rsidR="00606EA3" w:rsidRPr="00E94F9B" w:rsidTr="00606EA3">
              <w:trPr>
                <w:tblCellSpacing w:w="0" w:type="dxa"/>
              </w:trPr>
              <w:tc>
                <w:tcPr>
                  <w:tcW w:w="1459" w:type="dxa"/>
                  <w:tcBorders>
                    <w:top w:val="nil"/>
                    <w:left w:val="nil"/>
                    <w:bottom w:val="nil"/>
                    <w:right w:val="nil"/>
                  </w:tcBorders>
                  <w:shd w:val="clear" w:color="auto" w:fill="C0D8FE"/>
                  <w:vAlign w:val="center"/>
                  <w:hideMark/>
                </w:tcPr>
                <w:p w:rsidR="00606EA3" w:rsidRPr="002A103D" w:rsidRDefault="00606EA3" w:rsidP="00606EA3">
                  <w:pPr>
                    <w:rPr>
                      <w:rFonts w:cs="Traditional Arabic"/>
                      <w:bCs/>
                      <w:szCs w:val="19"/>
                      <w:lang w:val="en-US" w:eastAsia="en-US"/>
                    </w:rPr>
                  </w:pPr>
                  <w:r w:rsidRPr="00D51FC2">
                    <w:rPr>
                      <w:rFonts w:ascii="Verdana" w:hAnsi="Verdana" w:cs="Traditional Arabic"/>
                      <w:sz w:val="19"/>
                      <w:szCs w:val="19"/>
                      <w:lang w:eastAsia="en-US"/>
                    </w:rPr>
                    <w:object w:dxaOrig="225" w:dyaOrig="225">
                      <v:shape id="_x0000_i1081" type="#_x0000_t75" style="width:20.55pt;height:17.75pt" o:ole="">
                        <v:imagedata r:id="rId68" o:title=""/>
                      </v:shape>
                      <w:control r:id="rId69" w:name="DefaultOcxName" w:shapeid="_x0000_i1081"/>
                    </w:object>
                  </w:r>
                  <w:r w:rsidRPr="002A103D">
                    <w:rPr>
                      <w:rFonts w:cs="Traditional Arabic"/>
                      <w:szCs w:val="19"/>
                      <w:lang w:val="en-US" w:eastAsia="en-US"/>
                    </w:rPr>
                    <w:t xml:space="preserve">Yes </w:t>
                  </w:r>
                  <w:r w:rsidRPr="00D51FC2">
                    <w:rPr>
                      <w:rFonts w:ascii="Verdana" w:hAnsi="Verdana" w:cs="Traditional Arabic"/>
                      <w:sz w:val="19"/>
                      <w:szCs w:val="19"/>
                      <w:lang w:eastAsia="en-US"/>
                    </w:rPr>
                    <w:object w:dxaOrig="225" w:dyaOrig="225">
                      <v:shape id="_x0000_i1084" type="#_x0000_t75" style="width:20.55pt;height:17.75pt" o:ole="">
                        <v:imagedata r:id="rId70" o:title=""/>
                      </v:shape>
                      <w:control r:id="rId71" w:name="DefaultOcxName1" w:shapeid="_x0000_i1084"/>
                    </w:object>
                  </w:r>
                  <w:r w:rsidRPr="002A103D">
                    <w:rPr>
                      <w:rFonts w:cs="Traditional Arabic"/>
                      <w:szCs w:val="19"/>
                      <w:lang w:val="en-US" w:eastAsia="en-US"/>
                    </w:rPr>
                    <w:t xml:space="preserve">No </w:t>
                  </w:r>
                </w:p>
              </w:tc>
            </w:tr>
          </w:tbl>
          <w:p w:rsidR="00606EA3" w:rsidRPr="002A103D" w:rsidRDefault="00606EA3" w:rsidP="00606EA3">
            <w:pPr>
              <w:spacing w:before="40"/>
              <w:rPr>
                <w:rFonts w:eastAsia="SimSun" w:cs="Traditional Arabic"/>
                <w:szCs w:val="19"/>
                <w:lang w:val="en-US" w:eastAsia="en-US"/>
              </w:rPr>
            </w:pPr>
            <w:r w:rsidRPr="002A103D">
              <w:rPr>
                <w:rFonts w:eastAsia="SimSun" w:cs="Traditional Arabic"/>
                <w:szCs w:val="19"/>
                <w:lang w:val="en-US" w:eastAsia="en-US"/>
              </w:rPr>
              <w:t>If yes, what is your policy regarding ICT for combating climate change?</w:t>
            </w:r>
          </w:p>
          <w:p w:rsidR="00606EA3" w:rsidRPr="002A103D" w:rsidRDefault="00606EA3" w:rsidP="00606EA3">
            <w:pPr>
              <w:spacing w:before="40"/>
              <w:rPr>
                <w:rFonts w:eastAsia="SimSun" w:cs="Traditional Arabic"/>
                <w:szCs w:val="19"/>
                <w:lang w:val="en-US" w:eastAsia="en-US"/>
              </w:rPr>
            </w:pPr>
            <w:r w:rsidRPr="002A103D">
              <w:rPr>
                <w:rFonts w:eastAsia="SimSun" w:cs="Traditional Arabic"/>
                <w:szCs w:val="19"/>
                <w:lang w:val="en-US" w:eastAsia="en-US"/>
              </w:rPr>
              <w:t>If no, do you intend to have future plans for implementing a policy regarding ICT?</w:t>
            </w:r>
          </w:p>
        </w:tc>
      </w:tr>
      <w:tr w:rsidR="00606EA3" w:rsidRPr="00E94F9B" w:rsidTr="00606EA3">
        <w:tc>
          <w:tcPr>
            <w:tcW w:w="9639" w:type="dxa"/>
            <w:tcBorders>
              <w:top w:val="single" w:sz="4" w:space="0" w:color="auto"/>
              <w:left w:val="single" w:sz="4" w:space="0" w:color="auto"/>
              <w:bottom w:val="single" w:sz="4" w:space="0" w:color="auto"/>
              <w:right w:val="single" w:sz="4" w:space="0" w:color="auto"/>
            </w:tcBorders>
            <w:hideMark/>
          </w:tcPr>
          <w:p w:rsidR="00606EA3" w:rsidRPr="002A103D" w:rsidRDefault="00606EA3" w:rsidP="00606EA3">
            <w:pPr>
              <w:numPr>
                <w:ilvl w:val="0"/>
                <w:numId w:val="15"/>
              </w:numPr>
              <w:contextualSpacing/>
              <w:jc w:val="left"/>
              <w:rPr>
                <w:rFonts w:eastAsia="SimSun" w:cs="Traditional Arabic"/>
                <w:szCs w:val="19"/>
                <w:lang w:val="en-US" w:eastAsia="en-US"/>
              </w:rPr>
            </w:pPr>
            <w:r w:rsidRPr="002A103D">
              <w:rPr>
                <w:rFonts w:eastAsia="SimSun" w:cs="Traditional Arabic"/>
                <w:szCs w:val="19"/>
                <w:lang w:val="en-US" w:eastAsia="en-US"/>
              </w:rPr>
              <w:t>Does your government (or company) have current actions in terms of adaptation</w:t>
            </w:r>
            <w:r w:rsidRPr="002A103D">
              <w:rPr>
                <w:rFonts w:eastAsia="SimSun" w:cs="Traditional Arabic"/>
                <w:szCs w:val="19"/>
                <w:vertAlign w:val="superscript"/>
                <w:lang w:val="en-US" w:eastAsia="en-US"/>
              </w:rPr>
              <w:t xml:space="preserve"> </w:t>
            </w:r>
            <w:r w:rsidRPr="002A103D">
              <w:rPr>
                <w:rFonts w:eastAsia="SimSun" w:cs="Traditional Arabic"/>
                <w:szCs w:val="19"/>
                <w:lang w:val="en-US" w:eastAsia="en-US"/>
              </w:rPr>
              <w:t xml:space="preserve">to climate change? </w:t>
            </w:r>
            <w:r w:rsidRPr="002A103D">
              <w:rPr>
                <w:rFonts w:eastAsia="SimSun" w:cs="Traditional Arabic"/>
                <w:szCs w:val="19"/>
                <w:lang w:val="en-US" w:eastAsia="en-US"/>
              </w:rPr>
              <w:br/>
              <w:t>Note: Adaptation involves taking action to cope with the effects of climate change on a local or country level. ICT can greatly support this action. Examples include remote sensing to gather climate data, dissemination of information such as forecast sea level rise and taking action to minimize the impact such as building on higher ground. ICT infrastructure is already used to warn of natural disasters such as earthquakes and tidal waves. Additional or new ICT infrastructure and services may be needed to help deal with problems such as water and food shortage etc. arising from extreme climate conditions.</w:t>
            </w:r>
          </w:p>
          <w:tbl>
            <w:tblPr>
              <w:tblW w:w="0" w:type="auto"/>
              <w:tblCellSpacing w:w="0" w:type="dxa"/>
              <w:tblInd w:w="15" w:type="dxa"/>
              <w:tblBorders>
                <w:top w:val="single" w:sz="6" w:space="0" w:color="99CCFF"/>
                <w:left w:val="single" w:sz="6" w:space="0" w:color="99CCFF"/>
                <w:bottom w:val="single" w:sz="6" w:space="0" w:color="99CCFF"/>
                <w:right w:val="single" w:sz="6" w:space="0" w:color="99CCFF"/>
              </w:tblBorders>
              <w:shd w:val="clear" w:color="auto" w:fill="C0D8FE"/>
              <w:tblLayout w:type="fixed"/>
              <w:tblCellMar>
                <w:left w:w="0" w:type="dxa"/>
                <w:right w:w="0" w:type="dxa"/>
              </w:tblCellMar>
              <w:tblLook w:val="04A0" w:firstRow="1" w:lastRow="0" w:firstColumn="1" w:lastColumn="0" w:noHBand="0" w:noVBand="1"/>
            </w:tblPr>
            <w:tblGrid>
              <w:gridCol w:w="1459"/>
            </w:tblGrid>
            <w:tr w:rsidR="00606EA3" w:rsidRPr="00E94F9B" w:rsidTr="00606EA3">
              <w:trPr>
                <w:tblCellSpacing w:w="0" w:type="dxa"/>
              </w:trPr>
              <w:tc>
                <w:tcPr>
                  <w:tcW w:w="1459" w:type="dxa"/>
                  <w:tcBorders>
                    <w:top w:val="nil"/>
                    <w:left w:val="nil"/>
                    <w:bottom w:val="nil"/>
                    <w:right w:val="nil"/>
                  </w:tcBorders>
                  <w:shd w:val="clear" w:color="auto" w:fill="C0D8FE"/>
                  <w:vAlign w:val="center"/>
                  <w:hideMark/>
                </w:tcPr>
                <w:p w:rsidR="00606EA3" w:rsidRPr="002A103D" w:rsidRDefault="00606EA3" w:rsidP="00606EA3">
                  <w:pPr>
                    <w:rPr>
                      <w:rFonts w:cs="Traditional Arabic"/>
                      <w:bCs/>
                      <w:szCs w:val="19"/>
                      <w:lang w:val="en-US" w:eastAsia="en-US"/>
                    </w:rPr>
                  </w:pPr>
                  <w:r w:rsidRPr="00D51FC2">
                    <w:rPr>
                      <w:rFonts w:ascii="Verdana" w:hAnsi="Verdana" w:cs="Traditional Arabic"/>
                      <w:sz w:val="19"/>
                      <w:szCs w:val="19"/>
                      <w:lang w:eastAsia="en-US"/>
                    </w:rPr>
                    <w:object w:dxaOrig="225" w:dyaOrig="225">
                      <v:shape id="_x0000_i1087" type="#_x0000_t75" style="width:20.55pt;height:17.75pt" o:ole="">
                        <v:imagedata r:id="rId72" o:title=""/>
                      </v:shape>
                      <w:control r:id="rId73" w:name="DefaultOcxName2" w:shapeid="_x0000_i1087"/>
                    </w:object>
                  </w:r>
                  <w:r w:rsidRPr="002A103D">
                    <w:rPr>
                      <w:rFonts w:cs="Traditional Arabic"/>
                      <w:szCs w:val="19"/>
                      <w:lang w:val="en-US" w:eastAsia="en-US"/>
                    </w:rPr>
                    <w:t xml:space="preserve">Yes </w:t>
                  </w:r>
                  <w:r w:rsidRPr="00D51FC2">
                    <w:rPr>
                      <w:rFonts w:ascii="Verdana" w:hAnsi="Verdana" w:cs="Traditional Arabic"/>
                      <w:sz w:val="19"/>
                      <w:szCs w:val="19"/>
                      <w:lang w:eastAsia="en-US"/>
                    </w:rPr>
                    <w:object w:dxaOrig="225" w:dyaOrig="225">
                      <v:shape id="_x0000_i1090" type="#_x0000_t75" style="width:20.55pt;height:17.75pt" o:ole="">
                        <v:imagedata r:id="rId74" o:title=""/>
                      </v:shape>
                      <w:control r:id="rId75" w:name="DefaultOcxName3" w:shapeid="_x0000_i1090"/>
                    </w:object>
                  </w:r>
                  <w:r w:rsidRPr="002A103D">
                    <w:rPr>
                      <w:rFonts w:cs="Traditional Arabic"/>
                      <w:szCs w:val="19"/>
                      <w:lang w:val="en-US" w:eastAsia="en-US"/>
                    </w:rPr>
                    <w:t xml:space="preserve">No </w:t>
                  </w:r>
                </w:p>
              </w:tc>
            </w:tr>
          </w:tbl>
          <w:p w:rsidR="00606EA3" w:rsidRPr="002A103D" w:rsidRDefault="00606EA3" w:rsidP="00606EA3">
            <w:pPr>
              <w:rPr>
                <w:rFonts w:eastAsia="SimSun" w:cs="Traditional Arabic"/>
                <w:szCs w:val="19"/>
                <w:lang w:val="en-US" w:eastAsia="en-US"/>
              </w:rPr>
            </w:pPr>
            <w:r w:rsidRPr="002A103D">
              <w:rPr>
                <w:rFonts w:eastAsia="SimSun" w:cs="Traditional Arabic"/>
                <w:szCs w:val="19"/>
                <w:lang w:val="en-US" w:eastAsia="en-US"/>
              </w:rPr>
              <w:t>If yes, please specify these actions.</w:t>
            </w:r>
          </w:p>
          <w:p w:rsidR="00606EA3" w:rsidRPr="002A103D" w:rsidRDefault="00606EA3" w:rsidP="00606EA3">
            <w:pPr>
              <w:spacing w:before="40"/>
              <w:rPr>
                <w:rFonts w:eastAsia="SimSun" w:cs="Traditional Arabic"/>
                <w:szCs w:val="19"/>
                <w:lang w:val="en-US" w:eastAsia="en-US"/>
              </w:rPr>
            </w:pPr>
            <w:r w:rsidRPr="002A103D">
              <w:rPr>
                <w:rFonts w:eastAsia="SimSun" w:cs="Traditional Arabic"/>
                <w:szCs w:val="19"/>
                <w:lang w:val="en-US" w:eastAsia="en-US"/>
              </w:rPr>
              <w:t xml:space="preserve">a) Have you implemented measures to extend the lifespan of ICT equipment? </w:t>
            </w:r>
          </w:p>
          <w:tbl>
            <w:tblPr>
              <w:tblW w:w="0" w:type="auto"/>
              <w:tblCellSpacing w:w="0" w:type="dxa"/>
              <w:tblInd w:w="15" w:type="dxa"/>
              <w:tblBorders>
                <w:top w:val="single" w:sz="6" w:space="0" w:color="99CCFF"/>
                <w:left w:val="single" w:sz="6" w:space="0" w:color="99CCFF"/>
                <w:bottom w:val="single" w:sz="6" w:space="0" w:color="99CCFF"/>
                <w:right w:val="single" w:sz="6" w:space="0" w:color="99CCFF"/>
              </w:tblBorders>
              <w:shd w:val="clear" w:color="auto" w:fill="C0D8FE"/>
              <w:tblLayout w:type="fixed"/>
              <w:tblCellMar>
                <w:left w:w="0" w:type="dxa"/>
                <w:right w:w="0" w:type="dxa"/>
              </w:tblCellMar>
              <w:tblLook w:val="04A0" w:firstRow="1" w:lastRow="0" w:firstColumn="1" w:lastColumn="0" w:noHBand="0" w:noVBand="1"/>
            </w:tblPr>
            <w:tblGrid>
              <w:gridCol w:w="1459"/>
            </w:tblGrid>
            <w:tr w:rsidR="00606EA3" w:rsidRPr="00E94F9B" w:rsidTr="00606EA3">
              <w:trPr>
                <w:tblCellSpacing w:w="0" w:type="dxa"/>
              </w:trPr>
              <w:tc>
                <w:tcPr>
                  <w:tcW w:w="1459" w:type="dxa"/>
                  <w:tcBorders>
                    <w:top w:val="nil"/>
                    <w:left w:val="nil"/>
                    <w:bottom w:val="nil"/>
                    <w:right w:val="nil"/>
                  </w:tcBorders>
                  <w:shd w:val="clear" w:color="auto" w:fill="C0D8FE"/>
                  <w:vAlign w:val="center"/>
                  <w:hideMark/>
                </w:tcPr>
                <w:p w:rsidR="00606EA3" w:rsidRPr="002A103D" w:rsidRDefault="00606EA3" w:rsidP="00606EA3">
                  <w:pPr>
                    <w:rPr>
                      <w:rFonts w:cs="Traditional Arabic"/>
                      <w:bCs/>
                      <w:szCs w:val="19"/>
                      <w:lang w:val="en-US" w:eastAsia="en-US"/>
                    </w:rPr>
                  </w:pPr>
                  <w:r w:rsidRPr="00D51FC2">
                    <w:rPr>
                      <w:rFonts w:ascii="Verdana" w:hAnsi="Verdana" w:cs="Traditional Arabic"/>
                      <w:sz w:val="19"/>
                      <w:szCs w:val="19"/>
                      <w:lang w:eastAsia="en-US"/>
                    </w:rPr>
                    <w:object w:dxaOrig="225" w:dyaOrig="225">
                      <v:shape id="_x0000_i1093" type="#_x0000_t75" style="width:20.55pt;height:17.75pt" o:ole="">
                        <v:imagedata r:id="rId76" o:title=""/>
                      </v:shape>
                      <w:control r:id="rId77" w:name="DefaultOcxName4" w:shapeid="_x0000_i1093"/>
                    </w:object>
                  </w:r>
                  <w:r w:rsidRPr="002A103D">
                    <w:rPr>
                      <w:rFonts w:cs="Traditional Arabic"/>
                      <w:szCs w:val="19"/>
                      <w:lang w:val="en-US" w:eastAsia="en-US"/>
                    </w:rPr>
                    <w:t xml:space="preserve">Yes </w:t>
                  </w:r>
                  <w:r w:rsidRPr="00D51FC2">
                    <w:rPr>
                      <w:rFonts w:ascii="Verdana" w:hAnsi="Verdana" w:cs="Traditional Arabic"/>
                      <w:sz w:val="19"/>
                      <w:szCs w:val="19"/>
                      <w:lang w:eastAsia="en-US"/>
                    </w:rPr>
                    <w:object w:dxaOrig="225" w:dyaOrig="225">
                      <v:shape id="_x0000_i1096" type="#_x0000_t75" style="width:20.55pt;height:17.75pt" o:ole="">
                        <v:imagedata r:id="rId78" o:title=""/>
                      </v:shape>
                      <w:control r:id="rId79" w:name="DefaultOcxName5" w:shapeid="_x0000_i1096"/>
                    </w:object>
                  </w:r>
                  <w:r w:rsidRPr="002A103D">
                    <w:rPr>
                      <w:rFonts w:cs="Traditional Arabic"/>
                      <w:szCs w:val="19"/>
                      <w:lang w:val="en-US" w:eastAsia="en-US"/>
                    </w:rPr>
                    <w:t xml:space="preserve">No </w:t>
                  </w:r>
                </w:p>
              </w:tc>
            </w:tr>
          </w:tbl>
          <w:p w:rsidR="00606EA3" w:rsidRPr="002A103D" w:rsidRDefault="00606EA3" w:rsidP="00606EA3">
            <w:pPr>
              <w:spacing w:before="40"/>
              <w:rPr>
                <w:rFonts w:eastAsia="SimSun" w:cs="Traditional Arabic"/>
                <w:szCs w:val="19"/>
                <w:lang w:val="en-US" w:eastAsia="en-US"/>
              </w:rPr>
            </w:pPr>
            <w:r w:rsidRPr="002A103D">
              <w:rPr>
                <w:rFonts w:eastAsia="SimSun" w:cs="Traditional Arabic"/>
                <w:szCs w:val="19"/>
                <w:lang w:val="en-US" w:eastAsia="en-US"/>
              </w:rPr>
              <w:t xml:space="preserve">b) Have you implemented recycling of ICT equipment in your country? </w:t>
            </w:r>
          </w:p>
          <w:tbl>
            <w:tblPr>
              <w:tblW w:w="0" w:type="auto"/>
              <w:tblCellSpacing w:w="0" w:type="dxa"/>
              <w:tblInd w:w="15" w:type="dxa"/>
              <w:tblBorders>
                <w:top w:val="single" w:sz="6" w:space="0" w:color="99CCFF"/>
                <w:left w:val="single" w:sz="6" w:space="0" w:color="99CCFF"/>
                <w:bottom w:val="single" w:sz="6" w:space="0" w:color="99CCFF"/>
                <w:right w:val="single" w:sz="6" w:space="0" w:color="99CCFF"/>
              </w:tblBorders>
              <w:shd w:val="clear" w:color="auto" w:fill="C0D8FE"/>
              <w:tblLayout w:type="fixed"/>
              <w:tblCellMar>
                <w:left w:w="0" w:type="dxa"/>
                <w:right w:w="0" w:type="dxa"/>
              </w:tblCellMar>
              <w:tblLook w:val="04A0" w:firstRow="1" w:lastRow="0" w:firstColumn="1" w:lastColumn="0" w:noHBand="0" w:noVBand="1"/>
            </w:tblPr>
            <w:tblGrid>
              <w:gridCol w:w="1459"/>
            </w:tblGrid>
            <w:tr w:rsidR="00606EA3" w:rsidRPr="00E94F9B" w:rsidTr="00606EA3">
              <w:trPr>
                <w:tblCellSpacing w:w="0" w:type="dxa"/>
              </w:trPr>
              <w:tc>
                <w:tcPr>
                  <w:tcW w:w="1459" w:type="dxa"/>
                  <w:tcBorders>
                    <w:top w:val="nil"/>
                    <w:left w:val="nil"/>
                    <w:bottom w:val="nil"/>
                    <w:right w:val="nil"/>
                  </w:tcBorders>
                  <w:shd w:val="clear" w:color="auto" w:fill="C0D8FE"/>
                  <w:vAlign w:val="center"/>
                  <w:hideMark/>
                </w:tcPr>
                <w:p w:rsidR="00606EA3" w:rsidRPr="002A103D" w:rsidRDefault="00606EA3" w:rsidP="00606EA3">
                  <w:pPr>
                    <w:rPr>
                      <w:rFonts w:cs="Traditional Arabic"/>
                      <w:bCs/>
                      <w:szCs w:val="19"/>
                      <w:lang w:val="en-US" w:eastAsia="en-US"/>
                    </w:rPr>
                  </w:pPr>
                  <w:r w:rsidRPr="00D51FC2">
                    <w:rPr>
                      <w:rFonts w:ascii="Verdana" w:hAnsi="Verdana" w:cs="Traditional Arabic"/>
                      <w:sz w:val="19"/>
                      <w:szCs w:val="19"/>
                      <w:lang w:eastAsia="en-US"/>
                    </w:rPr>
                    <w:object w:dxaOrig="225" w:dyaOrig="225">
                      <v:shape id="_x0000_i1099" type="#_x0000_t75" style="width:20.55pt;height:17.75pt" o:ole="">
                        <v:imagedata r:id="rId80" o:title=""/>
                      </v:shape>
                      <w:control r:id="rId81" w:name="DefaultOcxName6" w:shapeid="_x0000_i1099"/>
                    </w:object>
                  </w:r>
                  <w:r w:rsidRPr="002A103D">
                    <w:rPr>
                      <w:rFonts w:cs="Traditional Arabic"/>
                      <w:szCs w:val="19"/>
                      <w:lang w:val="en-US" w:eastAsia="en-US"/>
                    </w:rPr>
                    <w:t xml:space="preserve">Yes </w:t>
                  </w:r>
                  <w:r w:rsidRPr="00D51FC2">
                    <w:rPr>
                      <w:rFonts w:ascii="Verdana" w:hAnsi="Verdana" w:cs="Traditional Arabic"/>
                      <w:sz w:val="19"/>
                      <w:szCs w:val="19"/>
                      <w:lang w:eastAsia="en-US"/>
                    </w:rPr>
                    <w:object w:dxaOrig="225" w:dyaOrig="225">
                      <v:shape id="_x0000_i1102" type="#_x0000_t75" style="width:20.55pt;height:17.75pt" o:ole="">
                        <v:imagedata r:id="rId82" o:title=""/>
                      </v:shape>
                      <w:control r:id="rId83" w:name="DefaultOcxName7" w:shapeid="_x0000_i1102"/>
                    </w:object>
                  </w:r>
                  <w:r w:rsidRPr="002A103D">
                    <w:rPr>
                      <w:rFonts w:cs="Traditional Arabic"/>
                      <w:szCs w:val="19"/>
                      <w:lang w:val="en-US" w:eastAsia="en-US"/>
                    </w:rPr>
                    <w:t xml:space="preserve">No </w:t>
                  </w:r>
                </w:p>
              </w:tc>
            </w:tr>
          </w:tbl>
          <w:p w:rsidR="00606EA3" w:rsidRPr="002A103D" w:rsidRDefault="00606EA3" w:rsidP="00606EA3">
            <w:pPr>
              <w:spacing w:before="40"/>
              <w:rPr>
                <w:rFonts w:eastAsia="SimSun" w:cs="Traditional Arabic"/>
                <w:szCs w:val="19"/>
                <w:lang w:val="en-US" w:eastAsia="en-US"/>
              </w:rPr>
            </w:pPr>
            <w:r w:rsidRPr="002A103D">
              <w:rPr>
                <w:rFonts w:eastAsia="SimSun" w:cs="Traditional Arabic"/>
                <w:szCs w:val="19"/>
                <w:lang w:val="en-US" w:eastAsia="en-US"/>
              </w:rPr>
              <w:t>c) Do you have a policy in the management of electronic waste?</w:t>
            </w:r>
          </w:p>
          <w:tbl>
            <w:tblPr>
              <w:tblW w:w="0" w:type="auto"/>
              <w:tblCellSpacing w:w="0" w:type="dxa"/>
              <w:tblInd w:w="15" w:type="dxa"/>
              <w:tblBorders>
                <w:top w:val="single" w:sz="6" w:space="0" w:color="99CCFF"/>
                <w:left w:val="single" w:sz="6" w:space="0" w:color="99CCFF"/>
                <w:bottom w:val="single" w:sz="6" w:space="0" w:color="99CCFF"/>
                <w:right w:val="single" w:sz="6" w:space="0" w:color="99CCFF"/>
              </w:tblBorders>
              <w:shd w:val="clear" w:color="auto" w:fill="C0D8FE"/>
              <w:tblLayout w:type="fixed"/>
              <w:tblCellMar>
                <w:left w:w="0" w:type="dxa"/>
                <w:right w:w="0" w:type="dxa"/>
              </w:tblCellMar>
              <w:tblLook w:val="04A0" w:firstRow="1" w:lastRow="0" w:firstColumn="1" w:lastColumn="0" w:noHBand="0" w:noVBand="1"/>
            </w:tblPr>
            <w:tblGrid>
              <w:gridCol w:w="1459"/>
            </w:tblGrid>
            <w:tr w:rsidR="00606EA3" w:rsidRPr="00E94F9B" w:rsidTr="00606EA3">
              <w:trPr>
                <w:tblCellSpacing w:w="0" w:type="dxa"/>
              </w:trPr>
              <w:tc>
                <w:tcPr>
                  <w:tcW w:w="1459" w:type="dxa"/>
                  <w:tcBorders>
                    <w:top w:val="nil"/>
                    <w:left w:val="nil"/>
                    <w:bottom w:val="nil"/>
                    <w:right w:val="nil"/>
                  </w:tcBorders>
                  <w:shd w:val="clear" w:color="auto" w:fill="C0D8FE"/>
                  <w:vAlign w:val="center"/>
                  <w:hideMark/>
                </w:tcPr>
                <w:p w:rsidR="00606EA3" w:rsidRPr="002A103D" w:rsidRDefault="00606EA3" w:rsidP="00606EA3">
                  <w:pPr>
                    <w:rPr>
                      <w:rFonts w:cs="Traditional Arabic"/>
                      <w:bCs/>
                      <w:szCs w:val="19"/>
                      <w:lang w:val="en-US" w:eastAsia="en-US"/>
                    </w:rPr>
                  </w:pPr>
                  <w:r w:rsidRPr="00D51FC2">
                    <w:rPr>
                      <w:rFonts w:ascii="Verdana" w:hAnsi="Verdana" w:cs="Traditional Arabic"/>
                      <w:sz w:val="19"/>
                      <w:szCs w:val="19"/>
                      <w:lang w:eastAsia="en-US"/>
                    </w:rPr>
                    <w:object w:dxaOrig="225" w:dyaOrig="225">
                      <v:shape id="_x0000_i1105" type="#_x0000_t75" style="width:20.55pt;height:17.75pt" o:ole="">
                        <v:imagedata r:id="rId84" o:title=""/>
                      </v:shape>
                      <w:control r:id="rId85" w:name="DefaultOcxName8" w:shapeid="_x0000_i1105"/>
                    </w:object>
                  </w:r>
                  <w:r w:rsidRPr="002A103D">
                    <w:rPr>
                      <w:rFonts w:cs="Traditional Arabic"/>
                      <w:szCs w:val="19"/>
                      <w:lang w:val="en-US" w:eastAsia="en-US"/>
                    </w:rPr>
                    <w:t xml:space="preserve">Yes </w:t>
                  </w:r>
                  <w:r w:rsidRPr="00D51FC2">
                    <w:rPr>
                      <w:rFonts w:ascii="Verdana" w:hAnsi="Verdana" w:cs="Traditional Arabic"/>
                      <w:sz w:val="19"/>
                      <w:szCs w:val="19"/>
                      <w:lang w:eastAsia="en-US"/>
                    </w:rPr>
                    <w:object w:dxaOrig="225" w:dyaOrig="225">
                      <v:shape id="_x0000_i1108" type="#_x0000_t75" style="width:20.55pt;height:17.75pt" o:ole="">
                        <v:imagedata r:id="rId86" o:title=""/>
                      </v:shape>
                      <w:control r:id="rId87" w:name="DefaultOcxName9" w:shapeid="_x0000_i1108"/>
                    </w:object>
                  </w:r>
                  <w:r w:rsidRPr="002A103D">
                    <w:rPr>
                      <w:rFonts w:cs="Traditional Arabic"/>
                      <w:szCs w:val="19"/>
                      <w:lang w:val="en-US" w:eastAsia="en-US"/>
                    </w:rPr>
                    <w:t xml:space="preserve">No </w:t>
                  </w:r>
                </w:p>
              </w:tc>
            </w:tr>
          </w:tbl>
          <w:p w:rsidR="00606EA3" w:rsidRPr="002A103D" w:rsidRDefault="00606EA3" w:rsidP="00606EA3">
            <w:pPr>
              <w:spacing w:before="40"/>
              <w:rPr>
                <w:rFonts w:eastAsia="SimSun" w:cs="Traditional Arabic"/>
                <w:szCs w:val="19"/>
                <w:lang w:val="en-US" w:eastAsia="en-US"/>
              </w:rPr>
            </w:pPr>
            <w:r w:rsidRPr="002A103D">
              <w:rPr>
                <w:rFonts w:eastAsia="SimSun" w:cs="Traditional Arabic"/>
                <w:szCs w:val="19"/>
                <w:lang w:val="en-US" w:eastAsia="en-US"/>
              </w:rPr>
              <w:t>If no, do you intend to propose adaptation measures to climate change in the future?</w:t>
            </w:r>
          </w:p>
        </w:tc>
      </w:tr>
      <w:tr w:rsidR="00606EA3" w:rsidRPr="00E94F9B" w:rsidTr="00606EA3">
        <w:tc>
          <w:tcPr>
            <w:tcW w:w="9639" w:type="dxa"/>
            <w:tcBorders>
              <w:top w:val="single" w:sz="4" w:space="0" w:color="auto"/>
              <w:left w:val="single" w:sz="4" w:space="0" w:color="auto"/>
              <w:bottom w:val="single" w:sz="4" w:space="0" w:color="auto"/>
              <w:right w:val="single" w:sz="4" w:space="0" w:color="auto"/>
            </w:tcBorders>
            <w:hideMark/>
          </w:tcPr>
          <w:p w:rsidR="00606EA3" w:rsidRPr="002A103D" w:rsidRDefault="00606EA3" w:rsidP="00606EA3">
            <w:pPr>
              <w:numPr>
                <w:ilvl w:val="0"/>
                <w:numId w:val="15"/>
              </w:numPr>
              <w:contextualSpacing/>
              <w:jc w:val="left"/>
              <w:rPr>
                <w:rFonts w:eastAsia="SimSun" w:cs="Traditional Arabic"/>
                <w:szCs w:val="19"/>
                <w:lang w:val="en-US" w:eastAsia="en-US"/>
              </w:rPr>
            </w:pPr>
            <w:r w:rsidRPr="002A103D">
              <w:rPr>
                <w:rFonts w:eastAsia="SimSun" w:cs="Traditional Arabic"/>
                <w:szCs w:val="19"/>
                <w:lang w:val="en-US" w:eastAsia="en-US"/>
              </w:rPr>
              <w:t>Have you estimated the global ICT footprint in your country, in terms of greenhouse gas (GHG) emissions?</w:t>
            </w:r>
          </w:p>
          <w:p w:rsidR="00606EA3" w:rsidRPr="002A103D" w:rsidRDefault="00606EA3" w:rsidP="00606EA3">
            <w:pPr>
              <w:ind w:left="360"/>
              <w:contextualSpacing/>
              <w:rPr>
                <w:rFonts w:eastAsia="SimSun" w:cs="Traditional Arabic"/>
                <w:szCs w:val="19"/>
                <w:lang w:val="en-US" w:eastAsia="en-US"/>
              </w:rPr>
            </w:pPr>
            <w:r w:rsidRPr="002A103D">
              <w:rPr>
                <w:rFonts w:eastAsia="SimSun" w:cs="Traditional Arabic"/>
                <w:szCs w:val="19"/>
                <w:lang w:val="en-US" w:eastAsia="en-US"/>
              </w:rPr>
              <w:t>Note: ICT global footprint:</w:t>
            </w:r>
            <w:r w:rsidRPr="002A103D">
              <w:rPr>
                <w:rFonts w:eastAsia="SimSun" w:cs="Traditional Arabic"/>
                <w:b/>
                <w:szCs w:val="19"/>
                <w:lang w:val="en-US" w:eastAsia="en-US"/>
              </w:rPr>
              <w:t xml:space="preserve"> </w:t>
            </w:r>
            <w:r w:rsidRPr="002A103D">
              <w:rPr>
                <w:rFonts w:eastAsia="SimSun" w:cs="Traditional Arabic"/>
                <w:szCs w:val="19"/>
                <w:lang w:val="en-US" w:eastAsia="en-US"/>
              </w:rPr>
              <w:t xml:space="preserve">The ICT industry has for a long time been focused on delivering productivity enhancements in and through its products and solutions. Energy efficiency has only recently become a critical issue: in some countries, energy consumption of ICT is now more than 13%. It is </w:t>
            </w:r>
            <w:r w:rsidRPr="002A103D">
              <w:rPr>
                <w:rFonts w:eastAsia="SimSun" w:cs="Traditional Arabic"/>
                <w:szCs w:val="19"/>
                <w:lang w:val="en-US"/>
              </w:rPr>
              <w:t>estimated that the ICT industry accounts for approximately 2% of global CO</w:t>
            </w:r>
            <w:r w:rsidRPr="00DE0E49">
              <w:rPr>
                <w:rFonts w:eastAsia="SimSun" w:cs="Traditional Arabic"/>
                <w:szCs w:val="19"/>
                <w:vertAlign w:val="subscript"/>
                <w:lang w:val="en-US"/>
              </w:rPr>
              <w:t>2</w:t>
            </w:r>
            <w:r w:rsidRPr="002A103D">
              <w:rPr>
                <w:rFonts w:eastAsia="SimSun" w:cs="Traditional Arabic"/>
                <w:szCs w:val="19"/>
                <w:lang w:val="en-US"/>
              </w:rPr>
              <w:t xml:space="preserve"> emissions.</w:t>
            </w:r>
          </w:p>
          <w:tbl>
            <w:tblPr>
              <w:tblW w:w="0" w:type="auto"/>
              <w:tblCellSpacing w:w="0" w:type="dxa"/>
              <w:tblInd w:w="15" w:type="dxa"/>
              <w:tblBorders>
                <w:top w:val="single" w:sz="6" w:space="0" w:color="99CCFF"/>
                <w:left w:val="single" w:sz="6" w:space="0" w:color="99CCFF"/>
                <w:bottom w:val="single" w:sz="6" w:space="0" w:color="99CCFF"/>
                <w:right w:val="single" w:sz="6" w:space="0" w:color="99CCFF"/>
              </w:tblBorders>
              <w:shd w:val="clear" w:color="auto" w:fill="C0D8FE"/>
              <w:tblLayout w:type="fixed"/>
              <w:tblCellMar>
                <w:left w:w="0" w:type="dxa"/>
                <w:right w:w="0" w:type="dxa"/>
              </w:tblCellMar>
              <w:tblLook w:val="04A0" w:firstRow="1" w:lastRow="0" w:firstColumn="1" w:lastColumn="0" w:noHBand="0" w:noVBand="1"/>
            </w:tblPr>
            <w:tblGrid>
              <w:gridCol w:w="1459"/>
            </w:tblGrid>
            <w:tr w:rsidR="00606EA3" w:rsidRPr="00E94F9B" w:rsidTr="00606EA3">
              <w:trPr>
                <w:tblCellSpacing w:w="0" w:type="dxa"/>
              </w:trPr>
              <w:tc>
                <w:tcPr>
                  <w:tcW w:w="1459" w:type="dxa"/>
                  <w:tcBorders>
                    <w:top w:val="nil"/>
                    <w:left w:val="nil"/>
                    <w:bottom w:val="nil"/>
                    <w:right w:val="nil"/>
                  </w:tcBorders>
                  <w:shd w:val="clear" w:color="auto" w:fill="C0D8FE"/>
                  <w:vAlign w:val="center"/>
                  <w:hideMark/>
                </w:tcPr>
                <w:p w:rsidR="00606EA3" w:rsidRPr="002A103D" w:rsidRDefault="00606EA3" w:rsidP="00606EA3">
                  <w:pPr>
                    <w:rPr>
                      <w:rFonts w:cs="Traditional Arabic"/>
                      <w:bCs/>
                      <w:szCs w:val="19"/>
                      <w:lang w:val="en-US" w:eastAsia="en-US"/>
                    </w:rPr>
                  </w:pPr>
                  <w:r w:rsidRPr="00D51FC2">
                    <w:rPr>
                      <w:rFonts w:ascii="Verdana" w:hAnsi="Verdana" w:cs="Traditional Arabic"/>
                      <w:sz w:val="19"/>
                      <w:szCs w:val="19"/>
                      <w:lang w:eastAsia="en-US"/>
                    </w:rPr>
                    <w:object w:dxaOrig="225" w:dyaOrig="225">
                      <v:shape id="_x0000_i1111" type="#_x0000_t75" style="width:20.55pt;height:17.75pt" o:ole="">
                        <v:imagedata r:id="rId88" o:title=""/>
                      </v:shape>
                      <w:control r:id="rId89" w:name="DefaultOcxName10" w:shapeid="_x0000_i1111"/>
                    </w:object>
                  </w:r>
                  <w:r w:rsidRPr="002A103D">
                    <w:rPr>
                      <w:rFonts w:cs="Traditional Arabic"/>
                      <w:szCs w:val="19"/>
                      <w:lang w:val="en-US" w:eastAsia="en-US"/>
                    </w:rPr>
                    <w:t xml:space="preserve">Yes </w:t>
                  </w:r>
                  <w:r w:rsidRPr="00D51FC2">
                    <w:rPr>
                      <w:rFonts w:ascii="Verdana" w:hAnsi="Verdana" w:cs="Traditional Arabic"/>
                      <w:sz w:val="19"/>
                      <w:szCs w:val="19"/>
                      <w:lang w:eastAsia="en-US"/>
                    </w:rPr>
                    <w:object w:dxaOrig="225" w:dyaOrig="225">
                      <v:shape id="_x0000_i1114" type="#_x0000_t75" style="width:20.55pt;height:17.75pt" o:ole="">
                        <v:imagedata r:id="rId90" o:title=""/>
                      </v:shape>
                      <w:control r:id="rId91" w:name="DefaultOcxName11" w:shapeid="_x0000_i1114"/>
                    </w:object>
                  </w:r>
                  <w:r w:rsidRPr="002A103D">
                    <w:rPr>
                      <w:rFonts w:cs="Traditional Arabic"/>
                      <w:szCs w:val="19"/>
                      <w:lang w:val="en-US" w:eastAsia="en-US"/>
                    </w:rPr>
                    <w:t xml:space="preserve">No </w:t>
                  </w:r>
                </w:p>
              </w:tc>
            </w:tr>
          </w:tbl>
          <w:p w:rsidR="00606EA3" w:rsidRPr="002A103D" w:rsidRDefault="00606EA3" w:rsidP="00606EA3">
            <w:pPr>
              <w:spacing w:before="40"/>
              <w:rPr>
                <w:rFonts w:eastAsia="SimSun" w:cs="Traditional Arabic"/>
                <w:szCs w:val="19"/>
                <w:lang w:val="en-US" w:eastAsia="en-US"/>
              </w:rPr>
            </w:pPr>
            <w:r w:rsidRPr="002A103D">
              <w:rPr>
                <w:rFonts w:eastAsia="SimSun" w:cs="Traditional Arabic"/>
                <w:szCs w:val="19"/>
                <w:lang w:val="en-US" w:eastAsia="en-US"/>
              </w:rPr>
              <w:t>If yes, what measures are you taking to reduce your GHG ICT footprint?</w:t>
            </w:r>
          </w:p>
          <w:p w:rsidR="00606EA3" w:rsidRPr="002A103D" w:rsidRDefault="00606EA3" w:rsidP="00606EA3">
            <w:pPr>
              <w:spacing w:before="40"/>
              <w:rPr>
                <w:rFonts w:eastAsia="SimSun" w:cs="Traditional Arabic"/>
                <w:szCs w:val="19"/>
                <w:lang w:val="en-US" w:eastAsia="en-US"/>
              </w:rPr>
            </w:pPr>
            <w:r w:rsidRPr="002A103D">
              <w:rPr>
                <w:rFonts w:eastAsia="SimSun" w:cs="Traditional Arabic"/>
                <w:szCs w:val="19"/>
                <w:lang w:val="en-US" w:eastAsia="en-US"/>
              </w:rPr>
              <w:t>If no, what are your plans for the future?</w:t>
            </w:r>
          </w:p>
        </w:tc>
      </w:tr>
      <w:tr w:rsidR="00606EA3" w:rsidRPr="00E94F9B" w:rsidTr="00606EA3">
        <w:tc>
          <w:tcPr>
            <w:tcW w:w="9639" w:type="dxa"/>
            <w:tcBorders>
              <w:top w:val="single" w:sz="4" w:space="0" w:color="auto"/>
              <w:left w:val="single" w:sz="4" w:space="0" w:color="auto"/>
              <w:bottom w:val="single" w:sz="4" w:space="0" w:color="auto"/>
              <w:right w:val="single" w:sz="4" w:space="0" w:color="auto"/>
            </w:tcBorders>
            <w:hideMark/>
          </w:tcPr>
          <w:p w:rsidR="00606EA3" w:rsidRPr="002A103D" w:rsidRDefault="00606EA3" w:rsidP="00606EA3">
            <w:pPr>
              <w:numPr>
                <w:ilvl w:val="0"/>
                <w:numId w:val="15"/>
              </w:numPr>
              <w:contextualSpacing/>
              <w:jc w:val="left"/>
              <w:rPr>
                <w:rFonts w:eastAsia="SimSun" w:cs="Traditional Arabic"/>
                <w:szCs w:val="19"/>
                <w:lang w:val="en-US" w:eastAsia="en-US"/>
              </w:rPr>
            </w:pPr>
            <w:r w:rsidRPr="002A103D">
              <w:rPr>
                <w:rFonts w:eastAsia="SimSun" w:cs="Traditional Arabic"/>
                <w:szCs w:val="19"/>
                <w:lang w:val="en-US" w:eastAsia="en-US"/>
              </w:rPr>
              <w:t>Are you aware of “green” ICT initiative which would provide better design and energy consumption?</w:t>
            </w:r>
          </w:p>
          <w:tbl>
            <w:tblPr>
              <w:tblW w:w="0" w:type="auto"/>
              <w:tblCellSpacing w:w="0" w:type="dxa"/>
              <w:tblInd w:w="15" w:type="dxa"/>
              <w:tblBorders>
                <w:top w:val="single" w:sz="6" w:space="0" w:color="99CCFF"/>
                <w:left w:val="single" w:sz="6" w:space="0" w:color="99CCFF"/>
                <w:bottom w:val="single" w:sz="6" w:space="0" w:color="99CCFF"/>
                <w:right w:val="single" w:sz="6" w:space="0" w:color="99CCFF"/>
              </w:tblBorders>
              <w:shd w:val="clear" w:color="auto" w:fill="C0D8FE"/>
              <w:tblLayout w:type="fixed"/>
              <w:tblCellMar>
                <w:left w:w="0" w:type="dxa"/>
                <w:right w:w="0" w:type="dxa"/>
              </w:tblCellMar>
              <w:tblLook w:val="04A0" w:firstRow="1" w:lastRow="0" w:firstColumn="1" w:lastColumn="0" w:noHBand="0" w:noVBand="1"/>
            </w:tblPr>
            <w:tblGrid>
              <w:gridCol w:w="1459"/>
            </w:tblGrid>
            <w:tr w:rsidR="00606EA3" w:rsidRPr="00E94F9B" w:rsidTr="00606EA3">
              <w:trPr>
                <w:tblCellSpacing w:w="0" w:type="dxa"/>
              </w:trPr>
              <w:tc>
                <w:tcPr>
                  <w:tcW w:w="1459" w:type="dxa"/>
                  <w:tcBorders>
                    <w:top w:val="nil"/>
                    <w:left w:val="nil"/>
                    <w:bottom w:val="nil"/>
                    <w:right w:val="nil"/>
                  </w:tcBorders>
                  <w:shd w:val="clear" w:color="auto" w:fill="C0D8FE"/>
                  <w:vAlign w:val="center"/>
                  <w:hideMark/>
                </w:tcPr>
                <w:p w:rsidR="00606EA3" w:rsidRPr="002A103D" w:rsidRDefault="00606EA3" w:rsidP="00606EA3">
                  <w:pPr>
                    <w:rPr>
                      <w:rFonts w:cs="Traditional Arabic"/>
                      <w:bCs/>
                      <w:szCs w:val="19"/>
                      <w:lang w:val="en-US" w:eastAsia="en-US"/>
                    </w:rPr>
                  </w:pPr>
                  <w:r w:rsidRPr="00D51FC2">
                    <w:rPr>
                      <w:rFonts w:ascii="Verdana" w:hAnsi="Verdana" w:cs="Traditional Arabic"/>
                      <w:sz w:val="19"/>
                      <w:szCs w:val="19"/>
                      <w:lang w:eastAsia="en-US"/>
                    </w:rPr>
                    <w:object w:dxaOrig="225" w:dyaOrig="225">
                      <v:shape id="_x0000_i1117" type="#_x0000_t75" style="width:20.55pt;height:17.75pt" o:ole="">
                        <v:imagedata r:id="rId92" o:title=""/>
                      </v:shape>
                      <w:control r:id="rId93" w:name="DefaultOcxName12" w:shapeid="_x0000_i1117"/>
                    </w:object>
                  </w:r>
                  <w:r w:rsidRPr="002A103D">
                    <w:rPr>
                      <w:rFonts w:cs="Traditional Arabic"/>
                      <w:szCs w:val="19"/>
                      <w:lang w:val="en-US" w:eastAsia="en-US"/>
                    </w:rPr>
                    <w:t xml:space="preserve">Yes </w:t>
                  </w:r>
                  <w:r w:rsidRPr="00D51FC2">
                    <w:rPr>
                      <w:rFonts w:ascii="Verdana" w:hAnsi="Verdana" w:cs="Traditional Arabic"/>
                      <w:sz w:val="19"/>
                      <w:szCs w:val="19"/>
                      <w:lang w:eastAsia="en-US"/>
                    </w:rPr>
                    <w:object w:dxaOrig="225" w:dyaOrig="225">
                      <v:shape id="_x0000_i1120" type="#_x0000_t75" style="width:20.55pt;height:17.75pt" o:ole="">
                        <v:imagedata r:id="rId94" o:title=""/>
                      </v:shape>
                      <w:control r:id="rId95" w:name="DefaultOcxName13" w:shapeid="_x0000_i1120"/>
                    </w:object>
                  </w:r>
                  <w:r w:rsidRPr="002A103D">
                    <w:rPr>
                      <w:rFonts w:cs="Traditional Arabic"/>
                      <w:szCs w:val="19"/>
                      <w:lang w:val="en-US" w:eastAsia="en-US"/>
                    </w:rPr>
                    <w:t xml:space="preserve">No </w:t>
                  </w:r>
                </w:p>
              </w:tc>
            </w:tr>
          </w:tbl>
          <w:p w:rsidR="00606EA3" w:rsidRPr="002A103D" w:rsidRDefault="00606EA3" w:rsidP="00606EA3">
            <w:pPr>
              <w:spacing w:before="80"/>
              <w:rPr>
                <w:rFonts w:eastAsia="SimSun" w:cs="Traditional Arabic"/>
                <w:szCs w:val="19"/>
                <w:lang w:val="en-US" w:eastAsia="en-US"/>
              </w:rPr>
            </w:pPr>
            <w:r w:rsidRPr="002A103D">
              <w:rPr>
                <w:rFonts w:eastAsia="SimSun" w:cs="Traditional Arabic"/>
                <w:szCs w:val="19"/>
                <w:lang w:val="en-US" w:eastAsia="en-US"/>
              </w:rPr>
              <w:t>If yes, are they: (please explain)</w:t>
            </w:r>
          </w:p>
          <w:p w:rsidR="00606EA3" w:rsidRPr="002A103D" w:rsidRDefault="00606EA3" w:rsidP="00606EA3">
            <w:pPr>
              <w:spacing w:before="80"/>
              <w:rPr>
                <w:rFonts w:eastAsia="SimSun" w:cs="Traditional Arabic"/>
                <w:szCs w:val="19"/>
                <w:lang w:val="en-US" w:eastAsia="en-US"/>
              </w:rPr>
            </w:pPr>
            <w:r w:rsidRPr="002A103D">
              <w:rPr>
                <w:rFonts w:eastAsia="SimSun" w:cs="Traditional Arabic"/>
                <w:szCs w:val="19"/>
                <w:lang w:val="en-US" w:eastAsia="en-US"/>
              </w:rPr>
              <w:t>a) regional initiatives, please explain the details, and indicate the level of implementation of these initiatives in your country.</w:t>
            </w:r>
          </w:p>
          <w:p w:rsidR="00606EA3" w:rsidRPr="002A103D" w:rsidRDefault="00606EA3" w:rsidP="00606EA3">
            <w:pPr>
              <w:spacing w:before="80"/>
              <w:rPr>
                <w:rFonts w:eastAsia="SimSun" w:cs="Traditional Arabic"/>
                <w:szCs w:val="19"/>
                <w:lang w:val="en-US" w:eastAsia="en-US"/>
              </w:rPr>
            </w:pPr>
            <w:r w:rsidRPr="002A103D">
              <w:rPr>
                <w:rFonts w:eastAsia="SimSun" w:cs="Traditional Arabic"/>
                <w:szCs w:val="19"/>
                <w:lang w:val="en-US" w:eastAsia="en-US"/>
              </w:rPr>
              <w:t>b) global initiatives, please explain the details, and indicate the level of implementation of these initiatives in your country.</w:t>
            </w:r>
          </w:p>
          <w:p w:rsidR="00606EA3" w:rsidRPr="002A103D" w:rsidRDefault="00606EA3" w:rsidP="00606EA3">
            <w:pPr>
              <w:spacing w:before="80"/>
              <w:rPr>
                <w:rFonts w:eastAsia="SimSun" w:cs="Traditional Arabic"/>
                <w:szCs w:val="19"/>
                <w:lang w:val="en-US" w:eastAsia="en-US"/>
              </w:rPr>
            </w:pPr>
            <w:r w:rsidRPr="002A103D">
              <w:rPr>
                <w:rFonts w:eastAsia="SimSun" w:cs="Traditional Arabic"/>
                <w:szCs w:val="19"/>
                <w:lang w:val="en-US" w:eastAsia="en-US"/>
              </w:rPr>
              <w:t>If no, what specific aspects of green ICT would you like to learn more about?</w:t>
            </w:r>
          </w:p>
        </w:tc>
      </w:tr>
      <w:tr w:rsidR="00606EA3" w:rsidRPr="00E94F9B" w:rsidTr="00606EA3">
        <w:tc>
          <w:tcPr>
            <w:tcW w:w="9639" w:type="dxa"/>
            <w:tcBorders>
              <w:top w:val="single" w:sz="4" w:space="0" w:color="auto"/>
              <w:left w:val="single" w:sz="4" w:space="0" w:color="auto"/>
              <w:bottom w:val="single" w:sz="4" w:space="0" w:color="auto"/>
              <w:right w:val="single" w:sz="4" w:space="0" w:color="auto"/>
            </w:tcBorders>
            <w:hideMark/>
          </w:tcPr>
          <w:p w:rsidR="00606EA3" w:rsidRPr="002A103D" w:rsidRDefault="00606EA3" w:rsidP="00606EA3">
            <w:pPr>
              <w:numPr>
                <w:ilvl w:val="0"/>
                <w:numId w:val="15"/>
              </w:numPr>
              <w:contextualSpacing/>
              <w:jc w:val="left"/>
              <w:rPr>
                <w:rFonts w:eastAsia="SimSun" w:cs="Traditional Arabic"/>
                <w:szCs w:val="19"/>
                <w:lang w:val="en-US" w:eastAsia="en-US"/>
              </w:rPr>
            </w:pPr>
            <w:r w:rsidRPr="002A103D">
              <w:rPr>
                <w:rFonts w:eastAsia="SimSun" w:cs="Traditional Arabic"/>
                <w:szCs w:val="19"/>
                <w:lang w:val="en-US" w:eastAsia="en-US"/>
              </w:rPr>
              <w:lastRenderedPageBreak/>
              <w:t>Are you aware of the so-called rebound effect that would offset the beneficial aspects of green ICT or any ICT consuming less energy?</w:t>
            </w:r>
          </w:p>
          <w:p w:rsidR="00606EA3" w:rsidRPr="002A103D" w:rsidRDefault="00606EA3" w:rsidP="00606EA3">
            <w:pPr>
              <w:ind w:left="360"/>
              <w:contextualSpacing/>
              <w:rPr>
                <w:rFonts w:eastAsia="SimSun" w:cs="Traditional Arabic"/>
                <w:szCs w:val="19"/>
                <w:lang w:val="en-US" w:eastAsia="en-US"/>
              </w:rPr>
            </w:pPr>
            <w:r w:rsidRPr="002A103D">
              <w:rPr>
                <w:rFonts w:eastAsia="SimSun" w:cs="HelveticaNeue-Light"/>
                <w:color w:val="231F20"/>
                <w:szCs w:val="19"/>
                <w:lang w:val="en-US" w:eastAsia="en-US"/>
              </w:rPr>
              <w:t xml:space="preserve">Note: Rebound effect:  The rebound effect (or take–back effect) is well-known in economy and in energy saving. It generally refers </w:t>
            </w:r>
            <w:r w:rsidRPr="002A103D">
              <w:rPr>
                <w:rFonts w:eastAsia="SimSun" w:cs="FreeSerif"/>
                <w:szCs w:val="19"/>
                <w:lang w:val="en-US" w:eastAsia="en-US"/>
              </w:rPr>
              <w:t>to the introduction of new technologies, or other measures taken to reduce resource use: these responses tend to offset the beneficial effects of the new technology or other measures taken. While the literature on the rebound effect generally focuses on the effect of technological improvements on energy consumption, the theory can also be applied to the use of any natural resource.</w:t>
            </w:r>
          </w:p>
          <w:tbl>
            <w:tblPr>
              <w:tblW w:w="0" w:type="auto"/>
              <w:tblCellSpacing w:w="0" w:type="dxa"/>
              <w:tblInd w:w="15" w:type="dxa"/>
              <w:tblBorders>
                <w:top w:val="single" w:sz="6" w:space="0" w:color="99CCFF"/>
                <w:left w:val="single" w:sz="6" w:space="0" w:color="99CCFF"/>
                <w:bottom w:val="single" w:sz="6" w:space="0" w:color="99CCFF"/>
                <w:right w:val="single" w:sz="6" w:space="0" w:color="99CCFF"/>
              </w:tblBorders>
              <w:shd w:val="clear" w:color="auto" w:fill="C0D8FE"/>
              <w:tblLayout w:type="fixed"/>
              <w:tblCellMar>
                <w:left w:w="0" w:type="dxa"/>
                <w:right w:w="0" w:type="dxa"/>
              </w:tblCellMar>
              <w:tblLook w:val="04A0" w:firstRow="1" w:lastRow="0" w:firstColumn="1" w:lastColumn="0" w:noHBand="0" w:noVBand="1"/>
            </w:tblPr>
            <w:tblGrid>
              <w:gridCol w:w="1459"/>
            </w:tblGrid>
            <w:tr w:rsidR="00606EA3" w:rsidRPr="00E94F9B" w:rsidTr="00606EA3">
              <w:trPr>
                <w:tblCellSpacing w:w="0" w:type="dxa"/>
              </w:trPr>
              <w:tc>
                <w:tcPr>
                  <w:tcW w:w="1459" w:type="dxa"/>
                  <w:tcBorders>
                    <w:top w:val="nil"/>
                    <w:left w:val="nil"/>
                    <w:bottom w:val="nil"/>
                    <w:right w:val="nil"/>
                  </w:tcBorders>
                  <w:shd w:val="clear" w:color="auto" w:fill="C0D8FE"/>
                  <w:vAlign w:val="center"/>
                  <w:hideMark/>
                </w:tcPr>
                <w:p w:rsidR="00606EA3" w:rsidRPr="002A103D" w:rsidRDefault="00606EA3" w:rsidP="00606EA3">
                  <w:pPr>
                    <w:rPr>
                      <w:rFonts w:cs="Traditional Arabic"/>
                      <w:bCs/>
                      <w:szCs w:val="19"/>
                      <w:lang w:val="en-US" w:eastAsia="en-US"/>
                    </w:rPr>
                  </w:pPr>
                  <w:r w:rsidRPr="00D51FC2">
                    <w:rPr>
                      <w:rFonts w:ascii="Verdana" w:hAnsi="Verdana" w:cs="Traditional Arabic"/>
                      <w:sz w:val="19"/>
                      <w:szCs w:val="19"/>
                      <w:lang w:eastAsia="en-US"/>
                    </w:rPr>
                    <w:object w:dxaOrig="225" w:dyaOrig="225">
                      <v:shape id="_x0000_i1123" type="#_x0000_t75" style="width:20.55pt;height:17.75pt" o:ole="">
                        <v:imagedata r:id="rId96" o:title=""/>
                      </v:shape>
                      <w:control r:id="rId97" w:name="DefaultOcxName14" w:shapeid="_x0000_i1123"/>
                    </w:object>
                  </w:r>
                  <w:r w:rsidRPr="002A103D">
                    <w:rPr>
                      <w:rFonts w:cs="Traditional Arabic"/>
                      <w:szCs w:val="19"/>
                      <w:lang w:val="en-US" w:eastAsia="en-US"/>
                    </w:rPr>
                    <w:t xml:space="preserve">Yes </w:t>
                  </w:r>
                  <w:r w:rsidRPr="00D51FC2">
                    <w:rPr>
                      <w:rFonts w:ascii="Verdana" w:hAnsi="Verdana" w:cs="Traditional Arabic"/>
                      <w:sz w:val="19"/>
                      <w:szCs w:val="19"/>
                      <w:lang w:eastAsia="en-US"/>
                    </w:rPr>
                    <w:object w:dxaOrig="225" w:dyaOrig="225">
                      <v:shape id="_x0000_i1126" type="#_x0000_t75" style="width:20.55pt;height:17.75pt" o:ole="">
                        <v:imagedata r:id="rId98" o:title=""/>
                      </v:shape>
                      <w:control r:id="rId99" w:name="DefaultOcxName15" w:shapeid="_x0000_i1126"/>
                    </w:object>
                  </w:r>
                  <w:r w:rsidRPr="002A103D">
                    <w:rPr>
                      <w:rFonts w:cs="Traditional Arabic"/>
                      <w:szCs w:val="19"/>
                      <w:lang w:val="en-US" w:eastAsia="en-US"/>
                    </w:rPr>
                    <w:t xml:space="preserve">No </w:t>
                  </w:r>
                </w:p>
              </w:tc>
            </w:tr>
          </w:tbl>
          <w:p w:rsidR="00606EA3" w:rsidRPr="002A103D" w:rsidRDefault="00606EA3" w:rsidP="00606EA3">
            <w:pPr>
              <w:rPr>
                <w:rFonts w:eastAsia="SimSun" w:cs="Traditional Arabic"/>
                <w:szCs w:val="19"/>
                <w:lang w:val="en-US" w:eastAsia="en-US"/>
              </w:rPr>
            </w:pPr>
            <w:r w:rsidRPr="002A103D">
              <w:rPr>
                <w:rFonts w:eastAsia="SimSun" w:cs="Traditional Arabic"/>
                <w:szCs w:val="19"/>
                <w:lang w:val="en-US" w:eastAsia="en-US"/>
              </w:rPr>
              <w:t>If yes, please indicate if your are planning future actions in this area</w:t>
            </w:r>
          </w:p>
          <w:p w:rsidR="00606EA3" w:rsidRPr="002A103D" w:rsidRDefault="00606EA3" w:rsidP="00606EA3">
            <w:pPr>
              <w:rPr>
                <w:rFonts w:eastAsia="SimSun" w:cs="Traditional Arabic"/>
                <w:szCs w:val="19"/>
                <w:lang w:val="en-US" w:eastAsia="en-US"/>
              </w:rPr>
            </w:pPr>
            <w:r w:rsidRPr="002A103D">
              <w:rPr>
                <w:rFonts w:eastAsia="SimSun" w:cs="Traditional Arabic"/>
                <w:szCs w:val="19"/>
                <w:lang w:val="en-US" w:eastAsia="en-US"/>
              </w:rPr>
              <w:t>If no, would you consider this phenomenon in the future?</w:t>
            </w:r>
          </w:p>
        </w:tc>
      </w:tr>
      <w:tr w:rsidR="00606EA3" w:rsidRPr="00E94F9B" w:rsidTr="00606EA3">
        <w:tc>
          <w:tcPr>
            <w:tcW w:w="9639" w:type="dxa"/>
            <w:tcBorders>
              <w:top w:val="single" w:sz="4" w:space="0" w:color="auto"/>
              <w:left w:val="single" w:sz="4" w:space="0" w:color="auto"/>
              <w:bottom w:val="single" w:sz="4" w:space="0" w:color="auto"/>
              <w:right w:val="single" w:sz="4" w:space="0" w:color="auto"/>
            </w:tcBorders>
            <w:hideMark/>
          </w:tcPr>
          <w:p w:rsidR="00606EA3" w:rsidRPr="002A103D" w:rsidRDefault="00606EA3" w:rsidP="00606EA3">
            <w:pPr>
              <w:numPr>
                <w:ilvl w:val="0"/>
                <w:numId w:val="15"/>
              </w:numPr>
              <w:contextualSpacing/>
              <w:jc w:val="left"/>
              <w:rPr>
                <w:rFonts w:eastAsia="SimSun" w:cs="Traditional Arabic"/>
                <w:szCs w:val="19"/>
                <w:lang w:val="en-US" w:eastAsia="en-US"/>
              </w:rPr>
            </w:pPr>
            <w:r w:rsidRPr="002A103D">
              <w:rPr>
                <w:rFonts w:eastAsia="SimSun" w:cs="Traditional Arabic"/>
                <w:szCs w:val="19"/>
                <w:lang w:val="en-US" w:eastAsia="en-US"/>
              </w:rPr>
              <w:t>What severe weather conditions are typical in your rural/remote regions?</w:t>
            </w:r>
          </w:p>
        </w:tc>
      </w:tr>
      <w:tr w:rsidR="00606EA3" w:rsidRPr="00D51FC2" w:rsidTr="00606EA3">
        <w:tc>
          <w:tcPr>
            <w:tcW w:w="9639" w:type="dxa"/>
            <w:tcBorders>
              <w:top w:val="single" w:sz="4" w:space="0" w:color="auto"/>
              <w:left w:val="single" w:sz="4" w:space="0" w:color="auto"/>
              <w:bottom w:val="single" w:sz="4" w:space="0" w:color="auto"/>
              <w:right w:val="single" w:sz="4" w:space="0" w:color="auto"/>
            </w:tcBorders>
            <w:hideMark/>
          </w:tcPr>
          <w:p w:rsidR="00606EA3" w:rsidRPr="002A103D" w:rsidRDefault="00606EA3" w:rsidP="00606EA3">
            <w:pPr>
              <w:numPr>
                <w:ilvl w:val="0"/>
                <w:numId w:val="15"/>
              </w:numPr>
              <w:contextualSpacing/>
              <w:jc w:val="left"/>
              <w:rPr>
                <w:rFonts w:eastAsia="SimSun" w:cs="Traditional Arabic"/>
                <w:szCs w:val="19"/>
                <w:lang w:val="en-US" w:eastAsia="en-US"/>
              </w:rPr>
            </w:pPr>
            <w:r w:rsidRPr="002A103D">
              <w:rPr>
                <w:rFonts w:eastAsia="SimSun" w:cs="Traditional Arabic"/>
                <w:szCs w:val="19"/>
                <w:lang w:val="en-US" w:eastAsia="en-US"/>
              </w:rPr>
              <w:t>Is your administration using any Systems and Applications of ICT to adapt to climate change?</w:t>
            </w:r>
          </w:p>
          <w:tbl>
            <w:tblPr>
              <w:tblW w:w="0" w:type="auto"/>
              <w:tblCellSpacing w:w="0" w:type="dxa"/>
              <w:tblInd w:w="15" w:type="dxa"/>
              <w:tblBorders>
                <w:top w:val="single" w:sz="6" w:space="0" w:color="99CCFF"/>
                <w:left w:val="single" w:sz="6" w:space="0" w:color="99CCFF"/>
                <w:bottom w:val="single" w:sz="6" w:space="0" w:color="99CCFF"/>
                <w:right w:val="single" w:sz="6" w:space="0" w:color="99CCFF"/>
              </w:tblBorders>
              <w:shd w:val="clear" w:color="auto" w:fill="C0D8FE"/>
              <w:tblLayout w:type="fixed"/>
              <w:tblCellMar>
                <w:left w:w="0" w:type="dxa"/>
                <w:right w:w="0" w:type="dxa"/>
              </w:tblCellMar>
              <w:tblLook w:val="04A0" w:firstRow="1" w:lastRow="0" w:firstColumn="1" w:lastColumn="0" w:noHBand="0" w:noVBand="1"/>
            </w:tblPr>
            <w:tblGrid>
              <w:gridCol w:w="1459"/>
            </w:tblGrid>
            <w:tr w:rsidR="00606EA3" w:rsidRPr="00E94F9B" w:rsidTr="00606EA3">
              <w:trPr>
                <w:tblCellSpacing w:w="0" w:type="dxa"/>
              </w:trPr>
              <w:tc>
                <w:tcPr>
                  <w:tcW w:w="1459" w:type="dxa"/>
                  <w:tcBorders>
                    <w:top w:val="nil"/>
                    <w:left w:val="nil"/>
                    <w:bottom w:val="nil"/>
                    <w:right w:val="nil"/>
                  </w:tcBorders>
                  <w:shd w:val="clear" w:color="auto" w:fill="C0D8FE"/>
                  <w:vAlign w:val="center"/>
                  <w:hideMark/>
                </w:tcPr>
                <w:p w:rsidR="00606EA3" w:rsidRPr="002A103D" w:rsidRDefault="00606EA3" w:rsidP="00606EA3">
                  <w:pPr>
                    <w:rPr>
                      <w:rFonts w:cs="Traditional Arabic"/>
                      <w:bCs/>
                      <w:szCs w:val="19"/>
                      <w:lang w:val="en-US" w:eastAsia="en-US"/>
                    </w:rPr>
                  </w:pPr>
                  <w:r w:rsidRPr="00D51FC2">
                    <w:rPr>
                      <w:rFonts w:ascii="Verdana" w:hAnsi="Verdana" w:cs="Traditional Arabic"/>
                      <w:sz w:val="19"/>
                      <w:szCs w:val="19"/>
                      <w:lang w:eastAsia="en-US"/>
                    </w:rPr>
                    <w:object w:dxaOrig="225" w:dyaOrig="225">
                      <v:shape id="_x0000_i1129" type="#_x0000_t75" style="width:20.55pt;height:17.75pt" o:ole="">
                        <v:imagedata r:id="rId100" o:title=""/>
                      </v:shape>
                      <w:control r:id="rId101" w:name="DefaultOcxName16" w:shapeid="_x0000_i1129"/>
                    </w:object>
                  </w:r>
                  <w:r w:rsidRPr="002A103D">
                    <w:rPr>
                      <w:rFonts w:cs="Traditional Arabic"/>
                      <w:szCs w:val="19"/>
                      <w:lang w:val="en-US" w:eastAsia="en-US"/>
                    </w:rPr>
                    <w:t xml:space="preserve">Yes </w:t>
                  </w:r>
                  <w:r w:rsidRPr="00D51FC2">
                    <w:rPr>
                      <w:rFonts w:ascii="Verdana" w:hAnsi="Verdana" w:cs="Traditional Arabic"/>
                      <w:sz w:val="19"/>
                      <w:szCs w:val="19"/>
                      <w:lang w:eastAsia="en-US"/>
                    </w:rPr>
                    <w:object w:dxaOrig="225" w:dyaOrig="225">
                      <v:shape id="_x0000_i1132" type="#_x0000_t75" style="width:20.55pt;height:17.75pt" o:ole="">
                        <v:imagedata r:id="rId102" o:title=""/>
                      </v:shape>
                      <w:control r:id="rId103" w:name="DefaultOcxName17" w:shapeid="_x0000_i1132"/>
                    </w:object>
                  </w:r>
                  <w:r w:rsidRPr="002A103D">
                    <w:rPr>
                      <w:rFonts w:cs="Traditional Arabic"/>
                      <w:szCs w:val="19"/>
                      <w:lang w:val="en-US" w:eastAsia="en-US"/>
                    </w:rPr>
                    <w:t xml:space="preserve">No </w:t>
                  </w:r>
                </w:p>
              </w:tc>
            </w:tr>
          </w:tbl>
          <w:p w:rsidR="00606EA3" w:rsidRPr="002A103D" w:rsidRDefault="00606EA3" w:rsidP="00606EA3">
            <w:pPr>
              <w:rPr>
                <w:rFonts w:eastAsia="SimSun" w:cs="Traditional Arabic"/>
                <w:szCs w:val="19"/>
                <w:lang w:val="en-US" w:eastAsia="en-US"/>
              </w:rPr>
            </w:pPr>
            <w:r w:rsidRPr="002A103D">
              <w:rPr>
                <w:rFonts w:eastAsia="SimSun" w:cs="Traditional Arabic"/>
                <w:szCs w:val="19"/>
                <w:lang w:val="en-US" w:eastAsia="en-US"/>
              </w:rPr>
              <w:t xml:space="preserve">If yes, please specify in which area and the type of system and application used: </w:t>
            </w:r>
          </w:p>
          <w:tbl>
            <w:tblPr>
              <w:tblW w:w="4950" w:type="pct"/>
              <w:tblCellSpacing w:w="0" w:type="dxa"/>
              <w:tblInd w:w="15" w:type="dxa"/>
              <w:tblBorders>
                <w:top w:val="single" w:sz="6" w:space="0" w:color="99CCFF"/>
                <w:left w:val="single" w:sz="6" w:space="0" w:color="99CCFF"/>
                <w:bottom w:val="single" w:sz="6" w:space="0" w:color="99CCFF"/>
                <w:right w:val="single" w:sz="6" w:space="0" w:color="99CCFF"/>
              </w:tblBorders>
              <w:shd w:val="clear" w:color="auto" w:fill="C0D8FE"/>
              <w:tblLayout w:type="fixed"/>
              <w:tblCellMar>
                <w:left w:w="0" w:type="dxa"/>
                <w:right w:w="0" w:type="dxa"/>
              </w:tblCellMar>
              <w:tblLook w:val="04A0" w:firstRow="1" w:lastRow="0" w:firstColumn="1" w:lastColumn="0" w:noHBand="0" w:noVBand="1"/>
            </w:tblPr>
            <w:tblGrid>
              <w:gridCol w:w="9335"/>
            </w:tblGrid>
            <w:tr w:rsidR="00606EA3" w:rsidRPr="00E94F9B" w:rsidTr="00606EA3">
              <w:trPr>
                <w:tblCellSpacing w:w="0" w:type="dxa"/>
              </w:trPr>
              <w:tc>
                <w:tcPr>
                  <w:tcW w:w="5000" w:type="pct"/>
                  <w:tcBorders>
                    <w:top w:val="nil"/>
                    <w:left w:val="nil"/>
                    <w:bottom w:val="nil"/>
                    <w:right w:val="nil"/>
                  </w:tcBorders>
                  <w:shd w:val="clear" w:color="auto" w:fill="C0D8FE"/>
                  <w:hideMark/>
                </w:tcPr>
                <w:p w:rsidR="00606EA3" w:rsidRPr="002A103D" w:rsidRDefault="00606EA3" w:rsidP="00606EA3">
                  <w:pPr>
                    <w:spacing w:before="0" w:line="240" w:lineRule="atLeast"/>
                    <w:rPr>
                      <w:rFonts w:eastAsia="Times New Roman" w:cs="Arial"/>
                      <w:bCs/>
                      <w:szCs w:val="19"/>
                      <w:lang w:val="en-US" w:eastAsia="en-US"/>
                    </w:rPr>
                  </w:pPr>
                  <w:r w:rsidRPr="00D51FC2">
                    <w:rPr>
                      <w:rFonts w:ascii="Verdana" w:eastAsia="Times New Roman" w:hAnsi="Verdana" w:cs="Arial"/>
                      <w:sz w:val="19"/>
                      <w:szCs w:val="19"/>
                      <w:lang w:eastAsia="en-US"/>
                    </w:rPr>
                    <w:object w:dxaOrig="225" w:dyaOrig="225">
                      <v:shape id="_x0000_i1135" type="#_x0000_t75" style="width:20.55pt;height:17.75pt" o:ole="">
                        <v:imagedata r:id="rId104" o:title=""/>
                      </v:shape>
                      <w:control r:id="rId105" w:name="DefaultOcxName18" w:shapeid="_x0000_i1135"/>
                    </w:object>
                  </w:r>
                  <w:r w:rsidRPr="002A103D">
                    <w:rPr>
                      <w:rFonts w:eastAsia="Times New Roman" w:cs="Arial"/>
                      <w:szCs w:val="19"/>
                      <w:lang w:val="en-US" w:eastAsia="en-US"/>
                    </w:rPr>
                    <w:t xml:space="preserve">Water supply (see ITU-T tech watch report on smart water and ICT) </w:t>
                  </w:r>
                </w:p>
              </w:tc>
            </w:tr>
            <w:tr w:rsidR="00606EA3" w:rsidRPr="00E94F9B" w:rsidTr="00606EA3">
              <w:trPr>
                <w:tblCellSpacing w:w="0" w:type="dxa"/>
              </w:trPr>
              <w:tc>
                <w:tcPr>
                  <w:tcW w:w="5000" w:type="pct"/>
                  <w:tcBorders>
                    <w:top w:val="nil"/>
                    <w:left w:val="nil"/>
                    <w:bottom w:val="nil"/>
                    <w:right w:val="nil"/>
                  </w:tcBorders>
                  <w:shd w:val="clear" w:color="auto" w:fill="C0D8FE"/>
                  <w:hideMark/>
                </w:tcPr>
                <w:p w:rsidR="00606EA3" w:rsidRPr="002A103D" w:rsidRDefault="00606EA3" w:rsidP="00606EA3">
                  <w:pPr>
                    <w:spacing w:before="0" w:line="240" w:lineRule="atLeast"/>
                    <w:rPr>
                      <w:rFonts w:eastAsia="Times New Roman" w:cs="Arial"/>
                      <w:bCs/>
                      <w:szCs w:val="19"/>
                      <w:lang w:val="en-US" w:eastAsia="en-US"/>
                    </w:rPr>
                  </w:pPr>
                  <w:r w:rsidRPr="00D51FC2">
                    <w:rPr>
                      <w:rFonts w:ascii="Verdana" w:eastAsia="Times New Roman" w:hAnsi="Verdana" w:cs="Arial"/>
                      <w:sz w:val="19"/>
                      <w:szCs w:val="19"/>
                      <w:lang w:eastAsia="en-US"/>
                    </w:rPr>
                    <w:object w:dxaOrig="225" w:dyaOrig="225">
                      <v:shape id="_x0000_i1138" type="#_x0000_t75" style="width:20.55pt;height:17.75pt" o:ole="">
                        <v:imagedata r:id="rId106" o:title=""/>
                      </v:shape>
                      <w:control r:id="rId107" w:name="DefaultOcxName19" w:shapeid="_x0000_i1138"/>
                    </w:object>
                  </w:r>
                  <w:r w:rsidRPr="002A103D">
                    <w:rPr>
                      <w:rFonts w:eastAsia="Times New Roman" w:cs="Arial"/>
                      <w:szCs w:val="19"/>
                      <w:lang w:val="en-US" w:eastAsia="en-US"/>
                    </w:rPr>
                    <w:t xml:space="preserve">Food supply (see ITU-T tech watch report on this) </w:t>
                  </w:r>
                </w:p>
              </w:tc>
            </w:tr>
            <w:tr w:rsidR="00606EA3" w:rsidRPr="00D51FC2" w:rsidTr="00606EA3">
              <w:trPr>
                <w:tblCellSpacing w:w="0" w:type="dxa"/>
              </w:trPr>
              <w:tc>
                <w:tcPr>
                  <w:tcW w:w="5000" w:type="pct"/>
                  <w:tcBorders>
                    <w:top w:val="nil"/>
                    <w:left w:val="nil"/>
                    <w:bottom w:val="nil"/>
                    <w:right w:val="nil"/>
                  </w:tcBorders>
                  <w:shd w:val="clear" w:color="auto" w:fill="C0D8FE"/>
                  <w:hideMark/>
                </w:tcPr>
                <w:p w:rsidR="00606EA3" w:rsidRPr="00D51FC2" w:rsidRDefault="00606EA3" w:rsidP="00606EA3">
                  <w:pPr>
                    <w:spacing w:before="0" w:line="240" w:lineRule="atLeast"/>
                    <w:rPr>
                      <w:rFonts w:eastAsia="Times New Roman" w:cs="Arial"/>
                      <w:bCs/>
                      <w:szCs w:val="19"/>
                      <w:lang w:eastAsia="en-US"/>
                    </w:rPr>
                  </w:pPr>
                  <w:r w:rsidRPr="00D51FC2">
                    <w:rPr>
                      <w:rFonts w:ascii="Verdana" w:eastAsia="Times New Roman" w:hAnsi="Verdana" w:cs="Arial"/>
                      <w:sz w:val="19"/>
                      <w:szCs w:val="19"/>
                      <w:lang w:eastAsia="en-US"/>
                    </w:rPr>
                    <w:object w:dxaOrig="225" w:dyaOrig="225">
                      <v:shape id="_x0000_i1141" type="#_x0000_t75" style="width:20.55pt;height:17.75pt" o:ole="">
                        <v:imagedata r:id="rId108" o:title=""/>
                      </v:shape>
                      <w:control r:id="rId109" w:name="DefaultOcxName20" w:shapeid="_x0000_i1141"/>
                    </w:object>
                  </w:r>
                  <w:r w:rsidRPr="00D51FC2">
                    <w:rPr>
                      <w:rFonts w:eastAsia="Times New Roman" w:cs="Arial"/>
                      <w:szCs w:val="19"/>
                      <w:lang w:eastAsia="en-US"/>
                    </w:rPr>
                    <w:t xml:space="preserve">Health </w:t>
                  </w:r>
                </w:p>
              </w:tc>
            </w:tr>
            <w:tr w:rsidR="00606EA3" w:rsidRPr="00D51FC2" w:rsidTr="00606EA3">
              <w:trPr>
                <w:tblCellSpacing w:w="0" w:type="dxa"/>
              </w:trPr>
              <w:tc>
                <w:tcPr>
                  <w:tcW w:w="5000" w:type="pct"/>
                  <w:tcBorders>
                    <w:top w:val="nil"/>
                    <w:left w:val="nil"/>
                    <w:bottom w:val="nil"/>
                    <w:right w:val="nil"/>
                  </w:tcBorders>
                  <w:shd w:val="clear" w:color="auto" w:fill="C0D8FE"/>
                  <w:hideMark/>
                </w:tcPr>
                <w:p w:rsidR="00606EA3" w:rsidRPr="00D51FC2" w:rsidRDefault="00606EA3" w:rsidP="00606EA3">
                  <w:pPr>
                    <w:spacing w:before="0" w:line="240" w:lineRule="atLeast"/>
                    <w:rPr>
                      <w:rFonts w:eastAsia="Times New Roman" w:cs="Arial"/>
                      <w:bCs/>
                      <w:szCs w:val="19"/>
                      <w:lang w:eastAsia="en-US"/>
                    </w:rPr>
                  </w:pPr>
                  <w:r w:rsidRPr="00D51FC2">
                    <w:rPr>
                      <w:rFonts w:ascii="Verdana" w:eastAsia="Times New Roman" w:hAnsi="Verdana" w:cs="Arial"/>
                      <w:sz w:val="19"/>
                      <w:szCs w:val="19"/>
                      <w:lang w:eastAsia="en-US"/>
                    </w:rPr>
                    <w:object w:dxaOrig="225" w:dyaOrig="225">
                      <v:shape id="_x0000_i1144" type="#_x0000_t75" style="width:20.55pt;height:17.75pt" o:ole="">
                        <v:imagedata r:id="rId110" o:title=""/>
                      </v:shape>
                      <w:control r:id="rId111" w:name="DefaultOcxName21" w:shapeid="_x0000_i1144"/>
                    </w:object>
                  </w:r>
                  <w:r w:rsidRPr="00D51FC2">
                    <w:rPr>
                      <w:rFonts w:eastAsia="Times New Roman" w:cs="Arial"/>
                      <w:szCs w:val="19"/>
                      <w:lang w:eastAsia="en-US"/>
                    </w:rPr>
                    <w:t>Maintenance of infrastructure</w:t>
                  </w:r>
                </w:p>
              </w:tc>
            </w:tr>
            <w:tr w:rsidR="00606EA3" w:rsidRPr="00D51FC2" w:rsidTr="00606EA3">
              <w:trPr>
                <w:tblCellSpacing w:w="0" w:type="dxa"/>
              </w:trPr>
              <w:tc>
                <w:tcPr>
                  <w:tcW w:w="5000" w:type="pct"/>
                  <w:tcBorders>
                    <w:top w:val="nil"/>
                    <w:left w:val="nil"/>
                    <w:bottom w:val="nil"/>
                    <w:right w:val="nil"/>
                  </w:tcBorders>
                  <w:shd w:val="clear" w:color="auto" w:fill="C0D8FE"/>
                  <w:hideMark/>
                </w:tcPr>
                <w:p w:rsidR="00606EA3" w:rsidRPr="00D51FC2" w:rsidRDefault="00606EA3" w:rsidP="00606EA3">
                  <w:pPr>
                    <w:spacing w:before="0" w:line="240" w:lineRule="atLeast"/>
                    <w:rPr>
                      <w:rFonts w:eastAsia="Times New Roman" w:cs="Arial"/>
                      <w:bCs/>
                      <w:szCs w:val="19"/>
                      <w:lang w:eastAsia="en-US"/>
                    </w:rPr>
                  </w:pPr>
                  <w:r w:rsidRPr="00D51FC2">
                    <w:rPr>
                      <w:rFonts w:ascii="Verdana" w:eastAsia="Times New Roman" w:hAnsi="Verdana" w:cs="Arial"/>
                      <w:sz w:val="19"/>
                      <w:szCs w:val="19"/>
                      <w:lang w:eastAsia="en-US"/>
                    </w:rPr>
                    <w:object w:dxaOrig="225" w:dyaOrig="225">
                      <v:shape id="_x0000_i1147" type="#_x0000_t75" style="width:20.55pt;height:17.75pt" o:ole="">
                        <v:imagedata r:id="rId112" o:title=""/>
                      </v:shape>
                      <w:control r:id="rId113" w:name="DefaultOcxName22" w:shapeid="_x0000_i1147"/>
                    </w:object>
                  </w:r>
                  <w:r w:rsidRPr="00D51FC2">
                    <w:rPr>
                      <w:rFonts w:eastAsia="Times New Roman" w:cs="Arial"/>
                      <w:szCs w:val="19"/>
                      <w:lang w:eastAsia="en-US"/>
                    </w:rPr>
                    <w:t xml:space="preserve">Electricity </w:t>
                  </w:r>
                </w:p>
              </w:tc>
            </w:tr>
            <w:tr w:rsidR="00606EA3" w:rsidRPr="00D51FC2" w:rsidTr="00606EA3">
              <w:trPr>
                <w:tblCellSpacing w:w="0" w:type="dxa"/>
              </w:trPr>
              <w:tc>
                <w:tcPr>
                  <w:tcW w:w="5000" w:type="pct"/>
                  <w:tcBorders>
                    <w:top w:val="nil"/>
                    <w:left w:val="nil"/>
                    <w:bottom w:val="nil"/>
                    <w:right w:val="nil"/>
                  </w:tcBorders>
                  <w:shd w:val="clear" w:color="auto" w:fill="C0D8FE"/>
                  <w:hideMark/>
                </w:tcPr>
                <w:p w:rsidR="00606EA3" w:rsidRPr="00D51FC2" w:rsidRDefault="00606EA3" w:rsidP="00606EA3">
                  <w:pPr>
                    <w:spacing w:before="0" w:line="240" w:lineRule="atLeast"/>
                    <w:rPr>
                      <w:rFonts w:eastAsia="Times New Roman" w:cs="Arial"/>
                      <w:bCs/>
                      <w:szCs w:val="19"/>
                      <w:lang w:eastAsia="en-US"/>
                    </w:rPr>
                  </w:pPr>
                  <w:r w:rsidRPr="00D51FC2">
                    <w:rPr>
                      <w:rFonts w:ascii="Verdana" w:eastAsia="Times New Roman" w:hAnsi="Verdana" w:cs="Arial"/>
                      <w:sz w:val="19"/>
                      <w:szCs w:val="19"/>
                      <w:lang w:eastAsia="en-US"/>
                    </w:rPr>
                    <w:object w:dxaOrig="225" w:dyaOrig="225">
                      <v:shape id="_x0000_i1150" type="#_x0000_t75" style="width:20.55pt;height:17.75pt" o:ole="">
                        <v:imagedata r:id="rId114" o:title=""/>
                      </v:shape>
                      <w:control r:id="rId115" w:name="DefaultOcxName23" w:shapeid="_x0000_i1150"/>
                    </w:object>
                  </w:r>
                  <w:r w:rsidRPr="00D51FC2">
                    <w:rPr>
                      <w:rFonts w:eastAsia="Times New Roman" w:cs="Arial"/>
                      <w:szCs w:val="19"/>
                      <w:lang w:eastAsia="en-US"/>
                    </w:rPr>
                    <w:t>Gas</w:t>
                  </w:r>
                </w:p>
              </w:tc>
            </w:tr>
            <w:tr w:rsidR="00606EA3" w:rsidRPr="00D51FC2" w:rsidTr="00606EA3">
              <w:trPr>
                <w:tblCellSpacing w:w="0" w:type="dxa"/>
              </w:trPr>
              <w:tc>
                <w:tcPr>
                  <w:tcW w:w="5000" w:type="pct"/>
                  <w:tcBorders>
                    <w:top w:val="nil"/>
                    <w:left w:val="nil"/>
                    <w:bottom w:val="nil"/>
                    <w:right w:val="nil"/>
                  </w:tcBorders>
                  <w:shd w:val="clear" w:color="auto" w:fill="C0D8FE"/>
                  <w:hideMark/>
                </w:tcPr>
                <w:p w:rsidR="00606EA3" w:rsidRPr="00D51FC2" w:rsidRDefault="00606EA3" w:rsidP="00606EA3">
                  <w:pPr>
                    <w:spacing w:before="0" w:line="240" w:lineRule="atLeast"/>
                    <w:rPr>
                      <w:rFonts w:eastAsia="Times New Roman" w:cs="Arial"/>
                      <w:bCs/>
                      <w:szCs w:val="19"/>
                      <w:lang w:eastAsia="en-US"/>
                    </w:rPr>
                  </w:pPr>
                  <w:r w:rsidRPr="00D51FC2">
                    <w:rPr>
                      <w:rFonts w:ascii="Verdana" w:eastAsia="Times New Roman" w:hAnsi="Verdana" w:cs="Arial"/>
                      <w:sz w:val="19"/>
                      <w:szCs w:val="19"/>
                      <w:lang w:eastAsia="en-US"/>
                    </w:rPr>
                    <w:object w:dxaOrig="225" w:dyaOrig="225">
                      <v:shape id="_x0000_i1153" type="#_x0000_t75" style="width:20.55pt;height:17.75pt" o:ole="">
                        <v:imagedata r:id="rId116" o:title=""/>
                      </v:shape>
                      <w:control r:id="rId117" w:name="DefaultOcxName24" w:shapeid="_x0000_i1153"/>
                    </w:object>
                  </w:r>
                  <w:r w:rsidRPr="00D51FC2">
                    <w:rPr>
                      <w:rFonts w:eastAsia="Times New Roman" w:cs="Arial"/>
                      <w:szCs w:val="19"/>
                      <w:lang w:eastAsia="en-US"/>
                    </w:rPr>
                    <w:t>Road</w:t>
                  </w:r>
                </w:p>
              </w:tc>
            </w:tr>
            <w:tr w:rsidR="00606EA3" w:rsidRPr="00D51FC2" w:rsidTr="00606EA3">
              <w:trPr>
                <w:tblCellSpacing w:w="0" w:type="dxa"/>
              </w:trPr>
              <w:tc>
                <w:tcPr>
                  <w:tcW w:w="5000" w:type="pct"/>
                  <w:tcBorders>
                    <w:top w:val="nil"/>
                    <w:left w:val="nil"/>
                    <w:bottom w:val="nil"/>
                    <w:right w:val="nil"/>
                  </w:tcBorders>
                  <w:shd w:val="clear" w:color="auto" w:fill="C0D8FE"/>
                  <w:hideMark/>
                </w:tcPr>
                <w:p w:rsidR="00606EA3" w:rsidRPr="00D51FC2" w:rsidRDefault="00606EA3" w:rsidP="00606EA3">
                  <w:pPr>
                    <w:spacing w:before="0" w:line="240" w:lineRule="atLeast"/>
                    <w:rPr>
                      <w:rFonts w:eastAsia="Times New Roman" w:cs="Arial"/>
                      <w:bCs/>
                      <w:szCs w:val="19"/>
                      <w:lang w:eastAsia="en-US"/>
                    </w:rPr>
                  </w:pPr>
                  <w:r w:rsidRPr="00D51FC2">
                    <w:rPr>
                      <w:rFonts w:ascii="Verdana" w:eastAsia="Times New Roman" w:hAnsi="Verdana" w:cs="Arial"/>
                      <w:sz w:val="19"/>
                      <w:szCs w:val="19"/>
                      <w:lang w:eastAsia="en-US"/>
                    </w:rPr>
                    <w:object w:dxaOrig="225" w:dyaOrig="225">
                      <v:shape id="_x0000_i1156" type="#_x0000_t75" style="width:20.55pt;height:17.75pt" o:ole="">
                        <v:imagedata r:id="rId118" o:title=""/>
                      </v:shape>
                      <w:control r:id="rId119" w:name="DefaultOcxName25" w:shapeid="_x0000_i1156"/>
                    </w:object>
                  </w:r>
                  <w:r w:rsidRPr="00D51FC2">
                    <w:rPr>
                      <w:rFonts w:eastAsia="Times New Roman" w:cs="Arial"/>
                      <w:szCs w:val="19"/>
                      <w:lang w:eastAsia="en-US"/>
                    </w:rPr>
                    <w:t xml:space="preserve">Rail </w:t>
                  </w:r>
                </w:p>
              </w:tc>
            </w:tr>
            <w:tr w:rsidR="00606EA3" w:rsidRPr="00D51FC2" w:rsidTr="00606EA3">
              <w:trPr>
                <w:tblCellSpacing w:w="0" w:type="dxa"/>
              </w:trPr>
              <w:tc>
                <w:tcPr>
                  <w:tcW w:w="5000" w:type="pct"/>
                  <w:tcBorders>
                    <w:top w:val="nil"/>
                    <w:left w:val="nil"/>
                    <w:bottom w:val="nil"/>
                    <w:right w:val="nil"/>
                  </w:tcBorders>
                  <w:shd w:val="clear" w:color="auto" w:fill="C0D8FE"/>
                  <w:hideMark/>
                </w:tcPr>
                <w:p w:rsidR="00606EA3" w:rsidRPr="00D51FC2" w:rsidRDefault="00606EA3" w:rsidP="00606EA3">
                  <w:pPr>
                    <w:spacing w:before="0" w:line="240" w:lineRule="atLeast"/>
                    <w:rPr>
                      <w:rFonts w:eastAsia="Times New Roman" w:cs="Arial"/>
                      <w:bCs/>
                      <w:szCs w:val="19"/>
                      <w:lang w:eastAsia="en-US"/>
                    </w:rPr>
                  </w:pPr>
                  <w:r w:rsidRPr="00D51FC2">
                    <w:rPr>
                      <w:rFonts w:ascii="Verdana" w:eastAsia="Times New Roman" w:hAnsi="Verdana" w:cs="Arial"/>
                      <w:sz w:val="19"/>
                      <w:szCs w:val="19"/>
                      <w:lang w:eastAsia="en-US"/>
                    </w:rPr>
                    <w:object w:dxaOrig="225" w:dyaOrig="225">
                      <v:shape id="_x0000_i1159" type="#_x0000_t75" style="width:20.55pt;height:17.75pt" o:ole="">
                        <v:imagedata r:id="rId120" o:title=""/>
                      </v:shape>
                      <w:control r:id="rId121" w:name="DefaultOcxName26" w:shapeid="_x0000_i1159"/>
                    </w:object>
                  </w:r>
                  <w:r w:rsidRPr="00D51FC2">
                    <w:rPr>
                      <w:rFonts w:eastAsia="Times New Roman" w:cs="Arial"/>
                      <w:szCs w:val="19"/>
                      <w:lang w:eastAsia="en-US"/>
                    </w:rPr>
                    <w:t>Airport</w:t>
                  </w:r>
                </w:p>
              </w:tc>
            </w:tr>
            <w:tr w:rsidR="00606EA3" w:rsidRPr="00D51FC2" w:rsidTr="00606EA3">
              <w:trPr>
                <w:tblCellSpacing w:w="0" w:type="dxa"/>
              </w:trPr>
              <w:tc>
                <w:tcPr>
                  <w:tcW w:w="5000" w:type="pct"/>
                  <w:tcBorders>
                    <w:top w:val="nil"/>
                    <w:left w:val="nil"/>
                    <w:bottom w:val="nil"/>
                    <w:right w:val="nil"/>
                  </w:tcBorders>
                  <w:shd w:val="clear" w:color="auto" w:fill="C0D8FE"/>
                  <w:hideMark/>
                </w:tcPr>
                <w:p w:rsidR="00606EA3" w:rsidRPr="00D51FC2" w:rsidRDefault="00606EA3" w:rsidP="00606EA3">
                  <w:pPr>
                    <w:spacing w:before="0" w:line="240" w:lineRule="atLeast"/>
                    <w:rPr>
                      <w:rFonts w:eastAsia="Times New Roman" w:cs="Arial"/>
                      <w:bCs/>
                      <w:szCs w:val="19"/>
                      <w:lang w:eastAsia="en-US"/>
                    </w:rPr>
                  </w:pPr>
                  <w:r w:rsidRPr="00D51FC2">
                    <w:rPr>
                      <w:rFonts w:ascii="Verdana" w:eastAsia="Times New Roman" w:hAnsi="Verdana" w:cs="Arial"/>
                      <w:sz w:val="19"/>
                      <w:szCs w:val="19"/>
                      <w:lang w:eastAsia="en-US"/>
                    </w:rPr>
                    <w:object w:dxaOrig="225" w:dyaOrig="225">
                      <v:shape id="_x0000_i1162" type="#_x0000_t75" style="width:20.55pt;height:17.75pt" o:ole="">
                        <v:imagedata r:id="rId122" o:title=""/>
                      </v:shape>
                      <w:control r:id="rId123" w:name="DefaultOcxName27" w:shapeid="_x0000_i1162"/>
                    </w:object>
                  </w:r>
                  <w:r w:rsidRPr="00D51FC2">
                    <w:rPr>
                      <w:rFonts w:eastAsia="Times New Roman" w:cs="Arial"/>
                      <w:szCs w:val="19"/>
                      <w:lang w:eastAsia="en-US"/>
                    </w:rPr>
                    <w:t>Others</w:t>
                  </w:r>
                </w:p>
              </w:tc>
            </w:tr>
            <w:tr w:rsidR="00606EA3" w:rsidRPr="00D51FC2" w:rsidTr="00606EA3">
              <w:trPr>
                <w:tblCellSpacing w:w="0" w:type="dxa"/>
              </w:trPr>
              <w:tc>
                <w:tcPr>
                  <w:tcW w:w="5000" w:type="pct"/>
                  <w:tcBorders>
                    <w:top w:val="nil"/>
                    <w:left w:val="nil"/>
                    <w:bottom w:val="nil"/>
                    <w:right w:val="nil"/>
                  </w:tcBorders>
                  <w:shd w:val="clear" w:color="auto" w:fill="C0D8FE"/>
                  <w:hideMark/>
                </w:tcPr>
                <w:p w:rsidR="00606EA3" w:rsidRPr="00D51FC2" w:rsidRDefault="00606EA3" w:rsidP="00606EA3">
                  <w:pPr>
                    <w:spacing w:before="0"/>
                    <w:rPr>
                      <w:bCs/>
                      <w:szCs w:val="19"/>
                    </w:rPr>
                  </w:pPr>
                </w:p>
              </w:tc>
            </w:tr>
            <w:tr w:rsidR="00606EA3" w:rsidRPr="00D51FC2" w:rsidTr="00606EA3">
              <w:trPr>
                <w:tblCellSpacing w:w="0" w:type="dxa"/>
              </w:trPr>
              <w:tc>
                <w:tcPr>
                  <w:tcW w:w="5000" w:type="pct"/>
                  <w:tcBorders>
                    <w:top w:val="nil"/>
                    <w:left w:val="nil"/>
                    <w:bottom w:val="nil"/>
                    <w:right w:val="nil"/>
                  </w:tcBorders>
                  <w:shd w:val="clear" w:color="auto" w:fill="C0D8FE"/>
                  <w:hideMark/>
                </w:tcPr>
                <w:p w:rsidR="00606EA3" w:rsidRPr="00D51FC2" w:rsidRDefault="00606EA3" w:rsidP="00606EA3">
                  <w:pPr>
                    <w:spacing w:before="0"/>
                    <w:rPr>
                      <w:bCs/>
                      <w:szCs w:val="19"/>
                    </w:rPr>
                  </w:pPr>
                </w:p>
              </w:tc>
            </w:tr>
          </w:tbl>
          <w:p w:rsidR="00606EA3" w:rsidRPr="00D51FC2" w:rsidRDefault="00606EA3" w:rsidP="00606EA3">
            <w:pPr>
              <w:rPr>
                <w:rFonts w:eastAsia="SimSun" w:cs="Traditional Arabic"/>
                <w:szCs w:val="19"/>
                <w:lang w:eastAsia="en-US"/>
              </w:rPr>
            </w:pPr>
          </w:p>
        </w:tc>
      </w:tr>
      <w:tr w:rsidR="00606EA3" w:rsidRPr="00E94F9B" w:rsidTr="00606EA3">
        <w:tc>
          <w:tcPr>
            <w:tcW w:w="9639" w:type="dxa"/>
            <w:tcBorders>
              <w:top w:val="single" w:sz="4" w:space="0" w:color="auto"/>
              <w:left w:val="single" w:sz="4" w:space="0" w:color="auto"/>
              <w:bottom w:val="single" w:sz="4" w:space="0" w:color="auto"/>
              <w:right w:val="single" w:sz="4" w:space="0" w:color="auto"/>
            </w:tcBorders>
            <w:hideMark/>
          </w:tcPr>
          <w:p w:rsidR="00606EA3" w:rsidRPr="002A103D" w:rsidRDefault="00606EA3" w:rsidP="00606EA3">
            <w:pPr>
              <w:numPr>
                <w:ilvl w:val="0"/>
                <w:numId w:val="15"/>
              </w:numPr>
              <w:contextualSpacing/>
              <w:jc w:val="left"/>
              <w:rPr>
                <w:rFonts w:eastAsia="SimSun" w:cs="Traditional Arabic"/>
                <w:szCs w:val="19"/>
                <w:lang w:val="en-US" w:eastAsia="en-US"/>
              </w:rPr>
            </w:pPr>
            <w:r w:rsidRPr="002A103D">
              <w:rPr>
                <w:rFonts w:eastAsia="SimSun" w:cs="Traditional Arabic"/>
                <w:szCs w:val="19"/>
                <w:lang w:val="en-US" w:eastAsia="en-US"/>
              </w:rPr>
              <w:t>What ICT services would enable communities to better adapt to climate change? (One example could be automated text messages to communities about water shortage and emergency water supply, etc.)</w:t>
            </w:r>
          </w:p>
        </w:tc>
      </w:tr>
      <w:tr w:rsidR="00606EA3" w:rsidRPr="00E94F9B" w:rsidTr="00606EA3">
        <w:tc>
          <w:tcPr>
            <w:tcW w:w="9639" w:type="dxa"/>
            <w:tcBorders>
              <w:top w:val="single" w:sz="4" w:space="0" w:color="auto"/>
              <w:left w:val="single" w:sz="4" w:space="0" w:color="auto"/>
              <w:bottom w:val="single" w:sz="4" w:space="0" w:color="auto"/>
              <w:right w:val="single" w:sz="4" w:space="0" w:color="auto"/>
            </w:tcBorders>
            <w:hideMark/>
          </w:tcPr>
          <w:p w:rsidR="00606EA3" w:rsidRPr="00D51FC2" w:rsidRDefault="00606EA3" w:rsidP="00606EA3">
            <w:pPr>
              <w:numPr>
                <w:ilvl w:val="0"/>
                <w:numId w:val="15"/>
              </w:numPr>
              <w:contextualSpacing/>
              <w:jc w:val="left"/>
              <w:rPr>
                <w:rFonts w:eastAsia="SimSun" w:cs="Traditional Arabic"/>
                <w:szCs w:val="19"/>
                <w:lang w:eastAsia="en-US"/>
              </w:rPr>
            </w:pPr>
            <w:r w:rsidRPr="002A103D">
              <w:rPr>
                <w:rFonts w:eastAsia="SimSun" w:cs="Traditional Arabic"/>
                <w:szCs w:val="19"/>
                <w:lang w:val="en-US" w:eastAsia="en-US"/>
              </w:rPr>
              <w:t xml:space="preserve">What specific technologies or standards for ICT equipment are used by your administration to gather data to monitor climate change? </w:t>
            </w:r>
            <w:r w:rsidRPr="00D51FC2">
              <w:rPr>
                <w:rFonts w:eastAsia="SimSun" w:cs="Traditional Arabic"/>
                <w:szCs w:val="19"/>
                <w:lang w:eastAsia="en-US"/>
              </w:rPr>
              <w:t>Please select.</w:t>
            </w:r>
          </w:p>
          <w:tbl>
            <w:tblPr>
              <w:tblW w:w="4950" w:type="pct"/>
              <w:tblCellSpacing w:w="0" w:type="dxa"/>
              <w:tblInd w:w="15" w:type="dxa"/>
              <w:tblBorders>
                <w:top w:val="single" w:sz="6" w:space="0" w:color="99CCFF"/>
                <w:left w:val="single" w:sz="6" w:space="0" w:color="99CCFF"/>
                <w:bottom w:val="single" w:sz="6" w:space="0" w:color="99CCFF"/>
                <w:right w:val="single" w:sz="6" w:space="0" w:color="99CCFF"/>
              </w:tblBorders>
              <w:shd w:val="clear" w:color="auto" w:fill="C0D8FE"/>
              <w:tblLayout w:type="fixed"/>
              <w:tblCellMar>
                <w:left w:w="0" w:type="dxa"/>
                <w:right w:w="0" w:type="dxa"/>
              </w:tblCellMar>
              <w:tblLook w:val="04A0" w:firstRow="1" w:lastRow="0" w:firstColumn="1" w:lastColumn="0" w:noHBand="0" w:noVBand="1"/>
            </w:tblPr>
            <w:tblGrid>
              <w:gridCol w:w="9335"/>
            </w:tblGrid>
            <w:tr w:rsidR="00606EA3" w:rsidRPr="00D51FC2" w:rsidTr="00606EA3">
              <w:trPr>
                <w:tblCellSpacing w:w="0" w:type="dxa"/>
              </w:trPr>
              <w:tc>
                <w:tcPr>
                  <w:tcW w:w="5000" w:type="pct"/>
                  <w:tcBorders>
                    <w:top w:val="nil"/>
                    <w:left w:val="nil"/>
                    <w:bottom w:val="nil"/>
                    <w:right w:val="nil"/>
                  </w:tcBorders>
                  <w:shd w:val="clear" w:color="auto" w:fill="C0D8FE"/>
                  <w:hideMark/>
                </w:tcPr>
                <w:p w:rsidR="00606EA3" w:rsidRPr="00D51FC2" w:rsidRDefault="00606EA3" w:rsidP="00606EA3">
                  <w:pPr>
                    <w:spacing w:before="0" w:line="240" w:lineRule="atLeast"/>
                    <w:rPr>
                      <w:rFonts w:eastAsia="Times New Roman" w:cs="Arial"/>
                      <w:bCs/>
                      <w:szCs w:val="19"/>
                      <w:lang w:eastAsia="en-US"/>
                    </w:rPr>
                  </w:pPr>
                  <w:r w:rsidRPr="00D51FC2">
                    <w:rPr>
                      <w:rFonts w:ascii="Verdana" w:eastAsia="Times New Roman" w:hAnsi="Verdana" w:cs="Arial"/>
                      <w:sz w:val="19"/>
                      <w:szCs w:val="19"/>
                      <w:lang w:eastAsia="en-US"/>
                    </w:rPr>
                    <w:object w:dxaOrig="225" w:dyaOrig="225">
                      <v:shape id="_x0000_i1165" type="#_x0000_t75" style="width:20.55pt;height:17.75pt" o:ole="">
                        <v:imagedata r:id="rId124" o:title=""/>
                      </v:shape>
                      <w:control r:id="rId125" w:name="DefaultOcxName28" w:shapeid="_x0000_i1165"/>
                    </w:object>
                  </w:r>
                  <w:r w:rsidRPr="00D51FC2">
                    <w:rPr>
                      <w:rFonts w:cs="Traditional Arabic"/>
                      <w:szCs w:val="19"/>
                      <w:lang w:eastAsia="en-US"/>
                    </w:rPr>
                    <w:t>Satellite systems</w:t>
                  </w:r>
                </w:p>
              </w:tc>
            </w:tr>
            <w:tr w:rsidR="00606EA3" w:rsidRPr="00D51FC2" w:rsidTr="00606EA3">
              <w:trPr>
                <w:tblCellSpacing w:w="0" w:type="dxa"/>
              </w:trPr>
              <w:tc>
                <w:tcPr>
                  <w:tcW w:w="5000" w:type="pct"/>
                  <w:tcBorders>
                    <w:top w:val="nil"/>
                    <w:left w:val="nil"/>
                    <w:bottom w:val="nil"/>
                    <w:right w:val="nil"/>
                  </w:tcBorders>
                  <w:shd w:val="clear" w:color="auto" w:fill="C0D8FE"/>
                  <w:hideMark/>
                </w:tcPr>
                <w:p w:rsidR="00606EA3" w:rsidRPr="00D51FC2" w:rsidRDefault="00606EA3" w:rsidP="00606EA3">
                  <w:pPr>
                    <w:spacing w:before="0" w:line="240" w:lineRule="atLeast"/>
                    <w:rPr>
                      <w:rFonts w:eastAsia="Times New Roman" w:cs="Arial"/>
                      <w:bCs/>
                      <w:szCs w:val="19"/>
                      <w:lang w:eastAsia="en-US"/>
                    </w:rPr>
                  </w:pPr>
                  <w:r w:rsidRPr="00D51FC2">
                    <w:rPr>
                      <w:rFonts w:ascii="Verdana" w:eastAsia="Times New Roman" w:hAnsi="Verdana" w:cs="Arial"/>
                      <w:sz w:val="19"/>
                      <w:szCs w:val="19"/>
                      <w:lang w:eastAsia="en-US"/>
                    </w:rPr>
                    <w:object w:dxaOrig="225" w:dyaOrig="225">
                      <v:shape id="_x0000_i1168" type="#_x0000_t75" style="width:20.55pt;height:17.75pt" o:ole="">
                        <v:imagedata r:id="rId126" o:title=""/>
                      </v:shape>
                      <w:control r:id="rId127" w:name="DefaultOcxName29" w:shapeid="_x0000_i1168"/>
                    </w:object>
                  </w:r>
                  <w:r w:rsidRPr="00D51FC2">
                    <w:rPr>
                      <w:rFonts w:cs="Traditional Arabic"/>
                      <w:szCs w:val="19"/>
                      <w:lang w:eastAsia="en-US"/>
                    </w:rPr>
                    <w:t>Airborne systems</w:t>
                  </w:r>
                  <w:r w:rsidRPr="00D51FC2">
                    <w:rPr>
                      <w:rFonts w:eastAsia="Times New Roman" w:cs="Arial"/>
                      <w:szCs w:val="19"/>
                      <w:lang w:eastAsia="en-US"/>
                    </w:rPr>
                    <w:t xml:space="preserve"> </w:t>
                  </w:r>
                </w:p>
              </w:tc>
            </w:tr>
            <w:tr w:rsidR="00606EA3" w:rsidRPr="00E94F9B" w:rsidTr="00606EA3">
              <w:trPr>
                <w:tblCellSpacing w:w="0" w:type="dxa"/>
              </w:trPr>
              <w:tc>
                <w:tcPr>
                  <w:tcW w:w="5000" w:type="pct"/>
                  <w:tcBorders>
                    <w:top w:val="nil"/>
                    <w:left w:val="nil"/>
                    <w:bottom w:val="nil"/>
                    <w:right w:val="nil"/>
                  </w:tcBorders>
                  <w:shd w:val="clear" w:color="auto" w:fill="C0D8FE"/>
                  <w:hideMark/>
                </w:tcPr>
                <w:p w:rsidR="00606EA3" w:rsidRPr="002A103D" w:rsidRDefault="00606EA3" w:rsidP="00606EA3">
                  <w:pPr>
                    <w:spacing w:before="0" w:line="240" w:lineRule="atLeast"/>
                    <w:rPr>
                      <w:rFonts w:eastAsia="Times New Roman" w:cs="Arial"/>
                      <w:bCs/>
                      <w:szCs w:val="19"/>
                      <w:lang w:val="en-US" w:eastAsia="en-US"/>
                    </w:rPr>
                  </w:pPr>
                  <w:r w:rsidRPr="00D51FC2">
                    <w:rPr>
                      <w:rFonts w:ascii="Verdana" w:eastAsia="Times New Roman" w:hAnsi="Verdana" w:cs="Arial"/>
                      <w:sz w:val="19"/>
                      <w:szCs w:val="19"/>
                      <w:lang w:eastAsia="en-US"/>
                    </w:rPr>
                    <w:object w:dxaOrig="225" w:dyaOrig="225">
                      <v:shape id="_x0000_i1171" type="#_x0000_t75" style="width:20.55pt;height:17.75pt" o:ole="">
                        <v:imagedata r:id="rId128" o:title=""/>
                      </v:shape>
                      <w:control r:id="rId129" w:name="DefaultOcxName30" w:shapeid="_x0000_i1171"/>
                    </w:object>
                  </w:r>
                  <w:r w:rsidRPr="002A103D">
                    <w:rPr>
                      <w:rFonts w:eastAsia="Times New Roman" w:cs="Arial"/>
                      <w:szCs w:val="19"/>
                      <w:lang w:val="en-US" w:eastAsia="en-US"/>
                    </w:rPr>
                    <w:t>Terrestrial systems (fixed and mobile)</w:t>
                  </w:r>
                </w:p>
              </w:tc>
            </w:tr>
            <w:tr w:rsidR="00606EA3" w:rsidRPr="00E94F9B" w:rsidTr="00606EA3">
              <w:trPr>
                <w:tblCellSpacing w:w="0" w:type="dxa"/>
              </w:trPr>
              <w:tc>
                <w:tcPr>
                  <w:tcW w:w="5000" w:type="pct"/>
                  <w:tcBorders>
                    <w:top w:val="nil"/>
                    <w:left w:val="nil"/>
                    <w:bottom w:val="nil"/>
                    <w:right w:val="nil"/>
                  </w:tcBorders>
                  <w:shd w:val="clear" w:color="auto" w:fill="C0D8FE"/>
                  <w:hideMark/>
                </w:tcPr>
                <w:p w:rsidR="00606EA3" w:rsidRPr="002A103D" w:rsidRDefault="00606EA3" w:rsidP="00606EA3">
                  <w:pPr>
                    <w:spacing w:before="0" w:line="240" w:lineRule="atLeast"/>
                    <w:rPr>
                      <w:rFonts w:eastAsia="Times New Roman" w:cs="Arial"/>
                      <w:bCs/>
                      <w:szCs w:val="19"/>
                      <w:lang w:val="en-US" w:eastAsia="en-US"/>
                    </w:rPr>
                  </w:pPr>
                  <w:r w:rsidRPr="00D51FC2">
                    <w:rPr>
                      <w:rFonts w:ascii="Verdana" w:eastAsia="Times New Roman" w:hAnsi="Verdana" w:cs="Arial"/>
                      <w:sz w:val="19"/>
                      <w:szCs w:val="19"/>
                      <w:lang w:eastAsia="en-US"/>
                    </w:rPr>
                    <w:object w:dxaOrig="225" w:dyaOrig="225">
                      <v:shape id="_x0000_i1174" type="#_x0000_t75" style="width:20.55pt;height:17.75pt" o:ole="">
                        <v:imagedata r:id="rId130" o:title=""/>
                      </v:shape>
                      <w:control r:id="rId131" w:name="DefaultOcxName31" w:shapeid="_x0000_i1174"/>
                    </w:object>
                  </w:r>
                  <w:r w:rsidRPr="002A103D">
                    <w:rPr>
                      <w:rFonts w:eastAsia="Times New Roman" w:cs="Arial"/>
                      <w:szCs w:val="19"/>
                      <w:lang w:val="en-US" w:eastAsia="en-US"/>
                    </w:rPr>
                    <w:t>Subsea systems</w:t>
                  </w:r>
                </w:p>
              </w:tc>
            </w:tr>
            <w:tr w:rsidR="00606EA3" w:rsidRPr="00E94F9B" w:rsidTr="00606EA3">
              <w:trPr>
                <w:tblCellSpacing w:w="0" w:type="dxa"/>
              </w:trPr>
              <w:tc>
                <w:tcPr>
                  <w:tcW w:w="5000" w:type="pct"/>
                  <w:tcBorders>
                    <w:top w:val="nil"/>
                    <w:left w:val="nil"/>
                    <w:bottom w:val="nil"/>
                    <w:right w:val="nil"/>
                  </w:tcBorders>
                  <w:shd w:val="clear" w:color="auto" w:fill="C0D8FE"/>
                  <w:hideMark/>
                </w:tcPr>
                <w:p w:rsidR="00606EA3" w:rsidRPr="002A103D" w:rsidRDefault="00606EA3" w:rsidP="00606EA3">
                  <w:pPr>
                    <w:spacing w:before="0" w:line="240" w:lineRule="atLeast"/>
                    <w:rPr>
                      <w:rFonts w:eastAsia="Times New Roman" w:cs="Arial"/>
                      <w:bCs/>
                      <w:szCs w:val="19"/>
                      <w:lang w:val="en-US" w:eastAsia="en-US"/>
                    </w:rPr>
                  </w:pPr>
                  <w:r w:rsidRPr="00D51FC2">
                    <w:rPr>
                      <w:rFonts w:ascii="Verdana" w:eastAsia="Times New Roman" w:hAnsi="Verdana" w:cs="Arial"/>
                      <w:sz w:val="19"/>
                      <w:szCs w:val="19"/>
                      <w:lang w:eastAsia="en-US"/>
                    </w:rPr>
                    <w:object w:dxaOrig="225" w:dyaOrig="225">
                      <v:shape id="_x0000_i1177" type="#_x0000_t75" style="width:20.55pt;height:17.75pt" o:ole="">
                        <v:imagedata r:id="rId132" o:title=""/>
                      </v:shape>
                      <w:control r:id="rId133" w:name="DefaultOcxName32" w:shapeid="_x0000_i1177"/>
                    </w:object>
                  </w:r>
                  <w:r w:rsidRPr="002A103D">
                    <w:rPr>
                      <w:rFonts w:eastAsia="Times New Roman" w:cs="Arial"/>
                      <w:szCs w:val="19"/>
                      <w:lang w:val="en-US" w:eastAsia="en-US"/>
                    </w:rPr>
                    <w:t>Others</w:t>
                  </w:r>
                </w:p>
              </w:tc>
            </w:tr>
            <w:tr w:rsidR="00606EA3" w:rsidRPr="00E94F9B" w:rsidTr="00606EA3">
              <w:trPr>
                <w:tblCellSpacing w:w="0" w:type="dxa"/>
              </w:trPr>
              <w:tc>
                <w:tcPr>
                  <w:tcW w:w="5000" w:type="pct"/>
                  <w:tcBorders>
                    <w:top w:val="nil"/>
                    <w:left w:val="nil"/>
                    <w:bottom w:val="nil"/>
                    <w:right w:val="nil"/>
                  </w:tcBorders>
                  <w:shd w:val="clear" w:color="auto" w:fill="C0D8FE"/>
                  <w:hideMark/>
                </w:tcPr>
                <w:p w:rsidR="00606EA3" w:rsidRPr="002A103D" w:rsidRDefault="00606EA3" w:rsidP="00606EA3">
                  <w:pPr>
                    <w:spacing w:before="0"/>
                    <w:rPr>
                      <w:bCs/>
                      <w:szCs w:val="19"/>
                      <w:lang w:val="en-US"/>
                    </w:rPr>
                  </w:pPr>
                </w:p>
              </w:tc>
            </w:tr>
          </w:tbl>
          <w:p w:rsidR="00606EA3" w:rsidRPr="002A103D" w:rsidRDefault="00606EA3" w:rsidP="00606EA3">
            <w:pPr>
              <w:rPr>
                <w:rFonts w:eastAsia="SimSun" w:cs="Traditional Arabic"/>
                <w:szCs w:val="19"/>
                <w:lang w:val="en-US" w:eastAsia="en-US"/>
              </w:rPr>
            </w:pPr>
            <w:r w:rsidRPr="002A103D">
              <w:rPr>
                <w:rFonts w:eastAsia="SimSun" w:cs="Traditional Arabic"/>
                <w:szCs w:val="19"/>
                <w:lang w:val="en-US" w:eastAsia="en-US"/>
              </w:rPr>
              <w:t xml:space="preserve">If others, please specify: </w:t>
            </w:r>
          </w:p>
        </w:tc>
      </w:tr>
      <w:tr w:rsidR="00606EA3" w:rsidRPr="00E94F9B" w:rsidTr="00606EA3">
        <w:tc>
          <w:tcPr>
            <w:tcW w:w="9639" w:type="dxa"/>
            <w:tcBorders>
              <w:top w:val="single" w:sz="4" w:space="0" w:color="auto"/>
              <w:left w:val="single" w:sz="4" w:space="0" w:color="auto"/>
              <w:bottom w:val="single" w:sz="4" w:space="0" w:color="auto"/>
              <w:right w:val="single" w:sz="4" w:space="0" w:color="auto"/>
            </w:tcBorders>
            <w:hideMark/>
          </w:tcPr>
          <w:p w:rsidR="00606EA3" w:rsidRPr="002A103D" w:rsidRDefault="00606EA3" w:rsidP="00606EA3">
            <w:pPr>
              <w:numPr>
                <w:ilvl w:val="0"/>
                <w:numId w:val="15"/>
              </w:numPr>
              <w:contextualSpacing/>
              <w:jc w:val="left"/>
              <w:rPr>
                <w:rFonts w:eastAsia="SimSun" w:cs="Traditional Arabic"/>
                <w:szCs w:val="19"/>
                <w:lang w:val="en-US" w:eastAsia="en-US"/>
              </w:rPr>
            </w:pPr>
            <w:r w:rsidRPr="002A103D">
              <w:rPr>
                <w:rFonts w:eastAsia="SimSun" w:cs="Traditional Arabic"/>
                <w:szCs w:val="19"/>
                <w:lang w:val="en-US" w:eastAsia="en-US"/>
              </w:rPr>
              <w:t>What technologies and/or standards could enhance the gathering of data/information about climate change for your administration?</w:t>
            </w:r>
          </w:p>
        </w:tc>
      </w:tr>
      <w:tr w:rsidR="00606EA3" w:rsidRPr="00E94F9B" w:rsidTr="00606EA3">
        <w:tc>
          <w:tcPr>
            <w:tcW w:w="9639" w:type="dxa"/>
            <w:tcBorders>
              <w:top w:val="single" w:sz="4" w:space="0" w:color="auto"/>
              <w:left w:val="single" w:sz="4" w:space="0" w:color="auto"/>
              <w:bottom w:val="single" w:sz="4" w:space="0" w:color="auto"/>
              <w:right w:val="single" w:sz="4" w:space="0" w:color="auto"/>
            </w:tcBorders>
            <w:hideMark/>
          </w:tcPr>
          <w:p w:rsidR="00606EA3" w:rsidRPr="00D51FC2" w:rsidRDefault="00606EA3" w:rsidP="00606EA3">
            <w:pPr>
              <w:numPr>
                <w:ilvl w:val="0"/>
                <w:numId w:val="15"/>
              </w:numPr>
              <w:contextualSpacing/>
              <w:jc w:val="left"/>
              <w:rPr>
                <w:rFonts w:eastAsia="SimSun" w:cs="Traditional Arabic"/>
                <w:szCs w:val="19"/>
                <w:lang w:eastAsia="en-US"/>
              </w:rPr>
            </w:pPr>
            <w:r w:rsidRPr="002A103D">
              <w:rPr>
                <w:rFonts w:eastAsia="SimSun" w:cs="Traditional Arabic"/>
                <w:szCs w:val="19"/>
                <w:lang w:val="en-US" w:eastAsia="en-US"/>
              </w:rPr>
              <w:lastRenderedPageBreak/>
              <w:t xml:space="preserve">What information communication technologies and standards are used by your administration to disseminate information about climate change to those who need it (e.g. in broadcast, Satellite systems)? </w:t>
            </w:r>
            <w:r w:rsidRPr="00D51FC2">
              <w:rPr>
                <w:rFonts w:eastAsia="SimSun" w:cs="Traditional Arabic"/>
                <w:szCs w:val="19"/>
                <w:lang w:eastAsia="en-US"/>
              </w:rPr>
              <w:t>Examples include the following:</w:t>
            </w:r>
          </w:p>
          <w:tbl>
            <w:tblPr>
              <w:tblW w:w="4950" w:type="pct"/>
              <w:tblCellSpacing w:w="0" w:type="dxa"/>
              <w:tblInd w:w="15" w:type="dxa"/>
              <w:tblBorders>
                <w:top w:val="single" w:sz="6" w:space="0" w:color="99CCFF"/>
                <w:left w:val="single" w:sz="6" w:space="0" w:color="99CCFF"/>
                <w:bottom w:val="single" w:sz="6" w:space="0" w:color="99CCFF"/>
                <w:right w:val="single" w:sz="6" w:space="0" w:color="99CCFF"/>
              </w:tblBorders>
              <w:shd w:val="clear" w:color="auto" w:fill="C0D8FE"/>
              <w:tblLayout w:type="fixed"/>
              <w:tblCellMar>
                <w:left w:w="0" w:type="dxa"/>
                <w:right w:w="0" w:type="dxa"/>
              </w:tblCellMar>
              <w:tblLook w:val="04A0" w:firstRow="1" w:lastRow="0" w:firstColumn="1" w:lastColumn="0" w:noHBand="0" w:noVBand="1"/>
            </w:tblPr>
            <w:tblGrid>
              <w:gridCol w:w="9335"/>
            </w:tblGrid>
            <w:tr w:rsidR="00606EA3" w:rsidRPr="00D51FC2" w:rsidTr="00606EA3">
              <w:trPr>
                <w:tblCellSpacing w:w="0" w:type="dxa"/>
              </w:trPr>
              <w:tc>
                <w:tcPr>
                  <w:tcW w:w="5000" w:type="pct"/>
                  <w:tcBorders>
                    <w:top w:val="nil"/>
                    <w:left w:val="nil"/>
                    <w:bottom w:val="nil"/>
                    <w:right w:val="nil"/>
                  </w:tcBorders>
                  <w:shd w:val="clear" w:color="auto" w:fill="C0D8FE"/>
                  <w:hideMark/>
                </w:tcPr>
                <w:p w:rsidR="00606EA3" w:rsidRPr="00D51FC2" w:rsidRDefault="00606EA3" w:rsidP="00606EA3">
                  <w:pPr>
                    <w:spacing w:before="0" w:line="240" w:lineRule="atLeast"/>
                    <w:rPr>
                      <w:rFonts w:eastAsia="Times New Roman" w:cs="Arial"/>
                      <w:bCs/>
                      <w:szCs w:val="19"/>
                      <w:lang w:eastAsia="en-US"/>
                    </w:rPr>
                  </w:pPr>
                  <w:r w:rsidRPr="00D51FC2">
                    <w:rPr>
                      <w:rFonts w:ascii="Verdana" w:eastAsia="Times New Roman" w:hAnsi="Verdana" w:cs="Arial"/>
                      <w:sz w:val="19"/>
                      <w:szCs w:val="19"/>
                      <w:lang w:eastAsia="en-US"/>
                    </w:rPr>
                    <w:object w:dxaOrig="225" w:dyaOrig="225">
                      <v:shape id="_x0000_i1180" type="#_x0000_t75" style="width:20.55pt;height:17.75pt" o:ole="">
                        <v:imagedata r:id="rId134" o:title=""/>
                      </v:shape>
                      <w:control r:id="rId135" w:name="DefaultOcxName33" w:shapeid="_x0000_i1180"/>
                    </w:object>
                  </w:r>
                  <w:r w:rsidRPr="00D51FC2">
                    <w:rPr>
                      <w:rFonts w:cs="Traditional Arabic"/>
                      <w:szCs w:val="19"/>
                      <w:lang w:eastAsia="en-US"/>
                    </w:rPr>
                    <w:t>Terrestrial systems (public fixed)</w:t>
                  </w:r>
                </w:p>
              </w:tc>
            </w:tr>
            <w:tr w:rsidR="00606EA3" w:rsidRPr="00D51FC2" w:rsidTr="00606EA3">
              <w:trPr>
                <w:tblCellSpacing w:w="0" w:type="dxa"/>
              </w:trPr>
              <w:tc>
                <w:tcPr>
                  <w:tcW w:w="5000" w:type="pct"/>
                  <w:tcBorders>
                    <w:top w:val="nil"/>
                    <w:left w:val="nil"/>
                    <w:bottom w:val="nil"/>
                    <w:right w:val="nil"/>
                  </w:tcBorders>
                  <w:shd w:val="clear" w:color="auto" w:fill="C0D8FE"/>
                  <w:hideMark/>
                </w:tcPr>
                <w:p w:rsidR="00606EA3" w:rsidRPr="00D51FC2" w:rsidRDefault="00606EA3" w:rsidP="00606EA3">
                  <w:pPr>
                    <w:spacing w:before="0" w:line="240" w:lineRule="atLeast"/>
                    <w:rPr>
                      <w:rFonts w:eastAsia="Times New Roman" w:cs="Arial"/>
                      <w:bCs/>
                      <w:szCs w:val="19"/>
                      <w:lang w:eastAsia="en-US"/>
                    </w:rPr>
                  </w:pPr>
                  <w:r w:rsidRPr="00D51FC2">
                    <w:rPr>
                      <w:rFonts w:ascii="Verdana" w:eastAsia="Times New Roman" w:hAnsi="Verdana" w:cs="Arial"/>
                      <w:sz w:val="19"/>
                      <w:szCs w:val="19"/>
                      <w:lang w:eastAsia="en-US"/>
                    </w:rPr>
                    <w:object w:dxaOrig="225" w:dyaOrig="225">
                      <v:shape id="_x0000_i1183" type="#_x0000_t75" style="width:20.55pt;height:17.75pt" o:ole="">
                        <v:imagedata r:id="rId136" o:title=""/>
                      </v:shape>
                      <w:control r:id="rId137" w:name="DefaultOcxName34" w:shapeid="_x0000_i1183"/>
                    </w:object>
                  </w:r>
                  <w:r w:rsidRPr="00D51FC2">
                    <w:rPr>
                      <w:rFonts w:cs="Traditional Arabic"/>
                      <w:szCs w:val="19"/>
                      <w:lang w:eastAsia="en-US"/>
                    </w:rPr>
                    <w:t>Terrestrial systems (public cellular)</w:t>
                  </w:r>
                </w:p>
              </w:tc>
            </w:tr>
            <w:tr w:rsidR="00606EA3" w:rsidRPr="00E94F9B" w:rsidTr="00606EA3">
              <w:trPr>
                <w:tblCellSpacing w:w="0" w:type="dxa"/>
              </w:trPr>
              <w:tc>
                <w:tcPr>
                  <w:tcW w:w="5000" w:type="pct"/>
                  <w:tcBorders>
                    <w:top w:val="nil"/>
                    <w:left w:val="nil"/>
                    <w:bottom w:val="nil"/>
                    <w:right w:val="nil"/>
                  </w:tcBorders>
                  <w:shd w:val="clear" w:color="auto" w:fill="C0D8FE"/>
                  <w:hideMark/>
                </w:tcPr>
                <w:p w:rsidR="00606EA3" w:rsidRPr="002A103D" w:rsidRDefault="00606EA3" w:rsidP="00606EA3">
                  <w:pPr>
                    <w:spacing w:before="0" w:line="240" w:lineRule="atLeast"/>
                    <w:rPr>
                      <w:rFonts w:eastAsia="Times New Roman" w:cs="Arial"/>
                      <w:bCs/>
                      <w:szCs w:val="19"/>
                      <w:lang w:val="en-US" w:eastAsia="en-US"/>
                    </w:rPr>
                  </w:pPr>
                  <w:r w:rsidRPr="00D51FC2">
                    <w:rPr>
                      <w:rFonts w:ascii="Verdana" w:eastAsia="Times New Roman" w:hAnsi="Verdana" w:cs="Arial"/>
                      <w:sz w:val="19"/>
                      <w:szCs w:val="19"/>
                      <w:lang w:eastAsia="en-US"/>
                    </w:rPr>
                    <w:object w:dxaOrig="225" w:dyaOrig="225">
                      <v:shape id="_x0000_i1186" type="#_x0000_t75" style="width:20.55pt;height:17.75pt" o:ole="">
                        <v:imagedata r:id="rId138" o:title=""/>
                      </v:shape>
                      <w:control r:id="rId139" w:name="DefaultOcxName35" w:shapeid="_x0000_i1186"/>
                    </w:object>
                  </w:r>
                  <w:r w:rsidRPr="002A103D">
                    <w:rPr>
                      <w:rFonts w:cs="Traditional Arabic"/>
                      <w:szCs w:val="19"/>
                      <w:lang w:val="en-US" w:eastAsia="en-US"/>
                    </w:rPr>
                    <w:t>Terrestrial systems (private networks/private mobile radio)</w:t>
                  </w:r>
                </w:p>
              </w:tc>
            </w:tr>
            <w:tr w:rsidR="00606EA3" w:rsidRPr="00E94F9B" w:rsidTr="00606EA3">
              <w:trPr>
                <w:tblCellSpacing w:w="0" w:type="dxa"/>
              </w:trPr>
              <w:tc>
                <w:tcPr>
                  <w:tcW w:w="5000" w:type="pct"/>
                  <w:tcBorders>
                    <w:top w:val="nil"/>
                    <w:left w:val="nil"/>
                    <w:bottom w:val="nil"/>
                    <w:right w:val="nil"/>
                  </w:tcBorders>
                  <w:shd w:val="clear" w:color="auto" w:fill="C0D8FE"/>
                  <w:hideMark/>
                </w:tcPr>
                <w:p w:rsidR="00606EA3" w:rsidRPr="002A103D" w:rsidRDefault="00606EA3" w:rsidP="00606EA3">
                  <w:pPr>
                    <w:spacing w:before="0" w:line="240" w:lineRule="atLeast"/>
                    <w:rPr>
                      <w:rFonts w:eastAsia="Times New Roman" w:cs="Arial"/>
                      <w:bCs/>
                      <w:szCs w:val="19"/>
                      <w:lang w:val="en-US" w:eastAsia="en-US"/>
                    </w:rPr>
                  </w:pPr>
                  <w:r w:rsidRPr="00D51FC2">
                    <w:rPr>
                      <w:rFonts w:ascii="Verdana" w:eastAsia="Times New Roman" w:hAnsi="Verdana" w:cs="Arial"/>
                      <w:sz w:val="19"/>
                      <w:szCs w:val="19"/>
                      <w:lang w:eastAsia="en-US"/>
                    </w:rPr>
                    <w:object w:dxaOrig="225" w:dyaOrig="225">
                      <v:shape id="_x0000_i1189" type="#_x0000_t75" style="width:20.55pt;height:17.75pt" o:ole="">
                        <v:imagedata r:id="rId140" o:title=""/>
                      </v:shape>
                      <w:control r:id="rId141" w:name="DefaultOcxName36" w:shapeid="_x0000_i1189"/>
                    </w:object>
                  </w:r>
                  <w:r w:rsidRPr="002A103D">
                    <w:rPr>
                      <w:rFonts w:eastAsia="Times New Roman" w:cs="Arial"/>
                      <w:szCs w:val="19"/>
                      <w:lang w:val="en-US" w:eastAsia="en-US"/>
                    </w:rPr>
                    <w:t>Interactive voice</w:t>
                  </w:r>
                </w:p>
              </w:tc>
            </w:tr>
            <w:tr w:rsidR="00606EA3" w:rsidRPr="00E94F9B" w:rsidTr="00606EA3">
              <w:trPr>
                <w:tblCellSpacing w:w="0" w:type="dxa"/>
              </w:trPr>
              <w:tc>
                <w:tcPr>
                  <w:tcW w:w="5000" w:type="pct"/>
                  <w:tcBorders>
                    <w:top w:val="nil"/>
                    <w:left w:val="nil"/>
                    <w:bottom w:val="nil"/>
                    <w:right w:val="nil"/>
                  </w:tcBorders>
                  <w:shd w:val="clear" w:color="auto" w:fill="C0D8FE"/>
                  <w:hideMark/>
                </w:tcPr>
                <w:p w:rsidR="00606EA3" w:rsidRPr="002A103D" w:rsidRDefault="00606EA3" w:rsidP="00606EA3">
                  <w:pPr>
                    <w:spacing w:before="0" w:line="240" w:lineRule="atLeast"/>
                    <w:rPr>
                      <w:rFonts w:eastAsia="Times New Roman" w:cs="Arial"/>
                      <w:bCs/>
                      <w:szCs w:val="19"/>
                      <w:lang w:val="en-US" w:eastAsia="en-US"/>
                    </w:rPr>
                  </w:pPr>
                  <w:r w:rsidRPr="00D51FC2">
                    <w:rPr>
                      <w:rFonts w:ascii="Verdana" w:eastAsia="Times New Roman" w:hAnsi="Verdana" w:cs="Arial"/>
                      <w:sz w:val="19"/>
                      <w:szCs w:val="19"/>
                      <w:lang w:eastAsia="en-US"/>
                    </w:rPr>
                    <w:object w:dxaOrig="225" w:dyaOrig="225">
                      <v:shape id="_x0000_i1192" type="#_x0000_t75" style="width:20.55pt;height:17.75pt" o:ole="">
                        <v:imagedata r:id="rId142" o:title=""/>
                      </v:shape>
                      <w:control r:id="rId143" w:name="DefaultOcxName37" w:shapeid="_x0000_i1192"/>
                    </w:object>
                  </w:r>
                  <w:r w:rsidRPr="002A103D">
                    <w:rPr>
                      <w:rFonts w:eastAsia="Times New Roman" w:cs="Arial"/>
                      <w:szCs w:val="19"/>
                      <w:lang w:val="en-US" w:eastAsia="en-US"/>
                    </w:rPr>
                    <w:t>Others</w:t>
                  </w:r>
                </w:p>
              </w:tc>
            </w:tr>
            <w:tr w:rsidR="00606EA3" w:rsidRPr="00E94F9B" w:rsidTr="00606EA3">
              <w:trPr>
                <w:tblCellSpacing w:w="0" w:type="dxa"/>
              </w:trPr>
              <w:tc>
                <w:tcPr>
                  <w:tcW w:w="5000" w:type="pct"/>
                  <w:tcBorders>
                    <w:top w:val="nil"/>
                    <w:left w:val="nil"/>
                    <w:bottom w:val="nil"/>
                    <w:right w:val="nil"/>
                  </w:tcBorders>
                  <w:shd w:val="clear" w:color="auto" w:fill="C0D8FE"/>
                  <w:hideMark/>
                </w:tcPr>
                <w:p w:rsidR="00606EA3" w:rsidRPr="002A103D" w:rsidRDefault="00606EA3" w:rsidP="00606EA3">
                  <w:pPr>
                    <w:spacing w:before="0"/>
                    <w:rPr>
                      <w:bCs/>
                      <w:szCs w:val="19"/>
                      <w:lang w:val="en-US"/>
                    </w:rPr>
                  </w:pPr>
                </w:p>
              </w:tc>
            </w:tr>
          </w:tbl>
          <w:p w:rsidR="00606EA3" w:rsidRPr="002A103D" w:rsidRDefault="00606EA3" w:rsidP="00606EA3">
            <w:pPr>
              <w:rPr>
                <w:rFonts w:eastAsia="SimSun" w:cs="Traditional Arabic"/>
                <w:szCs w:val="19"/>
                <w:lang w:val="en-US" w:eastAsia="en-US"/>
              </w:rPr>
            </w:pPr>
            <w:r w:rsidRPr="002A103D">
              <w:rPr>
                <w:rFonts w:eastAsia="SimSun" w:cs="Traditional Arabic"/>
                <w:szCs w:val="19"/>
                <w:lang w:val="en-US" w:eastAsia="en-US"/>
              </w:rPr>
              <w:t>If others, please specify:</w:t>
            </w:r>
          </w:p>
        </w:tc>
      </w:tr>
      <w:tr w:rsidR="00606EA3" w:rsidRPr="00E94F9B" w:rsidTr="00606EA3">
        <w:tc>
          <w:tcPr>
            <w:tcW w:w="9639" w:type="dxa"/>
            <w:tcBorders>
              <w:top w:val="single" w:sz="4" w:space="0" w:color="auto"/>
              <w:left w:val="single" w:sz="4" w:space="0" w:color="auto"/>
              <w:bottom w:val="single" w:sz="4" w:space="0" w:color="auto"/>
              <w:right w:val="single" w:sz="4" w:space="0" w:color="auto"/>
            </w:tcBorders>
            <w:hideMark/>
          </w:tcPr>
          <w:p w:rsidR="00606EA3" w:rsidRPr="002A103D" w:rsidRDefault="00606EA3" w:rsidP="00606EA3">
            <w:pPr>
              <w:numPr>
                <w:ilvl w:val="0"/>
                <w:numId w:val="15"/>
              </w:numPr>
              <w:contextualSpacing/>
              <w:jc w:val="left"/>
              <w:rPr>
                <w:rFonts w:eastAsia="SimSun" w:cs="Traditional Arabic"/>
                <w:szCs w:val="19"/>
                <w:lang w:val="en-US" w:eastAsia="en-US"/>
              </w:rPr>
            </w:pPr>
            <w:r w:rsidRPr="002A103D">
              <w:rPr>
                <w:rFonts w:eastAsia="SimSun" w:cs="Traditional Arabic"/>
                <w:szCs w:val="19"/>
                <w:lang w:val="en-US" w:eastAsia="en-US"/>
              </w:rPr>
              <w:t>What technologies and/or standards could enhance the dissemination of information about climate change to those who need it?</w:t>
            </w:r>
          </w:p>
        </w:tc>
      </w:tr>
      <w:tr w:rsidR="00606EA3" w:rsidRPr="00E94F9B" w:rsidTr="00606EA3">
        <w:tc>
          <w:tcPr>
            <w:tcW w:w="9639" w:type="dxa"/>
            <w:tcBorders>
              <w:top w:val="single" w:sz="4" w:space="0" w:color="auto"/>
              <w:left w:val="single" w:sz="4" w:space="0" w:color="auto"/>
              <w:bottom w:val="single" w:sz="4" w:space="0" w:color="auto"/>
              <w:right w:val="single" w:sz="4" w:space="0" w:color="auto"/>
            </w:tcBorders>
            <w:hideMark/>
          </w:tcPr>
          <w:p w:rsidR="00606EA3" w:rsidRPr="002A103D" w:rsidRDefault="00606EA3" w:rsidP="00606EA3">
            <w:pPr>
              <w:numPr>
                <w:ilvl w:val="0"/>
                <w:numId w:val="15"/>
              </w:numPr>
              <w:contextualSpacing/>
              <w:jc w:val="left"/>
              <w:rPr>
                <w:rFonts w:eastAsia="SimSun" w:cs="Traditional Arabic"/>
                <w:szCs w:val="19"/>
                <w:lang w:val="en-US" w:eastAsia="en-US"/>
              </w:rPr>
            </w:pPr>
            <w:r w:rsidRPr="002A103D">
              <w:rPr>
                <w:rFonts w:eastAsia="SimSun" w:cs="Traditional Arabic"/>
                <w:szCs w:val="19"/>
                <w:lang w:val="en-US" w:eastAsia="en-US"/>
              </w:rPr>
              <w:t>Access to information is important for communities needing to adapt to climate change. What are the challenges to deploying Telecommunication infrastructure in rural/remote areas in your region? Please indicate those that affect you most from the following examples:</w:t>
            </w:r>
          </w:p>
          <w:tbl>
            <w:tblPr>
              <w:tblW w:w="4950" w:type="pct"/>
              <w:tblCellSpacing w:w="0" w:type="dxa"/>
              <w:tblInd w:w="15" w:type="dxa"/>
              <w:tblBorders>
                <w:top w:val="single" w:sz="6" w:space="0" w:color="99CCFF"/>
                <w:left w:val="single" w:sz="6" w:space="0" w:color="99CCFF"/>
                <w:bottom w:val="single" w:sz="6" w:space="0" w:color="99CCFF"/>
                <w:right w:val="single" w:sz="6" w:space="0" w:color="99CCFF"/>
              </w:tblBorders>
              <w:shd w:val="clear" w:color="auto" w:fill="C0D8FE"/>
              <w:tblLayout w:type="fixed"/>
              <w:tblCellMar>
                <w:left w:w="0" w:type="dxa"/>
                <w:right w:w="0" w:type="dxa"/>
              </w:tblCellMar>
              <w:tblLook w:val="04A0" w:firstRow="1" w:lastRow="0" w:firstColumn="1" w:lastColumn="0" w:noHBand="0" w:noVBand="1"/>
            </w:tblPr>
            <w:tblGrid>
              <w:gridCol w:w="9335"/>
            </w:tblGrid>
            <w:tr w:rsidR="00606EA3" w:rsidRPr="00D51FC2" w:rsidTr="00606EA3">
              <w:trPr>
                <w:tblCellSpacing w:w="0" w:type="dxa"/>
              </w:trPr>
              <w:tc>
                <w:tcPr>
                  <w:tcW w:w="5000" w:type="pct"/>
                  <w:tcBorders>
                    <w:top w:val="nil"/>
                    <w:left w:val="nil"/>
                    <w:bottom w:val="nil"/>
                    <w:right w:val="nil"/>
                  </w:tcBorders>
                  <w:shd w:val="clear" w:color="auto" w:fill="C0D8FE"/>
                  <w:hideMark/>
                </w:tcPr>
                <w:p w:rsidR="00606EA3" w:rsidRPr="00D51FC2" w:rsidRDefault="00606EA3" w:rsidP="00606EA3">
                  <w:pPr>
                    <w:spacing w:before="0" w:line="240" w:lineRule="atLeast"/>
                    <w:rPr>
                      <w:rFonts w:eastAsia="Times New Roman" w:cs="Arial"/>
                      <w:bCs/>
                      <w:szCs w:val="19"/>
                      <w:lang w:eastAsia="en-US"/>
                    </w:rPr>
                  </w:pPr>
                  <w:r w:rsidRPr="00D51FC2">
                    <w:rPr>
                      <w:rFonts w:ascii="Verdana" w:eastAsia="Times New Roman" w:hAnsi="Verdana" w:cs="Arial"/>
                      <w:sz w:val="19"/>
                      <w:szCs w:val="19"/>
                      <w:lang w:eastAsia="en-US"/>
                    </w:rPr>
                    <w:object w:dxaOrig="225" w:dyaOrig="225">
                      <v:shape id="_x0000_i1195" type="#_x0000_t75" style="width:20.55pt;height:17.75pt" o:ole="">
                        <v:imagedata r:id="rId144" o:title=""/>
                      </v:shape>
                      <w:control r:id="rId145" w:name="DefaultOcxName38" w:shapeid="_x0000_i1195"/>
                    </w:object>
                  </w:r>
                  <w:r w:rsidRPr="00D51FC2">
                    <w:rPr>
                      <w:rFonts w:cs="Traditional Arabic"/>
                      <w:szCs w:val="19"/>
                      <w:lang w:eastAsia="en-US"/>
                    </w:rPr>
                    <w:t>Access to electricity</w:t>
                  </w:r>
                </w:p>
              </w:tc>
            </w:tr>
            <w:tr w:rsidR="00606EA3" w:rsidRPr="00D51FC2" w:rsidTr="00606EA3">
              <w:trPr>
                <w:tblCellSpacing w:w="0" w:type="dxa"/>
              </w:trPr>
              <w:tc>
                <w:tcPr>
                  <w:tcW w:w="5000" w:type="pct"/>
                  <w:tcBorders>
                    <w:top w:val="nil"/>
                    <w:left w:val="nil"/>
                    <w:bottom w:val="nil"/>
                    <w:right w:val="nil"/>
                  </w:tcBorders>
                  <w:shd w:val="clear" w:color="auto" w:fill="C0D8FE"/>
                  <w:hideMark/>
                </w:tcPr>
                <w:p w:rsidR="00606EA3" w:rsidRPr="00D51FC2" w:rsidRDefault="00606EA3" w:rsidP="00606EA3">
                  <w:pPr>
                    <w:spacing w:before="0" w:line="240" w:lineRule="atLeast"/>
                    <w:rPr>
                      <w:rFonts w:eastAsia="Times New Roman" w:cs="Arial"/>
                      <w:bCs/>
                      <w:szCs w:val="19"/>
                      <w:lang w:eastAsia="en-US"/>
                    </w:rPr>
                  </w:pPr>
                  <w:r w:rsidRPr="00D51FC2">
                    <w:rPr>
                      <w:rFonts w:ascii="Verdana" w:eastAsia="Times New Roman" w:hAnsi="Verdana" w:cs="Arial"/>
                      <w:sz w:val="19"/>
                      <w:szCs w:val="19"/>
                      <w:lang w:eastAsia="en-US"/>
                    </w:rPr>
                    <w:object w:dxaOrig="225" w:dyaOrig="225">
                      <v:shape id="_x0000_i1198" type="#_x0000_t75" style="width:20.55pt;height:17.75pt" o:ole="">
                        <v:imagedata r:id="rId146" o:title=""/>
                      </v:shape>
                      <w:control r:id="rId147" w:name="DefaultOcxName39" w:shapeid="_x0000_i1198"/>
                    </w:object>
                  </w:r>
                  <w:r w:rsidRPr="00D51FC2">
                    <w:rPr>
                      <w:rFonts w:cs="Traditional Arabic"/>
                      <w:szCs w:val="19"/>
                      <w:lang w:eastAsia="en-US"/>
                    </w:rPr>
                    <w:t>Expense of power backup</w:t>
                  </w:r>
                </w:p>
              </w:tc>
            </w:tr>
            <w:tr w:rsidR="00606EA3" w:rsidRPr="00D51FC2" w:rsidTr="00606EA3">
              <w:trPr>
                <w:tblCellSpacing w:w="0" w:type="dxa"/>
              </w:trPr>
              <w:tc>
                <w:tcPr>
                  <w:tcW w:w="5000" w:type="pct"/>
                  <w:tcBorders>
                    <w:top w:val="nil"/>
                    <w:left w:val="nil"/>
                    <w:bottom w:val="nil"/>
                    <w:right w:val="nil"/>
                  </w:tcBorders>
                  <w:shd w:val="clear" w:color="auto" w:fill="C0D8FE"/>
                  <w:hideMark/>
                </w:tcPr>
                <w:p w:rsidR="00606EA3" w:rsidRPr="00D51FC2" w:rsidRDefault="00606EA3" w:rsidP="00606EA3">
                  <w:pPr>
                    <w:spacing w:before="0" w:line="240" w:lineRule="atLeast"/>
                    <w:rPr>
                      <w:rFonts w:eastAsia="Times New Roman" w:cs="Arial"/>
                      <w:bCs/>
                      <w:szCs w:val="19"/>
                      <w:lang w:eastAsia="en-US"/>
                    </w:rPr>
                  </w:pPr>
                  <w:r w:rsidRPr="00D51FC2">
                    <w:rPr>
                      <w:rFonts w:ascii="Verdana" w:eastAsia="Times New Roman" w:hAnsi="Verdana" w:cs="Arial"/>
                      <w:sz w:val="19"/>
                      <w:szCs w:val="19"/>
                      <w:lang w:eastAsia="en-US"/>
                    </w:rPr>
                    <w:object w:dxaOrig="225" w:dyaOrig="225">
                      <v:shape id="_x0000_i1201" type="#_x0000_t75" style="width:20.55pt;height:17.75pt" o:ole="">
                        <v:imagedata r:id="rId148" o:title=""/>
                      </v:shape>
                      <w:control r:id="rId149" w:name="DefaultOcxName40" w:shapeid="_x0000_i1201"/>
                    </w:object>
                  </w:r>
                  <w:r w:rsidRPr="00D51FC2">
                    <w:rPr>
                      <w:rFonts w:cs="Traditional Arabic"/>
                      <w:szCs w:val="19"/>
                      <w:lang w:eastAsia="en-US"/>
                    </w:rPr>
                    <w:t>Terrain</w:t>
                  </w:r>
                </w:p>
              </w:tc>
            </w:tr>
            <w:tr w:rsidR="00606EA3" w:rsidRPr="00D51FC2" w:rsidTr="00606EA3">
              <w:trPr>
                <w:tblCellSpacing w:w="0" w:type="dxa"/>
              </w:trPr>
              <w:tc>
                <w:tcPr>
                  <w:tcW w:w="5000" w:type="pct"/>
                  <w:tcBorders>
                    <w:top w:val="nil"/>
                    <w:left w:val="nil"/>
                    <w:bottom w:val="nil"/>
                    <w:right w:val="nil"/>
                  </w:tcBorders>
                  <w:shd w:val="clear" w:color="auto" w:fill="C0D8FE"/>
                  <w:hideMark/>
                </w:tcPr>
                <w:p w:rsidR="00606EA3" w:rsidRPr="00D51FC2" w:rsidRDefault="00606EA3" w:rsidP="00606EA3">
                  <w:pPr>
                    <w:spacing w:before="0" w:line="240" w:lineRule="atLeast"/>
                    <w:rPr>
                      <w:rFonts w:eastAsia="Times New Roman" w:cs="Arial"/>
                      <w:bCs/>
                      <w:szCs w:val="19"/>
                      <w:lang w:eastAsia="en-US"/>
                    </w:rPr>
                  </w:pPr>
                  <w:r w:rsidRPr="00D51FC2">
                    <w:rPr>
                      <w:rFonts w:ascii="Verdana" w:eastAsia="Times New Roman" w:hAnsi="Verdana" w:cs="Arial"/>
                      <w:sz w:val="19"/>
                      <w:szCs w:val="19"/>
                      <w:lang w:eastAsia="en-US"/>
                    </w:rPr>
                    <w:object w:dxaOrig="225" w:dyaOrig="225">
                      <v:shape id="_x0000_i1204" type="#_x0000_t75" style="width:20.55pt;height:17.75pt" o:ole="">
                        <v:imagedata r:id="rId150" o:title=""/>
                      </v:shape>
                      <w:control r:id="rId151" w:name="DefaultOcxName41" w:shapeid="_x0000_i1204"/>
                    </w:object>
                  </w:r>
                  <w:r w:rsidRPr="00D51FC2">
                    <w:rPr>
                      <w:rFonts w:eastAsia="Times New Roman" w:cs="Arial"/>
                      <w:szCs w:val="19"/>
                      <w:lang w:eastAsia="en-US"/>
                    </w:rPr>
                    <w:t>Accessibility and transportation</w:t>
                  </w:r>
                </w:p>
              </w:tc>
            </w:tr>
            <w:tr w:rsidR="00606EA3" w:rsidRPr="00D51FC2" w:rsidTr="00606EA3">
              <w:trPr>
                <w:tblCellSpacing w:w="0" w:type="dxa"/>
              </w:trPr>
              <w:tc>
                <w:tcPr>
                  <w:tcW w:w="5000" w:type="pct"/>
                  <w:tcBorders>
                    <w:top w:val="nil"/>
                    <w:left w:val="nil"/>
                    <w:bottom w:val="nil"/>
                    <w:right w:val="nil"/>
                  </w:tcBorders>
                  <w:shd w:val="clear" w:color="auto" w:fill="C0D8FE"/>
                  <w:hideMark/>
                </w:tcPr>
                <w:p w:rsidR="00606EA3" w:rsidRPr="00D51FC2" w:rsidRDefault="00606EA3" w:rsidP="00606EA3">
                  <w:pPr>
                    <w:spacing w:before="0" w:line="240" w:lineRule="atLeast"/>
                    <w:rPr>
                      <w:rFonts w:eastAsia="Times New Roman" w:cs="Arial"/>
                      <w:bCs/>
                      <w:szCs w:val="19"/>
                      <w:lang w:eastAsia="en-US"/>
                    </w:rPr>
                  </w:pPr>
                  <w:r w:rsidRPr="00D51FC2">
                    <w:rPr>
                      <w:rFonts w:ascii="Verdana" w:eastAsia="Times New Roman" w:hAnsi="Verdana" w:cs="Arial"/>
                      <w:sz w:val="19"/>
                      <w:szCs w:val="19"/>
                      <w:lang w:eastAsia="en-US"/>
                    </w:rPr>
                    <w:object w:dxaOrig="225" w:dyaOrig="225">
                      <v:shape id="_x0000_i1207" type="#_x0000_t75" style="width:20.55pt;height:17.75pt" o:ole="">
                        <v:imagedata r:id="rId152" o:title=""/>
                      </v:shape>
                      <w:control r:id="rId153" w:name="DefaultOcxName42" w:shapeid="_x0000_i1207"/>
                    </w:object>
                  </w:r>
                  <w:r w:rsidRPr="00D51FC2">
                    <w:rPr>
                      <w:rFonts w:cs="Traditional Arabic"/>
                      <w:szCs w:val="19"/>
                      <w:lang w:eastAsia="en-US"/>
                    </w:rPr>
                    <w:t>Lack of skills manpower</w:t>
                  </w:r>
                </w:p>
              </w:tc>
            </w:tr>
            <w:tr w:rsidR="00606EA3" w:rsidRPr="00D51FC2" w:rsidTr="00606EA3">
              <w:trPr>
                <w:tblCellSpacing w:w="0" w:type="dxa"/>
              </w:trPr>
              <w:tc>
                <w:tcPr>
                  <w:tcW w:w="5000" w:type="pct"/>
                  <w:tcBorders>
                    <w:top w:val="nil"/>
                    <w:left w:val="nil"/>
                    <w:bottom w:val="nil"/>
                    <w:right w:val="nil"/>
                  </w:tcBorders>
                  <w:shd w:val="clear" w:color="auto" w:fill="C0D8FE"/>
                  <w:hideMark/>
                </w:tcPr>
                <w:p w:rsidR="00606EA3" w:rsidRPr="00D51FC2" w:rsidRDefault="00606EA3" w:rsidP="00606EA3">
                  <w:pPr>
                    <w:spacing w:before="0"/>
                    <w:rPr>
                      <w:bCs/>
                      <w:szCs w:val="19"/>
                    </w:rPr>
                  </w:pPr>
                </w:p>
              </w:tc>
            </w:tr>
            <w:tr w:rsidR="00606EA3" w:rsidRPr="00E94F9B" w:rsidTr="00606EA3">
              <w:trPr>
                <w:tblCellSpacing w:w="0" w:type="dxa"/>
              </w:trPr>
              <w:tc>
                <w:tcPr>
                  <w:tcW w:w="5000" w:type="pct"/>
                  <w:tcBorders>
                    <w:top w:val="nil"/>
                    <w:left w:val="nil"/>
                    <w:bottom w:val="nil"/>
                    <w:right w:val="nil"/>
                  </w:tcBorders>
                  <w:shd w:val="clear" w:color="auto" w:fill="C0D8FE"/>
                  <w:hideMark/>
                </w:tcPr>
                <w:p w:rsidR="00606EA3" w:rsidRPr="002A103D" w:rsidRDefault="00606EA3" w:rsidP="00606EA3">
                  <w:pPr>
                    <w:spacing w:before="0" w:line="240" w:lineRule="atLeast"/>
                    <w:rPr>
                      <w:rFonts w:eastAsia="Times New Roman" w:cs="Arial"/>
                      <w:bCs/>
                      <w:szCs w:val="19"/>
                      <w:lang w:val="en-US" w:eastAsia="en-US"/>
                    </w:rPr>
                  </w:pPr>
                  <w:r w:rsidRPr="00D51FC2">
                    <w:rPr>
                      <w:rFonts w:ascii="Verdana" w:eastAsia="Times New Roman" w:hAnsi="Verdana" w:cs="Arial"/>
                      <w:sz w:val="19"/>
                      <w:szCs w:val="19"/>
                      <w:lang w:eastAsia="en-US"/>
                    </w:rPr>
                    <w:object w:dxaOrig="225" w:dyaOrig="225">
                      <v:shape id="_x0000_i1210" type="#_x0000_t75" style="width:20.55pt;height:17.75pt" o:ole="">
                        <v:imagedata r:id="rId154" o:title=""/>
                      </v:shape>
                      <w:control r:id="rId155" w:name="DefaultOcxName43" w:shapeid="_x0000_i1210"/>
                    </w:object>
                  </w:r>
                  <w:r w:rsidRPr="002A103D">
                    <w:rPr>
                      <w:rFonts w:cs="Traditional Arabic"/>
                      <w:szCs w:val="19"/>
                      <w:lang w:val="en-US" w:eastAsia="en-US"/>
                    </w:rPr>
                    <w:t>Installation and maintenance of networks</w:t>
                  </w:r>
                </w:p>
              </w:tc>
            </w:tr>
            <w:tr w:rsidR="00606EA3" w:rsidRPr="00D51FC2" w:rsidTr="00606EA3">
              <w:trPr>
                <w:tblCellSpacing w:w="0" w:type="dxa"/>
              </w:trPr>
              <w:tc>
                <w:tcPr>
                  <w:tcW w:w="5000" w:type="pct"/>
                  <w:tcBorders>
                    <w:top w:val="nil"/>
                    <w:left w:val="nil"/>
                    <w:bottom w:val="nil"/>
                    <w:right w:val="nil"/>
                  </w:tcBorders>
                  <w:shd w:val="clear" w:color="auto" w:fill="C0D8FE"/>
                  <w:hideMark/>
                </w:tcPr>
                <w:p w:rsidR="00606EA3" w:rsidRPr="00D51FC2" w:rsidRDefault="00606EA3" w:rsidP="00606EA3">
                  <w:pPr>
                    <w:spacing w:before="0" w:line="240" w:lineRule="atLeast"/>
                    <w:rPr>
                      <w:rFonts w:eastAsia="Times New Roman" w:cs="Arial"/>
                      <w:bCs/>
                      <w:szCs w:val="19"/>
                      <w:lang w:eastAsia="en-US"/>
                    </w:rPr>
                  </w:pPr>
                  <w:r w:rsidRPr="00D51FC2">
                    <w:rPr>
                      <w:rFonts w:ascii="Verdana" w:eastAsia="Times New Roman" w:hAnsi="Verdana" w:cs="Arial"/>
                      <w:sz w:val="19"/>
                      <w:szCs w:val="19"/>
                      <w:lang w:eastAsia="en-US"/>
                    </w:rPr>
                    <w:object w:dxaOrig="225" w:dyaOrig="225">
                      <v:shape id="_x0000_i1213" type="#_x0000_t75" style="width:20.55pt;height:17.75pt" o:ole="">
                        <v:imagedata r:id="rId156" o:title=""/>
                      </v:shape>
                      <w:control r:id="rId157" w:name="DefaultOcxName44" w:shapeid="_x0000_i1213"/>
                    </w:object>
                  </w:r>
                  <w:r w:rsidRPr="00D51FC2">
                    <w:rPr>
                      <w:rFonts w:cs="Traditional Arabic"/>
                      <w:szCs w:val="19"/>
                      <w:lang w:eastAsia="en-US"/>
                    </w:rPr>
                    <w:t>Operating costs high</w:t>
                  </w:r>
                </w:p>
              </w:tc>
            </w:tr>
            <w:tr w:rsidR="00606EA3" w:rsidRPr="00E94F9B" w:rsidTr="00606EA3">
              <w:trPr>
                <w:tblCellSpacing w:w="0" w:type="dxa"/>
              </w:trPr>
              <w:tc>
                <w:tcPr>
                  <w:tcW w:w="5000" w:type="pct"/>
                  <w:tcBorders>
                    <w:top w:val="nil"/>
                    <w:left w:val="nil"/>
                    <w:bottom w:val="nil"/>
                    <w:right w:val="nil"/>
                  </w:tcBorders>
                  <w:shd w:val="clear" w:color="auto" w:fill="C0D8FE"/>
                  <w:hideMark/>
                </w:tcPr>
                <w:p w:rsidR="00606EA3" w:rsidRPr="002A103D" w:rsidRDefault="00606EA3" w:rsidP="00606EA3">
                  <w:pPr>
                    <w:spacing w:before="0" w:line="240" w:lineRule="atLeast"/>
                    <w:rPr>
                      <w:rFonts w:eastAsia="Times New Roman" w:cs="Arial"/>
                      <w:bCs/>
                      <w:szCs w:val="19"/>
                      <w:lang w:val="en-US" w:eastAsia="en-US"/>
                    </w:rPr>
                  </w:pPr>
                  <w:r w:rsidRPr="00D51FC2">
                    <w:rPr>
                      <w:rFonts w:ascii="Verdana" w:eastAsia="Times New Roman" w:hAnsi="Verdana" w:cs="Arial"/>
                      <w:sz w:val="19"/>
                      <w:szCs w:val="19"/>
                      <w:lang w:eastAsia="en-US"/>
                    </w:rPr>
                    <w:object w:dxaOrig="225" w:dyaOrig="225">
                      <v:shape id="_x0000_i1216" type="#_x0000_t75" style="width:20.55pt;height:17.75pt" o:ole="">
                        <v:imagedata r:id="rId158" o:title=""/>
                      </v:shape>
                      <w:control r:id="rId159" w:name="DefaultOcxName45" w:shapeid="_x0000_i1216"/>
                    </w:object>
                  </w:r>
                  <w:r w:rsidRPr="002A103D">
                    <w:rPr>
                      <w:rFonts w:cs="Traditional Arabic"/>
                      <w:szCs w:val="19"/>
                      <w:lang w:val="en-US" w:eastAsia="en-US"/>
                    </w:rPr>
                    <w:t>Average revenue per user low</w:t>
                  </w:r>
                </w:p>
              </w:tc>
            </w:tr>
            <w:tr w:rsidR="00606EA3" w:rsidRPr="00D51FC2" w:rsidTr="00606EA3">
              <w:trPr>
                <w:tblCellSpacing w:w="0" w:type="dxa"/>
              </w:trPr>
              <w:tc>
                <w:tcPr>
                  <w:tcW w:w="5000" w:type="pct"/>
                  <w:tcBorders>
                    <w:top w:val="nil"/>
                    <w:left w:val="nil"/>
                    <w:bottom w:val="nil"/>
                    <w:right w:val="nil"/>
                  </w:tcBorders>
                  <w:shd w:val="clear" w:color="auto" w:fill="C0D8FE"/>
                  <w:hideMark/>
                </w:tcPr>
                <w:p w:rsidR="00606EA3" w:rsidRPr="00D51FC2" w:rsidRDefault="00606EA3" w:rsidP="00606EA3">
                  <w:pPr>
                    <w:spacing w:before="0" w:line="240" w:lineRule="atLeast"/>
                    <w:rPr>
                      <w:rFonts w:eastAsia="Times New Roman" w:cs="Arial"/>
                      <w:bCs/>
                      <w:szCs w:val="19"/>
                      <w:lang w:eastAsia="en-US"/>
                    </w:rPr>
                  </w:pPr>
                  <w:r w:rsidRPr="00D51FC2">
                    <w:rPr>
                      <w:rFonts w:ascii="Verdana" w:eastAsia="Times New Roman" w:hAnsi="Verdana" w:cs="Arial"/>
                      <w:sz w:val="19"/>
                      <w:szCs w:val="19"/>
                      <w:lang w:eastAsia="en-US"/>
                    </w:rPr>
                    <w:object w:dxaOrig="225" w:dyaOrig="225">
                      <v:shape id="_x0000_i1219" type="#_x0000_t75" style="width:20.55pt;height:17.75pt" o:ole="">
                        <v:imagedata r:id="rId160" o:title=""/>
                      </v:shape>
                      <w:control r:id="rId161" w:name="DefaultOcxName46" w:shapeid="_x0000_i1219"/>
                    </w:object>
                  </w:r>
                  <w:r w:rsidRPr="00D51FC2">
                    <w:rPr>
                      <w:rFonts w:cs="Traditional Arabic"/>
                      <w:szCs w:val="19"/>
                      <w:lang w:eastAsia="en-US"/>
                    </w:rPr>
                    <w:t>Population sparse and scattered</w:t>
                  </w:r>
                </w:p>
              </w:tc>
            </w:tr>
            <w:tr w:rsidR="00606EA3" w:rsidRPr="00E94F9B" w:rsidTr="00606EA3">
              <w:trPr>
                <w:tblCellSpacing w:w="0" w:type="dxa"/>
              </w:trPr>
              <w:tc>
                <w:tcPr>
                  <w:tcW w:w="5000" w:type="pct"/>
                  <w:tcBorders>
                    <w:top w:val="nil"/>
                    <w:left w:val="nil"/>
                    <w:bottom w:val="nil"/>
                    <w:right w:val="nil"/>
                  </w:tcBorders>
                  <w:shd w:val="clear" w:color="auto" w:fill="C0D8FE"/>
                  <w:hideMark/>
                </w:tcPr>
                <w:p w:rsidR="00606EA3" w:rsidRPr="002A103D" w:rsidRDefault="00606EA3" w:rsidP="00606EA3">
                  <w:pPr>
                    <w:spacing w:before="0" w:line="240" w:lineRule="atLeast"/>
                    <w:rPr>
                      <w:rFonts w:eastAsia="Times New Roman" w:cs="Arial"/>
                      <w:bCs/>
                      <w:szCs w:val="19"/>
                      <w:lang w:val="en-US" w:eastAsia="en-US"/>
                    </w:rPr>
                  </w:pPr>
                  <w:r w:rsidRPr="00D51FC2">
                    <w:rPr>
                      <w:rFonts w:ascii="Verdana" w:eastAsia="Times New Roman" w:hAnsi="Verdana" w:cs="Arial"/>
                      <w:sz w:val="19"/>
                      <w:szCs w:val="19"/>
                      <w:lang w:eastAsia="en-US"/>
                    </w:rPr>
                    <w:object w:dxaOrig="225" w:dyaOrig="225">
                      <v:shape id="_x0000_i1222" type="#_x0000_t75" style="width:20.55pt;height:17.75pt" o:ole="">
                        <v:imagedata r:id="rId162" o:title=""/>
                      </v:shape>
                      <w:control r:id="rId163" w:name="DefaultOcxName47" w:shapeid="_x0000_i1222"/>
                    </w:object>
                  </w:r>
                  <w:r w:rsidRPr="002A103D">
                    <w:rPr>
                      <w:rFonts w:eastAsia="Times New Roman" w:cs="Arial"/>
                      <w:szCs w:val="19"/>
                      <w:lang w:val="en-US" w:eastAsia="en-US"/>
                    </w:rPr>
                    <w:t>Others (e.g. vandalism and/or theft)</w:t>
                  </w:r>
                </w:p>
              </w:tc>
            </w:tr>
            <w:tr w:rsidR="00606EA3" w:rsidRPr="00E94F9B" w:rsidTr="00606EA3">
              <w:trPr>
                <w:tblCellSpacing w:w="0" w:type="dxa"/>
              </w:trPr>
              <w:tc>
                <w:tcPr>
                  <w:tcW w:w="5000" w:type="pct"/>
                  <w:tcBorders>
                    <w:top w:val="nil"/>
                    <w:left w:val="nil"/>
                    <w:bottom w:val="nil"/>
                    <w:right w:val="nil"/>
                  </w:tcBorders>
                  <w:shd w:val="clear" w:color="auto" w:fill="C0D8FE"/>
                  <w:hideMark/>
                </w:tcPr>
                <w:p w:rsidR="00606EA3" w:rsidRPr="002A103D" w:rsidRDefault="00606EA3" w:rsidP="00606EA3">
                  <w:pPr>
                    <w:spacing w:before="0"/>
                    <w:rPr>
                      <w:bCs/>
                      <w:szCs w:val="19"/>
                      <w:lang w:val="en-US"/>
                    </w:rPr>
                  </w:pPr>
                </w:p>
              </w:tc>
            </w:tr>
          </w:tbl>
          <w:p w:rsidR="00606EA3" w:rsidRPr="002A103D" w:rsidRDefault="00606EA3" w:rsidP="00606EA3">
            <w:pPr>
              <w:rPr>
                <w:rFonts w:eastAsia="SimSun" w:cs="Traditional Arabic"/>
                <w:szCs w:val="19"/>
                <w:lang w:val="en-US" w:eastAsia="en-US"/>
              </w:rPr>
            </w:pPr>
            <w:r w:rsidRPr="002A103D">
              <w:rPr>
                <w:rFonts w:eastAsia="SimSun" w:cs="Traditional Arabic"/>
                <w:szCs w:val="19"/>
                <w:lang w:val="en-US" w:eastAsia="en-US"/>
              </w:rPr>
              <w:t xml:space="preserve">Please explain any key challenges:  </w:t>
            </w:r>
          </w:p>
        </w:tc>
      </w:tr>
      <w:tr w:rsidR="00606EA3" w:rsidRPr="00D51FC2" w:rsidTr="00606EA3">
        <w:tc>
          <w:tcPr>
            <w:tcW w:w="9639" w:type="dxa"/>
            <w:tcBorders>
              <w:top w:val="single" w:sz="4" w:space="0" w:color="auto"/>
              <w:left w:val="single" w:sz="4" w:space="0" w:color="auto"/>
              <w:bottom w:val="single" w:sz="4" w:space="0" w:color="auto"/>
              <w:right w:val="single" w:sz="4" w:space="0" w:color="auto"/>
            </w:tcBorders>
            <w:hideMark/>
          </w:tcPr>
          <w:p w:rsidR="00606EA3" w:rsidRPr="00D51FC2" w:rsidRDefault="00606EA3" w:rsidP="00606EA3">
            <w:pPr>
              <w:numPr>
                <w:ilvl w:val="0"/>
                <w:numId w:val="15"/>
              </w:numPr>
              <w:contextualSpacing/>
              <w:jc w:val="left"/>
              <w:rPr>
                <w:rFonts w:eastAsia="SimSun" w:cs="Traditional Arabic"/>
                <w:szCs w:val="19"/>
                <w:lang w:eastAsia="en-US"/>
              </w:rPr>
            </w:pPr>
            <w:r w:rsidRPr="002A103D">
              <w:rPr>
                <w:rFonts w:eastAsia="SimSun" w:cs="Traditional Arabic"/>
                <w:szCs w:val="19"/>
                <w:lang w:val="en-US" w:eastAsia="en-US"/>
              </w:rPr>
              <w:t xml:space="preserve">What primary and backup energy sources are available in your rural/remote areas? </w:t>
            </w:r>
            <w:r w:rsidRPr="00D51FC2">
              <w:rPr>
                <w:rFonts w:eastAsia="SimSun" w:cs="Traditional Arabic"/>
                <w:szCs w:val="19"/>
                <w:lang w:eastAsia="en-US"/>
              </w:rPr>
              <w:t>Examples include the following:</w:t>
            </w:r>
          </w:p>
          <w:tbl>
            <w:tblPr>
              <w:tblW w:w="4950" w:type="pct"/>
              <w:tblCellSpacing w:w="0" w:type="dxa"/>
              <w:tblInd w:w="15" w:type="dxa"/>
              <w:tblBorders>
                <w:top w:val="single" w:sz="6" w:space="0" w:color="99CCFF"/>
                <w:left w:val="single" w:sz="6" w:space="0" w:color="99CCFF"/>
                <w:bottom w:val="single" w:sz="6" w:space="0" w:color="99CCFF"/>
                <w:right w:val="single" w:sz="6" w:space="0" w:color="99CCFF"/>
              </w:tblBorders>
              <w:shd w:val="clear" w:color="auto" w:fill="C0D8FE"/>
              <w:tblLayout w:type="fixed"/>
              <w:tblCellMar>
                <w:left w:w="0" w:type="dxa"/>
                <w:right w:w="0" w:type="dxa"/>
              </w:tblCellMar>
              <w:tblLook w:val="04A0" w:firstRow="1" w:lastRow="0" w:firstColumn="1" w:lastColumn="0" w:noHBand="0" w:noVBand="1"/>
            </w:tblPr>
            <w:tblGrid>
              <w:gridCol w:w="9335"/>
            </w:tblGrid>
            <w:tr w:rsidR="00606EA3" w:rsidRPr="00D51FC2" w:rsidTr="00606EA3">
              <w:trPr>
                <w:tblCellSpacing w:w="0" w:type="dxa"/>
              </w:trPr>
              <w:tc>
                <w:tcPr>
                  <w:tcW w:w="5000" w:type="pct"/>
                  <w:tcBorders>
                    <w:top w:val="nil"/>
                    <w:left w:val="nil"/>
                    <w:bottom w:val="nil"/>
                    <w:right w:val="nil"/>
                  </w:tcBorders>
                  <w:shd w:val="clear" w:color="auto" w:fill="C0D8FE"/>
                  <w:hideMark/>
                </w:tcPr>
                <w:p w:rsidR="00606EA3" w:rsidRPr="00D51FC2" w:rsidRDefault="00606EA3" w:rsidP="00606EA3">
                  <w:pPr>
                    <w:spacing w:before="0" w:line="240" w:lineRule="atLeast"/>
                    <w:rPr>
                      <w:rFonts w:eastAsia="Times New Roman" w:cs="Arial"/>
                      <w:bCs/>
                      <w:szCs w:val="19"/>
                      <w:lang w:eastAsia="en-US"/>
                    </w:rPr>
                  </w:pPr>
                  <w:r w:rsidRPr="00D51FC2">
                    <w:rPr>
                      <w:rFonts w:ascii="Verdana" w:eastAsia="Times New Roman" w:hAnsi="Verdana" w:cs="Arial"/>
                      <w:sz w:val="19"/>
                      <w:szCs w:val="19"/>
                      <w:lang w:eastAsia="en-US"/>
                    </w:rPr>
                    <w:object w:dxaOrig="225" w:dyaOrig="225">
                      <v:shape id="_x0000_i1225" type="#_x0000_t75" style="width:20.55pt;height:17.75pt" o:ole="">
                        <v:imagedata r:id="rId164" o:title=""/>
                      </v:shape>
                      <w:control r:id="rId165" w:name="DefaultOcxName48" w:shapeid="_x0000_i1225"/>
                    </w:object>
                  </w:r>
                  <w:r w:rsidRPr="00D51FC2">
                    <w:rPr>
                      <w:rFonts w:cs="Traditional Arabic"/>
                      <w:szCs w:val="19"/>
                      <w:lang w:eastAsia="en-US"/>
                    </w:rPr>
                    <w:t>Solar</w:t>
                  </w:r>
                </w:p>
              </w:tc>
            </w:tr>
            <w:tr w:rsidR="00606EA3" w:rsidRPr="00D51FC2" w:rsidTr="00606EA3">
              <w:trPr>
                <w:tblCellSpacing w:w="0" w:type="dxa"/>
              </w:trPr>
              <w:tc>
                <w:tcPr>
                  <w:tcW w:w="5000" w:type="pct"/>
                  <w:tcBorders>
                    <w:top w:val="nil"/>
                    <w:left w:val="nil"/>
                    <w:bottom w:val="nil"/>
                    <w:right w:val="nil"/>
                  </w:tcBorders>
                  <w:shd w:val="clear" w:color="auto" w:fill="C0D8FE"/>
                  <w:hideMark/>
                </w:tcPr>
                <w:p w:rsidR="00606EA3" w:rsidRPr="00D51FC2" w:rsidRDefault="00606EA3" w:rsidP="00606EA3">
                  <w:pPr>
                    <w:spacing w:before="0" w:line="240" w:lineRule="atLeast"/>
                    <w:rPr>
                      <w:rFonts w:eastAsia="Times New Roman" w:cs="Arial"/>
                      <w:bCs/>
                      <w:szCs w:val="19"/>
                      <w:lang w:eastAsia="en-US"/>
                    </w:rPr>
                  </w:pPr>
                  <w:r w:rsidRPr="00D51FC2">
                    <w:rPr>
                      <w:rFonts w:ascii="Verdana" w:eastAsia="Times New Roman" w:hAnsi="Verdana" w:cs="Arial"/>
                      <w:sz w:val="19"/>
                      <w:szCs w:val="19"/>
                      <w:lang w:eastAsia="en-US"/>
                    </w:rPr>
                    <w:object w:dxaOrig="225" w:dyaOrig="225">
                      <v:shape id="_x0000_i1228" type="#_x0000_t75" style="width:20.55pt;height:17.75pt" o:ole="">
                        <v:imagedata r:id="rId166" o:title=""/>
                      </v:shape>
                      <w:control r:id="rId167" w:name="DefaultOcxName49" w:shapeid="_x0000_i1228"/>
                    </w:object>
                  </w:r>
                  <w:r w:rsidRPr="00D51FC2">
                    <w:rPr>
                      <w:rFonts w:cs="Traditional Arabic"/>
                      <w:szCs w:val="19"/>
                      <w:lang w:eastAsia="en-US"/>
                    </w:rPr>
                    <w:t>Wind</w:t>
                  </w:r>
                </w:p>
              </w:tc>
            </w:tr>
            <w:tr w:rsidR="00606EA3" w:rsidRPr="00D51FC2" w:rsidTr="00606EA3">
              <w:trPr>
                <w:tblCellSpacing w:w="0" w:type="dxa"/>
              </w:trPr>
              <w:tc>
                <w:tcPr>
                  <w:tcW w:w="5000" w:type="pct"/>
                  <w:tcBorders>
                    <w:top w:val="nil"/>
                    <w:left w:val="nil"/>
                    <w:bottom w:val="nil"/>
                    <w:right w:val="nil"/>
                  </w:tcBorders>
                  <w:shd w:val="clear" w:color="auto" w:fill="C0D8FE"/>
                  <w:hideMark/>
                </w:tcPr>
                <w:p w:rsidR="00606EA3" w:rsidRPr="00D51FC2" w:rsidRDefault="00606EA3" w:rsidP="00606EA3">
                  <w:pPr>
                    <w:spacing w:before="0" w:line="240" w:lineRule="atLeast"/>
                    <w:rPr>
                      <w:rFonts w:eastAsia="Times New Roman" w:cs="Arial"/>
                      <w:bCs/>
                      <w:szCs w:val="19"/>
                      <w:lang w:eastAsia="en-US"/>
                    </w:rPr>
                  </w:pPr>
                  <w:r w:rsidRPr="00D51FC2">
                    <w:rPr>
                      <w:rFonts w:ascii="Verdana" w:eastAsia="Times New Roman" w:hAnsi="Verdana" w:cs="Arial"/>
                      <w:sz w:val="19"/>
                      <w:szCs w:val="19"/>
                      <w:lang w:eastAsia="en-US"/>
                    </w:rPr>
                    <w:object w:dxaOrig="225" w:dyaOrig="225">
                      <v:shape id="_x0000_i1231" type="#_x0000_t75" style="width:20.55pt;height:17.75pt" o:ole="">
                        <v:imagedata r:id="rId168" o:title=""/>
                      </v:shape>
                      <w:control r:id="rId169" w:name="DefaultOcxName50" w:shapeid="_x0000_i1231"/>
                    </w:object>
                  </w:r>
                  <w:r w:rsidRPr="00D51FC2">
                    <w:rPr>
                      <w:rFonts w:cs="Traditional Arabic"/>
                      <w:szCs w:val="19"/>
                      <w:lang w:eastAsia="en-US"/>
                    </w:rPr>
                    <w:t>Diesel</w:t>
                  </w:r>
                </w:p>
              </w:tc>
            </w:tr>
            <w:tr w:rsidR="00606EA3" w:rsidRPr="00D51FC2" w:rsidTr="00606EA3">
              <w:trPr>
                <w:tblCellSpacing w:w="0" w:type="dxa"/>
              </w:trPr>
              <w:tc>
                <w:tcPr>
                  <w:tcW w:w="5000" w:type="pct"/>
                  <w:tcBorders>
                    <w:top w:val="nil"/>
                    <w:left w:val="nil"/>
                    <w:bottom w:val="nil"/>
                    <w:right w:val="nil"/>
                  </w:tcBorders>
                  <w:shd w:val="clear" w:color="auto" w:fill="C0D8FE"/>
                  <w:hideMark/>
                </w:tcPr>
                <w:p w:rsidR="00606EA3" w:rsidRPr="00D51FC2" w:rsidRDefault="00606EA3" w:rsidP="00606EA3">
                  <w:pPr>
                    <w:spacing w:before="0" w:line="240" w:lineRule="atLeast"/>
                    <w:rPr>
                      <w:rFonts w:eastAsia="Times New Roman" w:cs="Arial"/>
                      <w:bCs/>
                      <w:szCs w:val="19"/>
                      <w:lang w:eastAsia="en-US"/>
                    </w:rPr>
                  </w:pPr>
                  <w:r w:rsidRPr="00D51FC2">
                    <w:rPr>
                      <w:rFonts w:ascii="Verdana" w:eastAsia="Times New Roman" w:hAnsi="Verdana" w:cs="Arial"/>
                      <w:sz w:val="19"/>
                      <w:szCs w:val="19"/>
                      <w:lang w:eastAsia="en-US"/>
                    </w:rPr>
                    <w:object w:dxaOrig="225" w:dyaOrig="225">
                      <v:shape id="_x0000_i1234" type="#_x0000_t75" style="width:20.55pt;height:17.75pt" o:ole="">
                        <v:imagedata r:id="rId170" o:title=""/>
                      </v:shape>
                      <w:control r:id="rId171" w:name="DefaultOcxName51" w:shapeid="_x0000_i1234"/>
                    </w:object>
                  </w:r>
                  <w:r w:rsidRPr="00D51FC2">
                    <w:rPr>
                      <w:rFonts w:eastAsia="Times New Roman" w:cs="Arial"/>
                      <w:szCs w:val="19"/>
                      <w:lang w:eastAsia="en-US"/>
                    </w:rPr>
                    <w:t>Others</w:t>
                  </w:r>
                </w:p>
              </w:tc>
            </w:tr>
            <w:tr w:rsidR="00606EA3" w:rsidRPr="00D51FC2" w:rsidTr="00606EA3">
              <w:trPr>
                <w:tblCellSpacing w:w="0" w:type="dxa"/>
              </w:trPr>
              <w:tc>
                <w:tcPr>
                  <w:tcW w:w="5000" w:type="pct"/>
                  <w:tcBorders>
                    <w:top w:val="nil"/>
                    <w:left w:val="nil"/>
                    <w:bottom w:val="nil"/>
                    <w:right w:val="nil"/>
                  </w:tcBorders>
                  <w:shd w:val="clear" w:color="auto" w:fill="C0D8FE"/>
                  <w:hideMark/>
                </w:tcPr>
                <w:p w:rsidR="00606EA3" w:rsidRPr="00D51FC2" w:rsidRDefault="00606EA3" w:rsidP="00606EA3">
                  <w:pPr>
                    <w:spacing w:before="0"/>
                    <w:rPr>
                      <w:bCs/>
                      <w:szCs w:val="19"/>
                    </w:rPr>
                  </w:pPr>
                </w:p>
              </w:tc>
            </w:tr>
          </w:tbl>
          <w:p w:rsidR="00606EA3" w:rsidRPr="00D51FC2" w:rsidRDefault="00606EA3" w:rsidP="00606EA3">
            <w:pPr>
              <w:rPr>
                <w:rFonts w:eastAsia="SimSun" w:cs="Traditional Arabic"/>
                <w:szCs w:val="19"/>
                <w:lang w:eastAsia="en-US"/>
              </w:rPr>
            </w:pPr>
            <w:r w:rsidRPr="00D51FC2">
              <w:rPr>
                <w:rFonts w:eastAsia="SimSun" w:cs="Traditional Arabic"/>
                <w:szCs w:val="19"/>
                <w:lang w:eastAsia="en-US"/>
              </w:rPr>
              <w:t>If others, please specify:</w:t>
            </w:r>
          </w:p>
        </w:tc>
      </w:tr>
      <w:tr w:rsidR="00606EA3" w:rsidRPr="00E94F9B" w:rsidTr="00606EA3">
        <w:tc>
          <w:tcPr>
            <w:tcW w:w="9639" w:type="dxa"/>
            <w:tcBorders>
              <w:top w:val="single" w:sz="4" w:space="0" w:color="auto"/>
              <w:left w:val="single" w:sz="4" w:space="0" w:color="auto"/>
              <w:bottom w:val="single" w:sz="4" w:space="0" w:color="auto"/>
              <w:right w:val="single" w:sz="4" w:space="0" w:color="auto"/>
            </w:tcBorders>
            <w:hideMark/>
          </w:tcPr>
          <w:p w:rsidR="00606EA3" w:rsidRPr="002A103D" w:rsidRDefault="00606EA3" w:rsidP="00606EA3">
            <w:pPr>
              <w:numPr>
                <w:ilvl w:val="0"/>
                <w:numId w:val="15"/>
              </w:numPr>
              <w:contextualSpacing/>
              <w:jc w:val="left"/>
              <w:rPr>
                <w:rFonts w:eastAsia="SimSun" w:cs="Traditional Arabic"/>
                <w:szCs w:val="19"/>
                <w:lang w:val="en-US" w:eastAsia="en-US"/>
              </w:rPr>
            </w:pPr>
            <w:r w:rsidRPr="002A103D">
              <w:rPr>
                <w:rFonts w:eastAsia="SimSun" w:cs="Traditional Arabic"/>
                <w:szCs w:val="19"/>
                <w:lang w:val="en-US" w:eastAsia="en-US"/>
              </w:rPr>
              <w:t>What types of telecom/mobile systems are needed to allow enhanced access to information concerning climate change or extreme weather events in rural/ remote regions?</w:t>
            </w:r>
          </w:p>
        </w:tc>
      </w:tr>
      <w:tr w:rsidR="00606EA3" w:rsidRPr="00E94F9B" w:rsidTr="00606EA3">
        <w:tc>
          <w:tcPr>
            <w:tcW w:w="9639" w:type="dxa"/>
            <w:tcBorders>
              <w:top w:val="single" w:sz="4" w:space="0" w:color="auto"/>
              <w:left w:val="single" w:sz="4" w:space="0" w:color="auto"/>
              <w:bottom w:val="single" w:sz="4" w:space="0" w:color="auto"/>
              <w:right w:val="single" w:sz="4" w:space="0" w:color="auto"/>
            </w:tcBorders>
            <w:hideMark/>
          </w:tcPr>
          <w:p w:rsidR="00606EA3" w:rsidRPr="002A103D" w:rsidRDefault="00606EA3" w:rsidP="00606EA3">
            <w:pPr>
              <w:numPr>
                <w:ilvl w:val="0"/>
                <w:numId w:val="15"/>
              </w:numPr>
              <w:contextualSpacing/>
              <w:jc w:val="left"/>
              <w:rPr>
                <w:rFonts w:eastAsia="SimSun" w:cs="Traditional Arabic"/>
                <w:szCs w:val="19"/>
                <w:lang w:val="en-US" w:eastAsia="en-US"/>
              </w:rPr>
            </w:pPr>
            <w:r w:rsidRPr="002A103D">
              <w:rPr>
                <w:rFonts w:eastAsia="SimSun" w:cs="Traditional Arabic"/>
                <w:szCs w:val="19"/>
                <w:lang w:val="en-US" w:eastAsia="en-US"/>
              </w:rPr>
              <w:t>What are the educational opportunities in rural/remote regions to train individuals in the use of ICTs for adaptation to climate change?</w:t>
            </w:r>
          </w:p>
        </w:tc>
      </w:tr>
      <w:tr w:rsidR="00606EA3" w:rsidRPr="00E94F9B" w:rsidTr="00606EA3">
        <w:tc>
          <w:tcPr>
            <w:tcW w:w="9639" w:type="dxa"/>
            <w:tcBorders>
              <w:top w:val="single" w:sz="4" w:space="0" w:color="auto"/>
              <w:left w:val="single" w:sz="4" w:space="0" w:color="auto"/>
              <w:bottom w:val="single" w:sz="4" w:space="0" w:color="auto"/>
              <w:right w:val="single" w:sz="4" w:space="0" w:color="auto"/>
            </w:tcBorders>
            <w:hideMark/>
          </w:tcPr>
          <w:p w:rsidR="00606EA3" w:rsidRPr="002A103D" w:rsidRDefault="00606EA3" w:rsidP="00606EA3">
            <w:pPr>
              <w:numPr>
                <w:ilvl w:val="0"/>
                <w:numId w:val="15"/>
              </w:numPr>
              <w:contextualSpacing/>
              <w:jc w:val="left"/>
              <w:rPr>
                <w:rFonts w:eastAsia="SimSun" w:cs="Traditional Arabic"/>
                <w:szCs w:val="19"/>
                <w:lang w:val="en-US" w:eastAsia="en-US"/>
              </w:rPr>
            </w:pPr>
            <w:r w:rsidRPr="002A103D">
              <w:rPr>
                <w:rFonts w:eastAsia="SimSun" w:cs="Traditional Arabic"/>
                <w:szCs w:val="19"/>
                <w:lang w:val="en-US" w:eastAsia="en-US"/>
              </w:rPr>
              <w:lastRenderedPageBreak/>
              <w:t>Some systems are specifically developed for developing countries most of them have some features that are not essential enough to justify their cost and / or lack the required specification to meet the existing conditions in developing countries. What are the specifications and features that are essential in rural / remote regions in your country?</w:t>
            </w:r>
          </w:p>
        </w:tc>
      </w:tr>
    </w:tbl>
    <w:p w:rsidR="00606EA3" w:rsidRPr="00D51FC2" w:rsidRDefault="00606EA3" w:rsidP="00606EA3">
      <w:pPr>
        <w:rPr>
          <w:b/>
          <w:szCs w:val="19"/>
          <w:u w:val="single"/>
          <w:lang w:val="en-GB"/>
        </w:rPr>
      </w:pPr>
      <w:r w:rsidRPr="00D51FC2">
        <w:rPr>
          <w:b/>
          <w:szCs w:val="19"/>
          <w:u w:val="single"/>
          <w:lang w:val="en-GB"/>
        </w:rPr>
        <w:t>Question 1: Policy about climate change</w:t>
      </w:r>
    </w:p>
    <w:p w:rsidR="00606EA3" w:rsidRPr="00D51FC2" w:rsidRDefault="00606EA3" w:rsidP="00606EA3">
      <w:pPr>
        <w:rPr>
          <w:rFonts w:eastAsia="Times New Roman"/>
          <w:b/>
          <w:szCs w:val="19"/>
          <w:lang w:val="en-GB"/>
        </w:rPr>
      </w:pPr>
      <w:r w:rsidRPr="00D51FC2">
        <w:rPr>
          <w:rFonts w:eastAsia="Times New Roman"/>
          <w:b/>
          <w:szCs w:val="19"/>
          <w:lang w:val="en-GB"/>
        </w:rPr>
        <w:t>Most countries (70%) reported having a policy on climate change. However, 30% of countries said they don’t have such a policy.</w:t>
      </w:r>
    </w:p>
    <w:p w:rsidR="00606EA3" w:rsidRPr="00D51FC2" w:rsidRDefault="00606EA3" w:rsidP="00606EA3">
      <w:pPr>
        <w:autoSpaceDE w:val="0"/>
        <w:autoSpaceDN w:val="0"/>
        <w:adjustRightInd w:val="0"/>
        <w:rPr>
          <w:rFonts w:cs="Verdana"/>
          <w:color w:val="000000"/>
          <w:szCs w:val="19"/>
          <w:lang w:val="en-GB"/>
        </w:rPr>
      </w:pPr>
      <w:r w:rsidRPr="00D51FC2">
        <w:rPr>
          <w:rFonts w:cs="Verdana"/>
          <w:color w:val="000000"/>
          <w:szCs w:val="19"/>
          <w:lang w:val="en-GB"/>
        </w:rPr>
        <w:t>Japan has a policy goal requiring that the level of CO</w:t>
      </w:r>
      <w:r w:rsidRPr="00DE0E49">
        <w:rPr>
          <w:rFonts w:cs="Verdana"/>
          <w:color w:val="000000"/>
          <w:szCs w:val="19"/>
          <w:vertAlign w:val="subscript"/>
          <w:lang w:val="en-GB"/>
        </w:rPr>
        <w:t>2</w:t>
      </w:r>
      <w:r w:rsidRPr="00D51FC2">
        <w:rPr>
          <w:rFonts w:cs="Verdana"/>
          <w:color w:val="000000"/>
          <w:szCs w:val="19"/>
          <w:lang w:val="en-GB"/>
        </w:rPr>
        <w:t xml:space="preserve"> emissions should be reduced by more than 10% by 2020 through full-fledged utilization of ICT.</w:t>
      </w:r>
    </w:p>
    <w:p w:rsidR="00606EA3" w:rsidRPr="00D51FC2" w:rsidRDefault="00606EA3" w:rsidP="00606EA3">
      <w:pPr>
        <w:autoSpaceDE w:val="0"/>
        <w:autoSpaceDN w:val="0"/>
        <w:adjustRightInd w:val="0"/>
        <w:rPr>
          <w:rFonts w:cs="Verdana"/>
          <w:color w:val="000000"/>
          <w:szCs w:val="19"/>
          <w:lang w:val="en-GB"/>
        </w:rPr>
      </w:pPr>
      <w:r w:rsidRPr="00D51FC2">
        <w:rPr>
          <w:rFonts w:cs="Verdana"/>
          <w:color w:val="000000"/>
          <w:szCs w:val="19"/>
          <w:lang w:val="en-GB"/>
        </w:rPr>
        <w:t xml:space="preserve">It has been noted that the importance of working with member companies to help reduce energy consumption and facilitate adoption of energy saving methods and equipment. </w:t>
      </w:r>
    </w:p>
    <w:p w:rsidR="00606EA3" w:rsidRPr="00D51FC2" w:rsidRDefault="00606EA3" w:rsidP="00606EA3">
      <w:pPr>
        <w:rPr>
          <w:b/>
          <w:szCs w:val="19"/>
          <w:u w:val="single"/>
          <w:lang w:val="en-GB"/>
        </w:rPr>
      </w:pPr>
      <w:r w:rsidRPr="00D51FC2">
        <w:rPr>
          <w:b/>
          <w:szCs w:val="19"/>
          <w:u w:val="single"/>
          <w:lang w:val="en-GB"/>
        </w:rPr>
        <w:t>Question 2: On-going actions about adaptation to climate change</w:t>
      </w:r>
    </w:p>
    <w:p w:rsidR="00606EA3" w:rsidRPr="00D51FC2" w:rsidRDefault="00606EA3" w:rsidP="00606EA3">
      <w:pPr>
        <w:rPr>
          <w:rFonts w:eastAsia="Times New Roman"/>
          <w:szCs w:val="19"/>
          <w:lang w:val="en-GB"/>
        </w:rPr>
      </w:pPr>
      <w:r w:rsidRPr="00D51FC2">
        <w:rPr>
          <w:rFonts w:eastAsia="Times New Roman"/>
          <w:szCs w:val="19"/>
          <w:lang w:val="en-GB"/>
        </w:rPr>
        <w:t>It is recognized that ICTs can be an effective control measure against global warming.</w:t>
      </w:r>
      <w:r w:rsidRPr="00D51FC2">
        <w:rPr>
          <w:rFonts w:eastAsia="Times New Roman"/>
          <w:szCs w:val="19"/>
          <w:lang w:val="en-GB"/>
        </w:rPr>
        <w:br/>
      </w:r>
      <w:r w:rsidRPr="00D51FC2">
        <w:rPr>
          <w:rFonts w:eastAsia="Times New Roman"/>
          <w:b/>
          <w:szCs w:val="19"/>
          <w:lang w:val="en-GB"/>
        </w:rPr>
        <w:t>80% of authorities said they have on-going actions for adaptation</w:t>
      </w:r>
      <w:r w:rsidRPr="00D51FC2">
        <w:rPr>
          <w:rFonts w:eastAsia="Times New Roman"/>
          <w:szCs w:val="19"/>
          <w:lang w:val="en-GB"/>
        </w:rPr>
        <w:t>.</w:t>
      </w:r>
    </w:p>
    <w:p w:rsidR="00606EA3" w:rsidRPr="00D51FC2" w:rsidRDefault="00606EA3" w:rsidP="00606EA3">
      <w:pPr>
        <w:rPr>
          <w:rFonts w:eastAsia="Times New Roman"/>
          <w:szCs w:val="19"/>
          <w:lang w:val="en-GB"/>
        </w:rPr>
      </w:pPr>
      <w:r w:rsidRPr="00D51FC2">
        <w:rPr>
          <w:rFonts w:eastAsia="Times New Roman"/>
          <w:szCs w:val="19"/>
          <w:lang w:val="en-GB"/>
        </w:rPr>
        <w:t>The use of ICT vis-à-vis climate change takes place in the three categories below.</w:t>
      </w:r>
    </w:p>
    <w:p w:rsidR="00606EA3" w:rsidRPr="00D51FC2" w:rsidRDefault="00606EA3" w:rsidP="00606EA3">
      <w:pPr>
        <w:pStyle w:val="Enumlevel1"/>
      </w:pPr>
      <w:r>
        <w:t>1.</w:t>
      </w:r>
      <w:r>
        <w:tab/>
      </w:r>
      <w:r w:rsidRPr="00D51FC2">
        <w:t>ICT applications for adaptation to climate change.</w:t>
      </w:r>
    </w:p>
    <w:p w:rsidR="00606EA3" w:rsidRPr="00D51FC2" w:rsidRDefault="00606EA3" w:rsidP="00606EA3">
      <w:pPr>
        <w:pStyle w:val="Enumlevel1"/>
      </w:pPr>
      <w:r>
        <w:t>2.</w:t>
      </w:r>
      <w:r>
        <w:tab/>
      </w:r>
      <w:r w:rsidRPr="00D51FC2">
        <w:t>ICT applications to mitigate the effects of climate change: preferential use of electronic media, e-mail, phone calls, Internet, video conferencing instead of traveling expenses, limiting printing on paper.</w:t>
      </w:r>
    </w:p>
    <w:p w:rsidR="00606EA3" w:rsidRPr="00F528EA" w:rsidRDefault="00606EA3" w:rsidP="00606EA3">
      <w:pPr>
        <w:pStyle w:val="Enumlevel1"/>
        <w:rPr>
          <w:b/>
        </w:rPr>
      </w:pPr>
      <w:r>
        <w:t>3.</w:t>
      </w:r>
      <w:r>
        <w:tab/>
      </w:r>
      <w:r w:rsidRPr="00D51FC2">
        <w:t xml:space="preserve">Development of a sustainable ICT sector (green economy): recycling of ICT (equipment and accessories, equipment with low power consumption). </w:t>
      </w:r>
    </w:p>
    <w:p w:rsidR="00606EA3" w:rsidRPr="00F528EA" w:rsidRDefault="00606EA3" w:rsidP="00606EA3">
      <w:pPr>
        <w:rPr>
          <w:rFonts w:eastAsia="Times New Roman"/>
          <w:b/>
          <w:szCs w:val="19"/>
          <w:lang w:val="en-GB"/>
        </w:rPr>
      </w:pPr>
      <w:r w:rsidRPr="00F528EA">
        <w:rPr>
          <w:rFonts w:eastAsia="Times New Roman"/>
          <w:b/>
          <w:szCs w:val="19"/>
          <w:lang w:val="en-GB"/>
        </w:rPr>
        <w:t>63% of the replies favored a longer lifespan of ICT. 70% of the replies promote a recycling of the ICT. 63 % of the replies are in favor of a management of electronic waste.</w:t>
      </w:r>
    </w:p>
    <w:p w:rsidR="00606EA3" w:rsidRPr="00D51FC2" w:rsidRDefault="00606EA3" w:rsidP="00606EA3">
      <w:pPr>
        <w:rPr>
          <w:rFonts w:eastAsia="Times New Roman"/>
          <w:szCs w:val="19"/>
          <w:lang w:val="en-GB"/>
        </w:rPr>
      </w:pPr>
      <w:r w:rsidRPr="00D51FC2">
        <w:rPr>
          <w:rFonts w:eastAsia="Times New Roman"/>
          <w:szCs w:val="19"/>
          <w:lang w:val="en-GB"/>
        </w:rPr>
        <w:t>Note that some countries have started a "National Strategy for Sustainable Development 2010-2013." It does not specifically address climate change, but all aspects of sustainable development. This includes for example: objectives of energy saving and emission reduction, measures for industrial restructuring and disposal of obsolete industrial capacity.</w:t>
      </w:r>
    </w:p>
    <w:p w:rsidR="00606EA3" w:rsidRPr="00D51FC2" w:rsidRDefault="00606EA3" w:rsidP="00606EA3">
      <w:pPr>
        <w:rPr>
          <w:rFonts w:eastAsia="Times New Roman"/>
          <w:szCs w:val="19"/>
          <w:lang w:val="en-GB"/>
        </w:rPr>
      </w:pPr>
      <w:r w:rsidRPr="00D51FC2">
        <w:rPr>
          <w:rFonts w:eastAsia="Times New Roman"/>
          <w:szCs w:val="19"/>
          <w:lang w:val="en-GB"/>
        </w:rPr>
        <w:t xml:space="preserve">Regarding the management of electronic waste, several European directives establish a general framework. </w:t>
      </w:r>
    </w:p>
    <w:p w:rsidR="00606EA3" w:rsidRPr="00D51FC2" w:rsidRDefault="00606EA3" w:rsidP="00606EA3">
      <w:pPr>
        <w:rPr>
          <w:rFonts w:eastAsia="Times New Roman"/>
          <w:szCs w:val="19"/>
          <w:lang w:val="en-GB"/>
        </w:rPr>
      </w:pPr>
      <w:r w:rsidRPr="00D51FC2">
        <w:rPr>
          <w:rFonts w:eastAsia="Times New Roman"/>
          <w:szCs w:val="19"/>
          <w:lang w:val="en-GB"/>
        </w:rPr>
        <w:t>Directive 2002/96/EC called "WEEE" aims to promote recycling of electronic and electrical equipment (EEA). It requires manufacturers and importers of electronic and electrical equipment to support the costs of collection and treatment of waste electrical and electronic equipment (WEEE).</w:t>
      </w:r>
    </w:p>
    <w:p w:rsidR="00606EA3" w:rsidRPr="00D51FC2" w:rsidRDefault="00606EA3" w:rsidP="00606EA3">
      <w:pPr>
        <w:rPr>
          <w:rFonts w:eastAsia="Times New Roman"/>
          <w:szCs w:val="19"/>
          <w:lang w:val="en-GB"/>
        </w:rPr>
      </w:pPr>
      <w:r w:rsidRPr="00D51FC2">
        <w:rPr>
          <w:rFonts w:eastAsia="Times New Roman"/>
          <w:szCs w:val="19"/>
          <w:lang w:val="en-GB"/>
        </w:rPr>
        <w:t>Directive 2002/95/EC known as the "RoHS" (Removal of Hazardous Substances) complements the WEEE Directive. It states that, since 1 July 2006, the electrical and electronic equipment covered by the EU directive, whether imported or manufactured in the EU, must be placed on the market without six hazardous substances:</w:t>
      </w:r>
    </w:p>
    <w:p w:rsidR="00606EA3" w:rsidRPr="007A44AC" w:rsidRDefault="00606EA3" w:rsidP="00606EA3">
      <w:pPr>
        <w:pStyle w:val="Enumlevel1"/>
        <w:rPr>
          <w:lang w:val="en-US"/>
        </w:rPr>
      </w:pPr>
      <w:r>
        <w:t>–</w:t>
      </w:r>
      <w:r>
        <w:tab/>
      </w:r>
      <w:r w:rsidRPr="00D51FC2">
        <w:t>Lead (used for welding ...);</w:t>
      </w:r>
    </w:p>
    <w:p w:rsidR="00606EA3" w:rsidRPr="00D51FC2" w:rsidRDefault="00606EA3" w:rsidP="00606EA3">
      <w:pPr>
        <w:pStyle w:val="Enumlevel1"/>
      </w:pPr>
      <w:r>
        <w:t>–</w:t>
      </w:r>
      <w:r>
        <w:tab/>
      </w:r>
      <w:r w:rsidRPr="00D51FC2">
        <w:t>Mercury (used for batteries ...);</w:t>
      </w:r>
    </w:p>
    <w:p w:rsidR="00606EA3" w:rsidRPr="00D51FC2" w:rsidRDefault="00606EA3" w:rsidP="00606EA3">
      <w:pPr>
        <w:pStyle w:val="Enumlevel1"/>
      </w:pPr>
      <w:r>
        <w:t>–</w:t>
      </w:r>
      <w:r>
        <w:tab/>
      </w:r>
      <w:r w:rsidRPr="00D51FC2">
        <w:rPr>
          <w:rFonts w:eastAsiaTheme="minorHAnsi" w:cstheme="minorBidi"/>
        </w:rPr>
        <w:t>Cadmium (used for batteries, integrated circuits ...);</w:t>
      </w:r>
    </w:p>
    <w:p w:rsidR="00606EA3" w:rsidRPr="00D51FC2" w:rsidRDefault="00606EA3" w:rsidP="00606EA3">
      <w:pPr>
        <w:pStyle w:val="Enumlevel1"/>
      </w:pPr>
      <w:r>
        <w:t>–</w:t>
      </w:r>
      <w:r>
        <w:tab/>
      </w:r>
      <w:r w:rsidRPr="00D51FC2">
        <w:rPr>
          <w:rFonts w:eastAsiaTheme="minorHAnsi" w:cstheme="minorBidi"/>
        </w:rPr>
        <w:t>Hexavalent chromium (used to plug contacts ...);</w:t>
      </w:r>
    </w:p>
    <w:p w:rsidR="00606EA3" w:rsidRPr="00383297" w:rsidRDefault="00606EA3" w:rsidP="00606EA3">
      <w:pPr>
        <w:pStyle w:val="Enumlevel1"/>
        <w:rPr>
          <w:lang w:val="en-US"/>
        </w:rPr>
      </w:pPr>
      <w:r>
        <w:t>–</w:t>
      </w:r>
      <w:r>
        <w:tab/>
      </w:r>
      <w:r w:rsidRPr="00D51FC2">
        <w:t>PBBs (used for microprocessors ...);</w:t>
      </w:r>
    </w:p>
    <w:p w:rsidR="00606EA3" w:rsidRPr="00D51FC2" w:rsidRDefault="00606EA3" w:rsidP="00606EA3">
      <w:pPr>
        <w:keepNext/>
        <w:rPr>
          <w:b/>
          <w:szCs w:val="19"/>
          <w:u w:val="single"/>
          <w:lang w:val="en-GB"/>
        </w:rPr>
      </w:pPr>
      <w:r w:rsidRPr="00D51FC2">
        <w:rPr>
          <w:b/>
          <w:szCs w:val="19"/>
          <w:u w:val="single"/>
          <w:lang w:val="en-GB"/>
        </w:rPr>
        <w:lastRenderedPageBreak/>
        <w:t>Question 3: computation of the ICT footprint</w:t>
      </w:r>
    </w:p>
    <w:p w:rsidR="00606EA3" w:rsidRPr="004667AD" w:rsidRDefault="00606EA3" w:rsidP="00606EA3">
      <w:pPr>
        <w:rPr>
          <w:rFonts w:eastAsia="Times New Roman"/>
          <w:szCs w:val="19"/>
          <w:lang w:val="en-US"/>
        </w:rPr>
      </w:pPr>
      <w:r w:rsidRPr="00D51FC2">
        <w:rPr>
          <w:rFonts w:eastAsia="Times New Roman"/>
          <w:szCs w:val="19"/>
          <w:lang w:val="en-GB"/>
        </w:rPr>
        <w:t xml:space="preserve">The study footprint of ICT is a key topic in conjunction with the rebound effect. According to the survey, only </w:t>
      </w:r>
      <w:r w:rsidRPr="00D51FC2">
        <w:rPr>
          <w:rFonts w:eastAsia="Times New Roman"/>
          <w:b/>
          <w:szCs w:val="19"/>
          <w:lang w:val="en-GB"/>
        </w:rPr>
        <w:t>30% of the countries have evaluated the corresponding GHG footprint due to ICT.</w:t>
      </w:r>
      <w:r w:rsidRPr="00D51FC2">
        <w:rPr>
          <w:rFonts w:eastAsia="Times New Roman"/>
          <w:szCs w:val="19"/>
          <w:lang w:val="en-GB"/>
        </w:rPr>
        <w:t xml:space="preserve"> </w:t>
      </w:r>
      <w:r w:rsidRPr="004667AD">
        <w:rPr>
          <w:rFonts w:eastAsia="Times New Roman"/>
          <w:szCs w:val="19"/>
          <w:lang w:val="en-US"/>
        </w:rPr>
        <w:t>The various actions are involved in various jurisdictions.</w:t>
      </w:r>
    </w:p>
    <w:p w:rsidR="00606EA3" w:rsidRPr="00D51FC2" w:rsidRDefault="00606EA3" w:rsidP="00606EA3">
      <w:pPr>
        <w:pStyle w:val="Enumlevel1"/>
      </w:pPr>
      <w:r>
        <w:t>1.</w:t>
      </w:r>
      <w:r>
        <w:tab/>
      </w:r>
      <w:r w:rsidRPr="00D51FC2">
        <w:t>Decrease in energy consumption "data centers", by promoting best practices;</w:t>
      </w:r>
    </w:p>
    <w:p w:rsidR="00606EA3" w:rsidRPr="00D51FC2" w:rsidRDefault="00606EA3" w:rsidP="00606EA3">
      <w:pPr>
        <w:pStyle w:val="Enumlevel1"/>
      </w:pPr>
      <w:r>
        <w:t>2.</w:t>
      </w:r>
      <w:r>
        <w:tab/>
      </w:r>
      <w:r w:rsidRPr="00D51FC2">
        <w:t>Encouraging the production and use of electronic components that consume less energy;</w:t>
      </w:r>
    </w:p>
    <w:p w:rsidR="00606EA3" w:rsidRPr="00D51FC2" w:rsidRDefault="00606EA3" w:rsidP="00606EA3">
      <w:pPr>
        <w:pStyle w:val="Enumlevel1"/>
      </w:pPr>
      <w:r>
        <w:t>3.</w:t>
      </w:r>
      <w:r>
        <w:tab/>
      </w:r>
      <w:r w:rsidRPr="00D51FC2">
        <w:t>Promotion of green procurement on the Internet (be careful not to penalize e-commerce);</w:t>
      </w:r>
    </w:p>
    <w:p w:rsidR="00606EA3" w:rsidRPr="00D51FC2" w:rsidRDefault="00606EA3" w:rsidP="00606EA3">
      <w:pPr>
        <w:pStyle w:val="Enumlevel1"/>
      </w:pPr>
      <w:r>
        <w:t>4.</w:t>
      </w:r>
      <w:r>
        <w:tab/>
      </w:r>
      <w:r w:rsidRPr="00D51FC2">
        <w:t>Massive development of smart grids ("smart grids") and intelligent transport systems (see relevant paragraphs) and support R &amp; D in these areas to prepare for future technology generations;</w:t>
      </w:r>
    </w:p>
    <w:p w:rsidR="00606EA3" w:rsidRPr="00D51FC2" w:rsidRDefault="00606EA3" w:rsidP="00606EA3">
      <w:pPr>
        <w:pStyle w:val="Enumlevel1"/>
      </w:pPr>
      <w:r>
        <w:t>5.</w:t>
      </w:r>
      <w:r>
        <w:tab/>
      </w:r>
      <w:r w:rsidRPr="00D51FC2">
        <w:t>Defining indicators to assess the energy and environmental performance of digital industries;</w:t>
      </w:r>
    </w:p>
    <w:p w:rsidR="00606EA3" w:rsidRPr="00D51FC2" w:rsidRDefault="00606EA3" w:rsidP="00606EA3">
      <w:pPr>
        <w:pStyle w:val="Enumlevel1"/>
      </w:pPr>
      <w:r>
        <w:t>6.</w:t>
      </w:r>
      <w:r>
        <w:tab/>
      </w:r>
      <w:r w:rsidRPr="00D51FC2">
        <w:t>Training so that the responsible people for these actions have the required skills.</w:t>
      </w:r>
    </w:p>
    <w:p w:rsidR="00606EA3" w:rsidRPr="00D51FC2" w:rsidRDefault="00606EA3" w:rsidP="00606EA3">
      <w:pPr>
        <w:autoSpaceDE w:val="0"/>
        <w:autoSpaceDN w:val="0"/>
        <w:adjustRightInd w:val="0"/>
        <w:rPr>
          <w:rFonts w:cs="Verdana"/>
          <w:color w:val="000000"/>
          <w:szCs w:val="19"/>
          <w:lang w:val="en-GB"/>
        </w:rPr>
      </w:pPr>
      <w:r w:rsidRPr="00D51FC2">
        <w:rPr>
          <w:rFonts w:cs="Verdana"/>
          <w:color w:val="000000"/>
          <w:szCs w:val="19"/>
          <w:lang w:val="en-GB"/>
        </w:rPr>
        <w:t xml:space="preserve">Alcatel-Lucent has publicly committed to reduce our absolute carbon footprint by 50% by 2020 (2008 baseline). The carbon reduction targets set in 2007 were achieved a year ahead of schedule. Have expanded the collection of their Scope 3 emissions, increased their assessment of key and preferred suppliers, further reduced energy usage in labs and cooling systems in data centers as well initiatives at the local levels. </w:t>
      </w:r>
    </w:p>
    <w:p w:rsidR="00606EA3" w:rsidRPr="00E55042" w:rsidRDefault="00606EA3" w:rsidP="00606EA3">
      <w:pPr>
        <w:autoSpaceDE w:val="0"/>
        <w:autoSpaceDN w:val="0"/>
        <w:adjustRightInd w:val="0"/>
        <w:rPr>
          <w:rFonts w:cs="Verdana"/>
          <w:color w:val="000000"/>
          <w:lang w:val="en-US"/>
        </w:rPr>
      </w:pPr>
      <w:r w:rsidRPr="00E55042">
        <w:rPr>
          <w:rFonts w:cs="Verdana"/>
          <w:color w:val="000000"/>
          <w:lang w:val="en-US"/>
        </w:rPr>
        <w:t>Concerning France, a detailed</w:t>
      </w:r>
      <w:r w:rsidRPr="0038411C">
        <w:rPr>
          <w:rFonts w:cs="Verdana"/>
          <w:color w:val="000000"/>
          <w:szCs w:val="19"/>
          <w:lang w:val="en-GB"/>
        </w:rPr>
        <w:t xml:space="preserve"> </w:t>
      </w:r>
      <w:r w:rsidRPr="00E55042">
        <w:rPr>
          <w:rFonts w:cs="Verdana"/>
          <w:color w:val="000000"/>
          <w:lang w:val="en-US"/>
        </w:rPr>
        <w:t>study</w:t>
      </w:r>
      <w:r w:rsidRPr="0038411C">
        <w:rPr>
          <w:rFonts w:cs="Verdana"/>
          <w:color w:val="000000"/>
          <w:szCs w:val="19"/>
          <w:lang w:val="en-GB"/>
        </w:rPr>
        <w:t xml:space="preserve"> </w:t>
      </w:r>
      <w:r w:rsidRPr="00E55042">
        <w:rPr>
          <w:rFonts w:cs="Verdana"/>
          <w:color w:val="000000"/>
          <w:lang w:val="en-US"/>
        </w:rPr>
        <w:t>conducted</w:t>
      </w:r>
      <w:r w:rsidRPr="0038411C">
        <w:rPr>
          <w:rFonts w:cs="Verdana"/>
          <w:color w:val="000000"/>
          <w:szCs w:val="19"/>
          <w:lang w:val="en-GB"/>
        </w:rPr>
        <w:t xml:space="preserve"> </w:t>
      </w:r>
      <w:r w:rsidRPr="00E55042">
        <w:rPr>
          <w:rFonts w:cs="Verdana"/>
          <w:color w:val="000000"/>
          <w:lang w:val="en-US"/>
        </w:rPr>
        <w:t>in 2009</w:t>
      </w:r>
      <w:r w:rsidRPr="0038411C">
        <w:rPr>
          <w:rFonts w:cs="Verdana"/>
          <w:color w:val="000000"/>
          <w:szCs w:val="19"/>
          <w:lang w:val="en-GB"/>
        </w:rPr>
        <w:t xml:space="preserve"> </w:t>
      </w:r>
      <w:r w:rsidRPr="00E55042">
        <w:rPr>
          <w:rFonts w:cs="Verdana"/>
          <w:color w:val="000000"/>
          <w:lang w:val="en-US"/>
        </w:rPr>
        <w:t>found that</w:t>
      </w:r>
      <w:r w:rsidRPr="0038411C">
        <w:rPr>
          <w:rFonts w:cs="Verdana"/>
          <w:color w:val="000000"/>
          <w:szCs w:val="19"/>
          <w:lang w:val="en-GB"/>
        </w:rPr>
        <w:t xml:space="preserve"> </w:t>
      </w:r>
      <w:r w:rsidRPr="00E55042">
        <w:rPr>
          <w:rFonts w:cs="Verdana"/>
          <w:color w:val="000000"/>
          <w:lang w:val="en-US"/>
        </w:rPr>
        <w:t>consumption</w:t>
      </w:r>
      <w:r w:rsidRPr="0038411C">
        <w:rPr>
          <w:rFonts w:cs="Verdana"/>
          <w:color w:val="000000"/>
          <w:szCs w:val="19"/>
          <w:lang w:val="en-GB"/>
        </w:rPr>
        <w:t xml:space="preserve"> </w:t>
      </w:r>
      <w:r w:rsidRPr="00E55042">
        <w:rPr>
          <w:rFonts w:cs="Verdana"/>
          <w:color w:val="000000"/>
          <w:lang w:val="en-US"/>
        </w:rPr>
        <w:t>of</w:t>
      </w:r>
      <w:r w:rsidRPr="0038411C">
        <w:rPr>
          <w:rFonts w:cs="Verdana"/>
          <w:color w:val="000000"/>
          <w:szCs w:val="19"/>
          <w:lang w:val="en-GB"/>
        </w:rPr>
        <w:t xml:space="preserve"> </w:t>
      </w:r>
      <w:r w:rsidRPr="00E55042">
        <w:rPr>
          <w:rFonts w:cs="Verdana"/>
          <w:color w:val="000000"/>
          <w:lang w:val="en-US"/>
        </w:rPr>
        <w:t>global ICT</w:t>
      </w:r>
      <w:r w:rsidRPr="0038411C">
        <w:rPr>
          <w:rFonts w:cs="Verdana"/>
          <w:color w:val="000000"/>
          <w:szCs w:val="19"/>
          <w:lang w:val="en-GB"/>
        </w:rPr>
        <w:t xml:space="preserve"> </w:t>
      </w:r>
      <w:r w:rsidRPr="00E55042">
        <w:rPr>
          <w:rFonts w:cs="Verdana"/>
          <w:color w:val="000000"/>
          <w:lang w:val="en-US"/>
        </w:rPr>
        <w:t>sector</w:t>
      </w:r>
      <w:r w:rsidRPr="0038411C">
        <w:rPr>
          <w:rFonts w:cs="Verdana"/>
          <w:color w:val="000000"/>
          <w:szCs w:val="19"/>
          <w:lang w:val="en-GB"/>
        </w:rPr>
        <w:t xml:space="preserve"> </w:t>
      </w:r>
      <w:r w:rsidRPr="00E55042">
        <w:rPr>
          <w:rFonts w:cs="Verdana"/>
          <w:color w:val="000000"/>
          <w:lang w:val="en-US"/>
        </w:rPr>
        <w:t>in 2008</w:t>
      </w:r>
      <w:r w:rsidRPr="0038411C">
        <w:rPr>
          <w:rFonts w:cs="Verdana"/>
          <w:color w:val="000000"/>
          <w:szCs w:val="19"/>
          <w:lang w:val="en-GB"/>
        </w:rPr>
        <w:t xml:space="preserve"> </w:t>
      </w:r>
      <w:r w:rsidRPr="00E55042">
        <w:rPr>
          <w:rFonts w:cs="Verdana"/>
          <w:color w:val="000000"/>
          <w:lang w:val="en-US"/>
        </w:rPr>
        <w:t>represents</w:t>
      </w:r>
      <w:r w:rsidRPr="0038411C">
        <w:rPr>
          <w:rFonts w:cs="Verdana"/>
          <w:color w:val="000000"/>
          <w:szCs w:val="19"/>
          <w:lang w:val="en-GB"/>
        </w:rPr>
        <w:t xml:space="preserve"> </w:t>
      </w:r>
      <w:r w:rsidRPr="00E55042">
        <w:rPr>
          <w:rFonts w:cs="Verdana"/>
          <w:color w:val="000000"/>
          <w:lang w:val="en-US"/>
        </w:rPr>
        <w:t>7.3</w:t>
      </w:r>
      <w:r w:rsidRPr="0038411C">
        <w:rPr>
          <w:rFonts w:cs="Verdana"/>
          <w:color w:val="000000"/>
          <w:szCs w:val="19"/>
          <w:lang w:val="en-GB"/>
        </w:rPr>
        <w:t xml:space="preserve">% </w:t>
      </w:r>
      <w:r w:rsidRPr="00E55042">
        <w:rPr>
          <w:rFonts w:cs="Verdana"/>
          <w:color w:val="000000"/>
          <w:lang w:val="en-US"/>
        </w:rPr>
        <w:t>of</w:t>
      </w:r>
      <w:r w:rsidRPr="0038411C">
        <w:rPr>
          <w:rFonts w:cs="Verdana"/>
          <w:color w:val="000000"/>
          <w:szCs w:val="19"/>
          <w:lang w:val="en-GB"/>
        </w:rPr>
        <w:t xml:space="preserve"> </w:t>
      </w:r>
      <w:r w:rsidRPr="00E55042">
        <w:rPr>
          <w:rFonts w:cs="Verdana"/>
          <w:color w:val="000000"/>
          <w:lang w:val="en-US"/>
        </w:rPr>
        <w:t>French electrical consumption</w:t>
      </w:r>
      <w:r w:rsidRPr="0038411C">
        <w:rPr>
          <w:rFonts w:cs="Verdana"/>
          <w:color w:val="000000"/>
          <w:szCs w:val="19"/>
          <w:lang w:val="en-GB"/>
        </w:rPr>
        <w:t xml:space="preserve">, </w:t>
      </w:r>
      <w:r w:rsidRPr="00E55042">
        <w:rPr>
          <w:rFonts w:cs="Verdana"/>
          <w:color w:val="000000"/>
          <w:lang w:val="en-US"/>
        </w:rPr>
        <w:t>or 35.3</w:t>
      </w:r>
      <w:r w:rsidRPr="0038411C">
        <w:rPr>
          <w:rFonts w:cs="Verdana"/>
          <w:color w:val="000000"/>
          <w:szCs w:val="19"/>
          <w:lang w:val="en-GB"/>
        </w:rPr>
        <w:t xml:space="preserve"> </w:t>
      </w:r>
      <w:r w:rsidRPr="00E55042">
        <w:rPr>
          <w:rFonts w:cs="Verdana"/>
          <w:color w:val="000000"/>
          <w:lang w:val="en-US"/>
        </w:rPr>
        <w:t>TWh</w:t>
      </w:r>
      <w:r w:rsidRPr="0038411C">
        <w:rPr>
          <w:rFonts w:cs="Verdana"/>
          <w:color w:val="000000"/>
          <w:szCs w:val="19"/>
          <w:lang w:val="en-GB"/>
        </w:rPr>
        <w:t xml:space="preserve"> </w:t>
      </w:r>
      <w:r w:rsidRPr="00E55042">
        <w:rPr>
          <w:rFonts w:cs="Verdana"/>
          <w:color w:val="000000"/>
          <w:lang w:val="en-US"/>
        </w:rPr>
        <w:t>/ year</w:t>
      </w:r>
      <w:r w:rsidRPr="0038411C">
        <w:rPr>
          <w:rFonts w:cs="Verdana"/>
          <w:color w:val="000000"/>
          <w:szCs w:val="19"/>
          <w:lang w:val="en-GB"/>
        </w:rPr>
        <w:t xml:space="preserve">. </w:t>
      </w:r>
      <w:r w:rsidRPr="00E55042">
        <w:rPr>
          <w:rFonts w:cs="Verdana"/>
          <w:color w:val="000000"/>
          <w:lang w:val="en-US"/>
        </w:rPr>
        <w:t>Despite growing</w:t>
      </w:r>
      <w:r w:rsidRPr="0038411C">
        <w:rPr>
          <w:rFonts w:cs="Verdana"/>
          <w:color w:val="000000"/>
          <w:szCs w:val="19"/>
          <w:lang w:val="en-GB"/>
        </w:rPr>
        <w:t xml:space="preserve"> ICT </w:t>
      </w:r>
      <w:r w:rsidRPr="00E55042">
        <w:rPr>
          <w:rFonts w:cs="Verdana"/>
          <w:color w:val="000000"/>
          <w:lang w:val="en-US"/>
        </w:rPr>
        <w:t>use</w:t>
      </w:r>
      <w:r w:rsidRPr="0038411C">
        <w:rPr>
          <w:rFonts w:cs="Verdana"/>
          <w:color w:val="000000"/>
          <w:szCs w:val="19"/>
          <w:lang w:val="en-GB"/>
        </w:rPr>
        <w:t xml:space="preserve">, consumption </w:t>
      </w:r>
      <w:r w:rsidRPr="00E55042">
        <w:rPr>
          <w:rFonts w:cs="Verdana"/>
          <w:color w:val="000000"/>
          <w:lang w:val="en-US"/>
        </w:rPr>
        <w:t>could be reduced</w:t>
      </w:r>
      <w:r w:rsidRPr="0038411C">
        <w:rPr>
          <w:rFonts w:cs="Verdana"/>
          <w:color w:val="000000"/>
          <w:szCs w:val="19"/>
          <w:lang w:val="en-GB"/>
        </w:rPr>
        <w:t xml:space="preserve"> </w:t>
      </w:r>
      <w:r w:rsidRPr="00E55042">
        <w:rPr>
          <w:rFonts w:cs="Verdana"/>
          <w:color w:val="000000"/>
          <w:lang w:val="en-US"/>
        </w:rPr>
        <w:t>to 34.3</w:t>
      </w:r>
      <w:r w:rsidRPr="0038411C">
        <w:rPr>
          <w:rFonts w:cs="Verdana"/>
          <w:color w:val="000000"/>
          <w:szCs w:val="19"/>
          <w:lang w:val="en-GB"/>
        </w:rPr>
        <w:t xml:space="preserve"> </w:t>
      </w:r>
      <w:r w:rsidRPr="00E55042">
        <w:rPr>
          <w:rFonts w:cs="Verdana"/>
          <w:color w:val="000000"/>
          <w:lang w:val="en-US"/>
        </w:rPr>
        <w:t>TWh</w:t>
      </w:r>
      <w:r w:rsidRPr="0038411C">
        <w:rPr>
          <w:rFonts w:cs="Verdana"/>
          <w:color w:val="000000"/>
          <w:szCs w:val="19"/>
          <w:lang w:val="en-GB"/>
        </w:rPr>
        <w:t xml:space="preserve"> </w:t>
      </w:r>
      <w:r w:rsidRPr="00E55042">
        <w:rPr>
          <w:rFonts w:cs="Verdana"/>
          <w:color w:val="000000"/>
          <w:lang w:val="en-US"/>
        </w:rPr>
        <w:t>/</w:t>
      </w:r>
      <w:r w:rsidRPr="0038411C">
        <w:rPr>
          <w:rFonts w:cs="Verdana"/>
          <w:color w:val="000000"/>
          <w:szCs w:val="19"/>
          <w:lang w:val="en-GB"/>
        </w:rPr>
        <w:t xml:space="preserve"> </w:t>
      </w:r>
      <w:r w:rsidRPr="00E55042">
        <w:rPr>
          <w:rFonts w:cs="Verdana"/>
          <w:color w:val="000000"/>
          <w:lang w:val="en-US"/>
        </w:rPr>
        <w:t>year by 2012</w:t>
      </w:r>
      <w:r w:rsidRPr="0038411C">
        <w:rPr>
          <w:rFonts w:cs="Verdana"/>
          <w:color w:val="000000"/>
          <w:szCs w:val="19"/>
          <w:lang w:val="en-GB"/>
        </w:rPr>
        <w:t xml:space="preserve"> </w:t>
      </w:r>
      <w:r w:rsidRPr="00E55042">
        <w:rPr>
          <w:rFonts w:cs="Verdana"/>
          <w:color w:val="000000"/>
          <w:lang w:val="en-US"/>
        </w:rPr>
        <w:t>and 33.9</w:t>
      </w:r>
      <w:r w:rsidRPr="0038411C">
        <w:rPr>
          <w:rFonts w:cs="Verdana"/>
          <w:color w:val="000000"/>
          <w:szCs w:val="19"/>
          <w:lang w:val="en-GB"/>
        </w:rPr>
        <w:t xml:space="preserve"> </w:t>
      </w:r>
      <w:r w:rsidRPr="00E55042">
        <w:rPr>
          <w:rFonts w:cs="Verdana"/>
          <w:color w:val="000000"/>
          <w:lang w:val="en-US"/>
        </w:rPr>
        <w:t>TWh</w:t>
      </w:r>
      <w:r w:rsidRPr="0038411C">
        <w:rPr>
          <w:rFonts w:cs="Verdana"/>
          <w:color w:val="000000"/>
          <w:szCs w:val="19"/>
          <w:lang w:val="en-GB"/>
        </w:rPr>
        <w:t xml:space="preserve"> </w:t>
      </w:r>
      <w:r w:rsidRPr="00E55042">
        <w:rPr>
          <w:rFonts w:cs="Verdana"/>
          <w:color w:val="000000"/>
          <w:lang w:val="en-US"/>
        </w:rPr>
        <w:t>/ year</w:t>
      </w:r>
      <w:r w:rsidRPr="0038411C">
        <w:rPr>
          <w:rFonts w:cs="Verdana"/>
          <w:color w:val="000000"/>
          <w:szCs w:val="19"/>
          <w:lang w:val="en-GB"/>
        </w:rPr>
        <w:t xml:space="preserve"> </w:t>
      </w:r>
      <w:r w:rsidRPr="00E55042">
        <w:rPr>
          <w:rFonts w:cs="Verdana"/>
          <w:color w:val="000000"/>
          <w:lang w:val="en-US"/>
        </w:rPr>
        <w:t>in</w:t>
      </w:r>
      <w:r w:rsidRPr="0038411C">
        <w:rPr>
          <w:rFonts w:cs="Verdana"/>
          <w:color w:val="000000"/>
          <w:szCs w:val="19"/>
          <w:lang w:val="en-GB"/>
        </w:rPr>
        <w:t xml:space="preserve"> </w:t>
      </w:r>
      <w:r w:rsidRPr="00E55042">
        <w:rPr>
          <w:rFonts w:cs="Verdana"/>
          <w:color w:val="000000"/>
          <w:lang w:val="en-US"/>
        </w:rPr>
        <w:t>2020.</w:t>
      </w:r>
    </w:p>
    <w:p w:rsidR="00606EA3" w:rsidRPr="00E55042" w:rsidRDefault="00606EA3" w:rsidP="00606EA3">
      <w:pPr>
        <w:autoSpaceDE w:val="0"/>
        <w:autoSpaceDN w:val="0"/>
        <w:adjustRightInd w:val="0"/>
        <w:rPr>
          <w:rFonts w:cs="Verdana"/>
          <w:color w:val="000000"/>
          <w:lang w:val="en-US"/>
        </w:rPr>
      </w:pPr>
      <w:r w:rsidRPr="00E55042">
        <w:rPr>
          <w:rFonts w:cs="Verdana"/>
          <w:color w:val="000000"/>
          <w:lang w:val="en-US"/>
        </w:rPr>
        <w:t>This is generally about 5% of the production of CO ² in France estimated at 554 Mt</w:t>
      </w:r>
    </w:p>
    <w:p w:rsidR="00606EA3" w:rsidRPr="00E55042" w:rsidRDefault="00606EA3" w:rsidP="00606EA3">
      <w:pPr>
        <w:autoSpaceDE w:val="0"/>
        <w:autoSpaceDN w:val="0"/>
        <w:adjustRightInd w:val="0"/>
        <w:rPr>
          <w:rFonts w:cs="Verdana"/>
          <w:color w:val="000000"/>
          <w:lang w:val="en-US"/>
        </w:rPr>
      </w:pPr>
      <w:r w:rsidRPr="00E55042">
        <w:rPr>
          <w:rFonts w:cs="Verdana"/>
          <w:color w:val="000000"/>
          <w:lang w:val="en-US"/>
        </w:rPr>
        <w:t>Japan has the intention to achieve CO</w:t>
      </w:r>
      <w:r w:rsidRPr="00DE0E49">
        <w:rPr>
          <w:rFonts w:cs="Verdana"/>
          <w:color w:val="000000"/>
          <w:vertAlign w:val="subscript"/>
          <w:lang w:val="en-US"/>
        </w:rPr>
        <w:t>2</w:t>
      </w:r>
      <w:r w:rsidRPr="00E55042">
        <w:rPr>
          <w:rFonts w:cs="Verdana"/>
          <w:color w:val="000000"/>
          <w:lang w:val="en-US"/>
        </w:rPr>
        <w:t xml:space="preserve"> emissions target for FY 2020: the domestic emissions will be reduced by more than 10% of the FY 2008 total (120,000 t-CO</w:t>
      </w:r>
      <w:r w:rsidRPr="00DE0E49">
        <w:rPr>
          <w:rFonts w:cs="Verdana"/>
          <w:color w:val="000000"/>
          <w:vertAlign w:val="subscript"/>
          <w:lang w:val="en-US"/>
        </w:rPr>
        <w:t>2</w:t>
      </w:r>
      <w:r w:rsidRPr="00E55042">
        <w:rPr>
          <w:rFonts w:cs="Verdana"/>
          <w:color w:val="000000"/>
          <w:lang w:val="en-US"/>
        </w:rPr>
        <w:t>) through progressive reduction totaling more than 689,000 tons.</w:t>
      </w:r>
    </w:p>
    <w:p w:rsidR="00606EA3" w:rsidRPr="00E55042" w:rsidRDefault="00606EA3" w:rsidP="00606EA3">
      <w:pPr>
        <w:autoSpaceDE w:val="0"/>
        <w:autoSpaceDN w:val="0"/>
        <w:adjustRightInd w:val="0"/>
        <w:rPr>
          <w:rFonts w:cs="Verdana"/>
          <w:color w:val="000000"/>
          <w:lang w:val="en-US"/>
        </w:rPr>
      </w:pPr>
      <w:r w:rsidRPr="00E55042">
        <w:rPr>
          <w:rFonts w:cs="Verdana"/>
          <w:color w:val="000000"/>
          <w:lang w:val="en-US"/>
        </w:rPr>
        <w:t xml:space="preserve">In Thailand, Government policy specifies target in reduction of energy consumption per productivity as 25% within 20 years, by means of promotion and eco-design for products and buildings, using clean energy to reduce GHG emissions and mitigate global warming phenomena, and continuing to raise environmentally consciousness in consumers. </w:t>
      </w:r>
    </w:p>
    <w:p w:rsidR="00606EA3" w:rsidRPr="00E55042" w:rsidRDefault="00606EA3" w:rsidP="00606EA3">
      <w:pPr>
        <w:autoSpaceDE w:val="0"/>
        <w:autoSpaceDN w:val="0"/>
        <w:adjustRightInd w:val="0"/>
        <w:rPr>
          <w:rFonts w:cs="Verdana"/>
          <w:color w:val="000000"/>
          <w:lang w:val="en-US"/>
        </w:rPr>
      </w:pPr>
      <w:r w:rsidRPr="00E55042">
        <w:rPr>
          <w:rFonts w:cs="Verdana"/>
          <w:color w:val="000000"/>
          <w:lang w:val="en-US"/>
        </w:rPr>
        <w:t>Adaptation requires carrying out activities to cope with the effects of climate change at local or national. ICTs can be an important support for these activities, for example, the use of remote sensing to gather climate data, information dissemination, such as forecasts of rising sea levels, and application of measures to minimize the effects, such as building more in height above sea level is already using the ICT infrastructure to raise the alarm when a natural disaster like an earthquake or a tidal wave, occurs. It may be necessary infrastructure and ICT services additional or a new genre to help cope with problems such as lack of food or water due to extreme weather conditions.</w:t>
      </w:r>
    </w:p>
    <w:p w:rsidR="00606EA3" w:rsidRPr="00D51FC2" w:rsidRDefault="00606EA3" w:rsidP="00606EA3">
      <w:pPr>
        <w:rPr>
          <w:b/>
          <w:szCs w:val="19"/>
          <w:u w:val="single"/>
          <w:lang w:val="en-GB"/>
        </w:rPr>
      </w:pPr>
      <w:r w:rsidRPr="00D51FC2">
        <w:rPr>
          <w:b/>
          <w:szCs w:val="19"/>
          <w:u w:val="single"/>
          <w:lang w:val="en-GB"/>
        </w:rPr>
        <w:t>Question 4: Green ICT initiative</w:t>
      </w:r>
    </w:p>
    <w:p w:rsidR="00606EA3" w:rsidRPr="00D51FC2" w:rsidRDefault="00606EA3" w:rsidP="00606EA3">
      <w:pPr>
        <w:rPr>
          <w:rFonts w:eastAsia="Times New Roman"/>
          <w:szCs w:val="19"/>
          <w:lang w:val="en-GB"/>
        </w:rPr>
      </w:pPr>
      <w:r w:rsidRPr="00D51FC2">
        <w:rPr>
          <w:rFonts w:eastAsia="Times New Roman"/>
          <w:b/>
          <w:szCs w:val="19"/>
          <w:lang w:val="en-GB"/>
        </w:rPr>
        <w:t>63% replies said they are aware of the green ICT initiative, 37 % said no</w:t>
      </w:r>
      <w:r w:rsidRPr="00D51FC2">
        <w:rPr>
          <w:rFonts w:eastAsia="Times New Roman"/>
          <w:szCs w:val="19"/>
          <w:lang w:val="en-GB"/>
        </w:rPr>
        <w:t>.</w:t>
      </w:r>
    </w:p>
    <w:p w:rsidR="00606EA3" w:rsidRPr="00D51FC2" w:rsidRDefault="00606EA3" w:rsidP="00606EA3">
      <w:pPr>
        <w:autoSpaceDE w:val="0"/>
        <w:autoSpaceDN w:val="0"/>
        <w:adjustRightInd w:val="0"/>
        <w:rPr>
          <w:rFonts w:cs="Verdana"/>
          <w:color w:val="000000"/>
          <w:szCs w:val="19"/>
          <w:lang w:val="en-GB"/>
        </w:rPr>
      </w:pPr>
      <w:r w:rsidRPr="00D51FC2">
        <w:rPr>
          <w:rFonts w:cs="Verdana"/>
          <w:color w:val="000000"/>
          <w:szCs w:val="19"/>
          <w:lang w:val="en-GB"/>
        </w:rPr>
        <w:t xml:space="preserve">The Directive 2009/125/EC of the European Parliament and of the Council of 21 October 2009, establishes a framework for the setting of eco design requirements for energy-related products. </w:t>
      </w:r>
    </w:p>
    <w:p w:rsidR="00606EA3" w:rsidRPr="00D51FC2" w:rsidRDefault="00606EA3" w:rsidP="00606EA3">
      <w:pPr>
        <w:pStyle w:val="Default"/>
        <w:spacing w:before="120" w:after="120"/>
        <w:rPr>
          <w:rFonts w:ascii="Verdana" w:eastAsiaTheme="minorHAnsi" w:hAnsi="Verdana" w:cs="Verdana"/>
          <w:sz w:val="19"/>
          <w:szCs w:val="19"/>
          <w:lang w:val="en-US"/>
        </w:rPr>
      </w:pPr>
      <w:r w:rsidRPr="00D51FC2">
        <w:rPr>
          <w:rFonts w:ascii="Verdana" w:eastAsia="Times New Roman" w:hAnsi="Verdana"/>
          <w:sz w:val="19"/>
          <w:szCs w:val="19"/>
          <w:lang w:val="en-US"/>
        </w:rPr>
        <w:t xml:space="preserve">It is obvious that </w:t>
      </w:r>
      <w:r w:rsidRPr="00D51FC2">
        <w:rPr>
          <w:rFonts w:ascii="Verdana" w:eastAsiaTheme="minorHAnsi" w:hAnsi="Verdana" w:cs="Verdana"/>
          <w:sz w:val="19"/>
          <w:szCs w:val="19"/>
          <w:lang w:val="en-US"/>
        </w:rPr>
        <w:t>rare metal should be recycling: t is not only for a single country but also for the whole world.</w:t>
      </w:r>
    </w:p>
    <w:p w:rsidR="00606EA3" w:rsidRPr="007A44AC" w:rsidRDefault="00606EA3" w:rsidP="00606EA3">
      <w:pPr>
        <w:autoSpaceDE w:val="0"/>
        <w:autoSpaceDN w:val="0"/>
        <w:adjustRightInd w:val="0"/>
        <w:rPr>
          <w:rFonts w:cs="Verdana"/>
          <w:color w:val="000000"/>
          <w:szCs w:val="19"/>
          <w:lang w:val="en-GB"/>
        </w:rPr>
      </w:pPr>
      <w:r w:rsidRPr="007A44AC">
        <w:rPr>
          <w:rFonts w:cs="Verdana"/>
          <w:color w:val="000000"/>
          <w:szCs w:val="19"/>
          <w:lang w:val="en-GB"/>
        </w:rPr>
        <w:t xml:space="preserve">In some countries, the </w:t>
      </w:r>
      <w:r w:rsidRPr="00383297">
        <w:rPr>
          <w:rFonts w:cs="Verdana"/>
          <w:color w:val="000000"/>
          <w:lang w:val="en-US"/>
        </w:rPr>
        <w:t>Environmental Code</w:t>
      </w:r>
      <w:r w:rsidRPr="007A44AC">
        <w:rPr>
          <w:rFonts w:cs="Verdana"/>
          <w:color w:val="000000"/>
          <w:szCs w:val="19"/>
          <w:lang w:val="en-GB"/>
        </w:rPr>
        <w:t xml:space="preserve"> </w:t>
      </w:r>
      <w:r w:rsidRPr="00383297">
        <w:rPr>
          <w:rFonts w:cs="Verdana"/>
          <w:color w:val="000000"/>
          <w:lang w:val="en-US"/>
        </w:rPr>
        <w:t>states that</w:t>
      </w:r>
      <w:r w:rsidRPr="007A44AC">
        <w:rPr>
          <w:rFonts w:cs="Verdana"/>
          <w:color w:val="000000"/>
          <w:szCs w:val="19"/>
          <w:lang w:val="en-GB"/>
        </w:rPr>
        <w:t xml:space="preserve"> </w:t>
      </w:r>
      <w:r w:rsidRPr="00383297">
        <w:rPr>
          <w:rFonts w:cs="Verdana"/>
          <w:color w:val="000000"/>
          <w:lang w:val="en-US"/>
        </w:rPr>
        <w:t>Orders in</w:t>
      </w:r>
      <w:r w:rsidRPr="007A44AC">
        <w:rPr>
          <w:rFonts w:cs="Verdana"/>
          <w:color w:val="000000"/>
          <w:szCs w:val="19"/>
          <w:lang w:val="en-GB"/>
        </w:rPr>
        <w:t xml:space="preserve"> </w:t>
      </w:r>
      <w:r w:rsidRPr="00383297">
        <w:rPr>
          <w:rFonts w:cs="Verdana"/>
          <w:color w:val="000000"/>
          <w:lang w:val="en-US"/>
        </w:rPr>
        <w:t>Council of State</w:t>
      </w:r>
      <w:r w:rsidRPr="007A44AC">
        <w:rPr>
          <w:rFonts w:cs="Verdana"/>
          <w:color w:val="000000"/>
          <w:szCs w:val="19"/>
          <w:lang w:val="en-GB"/>
        </w:rPr>
        <w:t xml:space="preserve"> </w:t>
      </w:r>
      <w:r w:rsidRPr="00383297">
        <w:rPr>
          <w:rFonts w:cs="Verdana"/>
          <w:color w:val="000000"/>
          <w:lang w:val="en-US"/>
        </w:rPr>
        <w:t>may require the manufacturers</w:t>
      </w:r>
      <w:r w:rsidRPr="007A44AC">
        <w:rPr>
          <w:rFonts w:cs="Verdana"/>
          <w:color w:val="000000"/>
          <w:szCs w:val="19"/>
          <w:lang w:val="en-GB"/>
        </w:rPr>
        <w:t xml:space="preserve"> </w:t>
      </w:r>
      <w:r w:rsidRPr="00383297">
        <w:rPr>
          <w:rFonts w:cs="Verdana"/>
          <w:color w:val="000000"/>
          <w:lang w:val="en-US"/>
        </w:rPr>
        <w:t>and</w:t>
      </w:r>
      <w:r w:rsidRPr="007A44AC">
        <w:rPr>
          <w:rFonts w:cs="Verdana"/>
          <w:color w:val="000000"/>
          <w:szCs w:val="19"/>
          <w:lang w:val="en-GB"/>
        </w:rPr>
        <w:t xml:space="preserve"> </w:t>
      </w:r>
      <w:r w:rsidRPr="00383297">
        <w:rPr>
          <w:rFonts w:cs="Verdana"/>
          <w:color w:val="000000"/>
          <w:lang w:val="en-US"/>
        </w:rPr>
        <w:t>users to control</w:t>
      </w:r>
      <w:r w:rsidRPr="007A44AC">
        <w:rPr>
          <w:rFonts w:cs="Verdana"/>
          <w:color w:val="000000"/>
          <w:szCs w:val="19"/>
          <w:lang w:val="en-GB"/>
        </w:rPr>
        <w:t xml:space="preserve"> </w:t>
      </w:r>
      <w:r w:rsidRPr="00383297">
        <w:rPr>
          <w:rFonts w:cs="Verdana"/>
          <w:color w:val="000000"/>
          <w:lang w:val="en-US"/>
        </w:rPr>
        <w:t>energy consumption</w:t>
      </w:r>
      <w:r w:rsidRPr="007A44AC">
        <w:rPr>
          <w:rFonts w:cs="Verdana"/>
          <w:color w:val="000000"/>
          <w:szCs w:val="19"/>
          <w:lang w:val="en-GB"/>
        </w:rPr>
        <w:t xml:space="preserve"> </w:t>
      </w:r>
      <w:r w:rsidRPr="00383297">
        <w:rPr>
          <w:rFonts w:cs="Verdana"/>
          <w:color w:val="000000"/>
          <w:lang w:val="en-US"/>
        </w:rPr>
        <w:t>and</w:t>
      </w:r>
      <w:r w:rsidRPr="007A44AC">
        <w:rPr>
          <w:rFonts w:cs="Verdana"/>
          <w:color w:val="000000"/>
          <w:szCs w:val="19"/>
          <w:lang w:val="en-GB"/>
        </w:rPr>
        <w:t xml:space="preserve"> </w:t>
      </w:r>
      <w:r w:rsidRPr="00383297">
        <w:rPr>
          <w:rFonts w:cs="Verdana"/>
          <w:color w:val="000000"/>
          <w:lang w:val="en-US"/>
        </w:rPr>
        <w:t>pollutant emissions</w:t>
      </w:r>
      <w:r w:rsidRPr="007A44AC">
        <w:rPr>
          <w:rFonts w:cs="Verdana"/>
          <w:color w:val="000000"/>
          <w:szCs w:val="19"/>
          <w:lang w:val="en-GB"/>
        </w:rPr>
        <w:t xml:space="preserve"> </w:t>
      </w:r>
      <w:r w:rsidRPr="00383297">
        <w:rPr>
          <w:rFonts w:cs="Verdana"/>
          <w:color w:val="000000"/>
          <w:lang w:val="en-US"/>
        </w:rPr>
        <w:t>of their property</w:t>
      </w:r>
      <w:r w:rsidRPr="007A44AC">
        <w:rPr>
          <w:rFonts w:cs="Verdana"/>
          <w:color w:val="000000"/>
          <w:szCs w:val="19"/>
          <w:lang w:val="en-GB"/>
        </w:rPr>
        <w:t xml:space="preserve">, at </w:t>
      </w:r>
      <w:r w:rsidRPr="00383297">
        <w:rPr>
          <w:rFonts w:cs="Verdana"/>
          <w:color w:val="000000"/>
          <w:lang w:val="en-US"/>
        </w:rPr>
        <w:t>their own diligence</w:t>
      </w:r>
      <w:r w:rsidRPr="007A44AC">
        <w:rPr>
          <w:rFonts w:cs="Verdana"/>
          <w:color w:val="000000"/>
          <w:szCs w:val="19"/>
          <w:lang w:val="en-GB"/>
        </w:rPr>
        <w:t xml:space="preserve"> </w:t>
      </w:r>
      <w:r w:rsidRPr="00383297">
        <w:rPr>
          <w:rFonts w:cs="Verdana"/>
          <w:color w:val="000000"/>
          <w:lang w:val="en-US"/>
        </w:rPr>
        <w:t>and</w:t>
      </w:r>
      <w:r w:rsidRPr="007A44AC">
        <w:rPr>
          <w:rFonts w:cs="Verdana"/>
          <w:color w:val="000000"/>
          <w:szCs w:val="19"/>
          <w:lang w:val="en-GB"/>
        </w:rPr>
        <w:t xml:space="preserve"> </w:t>
      </w:r>
      <w:r w:rsidRPr="00383297">
        <w:rPr>
          <w:rFonts w:cs="Verdana"/>
          <w:color w:val="000000"/>
          <w:lang w:val="en-US"/>
        </w:rPr>
        <w:t>costs</w:t>
      </w:r>
      <w:r w:rsidRPr="007A44AC">
        <w:rPr>
          <w:rFonts w:cs="Verdana"/>
          <w:color w:val="000000"/>
          <w:szCs w:val="19"/>
          <w:lang w:val="en-GB"/>
        </w:rPr>
        <w:t>.</w:t>
      </w:r>
    </w:p>
    <w:p w:rsidR="00606EA3" w:rsidRPr="00D51FC2" w:rsidRDefault="00606EA3" w:rsidP="00606EA3">
      <w:pPr>
        <w:keepLines/>
        <w:autoSpaceDE w:val="0"/>
        <w:autoSpaceDN w:val="0"/>
        <w:adjustRightInd w:val="0"/>
        <w:rPr>
          <w:rFonts w:cs="Verdana"/>
          <w:color w:val="000000"/>
          <w:szCs w:val="19"/>
          <w:lang w:val="en-GB"/>
        </w:rPr>
      </w:pPr>
      <w:r w:rsidRPr="00D51FC2">
        <w:rPr>
          <w:rFonts w:cs="Verdana"/>
          <w:color w:val="000000"/>
          <w:szCs w:val="19"/>
          <w:lang w:val="en-GB"/>
        </w:rPr>
        <w:lastRenderedPageBreak/>
        <w:t xml:space="preserve">The European Union (EU) has a number of projects under the Horizon 2020 initiative that touch upon better design and energy consumption. These include: the EU Environmental Technology Verification pre-program, the Environmental Technologies Action Plan, the Waste Electrical and Electronic Equipment (WEEE) Directive, the EU Code of Conduct for Data Centers, the ICT for Energy Efficiency Forum. </w:t>
      </w:r>
    </w:p>
    <w:p w:rsidR="00606EA3" w:rsidRPr="00D51FC2" w:rsidRDefault="00606EA3" w:rsidP="00606EA3">
      <w:pPr>
        <w:rPr>
          <w:b/>
          <w:szCs w:val="19"/>
          <w:u w:val="single"/>
          <w:lang w:val="en-GB"/>
        </w:rPr>
      </w:pPr>
      <w:r w:rsidRPr="00D51FC2">
        <w:rPr>
          <w:b/>
          <w:szCs w:val="19"/>
          <w:u w:val="single"/>
          <w:lang w:val="en-GB"/>
        </w:rPr>
        <w:t>Question 5: Are you aware of the so-called rebound effect that would offset the beneficial aspects of green ICT or any ICT consuming less energy?</w:t>
      </w:r>
    </w:p>
    <w:p w:rsidR="00606EA3" w:rsidRPr="00D51FC2" w:rsidRDefault="00606EA3" w:rsidP="00606EA3">
      <w:pPr>
        <w:autoSpaceDE w:val="0"/>
        <w:autoSpaceDN w:val="0"/>
        <w:adjustRightInd w:val="0"/>
        <w:rPr>
          <w:rFonts w:eastAsia="Times New Roman"/>
          <w:b/>
          <w:szCs w:val="19"/>
          <w:lang w:val="en-GB"/>
        </w:rPr>
      </w:pPr>
      <w:r w:rsidRPr="00D51FC2">
        <w:rPr>
          <w:rFonts w:eastAsia="Times New Roman"/>
          <w:b/>
          <w:szCs w:val="19"/>
          <w:lang w:val="en-GB"/>
        </w:rPr>
        <w:t>45% of the answers said they are aware of the so-called rebound effect. 55% said they are not aware.</w:t>
      </w:r>
    </w:p>
    <w:p w:rsidR="00606EA3" w:rsidRPr="00D51FC2" w:rsidRDefault="00606EA3" w:rsidP="00606EA3">
      <w:pPr>
        <w:autoSpaceDE w:val="0"/>
        <w:autoSpaceDN w:val="0"/>
        <w:adjustRightInd w:val="0"/>
        <w:rPr>
          <w:rFonts w:cs="Verdana"/>
          <w:color w:val="000000"/>
          <w:szCs w:val="19"/>
          <w:lang w:val="en-GB"/>
        </w:rPr>
      </w:pPr>
      <w:r w:rsidRPr="00D51FC2">
        <w:rPr>
          <w:rFonts w:cs="Verdana"/>
          <w:color w:val="000000"/>
          <w:szCs w:val="19"/>
          <w:lang w:val="en-GB"/>
        </w:rPr>
        <w:t>Alcatel-Lucent is planning future actions to perform studies on the enabling effects of certain telecommunications network service applications within its portfolio. These enabling effects include the social, economic and environmental beneficial aspects as well as the rebound effects of the new (telecom networks services (TNS) application. In performing these studies, Alcatel-Lucent will use the GeSI methodology approach to assessing these net enabling effects.</w:t>
      </w:r>
      <w:r>
        <w:rPr>
          <w:rFonts w:cs="Verdana"/>
          <w:color w:val="000000"/>
          <w:szCs w:val="19"/>
          <w:lang w:val="en-GB"/>
        </w:rPr>
        <w:t xml:space="preserve"> </w:t>
      </w:r>
    </w:p>
    <w:p w:rsidR="00606EA3" w:rsidRPr="00D51FC2" w:rsidRDefault="00606EA3" w:rsidP="00606EA3">
      <w:pPr>
        <w:autoSpaceDE w:val="0"/>
        <w:autoSpaceDN w:val="0"/>
        <w:adjustRightInd w:val="0"/>
        <w:rPr>
          <w:rFonts w:cs="Verdana"/>
          <w:color w:val="000000"/>
          <w:szCs w:val="19"/>
          <w:lang w:val="en-GB"/>
        </w:rPr>
      </w:pPr>
      <w:r w:rsidRPr="00D51FC2">
        <w:rPr>
          <w:rFonts w:cs="Verdana"/>
          <w:color w:val="000000"/>
          <w:szCs w:val="19"/>
          <w:lang w:val="en-GB"/>
        </w:rPr>
        <w:t>Microsoft is involved in the methodologies assessment on rebound coordinated by the Global e</w:t>
      </w:r>
      <w:r>
        <w:rPr>
          <w:rFonts w:cs="Verdana"/>
          <w:color w:val="000000"/>
          <w:szCs w:val="19"/>
          <w:lang w:val="en-GB"/>
        </w:rPr>
        <w:noBreakHyphen/>
      </w:r>
      <w:r w:rsidRPr="00D51FC2">
        <w:rPr>
          <w:rFonts w:cs="Verdana"/>
          <w:color w:val="000000"/>
          <w:szCs w:val="19"/>
          <w:lang w:val="en-GB"/>
        </w:rPr>
        <w:t>Sustainability Initiative (GeSI).</w:t>
      </w:r>
    </w:p>
    <w:p w:rsidR="00606EA3" w:rsidRPr="00E55042" w:rsidRDefault="00606EA3" w:rsidP="00606EA3">
      <w:pPr>
        <w:autoSpaceDE w:val="0"/>
        <w:autoSpaceDN w:val="0"/>
        <w:adjustRightInd w:val="0"/>
        <w:spacing w:after="136"/>
        <w:rPr>
          <w:rFonts w:cs="Verdana"/>
          <w:color w:val="000000"/>
          <w:lang w:val="en-US"/>
        </w:rPr>
      </w:pPr>
      <w:r w:rsidRPr="00E55042">
        <w:rPr>
          <w:rFonts w:cs="Verdana"/>
          <w:color w:val="000000"/>
          <w:lang w:val="en-US"/>
        </w:rPr>
        <w:t>The rebound effect is well known in economics and energy saving and such a concept can be very attractive in the field of climate change. Its inclusion may be beneficial because the basic idea is very similar. It usually refers to the introduction of new technologies (in our case green ICT), or other measures to reduce resource use (in this case electricity): these responses tend to offset the effects benefits of new technology or other measures. France has not yet examined the effect of technological improvements on energy consumption, but believes that this theory should be used to accurately assess a policy or project decisions.</w:t>
      </w:r>
      <w:r>
        <w:rPr>
          <w:rFonts w:cs="Verdana"/>
          <w:color w:val="000000"/>
          <w:lang w:val="en-US"/>
        </w:rPr>
        <w:t xml:space="preserve"> </w:t>
      </w:r>
    </w:p>
    <w:p w:rsidR="00606EA3" w:rsidRPr="00D51FC2" w:rsidRDefault="00606EA3" w:rsidP="00606EA3">
      <w:pPr>
        <w:rPr>
          <w:b/>
          <w:szCs w:val="19"/>
          <w:u w:val="single"/>
          <w:lang w:val="en-GB"/>
        </w:rPr>
      </w:pPr>
      <w:r w:rsidRPr="00D51FC2">
        <w:rPr>
          <w:b/>
          <w:szCs w:val="19"/>
          <w:u w:val="single"/>
          <w:lang w:val="en-GB"/>
        </w:rPr>
        <w:t xml:space="preserve">Question 6: What severe weather conditions are typical in your rural/remote regions? </w:t>
      </w:r>
    </w:p>
    <w:p w:rsidR="00606EA3" w:rsidRPr="00D51FC2" w:rsidRDefault="00606EA3" w:rsidP="00606EA3">
      <w:pPr>
        <w:rPr>
          <w:lang w:val="en-US"/>
        </w:rPr>
      </w:pPr>
      <w:r w:rsidRPr="00D51FC2">
        <w:rPr>
          <w:lang w:val="en-US"/>
        </w:rPr>
        <w:t xml:space="preserve">In Bangladesh, there are cyclones and floods, excessive rainfall and humidity. </w:t>
      </w:r>
    </w:p>
    <w:p w:rsidR="00606EA3" w:rsidRPr="00D51FC2" w:rsidRDefault="00606EA3" w:rsidP="00606EA3">
      <w:pPr>
        <w:rPr>
          <w:lang w:val="en-US"/>
        </w:rPr>
      </w:pPr>
      <w:r w:rsidRPr="00D51FC2">
        <w:rPr>
          <w:rFonts w:eastAsia="Times New Roman"/>
          <w:lang w:val="en-GB"/>
        </w:rPr>
        <w:t xml:space="preserve">In Qatar: </w:t>
      </w:r>
      <w:r w:rsidRPr="00D51FC2">
        <w:rPr>
          <w:lang w:val="en-US"/>
        </w:rPr>
        <w:t xml:space="preserve">Desert climate with occasional sand storm, occasional flooding in urban area. </w:t>
      </w:r>
    </w:p>
    <w:p w:rsidR="00606EA3" w:rsidRPr="00D51FC2" w:rsidRDefault="00606EA3" w:rsidP="00606EA3">
      <w:pPr>
        <w:rPr>
          <w:lang w:val="en-US"/>
        </w:rPr>
      </w:pPr>
      <w:r w:rsidRPr="00D51FC2">
        <w:rPr>
          <w:rFonts w:eastAsia="Times New Roman"/>
          <w:lang w:val="en-US"/>
        </w:rPr>
        <w:t xml:space="preserve">In Nepal: </w:t>
      </w:r>
      <w:r w:rsidRPr="00D51FC2">
        <w:rPr>
          <w:lang w:val="en-US"/>
        </w:rPr>
        <w:t>Changes in rainfall patterns, increase in atmospheric temperature, landslides, forest fires, cyclonic winds, drought, melting glaciers, regions with high snowfall, regions where there is no snowfall more than a week. Direct/Indirect impact on water resources, agriculture, forestry, biodiversity, etc.</w:t>
      </w:r>
    </w:p>
    <w:p w:rsidR="00606EA3" w:rsidRPr="00D51FC2" w:rsidRDefault="00606EA3" w:rsidP="00606EA3">
      <w:pPr>
        <w:rPr>
          <w:b/>
          <w:szCs w:val="19"/>
          <w:u w:val="single"/>
          <w:lang w:val="en-GB"/>
        </w:rPr>
      </w:pPr>
      <w:r w:rsidRPr="00D51FC2">
        <w:rPr>
          <w:b/>
          <w:szCs w:val="19"/>
          <w:u w:val="single"/>
          <w:lang w:val="en-GB"/>
        </w:rPr>
        <w:t xml:space="preserve">Question 7: Is your administration using any systems and applications of ICT to adapt to climate change? </w:t>
      </w:r>
    </w:p>
    <w:p w:rsidR="00606EA3" w:rsidRPr="00D51FC2" w:rsidRDefault="00606EA3" w:rsidP="00606EA3">
      <w:pPr>
        <w:autoSpaceDE w:val="0"/>
        <w:autoSpaceDN w:val="0"/>
        <w:adjustRightInd w:val="0"/>
        <w:rPr>
          <w:rFonts w:cs="Verdana"/>
          <w:szCs w:val="19"/>
          <w:lang w:val="en-GB"/>
        </w:rPr>
      </w:pPr>
      <w:r w:rsidRPr="00D51FC2">
        <w:rPr>
          <w:rFonts w:cs="Verdana"/>
          <w:b/>
          <w:szCs w:val="19"/>
          <w:lang w:val="en-GB"/>
        </w:rPr>
        <w:t>About 60% of the answers said they are using ICT to adapt to climate change, 40 % said they don’t use ICT for that purpose</w:t>
      </w:r>
      <w:r w:rsidRPr="00D51FC2">
        <w:rPr>
          <w:rFonts w:cs="Verdana"/>
          <w:szCs w:val="19"/>
          <w:lang w:val="en-GB"/>
        </w:rPr>
        <w:t>.</w:t>
      </w:r>
    </w:p>
    <w:p w:rsidR="00606EA3" w:rsidRPr="00D51FC2" w:rsidRDefault="00606EA3" w:rsidP="00606EA3">
      <w:pPr>
        <w:autoSpaceDE w:val="0"/>
        <w:autoSpaceDN w:val="0"/>
        <w:adjustRightInd w:val="0"/>
        <w:rPr>
          <w:rFonts w:eastAsia="Times New Roman"/>
          <w:szCs w:val="19"/>
          <w:lang w:val="en-GB"/>
        </w:rPr>
      </w:pPr>
      <w:r w:rsidRPr="00D51FC2">
        <w:rPr>
          <w:rFonts w:cs="Verdana"/>
          <w:szCs w:val="19"/>
          <w:lang w:val="en-GB"/>
        </w:rPr>
        <w:t>The following figure shows the number of answers regarding the types of systems and applications.</w:t>
      </w:r>
    </w:p>
    <w:p w:rsidR="00606EA3" w:rsidRPr="000B6B25" w:rsidRDefault="00606EA3" w:rsidP="00606EA3">
      <w:pPr>
        <w:pStyle w:val="Figure"/>
        <w:rPr>
          <w:rFonts w:cs="Verdana"/>
          <w:sz w:val="8"/>
          <w:szCs w:val="8"/>
        </w:rPr>
      </w:pPr>
    </w:p>
    <w:p w:rsidR="00606EA3" w:rsidRDefault="00606EA3" w:rsidP="00606EA3">
      <w:pPr>
        <w:pStyle w:val="Figure"/>
        <w:rPr>
          <w:rFonts w:cs="Verdana"/>
          <w:sz w:val="8"/>
          <w:szCs w:val="8"/>
        </w:rPr>
      </w:pPr>
      <w:r w:rsidRPr="00D51FC2">
        <w:rPr>
          <w:noProof/>
          <w:lang w:val="en-US" w:eastAsia="zh-CN"/>
        </w:rPr>
        <w:drawing>
          <wp:inline distT="0" distB="0" distL="0" distR="0" wp14:anchorId="5D4E08C9" wp14:editId="15B3E253">
            <wp:extent cx="5422790" cy="2711395"/>
            <wp:effectExtent l="0" t="0" r="26035" b="1333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p w:rsidR="00606EA3" w:rsidRPr="000B6B25" w:rsidRDefault="00606EA3" w:rsidP="00606EA3">
      <w:pPr>
        <w:pStyle w:val="Figure"/>
        <w:rPr>
          <w:rFonts w:cs="Verdana"/>
          <w:sz w:val="8"/>
          <w:szCs w:val="8"/>
        </w:rPr>
      </w:pPr>
    </w:p>
    <w:p w:rsidR="00606EA3" w:rsidRPr="00D51FC2" w:rsidRDefault="00606EA3" w:rsidP="00606EA3">
      <w:pPr>
        <w:spacing w:before="240"/>
        <w:rPr>
          <w:b/>
          <w:szCs w:val="19"/>
          <w:u w:val="single"/>
          <w:lang w:val="en-GB"/>
        </w:rPr>
      </w:pPr>
      <w:r w:rsidRPr="00D51FC2">
        <w:rPr>
          <w:b/>
          <w:szCs w:val="19"/>
          <w:u w:val="single"/>
          <w:lang w:val="en-GB"/>
        </w:rPr>
        <w:t xml:space="preserve">Question 8: What ICT services would enable communities to better adapt to climate change? </w:t>
      </w:r>
    </w:p>
    <w:p w:rsidR="00606EA3" w:rsidRPr="00D51FC2" w:rsidRDefault="00606EA3" w:rsidP="00606EA3">
      <w:pPr>
        <w:autoSpaceDE w:val="0"/>
        <w:autoSpaceDN w:val="0"/>
        <w:adjustRightInd w:val="0"/>
        <w:rPr>
          <w:rFonts w:cs="Verdana"/>
          <w:color w:val="000000"/>
          <w:szCs w:val="19"/>
          <w:lang w:val="en-GB"/>
        </w:rPr>
      </w:pPr>
      <w:r w:rsidRPr="00D51FC2">
        <w:rPr>
          <w:rFonts w:eastAsia="Times New Roman"/>
          <w:szCs w:val="19"/>
          <w:lang w:val="en-GB"/>
        </w:rPr>
        <w:t>Better energy efficiency is probably one of the key issues. Within this context, smart homes can be one solution. However, the solutions must be kept as simple as possible in order not to create additional. The most common communicat</w:t>
      </w:r>
      <w:r w:rsidRPr="00D51FC2">
        <w:rPr>
          <w:rFonts w:cs="Verdana"/>
          <w:color w:val="000000"/>
          <w:szCs w:val="19"/>
          <w:lang w:val="en-GB"/>
        </w:rPr>
        <w:t>ion platform</w:t>
      </w:r>
      <w:r w:rsidRPr="00D51FC2">
        <w:rPr>
          <w:rFonts w:eastAsia="Times New Roman"/>
          <w:szCs w:val="19"/>
          <w:lang w:val="en-GB"/>
        </w:rPr>
        <w:t>s indicated are: fixed, Internet, mobile.</w:t>
      </w:r>
    </w:p>
    <w:p w:rsidR="00606EA3" w:rsidRPr="00D51FC2" w:rsidRDefault="00606EA3" w:rsidP="00606EA3">
      <w:pPr>
        <w:autoSpaceDE w:val="0"/>
        <w:autoSpaceDN w:val="0"/>
        <w:adjustRightInd w:val="0"/>
        <w:rPr>
          <w:rFonts w:cs="Verdana"/>
          <w:color w:val="000000"/>
          <w:szCs w:val="19"/>
          <w:lang w:val="en-GB"/>
        </w:rPr>
      </w:pPr>
      <w:r w:rsidRPr="00D51FC2">
        <w:rPr>
          <w:rFonts w:cs="Verdana"/>
          <w:color w:val="000000"/>
          <w:szCs w:val="19"/>
          <w:lang w:val="en-GB"/>
        </w:rPr>
        <w:t>Ecuador: Emergency community telecommunication systems. Automation of mobile systems. Automatic calls to fixed services.</w:t>
      </w:r>
    </w:p>
    <w:p w:rsidR="00606EA3" w:rsidRPr="00D51FC2" w:rsidRDefault="00606EA3" w:rsidP="00606EA3">
      <w:pPr>
        <w:rPr>
          <w:lang w:val="en-GB"/>
        </w:rPr>
      </w:pPr>
      <w:r w:rsidRPr="00D51FC2">
        <w:rPr>
          <w:lang w:val="en-GB"/>
        </w:rPr>
        <w:t xml:space="preserve">Greece: Smart grids and broadband services over power line (BPL). On-line climate change monitoring. </w:t>
      </w:r>
    </w:p>
    <w:p w:rsidR="00606EA3" w:rsidRPr="00D51FC2" w:rsidRDefault="00606EA3" w:rsidP="00606EA3">
      <w:pPr>
        <w:rPr>
          <w:lang w:val="en-US"/>
        </w:rPr>
      </w:pPr>
      <w:r w:rsidRPr="00D51FC2">
        <w:rPr>
          <w:lang w:val="en-US"/>
        </w:rPr>
        <w:t>Qatar: Mobile Short Messaging Service (SMS) notification of sand storm, flooding. Severe weather warning through smart phones.</w:t>
      </w:r>
    </w:p>
    <w:p w:rsidR="00606EA3" w:rsidRPr="00D51FC2" w:rsidRDefault="00606EA3" w:rsidP="00606EA3">
      <w:pPr>
        <w:spacing w:before="240"/>
        <w:rPr>
          <w:b/>
          <w:szCs w:val="19"/>
          <w:u w:val="single"/>
          <w:lang w:val="en-GB"/>
        </w:rPr>
      </w:pPr>
      <w:r w:rsidRPr="00D51FC2">
        <w:rPr>
          <w:b/>
          <w:szCs w:val="19"/>
          <w:u w:val="single"/>
          <w:lang w:val="en-GB"/>
        </w:rPr>
        <w:t xml:space="preserve">Question 9: What specific technologies or standards for ICT equipment are used by your administration to gather data to monitor climate change? </w:t>
      </w:r>
    </w:p>
    <w:p w:rsidR="00606EA3" w:rsidRPr="00D51FC2" w:rsidRDefault="00606EA3" w:rsidP="00606EA3">
      <w:pPr>
        <w:rPr>
          <w:rFonts w:eastAsia="Times New Roman"/>
          <w:szCs w:val="19"/>
          <w:lang w:val="en-GB"/>
        </w:rPr>
      </w:pPr>
      <w:r w:rsidRPr="00D51FC2">
        <w:rPr>
          <w:rFonts w:eastAsia="Times New Roman"/>
          <w:szCs w:val="19"/>
          <w:lang w:val="en-GB"/>
        </w:rPr>
        <w:t>Concerning climate monitoring, Earth observation satellites are an essential tool, taking into account the repeatability of measurements and their high quality and accuracy.</w:t>
      </w:r>
    </w:p>
    <w:p w:rsidR="00606EA3" w:rsidRPr="00D51FC2" w:rsidRDefault="00606EA3" w:rsidP="00606EA3">
      <w:pPr>
        <w:rPr>
          <w:rFonts w:eastAsia="Times New Roman"/>
          <w:szCs w:val="19"/>
          <w:lang w:val="en-GB"/>
        </w:rPr>
      </w:pPr>
      <w:r w:rsidRPr="00D51FC2">
        <w:rPr>
          <w:rFonts w:eastAsia="Times New Roman"/>
          <w:szCs w:val="19"/>
          <w:lang w:val="en-GB"/>
        </w:rPr>
        <w:t>A variety of means and technologies to gather key geophysical parameters representative of the phenomenon of climate change is currently used.</w:t>
      </w:r>
    </w:p>
    <w:p w:rsidR="00606EA3" w:rsidRPr="00D51FC2" w:rsidRDefault="00606EA3" w:rsidP="00606EA3">
      <w:pPr>
        <w:pStyle w:val="Enumlevel1"/>
      </w:pPr>
      <w:r>
        <w:t>–</w:t>
      </w:r>
      <w:r>
        <w:tab/>
      </w:r>
      <w:r w:rsidRPr="00D51FC2">
        <w:t>Satellite systems are very effective because they provide a repeating series of accurate and reliable measurements of the number of geophysical parameters such as ocean salinity, soil moisture, temperature at all levels of the atmosphere, sea surface temperature, average height of sea level, ... For example, the French space agency (CNES) in collaboration with NASA, NOAA, EUMETSAT, ESA, ISRO, JAXA (...) is involved in the following programs: Jason, SMOS, MEGHA-TROPIQUE, AltiKa (....). All these satellite systems, which provide many key indicators for climate change, are fully operational and the data retrieved are constantly reviewed and analyzed by experts from space and meteorological agencies.</w:t>
      </w:r>
    </w:p>
    <w:p w:rsidR="00606EA3" w:rsidRPr="00D51FC2" w:rsidRDefault="00606EA3" w:rsidP="00606EA3">
      <w:pPr>
        <w:pStyle w:val="Enumlevel1"/>
      </w:pPr>
      <w:r>
        <w:t>–</w:t>
      </w:r>
      <w:r>
        <w:tab/>
      </w:r>
      <w:r w:rsidRPr="00D51FC2">
        <w:rPr>
          <w:rFonts w:eastAsiaTheme="minorHAnsi" w:cstheme="minorBidi"/>
        </w:rPr>
        <w:t>The airborne systems are mainly used to test prototypes of future payloads to be flown on future satellites to validate future operational systems. Indeed, we must always bear in mind that the analysis of climate change requires a continuous series of reliable measurements, repetitive and compatible.</w:t>
      </w:r>
    </w:p>
    <w:p w:rsidR="00606EA3" w:rsidRPr="00D51FC2" w:rsidRDefault="00606EA3" w:rsidP="00606EA3">
      <w:pPr>
        <w:pStyle w:val="Enumlevel1"/>
      </w:pPr>
      <w:r>
        <w:lastRenderedPageBreak/>
        <w:t>–</w:t>
      </w:r>
      <w:r>
        <w:tab/>
      </w:r>
      <w:r w:rsidRPr="00D51FC2">
        <w:t>Terrestrial systems (fixed and mobile) are also used as they complement the satellites cannot provide all categories of measures. Moreover, they are also essential to calibrate the data collected through satellites.</w:t>
      </w:r>
    </w:p>
    <w:p w:rsidR="00606EA3" w:rsidRPr="00D51FC2" w:rsidRDefault="00606EA3" w:rsidP="00606EA3">
      <w:pPr>
        <w:pStyle w:val="Enumlevel1"/>
      </w:pPr>
      <w:r>
        <w:t>–</w:t>
      </w:r>
      <w:r>
        <w:tab/>
      </w:r>
      <w:r w:rsidRPr="00D51FC2">
        <w:t xml:space="preserve">The submarine systems are very useful because, for example, satellites can provide salinity of the ocean surface and it is not possible to obtain salinity below the surface. Satellite networks cannot provide all ocean parameters: this is why submarine systems are complementary to satellite systems. </w:t>
      </w:r>
    </w:p>
    <w:p w:rsidR="00606EA3" w:rsidRPr="00D51FC2" w:rsidRDefault="00606EA3" w:rsidP="00606EA3">
      <w:pPr>
        <w:pStyle w:val="Enumlevel1"/>
      </w:pPr>
      <w:r>
        <w:t>–</w:t>
      </w:r>
      <w:r>
        <w:tab/>
      </w:r>
      <w:r w:rsidRPr="00D51FC2">
        <w:t>Experts use physical models continuously updated by terrestrial and satellite measurements: this process is called assimilation where data from ground sensors are enriched with satellite data. In addition, the comparison to a model is needed to validate the magnitude of the recovered data. Indeed, some data may be inaccurate due to poor measurement or disturbance, and under these conditions the corresponding wrong measurement are eliminated by the model from the set of measurements.</w:t>
      </w:r>
    </w:p>
    <w:p w:rsidR="00606EA3" w:rsidRPr="00D51FC2" w:rsidRDefault="00606EA3" w:rsidP="00606EA3">
      <w:pPr>
        <w:spacing w:before="240"/>
        <w:rPr>
          <w:b/>
          <w:szCs w:val="19"/>
          <w:u w:val="single"/>
          <w:lang w:val="en-GB"/>
        </w:rPr>
      </w:pPr>
      <w:r w:rsidRPr="00D51FC2">
        <w:rPr>
          <w:b/>
          <w:szCs w:val="19"/>
          <w:u w:val="single"/>
          <w:lang w:val="en-GB"/>
        </w:rPr>
        <w:t xml:space="preserve">Question 10: What technologies and/or standards could enhance the gathering of data/information about climate change for your administration? </w:t>
      </w:r>
    </w:p>
    <w:p w:rsidR="00606EA3" w:rsidRPr="00E55042" w:rsidRDefault="00606EA3" w:rsidP="00606EA3">
      <w:pPr>
        <w:autoSpaceDE w:val="0"/>
        <w:autoSpaceDN w:val="0"/>
        <w:adjustRightInd w:val="0"/>
        <w:spacing w:after="136"/>
        <w:rPr>
          <w:rFonts w:cs="Verdana"/>
          <w:color w:val="000000"/>
          <w:lang w:val="en-US"/>
        </w:rPr>
      </w:pPr>
      <w:r w:rsidRPr="00E55042">
        <w:rPr>
          <w:rFonts w:cs="Verdana"/>
          <w:color w:val="000000"/>
          <w:lang w:val="en-US"/>
        </w:rPr>
        <w:t>France said that it is working in collaboration with experts from space agencies and meteorological (including the World Meteorological Organization) to improve knowledge of climate change. Satellites and terrestrial measuring devices are the main sources of information.</w:t>
      </w:r>
    </w:p>
    <w:p w:rsidR="00606EA3" w:rsidRPr="00D51FC2" w:rsidRDefault="00606EA3" w:rsidP="00606EA3">
      <w:pPr>
        <w:autoSpaceDE w:val="0"/>
        <w:autoSpaceDN w:val="0"/>
        <w:adjustRightInd w:val="0"/>
        <w:spacing w:after="136"/>
        <w:rPr>
          <w:rFonts w:cs="Verdana"/>
          <w:color w:val="000000"/>
          <w:szCs w:val="19"/>
          <w:lang w:val="en-GB"/>
        </w:rPr>
      </w:pPr>
      <w:r w:rsidRPr="00D51FC2">
        <w:rPr>
          <w:rFonts w:cs="Verdana"/>
          <w:color w:val="000000"/>
          <w:szCs w:val="19"/>
          <w:lang w:val="en-GB"/>
        </w:rPr>
        <w:t>Establishing systematic observation systems, monitoring networks and institutional information systems on sea level rising would an adequate support for decision making. The identification of vulnerable areas, the building of databases, the development and implementation of measures for resource protection, and the follow up and enforcement of planning regulations, would be the main objectives of administrations.</w:t>
      </w:r>
    </w:p>
    <w:p w:rsidR="00606EA3" w:rsidRPr="00D51FC2" w:rsidRDefault="00606EA3" w:rsidP="00606EA3">
      <w:pPr>
        <w:autoSpaceDE w:val="0"/>
        <w:autoSpaceDN w:val="0"/>
        <w:adjustRightInd w:val="0"/>
        <w:spacing w:after="136"/>
        <w:rPr>
          <w:rFonts w:cs="Verdana"/>
          <w:color w:val="000000"/>
          <w:szCs w:val="19"/>
          <w:lang w:val="en-GB"/>
        </w:rPr>
      </w:pPr>
      <w:r w:rsidRPr="00D51FC2">
        <w:rPr>
          <w:rFonts w:cs="Verdana"/>
          <w:color w:val="000000"/>
          <w:szCs w:val="19"/>
          <w:lang w:val="en-GB"/>
        </w:rPr>
        <w:t>For example, the Egyptian Environmental Affairs Agency (EEAA) monitors an air quality monitoring network with a number of monitoring stations for CO</w:t>
      </w:r>
      <w:r w:rsidRPr="00DE0E49">
        <w:rPr>
          <w:rFonts w:cs="Verdana"/>
          <w:color w:val="000000"/>
          <w:szCs w:val="19"/>
          <w:vertAlign w:val="subscript"/>
          <w:lang w:val="en-GB"/>
        </w:rPr>
        <w:t>2</w:t>
      </w:r>
      <w:r w:rsidRPr="00D51FC2">
        <w:rPr>
          <w:rFonts w:cs="Verdana"/>
          <w:color w:val="000000"/>
          <w:szCs w:val="19"/>
          <w:lang w:val="en-GB"/>
        </w:rPr>
        <w:t xml:space="preserve">, CH4, and Volatile Organic Compounds. The establishment of a network of tide gauges monitoring the Mediterranean, the Red Sea, and Lake Nasser is one of the main objectives. Egypt is supporting the establishment of a Regional Center for Research and Studies of Climate Change. This Center would be responsible for data collection, monitoring and assessing climate changes and likely impacts within Egypt and in the other Nile Basin countries, developing and maintaining a database in this regard, as well as networking with other research institutes. </w:t>
      </w:r>
    </w:p>
    <w:p w:rsidR="00606EA3" w:rsidRPr="00D51FC2" w:rsidRDefault="00606EA3" w:rsidP="00606EA3">
      <w:pPr>
        <w:autoSpaceDE w:val="0"/>
        <w:autoSpaceDN w:val="0"/>
        <w:adjustRightInd w:val="0"/>
        <w:spacing w:after="116"/>
        <w:rPr>
          <w:rFonts w:cs="Verdana"/>
          <w:color w:val="000000"/>
          <w:szCs w:val="19"/>
          <w:lang w:val="en-GB"/>
        </w:rPr>
      </w:pPr>
      <w:r w:rsidRPr="00D51FC2">
        <w:rPr>
          <w:rFonts w:cs="Verdana"/>
          <w:color w:val="000000"/>
          <w:szCs w:val="19"/>
          <w:lang w:val="en-GB"/>
        </w:rPr>
        <w:t>Some countries need a basic satellite and terrestrial monitoring service supported by a basic telecommunications network (e.g. mobile/broadband).</w:t>
      </w:r>
    </w:p>
    <w:p w:rsidR="00606EA3" w:rsidRPr="00D51FC2" w:rsidRDefault="00606EA3" w:rsidP="00606EA3">
      <w:pPr>
        <w:pStyle w:val="Enumlevel1"/>
      </w:pPr>
      <w:r>
        <w:t>•</w:t>
      </w:r>
      <w:r>
        <w:tab/>
      </w:r>
      <w:r w:rsidRPr="00D51FC2">
        <w:t>Some would like new equipment types, especially wireless sensor networks.</w:t>
      </w:r>
    </w:p>
    <w:p w:rsidR="00606EA3" w:rsidRPr="00D51FC2" w:rsidRDefault="00606EA3" w:rsidP="00606EA3">
      <w:pPr>
        <w:pStyle w:val="Enumlevel1"/>
      </w:pPr>
      <w:r>
        <w:t>•</w:t>
      </w:r>
      <w:r>
        <w:tab/>
      </w:r>
      <w:r w:rsidRPr="00D51FC2">
        <w:t>Pioneering technologies on monitoring and halting deforestation should be widely disseminated and copied.</w:t>
      </w:r>
    </w:p>
    <w:p w:rsidR="00606EA3" w:rsidRPr="00D51FC2" w:rsidRDefault="00606EA3" w:rsidP="00606EA3">
      <w:pPr>
        <w:spacing w:after="40"/>
        <w:rPr>
          <w:b/>
          <w:szCs w:val="19"/>
          <w:u w:val="single"/>
          <w:lang w:val="en-GB"/>
        </w:rPr>
      </w:pPr>
      <w:r w:rsidRPr="00D51FC2">
        <w:rPr>
          <w:b/>
          <w:szCs w:val="19"/>
          <w:u w:val="single"/>
          <w:lang w:val="en-GB"/>
        </w:rPr>
        <w:t xml:space="preserve">Question 11: What ICTs and standards are used by your administration to disseminate information about climate change to those who need it (e.g. in broadcast, satellite systems)? </w:t>
      </w:r>
    </w:p>
    <w:p w:rsidR="00606EA3" w:rsidRPr="00D51FC2" w:rsidRDefault="00606EA3" w:rsidP="00606EA3">
      <w:pPr>
        <w:rPr>
          <w:szCs w:val="19"/>
          <w:lang w:val="en-GB"/>
        </w:rPr>
      </w:pPr>
      <w:r w:rsidRPr="00D51FC2">
        <w:rPr>
          <w:szCs w:val="19"/>
          <w:lang w:val="en-GB"/>
        </w:rPr>
        <w:t xml:space="preserve">The next IPCC report will be published very soon and this report is an important source of public information, scientists and policy makers. In addition to this comprehensive report, </w:t>
      </w:r>
      <w:r>
        <w:rPr>
          <w:szCs w:val="19"/>
          <w:lang w:val="en-GB"/>
        </w:rPr>
        <w:t>there are</w:t>
      </w:r>
      <w:r w:rsidRPr="00D51FC2">
        <w:rPr>
          <w:szCs w:val="19"/>
          <w:lang w:val="en-GB"/>
        </w:rPr>
        <w:t xml:space="preserve"> reliable sources of information </w:t>
      </w:r>
      <w:r>
        <w:rPr>
          <w:szCs w:val="19"/>
          <w:lang w:val="en-GB"/>
        </w:rPr>
        <w:t xml:space="preserve">available online, </w:t>
      </w:r>
      <w:r w:rsidRPr="00D51FC2">
        <w:rPr>
          <w:szCs w:val="19"/>
          <w:lang w:val="en-GB"/>
        </w:rPr>
        <w:t>such as:</w:t>
      </w:r>
    </w:p>
    <w:p w:rsidR="00606EA3" w:rsidRPr="00F528EA" w:rsidRDefault="00606EA3" w:rsidP="00606EA3">
      <w:pPr>
        <w:pStyle w:val="Enumlevel1"/>
        <w:rPr>
          <w:rStyle w:val="Hyperlink"/>
          <w:szCs w:val="19"/>
        </w:rPr>
      </w:pPr>
      <w:r>
        <w:t>•</w:t>
      </w:r>
      <w:r>
        <w:tab/>
      </w:r>
      <w:hyperlink r:id="rId173" w:history="1">
        <w:r w:rsidRPr="00E328E4">
          <w:rPr>
            <w:rStyle w:val="Hyperlink"/>
            <w:szCs w:val="19"/>
            <w:lang w:eastAsia="fr-FR"/>
          </w:rPr>
          <w:t>www.aviso.oceanobs.com</w:t>
        </w:r>
      </w:hyperlink>
    </w:p>
    <w:p w:rsidR="00606EA3" w:rsidRPr="00F528EA" w:rsidRDefault="00606EA3" w:rsidP="00606EA3">
      <w:pPr>
        <w:pStyle w:val="Enumlevel1"/>
        <w:rPr>
          <w:rStyle w:val="Hyperlink"/>
          <w:szCs w:val="19"/>
          <w:lang w:eastAsia="fr-FR"/>
        </w:rPr>
      </w:pPr>
      <w:r>
        <w:t>•</w:t>
      </w:r>
      <w:r>
        <w:tab/>
      </w:r>
      <w:hyperlink r:id="rId174" w:history="1">
        <w:r w:rsidRPr="00E328E4">
          <w:rPr>
            <w:rStyle w:val="Hyperlink"/>
            <w:szCs w:val="19"/>
            <w:lang w:eastAsia="fr-FR"/>
          </w:rPr>
          <w:t>www.mercator-ocean.fr</w:t>
        </w:r>
      </w:hyperlink>
    </w:p>
    <w:p w:rsidR="00606EA3" w:rsidRPr="00D55097" w:rsidRDefault="00606EA3" w:rsidP="00606EA3">
      <w:pPr>
        <w:pStyle w:val="Enumlevel1"/>
        <w:rPr>
          <w:szCs w:val="19"/>
        </w:rPr>
      </w:pPr>
      <w:r>
        <w:t>•</w:t>
      </w:r>
      <w:r>
        <w:tab/>
      </w:r>
      <w:hyperlink r:id="rId175" w:history="1">
        <w:r w:rsidRPr="00E328E4">
          <w:rPr>
            <w:rStyle w:val="Hyperlink"/>
            <w:szCs w:val="19"/>
            <w:lang w:eastAsia="fr-FR"/>
          </w:rPr>
          <w:t>www.esa.int/SPECIALS/Space_for_our_climate/index.html</w:t>
        </w:r>
      </w:hyperlink>
      <w:r w:rsidRPr="00D55097">
        <w:rPr>
          <w:szCs w:val="19"/>
          <w:lang w:eastAsia="fr-FR"/>
        </w:rPr>
        <w:t xml:space="preserve"> </w:t>
      </w:r>
    </w:p>
    <w:p w:rsidR="00606EA3" w:rsidRDefault="00606EA3" w:rsidP="00606EA3">
      <w:pPr>
        <w:spacing w:before="0"/>
        <w:jc w:val="left"/>
        <w:rPr>
          <w:b/>
          <w:szCs w:val="19"/>
          <w:u w:val="single"/>
          <w:lang w:val="en-GB"/>
        </w:rPr>
      </w:pPr>
      <w:r>
        <w:rPr>
          <w:b/>
          <w:szCs w:val="19"/>
          <w:u w:val="single"/>
          <w:lang w:val="en-GB"/>
        </w:rPr>
        <w:br w:type="page"/>
      </w:r>
    </w:p>
    <w:p w:rsidR="00606EA3" w:rsidRPr="00D51FC2" w:rsidRDefault="00606EA3" w:rsidP="00606EA3">
      <w:pPr>
        <w:spacing w:before="240"/>
        <w:rPr>
          <w:b/>
          <w:szCs w:val="19"/>
          <w:u w:val="single"/>
          <w:lang w:val="en-GB"/>
        </w:rPr>
      </w:pPr>
      <w:r w:rsidRPr="00D51FC2">
        <w:rPr>
          <w:b/>
          <w:szCs w:val="19"/>
          <w:u w:val="single"/>
          <w:lang w:val="en-GB"/>
        </w:rPr>
        <w:lastRenderedPageBreak/>
        <w:t>Question 12: What technologies and/or standards could enhance the dissemination of information about climate change to those who need it?</w:t>
      </w:r>
    </w:p>
    <w:p w:rsidR="00606EA3" w:rsidRPr="00D51FC2" w:rsidRDefault="00606EA3" w:rsidP="00606EA3">
      <w:pPr>
        <w:rPr>
          <w:rFonts w:eastAsia="Times New Roman"/>
          <w:szCs w:val="19"/>
          <w:lang w:val="en-GB"/>
        </w:rPr>
      </w:pPr>
      <w:r w:rsidRPr="00D51FC2">
        <w:rPr>
          <w:rFonts w:eastAsia="Times New Roman"/>
          <w:szCs w:val="19"/>
          <w:lang w:val="en-GB"/>
        </w:rPr>
        <w:t>It seems that there is a need of a single/international standards to transmit climate change information.</w:t>
      </w:r>
    </w:p>
    <w:p w:rsidR="00606EA3" w:rsidRPr="00D51FC2" w:rsidRDefault="00606EA3" w:rsidP="00606EA3">
      <w:pPr>
        <w:autoSpaceDE w:val="0"/>
        <w:autoSpaceDN w:val="0"/>
        <w:adjustRightInd w:val="0"/>
        <w:spacing w:after="106"/>
        <w:rPr>
          <w:rFonts w:cs="Verdana"/>
          <w:color w:val="000000"/>
          <w:szCs w:val="19"/>
          <w:lang w:val="en-GB"/>
        </w:rPr>
      </w:pPr>
      <w:r w:rsidRPr="00D51FC2">
        <w:rPr>
          <w:rFonts w:cs="Verdana"/>
          <w:color w:val="000000"/>
          <w:szCs w:val="19"/>
          <w:lang w:val="en-GB"/>
        </w:rPr>
        <w:t xml:space="preserve">ICT provides a tremendous support to data collection, storage, dissemination and weather and climate modeling, which is fundamental to improve knowledge about climate change. </w:t>
      </w:r>
      <w:r w:rsidRPr="00D51FC2">
        <w:rPr>
          <w:szCs w:val="19"/>
          <w:lang w:val="en-GB"/>
        </w:rPr>
        <w:t xml:space="preserve">An efficient climate service delivery mechanism is fundamental to reach users. </w:t>
      </w:r>
    </w:p>
    <w:p w:rsidR="00606EA3" w:rsidRPr="00D51FC2" w:rsidRDefault="00606EA3" w:rsidP="00606EA3">
      <w:pPr>
        <w:pStyle w:val="Enumlevel1"/>
      </w:pPr>
      <w:r>
        <w:t>•</w:t>
      </w:r>
      <w:r>
        <w:tab/>
      </w:r>
      <w:r w:rsidRPr="00D51FC2">
        <w:t xml:space="preserve">Brazil is participating in the development and implementation of the WMO GFCS (Global Framework for Climate Services) which addresses very well the user requirements. </w:t>
      </w:r>
    </w:p>
    <w:p w:rsidR="00606EA3" w:rsidRPr="00D51FC2" w:rsidRDefault="00606EA3" w:rsidP="00606EA3">
      <w:pPr>
        <w:pStyle w:val="Enumlevel1"/>
      </w:pPr>
      <w:r>
        <w:t>•</w:t>
      </w:r>
      <w:r>
        <w:tab/>
      </w:r>
      <w:r w:rsidRPr="00D8753F">
        <w:t xml:space="preserve">Information dissemination could be improved using dedicated standards based on research documentaries, on real statistics, on the impact of climate change and carbon footprint, and the repercussion thereof on social, economic and other parameters. </w:t>
      </w:r>
    </w:p>
    <w:p w:rsidR="00606EA3" w:rsidRPr="00D8753F" w:rsidRDefault="00606EA3" w:rsidP="00606EA3">
      <w:pPr>
        <w:pStyle w:val="Enumlevel1"/>
      </w:pPr>
      <w:r>
        <w:t>•</w:t>
      </w:r>
      <w:r>
        <w:tab/>
      </w:r>
      <w:r w:rsidRPr="00D8753F">
        <w:t xml:space="preserve">Currently, there is a large variety of means to disseminate information. </w:t>
      </w:r>
      <w:r w:rsidRPr="00D51FC2">
        <w:t>The frequently Cited Solutions for Dissemination are as follows:</w:t>
      </w:r>
    </w:p>
    <w:p w:rsidR="00606EA3" w:rsidRPr="00D51FC2" w:rsidRDefault="00606EA3" w:rsidP="00606EA3">
      <w:pPr>
        <w:pStyle w:val="Enumlevel2"/>
      </w:pPr>
      <w:r>
        <w:t>–</w:t>
      </w:r>
      <w:r>
        <w:tab/>
      </w:r>
      <w:r w:rsidRPr="00D51FC2">
        <w:t xml:space="preserve">Private networks, private mobile radio and community radio </w:t>
      </w:r>
    </w:p>
    <w:p w:rsidR="00606EA3" w:rsidRPr="00D51FC2" w:rsidRDefault="00606EA3" w:rsidP="00606EA3">
      <w:pPr>
        <w:pStyle w:val="Enumlevel2"/>
      </w:pPr>
      <w:r>
        <w:t>–</w:t>
      </w:r>
      <w:r>
        <w:tab/>
      </w:r>
      <w:r w:rsidRPr="00D51FC2">
        <w:t xml:space="preserve">Interactive voice systems </w:t>
      </w:r>
    </w:p>
    <w:p w:rsidR="00606EA3" w:rsidRPr="00D51FC2" w:rsidRDefault="00606EA3" w:rsidP="00606EA3">
      <w:pPr>
        <w:pStyle w:val="Enumlevel2"/>
      </w:pPr>
      <w:r>
        <w:t>–</w:t>
      </w:r>
      <w:r>
        <w:tab/>
      </w:r>
      <w:r w:rsidRPr="00D51FC2">
        <w:t xml:space="preserve">Broadcasting; TV channels, radio… internet. </w:t>
      </w:r>
    </w:p>
    <w:p w:rsidR="00606EA3" w:rsidRPr="00D51FC2" w:rsidRDefault="00606EA3" w:rsidP="00606EA3">
      <w:pPr>
        <w:pStyle w:val="Enumlevel2"/>
      </w:pPr>
      <w:r>
        <w:t>–</w:t>
      </w:r>
      <w:r>
        <w:tab/>
      </w:r>
      <w:r w:rsidRPr="00D51FC2">
        <w:t xml:space="preserve">Satellite and terrestrial systems (2G, UMTS, HSPA/HSPA+, LTE, etc). </w:t>
      </w:r>
    </w:p>
    <w:p w:rsidR="00606EA3" w:rsidRPr="00D51FC2" w:rsidRDefault="00606EA3" w:rsidP="00606EA3">
      <w:pPr>
        <w:pStyle w:val="Enumlevel2"/>
      </w:pPr>
      <w:r>
        <w:t>–</w:t>
      </w:r>
      <w:r>
        <w:tab/>
      </w:r>
      <w:r w:rsidRPr="00D51FC2">
        <w:t xml:space="preserve">Fixed Communication Systems </w:t>
      </w:r>
    </w:p>
    <w:p w:rsidR="00606EA3" w:rsidRPr="00D51FC2" w:rsidRDefault="00606EA3" w:rsidP="00606EA3">
      <w:pPr>
        <w:pStyle w:val="Enumlevel2"/>
      </w:pPr>
      <w:r>
        <w:t>–</w:t>
      </w:r>
      <w:r>
        <w:tab/>
      </w:r>
      <w:r w:rsidRPr="00D51FC2">
        <w:t xml:space="preserve">Traditional channels indispensable to raise awareness about ICT’s potential in dissemination: leaflets, brochures, newspapers, public gatherings, workshops… </w:t>
      </w:r>
    </w:p>
    <w:p w:rsidR="00606EA3" w:rsidRPr="00D51FC2" w:rsidRDefault="00606EA3" w:rsidP="00606EA3">
      <w:pPr>
        <w:spacing w:before="240"/>
        <w:rPr>
          <w:b/>
          <w:szCs w:val="19"/>
          <w:u w:val="single"/>
          <w:lang w:val="en-GB"/>
        </w:rPr>
      </w:pPr>
      <w:r w:rsidRPr="00D51FC2">
        <w:rPr>
          <w:b/>
          <w:szCs w:val="19"/>
          <w:u w:val="single"/>
          <w:lang w:val="en-GB"/>
        </w:rPr>
        <w:t xml:space="preserve">Question 13: What are the challenges to deploying telecommunication infrastructure in rural/remote areas in your region? </w:t>
      </w:r>
    </w:p>
    <w:p w:rsidR="00606EA3" w:rsidRDefault="00606EA3" w:rsidP="00606EA3">
      <w:pPr>
        <w:rPr>
          <w:rFonts w:eastAsia="Times New Roman"/>
          <w:szCs w:val="19"/>
          <w:lang w:val="en-GB"/>
        </w:rPr>
      </w:pPr>
      <w:r w:rsidRPr="00D51FC2">
        <w:rPr>
          <w:rFonts w:eastAsia="Times New Roman"/>
          <w:szCs w:val="19"/>
          <w:lang w:val="en-GB"/>
        </w:rPr>
        <w:t>This figure shows the key challenges mainly cited.</w:t>
      </w:r>
    </w:p>
    <w:p w:rsidR="00606EA3" w:rsidRPr="000B6B25" w:rsidRDefault="00606EA3" w:rsidP="00606EA3">
      <w:pPr>
        <w:pStyle w:val="Figure"/>
        <w:rPr>
          <w:sz w:val="8"/>
          <w:szCs w:val="8"/>
        </w:rPr>
      </w:pPr>
    </w:p>
    <w:p w:rsidR="00606EA3" w:rsidRDefault="00606EA3" w:rsidP="00606EA3">
      <w:pPr>
        <w:pStyle w:val="Figure"/>
      </w:pPr>
      <w:r w:rsidRPr="00A103AE">
        <w:rPr>
          <w:noProof/>
          <w:lang w:val="en-US" w:eastAsia="zh-CN"/>
        </w:rPr>
        <w:drawing>
          <wp:inline distT="0" distB="0" distL="0" distR="0" wp14:anchorId="30FE371C" wp14:editId="2395066A">
            <wp:extent cx="5327374" cy="2480807"/>
            <wp:effectExtent l="0" t="0" r="26035" b="1524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p w:rsidR="00606EA3" w:rsidRPr="000B6B25" w:rsidRDefault="00606EA3" w:rsidP="00606EA3">
      <w:pPr>
        <w:pStyle w:val="Figure"/>
        <w:rPr>
          <w:sz w:val="8"/>
          <w:szCs w:val="8"/>
        </w:rPr>
      </w:pPr>
    </w:p>
    <w:p w:rsidR="00606EA3" w:rsidRPr="00D51FC2" w:rsidRDefault="00606EA3" w:rsidP="00606EA3">
      <w:pPr>
        <w:rPr>
          <w:rFonts w:eastAsia="Times New Roman"/>
          <w:szCs w:val="19"/>
          <w:lang w:val="en-GB"/>
        </w:rPr>
      </w:pPr>
      <w:r w:rsidRPr="00D51FC2">
        <w:rPr>
          <w:rFonts w:eastAsia="Times New Roman"/>
          <w:szCs w:val="19"/>
          <w:lang w:val="en-GB"/>
        </w:rPr>
        <w:t>Here are some key challenges mentioned by the administrations.</w:t>
      </w:r>
    </w:p>
    <w:p w:rsidR="00606EA3" w:rsidRPr="00D51FC2" w:rsidRDefault="00606EA3" w:rsidP="00606EA3">
      <w:pPr>
        <w:rPr>
          <w:lang w:val="en-GB"/>
        </w:rPr>
      </w:pPr>
      <w:r w:rsidRPr="00D51FC2">
        <w:rPr>
          <w:lang w:val="en-GB"/>
        </w:rPr>
        <w:t xml:space="preserve">Ecuador: High operating costs for the introduction and deployment of telecommunication centers in rural areas of Ecuador. </w:t>
      </w:r>
    </w:p>
    <w:p w:rsidR="00606EA3" w:rsidRPr="00D51FC2" w:rsidRDefault="00606EA3" w:rsidP="00606EA3">
      <w:pPr>
        <w:rPr>
          <w:lang w:val="en-US"/>
        </w:rPr>
      </w:pPr>
      <w:r w:rsidRPr="00D51FC2">
        <w:rPr>
          <w:rFonts w:eastAsia="Times New Roman"/>
          <w:lang w:val="en-US"/>
        </w:rPr>
        <w:lastRenderedPageBreak/>
        <w:t xml:space="preserve">Qatar: </w:t>
      </w:r>
      <w:r w:rsidRPr="00D51FC2">
        <w:rPr>
          <w:lang w:val="en-US"/>
        </w:rPr>
        <w:t xml:space="preserve">No wire-line communications can be deployed to remote desert areas. These areas can only be covered by wireless networks </w:t>
      </w:r>
    </w:p>
    <w:p w:rsidR="00606EA3" w:rsidRPr="00D51FC2" w:rsidRDefault="00606EA3" w:rsidP="00606EA3">
      <w:pPr>
        <w:rPr>
          <w:rFonts w:eastAsiaTheme="minorHAnsi"/>
          <w:lang w:val="en-US"/>
        </w:rPr>
      </w:pPr>
      <w:r w:rsidRPr="00D51FC2">
        <w:rPr>
          <w:rFonts w:eastAsia="Times New Roman"/>
          <w:lang w:val="en-US"/>
        </w:rPr>
        <w:t xml:space="preserve">Burkina-Faso: </w:t>
      </w:r>
      <w:r w:rsidRPr="00D51FC2">
        <w:rPr>
          <w:rFonts w:eastAsiaTheme="minorHAnsi"/>
          <w:lang w:val="en-US"/>
        </w:rPr>
        <w:t xml:space="preserve">Access to electricity: the relatively underdeveloped electric power grid does not cover most rural areas. </w:t>
      </w:r>
      <w:r w:rsidRPr="00D51FC2">
        <w:rPr>
          <w:lang w:val="en-US"/>
        </w:rPr>
        <w:t>Expense of power backup: Solar energy equipment and generators are expensive. Low average income: in general the population</w:t>
      </w:r>
      <w:r w:rsidRPr="00D51FC2">
        <w:rPr>
          <w:rFonts w:cs="Cambria Math"/>
          <w:lang w:val="en-US"/>
        </w:rPr>
        <w:t>’</w:t>
      </w:r>
      <w:r w:rsidRPr="00D51FC2">
        <w:rPr>
          <w:lang w:val="en-US"/>
        </w:rPr>
        <w:t xml:space="preserve">s purchasing power is low </w:t>
      </w:r>
    </w:p>
    <w:p w:rsidR="00606EA3" w:rsidRPr="00D51FC2" w:rsidRDefault="00606EA3" w:rsidP="00606EA3">
      <w:pPr>
        <w:rPr>
          <w:lang w:val="en-US"/>
        </w:rPr>
      </w:pPr>
      <w:r w:rsidRPr="00D51FC2">
        <w:rPr>
          <w:rFonts w:eastAsia="Times New Roman"/>
          <w:lang w:val="en-US"/>
        </w:rPr>
        <w:t xml:space="preserve">Lesotho: </w:t>
      </w:r>
      <w:r w:rsidRPr="00D51FC2">
        <w:rPr>
          <w:lang w:val="en-US"/>
        </w:rPr>
        <w:t xml:space="preserve">Rural areas experience the scarcity/absence of public facilities such as reliable electricity supply, access roads and regular transport. Scarcity of technical personnel. Difficult topographical conditions - construction of wire telecom networks become costly.  Severe climatic conditions make critical demands on the telecom equipment. The initial capital cost of electricity and the purchase ICT devices is high. Lack of ICT usage skills </w:t>
      </w:r>
    </w:p>
    <w:p w:rsidR="00606EA3" w:rsidRPr="00D51FC2" w:rsidRDefault="00606EA3" w:rsidP="00606EA3">
      <w:pPr>
        <w:rPr>
          <w:b/>
          <w:szCs w:val="19"/>
          <w:u w:val="single"/>
          <w:lang w:val="en-GB"/>
        </w:rPr>
      </w:pPr>
      <w:r w:rsidRPr="00D51FC2">
        <w:rPr>
          <w:b/>
          <w:szCs w:val="19"/>
          <w:u w:val="single"/>
          <w:lang w:val="en-GB"/>
        </w:rPr>
        <w:t xml:space="preserve">Question 14: What primary and backup energy sources are available in your rural/remote areas? </w:t>
      </w:r>
    </w:p>
    <w:p w:rsidR="00606EA3" w:rsidRPr="00383297" w:rsidRDefault="00606EA3" w:rsidP="00606EA3">
      <w:pPr>
        <w:pStyle w:val="Enumlevel1"/>
        <w:rPr>
          <w:lang w:val="en-US"/>
        </w:rPr>
      </w:pPr>
      <w:r>
        <w:t>•</w:t>
      </w:r>
      <w:r>
        <w:tab/>
      </w:r>
      <w:r w:rsidRPr="00D51FC2">
        <w:t>Diesel : 39%</w:t>
      </w:r>
    </w:p>
    <w:p w:rsidR="00606EA3" w:rsidRPr="00D51FC2" w:rsidRDefault="00606EA3" w:rsidP="00606EA3">
      <w:pPr>
        <w:pStyle w:val="Enumlevel1"/>
      </w:pPr>
      <w:r>
        <w:t>•</w:t>
      </w:r>
      <w:r>
        <w:tab/>
      </w:r>
      <w:r w:rsidRPr="00D51FC2">
        <w:t>Wind: 18%</w:t>
      </w:r>
    </w:p>
    <w:p w:rsidR="00606EA3" w:rsidRPr="00D51FC2" w:rsidRDefault="00606EA3" w:rsidP="00606EA3">
      <w:pPr>
        <w:pStyle w:val="Enumlevel1"/>
      </w:pPr>
      <w:r>
        <w:t>•</w:t>
      </w:r>
      <w:r>
        <w:tab/>
      </w:r>
      <w:r w:rsidRPr="00D51FC2">
        <w:t>Solar : 29%</w:t>
      </w:r>
    </w:p>
    <w:p w:rsidR="00606EA3" w:rsidRPr="00D51FC2" w:rsidRDefault="00606EA3" w:rsidP="00606EA3">
      <w:pPr>
        <w:pStyle w:val="Enumlevel1"/>
      </w:pPr>
      <w:r>
        <w:t>•</w:t>
      </w:r>
      <w:r>
        <w:tab/>
      </w:r>
      <w:r w:rsidRPr="00D51FC2">
        <w:t>Others: 14%</w:t>
      </w:r>
    </w:p>
    <w:p w:rsidR="00606EA3" w:rsidRPr="00D51FC2" w:rsidRDefault="00606EA3" w:rsidP="00606EA3">
      <w:pPr>
        <w:rPr>
          <w:b/>
          <w:szCs w:val="19"/>
          <w:u w:val="single"/>
          <w:lang w:val="en-GB"/>
        </w:rPr>
      </w:pPr>
      <w:r w:rsidRPr="00D51FC2">
        <w:rPr>
          <w:b/>
          <w:szCs w:val="19"/>
          <w:u w:val="single"/>
          <w:lang w:val="en-GB"/>
        </w:rPr>
        <w:t xml:space="preserve">Question 15: What types of telecom/mobile systems are needed to allow enhanced access to information concerning climate change or extreme weather events in rural/remote regions? </w:t>
      </w:r>
    </w:p>
    <w:p w:rsidR="00606EA3" w:rsidRPr="00F528EA" w:rsidRDefault="00606EA3" w:rsidP="00606EA3">
      <w:pPr>
        <w:pStyle w:val="Enumlevel1"/>
      </w:pPr>
      <w:r>
        <w:t>•</w:t>
      </w:r>
      <w:r>
        <w:tab/>
      </w:r>
      <w:r w:rsidRPr="00F528EA">
        <w:t xml:space="preserve">Radio and regular mobile systems. </w:t>
      </w:r>
    </w:p>
    <w:p w:rsidR="00606EA3" w:rsidRPr="00F528EA" w:rsidRDefault="00606EA3" w:rsidP="00606EA3">
      <w:pPr>
        <w:pStyle w:val="Enumlevel1"/>
      </w:pPr>
      <w:r>
        <w:t>•</w:t>
      </w:r>
      <w:r>
        <w:tab/>
      </w:r>
      <w:r w:rsidRPr="00F528EA">
        <w:t xml:space="preserve">Full coverage of UMTS/satellite networks </w:t>
      </w:r>
    </w:p>
    <w:p w:rsidR="00606EA3" w:rsidRPr="00F528EA" w:rsidRDefault="00606EA3" w:rsidP="00606EA3">
      <w:pPr>
        <w:pStyle w:val="Enumlevel1"/>
      </w:pPr>
      <w:r>
        <w:t>•</w:t>
      </w:r>
      <w:r>
        <w:tab/>
      </w:r>
      <w:r w:rsidRPr="00F528EA">
        <w:t xml:space="preserve">Wireless technology such as GSM/3G, trunk radio systems or Wimax. </w:t>
      </w:r>
    </w:p>
    <w:p w:rsidR="00606EA3" w:rsidRPr="00F528EA" w:rsidRDefault="00606EA3" w:rsidP="00606EA3">
      <w:pPr>
        <w:pStyle w:val="Enumlevel1"/>
      </w:pPr>
      <w:r>
        <w:t>•</w:t>
      </w:r>
      <w:r>
        <w:tab/>
      </w:r>
      <w:r w:rsidRPr="00F528EA">
        <w:t xml:space="preserve">Access to broadband networks are the foundation for enhancing access to information concerning climate change </w:t>
      </w:r>
    </w:p>
    <w:p w:rsidR="00606EA3" w:rsidRPr="00D51FC2" w:rsidRDefault="00606EA3" w:rsidP="00606EA3">
      <w:pPr>
        <w:pStyle w:val="Enumlevel1"/>
      </w:pPr>
      <w:r>
        <w:t>•</w:t>
      </w:r>
      <w:r>
        <w:tab/>
      </w:r>
      <w:r w:rsidRPr="00F528EA">
        <w:t>Lo</w:t>
      </w:r>
      <w:r w:rsidRPr="00D51FC2">
        <w:t xml:space="preserve">ng distance wireless links are very useful, given the distances in many remote regions </w:t>
      </w:r>
    </w:p>
    <w:p w:rsidR="00606EA3" w:rsidRPr="00D51FC2" w:rsidRDefault="00606EA3" w:rsidP="00606EA3">
      <w:pPr>
        <w:rPr>
          <w:b/>
          <w:szCs w:val="19"/>
          <w:u w:val="single"/>
          <w:lang w:val="en-GB"/>
        </w:rPr>
      </w:pPr>
      <w:r w:rsidRPr="00D51FC2">
        <w:rPr>
          <w:b/>
          <w:szCs w:val="19"/>
          <w:u w:val="single"/>
          <w:lang w:val="en-GB"/>
        </w:rPr>
        <w:t xml:space="preserve">Question 16: What are the educational opportunities in rural/remote regions to train individuals in the use of ICTs for adaptation to climate change? </w:t>
      </w:r>
    </w:p>
    <w:p w:rsidR="00606EA3" w:rsidRPr="00F528EA" w:rsidRDefault="00606EA3" w:rsidP="00606EA3">
      <w:pPr>
        <w:pStyle w:val="Enumlevel1"/>
      </w:pPr>
      <w:r>
        <w:t>•</w:t>
      </w:r>
      <w:r>
        <w:tab/>
      </w:r>
      <w:r w:rsidRPr="00F528EA">
        <w:t xml:space="preserve">These opportunities are very underdeveloped. Broadcasting plays a major role in raising the population’s awareness of climate change. </w:t>
      </w:r>
    </w:p>
    <w:p w:rsidR="00606EA3" w:rsidRPr="00F528EA" w:rsidRDefault="00606EA3" w:rsidP="00606EA3">
      <w:pPr>
        <w:pStyle w:val="Enumlevel1"/>
      </w:pPr>
      <w:r>
        <w:t>•</w:t>
      </w:r>
      <w:r>
        <w:tab/>
      </w:r>
      <w:r w:rsidRPr="00F528EA">
        <w:t xml:space="preserve">This could be done through the training given in the Computer Training Centers. The trainers should be trained first to be able to educate individuals about the use of ICTs for adaptation to climate change. </w:t>
      </w:r>
    </w:p>
    <w:p w:rsidR="00606EA3" w:rsidRPr="00D51FC2" w:rsidRDefault="00606EA3" w:rsidP="00606EA3">
      <w:pPr>
        <w:pStyle w:val="Enumlevel1"/>
      </w:pPr>
      <w:r>
        <w:t>•</w:t>
      </w:r>
      <w:r>
        <w:tab/>
      </w:r>
      <w:r w:rsidRPr="00F528EA">
        <w:t>C</w:t>
      </w:r>
      <w:r w:rsidRPr="00D51FC2">
        <w:t>an be done through village schools (Television, Mobile Communications)</w:t>
      </w:r>
    </w:p>
    <w:p w:rsidR="00606EA3" w:rsidRPr="00D51FC2" w:rsidRDefault="00606EA3" w:rsidP="00606EA3">
      <w:pPr>
        <w:rPr>
          <w:b/>
          <w:szCs w:val="19"/>
          <w:u w:val="single"/>
          <w:lang w:val="en-GB"/>
        </w:rPr>
      </w:pPr>
      <w:r w:rsidRPr="00D51FC2">
        <w:rPr>
          <w:b/>
          <w:szCs w:val="19"/>
          <w:u w:val="single"/>
          <w:lang w:val="en-GB"/>
        </w:rPr>
        <w:t xml:space="preserve">Question 17: Some systems are specifically developed for developing countries. What are the specifications and features that are essential in rural/remote regions in your country? </w:t>
      </w:r>
    </w:p>
    <w:p w:rsidR="00606EA3" w:rsidRPr="00F528EA" w:rsidRDefault="00606EA3" w:rsidP="00606EA3">
      <w:pPr>
        <w:pStyle w:val="Enumlevel1"/>
      </w:pPr>
      <w:r>
        <w:t>•</w:t>
      </w:r>
      <w:r>
        <w:tab/>
      </w:r>
      <w:r w:rsidRPr="00F528EA">
        <w:t xml:space="preserve">Low power consumption, ease of deployment in rural areas with low and scattered populations (cost factor). </w:t>
      </w:r>
    </w:p>
    <w:p w:rsidR="00606EA3" w:rsidRPr="00F528EA" w:rsidRDefault="00606EA3" w:rsidP="00606EA3">
      <w:pPr>
        <w:pStyle w:val="Enumlevel1"/>
      </w:pPr>
      <w:r>
        <w:t>•</w:t>
      </w:r>
      <w:r>
        <w:tab/>
      </w:r>
      <w:r w:rsidRPr="00F528EA">
        <w:t xml:space="preserve">Low energy consumption, running on solar power; robust and extremely watertight. </w:t>
      </w:r>
    </w:p>
    <w:p w:rsidR="00606EA3" w:rsidRPr="00F528EA" w:rsidRDefault="00606EA3" w:rsidP="00606EA3">
      <w:pPr>
        <w:pStyle w:val="Enumlevel1"/>
      </w:pPr>
      <w:r>
        <w:t>•</w:t>
      </w:r>
      <w:r>
        <w:tab/>
      </w:r>
      <w:r w:rsidRPr="00F528EA">
        <w:t xml:space="preserve">Special system for desertification and high temperature areas </w:t>
      </w:r>
    </w:p>
    <w:p w:rsidR="00606EA3" w:rsidRPr="00F528EA" w:rsidRDefault="00606EA3" w:rsidP="00606EA3">
      <w:pPr>
        <w:pStyle w:val="Enumlevel1"/>
      </w:pPr>
      <w:r>
        <w:t>•</w:t>
      </w:r>
      <w:r>
        <w:tab/>
      </w:r>
      <w:r w:rsidRPr="00F528EA">
        <w:t>High r</w:t>
      </w:r>
      <w:r w:rsidRPr="00A103AE">
        <w:t>eliability of equipment requires less energy expense for maintenance and replacements</w:t>
      </w:r>
      <w:r w:rsidRPr="00F528EA">
        <w:t xml:space="preserve">. Simplicity drives costs down. </w:t>
      </w:r>
    </w:p>
    <w:p w:rsidR="00606EA3" w:rsidRPr="00D51FC2" w:rsidRDefault="00606EA3" w:rsidP="00606EA3">
      <w:pPr>
        <w:pStyle w:val="Enumlevel1"/>
      </w:pPr>
      <w:r>
        <w:t>•</w:t>
      </w:r>
      <w:r>
        <w:tab/>
      </w:r>
      <w:r w:rsidRPr="00F528EA">
        <w:t>Robust to withstand very hot weather conditions and serious power surges. Ability to withstand high lightening voltages, especially during rainy seasons. Wireless based systems and use of low f</w:t>
      </w:r>
      <w:r w:rsidRPr="00D51FC2">
        <w:t xml:space="preserve">requency bands to cover the vast mountainous rural areas. Simple and user friendly. </w:t>
      </w:r>
    </w:p>
    <w:p w:rsidR="00606EA3" w:rsidRPr="00383297" w:rsidRDefault="00606EA3" w:rsidP="00606EA3">
      <w:pPr>
        <w:spacing w:before="0"/>
        <w:rPr>
          <w:rFonts w:eastAsia="Times New Roman"/>
          <w:b/>
          <w:szCs w:val="19"/>
          <w:u w:val="single"/>
          <w:lang w:val="en-US"/>
        </w:rPr>
      </w:pPr>
      <w:r w:rsidRPr="00383297">
        <w:rPr>
          <w:rFonts w:eastAsia="Times New Roman"/>
          <w:b/>
          <w:szCs w:val="19"/>
          <w:u w:val="single"/>
          <w:lang w:val="en-US"/>
        </w:rPr>
        <w:br w:type="page"/>
      </w:r>
    </w:p>
    <w:p w:rsidR="00606EA3" w:rsidRPr="00006784" w:rsidRDefault="00606EA3" w:rsidP="00606EA3">
      <w:pPr>
        <w:pStyle w:val="Heading1"/>
        <w:spacing w:before="0"/>
        <w:ind w:left="851" w:hanging="851"/>
      </w:pPr>
      <w:bookmarkStart w:id="40" w:name="_Toc377721055"/>
      <w:bookmarkStart w:id="41" w:name="_Toc377976441"/>
      <w:r w:rsidRPr="00006784">
        <w:lastRenderedPageBreak/>
        <w:t>A</w:t>
      </w:r>
      <w:r w:rsidRPr="0023606E">
        <w:t>n</w:t>
      </w:r>
      <w:r w:rsidRPr="00006784">
        <w:t xml:space="preserve">nex 4: </w:t>
      </w:r>
      <w:r>
        <w:tab/>
      </w:r>
      <w:r w:rsidRPr="00006784">
        <w:t>ICT footprint</w:t>
      </w:r>
      <w:bookmarkEnd w:id="40"/>
      <w:bookmarkEnd w:id="41"/>
    </w:p>
    <w:p w:rsidR="00606EA3" w:rsidRPr="00383297" w:rsidRDefault="00606EA3" w:rsidP="00606EA3">
      <w:pPr>
        <w:pStyle w:val="Heading2"/>
      </w:pPr>
      <w:bookmarkStart w:id="42" w:name="_Toc377721056"/>
      <w:bookmarkStart w:id="43" w:name="_Toc377976442"/>
      <w:r w:rsidRPr="00383297">
        <w:t>4.1</w:t>
      </w:r>
      <w:r w:rsidRPr="00383297">
        <w:tab/>
        <w:t>Overview</w:t>
      </w:r>
      <w:bookmarkEnd w:id="42"/>
      <w:bookmarkEnd w:id="43"/>
    </w:p>
    <w:p w:rsidR="00606EA3" w:rsidRDefault="00606EA3" w:rsidP="00606EA3">
      <w:pPr>
        <w:rPr>
          <w:szCs w:val="19"/>
          <w:lang w:val="en"/>
        </w:rPr>
      </w:pPr>
      <w:r w:rsidRPr="00D51FC2">
        <w:rPr>
          <w:szCs w:val="19"/>
          <w:lang w:val="en"/>
        </w:rPr>
        <w:t>According to the report "Impacts of Information and Communication Technologies on Energy Efficiency" produced by BIO Intelligence Service (specializing in research and consultancy services in the field of information relating to environmental and health products) for the European Commission in 2008, information technology and communication (or ICT) accounted for 2% of the emissions of greenhouse gas emissions in Europe in 2005.</w:t>
      </w:r>
    </w:p>
    <w:p w:rsidR="00606EA3" w:rsidRPr="00D51FC2" w:rsidRDefault="00606EA3" w:rsidP="00606EA3">
      <w:pPr>
        <w:rPr>
          <w:szCs w:val="19"/>
          <w:lang w:val="en"/>
        </w:rPr>
      </w:pPr>
      <w:r w:rsidRPr="00D51FC2">
        <w:rPr>
          <w:szCs w:val="19"/>
          <w:lang w:val="en"/>
        </w:rPr>
        <w:t>According to the conclusions of the report, by 2020, this share could reach nearly 4% as a likely scenario ("business as usual" - no modification of current behaviors and habits), against nearly 3% in economy scenario (effective solutions). However, ICT is now an integral part of our professional and personal lives. Given that these new practices are called to grow, their impact on the environment is becoming a major concern.</w:t>
      </w:r>
    </w:p>
    <w:p w:rsidR="00606EA3" w:rsidRPr="00D51FC2" w:rsidRDefault="00606EA3" w:rsidP="00606EA3">
      <w:pPr>
        <w:pStyle w:val="Heading2"/>
      </w:pPr>
      <w:bookmarkStart w:id="44" w:name="_Toc377721057"/>
      <w:bookmarkStart w:id="45" w:name="_Toc377976443"/>
      <w:r w:rsidRPr="002A103D">
        <w:t>4.2</w:t>
      </w:r>
      <w:r w:rsidRPr="002A103D">
        <w:tab/>
      </w:r>
      <w:r w:rsidRPr="00D51FC2">
        <w:t>e-mail</w:t>
      </w:r>
      <w:bookmarkEnd w:id="44"/>
      <w:bookmarkEnd w:id="45"/>
    </w:p>
    <w:p w:rsidR="00606EA3" w:rsidRDefault="00606EA3" w:rsidP="00606EA3">
      <w:pPr>
        <w:rPr>
          <w:szCs w:val="19"/>
          <w:lang w:val="en"/>
        </w:rPr>
      </w:pPr>
      <w:r w:rsidRPr="00D51FC2">
        <w:rPr>
          <w:szCs w:val="19"/>
          <w:lang w:val="en"/>
        </w:rPr>
        <w:t>On average, 247 billion e-mails were sent each day in the world in 2009, taking into account the spam, and this figure is expected to climb to 507 billion by 2013. In France, every employee in a company of 100 people, receives an average of 58 emails a day and send 33, whose average size is 1 MB. The sending of these emails has an effect on the gas emissions greenhouse. If we consider that each employee works 220 days a year, these emails are 13.6 t CO</w:t>
      </w:r>
      <w:r w:rsidRPr="00DE0E49">
        <w:rPr>
          <w:szCs w:val="19"/>
          <w:vertAlign w:val="subscript"/>
          <w:lang w:val="en"/>
        </w:rPr>
        <w:t>2</w:t>
      </w:r>
      <w:r w:rsidRPr="00D51FC2">
        <w:rPr>
          <w:szCs w:val="19"/>
          <w:lang w:val="en"/>
        </w:rPr>
        <w:t xml:space="preserve"> equivalent.</w:t>
      </w:r>
    </w:p>
    <w:p w:rsidR="00606EA3" w:rsidRDefault="00606EA3" w:rsidP="00606EA3">
      <w:pPr>
        <w:rPr>
          <w:szCs w:val="19"/>
          <w:lang w:val="en"/>
        </w:rPr>
      </w:pPr>
      <w:r w:rsidRPr="00D51FC2">
        <w:rPr>
          <w:szCs w:val="19"/>
          <w:lang w:val="en"/>
        </w:rPr>
        <w:t>10% reduction in sending emails systematically including his manager and one of his colleagues in a company of 100 people saves about 1 ton of CO</w:t>
      </w:r>
      <w:r w:rsidRPr="00DE0E49">
        <w:rPr>
          <w:szCs w:val="19"/>
          <w:vertAlign w:val="subscript"/>
          <w:lang w:val="en"/>
        </w:rPr>
        <w:t>2</w:t>
      </w:r>
      <w:r w:rsidRPr="00D51FC2">
        <w:rPr>
          <w:szCs w:val="19"/>
          <w:lang w:val="en"/>
        </w:rPr>
        <w:t xml:space="preserve"> equivalent over the year (approximately one round-trip Paris / New York).</w:t>
      </w:r>
    </w:p>
    <w:p w:rsidR="00606EA3" w:rsidRDefault="00606EA3" w:rsidP="00606EA3">
      <w:pPr>
        <w:rPr>
          <w:szCs w:val="19"/>
          <w:lang w:val="en"/>
        </w:rPr>
      </w:pPr>
      <w:r w:rsidRPr="00D51FC2">
        <w:rPr>
          <w:szCs w:val="19"/>
          <w:lang w:val="en"/>
        </w:rPr>
        <w:t>The case of a French company that an employee sends an email of 1 MB to several people (10 and 100) was studied. The results showed that to increase the number of recipients multiplied by four the impact on climate change.</w:t>
      </w:r>
    </w:p>
    <w:p w:rsidR="00606EA3" w:rsidRPr="00D51FC2" w:rsidRDefault="00606EA3" w:rsidP="00606EA3">
      <w:pPr>
        <w:rPr>
          <w:szCs w:val="19"/>
          <w:lang w:val="en"/>
        </w:rPr>
      </w:pPr>
      <w:r w:rsidRPr="00D51FC2">
        <w:rPr>
          <w:szCs w:val="19"/>
          <w:lang w:val="en"/>
        </w:rPr>
        <w:t>To obtain more accurate data, the scenarios evaluated the difference in the incidence depending on whether you send an email from 1 MB to 1, 2 or 3 recipients. Each sending an email to an additional recipient produces about 6 g of CO</w:t>
      </w:r>
      <w:r w:rsidRPr="00DE0E49">
        <w:rPr>
          <w:szCs w:val="19"/>
          <w:vertAlign w:val="subscript"/>
          <w:lang w:val="en"/>
        </w:rPr>
        <w:t>2</w:t>
      </w:r>
      <w:r w:rsidRPr="00D51FC2">
        <w:rPr>
          <w:szCs w:val="19"/>
          <w:lang w:val="en"/>
        </w:rPr>
        <w:t xml:space="preserve"> equivalent, which represents nearly 44 kg of CO</w:t>
      </w:r>
      <w:r w:rsidRPr="00DE0E49">
        <w:rPr>
          <w:szCs w:val="19"/>
          <w:vertAlign w:val="subscript"/>
          <w:lang w:val="en"/>
        </w:rPr>
        <w:t>2</w:t>
      </w:r>
      <w:r w:rsidRPr="00D51FC2">
        <w:rPr>
          <w:szCs w:val="19"/>
          <w:lang w:val="en"/>
        </w:rPr>
        <w:t xml:space="preserve"> equivalent per employee per year.</w:t>
      </w:r>
    </w:p>
    <w:p w:rsidR="00606EA3" w:rsidRPr="00D51FC2" w:rsidRDefault="00606EA3" w:rsidP="00606EA3">
      <w:pPr>
        <w:pStyle w:val="Heading2"/>
      </w:pPr>
      <w:bookmarkStart w:id="46" w:name="_Toc377721058"/>
      <w:bookmarkStart w:id="47" w:name="_Toc377976444"/>
      <w:r w:rsidRPr="002A103D">
        <w:t>4.3</w:t>
      </w:r>
      <w:r w:rsidRPr="002A103D">
        <w:tab/>
      </w:r>
      <w:r w:rsidRPr="00D51FC2">
        <w:t>Research on the Internet</w:t>
      </w:r>
      <w:bookmarkEnd w:id="46"/>
      <w:bookmarkEnd w:id="47"/>
    </w:p>
    <w:p w:rsidR="00606EA3" w:rsidRDefault="00606EA3" w:rsidP="00606EA3">
      <w:pPr>
        <w:rPr>
          <w:szCs w:val="19"/>
          <w:lang w:val="en"/>
        </w:rPr>
      </w:pPr>
      <w:r w:rsidRPr="00D51FC2">
        <w:rPr>
          <w:szCs w:val="19"/>
          <w:lang w:val="en"/>
        </w:rPr>
        <w:t>The Internet is like: it browses endless page to page and from link to link. A French user performs on average 2.66 Internet searches per day, 949 searches per year, according to Médiamétrie.</w:t>
      </w:r>
    </w:p>
    <w:p w:rsidR="00606EA3" w:rsidRPr="00D51FC2" w:rsidRDefault="00606EA3" w:rsidP="00606EA3">
      <w:pPr>
        <w:rPr>
          <w:szCs w:val="19"/>
          <w:lang w:val="en"/>
        </w:rPr>
      </w:pPr>
      <w:r w:rsidRPr="00D51FC2">
        <w:rPr>
          <w:szCs w:val="19"/>
          <w:lang w:val="en"/>
        </w:rPr>
        <w:t>Surfing the Internet is therefore polluting the environment in the sense that servers consume electricity and generate heat. According to ADEME, seeking information via a search engine is the final 9.9 kg CO</w:t>
      </w:r>
      <w:r w:rsidRPr="00DE0E49">
        <w:rPr>
          <w:szCs w:val="19"/>
          <w:vertAlign w:val="subscript"/>
          <w:lang w:val="en"/>
        </w:rPr>
        <w:t>2</w:t>
      </w:r>
      <w:r w:rsidRPr="00D51FC2">
        <w:rPr>
          <w:szCs w:val="19"/>
          <w:lang w:val="en"/>
        </w:rPr>
        <w:t xml:space="preserve"> equivalent per year per user. How to reduce this impact? Use specific keywords in searches, enter the address directly into the navigation bar if known, record the sites that are oft</w:t>
      </w:r>
      <w:r>
        <w:rPr>
          <w:szCs w:val="19"/>
          <w:lang w:val="en"/>
        </w:rPr>
        <w:t>en used in his "favorites": all </w:t>
      </w:r>
      <w:r w:rsidRPr="00D51FC2">
        <w:rPr>
          <w:szCs w:val="19"/>
          <w:lang w:val="en"/>
        </w:rPr>
        <w:t>actions that can earn 5 kg equivalent CO</w:t>
      </w:r>
      <w:r w:rsidRPr="00DE0E49">
        <w:rPr>
          <w:szCs w:val="19"/>
          <w:vertAlign w:val="subscript"/>
          <w:lang w:val="en"/>
        </w:rPr>
        <w:t>2</w:t>
      </w:r>
      <w:r w:rsidRPr="00D51FC2">
        <w:rPr>
          <w:szCs w:val="19"/>
          <w:lang w:val="en"/>
        </w:rPr>
        <w:t xml:space="preserve"> per year per person.</w:t>
      </w:r>
    </w:p>
    <w:p w:rsidR="00606EA3" w:rsidRDefault="00606EA3" w:rsidP="00606EA3">
      <w:pPr>
        <w:spacing w:before="0"/>
        <w:jc w:val="left"/>
        <w:rPr>
          <w:rFonts w:eastAsia="Times New Roman" w:cs="Helvetica"/>
          <w:b/>
          <w:bCs/>
          <w:color w:val="005173"/>
          <w:sz w:val="24"/>
          <w:szCs w:val="32"/>
          <w:lang w:val="en-US"/>
        </w:rPr>
      </w:pPr>
      <w:bookmarkStart w:id="48" w:name="_Toc377721059"/>
      <w:bookmarkStart w:id="49" w:name="_Toc377976445"/>
      <w:r w:rsidRPr="00487360">
        <w:rPr>
          <w:lang w:val="en-US"/>
        </w:rPr>
        <w:br w:type="page"/>
      </w:r>
    </w:p>
    <w:p w:rsidR="00606EA3" w:rsidRPr="00D51FC2" w:rsidRDefault="00606EA3" w:rsidP="00606EA3">
      <w:pPr>
        <w:pStyle w:val="Heading2"/>
      </w:pPr>
      <w:r w:rsidRPr="002A103D">
        <w:lastRenderedPageBreak/>
        <w:t>4.4</w:t>
      </w:r>
      <w:r w:rsidRPr="002A103D">
        <w:tab/>
      </w:r>
      <w:r w:rsidRPr="00D51FC2">
        <w:t>USB key</w:t>
      </w:r>
      <w:bookmarkEnd w:id="48"/>
      <w:bookmarkEnd w:id="49"/>
    </w:p>
    <w:p w:rsidR="00606EA3" w:rsidRDefault="00606EA3" w:rsidP="00606EA3">
      <w:pPr>
        <w:rPr>
          <w:bCs/>
          <w:lang w:val="en" w:eastAsia="en-GB"/>
        </w:rPr>
      </w:pPr>
      <w:r w:rsidRPr="00D51FC2">
        <w:rPr>
          <w:lang w:val="en" w:eastAsia="en-GB"/>
        </w:rPr>
        <w:t>This use far less studied for both the impact of the production of a USB drive and play files it can store. Total transmit a 10 MB document to a person by USB 512MB emits 11 grams of CO</w:t>
      </w:r>
      <w:r w:rsidRPr="00DE0E49">
        <w:rPr>
          <w:vertAlign w:val="subscript"/>
          <w:lang w:val="en" w:eastAsia="en-GB"/>
        </w:rPr>
        <w:t>2</w:t>
      </w:r>
      <w:r w:rsidRPr="00D51FC2">
        <w:rPr>
          <w:lang w:val="en" w:eastAsia="en-GB"/>
        </w:rPr>
        <w:t xml:space="preserve"> equivalent. In the case of a file sent to 1000 people at a conference, for example, emissions rise and equivalent to those generated by a journey of 80 km by car.</w:t>
      </w:r>
    </w:p>
    <w:p w:rsidR="00606EA3" w:rsidRPr="00D51FC2" w:rsidRDefault="00606EA3" w:rsidP="00606EA3">
      <w:pPr>
        <w:spacing w:before="0"/>
        <w:rPr>
          <w:rFonts w:eastAsia="Times New Roman"/>
          <w:bCs/>
          <w:szCs w:val="19"/>
          <w:lang w:val="en-GB" w:eastAsia="en-GB"/>
        </w:rPr>
      </w:pPr>
      <w:r w:rsidRPr="00D51FC2">
        <w:rPr>
          <w:rFonts w:eastAsia="Times New Roman"/>
          <w:szCs w:val="19"/>
          <w:lang w:val="en" w:eastAsia="en-GB"/>
        </w:rPr>
        <w:t>How to explain this impact? Production of the USB requires a lot of energy, water and rare metals. This is the position most polluting lifecycle. Then the energy consumption of the computer that is used the key. According to ADEME, if the time to read the document does not exceed 2 to 3 minutes per page, screen reading is the one that has the least impact on climate change. In addition, the document is printed in black and white, double-sided and two pages per sheet becomes preferable to reduce emissions.</w:t>
      </w:r>
    </w:p>
    <w:p w:rsidR="00606EA3" w:rsidRPr="00006784" w:rsidRDefault="00606EA3" w:rsidP="00606EA3">
      <w:pPr>
        <w:pStyle w:val="Heading1"/>
        <w:spacing w:before="0"/>
        <w:ind w:left="851" w:hanging="851"/>
      </w:pPr>
      <w:r w:rsidRPr="00D51FC2">
        <w:rPr>
          <w:lang w:val="en-GB"/>
        </w:rPr>
        <w:br w:type="page"/>
      </w:r>
      <w:bookmarkStart w:id="50" w:name="_Toc377721060"/>
      <w:bookmarkStart w:id="51" w:name="_Toc377976446"/>
      <w:r w:rsidRPr="00006784">
        <w:lastRenderedPageBreak/>
        <w:t xml:space="preserve">Annex 5: </w:t>
      </w:r>
      <w:r>
        <w:tab/>
      </w:r>
      <w:r w:rsidRPr="00006784">
        <w:t>Green ICT</w:t>
      </w:r>
      <w:bookmarkEnd w:id="50"/>
      <w:bookmarkEnd w:id="51"/>
    </w:p>
    <w:p w:rsidR="00606EA3" w:rsidRPr="006228E3" w:rsidRDefault="00606EA3" w:rsidP="00606EA3">
      <w:pPr>
        <w:pStyle w:val="Heading2"/>
      </w:pPr>
      <w:bookmarkStart w:id="52" w:name="_Toc377721061"/>
      <w:bookmarkStart w:id="53" w:name="_Toc377976447"/>
      <w:r w:rsidRPr="006228E3">
        <w:t>5.1</w:t>
      </w:r>
      <w:r w:rsidRPr="006228E3">
        <w:tab/>
        <w:t>Moving beyond the established diesel generator paradigm</w:t>
      </w:r>
      <w:bookmarkEnd w:id="52"/>
      <w:bookmarkEnd w:id="53"/>
    </w:p>
    <w:p w:rsidR="00606EA3" w:rsidRPr="002A103D" w:rsidRDefault="00606EA3" w:rsidP="00606EA3">
      <w:pPr>
        <w:rPr>
          <w:szCs w:val="19"/>
          <w:lang w:val="en-US"/>
        </w:rPr>
      </w:pPr>
      <w:r w:rsidRPr="002A103D">
        <w:rPr>
          <w:szCs w:val="19"/>
          <w:lang w:val="en-US"/>
        </w:rPr>
        <w:t>Installing wireless base stations in regions of the world previously cut off from a modern electricity grid is not an entirely new concept. However, it has become increasingly obvious that diesel generator powered stations are becoming a much less viable option for network operators looking to expand into new markets.</w:t>
      </w:r>
    </w:p>
    <w:p w:rsidR="00606EA3" w:rsidRPr="002A103D" w:rsidRDefault="00606EA3" w:rsidP="00606EA3">
      <w:pPr>
        <w:rPr>
          <w:szCs w:val="19"/>
          <w:lang w:val="en-US"/>
        </w:rPr>
      </w:pPr>
      <w:r w:rsidRPr="002A103D">
        <w:rPr>
          <w:szCs w:val="19"/>
          <w:lang w:val="en-US"/>
        </w:rPr>
        <w:t>First, from an environmental standpoint, diesel gensets are noisy, dirty and exhaust harmful hydrocarbons into the atmosphere during their operation. Second, diesel gensets are ultimately too expensive — their operation and maintenance typically accounts for 35 percent of the total cost of ownership (TCO) of a base transceiver station (BTS). With fuel costs on the rise, that percentage will continue to climb and remain dependent on international fluctuations of the fuel market.</w:t>
      </w:r>
    </w:p>
    <w:p w:rsidR="00606EA3" w:rsidRPr="002A103D" w:rsidRDefault="00606EA3" w:rsidP="00606EA3">
      <w:pPr>
        <w:rPr>
          <w:szCs w:val="19"/>
          <w:lang w:val="en-US"/>
        </w:rPr>
      </w:pPr>
      <w:r w:rsidRPr="002A103D">
        <w:rPr>
          <w:szCs w:val="19"/>
          <w:lang w:val="en-US"/>
        </w:rPr>
        <w:t>In addition, diesel-powered BTS sites are notoriously unreliable. These generators can suffer a variety of types of failures and are responsible for typically more than 60 percent of the outages that result in a loss of telecom service. When a breakdown or failure does occur, it takes considerable time and money to get a technician to the site to effect repairs — if the replacement parts are even locally available. Simply getting the diesel fuel to a remote site can also be a challenge — one such network in Kenya needs 100 trucks operating on a full-time basis just to transport sufficient fuel to keep its stations operational.</w:t>
      </w:r>
    </w:p>
    <w:p w:rsidR="00606EA3" w:rsidRPr="002A103D" w:rsidRDefault="00606EA3" w:rsidP="00606EA3">
      <w:pPr>
        <w:rPr>
          <w:szCs w:val="19"/>
          <w:lang w:val="en-US"/>
        </w:rPr>
      </w:pPr>
      <w:r w:rsidRPr="002A103D">
        <w:rPr>
          <w:szCs w:val="19"/>
          <w:lang w:val="en-US"/>
        </w:rPr>
        <w:t>The inherent instability of diesel fuel itself must also be taken into consideration. The fuel has a limited shelf life and can quickly degrade and build up contaminants, a process that is accelerated in warmer, tropical climates. Theft and vandalism of generators and fuel can also pose significant problems at remote locations and in struggling economies. Stations in these regions often require the implementation of costly security measures.</w:t>
      </w:r>
    </w:p>
    <w:p w:rsidR="00606EA3" w:rsidRPr="002A103D" w:rsidRDefault="00606EA3" w:rsidP="00606EA3">
      <w:pPr>
        <w:rPr>
          <w:b/>
          <w:szCs w:val="19"/>
          <w:lang w:val="en-US"/>
        </w:rPr>
      </w:pPr>
      <w:r w:rsidRPr="002A103D">
        <w:rPr>
          <w:szCs w:val="19"/>
          <w:lang w:val="en-US"/>
        </w:rPr>
        <w:t>Finally, old BTS sites powered with diesel generators often rely on indoor telecom cabinet technology, housed in heavy shelters and cooled by electricity-guzzling air conditioning systems. State-of-the-art BTS sites, in comparison, use outdoor cabinets that make it possible to avoid the use of shelters and air conditioning, providing very important power consumption and cost savings for the network operator.</w:t>
      </w:r>
    </w:p>
    <w:p w:rsidR="00606EA3" w:rsidRPr="006228E3" w:rsidRDefault="00606EA3" w:rsidP="00606EA3">
      <w:pPr>
        <w:pStyle w:val="Heading2"/>
      </w:pPr>
      <w:bookmarkStart w:id="54" w:name="_Toc377721062"/>
      <w:bookmarkStart w:id="55" w:name="_Toc377976448"/>
      <w:r w:rsidRPr="006228E3">
        <w:t>5.2</w:t>
      </w:r>
      <w:r w:rsidRPr="006228E3">
        <w:tab/>
        <w:t xml:space="preserve">Energy migration </w:t>
      </w:r>
      <w:r w:rsidRPr="00953B35">
        <w:t>steps</w:t>
      </w:r>
      <w:r w:rsidRPr="006228E3">
        <w:t xml:space="preserve"> (cooling)</w:t>
      </w:r>
      <w:bookmarkEnd w:id="54"/>
      <w:bookmarkEnd w:id="55"/>
    </w:p>
    <w:p w:rsidR="00606EA3" w:rsidRPr="00D51FC2" w:rsidRDefault="00606EA3" w:rsidP="00606EA3">
      <w:pPr>
        <w:autoSpaceDE w:val="0"/>
        <w:autoSpaceDN w:val="0"/>
        <w:adjustRightInd w:val="0"/>
        <w:rPr>
          <w:szCs w:val="19"/>
          <w:lang w:val="en-GB"/>
        </w:rPr>
      </w:pPr>
      <w:r w:rsidRPr="00D51FC2">
        <w:rPr>
          <w:szCs w:val="19"/>
          <w:lang w:val="en-GB"/>
        </w:rPr>
        <w:t>The preliminary step in optimizing the energy of telecom sites is to minimize energy usage. Beyond reducing power consumption from the telecom equipment and the telecom network, which is largely addressed by the Telecom Industry (e</w:t>
      </w:r>
      <w:r>
        <w:rPr>
          <w:szCs w:val="19"/>
          <w:lang w:val="en-GB"/>
        </w:rPr>
        <w:t>.</w:t>
      </w:r>
      <w:r w:rsidRPr="00D51FC2">
        <w:rPr>
          <w:szCs w:val="19"/>
          <w:lang w:val="en-GB"/>
        </w:rPr>
        <w:t>g. GreenTouch consortium, Light Radio initiatives, etc.), power consumption for site cooling needs to be considered.</w:t>
      </w:r>
    </w:p>
    <w:p w:rsidR="00606EA3" w:rsidRPr="00D51FC2" w:rsidRDefault="00606EA3" w:rsidP="00606EA3">
      <w:pPr>
        <w:ind w:right="26"/>
        <w:rPr>
          <w:szCs w:val="19"/>
          <w:lang w:val="en-GB"/>
        </w:rPr>
      </w:pPr>
      <w:r w:rsidRPr="00D51FC2">
        <w:rPr>
          <w:szCs w:val="19"/>
          <w:lang w:val="en-GB"/>
        </w:rPr>
        <w:t xml:space="preserve">In traditional base station shelters, cooling is provided by an air conditioner. The air conditioner employs a refrigerant and fans to cool and pump the air around the inside of the base station. When the air conditioner is active it recycles air continuously, e.g. hot air exiting the telecommunications equipment enters the air conditioner and mechanical cooling is performed on the hot air. In an attempt to alleviate this energy burden “Free Cooling” (also known as fresh air cooling) was introduced into air conditioner design. There are two different free cooling options available; 1) a compact system that combines the air conditioner and free cooling hardware. Some of the key issues with this design are high cost and poor reliability and 2) another type of free cool solution combines a split air conditioner and separate free cool system. This system has the advantage that it is less expensive; however, the performance in general is poor in the high ambient temperature range. </w:t>
      </w:r>
    </w:p>
    <w:p w:rsidR="00606EA3" w:rsidRPr="00D51FC2" w:rsidRDefault="00606EA3" w:rsidP="00606EA3">
      <w:pPr>
        <w:ind w:right="26"/>
        <w:rPr>
          <w:szCs w:val="19"/>
          <w:lang w:val="en-GB"/>
        </w:rPr>
      </w:pPr>
      <w:r w:rsidRPr="00D51FC2">
        <w:rPr>
          <w:szCs w:val="19"/>
          <w:lang w:val="en-GB"/>
        </w:rPr>
        <w:t xml:space="preserve">In more advanced cooling solutions, smart sensing and smart control algorithms are implemented in order to achieve efficient low cost “free air” cooling solution that maximizes the temperature range over which ambient air can be used to cool the equipment thereby reducing the time that the air conditioner is active leading to energy savings and improved reliability of the air conditioner. </w:t>
      </w:r>
    </w:p>
    <w:p w:rsidR="00606EA3" w:rsidRPr="006228E3" w:rsidRDefault="00606EA3" w:rsidP="00606EA3">
      <w:pPr>
        <w:pStyle w:val="Heading2"/>
      </w:pPr>
      <w:bookmarkStart w:id="56" w:name="_Toc377721063"/>
      <w:bookmarkStart w:id="57" w:name="_Toc377976449"/>
      <w:r w:rsidRPr="006228E3">
        <w:lastRenderedPageBreak/>
        <w:t>5.3</w:t>
      </w:r>
      <w:r>
        <w:tab/>
      </w:r>
      <w:r w:rsidRPr="006228E3">
        <w:t>Energy migration steps (</w:t>
      </w:r>
      <w:r w:rsidRPr="00953B35">
        <w:t>alternative</w:t>
      </w:r>
      <w:r w:rsidRPr="006228E3">
        <w:t xml:space="preserve"> energies)</w:t>
      </w:r>
      <w:bookmarkEnd w:id="56"/>
      <w:bookmarkEnd w:id="57"/>
    </w:p>
    <w:p w:rsidR="00606EA3" w:rsidRPr="002A103D" w:rsidRDefault="00606EA3" w:rsidP="00606EA3">
      <w:pPr>
        <w:rPr>
          <w:szCs w:val="19"/>
          <w:lang w:val="en-US"/>
        </w:rPr>
      </w:pPr>
      <w:r w:rsidRPr="002A103D">
        <w:rPr>
          <w:szCs w:val="19"/>
          <w:lang w:val="en-US"/>
        </w:rPr>
        <w:t xml:space="preserve">After optimizing the energy consumption, efforts must go towards on-site energy generation and storage. A usual primary migration step, often called “hybrid genset battery (HGB)” consists of replacing one diesel generator by a deep cycle battery bank that is providing the energy to the load when the genset is switched off periodically.  This solution has been described in many papers, some of which are referenced below. It reduces the runtime of the diesel generator typically by 50-60 % but the fuel consumption reduction is lower because the genset needs to recharge the batteries at the same time that it is powering the load when it is running.  </w:t>
      </w:r>
    </w:p>
    <w:p w:rsidR="00606EA3" w:rsidRPr="002A103D" w:rsidRDefault="00606EA3" w:rsidP="00606EA3">
      <w:pPr>
        <w:rPr>
          <w:szCs w:val="19"/>
          <w:lang w:val="en-US"/>
        </w:rPr>
      </w:pPr>
      <w:r w:rsidRPr="002A103D">
        <w:rPr>
          <w:szCs w:val="19"/>
          <w:lang w:val="en-US"/>
        </w:rPr>
        <w:t>A typical next migration step, called “single alternative energy (SAE)”, consists of taking advantage of localized alternative energy production to further reduce the diesel generator runtime and consumption. Solar panels are usually chosen in this case because the genset can be synchronized with its daily production cycles. This migration can be done with limited modifications of the energy controller and the surface of solar panels can be matched to the shadow-free areas available on the site and the financial targets defined by the operator. Depending on the size of solar panels installed on site, it reduces the runtime of the diesel generator typically by 70-80 %.</w:t>
      </w:r>
    </w:p>
    <w:p w:rsidR="00606EA3" w:rsidRPr="002A103D" w:rsidRDefault="00606EA3" w:rsidP="00606EA3">
      <w:pPr>
        <w:rPr>
          <w:szCs w:val="19"/>
          <w:lang w:val="en-US"/>
        </w:rPr>
      </w:pPr>
      <w:r w:rsidRPr="002A103D">
        <w:rPr>
          <w:szCs w:val="19"/>
          <w:lang w:val="en-US"/>
        </w:rPr>
        <w:t>The ultimate migration step consists of deploying “multiple alternative energies (MAE)”, typically leveraging on solar and wind complementary productions on the site but also leveraging benefits of fuel cells. In this configuration, one pre-existing diesel generator may remain or may be replaced by a fuel cell to address the few worst case climatic conditions without over dimensioning the batteries and solar panels. This is also a way to match the site footprint and budgetary constraints. With the MAE configuration, the diesel generator runtime savings are typically higher than 90 %, depending on the site dimensioning constraints. Wind production is provided by small wind turbines in the range of 2 to 6 kW. Where the mechanical and regulatory constraints can be addressed, it is preferred to install the wind turbine on top of the existing telecom mast for better efficiency.</w:t>
      </w:r>
    </w:p>
    <w:p w:rsidR="00606EA3" w:rsidRPr="002A103D" w:rsidRDefault="00606EA3" w:rsidP="00606EA3">
      <w:pPr>
        <w:rPr>
          <w:szCs w:val="19"/>
          <w:lang w:val="en-US"/>
        </w:rPr>
      </w:pPr>
      <w:r w:rsidRPr="002A103D">
        <w:rPr>
          <w:szCs w:val="19"/>
          <w:lang w:val="en-US"/>
        </w:rPr>
        <w:t xml:space="preserve">If the multiple alternative energies (MAE) configuration is the ultimate solution in terms of reducing the carbon footprint and keeping the network operator’s operating expenditures (OPEX) out of diesel fuel availability issues and price fluctuations, it is still requiring a significant level of Capital expenditures (CAPEX). Therefore the migration strategy implemented by network operators needs to be defined site per site, resulting in a mix of the three configurations described above (HGB, SAE and MAE), depending on climatic, telecommunications, infrastructure and financial parameters, and what typical multi-year migration process should be envisaged on the sites. </w:t>
      </w:r>
    </w:p>
    <w:p w:rsidR="00606EA3" w:rsidRPr="006228E3" w:rsidRDefault="00606EA3" w:rsidP="00606EA3">
      <w:pPr>
        <w:pStyle w:val="Heading2"/>
      </w:pPr>
      <w:bookmarkStart w:id="58" w:name="_Toc377721064"/>
      <w:bookmarkStart w:id="59" w:name="_Toc377976450"/>
      <w:r w:rsidRPr="006228E3">
        <w:t>5.4</w:t>
      </w:r>
      <w:r>
        <w:tab/>
      </w:r>
      <w:r w:rsidRPr="00953B35">
        <w:t>Network</w:t>
      </w:r>
      <w:r w:rsidRPr="006228E3">
        <w:t>-wide energy management tools</w:t>
      </w:r>
      <w:bookmarkEnd w:id="58"/>
      <w:bookmarkEnd w:id="59"/>
    </w:p>
    <w:p w:rsidR="00606EA3" w:rsidRPr="00D51FC2" w:rsidRDefault="00606EA3" w:rsidP="00606EA3">
      <w:pPr>
        <w:rPr>
          <w:szCs w:val="19"/>
          <w:lang w:val="en-GB"/>
        </w:rPr>
      </w:pPr>
      <w:r w:rsidRPr="00D51FC2">
        <w:rPr>
          <w:szCs w:val="19"/>
          <w:lang w:val="en-GB"/>
        </w:rPr>
        <w:t xml:space="preserve">The migration process described above can be implemented in very different ways by each network operator, depending on its existing footprint, its investment strategy, planned traffic increase etc. To assess and analyse their current situation in order to plan their migration process, network operators need real-time and consolidated data from each site, including grid power availability (hours per day, where the grid connection exists), fuel consumption, cooling consumption, temperature etc. as well as energy relevant alarms and faults. Getting and managing these data requires a dedicated central network management tool. This type of software has commonalities with traditional telecom Operation and Maintenance Center (OMC) but with a special focus on Energy topics. It has therefore all the potential to be managed directly by the Network Operating Center (NOC) of the telecom operator, and be interfaced with larger OSS configurations. These tools are going to be largely deployed in the coming 5 years. They will enable operators to real-time and centrally assess, analyze, plan, challenge, optimize all their energy related operating costs, operation processes and transformation programs.  </w:t>
      </w:r>
    </w:p>
    <w:p w:rsidR="00606EA3" w:rsidRDefault="00606EA3" w:rsidP="00606EA3">
      <w:pPr>
        <w:spacing w:before="0"/>
        <w:jc w:val="left"/>
        <w:rPr>
          <w:rFonts w:eastAsia="Times New Roman" w:cs="Helvetica"/>
          <w:b/>
          <w:bCs/>
          <w:color w:val="005173"/>
          <w:sz w:val="24"/>
          <w:szCs w:val="32"/>
          <w:lang w:val="en-US"/>
        </w:rPr>
      </w:pPr>
      <w:bookmarkStart w:id="60" w:name="_Toc377721065"/>
      <w:bookmarkStart w:id="61" w:name="_Toc377976451"/>
      <w:r w:rsidRPr="00BA297E">
        <w:rPr>
          <w:lang w:val="en-US"/>
        </w:rPr>
        <w:br w:type="page"/>
      </w:r>
    </w:p>
    <w:p w:rsidR="00606EA3" w:rsidRPr="006228E3" w:rsidRDefault="00606EA3" w:rsidP="00606EA3">
      <w:pPr>
        <w:pStyle w:val="Heading2"/>
      </w:pPr>
      <w:r w:rsidRPr="006228E3">
        <w:lastRenderedPageBreak/>
        <w:t>5.5</w:t>
      </w:r>
      <w:r w:rsidRPr="006228E3">
        <w:tab/>
        <w:t xml:space="preserve">ICT and </w:t>
      </w:r>
      <w:r w:rsidRPr="00953B35">
        <w:t>climate</w:t>
      </w:r>
      <w:r w:rsidRPr="006228E3">
        <w:t xml:space="preserve"> </w:t>
      </w:r>
      <w:r>
        <w:t>c</w:t>
      </w:r>
      <w:r w:rsidRPr="006228E3">
        <w:t>hange stakeholders</w:t>
      </w:r>
      <w:bookmarkEnd w:id="60"/>
      <w:bookmarkEnd w:id="61"/>
    </w:p>
    <w:p w:rsidR="00606EA3" w:rsidRPr="002A103D" w:rsidRDefault="00606EA3" w:rsidP="00606EA3">
      <w:pPr>
        <w:rPr>
          <w:szCs w:val="19"/>
          <w:lang w:val="en-US"/>
        </w:rPr>
      </w:pPr>
      <w:r w:rsidRPr="002A103D">
        <w:rPr>
          <w:szCs w:val="19"/>
          <w:lang w:val="en-US"/>
        </w:rPr>
        <w:t xml:space="preserve">In a joint press release (08.03.2011), the World Resources Institute (WRI), the World Business Council for Sustainable Development (WBCSD), the Global e-Sustainability Initiative (GeSI), and the Carbon Trust announced that they will work with ICT companies and their customers to develop common approaches and methodologies to calculate the carbon footprints of ICT products and services thanks to industry guidance due to be published at the end of 2011. The guidance will also involve NGOs, government experts and academics. GeSI is playing a leading role in bringing ICT companies on board and in promoting the initiative to the ICT industry. Already a number of major global ICT companies have committed their support. </w:t>
      </w:r>
    </w:p>
    <w:p w:rsidR="00606EA3" w:rsidRPr="002A103D" w:rsidRDefault="00606EA3" w:rsidP="00606EA3">
      <w:pPr>
        <w:rPr>
          <w:szCs w:val="19"/>
          <w:lang w:val="en-US"/>
        </w:rPr>
      </w:pPr>
      <w:r w:rsidRPr="002A103D">
        <w:rPr>
          <w:szCs w:val="19"/>
          <w:lang w:val="en-US"/>
        </w:rPr>
        <w:t xml:space="preserve">It is expected that the new guidance will encourage companies to measure, report, and reduce the carbon footprint of their ICT products and services, thus contributing to global emission reductions. </w:t>
      </w:r>
    </w:p>
    <w:p w:rsidR="00606EA3" w:rsidRPr="002A103D" w:rsidRDefault="00606EA3" w:rsidP="00606EA3">
      <w:pPr>
        <w:rPr>
          <w:szCs w:val="19"/>
          <w:lang w:val="en-US"/>
        </w:rPr>
      </w:pPr>
      <w:r w:rsidRPr="002A103D">
        <w:rPr>
          <w:szCs w:val="19"/>
          <w:lang w:val="en-US"/>
        </w:rPr>
        <w:t>This guidance will be published as an ICT Sector Supplement to the Greenhouse Gas (GHG) Protocol Product Accounting and Reporting Standard - part of the Greenhouse Gas Protocol Initiative, which is the most widely used global accounting and reporting standard for corporate GHG emissions.</w:t>
      </w:r>
    </w:p>
    <w:p w:rsidR="00606EA3" w:rsidRPr="006228E3" w:rsidRDefault="00606EA3" w:rsidP="00606EA3">
      <w:pPr>
        <w:pStyle w:val="Heading2"/>
      </w:pPr>
      <w:bookmarkStart w:id="62" w:name="_Toc377721066"/>
      <w:bookmarkStart w:id="63" w:name="_Toc377976452"/>
      <w:r w:rsidRPr="006228E3">
        <w:t>5.6</w:t>
      </w:r>
      <w:r w:rsidRPr="006228E3">
        <w:tab/>
      </w:r>
      <w:r w:rsidRPr="00953B35">
        <w:t>References</w:t>
      </w:r>
      <w:r>
        <w:t>:</w:t>
      </w:r>
      <w:bookmarkEnd w:id="62"/>
      <w:bookmarkEnd w:id="63"/>
    </w:p>
    <w:p w:rsidR="00606EA3" w:rsidRPr="00F528EA" w:rsidRDefault="00606EA3" w:rsidP="00606EA3">
      <w:pPr>
        <w:pStyle w:val="Enumlevel1"/>
        <w:rPr>
          <w:b/>
        </w:rPr>
      </w:pPr>
      <w:r>
        <w:t>•</w:t>
      </w:r>
      <w:r>
        <w:tab/>
      </w:r>
      <w:r w:rsidRPr="00F528EA">
        <w:t>Alcatel-Lucent</w:t>
      </w:r>
      <w:r>
        <w:t>,</w:t>
      </w:r>
      <w:r w:rsidRPr="00F528EA">
        <w:t xml:space="preserve"> Strategic White Paper “Eco-sustainable wireless service”</w:t>
      </w:r>
      <w:r>
        <w:t xml:space="preserve">, </w:t>
      </w:r>
      <w:r w:rsidRPr="00F528EA">
        <w:t>2009</w:t>
      </w:r>
      <w:r>
        <w:t>;</w:t>
      </w:r>
      <w:r w:rsidRPr="00F528EA">
        <w:t xml:space="preserve"> </w:t>
      </w:r>
      <w:hyperlink r:id="rId177" w:history="1">
        <w:r w:rsidRPr="00E328E4">
          <w:rPr>
            <w:rStyle w:val="Hyperlink"/>
            <w:szCs w:val="19"/>
          </w:rPr>
          <w:t>www.alcatel-lucent.com/alternative-energy/</w:t>
        </w:r>
      </w:hyperlink>
      <w:r w:rsidRPr="00F528EA">
        <w:t xml:space="preserve"> </w:t>
      </w:r>
    </w:p>
    <w:p w:rsidR="00606EA3" w:rsidRPr="00F528EA" w:rsidRDefault="00606EA3" w:rsidP="00606EA3">
      <w:pPr>
        <w:pStyle w:val="Enumlevel1"/>
        <w:rPr>
          <w:b/>
        </w:rPr>
      </w:pPr>
      <w:r>
        <w:t>•</w:t>
      </w:r>
      <w:r>
        <w:tab/>
        <w:t xml:space="preserve">Greetouch, </w:t>
      </w:r>
      <w:r w:rsidRPr="00F528EA">
        <w:t>ICT Industry Combats Climate Change</w:t>
      </w:r>
      <w:r>
        <w:t xml:space="preserve">, 2010; </w:t>
      </w:r>
      <w:hyperlink r:id="rId178" w:history="1">
        <w:r w:rsidRPr="00E328E4">
          <w:rPr>
            <w:rStyle w:val="Hyperlink"/>
            <w:szCs w:val="19"/>
          </w:rPr>
          <w:t>www.greentouch.org/index.php?page=how-the-ict-industries-can-help-the-world-combat-climate-change</w:t>
        </w:r>
      </w:hyperlink>
      <w:r w:rsidRPr="00F528EA">
        <w:t xml:space="preserve">   </w:t>
      </w:r>
    </w:p>
    <w:p w:rsidR="00606EA3" w:rsidRPr="00F528EA" w:rsidRDefault="00606EA3" w:rsidP="00606EA3">
      <w:pPr>
        <w:pStyle w:val="Enumlevel1"/>
        <w:rPr>
          <w:b/>
        </w:rPr>
      </w:pPr>
      <w:r>
        <w:t>•</w:t>
      </w:r>
      <w:r>
        <w:tab/>
      </w:r>
      <w:r w:rsidRPr="00F528EA">
        <w:t>C. Grangeat et al, “</w:t>
      </w:r>
      <w:hyperlink r:id="rId179" w:history="1">
        <w:r w:rsidRPr="00F528EA">
          <w:rPr>
            <w:rStyle w:val="Hyperlink"/>
            <w:szCs w:val="19"/>
          </w:rPr>
          <w:t>A Solution to Dynamically Decrease Power Consumption of Wireless Base Stations and Power them with Alternative Energies</w:t>
        </w:r>
      </w:hyperlink>
      <w:r w:rsidRPr="00F528EA">
        <w:t xml:space="preserve">”, </w:t>
      </w:r>
      <w:r w:rsidRPr="00A15AF1">
        <w:t>Telecommunications Energy Conference (INTELEC),</w:t>
      </w:r>
      <w:r>
        <w:t xml:space="preserve"> </w:t>
      </w:r>
      <w:r w:rsidRPr="00F528EA">
        <w:t xml:space="preserve">2010 </w:t>
      </w:r>
    </w:p>
    <w:p w:rsidR="00606EA3" w:rsidRPr="00F528EA" w:rsidRDefault="00606EA3" w:rsidP="00606EA3">
      <w:pPr>
        <w:pStyle w:val="Enumlevel1"/>
        <w:rPr>
          <w:b/>
        </w:rPr>
      </w:pPr>
      <w:r>
        <w:t>•</w:t>
      </w:r>
      <w:r>
        <w:tab/>
      </w:r>
      <w:r w:rsidRPr="00F528EA">
        <w:t>Joel Brunarie et al. “</w:t>
      </w:r>
      <w:hyperlink r:id="rId180" w:history="1">
        <w:r w:rsidRPr="00F528EA">
          <w:rPr>
            <w:rStyle w:val="Hyperlink"/>
            <w:szCs w:val="19"/>
          </w:rPr>
          <w:t>Delivering Cost Savings and Environmental Benefits with Hybrid Power</w:t>
        </w:r>
      </w:hyperlink>
      <w:r w:rsidRPr="00F528EA">
        <w:t xml:space="preserve">”, </w:t>
      </w:r>
      <w:r w:rsidRPr="00A15AF1">
        <w:t xml:space="preserve">Telecommunications Energy Conference (INTELEC), </w:t>
      </w:r>
      <w:r w:rsidRPr="00F528EA">
        <w:t xml:space="preserve">2009 </w:t>
      </w:r>
    </w:p>
    <w:p w:rsidR="00606EA3" w:rsidRPr="00F528EA" w:rsidRDefault="00606EA3" w:rsidP="00606EA3">
      <w:pPr>
        <w:pStyle w:val="Enumlevel1"/>
      </w:pPr>
      <w:r>
        <w:t>•</w:t>
      </w:r>
      <w:r>
        <w:tab/>
        <w:t xml:space="preserve">WRI, WBCSD, GeSI, Carbon Trust, </w:t>
      </w:r>
      <w:r w:rsidRPr="004F07D1">
        <w:t>joint press release</w:t>
      </w:r>
      <w:r w:rsidRPr="00D55097">
        <w:t xml:space="preserve"> </w:t>
      </w:r>
      <w:r>
        <w:t xml:space="preserve">titled </w:t>
      </w:r>
      <w:r w:rsidRPr="00F528EA">
        <w:t>“</w:t>
      </w:r>
      <w:hyperlink r:id="rId181" w:history="1">
        <w:r w:rsidRPr="00F528EA">
          <w:rPr>
            <w:rStyle w:val="Hyperlink"/>
            <w:szCs w:val="19"/>
          </w:rPr>
          <w:t>New initiative announced to help ICT industry measure carbon footprint</w:t>
        </w:r>
      </w:hyperlink>
      <w:r w:rsidRPr="00F528EA">
        <w:t>”,</w:t>
      </w:r>
      <w:r>
        <w:t xml:space="preserve"> 8 March </w:t>
      </w:r>
      <w:r w:rsidRPr="00F528EA">
        <w:t>2011</w:t>
      </w:r>
    </w:p>
    <w:p w:rsidR="00606EA3" w:rsidRPr="002A103D" w:rsidRDefault="00606EA3" w:rsidP="00606EA3">
      <w:pPr>
        <w:spacing w:before="0"/>
        <w:rPr>
          <w:szCs w:val="19"/>
          <w:lang w:val="en-US"/>
        </w:rPr>
      </w:pPr>
      <w:r w:rsidRPr="002A103D">
        <w:rPr>
          <w:szCs w:val="19"/>
          <w:lang w:val="en-US"/>
        </w:rPr>
        <w:br w:type="page"/>
      </w:r>
    </w:p>
    <w:p w:rsidR="00606EA3" w:rsidRPr="00383297" w:rsidRDefault="00606EA3" w:rsidP="00606EA3">
      <w:pPr>
        <w:pStyle w:val="Heading1"/>
        <w:spacing w:before="0"/>
        <w:ind w:left="851" w:hanging="851"/>
      </w:pPr>
      <w:bookmarkStart w:id="64" w:name="_Toc377721067"/>
      <w:bookmarkStart w:id="65" w:name="_Toc377976453"/>
      <w:r w:rsidRPr="00383297">
        <w:lastRenderedPageBreak/>
        <w:t xml:space="preserve">Annex 6: </w:t>
      </w:r>
      <w:r>
        <w:tab/>
      </w:r>
      <w:r w:rsidRPr="00383297">
        <w:t>ICT case studies</w:t>
      </w:r>
      <w:bookmarkEnd w:id="64"/>
      <w:bookmarkEnd w:id="65"/>
    </w:p>
    <w:p w:rsidR="00606EA3" w:rsidRPr="00ED1894" w:rsidRDefault="00606EA3" w:rsidP="00606EA3">
      <w:pPr>
        <w:pStyle w:val="Heading2"/>
        <w:ind w:left="851" w:hanging="851"/>
      </w:pPr>
      <w:bookmarkStart w:id="66" w:name="_Toc377721068"/>
      <w:bookmarkStart w:id="67" w:name="_Toc377976454"/>
      <w:r>
        <w:t>6.1</w:t>
      </w:r>
      <w:r>
        <w:tab/>
      </w:r>
      <w:r w:rsidRPr="00ED1894">
        <w:t xml:space="preserve">Case study 1: Field </w:t>
      </w:r>
      <w:r>
        <w:t>t</w:t>
      </w:r>
      <w:r w:rsidRPr="00ED1894">
        <w:t xml:space="preserve">rials of </w:t>
      </w:r>
      <w:r>
        <w:t>m</w:t>
      </w:r>
      <w:r w:rsidRPr="00ED1894">
        <w:t xml:space="preserve">obile </w:t>
      </w:r>
      <w:r w:rsidRPr="0080275E">
        <w:t>base</w:t>
      </w:r>
      <w:r w:rsidRPr="00ED1894">
        <w:t xml:space="preserve"> </w:t>
      </w:r>
      <w:r>
        <w:t>s</w:t>
      </w:r>
      <w:r w:rsidRPr="00ED1894">
        <w:t xml:space="preserve">tations </w:t>
      </w:r>
      <w:r>
        <w:t>u</w:t>
      </w:r>
      <w:r w:rsidRPr="00ED1894">
        <w:t xml:space="preserve">sing </w:t>
      </w:r>
      <w:r>
        <w:t>t</w:t>
      </w:r>
      <w:r w:rsidRPr="00ED1894">
        <w:t xml:space="preserve">ribrid </w:t>
      </w:r>
      <w:r>
        <w:t>e</w:t>
      </w:r>
      <w:r w:rsidRPr="00ED1894">
        <w:t xml:space="preserve">lectric </w:t>
      </w:r>
      <w:r>
        <w:t>c</w:t>
      </w:r>
      <w:r w:rsidRPr="00ED1894">
        <w:t xml:space="preserve">ontrol </w:t>
      </w:r>
      <w:r>
        <w:t>t</w:t>
      </w:r>
      <w:r w:rsidRPr="00ED1894">
        <w:t>echnology</w:t>
      </w:r>
      <w:bookmarkEnd w:id="66"/>
      <w:bookmarkEnd w:id="67"/>
    </w:p>
    <w:p w:rsidR="00606EA3" w:rsidRPr="00D51FC2" w:rsidRDefault="00606EA3" w:rsidP="00606EA3">
      <w:pPr>
        <w:rPr>
          <w:szCs w:val="19"/>
          <w:lang w:val="en-GB"/>
        </w:rPr>
      </w:pPr>
      <w:r w:rsidRPr="002A103D">
        <w:rPr>
          <w:b/>
          <w:szCs w:val="19"/>
          <w:lang w:val="en-US"/>
        </w:rPr>
        <w:t>Summary</w:t>
      </w:r>
      <w:r w:rsidRPr="002A103D">
        <w:rPr>
          <w:szCs w:val="19"/>
          <w:lang w:val="en-US"/>
        </w:rPr>
        <w:t xml:space="preserve">: </w:t>
      </w:r>
      <w:r w:rsidRPr="00D51FC2">
        <w:rPr>
          <w:szCs w:val="19"/>
          <w:lang w:val="en-GB"/>
        </w:rPr>
        <w:t>Mobile base stations account for approximately 60% of all of KDDI’s electric power consumption, and reducing power consumption in base stations is a key issue for reducing carbon dioxide (CO</w:t>
      </w:r>
      <w:r w:rsidRPr="00DE0E49">
        <w:rPr>
          <w:szCs w:val="19"/>
          <w:vertAlign w:val="subscript"/>
          <w:lang w:val="en-GB"/>
        </w:rPr>
        <w:t>2</w:t>
      </w:r>
      <w:r w:rsidRPr="00D51FC2">
        <w:rPr>
          <w:szCs w:val="19"/>
          <w:lang w:val="en-GB"/>
        </w:rPr>
        <w:t>) emission in terms of the Green of ICT. KDDI has now started the pilot project using the tribrid electric power control technology in base stations to achieve a next-generation power saving. This technology is expected to achieve power savings and carbon dioxide reductions of 20 to 30 percent compared to the same base stations without the technology.</w:t>
      </w:r>
    </w:p>
    <w:p w:rsidR="00606EA3" w:rsidRPr="006228E3" w:rsidRDefault="00606EA3" w:rsidP="00606EA3">
      <w:pPr>
        <w:pStyle w:val="Heading3"/>
      </w:pPr>
      <w:r w:rsidRPr="006228E3">
        <w:t>6.1.1</w:t>
      </w:r>
      <w:r w:rsidRPr="006228E3">
        <w:tab/>
      </w:r>
      <w:r w:rsidRPr="006228E3">
        <w:tab/>
        <w:t>Introduction</w:t>
      </w:r>
    </w:p>
    <w:p w:rsidR="00606EA3" w:rsidRPr="00D51FC2" w:rsidRDefault="00606EA3" w:rsidP="00606EA3">
      <w:pPr>
        <w:rPr>
          <w:lang w:val="en-US"/>
        </w:rPr>
      </w:pPr>
      <w:r w:rsidRPr="00D51FC2">
        <w:rPr>
          <w:lang w:val="en-US"/>
        </w:rPr>
        <w:t>Crucial concern should be provided to reduce electric power consumption by systems and facilities used for the provision of telecommunications services and to cut carbon dioxide emissions as a general telecommunications carrier. Mobile base stations ("base stations") account for approximately 60% of all of KDDI's electric power consumption, and reducing power consumption in base stations is a key issue in cutting power use. KDDI has worked to reduce power consumption through various measures such as downsizing base stations and introducing cooler-free base station equipment. KDDI has now started using the tribrid electric power control technology in base stations to achieve a next-generation power saving. This technology is expected to achieve power savings and carbon dioxide reductions of 20 to 30 percent compared to the same base stations without the new technology.</w:t>
      </w:r>
    </w:p>
    <w:p w:rsidR="00606EA3" w:rsidRPr="006228E3" w:rsidRDefault="00606EA3" w:rsidP="00606EA3">
      <w:pPr>
        <w:pStyle w:val="Heading3"/>
      </w:pPr>
      <w:r w:rsidRPr="006228E3">
        <w:t xml:space="preserve">6.1.2 </w:t>
      </w:r>
      <w:r w:rsidRPr="006228E3">
        <w:tab/>
        <w:t xml:space="preserve">Tribrid </w:t>
      </w:r>
      <w:r>
        <w:t>e</w:t>
      </w:r>
      <w:r w:rsidRPr="006228E3">
        <w:t xml:space="preserve">lectric </w:t>
      </w:r>
      <w:r w:rsidRPr="0080275E">
        <w:t>power</w:t>
      </w:r>
      <w:r w:rsidRPr="006228E3">
        <w:t xml:space="preserve"> </w:t>
      </w:r>
      <w:r>
        <w:t>c</w:t>
      </w:r>
      <w:r w:rsidRPr="006228E3">
        <w:t xml:space="preserve">ontrol </w:t>
      </w:r>
      <w:r>
        <w:t>t</w:t>
      </w:r>
      <w:r w:rsidRPr="006228E3">
        <w:t>echnology</w:t>
      </w:r>
    </w:p>
    <w:p w:rsidR="00606EA3" w:rsidRPr="00D51FC2" w:rsidRDefault="00606EA3" w:rsidP="00606EA3">
      <w:pPr>
        <w:rPr>
          <w:lang w:val="en-US"/>
        </w:rPr>
      </w:pPr>
      <w:r w:rsidRPr="00D51FC2">
        <w:rPr>
          <w:lang w:val="en-US"/>
        </w:rPr>
        <w:t>The tribrid electric power control technology achieves the maximum efficiency in different time periods by controlling the following three power sources to be provided to base stations: (1) power generated from solar panels, (2) power from batteries that are charged from commercial power at night, and (3) power from commercial sources. In a good weather condition, solar panels provide sufficient power to the wireless equipment and any excess power is stored in the batteries. After the sun sets, the wireless equipment is powered by the batteries, and the batteries are also charged from commercial power late at night when the electric bill is inexpensive.</w:t>
      </w:r>
    </w:p>
    <w:p w:rsidR="00606EA3" w:rsidRDefault="00606EA3" w:rsidP="00606EA3">
      <w:pPr>
        <w:rPr>
          <w:lang w:val="en-US"/>
        </w:rPr>
      </w:pPr>
      <w:r w:rsidRPr="00D51FC2">
        <w:rPr>
          <w:lang w:val="en-US"/>
        </w:rPr>
        <w:t>A key feature of this technology is the fact that power from the solar panels is supplied to a DC power unit connected between the rectifier, batteries, and the base station wireless equipment. Direct current generated by solar panels is generally converted to alternating current before being supplied to household appliances, lighting equipment, and so on. Although a lot of ICT equipment such as servers and also many household appliances directly operate on direct current, the direct current is converted from the commercial alternating current internally at the equipment. Taking a laptop computer as an example, the alternating current from an outlet is converted to direct current by an AC adaptor, and then the direct current is supplied to the computer. In using the solar power, the power is converted twice, i.e. from direct current to alternating current and then back to direct current, resulting in substantial power losses. The tribrid control technology directly links DC components to the direct current source to reduce conversion losses, resulting in efficient use of the green power generated by solar panels. The power generation by solar panels is also expected to increase in the future. With the tribrid system, excess power from solar panels can be charged in batteries without flowing into the network.</w:t>
      </w:r>
    </w:p>
    <w:p w:rsidR="00606EA3" w:rsidRPr="00D51FC2" w:rsidRDefault="00606EA3" w:rsidP="00606EA3">
      <w:pPr>
        <w:rPr>
          <w:lang w:val="en-US"/>
        </w:rPr>
      </w:pPr>
    </w:p>
    <w:p w:rsidR="00606EA3" w:rsidRPr="00D51FC2" w:rsidRDefault="00606EA3" w:rsidP="00606EA3">
      <w:pPr>
        <w:pStyle w:val="Figuretitle"/>
        <w:rPr>
          <w:rFonts w:eastAsia="MS Mincho"/>
          <w:lang w:eastAsia="ja-JP"/>
        </w:rPr>
      </w:pPr>
      <w:bookmarkStart w:id="68" w:name="_Toc379381982"/>
      <w:r w:rsidRPr="00D51FC2">
        <w:rPr>
          <w:lang w:eastAsia="ja-JP"/>
        </w:rPr>
        <w:lastRenderedPageBreak/>
        <w:t>Figure 6.1 - Tribrid electric power supply system</w:t>
      </w:r>
      <w:bookmarkEnd w:id="68"/>
    </w:p>
    <w:p w:rsidR="00606EA3" w:rsidRDefault="00606EA3" w:rsidP="00606EA3">
      <w:pPr>
        <w:pStyle w:val="Figure"/>
        <w:rPr>
          <w:lang w:eastAsia="ja-JP"/>
        </w:rPr>
      </w:pPr>
      <w:r w:rsidRPr="00D51FC2">
        <w:rPr>
          <w:noProof/>
          <w:lang w:val="en-US" w:eastAsia="zh-CN"/>
        </w:rPr>
        <w:drawing>
          <wp:inline distT="0" distB="0" distL="0" distR="0" wp14:anchorId="2723D0CC" wp14:editId="240DF61B">
            <wp:extent cx="4121098" cy="22288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4121098" cy="2228850"/>
                    </a:xfrm>
                    <a:prstGeom prst="rect">
                      <a:avLst/>
                    </a:prstGeom>
                    <a:noFill/>
                    <a:ln>
                      <a:noFill/>
                    </a:ln>
                  </pic:spPr>
                </pic:pic>
              </a:graphicData>
            </a:graphic>
          </wp:inline>
        </w:drawing>
      </w:r>
    </w:p>
    <w:p w:rsidR="00606EA3" w:rsidRPr="00B67DEF" w:rsidRDefault="00606EA3" w:rsidP="00606EA3">
      <w:pPr>
        <w:pStyle w:val="Figure"/>
        <w:rPr>
          <w:sz w:val="8"/>
          <w:szCs w:val="8"/>
          <w:lang w:eastAsia="ja-JP"/>
        </w:rPr>
      </w:pPr>
    </w:p>
    <w:p w:rsidR="00606EA3" w:rsidRPr="006228E3" w:rsidRDefault="00606EA3" w:rsidP="00606EA3">
      <w:pPr>
        <w:pStyle w:val="Heading3"/>
      </w:pPr>
      <w:r w:rsidRPr="006228E3">
        <w:t>6.1.3</w:t>
      </w:r>
      <w:r w:rsidRPr="006228E3">
        <w:tab/>
        <w:t xml:space="preserve">Operation </w:t>
      </w:r>
      <w:r>
        <w:t>p</w:t>
      </w:r>
      <w:r w:rsidRPr="006228E3">
        <w:t>rinciple</w:t>
      </w:r>
    </w:p>
    <w:p w:rsidR="00606EA3" w:rsidRPr="00D51FC2" w:rsidRDefault="00606EA3" w:rsidP="00606EA3">
      <w:pPr>
        <w:rPr>
          <w:lang w:val="en-US"/>
        </w:rPr>
      </w:pPr>
      <w:r w:rsidRPr="00D51FC2">
        <w:rPr>
          <w:lang w:val="en-US"/>
        </w:rPr>
        <w:t>To achieve the tribrid power control, solar panels, a power control unit and an output voltage control unit with a rectifier are added to a conventional base station. The equipment can be installed in base stations that are already in operation.</w:t>
      </w:r>
    </w:p>
    <w:p w:rsidR="00606EA3" w:rsidRPr="00D51FC2" w:rsidRDefault="00606EA3" w:rsidP="00606EA3">
      <w:pPr>
        <w:rPr>
          <w:lang w:val="en-US"/>
        </w:rPr>
      </w:pPr>
      <w:r w:rsidRPr="00D51FC2">
        <w:rPr>
          <w:lang w:val="en-US"/>
        </w:rPr>
        <w:t>Discount schemes by power companies are available for feeding base stations during off-peak times, and even when the same amount of power as a daytime is used, electricity late at night costs lower and results in lower emissions of carbon dioxide (a greenhouse gas). Note that the discount scheme depends on the price policy of the power company. In natural disasters, power outage can be occurred. To prevent base stations against such events, conventional base stations are equipped with rechargeable lead batteries (secondary batteries) as a backup. With the tribrid power control technology, batteries are charged late at night from commercial power, and excess power generated by the solar panels is also used for the wireless equipment. To accommodate this usage pattern, batteries have to be equipped with good charge/discharge characteristics. The use of smaller and lighter lithium-ion batteries is being explored.</w:t>
      </w:r>
    </w:p>
    <w:p w:rsidR="00606EA3" w:rsidRPr="00D51FC2" w:rsidRDefault="00606EA3" w:rsidP="00606EA3">
      <w:pPr>
        <w:rPr>
          <w:lang w:val="en-US"/>
        </w:rPr>
      </w:pPr>
      <w:r w:rsidRPr="00D51FC2">
        <w:rPr>
          <w:lang w:val="en-US"/>
        </w:rPr>
        <w:t>The following is an explanation of the operating principles of the output voltage control function. When voltage at the rectifier is reduced, the relative voltage of the batteries increases, resulting in the supply of power from the batteries to the wireless equipment and a decrease in the use of power from the commercial power supply. When power from the solar panels increases, the output voltage of the power control unit increases to a level higher than the battery voltage, and the percentage of supply to the wireless equipment from the solar panels increases. As the batteries discharge, the voltage declines and power from the solar panels is also used to charge the batteries. As power from the solar panels decreases, the percentage of power supplied by the batteries increases. As the battery voltage continues to decline, the supply of commercial power from the rectifier increases. Generally, solar panels generate a lot of power during daytime in a good weather condition, and solar panels in the Kanto area of Japan generate power at their rated capacity for an average of three hours per day. Thus, 1.5 kWh solar batteries can be expected to generate 4.5 kWh of power each day.</w:t>
      </w:r>
    </w:p>
    <w:p w:rsidR="00606EA3" w:rsidRPr="00D51FC2" w:rsidRDefault="00606EA3" w:rsidP="00606EA3">
      <w:pPr>
        <w:pStyle w:val="Figuretitle"/>
        <w:rPr>
          <w:lang w:eastAsia="ja-JP"/>
        </w:rPr>
      </w:pPr>
      <w:bookmarkStart w:id="69" w:name="_Toc379381983"/>
      <w:r w:rsidRPr="00D51FC2">
        <w:rPr>
          <w:lang w:eastAsia="ja-JP"/>
        </w:rPr>
        <w:lastRenderedPageBreak/>
        <w:t xml:space="preserve">Figure 6.2 </w:t>
      </w:r>
      <w:r>
        <w:rPr>
          <w:lang w:eastAsia="ja-JP"/>
        </w:rPr>
        <w:t>–</w:t>
      </w:r>
      <w:r w:rsidRPr="00D51FC2">
        <w:rPr>
          <w:lang w:eastAsia="ja-JP"/>
        </w:rPr>
        <w:t xml:space="preserve"> Configuration </w:t>
      </w:r>
      <w:r>
        <w:rPr>
          <w:lang w:eastAsia="ja-JP"/>
        </w:rPr>
        <w:t>d</w:t>
      </w:r>
      <w:r w:rsidRPr="00D51FC2">
        <w:rPr>
          <w:lang w:eastAsia="ja-JP"/>
        </w:rPr>
        <w:t>iagram</w:t>
      </w:r>
      <w:bookmarkEnd w:id="69"/>
    </w:p>
    <w:p w:rsidR="00606EA3" w:rsidRDefault="00606EA3" w:rsidP="00606EA3">
      <w:pPr>
        <w:pStyle w:val="Figure"/>
        <w:rPr>
          <w:rFonts w:eastAsia="MS Mincho"/>
          <w:lang w:eastAsia="ja-JP"/>
        </w:rPr>
      </w:pPr>
      <w:r w:rsidRPr="00D51FC2">
        <w:rPr>
          <w:noProof/>
          <w:lang w:val="en-US" w:eastAsia="zh-CN"/>
        </w:rPr>
        <w:drawing>
          <wp:inline distT="0" distB="0" distL="0" distR="0" wp14:anchorId="46A73509" wp14:editId="17AA8233">
            <wp:extent cx="4248150" cy="24574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4248150" cy="2457450"/>
                    </a:xfrm>
                    <a:prstGeom prst="rect">
                      <a:avLst/>
                    </a:prstGeom>
                    <a:noFill/>
                    <a:ln>
                      <a:noFill/>
                    </a:ln>
                  </pic:spPr>
                </pic:pic>
              </a:graphicData>
            </a:graphic>
          </wp:inline>
        </w:drawing>
      </w:r>
    </w:p>
    <w:p w:rsidR="00606EA3" w:rsidRPr="00B67DEF" w:rsidRDefault="00606EA3" w:rsidP="00606EA3">
      <w:pPr>
        <w:pStyle w:val="Figure"/>
        <w:rPr>
          <w:rFonts w:eastAsia="MS Mincho"/>
          <w:sz w:val="8"/>
          <w:szCs w:val="8"/>
          <w:lang w:eastAsia="ja-JP"/>
        </w:rPr>
      </w:pPr>
    </w:p>
    <w:p w:rsidR="00606EA3" w:rsidRDefault="00606EA3" w:rsidP="00606EA3">
      <w:pPr>
        <w:rPr>
          <w:rFonts w:eastAsia="MS Mincho"/>
          <w:szCs w:val="19"/>
          <w:lang w:val="en-GB" w:eastAsia="ja-JP"/>
        </w:rPr>
      </w:pPr>
      <w:r w:rsidRPr="00D51FC2">
        <w:rPr>
          <w:rFonts w:eastAsia="MS Mincho"/>
          <w:szCs w:val="19"/>
          <w:lang w:val="en-GB" w:eastAsia="ja-JP"/>
        </w:rPr>
        <w:t>Figure 6.3 shows the screen shot of the tribrid power control monitor. It shows the power supply from solar panels to the wireless equipment and the excess power charged in batteries. Only a very small amount of commercial power is being used.</w:t>
      </w:r>
    </w:p>
    <w:p w:rsidR="00606EA3" w:rsidRPr="002A103D" w:rsidRDefault="00606EA3" w:rsidP="00606EA3">
      <w:pPr>
        <w:pStyle w:val="Figuretitle"/>
        <w:rPr>
          <w:lang w:val="en-US"/>
        </w:rPr>
      </w:pPr>
      <w:bookmarkStart w:id="70" w:name="_Toc379381984"/>
      <w:r w:rsidRPr="00D51FC2">
        <w:rPr>
          <w:lang w:eastAsia="en-US"/>
        </w:rPr>
        <w:t>Figure 6.</w:t>
      </w:r>
      <w:r w:rsidRPr="00D51FC2">
        <w:rPr>
          <w:rFonts w:eastAsia="MS Mincho"/>
          <w:lang w:eastAsia="en-US"/>
        </w:rPr>
        <w:t>3</w:t>
      </w:r>
      <w:r w:rsidRPr="00D51FC2">
        <w:rPr>
          <w:lang w:eastAsia="ja-JP"/>
        </w:rPr>
        <w:t xml:space="preserve"> </w:t>
      </w:r>
      <w:r>
        <w:rPr>
          <w:lang w:eastAsia="ja-JP"/>
        </w:rPr>
        <w:t>–</w:t>
      </w:r>
      <w:r w:rsidRPr="00D51FC2">
        <w:rPr>
          <w:lang w:eastAsia="ja-JP"/>
        </w:rPr>
        <w:t xml:space="preserve"> </w:t>
      </w:r>
      <w:r w:rsidRPr="00D51FC2">
        <w:rPr>
          <w:rFonts w:eastAsia="MS Mincho"/>
          <w:lang w:eastAsia="en-US"/>
        </w:rPr>
        <w:t>Screen shot of t</w:t>
      </w:r>
      <w:r w:rsidRPr="00D51FC2">
        <w:rPr>
          <w:lang w:eastAsia="en-US"/>
        </w:rPr>
        <w:t>ribrid power control</w:t>
      </w:r>
      <w:r w:rsidRPr="00D51FC2">
        <w:rPr>
          <w:rFonts w:eastAsia="MS Mincho"/>
          <w:lang w:eastAsia="en-US"/>
        </w:rPr>
        <w:t xml:space="preserve"> system</w:t>
      </w:r>
      <w:bookmarkEnd w:id="70"/>
    </w:p>
    <w:p w:rsidR="00606EA3" w:rsidRDefault="00606EA3" w:rsidP="00606EA3">
      <w:pPr>
        <w:pStyle w:val="Figure"/>
        <w:rPr>
          <w:rFonts w:eastAsia="MS Mincho"/>
          <w:lang w:eastAsia="ja-JP"/>
        </w:rPr>
      </w:pPr>
      <w:r w:rsidRPr="00D51FC2">
        <w:rPr>
          <w:noProof/>
          <w:lang w:val="en-US" w:eastAsia="zh-CN"/>
        </w:rPr>
        <w:drawing>
          <wp:inline distT="0" distB="0" distL="0" distR="0" wp14:anchorId="03518F89" wp14:editId="6AFC264D">
            <wp:extent cx="4248150" cy="2800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4248150" cy="2800350"/>
                    </a:xfrm>
                    <a:prstGeom prst="rect">
                      <a:avLst/>
                    </a:prstGeom>
                    <a:noFill/>
                    <a:ln>
                      <a:noFill/>
                    </a:ln>
                  </pic:spPr>
                </pic:pic>
              </a:graphicData>
            </a:graphic>
          </wp:inline>
        </w:drawing>
      </w:r>
    </w:p>
    <w:p w:rsidR="00606EA3" w:rsidRPr="00B67DEF" w:rsidRDefault="00606EA3" w:rsidP="00606EA3">
      <w:pPr>
        <w:pStyle w:val="Figure"/>
        <w:rPr>
          <w:rFonts w:eastAsia="MS Mincho"/>
          <w:sz w:val="8"/>
          <w:szCs w:val="8"/>
          <w:lang w:eastAsia="ja-JP"/>
        </w:rPr>
      </w:pPr>
    </w:p>
    <w:p w:rsidR="00606EA3" w:rsidRPr="006228E3" w:rsidRDefault="00606EA3" w:rsidP="00606EA3">
      <w:pPr>
        <w:pStyle w:val="Heading3"/>
      </w:pPr>
      <w:r w:rsidRPr="006228E3">
        <w:t>6.1.4</w:t>
      </w:r>
      <w:r w:rsidRPr="006228E3">
        <w:tab/>
      </w:r>
      <w:r w:rsidRPr="0080275E">
        <w:t>Conclusion</w:t>
      </w:r>
    </w:p>
    <w:p w:rsidR="00606EA3" w:rsidRPr="00D51FC2" w:rsidRDefault="00606EA3" w:rsidP="00606EA3">
      <w:pPr>
        <w:rPr>
          <w:lang w:val="en-US"/>
        </w:rPr>
      </w:pPr>
      <w:r w:rsidRPr="00D51FC2">
        <w:rPr>
          <w:lang w:val="en-US"/>
        </w:rPr>
        <w:t>To assess the availability and scale ability of the technology, the tribrid power control equipment was installed in commercial base stations and field trials commenced in December 2009. The trials are being conducted at 10 locations nationwide to determine optimal solar panel installation methods and power supply configurations, taking into consideration environmental conditions such as geography and climate.</w:t>
      </w:r>
    </w:p>
    <w:p w:rsidR="00606EA3" w:rsidRDefault="00606EA3" w:rsidP="00606EA3">
      <w:pPr>
        <w:spacing w:before="0"/>
        <w:jc w:val="left"/>
        <w:rPr>
          <w:rFonts w:ascii="Verdana" w:eastAsia="SimHei" w:hAnsi="Verdana" w:cs="Simplified Arabic"/>
          <w:sz w:val="19"/>
          <w:szCs w:val="19"/>
          <w:lang w:val="en-US" w:eastAsia="en-US"/>
        </w:rPr>
      </w:pPr>
      <w:r>
        <w:rPr>
          <w:lang w:val="en-US"/>
        </w:rPr>
        <w:br w:type="page"/>
      </w:r>
    </w:p>
    <w:p w:rsidR="00606EA3" w:rsidRPr="00D51FC2" w:rsidRDefault="00606EA3" w:rsidP="00606EA3">
      <w:pPr>
        <w:pStyle w:val="Figuretitle"/>
        <w:rPr>
          <w:rFonts w:eastAsia="MS Mincho"/>
        </w:rPr>
      </w:pPr>
      <w:bookmarkStart w:id="71" w:name="_Toc379381985"/>
      <w:r w:rsidRPr="00D51FC2">
        <w:lastRenderedPageBreak/>
        <w:t>Figure 6.</w:t>
      </w:r>
      <w:r w:rsidRPr="00D51FC2">
        <w:rPr>
          <w:rFonts w:eastAsia="MS Mincho"/>
        </w:rPr>
        <w:t>4</w:t>
      </w:r>
      <w:r w:rsidRPr="00D51FC2">
        <w:rPr>
          <w:lang w:eastAsia="ja-JP"/>
        </w:rPr>
        <w:t xml:space="preserve"> </w:t>
      </w:r>
      <w:r>
        <w:rPr>
          <w:lang w:eastAsia="ja-JP"/>
        </w:rPr>
        <w:t>–</w:t>
      </w:r>
      <w:r w:rsidRPr="00D51FC2">
        <w:t xml:space="preserve"> Equipment installed for tribrid technology field trials</w:t>
      </w:r>
      <w:bookmarkEnd w:id="71"/>
    </w:p>
    <w:p w:rsidR="00606EA3" w:rsidRDefault="00606EA3" w:rsidP="00606EA3">
      <w:pPr>
        <w:pStyle w:val="Figure"/>
      </w:pPr>
      <w:r w:rsidRPr="00D51FC2">
        <w:rPr>
          <w:noProof/>
          <w:lang w:val="en-US" w:eastAsia="zh-CN"/>
        </w:rPr>
        <w:drawing>
          <wp:inline distT="0" distB="0" distL="0" distR="0" wp14:anchorId="66564644" wp14:editId="16D29DDC">
            <wp:extent cx="4248150" cy="27813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48150" cy="2781300"/>
                    </a:xfrm>
                    <a:prstGeom prst="rect">
                      <a:avLst/>
                    </a:prstGeom>
                    <a:noFill/>
                    <a:ln>
                      <a:noFill/>
                    </a:ln>
                  </pic:spPr>
                </pic:pic>
              </a:graphicData>
            </a:graphic>
          </wp:inline>
        </w:drawing>
      </w:r>
    </w:p>
    <w:p w:rsidR="00606EA3" w:rsidRPr="00B67DEF" w:rsidRDefault="00606EA3" w:rsidP="00606EA3">
      <w:pPr>
        <w:pStyle w:val="Figure"/>
        <w:rPr>
          <w:sz w:val="8"/>
          <w:szCs w:val="8"/>
        </w:rPr>
      </w:pPr>
    </w:p>
    <w:p w:rsidR="00606EA3" w:rsidRPr="00D51FC2" w:rsidRDefault="00606EA3" w:rsidP="00606EA3">
      <w:pPr>
        <w:pStyle w:val="Heading2"/>
      </w:pPr>
      <w:bookmarkStart w:id="72" w:name="_Toc377721069"/>
      <w:bookmarkStart w:id="73" w:name="_Toc377976455"/>
      <w:r w:rsidRPr="00D51FC2">
        <w:t>6.5</w:t>
      </w:r>
      <w:r w:rsidRPr="00D51FC2">
        <w:tab/>
        <w:t xml:space="preserve">Future </w:t>
      </w:r>
      <w:r>
        <w:t>o</w:t>
      </w:r>
      <w:r w:rsidRPr="00D51FC2">
        <w:t>utlook</w:t>
      </w:r>
      <w:bookmarkEnd w:id="72"/>
      <w:bookmarkEnd w:id="73"/>
    </w:p>
    <w:p w:rsidR="00606EA3" w:rsidRPr="00D51FC2" w:rsidRDefault="00606EA3" w:rsidP="00606EA3">
      <w:pPr>
        <w:rPr>
          <w:lang w:val="en-US"/>
        </w:rPr>
      </w:pPr>
      <w:r w:rsidRPr="00D51FC2">
        <w:rPr>
          <w:lang w:val="en-US"/>
        </w:rPr>
        <w:t>KDDI intends to expand the technology into efficient use of natural energy including solar power, looking beyond base stations towards applications for energy-saving systems at communications offices, data centers and even private homes.</w:t>
      </w:r>
    </w:p>
    <w:p w:rsidR="00606EA3" w:rsidRPr="006228E3" w:rsidRDefault="00606EA3" w:rsidP="00606EA3">
      <w:pPr>
        <w:pStyle w:val="Heading2"/>
        <w:ind w:left="851" w:hanging="851"/>
      </w:pPr>
      <w:bookmarkStart w:id="74" w:name="_Toc377721070"/>
      <w:bookmarkStart w:id="75" w:name="_Toc377976456"/>
      <w:r>
        <w:t>6.2</w:t>
      </w:r>
      <w:r>
        <w:tab/>
      </w:r>
      <w:r w:rsidRPr="006228E3">
        <w:t xml:space="preserve">Case study 2: </w:t>
      </w:r>
      <w:r w:rsidRPr="0080275E">
        <w:t>ICT</w:t>
      </w:r>
      <w:r w:rsidRPr="006228E3">
        <w:t xml:space="preserve"> and climate change adap</w:t>
      </w:r>
      <w:r>
        <w:t>t</w:t>
      </w:r>
      <w:r w:rsidRPr="006228E3">
        <w:t>ation and mitigation: the case of Ghana</w:t>
      </w:r>
      <w:bookmarkEnd w:id="74"/>
      <w:bookmarkEnd w:id="75"/>
      <w:r w:rsidRPr="006228E3">
        <w:t xml:space="preserve"> </w:t>
      </w:r>
    </w:p>
    <w:p w:rsidR="00606EA3" w:rsidRPr="006228E3" w:rsidRDefault="00606EA3" w:rsidP="00606EA3">
      <w:pPr>
        <w:pStyle w:val="Heading3"/>
      </w:pPr>
      <w:r>
        <w:t>6.2.1</w:t>
      </w:r>
      <w:r>
        <w:tab/>
      </w:r>
      <w:r w:rsidRPr="0080275E">
        <w:t>Background</w:t>
      </w:r>
    </w:p>
    <w:p w:rsidR="00606EA3" w:rsidRPr="002A103D" w:rsidRDefault="00606EA3" w:rsidP="00606EA3">
      <w:pPr>
        <w:autoSpaceDE w:val="0"/>
        <w:autoSpaceDN w:val="0"/>
        <w:adjustRightInd w:val="0"/>
        <w:rPr>
          <w:rFonts w:cs="Calibri"/>
          <w:bCs/>
          <w:szCs w:val="19"/>
          <w:lang w:val="en-US"/>
        </w:rPr>
      </w:pPr>
      <w:r w:rsidRPr="002A103D">
        <w:rPr>
          <w:rFonts w:cs="Calibri"/>
          <w:szCs w:val="19"/>
          <w:lang w:val="en-US"/>
        </w:rPr>
        <w:t>Information and Communication Technologies (ICTs) are playing an increasing role in our society. From the local to the global level, ICTs have enabled the development of new skills, competitiveness and growth, particularly in developing nations. The capacity of ICT to mitigate the harmful effects of climate change imposes a responsibility of policymakers, and indeed all stakeholders of the Information Society, to promote the technology as an effective way of mitigating the current changes.</w:t>
      </w:r>
    </w:p>
    <w:p w:rsidR="00606EA3" w:rsidRPr="002A103D" w:rsidRDefault="00606EA3" w:rsidP="00606EA3">
      <w:pPr>
        <w:autoSpaceDE w:val="0"/>
        <w:autoSpaceDN w:val="0"/>
        <w:adjustRightInd w:val="0"/>
        <w:rPr>
          <w:rFonts w:cs="Calibri"/>
          <w:szCs w:val="19"/>
          <w:lang w:val="en-US"/>
        </w:rPr>
      </w:pPr>
      <w:r w:rsidRPr="002A103D">
        <w:rPr>
          <w:rFonts w:cs="Calibri"/>
          <w:szCs w:val="19"/>
          <w:lang w:val="en-US"/>
        </w:rPr>
        <w:t>ITU published a report</w:t>
      </w:r>
      <w:r w:rsidRPr="00ED1894">
        <w:rPr>
          <w:rStyle w:val="FootnoteReference"/>
          <w:rFonts w:cs="Calibri"/>
          <w:sz w:val="19"/>
          <w:szCs w:val="19"/>
        </w:rPr>
        <w:footnoteReference w:id="2"/>
      </w:r>
      <w:r w:rsidRPr="002A103D">
        <w:rPr>
          <w:rFonts w:cs="Calibri"/>
          <w:szCs w:val="19"/>
          <w:lang w:val="en-US"/>
        </w:rPr>
        <w:t xml:space="preserve"> that recognizes the productive and the transformative potential of ICTtools, it can help Ghana, as well as other developing countries, to better adapt to the challenges posed by climate change. It is currently estimated that the ICT sector contributes approximately 2 to 2.5 per cent of global greenhouse gas emissions, and this is likely to increase as ICTs become more widely available. Due to the </w:t>
      </w:r>
      <w:r>
        <w:rPr>
          <w:rFonts w:cs="Calibri"/>
          <w:szCs w:val="19"/>
          <w:lang w:val="en-US"/>
        </w:rPr>
        <w:t>p</w:t>
      </w:r>
      <w:r w:rsidRPr="002A103D">
        <w:rPr>
          <w:rFonts w:cs="Calibri"/>
          <w:szCs w:val="19"/>
          <w:lang w:val="en-US"/>
        </w:rPr>
        <w:t xml:space="preserve">otential for the ICT industry to dramatically decrease the GHG emissions in nearly every other sector, as well as providing access to information, the challenge addressed in this report is how to make ICTs available to the whole population in Ghana without having an adverse impact on climate by adding to carbon dioxide emissions. If emissions are not stopped in the ICT and other industry sectors, Ghana will become a significant emitter of carbon dioxide along with the developed countries. By focusing on the lowest power ICT solutions, as described in this report (which focuses specifically on developing countries) the evolution path for Ghana will be on a much lower emissions trajectory, saving energy cost and </w:t>
      </w:r>
      <w:r w:rsidRPr="002A103D">
        <w:rPr>
          <w:rFonts w:cs="Calibri"/>
          <w:szCs w:val="19"/>
          <w:lang w:val="en-US"/>
        </w:rPr>
        <w:lastRenderedPageBreak/>
        <w:t>minimizing emissions.</w:t>
      </w:r>
      <w:r>
        <w:rPr>
          <w:rFonts w:cs="Calibri"/>
          <w:szCs w:val="19"/>
          <w:lang w:val="en-US"/>
        </w:rPr>
        <w:t xml:space="preserve"> </w:t>
      </w:r>
      <w:r w:rsidRPr="002A103D">
        <w:rPr>
          <w:rFonts w:cs="Calibri"/>
          <w:szCs w:val="19"/>
          <w:lang w:val="en-US"/>
        </w:rPr>
        <w:t>Climate change adaptation  can take the form of anticipatory or reactive, spontaneous or planned actions that are undertaken by actors in response to climatic events3. As climate change science predicts an increase of 2°C in the average temperature of the planet above the pre-industrial level, efforts aimed at designing and implementing strategies to moderate, cope with and take advantage of the impact</w:t>
      </w:r>
    </w:p>
    <w:p w:rsidR="00606EA3" w:rsidRPr="002A103D" w:rsidRDefault="00606EA3" w:rsidP="00606EA3">
      <w:pPr>
        <w:autoSpaceDE w:val="0"/>
        <w:autoSpaceDN w:val="0"/>
        <w:adjustRightInd w:val="0"/>
        <w:rPr>
          <w:rFonts w:cs="Calibri"/>
          <w:bCs/>
          <w:szCs w:val="19"/>
          <w:lang w:val="en-US"/>
        </w:rPr>
      </w:pPr>
      <w:r w:rsidRPr="002A103D">
        <w:rPr>
          <w:rFonts w:cs="Calibri"/>
          <w:szCs w:val="19"/>
          <w:lang w:val="en-US"/>
        </w:rPr>
        <w:t>The case of Ghana, a West African nation that has reported temperature increase of 1°C over the past 30 years, as well as the impacts of erratic rainfall, floods and more extreme weather events19, serves to illustrate the severity with which climatic challenges are affecting developing nations, as well as the actions taken and the resources needed to address them. Ghana’s case will also help to demonstrate the potential of ICTs towards the fulfilment of adaptation goals, setting the context to draw lessons learned and suggested steps in subsequent sections of the report.</w:t>
      </w:r>
    </w:p>
    <w:p w:rsidR="00606EA3" w:rsidRPr="00ED1894" w:rsidRDefault="00606EA3" w:rsidP="00606EA3">
      <w:pPr>
        <w:pStyle w:val="Heading3"/>
      </w:pPr>
      <w:r>
        <w:t>6.2.2</w:t>
      </w:r>
      <w:r>
        <w:tab/>
      </w:r>
      <w:r w:rsidRPr="00ED1894">
        <w:t xml:space="preserve">Climate change </w:t>
      </w:r>
      <w:r w:rsidRPr="00700B18">
        <w:t>in</w:t>
      </w:r>
      <w:r w:rsidRPr="00ED1894">
        <w:t xml:space="preserve"> Ghana</w:t>
      </w:r>
    </w:p>
    <w:p w:rsidR="00606EA3" w:rsidRPr="002A103D" w:rsidRDefault="00606EA3" w:rsidP="00606EA3">
      <w:pPr>
        <w:autoSpaceDE w:val="0"/>
        <w:autoSpaceDN w:val="0"/>
        <w:adjustRightInd w:val="0"/>
        <w:rPr>
          <w:rFonts w:cs="Calibri"/>
          <w:bCs/>
          <w:szCs w:val="19"/>
          <w:lang w:val="en-US"/>
        </w:rPr>
      </w:pPr>
      <w:r w:rsidRPr="002A103D">
        <w:rPr>
          <w:rFonts w:cs="Calibri"/>
          <w:szCs w:val="19"/>
          <w:lang w:val="en-US"/>
        </w:rPr>
        <w:t>Ghana is located in one of the world’s most complex climate change regions. At the intersection of three hydro-climatic zones, and subject to the impact of El Niño Southern Oscillation (ENSO), the Inter-Tropical Convergence Zone (ITCZ) and West Africa monsoon, the country is highly vulnerable to climate change, variability and uncertainty. The increase in the frequency and intensity of rainfall, floods and landslides, along with the occurrence of extended periods of drought, intense temperatures and heat, have been linked to changing climatic patterns. Such extreme and unpredictable events have devastating consequences for Ghana’s socioeconomic development and food security, particularly for millions of people whose livelihoods depend on agriculture and livestock. Ghana is located in one of the world’s most complex climate change regions. At the intersection of three hydro-climatic zones, and subject to the impact of El Niño Southern Oscillation (ENSO), the Inter-Tropical Convergence Zone (ITCZ) and West Africa monsoon, the country is highly vulnerable to climate change, variability and uncertainty.</w:t>
      </w:r>
    </w:p>
    <w:p w:rsidR="00606EA3" w:rsidRPr="002A103D" w:rsidRDefault="00606EA3" w:rsidP="00606EA3">
      <w:pPr>
        <w:autoSpaceDE w:val="0"/>
        <w:autoSpaceDN w:val="0"/>
        <w:adjustRightInd w:val="0"/>
        <w:rPr>
          <w:rFonts w:cs="Calibri"/>
          <w:bCs/>
          <w:szCs w:val="19"/>
          <w:lang w:val="en-US"/>
        </w:rPr>
      </w:pPr>
      <w:r w:rsidRPr="002A103D">
        <w:rPr>
          <w:rFonts w:cs="Calibri"/>
          <w:szCs w:val="19"/>
          <w:lang w:val="en-US"/>
        </w:rPr>
        <w:t>The increase in the frequency and intensity of rainfall, floods and landslides, along with the occurrence of extended periods of drought, intense temperatures and heat, have been linked to changing climatic patterns. Such extreme and unpredictable events have devastating consequences for Ghana’s socioeconomic development and food security, particularly for millions of people whose livelihoods depend on agriculture and livestock.</w:t>
      </w:r>
    </w:p>
    <w:p w:rsidR="00606EA3" w:rsidRPr="002A103D" w:rsidRDefault="00606EA3" w:rsidP="00606EA3">
      <w:pPr>
        <w:autoSpaceDE w:val="0"/>
        <w:autoSpaceDN w:val="0"/>
        <w:adjustRightInd w:val="0"/>
        <w:rPr>
          <w:rFonts w:cs="Calibri"/>
          <w:bCs/>
          <w:szCs w:val="19"/>
          <w:lang w:val="en-US"/>
        </w:rPr>
      </w:pPr>
      <w:r w:rsidRPr="002A103D">
        <w:rPr>
          <w:rFonts w:cs="Calibri"/>
          <w:szCs w:val="19"/>
          <w:lang w:val="en-US"/>
        </w:rPr>
        <w:t>The intensification of extreme weather events such as excessive rainfall has led to the overflow of Ghana’s major water bodies. For example, for the first time in twenty years, the level of the Akosombo Dam Reservoir, which provides electricity to Ghana and its neighbouring West African countries including Benin and Togo, rose to 274.8 ft, close to the maximum of 278 ft in 2010. Consequently, regions which have communities close to the Volta River or lying along the path of the river towards the south of the Hydro-Electric Power Generator were flooded. It is estimated that in 2010, over 377,652 people were internally displaced due to the floods, one of the most severe catastrophes that Ghana has ever had to face. The consequences were even more severe considering that some areas which were affected by the Akosombospillage had already been hit by flood waters from the Bagre and Kompeanga dams in neighbouring Burkina Faso. According to the Volta River Authority (VRA), there are significant possibilities that the floods will reoccur if erratic rainfall patterns continue.</w:t>
      </w:r>
    </w:p>
    <w:p w:rsidR="00606EA3" w:rsidRPr="002A103D" w:rsidRDefault="00606EA3" w:rsidP="00606EA3">
      <w:pPr>
        <w:autoSpaceDE w:val="0"/>
        <w:autoSpaceDN w:val="0"/>
        <w:adjustRightInd w:val="0"/>
        <w:rPr>
          <w:rFonts w:cs="Calibri"/>
          <w:bCs/>
          <w:szCs w:val="19"/>
          <w:lang w:val="en-US"/>
        </w:rPr>
      </w:pPr>
      <w:r w:rsidRPr="002A103D">
        <w:rPr>
          <w:rFonts w:cs="Calibri"/>
          <w:szCs w:val="19"/>
          <w:lang w:val="en-US"/>
        </w:rPr>
        <w:t>As in the case of other developing countries, the impacts of climate change and variability in Ghana contribute to intensify the pre-existing challenges of poverty and rural marginalization, rapid urbanization and growth of informal settlements, land depletion and fragile ecosystems, among others.</w:t>
      </w:r>
    </w:p>
    <w:p w:rsidR="00606EA3" w:rsidRPr="002A103D" w:rsidRDefault="00606EA3" w:rsidP="00606EA3">
      <w:pPr>
        <w:autoSpaceDE w:val="0"/>
        <w:autoSpaceDN w:val="0"/>
        <w:adjustRightInd w:val="0"/>
        <w:rPr>
          <w:rFonts w:cs="Calibri"/>
          <w:bCs/>
          <w:szCs w:val="19"/>
          <w:lang w:val="en-US"/>
        </w:rPr>
      </w:pPr>
      <w:r w:rsidRPr="002A103D">
        <w:rPr>
          <w:rFonts w:cs="Calibri"/>
          <w:szCs w:val="19"/>
          <w:lang w:val="en-US"/>
        </w:rPr>
        <w:t>While the future projected changes in the climate are still uncertain, studies41 suggest a temperature increase between 1.0 to 3.0°C by the 2060s, and 1.5 to 5.2°C by the 2090s, as well as severe changes in seasonality, among others.</w:t>
      </w:r>
    </w:p>
    <w:p w:rsidR="00606EA3" w:rsidRDefault="00606EA3" w:rsidP="00606EA3">
      <w:pPr>
        <w:spacing w:before="0"/>
        <w:jc w:val="left"/>
        <w:rPr>
          <w:rFonts w:eastAsia="Times New Roman" w:cs="Helvetica"/>
          <w:b/>
          <w:bCs/>
          <w:i/>
          <w:iCs/>
          <w:color w:val="005173"/>
          <w:sz w:val="24"/>
          <w:szCs w:val="32"/>
          <w:lang w:val="en-US"/>
        </w:rPr>
      </w:pPr>
      <w:r w:rsidRPr="00067F61">
        <w:rPr>
          <w:lang w:val="en-US"/>
        </w:rPr>
        <w:br w:type="page"/>
      </w:r>
    </w:p>
    <w:p w:rsidR="00606EA3" w:rsidRPr="00ED1894" w:rsidRDefault="00606EA3" w:rsidP="00606EA3">
      <w:pPr>
        <w:pStyle w:val="Heading3"/>
      </w:pPr>
      <w:r w:rsidRPr="00506EAC">
        <w:lastRenderedPageBreak/>
        <w:t>6.2.3</w:t>
      </w:r>
      <w:r w:rsidRPr="00506EAC">
        <w:tab/>
      </w:r>
      <w:r>
        <w:tab/>
      </w:r>
      <w:r w:rsidRPr="00506EAC">
        <w:t>Priorities in</w:t>
      </w:r>
      <w:r w:rsidRPr="00ED1894">
        <w:t xml:space="preserve"> Ghana</w:t>
      </w:r>
      <w:r w:rsidRPr="00506EAC">
        <w:t xml:space="preserve"> for</w:t>
      </w:r>
      <w:r w:rsidRPr="00ED1894">
        <w:t xml:space="preserve"> </w:t>
      </w:r>
      <w:r>
        <w:t>the c</w:t>
      </w:r>
      <w:r w:rsidRPr="00ED1894">
        <w:t xml:space="preserve">limate </w:t>
      </w:r>
      <w:r>
        <w:t>c</w:t>
      </w:r>
      <w:r w:rsidRPr="00ED1894">
        <w:t xml:space="preserve">hange </w:t>
      </w:r>
      <w:r w:rsidRPr="0080275E">
        <w:t>adaptation</w:t>
      </w:r>
      <w:r w:rsidRPr="00ED1894">
        <w:t xml:space="preserve"> </w:t>
      </w:r>
      <w:r>
        <w:t>s</w:t>
      </w:r>
      <w:r w:rsidRPr="00ED1894">
        <w:t>trategy</w:t>
      </w:r>
    </w:p>
    <w:p w:rsidR="00606EA3" w:rsidRPr="002A103D" w:rsidRDefault="00606EA3" w:rsidP="00606EA3">
      <w:pPr>
        <w:autoSpaceDE w:val="0"/>
        <w:autoSpaceDN w:val="0"/>
        <w:adjustRightInd w:val="0"/>
        <w:rPr>
          <w:rFonts w:cs="Calibri"/>
          <w:bCs/>
          <w:szCs w:val="19"/>
          <w:lang w:val="en-US"/>
        </w:rPr>
      </w:pPr>
      <w:r w:rsidRPr="002A103D">
        <w:rPr>
          <w:rFonts w:cs="Calibri"/>
          <w:szCs w:val="19"/>
          <w:lang w:val="en-US"/>
        </w:rPr>
        <w:t>The main priorities of Ghana’s National Climate Change Adaptation Strategy are as follows.</w:t>
      </w:r>
    </w:p>
    <w:p w:rsidR="00606EA3" w:rsidRPr="00ED1894" w:rsidRDefault="00606EA3" w:rsidP="00606EA3">
      <w:pPr>
        <w:pStyle w:val="Enumlevel1"/>
      </w:pPr>
      <w:r>
        <w:rPr>
          <w:lang w:val="en-US"/>
        </w:rPr>
        <w:t>1.</w:t>
      </w:r>
      <w:r>
        <w:rPr>
          <w:lang w:val="en-US"/>
        </w:rPr>
        <w:tab/>
      </w:r>
      <w:r w:rsidRPr="00ED1894">
        <w:t>In</w:t>
      </w:r>
      <w:r>
        <w:t>cr</w:t>
      </w:r>
      <w:r w:rsidRPr="00ED1894">
        <w:t>easing resilience to climate change impacts: identify</w:t>
      </w:r>
      <w:r w:rsidRPr="00506EAC">
        <w:t xml:space="preserve">ing and enhancing early warning </w:t>
      </w:r>
      <w:r w:rsidRPr="00ED1894">
        <w:t>systems</w:t>
      </w:r>
    </w:p>
    <w:p w:rsidR="00606EA3" w:rsidRPr="00ED1894" w:rsidRDefault="00606EA3" w:rsidP="00606EA3">
      <w:pPr>
        <w:pStyle w:val="Enumlevel1"/>
      </w:pPr>
      <w:r>
        <w:rPr>
          <w:lang w:val="en-US"/>
        </w:rPr>
        <w:t>2.</w:t>
      </w:r>
      <w:r>
        <w:rPr>
          <w:lang w:val="en-US"/>
        </w:rPr>
        <w:tab/>
      </w:r>
      <w:r w:rsidRPr="00ED1894">
        <w:t>Alternative livelihoods: minimizing impacts of climate change for the poor and vulnerable</w:t>
      </w:r>
    </w:p>
    <w:p w:rsidR="00606EA3" w:rsidRPr="00ED1894" w:rsidRDefault="00606EA3" w:rsidP="00606EA3">
      <w:pPr>
        <w:pStyle w:val="Enumlevel1"/>
      </w:pPr>
      <w:r>
        <w:rPr>
          <w:lang w:val="en-US"/>
        </w:rPr>
        <w:t>3.</w:t>
      </w:r>
      <w:r>
        <w:rPr>
          <w:lang w:val="en-US"/>
        </w:rPr>
        <w:tab/>
      </w:r>
      <w:r w:rsidRPr="00ED1894">
        <w:t>Enhance national capacity to adapt to climate c</w:t>
      </w:r>
      <w:r w:rsidRPr="00506EAC">
        <w:t xml:space="preserve">hange through improved land use </w:t>
      </w:r>
      <w:r w:rsidRPr="00ED1894">
        <w:t>management</w:t>
      </w:r>
    </w:p>
    <w:p w:rsidR="00606EA3" w:rsidRPr="00ED1894" w:rsidRDefault="00606EA3" w:rsidP="00606EA3">
      <w:pPr>
        <w:pStyle w:val="Enumlevel1"/>
      </w:pPr>
      <w:r>
        <w:rPr>
          <w:lang w:val="en-US"/>
        </w:rPr>
        <w:t>4.</w:t>
      </w:r>
      <w:r>
        <w:rPr>
          <w:lang w:val="en-US"/>
        </w:rPr>
        <w:tab/>
      </w:r>
      <w:r w:rsidRPr="00ED1894">
        <w:t>Adapting to climate change through enhanced research and awareness creation</w:t>
      </w:r>
    </w:p>
    <w:p w:rsidR="00606EA3" w:rsidRPr="00ED1894" w:rsidRDefault="00606EA3" w:rsidP="00606EA3">
      <w:pPr>
        <w:pStyle w:val="Enumlevel1"/>
      </w:pPr>
      <w:r>
        <w:rPr>
          <w:lang w:val="en-US"/>
        </w:rPr>
        <w:t>5.</w:t>
      </w:r>
      <w:r>
        <w:rPr>
          <w:lang w:val="en-US"/>
        </w:rPr>
        <w:tab/>
      </w:r>
      <w:r w:rsidRPr="00ED1894">
        <w:t>Development and implementation of environmental sanitation</w:t>
      </w:r>
      <w:r w:rsidRPr="00506EAC">
        <w:t xml:space="preserve"> strategies to adapt to climate </w:t>
      </w:r>
      <w:r w:rsidRPr="00ED1894">
        <w:t>change</w:t>
      </w:r>
    </w:p>
    <w:p w:rsidR="00606EA3" w:rsidRPr="00ED1894" w:rsidRDefault="00606EA3" w:rsidP="00606EA3">
      <w:pPr>
        <w:pStyle w:val="Enumlevel1"/>
      </w:pPr>
      <w:r>
        <w:rPr>
          <w:lang w:val="en-US"/>
        </w:rPr>
        <w:t>6.</w:t>
      </w:r>
      <w:r>
        <w:rPr>
          <w:lang w:val="en-US"/>
        </w:rPr>
        <w:tab/>
      </w:r>
      <w:r w:rsidRPr="00ED1894">
        <w:t>Managing water resources as climate change adaptat</w:t>
      </w:r>
      <w:r w:rsidRPr="00506EAC">
        <w:t xml:space="preserve">ion to enhance productivity and </w:t>
      </w:r>
      <w:r w:rsidRPr="00ED1894">
        <w:t>livelihoods</w:t>
      </w:r>
    </w:p>
    <w:p w:rsidR="00606EA3" w:rsidRPr="00ED1894" w:rsidRDefault="00606EA3" w:rsidP="00606EA3">
      <w:pPr>
        <w:pStyle w:val="Enumlevel1"/>
      </w:pPr>
      <w:r>
        <w:rPr>
          <w:lang w:val="en-US"/>
        </w:rPr>
        <w:t>7.</w:t>
      </w:r>
      <w:r>
        <w:rPr>
          <w:lang w:val="en-US"/>
        </w:rPr>
        <w:tab/>
      </w:r>
      <w:r w:rsidRPr="00ED1894">
        <w:t>Minimizing climate change impacts on socio-economic d</w:t>
      </w:r>
      <w:r w:rsidRPr="00506EAC">
        <w:t xml:space="preserve">evelopment through agricultural </w:t>
      </w:r>
      <w:r w:rsidRPr="00ED1894">
        <w:t>diversification</w:t>
      </w:r>
    </w:p>
    <w:p w:rsidR="00606EA3" w:rsidRPr="00ED1894" w:rsidRDefault="00606EA3" w:rsidP="00606EA3">
      <w:pPr>
        <w:pStyle w:val="Enumlevel1"/>
      </w:pPr>
      <w:r>
        <w:rPr>
          <w:lang w:val="en-US"/>
        </w:rPr>
        <w:t>8.</w:t>
      </w:r>
      <w:r>
        <w:rPr>
          <w:lang w:val="en-US"/>
        </w:rPr>
        <w:tab/>
      </w:r>
      <w:r w:rsidRPr="00ED1894">
        <w:t>Minimizing climate change impacts human health through improved access to healthcare</w:t>
      </w:r>
    </w:p>
    <w:p w:rsidR="00606EA3" w:rsidRPr="00ED1894" w:rsidRDefault="00606EA3" w:rsidP="00606EA3">
      <w:pPr>
        <w:pStyle w:val="Enumlevel1"/>
      </w:pPr>
      <w:r>
        <w:rPr>
          <w:lang w:val="en-US"/>
        </w:rPr>
        <w:t>9.</w:t>
      </w:r>
      <w:r>
        <w:rPr>
          <w:lang w:val="en-US"/>
        </w:rPr>
        <w:tab/>
      </w:r>
      <w:r w:rsidRPr="00ED1894">
        <w:t>Demand- and supply-side measures for adapting the natio</w:t>
      </w:r>
      <w:r w:rsidRPr="00506EAC">
        <w:t xml:space="preserve">nal energy system to impacts of climate </w:t>
      </w:r>
      <w:r w:rsidRPr="00ED1894">
        <w:t>change</w:t>
      </w:r>
    </w:p>
    <w:p w:rsidR="00606EA3" w:rsidRPr="00ED1894" w:rsidRDefault="00606EA3" w:rsidP="00606EA3">
      <w:pPr>
        <w:pStyle w:val="Enumlevel1"/>
      </w:pPr>
      <w:r>
        <w:rPr>
          <w:lang w:val="en-US"/>
        </w:rPr>
        <w:t>10.</w:t>
      </w:r>
      <w:r>
        <w:rPr>
          <w:lang w:val="en-US"/>
        </w:rPr>
        <w:tab/>
      </w:r>
      <w:r w:rsidRPr="00ED1894">
        <w:t>Adaptation to climate change: sustaining livelihoods through enhanced fisheries resource</w:t>
      </w:r>
      <w:r w:rsidRPr="00506EAC">
        <w:t xml:space="preserve"> </w:t>
      </w:r>
      <w:r w:rsidRPr="00ED1894">
        <w:t>Management</w:t>
      </w:r>
    </w:p>
    <w:p w:rsidR="00606EA3" w:rsidRPr="002A103D" w:rsidRDefault="00606EA3" w:rsidP="00606EA3">
      <w:pPr>
        <w:autoSpaceDE w:val="0"/>
        <w:autoSpaceDN w:val="0"/>
        <w:adjustRightInd w:val="0"/>
        <w:rPr>
          <w:rFonts w:cs="Calibri"/>
          <w:bCs/>
          <w:szCs w:val="19"/>
          <w:lang w:val="en-US"/>
        </w:rPr>
      </w:pPr>
      <w:r w:rsidRPr="002A103D">
        <w:rPr>
          <w:rFonts w:cs="Calibri"/>
          <w:szCs w:val="19"/>
          <w:lang w:val="en-US"/>
        </w:rPr>
        <w:t xml:space="preserve">At the </w:t>
      </w:r>
      <w:r w:rsidRPr="002A103D">
        <w:rPr>
          <w:rFonts w:cs="Calibri,Bold"/>
          <w:szCs w:val="19"/>
          <w:lang w:val="en-US"/>
        </w:rPr>
        <w:t>national level</w:t>
      </w:r>
      <w:r w:rsidRPr="002A103D">
        <w:rPr>
          <w:rFonts w:cs="Calibri"/>
          <w:szCs w:val="19"/>
          <w:lang w:val="en-US"/>
        </w:rPr>
        <w:t>, Ghana has demonstrated high level of political awareness about the potential of ICTs in the climate change field, which has translated into concrete actions to mobilize key stakeholders, and move forward the agenda on using ICTs to monitor climate change, mitigate and adapt to its effects. In 2011 the Ministry of Communications (MOC) of Ghana hosted the Sixth Symposium on ICTs, the Environment and Climate Change. This was the sixth symposium on climate change following successful events held between 2008 and 2010 in Kyoto, London, Quito, Seoul and Cairo. The event gathered leading specialists in the field, from top policy-makers to engineers, designers, planners, government officials, regulators and standards experts, among others.</w:t>
      </w:r>
    </w:p>
    <w:p w:rsidR="00606EA3" w:rsidRPr="002A103D" w:rsidRDefault="00606EA3" w:rsidP="00606EA3">
      <w:pPr>
        <w:autoSpaceDE w:val="0"/>
        <w:autoSpaceDN w:val="0"/>
        <w:adjustRightInd w:val="0"/>
        <w:rPr>
          <w:rFonts w:cs="Calibri"/>
          <w:bCs/>
          <w:szCs w:val="19"/>
          <w:lang w:val="en-US"/>
        </w:rPr>
      </w:pPr>
      <w:r w:rsidRPr="002A103D">
        <w:rPr>
          <w:rFonts w:cs="Calibri"/>
          <w:szCs w:val="19"/>
          <w:lang w:val="en-US"/>
        </w:rPr>
        <w:t>The symposium in Ghana focused on the issue of ICTs, the environment and climate change in Africa and the needs of developing countries. Topics discussed included adaptation to climate change, e-waste, disaster planning, costeffective ICT technologies, methodologies for the environmental impact assessment of ICTs, as well as challenges and opportunities in the transition to a green and resource efficient economy. The symposium concluded with a Call to Action addressing climate change as an input to the United Nations Climate Change Conference (COP17) held in Durban, and the 2012 United Nations Conference on Sustainable Development (UNCSD 2012 or Rio+20) held in Rio de Janeiro.</w:t>
      </w:r>
    </w:p>
    <w:p w:rsidR="00606EA3" w:rsidRPr="002A103D" w:rsidRDefault="00606EA3" w:rsidP="00606EA3">
      <w:pPr>
        <w:autoSpaceDE w:val="0"/>
        <w:autoSpaceDN w:val="0"/>
        <w:adjustRightInd w:val="0"/>
        <w:rPr>
          <w:rFonts w:cs="Calibri"/>
          <w:bCs/>
          <w:szCs w:val="19"/>
          <w:lang w:val="en-US"/>
        </w:rPr>
      </w:pPr>
      <w:r w:rsidRPr="002A103D">
        <w:rPr>
          <w:rFonts w:cs="Calibri"/>
          <w:szCs w:val="19"/>
          <w:lang w:val="en-US"/>
        </w:rPr>
        <w:t xml:space="preserve">At the sectoral and community levels, evidence of ICT’s use as part of adaptation actions is starting to emerge. Yet, further efforts are needed in order to systematise, document and analyse these experiences, particularly in regards to the role of ICTs in specific areas of vulnerability (e.g. agriculture, water management, infrastructure) that are intensified by the impacts of climate change. It is important to highlight some specific areas for ICT’s potential at both the sectoral and the community levels in the context of Ghana. One of them is Ghana’s cocoa sector. This sector accounts for approximately 32 per cent of Ghanaian exports, and is a key component of rural livelihoods. Much of the cocoa is grown by farmers with small farms, for whom the crop represents from 70 to 100 per cent of their annual household income. Highly sensitive to temperature and rainfall variations, cocoa is very vulnerable to the effects of climate change and variability that are affecting the country. Producers face multiple development challenges and resource constraints, and therefore, their capacity to prepare, respond and recover adequately to the effects of climatic events is limited. ICTs can play an important role in enabling more effective adaptation in the cocoa sector. ICTs such as mobile phones and radio, broadly adopted by low-income communities, can be used as part of a sector-wide strategy to disseminate appropriate technical information on efficient farming practices, drought and flood management, to build capacity on the use of resistant seed varieties, or raise awareness on local climatic conditions and future trends, </w:t>
      </w:r>
      <w:r w:rsidRPr="002A103D">
        <w:rPr>
          <w:rFonts w:cs="Calibri"/>
          <w:szCs w:val="19"/>
          <w:lang w:val="en-US"/>
        </w:rPr>
        <w:lastRenderedPageBreak/>
        <w:t>among others, thus enhancing the adaptive capacity of Ghana’s cocoa farmers. At the same time, cocoa farming communities can use ICT tools to strengthen networking and information sharing on new and traditional adaptive practices, as well as to access climatic and productive information in more appropriate/user friendly formats (e.g., audio and video applications).</w:t>
      </w:r>
    </w:p>
    <w:p w:rsidR="00606EA3" w:rsidRPr="00506EAC" w:rsidRDefault="00606EA3" w:rsidP="00606EA3">
      <w:pPr>
        <w:pStyle w:val="Heading3"/>
      </w:pPr>
      <w:r>
        <w:t>6.2.4</w:t>
      </w:r>
      <w:r>
        <w:tab/>
      </w:r>
      <w:r w:rsidRPr="00506EAC">
        <w:t>Actions decided in Ghana</w:t>
      </w:r>
    </w:p>
    <w:p w:rsidR="00606EA3" w:rsidRPr="002A103D" w:rsidRDefault="00606EA3" w:rsidP="00606EA3">
      <w:pPr>
        <w:autoSpaceDE w:val="0"/>
        <w:autoSpaceDN w:val="0"/>
        <w:adjustRightInd w:val="0"/>
        <w:rPr>
          <w:rFonts w:cs="Calibri"/>
          <w:bCs/>
          <w:szCs w:val="19"/>
          <w:lang w:val="en-US"/>
        </w:rPr>
      </w:pPr>
      <w:r w:rsidRPr="002A103D">
        <w:rPr>
          <w:rFonts w:cs="Calibri"/>
          <w:szCs w:val="19"/>
          <w:lang w:val="en-US"/>
        </w:rPr>
        <w:t xml:space="preserve">The main priorities of Ghana’s National Climate Change Adaptation Strategy are as follows. </w:t>
      </w:r>
    </w:p>
    <w:p w:rsidR="00606EA3" w:rsidRPr="002A103D" w:rsidRDefault="00606EA3" w:rsidP="00606EA3">
      <w:pPr>
        <w:autoSpaceDE w:val="0"/>
        <w:autoSpaceDN w:val="0"/>
        <w:adjustRightInd w:val="0"/>
        <w:rPr>
          <w:rFonts w:cs="Calibri"/>
          <w:bCs/>
          <w:szCs w:val="19"/>
          <w:lang w:val="en-US"/>
        </w:rPr>
      </w:pPr>
      <w:r w:rsidRPr="002A103D">
        <w:rPr>
          <w:rFonts w:cs="Calibri"/>
          <w:color w:val="000000"/>
          <w:szCs w:val="19"/>
          <w:lang w:val="en-US"/>
        </w:rPr>
        <w:t>The growing demand for ICTs for new multimedia services, and the resulting expansion of digital traffic, is</w:t>
      </w:r>
      <w:r w:rsidRPr="002A103D">
        <w:rPr>
          <w:rFonts w:cs="Calibri"/>
          <w:szCs w:val="19"/>
          <w:lang w:val="en-US"/>
        </w:rPr>
        <w:t xml:space="preserve"> </w:t>
      </w:r>
      <w:r w:rsidRPr="002A103D">
        <w:rPr>
          <w:rFonts w:cs="Calibri"/>
          <w:color w:val="000000"/>
          <w:szCs w:val="19"/>
          <w:lang w:val="en-US"/>
        </w:rPr>
        <w:t>leading the telecommunications industry towards the convergence and optimization of traditional networks. The goal is the coming together of existing networks (fixed, mobile, Internet, broadcast, etc.) into a unitary network architecture which has been termed Next Generation Networks (NGNs). This emerging technology is a packet-based network able to make use of multiple broadband technologies, providing telecommunication services to users, with independence of service-related functions from transport technologies. NGNs are more energy efficient than the current generation of public fixed networks, and the principles should be adopted.</w:t>
      </w:r>
    </w:p>
    <w:p w:rsidR="00606EA3" w:rsidRPr="002A103D" w:rsidRDefault="00606EA3" w:rsidP="00606EA3">
      <w:pPr>
        <w:autoSpaceDE w:val="0"/>
        <w:autoSpaceDN w:val="0"/>
        <w:adjustRightInd w:val="0"/>
        <w:rPr>
          <w:rFonts w:cs="Calibri"/>
          <w:bCs/>
          <w:color w:val="000000"/>
          <w:szCs w:val="19"/>
          <w:lang w:val="en-US"/>
        </w:rPr>
      </w:pPr>
      <w:r w:rsidRPr="002A103D">
        <w:rPr>
          <w:rFonts w:cs="Calibri"/>
          <w:color w:val="000000"/>
          <w:szCs w:val="19"/>
          <w:lang w:val="en-US"/>
        </w:rPr>
        <w:t>Introduction of NGNs could provide at least a 40 per cent reduction in energy use due to:</w:t>
      </w:r>
    </w:p>
    <w:p w:rsidR="00606EA3" w:rsidRPr="00ED1894" w:rsidRDefault="00606EA3" w:rsidP="00606EA3">
      <w:pPr>
        <w:pStyle w:val="Enumlevel1"/>
      </w:pPr>
      <w:r>
        <w:t>•</w:t>
      </w:r>
      <w:r>
        <w:tab/>
      </w:r>
      <w:r w:rsidRPr="00ED1894">
        <w:t>A significant decrease in the number of switching centres required.</w:t>
      </w:r>
    </w:p>
    <w:p w:rsidR="00606EA3" w:rsidRPr="00ED1894" w:rsidRDefault="00606EA3" w:rsidP="00606EA3">
      <w:pPr>
        <w:pStyle w:val="Enumlevel1"/>
      </w:pPr>
      <w:r>
        <w:t>•</w:t>
      </w:r>
      <w:r>
        <w:tab/>
      </w:r>
      <w:r w:rsidRPr="00ED1894">
        <w:t>More tolerant temperature range for NGN equipment.</w:t>
      </w:r>
    </w:p>
    <w:p w:rsidR="00606EA3" w:rsidRPr="00ED1894" w:rsidRDefault="00606EA3" w:rsidP="00606EA3">
      <w:pPr>
        <w:pStyle w:val="Enumlevel1"/>
      </w:pPr>
      <w:r>
        <w:t>•</w:t>
      </w:r>
      <w:r>
        <w:tab/>
      </w:r>
      <w:r w:rsidRPr="00ED1894">
        <w:t>Use of more advanced technologies such as passive optical networks (PONs).</w:t>
      </w:r>
    </w:p>
    <w:p w:rsidR="00606EA3" w:rsidRPr="002A103D" w:rsidRDefault="00606EA3" w:rsidP="00606EA3">
      <w:pPr>
        <w:autoSpaceDE w:val="0"/>
        <w:autoSpaceDN w:val="0"/>
        <w:adjustRightInd w:val="0"/>
        <w:rPr>
          <w:rFonts w:cs="Calibri"/>
          <w:bCs/>
          <w:color w:val="000000"/>
          <w:szCs w:val="19"/>
          <w:lang w:val="en-US"/>
        </w:rPr>
      </w:pPr>
      <w:r w:rsidRPr="002A103D">
        <w:rPr>
          <w:rFonts w:cs="Calibri"/>
          <w:color w:val="000000"/>
          <w:szCs w:val="19"/>
          <w:lang w:val="en-US"/>
        </w:rPr>
        <w:t>International standards are fundamental to delivering benefits in terms of energy efficiency because their use will result in:</w:t>
      </w:r>
    </w:p>
    <w:p w:rsidR="00606EA3" w:rsidRDefault="00606EA3" w:rsidP="00606EA3">
      <w:pPr>
        <w:pStyle w:val="Enumlevel1"/>
      </w:pPr>
      <w:r>
        <w:t>•</w:t>
      </w:r>
      <w:r>
        <w:tab/>
      </w:r>
      <w:r w:rsidRPr="00ED1894">
        <w:t>Lower energy usage of all ICT equipment that meets the standard, par</w:t>
      </w:r>
      <w:r w:rsidRPr="00D51FC2">
        <w:t xml:space="preserve">ticularly where the standard is </w:t>
      </w:r>
      <w:r w:rsidRPr="00ED1894">
        <w:t>referenced in procurement directives.</w:t>
      </w:r>
    </w:p>
    <w:p w:rsidR="00606EA3" w:rsidRDefault="00606EA3" w:rsidP="00606EA3">
      <w:pPr>
        <w:pStyle w:val="Enumlevel1"/>
      </w:pPr>
      <w:r>
        <w:t>•</w:t>
      </w:r>
      <w:r>
        <w:tab/>
      </w:r>
      <w:r w:rsidRPr="00ED1894">
        <w:t>Lower equipment costs through commoditization of equipment, leadi</w:t>
      </w:r>
      <w:r w:rsidRPr="00506EAC">
        <w:t xml:space="preserve">ng to greater deployment of the </w:t>
      </w:r>
      <w:r w:rsidRPr="00ED1894">
        <w:t>most energy-efficient equipment available.</w:t>
      </w:r>
    </w:p>
    <w:p w:rsidR="00606EA3" w:rsidRDefault="00606EA3" w:rsidP="00606EA3">
      <w:pPr>
        <w:pStyle w:val="Enumlevel1"/>
      </w:pPr>
      <w:r>
        <w:t>•</w:t>
      </w:r>
      <w:r>
        <w:tab/>
      </w:r>
      <w:r w:rsidRPr="00ED1894">
        <w:t>Lower costs will also lead to greater deployment of equipment in support of mitigation and adaptation.</w:t>
      </w:r>
    </w:p>
    <w:p w:rsidR="00606EA3" w:rsidRPr="00ED1894" w:rsidRDefault="00606EA3" w:rsidP="00606EA3">
      <w:pPr>
        <w:pStyle w:val="Enumlevel1"/>
      </w:pPr>
      <w:r>
        <w:t>•</w:t>
      </w:r>
      <w:r>
        <w:tab/>
      </w:r>
      <w:r w:rsidRPr="00ED1894">
        <w:t>Common measurement and assessment methods so that the per</w:t>
      </w:r>
      <w:r w:rsidRPr="00506EAC">
        <w:t xml:space="preserve">formance of different ICT-based </w:t>
      </w:r>
      <w:r w:rsidRPr="00ED1894">
        <w:t>solutions can more readily be compared and evaluated.</w:t>
      </w:r>
    </w:p>
    <w:p w:rsidR="00606EA3" w:rsidRPr="00ED1894" w:rsidRDefault="00606EA3" w:rsidP="00606EA3">
      <w:pPr>
        <w:pStyle w:val="Heading3"/>
      </w:pPr>
      <w:r>
        <w:t>6.2.5</w:t>
      </w:r>
      <w:r>
        <w:tab/>
      </w:r>
      <w:r w:rsidRPr="00AC0E7B">
        <w:t>Conclusions</w:t>
      </w:r>
    </w:p>
    <w:p w:rsidR="00606EA3" w:rsidRPr="002A103D" w:rsidRDefault="00606EA3" w:rsidP="00606EA3">
      <w:pPr>
        <w:autoSpaceDE w:val="0"/>
        <w:autoSpaceDN w:val="0"/>
        <w:adjustRightInd w:val="0"/>
        <w:rPr>
          <w:rFonts w:cs="Calibri"/>
          <w:bCs/>
          <w:szCs w:val="19"/>
          <w:lang w:val="en-US"/>
        </w:rPr>
      </w:pPr>
      <w:r w:rsidRPr="002A103D">
        <w:rPr>
          <w:rFonts w:cs="Calibri"/>
          <w:szCs w:val="19"/>
          <w:lang w:val="en-US"/>
        </w:rPr>
        <w:t>This report has shown the close linkages that exist between ICTs and climate change adaptation and mitigation are gaining momentum in the policy, the research and the practice agendas, from the international to the local levels. Within vulnerable environments affected by more frequent and intense climatic events, the increasing diffusion of Information and Communication Technologies (ICTs) is enabling new ways to withstand, recover and adapt to climatic impacts, as well as to improve energy efficiency and mitigate GHG emissions in a variety of sectors.</w:t>
      </w:r>
    </w:p>
    <w:p w:rsidR="00606EA3" w:rsidRPr="002A103D" w:rsidRDefault="00606EA3" w:rsidP="00606EA3">
      <w:pPr>
        <w:autoSpaceDE w:val="0"/>
        <w:autoSpaceDN w:val="0"/>
        <w:adjustRightInd w:val="0"/>
        <w:rPr>
          <w:rFonts w:cs="Calibri"/>
          <w:bCs/>
          <w:szCs w:val="19"/>
          <w:lang w:val="en-US"/>
        </w:rPr>
      </w:pPr>
      <w:r w:rsidRPr="002A103D">
        <w:rPr>
          <w:rFonts w:cs="Calibri"/>
          <w:szCs w:val="19"/>
          <w:lang w:val="en-US"/>
        </w:rPr>
        <w:t>It is now an evidence for developing countries to adopt innovative ICT-enabled strategies to tackle climate change adaptation and mitigation, while ensuring a long-term, coordinated approach to the integration of ICT tools into broader climate change strategies.</w:t>
      </w:r>
    </w:p>
    <w:p w:rsidR="00606EA3" w:rsidRPr="002A103D" w:rsidRDefault="00606EA3" w:rsidP="00606EA3">
      <w:pPr>
        <w:autoSpaceDE w:val="0"/>
        <w:autoSpaceDN w:val="0"/>
        <w:adjustRightInd w:val="0"/>
        <w:rPr>
          <w:rFonts w:cs="Calibri"/>
          <w:bCs/>
          <w:szCs w:val="19"/>
          <w:lang w:val="en-US"/>
        </w:rPr>
      </w:pPr>
      <w:r w:rsidRPr="002A103D">
        <w:rPr>
          <w:rFonts w:cs="Calibri"/>
          <w:szCs w:val="19"/>
          <w:lang w:val="en-US"/>
        </w:rPr>
        <w:t xml:space="preserve">Several key areas of action to be considered in the design of ICTs and climate change adaptation and mitigation strategies, including the development of policy content, and the establishment of adequate structures and processes, have been identified. The document builds upon the experiences and progress being achieved by Ghana, an African country that has being a pioneer in the integration of ICTs and climate change strategies. While there are still challenges to overcome, Ghana’s experience provides valuable principles and suggested actions that have been reflected throughout this document. It is expected that the suggestions provided in the report will help to guide the actions of other developing </w:t>
      </w:r>
      <w:r w:rsidRPr="002A103D">
        <w:rPr>
          <w:rFonts w:cs="Calibri"/>
          <w:szCs w:val="19"/>
          <w:lang w:val="en-US"/>
        </w:rPr>
        <w:lastRenderedPageBreak/>
        <w:t>countries in this field, as well as to raise the awareness of policy and decision-makers, and ultimately encourage the design of new policies strategies and standards that foster ICT’s adaptation and mitigation potential.</w:t>
      </w:r>
    </w:p>
    <w:p w:rsidR="00606EA3" w:rsidRPr="002A103D" w:rsidRDefault="00606EA3" w:rsidP="00606EA3">
      <w:pPr>
        <w:keepLines/>
        <w:autoSpaceDE w:val="0"/>
        <w:autoSpaceDN w:val="0"/>
        <w:adjustRightInd w:val="0"/>
        <w:rPr>
          <w:rFonts w:cs="Calibri"/>
          <w:bCs/>
          <w:szCs w:val="19"/>
          <w:lang w:val="en-US"/>
        </w:rPr>
      </w:pPr>
      <w:r w:rsidRPr="002A103D">
        <w:rPr>
          <w:rFonts w:cs="Calibri"/>
          <w:szCs w:val="19"/>
          <w:lang w:val="en-US"/>
        </w:rPr>
        <w:t>As the experience of Ghana demonstrates, ICT and climate change policies should be designed based on a holistic perspective, and as a collaborative, long-term process of continuous learning and interaction among a varied set of stakeholders and levels. Leadership, articulation of efforts, active participation in international climate change processes, partnerships with key stakeholders and local engagement in the design of technology solutions, are among the key components of effective ICT and climate change strategies.</w:t>
      </w:r>
    </w:p>
    <w:p w:rsidR="00606EA3" w:rsidRPr="002A103D" w:rsidRDefault="00606EA3" w:rsidP="00606EA3">
      <w:pPr>
        <w:autoSpaceDE w:val="0"/>
        <w:autoSpaceDN w:val="0"/>
        <w:adjustRightInd w:val="0"/>
        <w:rPr>
          <w:rFonts w:cs="Calibri"/>
          <w:bCs/>
          <w:szCs w:val="19"/>
          <w:lang w:val="en-US"/>
        </w:rPr>
      </w:pPr>
      <w:r w:rsidRPr="002A103D">
        <w:rPr>
          <w:rFonts w:cs="Calibri"/>
          <w:szCs w:val="19"/>
          <w:lang w:val="en-US"/>
        </w:rPr>
        <w:t>ICTs will continue to play an increasing role in climate change networking and decision-making, information and knowledge sharing, capacity building, livelihoods strengthening, and low-carbon/resource-efficient economies.</w:t>
      </w:r>
    </w:p>
    <w:p w:rsidR="00606EA3" w:rsidRPr="002A103D" w:rsidRDefault="00606EA3" w:rsidP="00606EA3">
      <w:pPr>
        <w:spacing w:before="0"/>
        <w:rPr>
          <w:bCs/>
          <w:szCs w:val="19"/>
          <w:lang w:val="en-US" w:eastAsia="en-US"/>
        </w:rPr>
      </w:pPr>
      <w:r w:rsidRPr="002A103D">
        <w:rPr>
          <w:szCs w:val="19"/>
          <w:lang w:val="en-US"/>
        </w:rPr>
        <w:br w:type="page"/>
      </w:r>
    </w:p>
    <w:p w:rsidR="00606EA3" w:rsidRPr="00383297" w:rsidRDefault="00606EA3" w:rsidP="00606EA3">
      <w:pPr>
        <w:pStyle w:val="Heading1"/>
        <w:spacing w:before="0"/>
        <w:ind w:left="851" w:hanging="851"/>
      </w:pPr>
      <w:bookmarkStart w:id="76" w:name="_Toc377721071"/>
      <w:bookmarkStart w:id="77" w:name="_Toc377976457"/>
      <w:r w:rsidRPr="00383297">
        <w:lastRenderedPageBreak/>
        <w:t xml:space="preserve">Annex 7: </w:t>
      </w:r>
      <w:r>
        <w:tab/>
      </w:r>
      <w:r w:rsidRPr="00383297">
        <w:t>ICT, electricity and SMART grids</w:t>
      </w:r>
      <w:bookmarkEnd w:id="76"/>
      <w:bookmarkEnd w:id="77"/>
    </w:p>
    <w:p w:rsidR="00606EA3" w:rsidRPr="00ED1894" w:rsidRDefault="00606EA3" w:rsidP="00606EA3">
      <w:pPr>
        <w:pStyle w:val="Heading2"/>
      </w:pPr>
      <w:bookmarkStart w:id="78" w:name="_Toc377721072"/>
      <w:bookmarkStart w:id="79" w:name="_Toc377976458"/>
      <w:r w:rsidRPr="00ED1894">
        <w:t>7.1</w:t>
      </w:r>
      <w:r w:rsidRPr="00ED1894">
        <w:tab/>
      </w:r>
      <w:r w:rsidRPr="00132F83">
        <w:t>Background</w:t>
      </w:r>
      <w:bookmarkEnd w:id="78"/>
      <w:bookmarkEnd w:id="79"/>
    </w:p>
    <w:p w:rsidR="00606EA3" w:rsidRPr="002A103D" w:rsidRDefault="00606EA3" w:rsidP="00606EA3">
      <w:pPr>
        <w:rPr>
          <w:szCs w:val="19"/>
          <w:lang w:val="en-US"/>
        </w:rPr>
      </w:pPr>
      <w:r w:rsidRPr="002A103D">
        <w:rPr>
          <w:szCs w:val="19"/>
          <w:lang w:val="en-US"/>
        </w:rPr>
        <w:t>In 2000, the US National Academy of Engineering identified the single most important engineering achievement of the 20</w:t>
      </w:r>
      <w:r w:rsidRPr="002A103D">
        <w:rPr>
          <w:szCs w:val="19"/>
          <w:vertAlign w:val="superscript"/>
          <w:lang w:val="en-US"/>
        </w:rPr>
        <w:t>th</w:t>
      </w:r>
      <w:r w:rsidRPr="002A103D">
        <w:rPr>
          <w:szCs w:val="19"/>
          <w:lang w:val="en-US"/>
        </w:rPr>
        <w:t xml:space="preserve"> century: electrification.</w:t>
      </w:r>
      <w:r w:rsidRPr="00506EAC">
        <w:rPr>
          <w:rStyle w:val="FootnoteReference"/>
          <w:sz w:val="19"/>
          <w:szCs w:val="19"/>
        </w:rPr>
        <w:footnoteReference w:id="3"/>
      </w:r>
      <w:r w:rsidRPr="002A103D">
        <w:rPr>
          <w:szCs w:val="19"/>
          <w:lang w:val="en-US"/>
        </w:rPr>
        <w:t xml:space="preserve"> Electric power is present almost everywhere; it makes our lives safer and more convenient. One very important component of electrification, the one that delivers electricity from the place where it is generated to the place where it is used, is the electrical grid. This short paper aims to give a brief overview of the most important issues related to the traditional grid, and possible solutions and benefits that the smart grid offers.</w:t>
      </w:r>
    </w:p>
    <w:p w:rsidR="00606EA3" w:rsidRPr="002A103D" w:rsidRDefault="00606EA3" w:rsidP="00606EA3">
      <w:pPr>
        <w:ind w:left="-57"/>
        <w:rPr>
          <w:szCs w:val="19"/>
          <w:lang w:val="en-US"/>
        </w:rPr>
      </w:pPr>
      <w:r w:rsidRPr="002A103D">
        <w:rPr>
          <w:szCs w:val="19"/>
          <w:lang w:val="en-US"/>
        </w:rPr>
        <w:t>The electrical grid is a network of wires, substations, transformers and other devices that carry electricity from the power plant to consumers. Although electrical grids have improved, they are still analogue and centralized, with limited control over power flows and one-way communication. These main features of the traditional grid make it unreliable and inefficient, prone to failures and blackouts and with no or limited consumer choice.</w:t>
      </w:r>
    </w:p>
    <w:p w:rsidR="00606EA3" w:rsidRPr="002A103D" w:rsidRDefault="00606EA3" w:rsidP="00606EA3">
      <w:pPr>
        <w:ind w:left="-57" w:right="57"/>
        <w:rPr>
          <w:szCs w:val="19"/>
          <w:lang w:val="en-US"/>
        </w:rPr>
      </w:pPr>
      <w:r w:rsidRPr="002A103D">
        <w:rPr>
          <w:szCs w:val="19"/>
          <w:lang w:val="en-US"/>
        </w:rPr>
        <w:t>Reliability is one of the most important issues that have to be addressed, because increasing demand for electricity often overloads the existing grid’s capacity. For example, out of five massive blackouts that occurred in the US in the last 40 years, three of them happened in the last decade.</w:t>
      </w:r>
      <w:r w:rsidRPr="00D51FC2">
        <w:rPr>
          <w:rStyle w:val="FootnoteReference"/>
          <w:sz w:val="19"/>
          <w:szCs w:val="19"/>
        </w:rPr>
        <w:footnoteReference w:id="4"/>
      </w:r>
      <w:r w:rsidRPr="002A103D">
        <w:rPr>
          <w:szCs w:val="19"/>
          <w:lang w:val="en-US"/>
        </w:rPr>
        <w:t xml:space="preserve"> The demand growth is the leading cause of major blackouts in developing countries.</w:t>
      </w:r>
      <w:r w:rsidRPr="00D51FC2">
        <w:rPr>
          <w:rStyle w:val="FootnoteReference"/>
          <w:sz w:val="19"/>
          <w:szCs w:val="19"/>
        </w:rPr>
        <w:footnoteReference w:id="5"/>
      </w:r>
      <w:r w:rsidRPr="002A103D">
        <w:rPr>
          <w:szCs w:val="19"/>
          <w:lang w:val="en-US"/>
        </w:rPr>
        <w:t xml:space="preserve"> This can be clearly seen on the example of one of the most serious power blackouts in history, which took place in India in July 2012, affecting between 600-700 million people. The blackout started in Agra, and was caused by an overload: the transmission lines were apparently carrying twice the permitted load.</w:t>
      </w:r>
      <w:r w:rsidRPr="00D51FC2">
        <w:rPr>
          <w:rStyle w:val="FootnoteReference"/>
          <w:sz w:val="19"/>
          <w:szCs w:val="19"/>
        </w:rPr>
        <w:footnoteReference w:id="6"/>
      </w:r>
      <w:r w:rsidRPr="002A103D">
        <w:rPr>
          <w:szCs w:val="19"/>
          <w:lang w:val="en-US"/>
        </w:rPr>
        <w:t xml:space="preserve"> A blackout affects almost every aspect of economy, such as banking, communications, traffic and security, causing a significant economic loss. Managing blackouts during winter is particularly difficult because many homes would be left without basic necessities to perform daily duties.</w:t>
      </w:r>
    </w:p>
    <w:p w:rsidR="00606EA3" w:rsidRPr="002A103D" w:rsidRDefault="00606EA3" w:rsidP="00606EA3">
      <w:pPr>
        <w:ind w:left="-57"/>
        <w:rPr>
          <w:szCs w:val="19"/>
          <w:lang w:val="en-US"/>
        </w:rPr>
      </w:pPr>
      <w:r w:rsidRPr="002A103D">
        <w:rPr>
          <w:szCs w:val="19"/>
          <w:lang w:val="en-US"/>
        </w:rPr>
        <w:t>Another important question is the one on efficiency. Current power plants have limited capabilities to change their electricity supply mechanism, which makes them highly inefficient due to the fact that their full capacities are only used for very short periods of time.</w:t>
      </w:r>
      <w:r w:rsidRPr="00D51FC2">
        <w:rPr>
          <w:rStyle w:val="FootnoteReference"/>
          <w:sz w:val="19"/>
          <w:szCs w:val="19"/>
        </w:rPr>
        <w:footnoteReference w:id="7"/>
      </w:r>
      <w:r w:rsidRPr="002A103D">
        <w:rPr>
          <w:szCs w:val="19"/>
          <w:lang w:val="en-US"/>
        </w:rPr>
        <w:t xml:space="preserve"> However, a small increase in efficiency could lead not only to large economical savings for countries, but would also mean a significant reduction in greenhouse gas (GHG) emissions. The reduction in GHG emissions can be reached not only by improved efficiency, but also by the increased use of renewable energy sources for power generation. Although it is very difficult to integrate sources such as solar or wind power into the existing electrical grid, there is a way to address this and many other issues that the traditional electrical grid faces: the smart grid is a viable response to the challenges of electric power supply.</w:t>
      </w:r>
    </w:p>
    <w:p w:rsidR="00606EA3" w:rsidRPr="00506EAC" w:rsidRDefault="00606EA3" w:rsidP="00606EA3">
      <w:pPr>
        <w:pStyle w:val="Heading2"/>
      </w:pPr>
      <w:bookmarkStart w:id="80" w:name="_Toc377721073"/>
      <w:bookmarkStart w:id="81" w:name="_Toc377976459"/>
      <w:r w:rsidRPr="00ED1894">
        <w:lastRenderedPageBreak/>
        <w:t xml:space="preserve">7.2 </w:t>
      </w:r>
      <w:r>
        <w:tab/>
      </w:r>
      <w:r w:rsidRPr="00ED1894">
        <w:t xml:space="preserve">Smart </w:t>
      </w:r>
      <w:r w:rsidRPr="00FA766D">
        <w:t>solutions</w:t>
      </w:r>
      <w:r w:rsidRPr="00ED1894">
        <w:t xml:space="preserve"> for a </w:t>
      </w:r>
      <w:r>
        <w:t>s</w:t>
      </w:r>
      <w:r w:rsidRPr="00ED1894">
        <w:t xml:space="preserve">mart </w:t>
      </w:r>
      <w:r>
        <w:t>w</w:t>
      </w:r>
      <w:r w:rsidRPr="00ED1894">
        <w:t>orld</w:t>
      </w:r>
      <w:bookmarkEnd w:id="80"/>
      <w:bookmarkEnd w:id="81"/>
    </w:p>
    <w:p w:rsidR="00606EA3" w:rsidRPr="002A103D" w:rsidRDefault="00606EA3" w:rsidP="00606EA3">
      <w:pPr>
        <w:rPr>
          <w:lang w:val="en-US"/>
        </w:rPr>
      </w:pPr>
      <w:r w:rsidRPr="002A103D">
        <w:rPr>
          <w:lang w:val="en-US"/>
        </w:rPr>
        <w:t xml:space="preserve">The Smart Grid system as a communication system should respond to some applications or systems requirements as the following, for example: </w:t>
      </w:r>
    </w:p>
    <w:p w:rsidR="00606EA3" w:rsidRPr="002A103D" w:rsidRDefault="00606EA3" w:rsidP="00606EA3">
      <w:pPr>
        <w:pStyle w:val="Enumlevel1"/>
      </w:pPr>
      <w:r>
        <w:rPr>
          <w:lang w:val="en-US"/>
        </w:rPr>
        <w:t>•</w:t>
      </w:r>
      <w:r>
        <w:rPr>
          <w:lang w:val="en-US"/>
        </w:rPr>
        <w:tab/>
      </w:r>
      <w:r w:rsidRPr="00FA766D">
        <w:t>Reliability</w:t>
      </w:r>
      <w:r w:rsidRPr="002A103D">
        <w:t xml:space="preserve"> as to support the required real time monitoring and management of communication between the energy supplier and the final user. As such, the quality of service offered by the network should be very high in order to assumed low latency and high reliability;</w:t>
      </w:r>
    </w:p>
    <w:p w:rsidR="00606EA3" w:rsidRPr="002A103D" w:rsidRDefault="00606EA3" w:rsidP="00606EA3">
      <w:pPr>
        <w:pStyle w:val="Enumlevel1"/>
        <w:rPr>
          <w:color w:val="000000"/>
        </w:rPr>
      </w:pPr>
      <w:r w:rsidRPr="002A103D">
        <w:t>Secur</w:t>
      </w:r>
      <w:r w:rsidRPr="002A103D">
        <w:rPr>
          <w:color w:val="000000"/>
        </w:rPr>
        <w:t>ity and confidentiality of privacy related data should be ensured.</w:t>
      </w:r>
    </w:p>
    <w:p w:rsidR="00606EA3" w:rsidRPr="002A103D" w:rsidRDefault="00606EA3" w:rsidP="00606EA3">
      <w:pPr>
        <w:rPr>
          <w:lang w:val="en-US"/>
        </w:rPr>
      </w:pPr>
      <w:r w:rsidRPr="002A103D">
        <w:rPr>
          <w:lang w:val="en-US"/>
        </w:rPr>
        <w:t xml:space="preserve">The above list is not exhaustive in a context of generic definition of smart grid systems. Such requirements or any standardization needs should be defined by the users of the Smart Grid system/networks. </w:t>
      </w:r>
    </w:p>
    <w:p w:rsidR="00606EA3" w:rsidRPr="002A103D" w:rsidRDefault="00606EA3" w:rsidP="00606EA3">
      <w:pPr>
        <w:rPr>
          <w:szCs w:val="19"/>
          <w:lang w:val="en-US"/>
        </w:rPr>
      </w:pPr>
      <w:r w:rsidRPr="002A103D">
        <w:rPr>
          <w:szCs w:val="19"/>
          <w:lang w:val="en-US"/>
        </w:rPr>
        <w:t>The ICT issue is twofold.</w:t>
      </w:r>
    </w:p>
    <w:p w:rsidR="00606EA3" w:rsidRPr="002A103D" w:rsidRDefault="00606EA3" w:rsidP="00606EA3">
      <w:pPr>
        <w:pStyle w:val="Enumlevel1"/>
      </w:pPr>
      <w:r>
        <w:rPr>
          <w:lang w:val="en-US"/>
        </w:rPr>
        <w:t>•</w:t>
      </w:r>
      <w:r>
        <w:rPr>
          <w:lang w:val="en-US"/>
        </w:rPr>
        <w:tab/>
      </w:r>
      <w:r w:rsidRPr="002A103D">
        <w:t xml:space="preserve">Electricity is essential for ICT. </w:t>
      </w:r>
    </w:p>
    <w:p w:rsidR="00606EA3" w:rsidRPr="002A103D" w:rsidRDefault="00606EA3" w:rsidP="00606EA3">
      <w:pPr>
        <w:pStyle w:val="Enumlevel1"/>
      </w:pPr>
      <w:r>
        <w:rPr>
          <w:lang w:val="en-US"/>
        </w:rPr>
        <w:t>•</w:t>
      </w:r>
      <w:r>
        <w:rPr>
          <w:lang w:val="en-US"/>
        </w:rPr>
        <w:tab/>
      </w:r>
      <w:r w:rsidRPr="002A103D">
        <w:t>ICT Energy footprint is continuously increasing.</w:t>
      </w:r>
    </w:p>
    <w:p w:rsidR="00606EA3" w:rsidRPr="002A103D" w:rsidRDefault="00606EA3" w:rsidP="00606EA3">
      <w:pPr>
        <w:autoSpaceDE w:val="0"/>
        <w:autoSpaceDN w:val="0"/>
        <w:adjustRightInd w:val="0"/>
        <w:rPr>
          <w:color w:val="000000"/>
          <w:szCs w:val="19"/>
          <w:lang w:val="en-US"/>
        </w:rPr>
      </w:pPr>
      <w:r w:rsidRPr="002A103D">
        <w:rPr>
          <w:color w:val="000000"/>
          <w:szCs w:val="19"/>
          <w:lang w:val="en-US"/>
        </w:rPr>
        <w:t>All such various ICT infrastructures could be suitable to ensure the service which should be delivered by Smart Grid systems/network. The advantage of a mixed infrastructure allow a better suitability of the network according to:</w:t>
      </w:r>
    </w:p>
    <w:p w:rsidR="00606EA3" w:rsidRPr="002A103D" w:rsidRDefault="00606EA3" w:rsidP="00606EA3">
      <w:pPr>
        <w:pStyle w:val="Enumlevel1"/>
      </w:pPr>
      <w:r>
        <w:rPr>
          <w:lang w:val="en-US"/>
        </w:rPr>
        <w:t>•</w:t>
      </w:r>
      <w:r>
        <w:rPr>
          <w:lang w:val="en-US"/>
        </w:rPr>
        <w:tab/>
      </w:r>
      <w:r w:rsidRPr="002A103D">
        <w:t>the topology of the area (urban, semi-urban, rural, mountain…),</w:t>
      </w:r>
    </w:p>
    <w:p w:rsidR="00606EA3" w:rsidRPr="002A103D" w:rsidRDefault="00606EA3" w:rsidP="00606EA3">
      <w:pPr>
        <w:pStyle w:val="Enumlevel1"/>
      </w:pPr>
      <w:r>
        <w:rPr>
          <w:lang w:val="en-US"/>
        </w:rPr>
        <w:t>•</w:t>
      </w:r>
      <w:r>
        <w:rPr>
          <w:lang w:val="en-US"/>
        </w:rPr>
        <w:tab/>
      </w:r>
      <w:r w:rsidRPr="002A103D">
        <w:t>the individual energy market situation in each country (one main energy supplier or multiple energy suppliers ),</w:t>
      </w:r>
    </w:p>
    <w:p w:rsidR="00606EA3" w:rsidRPr="002A103D" w:rsidRDefault="00606EA3" w:rsidP="00606EA3">
      <w:pPr>
        <w:pStyle w:val="Enumlevel1"/>
      </w:pPr>
      <w:r>
        <w:rPr>
          <w:lang w:val="en-US"/>
        </w:rPr>
        <w:t>•</w:t>
      </w:r>
      <w:r>
        <w:rPr>
          <w:lang w:val="en-US"/>
        </w:rPr>
        <w:tab/>
      </w:r>
      <w:r w:rsidRPr="002A103D">
        <w:t>the existing network infrastructures which reduce the investment;</w:t>
      </w:r>
    </w:p>
    <w:p w:rsidR="00606EA3" w:rsidRPr="002A103D" w:rsidRDefault="00606EA3" w:rsidP="00606EA3">
      <w:pPr>
        <w:pStyle w:val="Enumlevel1"/>
        <w:rPr>
          <w:color w:val="000000"/>
        </w:rPr>
      </w:pPr>
      <w:r>
        <w:rPr>
          <w:lang w:val="en-US"/>
        </w:rPr>
        <w:t>•</w:t>
      </w:r>
      <w:r>
        <w:rPr>
          <w:lang w:val="en-US"/>
        </w:rPr>
        <w:tab/>
      </w:r>
      <w:r w:rsidRPr="002A103D">
        <w:t>the c</w:t>
      </w:r>
      <w:r w:rsidRPr="002A103D">
        <w:rPr>
          <w:color w:val="000000"/>
        </w:rPr>
        <w:t>ost of deployment of a new communication network or facilities.</w:t>
      </w:r>
    </w:p>
    <w:p w:rsidR="00606EA3" w:rsidRPr="00D51FC2" w:rsidRDefault="00606EA3" w:rsidP="00606EA3">
      <w:pPr>
        <w:rPr>
          <w:szCs w:val="19"/>
          <w:lang w:val="en-GB"/>
        </w:rPr>
      </w:pPr>
      <w:r w:rsidRPr="00D51FC2">
        <w:rPr>
          <w:szCs w:val="19"/>
          <w:lang w:val="en-GB"/>
        </w:rPr>
        <w:t xml:space="preserve">GHG emissions </w:t>
      </w:r>
      <w:r w:rsidRPr="002A103D">
        <w:rPr>
          <w:szCs w:val="19"/>
          <w:lang w:val="en-US"/>
        </w:rPr>
        <w:t xml:space="preserve">are expected to grow much faster than in the last two centuries and </w:t>
      </w:r>
      <w:r w:rsidRPr="00D51FC2">
        <w:rPr>
          <w:szCs w:val="19"/>
          <w:lang w:val="en-GB"/>
        </w:rPr>
        <w:t xml:space="preserve">GHG emissions </w:t>
      </w:r>
      <w:r w:rsidRPr="002A103D">
        <w:rPr>
          <w:szCs w:val="19"/>
          <w:lang w:val="en-US"/>
        </w:rPr>
        <w:t>are largely ascribable to production of electricity.</w:t>
      </w:r>
      <w:r w:rsidRPr="00D51FC2">
        <w:rPr>
          <w:szCs w:val="19"/>
          <w:lang w:val="en-GB"/>
        </w:rPr>
        <w:t xml:space="preserve"> </w:t>
      </w:r>
      <w:r w:rsidRPr="002A103D">
        <w:rPr>
          <w:szCs w:val="19"/>
          <w:lang w:val="en-US"/>
        </w:rPr>
        <w:t>Large fluctuations in electricity demand during seasons and daily hours are noted</w:t>
      </w:r>
      <w:r w:rsidRPr="00D51FC2">
        <w:rPr>
          <w:szCs w:val="19"/>
          <w:lang w:val="en-GB"/>
        </w:rPr>
        <w:t xml:space="preserve"> and </w:t>
      </w:r>
      <w:r w:rsidRPr="002A103D">
        <w:rPr>
          <w:szCs w:val="19"/>
          <w:lang w:val="en-US"/>
        </w:rPr>
        <w:t>require overprovisioning power plants and the electrical grid.</w:t>
      </w:r>
    </w:p>
    <w:p w:rsidR="00606EA3" w:rsidRPr="00D51FC2" w:rsidRDefault="00606EA3" w:rsidP="00606EA3">
      <w:pPr>
        <w:rPr>
          <w:szCs w:val="19"/>
          <w:lang w:val="en-GB"/>
        </w:rPr>
      </w:pPr>
      <w:r w:rsidRPr="002A103D">
        <w:rPr>
          <w:szCs w:val="19"/>
          <w:lang w:val="en-US"/>
        </w:rPr>
        <w:t xml:space="preserve">Oil and coal fired power plants are the most widespread solution for bulk generation. </w:t>
      </w:r>
      <w:r w:rsidRPr="00FA766D">
        <w:rPr>
          <w:szCs w:val="19"/>
          <w:lang w:val="en-US"/>
        </w:rPr>
        <w:t>They are responsible for GHG emissions for electricity production.</w:t>
      </w:r>
    </w:p>
    <w:p w:rsidR="00606EA3" w:rsidRPr="002A103D" w:rsidRDefault="00606EA3" w:rsidP="00606EA3">
      <w:pPr>
        <w:pStyle w:val="Enumlevel1"/>
      </w:pPr>
      <w:r>
        <w:rPr>
          <w:lang w:val="en-US"/>
        </w:rPr>
        <w:t>•</w:t>
      </w:r>
      <w:r>
        <w:rPr>
          <w:lang w:val="en-US"/>
        </w:rPr>
        <w:tab/>
      </w:r>
      <w:r w:rsidRPr="002A103D">
        <w:t>New paradigms like Smart grids are able to reach high efficiency and are expected to cut down GHG emissions.</w:t>
      </w:r>
    </w:p>
    <w:p w:rsidR="00606EA3" w:rsidRPr="002A103D" w:rsidRDefault="00606EA3" w:rsidP="00606EA3">
      <w:pPr>
        <w:pStyle w:val="Enumlevel1"/>
      </w:pPr>
      <w:r>
        <w:rPr>
          <w:lang w:val="en-US"/>
        </w:rPr>
        <w:t>•</w:t>
      </w:r>
      <w:r>
        <w:rPr>
          <w:lang w:val="en-US"/>
        </w:rPr>
        <w:tab/>
      </w:r>
      <w:r w:rsidRPr="002A103D">
        <w:t>Many implementations of Smart Energy Grids issues are likely to occur.</w:t>
      </w:r>
    </w:p>
    <w:p w:rsidR="00606EA3" w:rsidRPr="00D51FC2" w:rsidRDefault="00606EA3" w:rsidP="00606EA3">
      <w:pPr>
        <w:pStyle w:val="Enumlevel1"/>
      </w:pPr>
      <w:r>
        <w:rPr>
          <w:lang w:val="en-US"/>
        </w:rPr>
        <w:t>•</w:t>
      </w:r>
      <w:r>
        <w:rPr>
          <w:lang w:val="en-US"/>
        </w:rPr>
        <w:tab/>
      </w:r>
      <w:r w:rsidRPr="00D51FC2">
        <w:t xml:space="preserve">Intelligence is required to: </w:t>
      </w:r>
    </w:p>
    <w:p w:rsidR="00606EA3" w:rsidRPr="00F528EA" w:rsidRDefault="00606EA3" w:rsidP="00606EA3">
      <w:pPr>
        <w:pStyle w:val="Enumlevel2"/>
      </w:pPr>
      <w:r>
        <w:t>–</w:t>
      </w:r>
      <w:r>
        <w:tab/>
      </w:r>
      <w:r w:rsidRPr="00F528EA">
        <w:t>retrieve, share, process, store and transmit information;</w:t>
      </w:r>
    </w:p>
    <w:p w:rsidR="00606EA3" w:rsidRPr="00F528EA" w:rsidRDefault="00606EA3" w:rsidP="00606EA3">
      <w:pPr>
        <w:pStyle w:val="Enumlevel2"/>
        <w:rPr>
          <w:lang w:val="en-GB"/>
        </w:rPr>
      </w:pPr>
      <w:r>
        <w:t>–</w:t>
      </w:r>
      <w:r>
        <w:tab/>
      </w:r>
      <w:r w:rsidRPr="00F528EA">
        <w:t>make grid management automatic, reliable, resilient, safe and secure.</w:t>
      </w:r>
    </w:p>
    <w:p w:rsidR="00606EA3" w:rsidRPr="002A103D" w:rsidRDefault="00606EA3" w:rsidP="00606EA3">
      <w:pPr>
        <w:rPr>
          <w:szCs w:val="19"/>
          <w:lang w:val="en-US"/>
        </w:rPr>
      </w:pPr>
      <w:r w:rsidRPr="002A103D">
        <w:rPr>
          <w:szCs w:val="19"/>
          <w:lang w:val="en-US"/>
        </w:rPr>
        <w:t>Cutting off the carbon footprint</w:t>
      </w:r>
      <w:r w:rsidRPr="00D51FC2">
        <w:rPr>
          <w:szCs w:val="19"/>
          <w:lang w:val="en-GB"/>
        </w:rPr>
        <w:t xml:space="preserve"> will only be possible </w:t>
      </w:r>
      <w:r w:rsidRPr="002A103D">
        <w:rPr>
          <w:szCs w:val="19"/>
          <w:lang w:val="en-US"/>
        </w:rPr>
        <w:t>by enabling smart applications, in order to avoid wasting part of the previous gains in green ICT for example (rebound effect).</w:t>
      </w:r>
    </w:p>
    <w:p w:rsidR="00606EA3" w:rsidRPr="002A103D" w:rsidRDefault="00606EA3" w:rsidP="00606EA3">
      <w:pPr>
        <w:rPr>
          <w:szCs w:val="19"/>
          <w:lang w:val="en-US"/>
        </w:rPr>
      </w:pPr>
      <w:r w:rsidRPr="00D51FC2">
        <w:rPr>
          <w:szCs w:val="19"/>
          <w:lang w:val="en-GB"/>
        </w:rPr>
        <w:t xml:space="preserve">It is to be noted that there is a large </w:t>
      </w:r>
      <w:r w:rsidRPr="002A103D">
        <w:rPr>
          <w:szCs w:val="19"/>
          <w:lang w:val="en-US"/>
        </w:rPr>
        <w:t>disparity among different countries in terms of production of electricity and grid infrastructures.</w:t>
      </w:r>
      <w:r w:rsidRPr="00D51FC2">
        <w:rPr>
          <w:szCs w:val="19"/>
          <w:lang w:val="en-GB"/>
        </w:rPr>
        <w:t xml:space="preserve"> </w:t>
      </w:r>
      <w:r w:rsidRPr="002A103D">
        <w:rPr>
          <w:szCs w:val="19"/>
          <w:lang w:val="en-US"/>
        </w:rPr>
        <w:t>Most developing countries have power grids with limited coverage and low efficiency.</w:t>
      </w:r>
      <w:r w:rsidRPr="00D51FC2">
        <w:rPr>
          <w:szCs w:val="19"/>
          <w:lang w:val="en-GB"/>
        </w:rPr>
        <w:t xml:space="preserve"> </w:t>
      </w:r>
      <w:r w:rsidRPr="002A103D">
        <w:rPr>
          <w:szCs w:val="19"/>
          <w:lang w:val="en-US"/>
        </w:rPr>
        <w:t xml:space="preserve">In many developing countries just a very small part of the population has access to the electrical grid. </w:t>
      </w:r>
    </w:p>
    <w:p w:rsidR="00606EA3" w:rsidRPr="00D51FC2" w:rsidRDefault="00606EA3" w:rsidP="00606EA3">
      <w:pPr>
        <w:rPr>
          <w:szCs w:val="19"/>
          <w:lang w:val="en-GB"/>
        </w:rPr>
      </w:pPr>
      <w:r w:rsidRPr="002A103D">
        <w:rPr>
          <w:szCs w:val="19"/>
          <w:lang w:val="en-US"/>
        </w:rPr>
        <w:t>The coexistence of multiple technologies</w:t>
      </w:r>
      <w:r w:rsidRPr="00D51FC2">
        <w:rPr>
          <w:szCs w:val="19"/>
          <w:lang w:val="en-GB"/>
        </w:rPr>
        <w:t xml:space="preserve"> like </w:t>
      </w:r>
      <w:r w:rsidRPr="002A103D">
        <w:rPr>
          <w:szCs w:val="19"/>
          <w:lang w:val="en-US"/>
        </w:rPr>
        <w:t>wireline (offers higher performance, but with higher deployment costs especially in remote areas),</w:t>
      </w:r>
      <w:r w:rsidRPr="00D51FC2">
        <w:rPr>
          <w:szCs w:val="19"/>
          <w:lang w:val="en-GB"/>
        </w:rPr>
        <w:t xml:space="preserve"> </w:t>
      </w:r>
      <w:r w:rsidRPr="002A103D">
        <w:rPr>
          <w:szCs w:val="19"/>
          <w:lang w:val="en-US"/>
        </w:rPr>
        <w:t>wireless (provides cost-effective solutions, yet with worse performance and some limitations to reach underground installations). In addition, for wireless, interferences are likely to occur for unlicensed technologies.</w:t>
      </w:r>
    </w:p>
    <w:p w:rsidR="00606EA3" w:rsidRPr="00D51FC2" w:rsidRDefault="00606EA3" w:rsidP="00606EA3">
      <w:pPr>
        <w:keepLines/>
        <w:rPr>
          <w:szCs w:val="19"/>
          <w:lang w:val="en-GB"/>
        </w:rPr>
      </w:pPr>
      <w:r w:rsidRPr="002A103D">
        <w:rPr>
          <w:szCs w:val="19"/>
          <w:lang w:val="en-US"/>
        </w:rPr>
        <w:lastRenderedPageBreak/>
        <w:t>The survivability of the telecommunication network to blackouts for example is one challenge</w:t>
      </w:r>
      <w:r w:rsidRPr="00D51FC2">
        <w:rPr>
          <w:szCs w:val="19"/>
          <w:lang w:val="en-GB"/>
        </w:rPr>
        <w:t xml:space="preserve">. It is absolutely </w:t>
      </w:r>
      <w:r w:rsidRPr="002A103D">
        <w:rPr>
          <w:szCs w:val="19"/>
          <w:lang w:val="en-US"/>
        </w:rPr>
        <w:t>needed to enable automatic and prompt recovery from failures of the electrical grid,</w:t>
      </w:r>
      <w:r w:rsidRPr="00D51FC2">
        <w:rPr>
          <w:szCs w:val="19"/>
          <w:lang w:val="en-GB"/>
        </w:rPr>
        <w:t xml:space="preserve"> and to </w:t>
      </w:r>
      <w:r w:rsidRPr="002A103D">
        <w:rPr>
          <w:szCs w:val="19"/>
          <w:lang w:val="en-US"/>
        </w:rPr>
        <w:t xml:space="preserve">guarantee backup energy resources. </w:t>
      </w:r>
      <w:r w:rsidRPr="00D51FC2">
        <w:rPr>
          <w:szCs w:val="19"/>
          <w:lang w:val="en-GB"/>
        </w:rPr>
        <w:t xml:space="preserve"> However, these considerations are </w:t>
      </w:r>
      <w:r w:rsidRPr="002A103D">
        <w:rPr>
          <w:szCs w:val="19"/>
          <w:lang w:val="en-US"/>
        </w:rPr>
        <w:t>limited by technical, economic and environmental factors.</w:t>
      </w:r>
    </w:p>
    <w:p w:rsidR="00606EA3" w:rsidRPr="00D51FC2" w:rsidRDefault="00606EA3" w:rsidP="00606EA3">
      <w:pPr>
        <w:rPr>
          <w:szCs w:val="19"/>
          <w:lang w:val="en-GB"/>
        </w:rPr>
      </w:pPr>
      <w:r w:rsidRPr="00D51FC2">
        <w:rPr>
          <w:szCs w:val="19"/>
          <w:lang w:val="en-GB"/>
        </w:rPr>
        <w:t>Within this context, ICT can be helpful to make progress in the issue of a more efficient control and distribution of electricity.</w:t>
      </w:r>
    </w:p>
    <w:p w:rsidR="00606EA3" w:rsidRPr="00D51FC2" w:rsidRDefault="00606EA3" w:rsidP="00606EA3">
      <w:pPr>
        <w:rPr>
          <w:szCs w:val="19"/>
          <w:lang w:val="en-GB"/>
        </w:rPr>
      </w:pPr>
      <w:r w:rsidRPr="00D51FC2">
        <w:rPr>
          <w:szCs w:val="19"/>
          <w:lang w:val="en-GB"/>
        </w:rPr>
        <w:t>Standardizing: ICT can provide information in the form of standards on energy consumption and emissions, across the sectors.</w:t>
      </w:r>
    </w:p>
    <w:p w:rsidR="00606EA3" w:rsidRPr="00D51FC2" w:rsidRDefault="00606EA3" w:rsidP="00606EA3">
      <w:pPr>
        <w:rPr>
          <w:szCs w:val="19"/>
          <w:lang w:val="en-GB"/>
        </w:rPr>
      </w:pPr>
      <w:r w:rsidRPr="00D51FC2">
        <w:rPr>
          <w:szCs w:val="19"/>
          <w:lang w:val="en-GB"/>
        </w:rPr>
        <w:t>Monitoring:  ICT can incorporate monitoring information into the design and control of energy use.</w:t>
      </w:r>
    </w:p>
    <w:p w:rsidR="00606EA3" w:rsidRPr="00D51FC2" w:rsidRDefault="00606EA3" w:rsidP="00606EA3">
      <w:pPr>
        <w:rPr>
          <w:szCs w:val="19"/>
          <w:lang w:val="en-GB"/>
        </w:rPr>
      </w:pPr>
      <w:r w:rsidRPr="00D51FC2">
        <w:rPr>
          <w:szCs w:val="19"/>
          <w:lang w:val="en-GB"/>
        </w:rPr>
        <w:t>Accounting: ICT can provide the capabilities and platforms to improve accountability of energy and carbon.</w:t>
      </w:r>
    </w:p>
    <w:p w:rsidR="00606EA3" w:rsidRPr="00D51FC2" w:rsidRDefault="00606EA3" w:rsidP="00606EA3">
      <w:pPr>
        <w:rPr>
          <w:szCs w:val="19"/>
          <w:lang w:val="en-GB"/>
        </w:rPr>
      </w:pPr>
      <w:r w:rsidRPr="00D51FC2">
        <w:rPr>
          <w:szCs w:val="19"/>
          <w:lang w:val="en-GB"/>
        </w:rPr>
        <w:t>Rethinking: ICT can offer innovations that capture energy efficiency opportunities across buildings/homes, transport, power, manufacturing and other infrastructures, and provide alternatives to current ways of operating, learning, living, working and travelling.</w:t>
      </w:r>
    </w:p>
    <w:p w:rsidR="00606EA3" w:rsidRPr="00D51FC2" w:rsidRDefault="00606EA3" w:rsidP="00606EA3">
      <w:pPr>
        <w:rPr>
          <w:szCs w:val="19"/>
          <w:lang w:val="en-GB"/>
        </w:rPr>
      </w:pPr>
      <w:r w:rsidRPr="00D51FC2">
        <w:rPr>
          <w:szCs w:val="19"/>
          <w:lang w:val="en-GB"/>
        </w:rPr>
        <w:t>Transforming: ICT can apply smart and integrated approaches to energy management of systems and processes, including benefits from both automation and behavioural change and develop alternatives to high carbon activities, across all sectors of the economy.</w:t>
      </w:r>
    </w:p>
    <w:p w:rsidR="00606EA3" w:rsidRPr="00D51FC2" w:rsidRDefault="00606EA3" w:rsidP="00606EA3">
      <w:pPr>
        <w:rPr>
          <w:szCs w:val="19"/>
          <w:lang w:val="en-GB"/>
        </w:rPr>
      </w:pPr>
      <w:r w:rsidRPr="00D51FC2">
        <w:rPr>
          <w:szCs w:val="19"/>
          <w:lang w:val="en-GB"/>
        </w:rPr>
        <w:t>What is a smart grid? A smart grid is an electricity network that can integrate the actions of all the users connected to it, in order to efficiently deliver sustainable, economic and secure electricity supplies.</w:t>
      </w:r>
    </w:p>
    <w:p w:rsidR="00606EA3" w:rsidRPr="00D51FC2" w:rsidRDefault="00606EA3" w:rsidP="00606EA3">
      <w:pPr>
        <w:rPr>
          <w:szCs w:val="19"/>
          <w:lang w:val="en-GB"/>
        </w:rPr>
      </w:pPr>
      <w:r w:rsidRPr="002A103D">
        <w:rPr>
          <w:color w:val="000000"/>
          <w:szCs w:val="19"/>
          <w:lang w:val="en-US"/>
        </w:rPr>
        <w:t>Smart Grids could be described as an upgraded energy network to which two-way digital communication between supplier and consumer, intelligent metering and monitoring systems have been added. Intelligent metering is usually an inherent part of Smart Grids, which can manage direct interaction and communication among consumers, households or companies, other grid users and energy suppliers. It could also enable consumers to directly control and manage their individual consumption patterns, providing incentives for efficient energy use if combined with time-dependent tariffs for electricity consumption. Improved and more targeted management of the grid translates into a grid that is more secure and cheaper to operate.</w:t>
      </w:r>
    </w:p>
    <w:p w:rsidR="00606EA3" w:rsidRPr="00D51FC2" w:rsidRDefault="00606EA3" w:rsidP="00606EA3">
      <w:pPr>
        <w:rPr>
          <w:szCs w:val="19"/>
          <w:lang w:val="en-GB"/>
        </w:rPr>
      </w:pPr>
      <w:r w:rsidRPr="00D51FC2">
        <w:rPr>
          <w:szCs w:val="19"/>
          <w:lang w:val="en-GB"/>
        </w:rPr>
        <w:t>The European Commission launched a public consultation within the context of Radio Spectrum Policy Program (RSPP). RSPP states that the Commission, in cooperation with the Member States, shall consider making spectrum available for wireless technologies with a potential for improving energy saving, including smart energy grids and smart metering systems. Apart from the ICT aspects of energy efficiency, it is also possible that EU wide harmonization of the spectrum usage conditions for these purposes could bring benefits to European consumers. The main policy objective of the initiative is to consider how a harmonized approach on the use of spectrum at EU level could contribute to ensuring reliability of the utility networks, cost effective use of renewable electricity sources and enhancing the efficiency of electricity and other energy grids.</w:t>
      </w:r>
    </w:p>
    <w:p w:rsidR="00606EA3" w:rsidRPr="00D51FC2" w:rsidRDefault="00606EA3" w:rsidP="00606EA3">
      <w:pPr>
        <w:rPr>
          <w:color w:val="000000"/>
          <w:szCs w:val="19"/>
          <w:lang w:val="en-GB"/>
        </w:rPr>
      </w:pPr>
      <w:r w:rsidRPr="00D51FC2">
        <w:rPr>
          <w:color w:val="000000"/>
          <w:szCs w:val="19"/>
          <w:lang w:val="en-GB"/>
        </w:rPr>
        <w:t xml:space="preserve">The draft RSPP text states </w:t>
      </w:r>
      <w:r w:rsidRPr="00D51FC2">
        <w:rPr>
          <w:i/>
          <w:iCs/>
          <w:color w:val="000000"/>
          <w:szCs w:val="19"/>
          <w:lang w:val="en-GB"/>
        </w:rPr>
        <w:t xml:space="preserve">inter alia </w:t>
      </w:r>
      <w:r w:rsidRPr="00D51FC2">
        <w:rPr>
          <w:color w:val="000000"/>
          <w:szCs w:val="19"/>
          <w:lang w:val="en-GB"/>
        </w:rPr>
        <w:t>that the Commission, in cooperation with the Member States, shall conduct studies on saving energy in the use of spectrum in order to contribute to a low-carbon policy, as well as consider making spectrum available for wireless technologies with a potential for improving energy saving and efficiency of other distribution networks, including smart energy grids and smart metering systems.</w:t>
      </w:r>
    </w:p>
    <w:p w:rsidR="00606EA3" w:rsidRPr="00D51FC2" w:rsidRDefault="00606EA3" w:rsidP="00606EA3">
      <w:pPr>
        <w:rPr>
          <w:szCs w:val="19"/>
          <w:lang w:val="en-GB"/>
        </w:rPr>
      </w:pPr>
      <w:r w:rsidRPr="00D51FC2">
        <w:rPr>
          <w:color w:val="000000"/>
          <w:szCs w:val="19"/>
          <w:lang w:val="en-GB"/>
        </w:rPr>
        <w:t xml:space="preserve">Over the long term, the Commission’s Communication on a 'Roadmap for moving to a competitive low carbon economy in 2050' identifies Smart Grids as a key enabler for a future low-carbon electricity system, facilitating demand-side efficiency, increasing the shares of renewables and distributed generation, and enabling electrification of transport. </w:t>
      </w:r>
    </w:p>
    <w:p w:rsidR="00606EA3" w:rsidRPr="00D51FC2" w:rsidRDefault="00606EA3" w:rsidP="00606EA3">
      <w:pPr>
        <w:rPr>
          <w:szCs w:val="19"/>
          <w:lang w:val="en-GB"/>
        </w:rPr>
      </w:pPr>
      <w:r w:rsidRPr="00D51FC2">
        <w:rPr>
          <w:szCs w:val="19"/>
          <w:lang w:val="en-GB"/>
        </w:rPr>
        <w:t>The public consultation aims at collecting further information and views, including appropriate justifications for requirements on any specific spectrum needs for mission-critical purposes, from all the relevant sectors and stakeholders. The outcome will be used as input for an impact assessment, based on which the Commission will then decide on the next steps in this field.</w:t>
      </w:r>
    </w:p>
    <w:p w:rsidR="00606EA3" w:rsidRPr="00D51FC2" w:rsidRDefault="00606EA3" w:rsidP="00606EA3">
      <w:pPr>
        <w:rPr>
          <w:szCs w:val="19"/>
          <w:lang w:val="en-GB"/>
        </w:rPr>
      </w:pPr>
      <w:r w:rsidRPr="00D51FC2">
        <w:rPr>
          <w:color w:val="000000"/>
          <w:szCs w:val="19"/>
          <w:lang w:val="en-GB"/>
        </w:rPr>
        <w:lastRenderedPageBreak/>
        <w:t>The summary of this consultation is contained within reference 3.</w:t>
      </w:r>
    </w:p>
    <w:p w:rsidR="00606EA3" w:rsidRPr="00D51FC2" w:rsidRDefault="00606EA3" w:rsidP="00606EA3">
      <w:pPr>
        <w:autoSpaceDE w:val="0"/>
        <w:autoSpaceDN w:val="0"/>
        <w:adjustRightInd w:val="0"/>
        <w:rPr>
          <w:rFonts w:cs="Arial"/>
          <w:bCs/>
          <w:szCs w:val="19"/>
          <w:lang w:val="en-GB"/>
        </w:rPr>
      </w:pPr>
      <w:r w:rsidRPr="00D51FC2">
        <w:rPr>
          <w:rFonts w:cs="Arial"/>
          <w:szCs w:val="19"/>
          <w:lang w:val="en-GB"/>
        </w:rPr>
        <w:t>Smart grids are expected to offer great benefits to all the actors of the upgraded electricity system. Grid operators can manage the network more efficiently, retailers will be able to improve customer service. For consumers smart electricity grids mean a shift from a passive receiver of electricity into an interactive participant in the supply chain. The Commission will closely monitor that Member States ensure consumers' access to their consumption and billing information: being able to follow their actual electricity consumption in real time gives consumers strong incentives to save energy and money. The trends show that through smart meters European households could save 10 % of their consumption.</w:t>
      </w:r>
    </w:p>
    <w:p w:rsidR="00606EA3" w:rsidRPr="002A103D" w:rsidRDefault="00606EA3" w:rsidP="00606EA3">
      <w:pPr>
        <w:rPr>
          <w:szCs w:val="19"/>
          <w:lang w:val="en-US"/>
        </w:rPr>
      </w:pPr>
      <w:r w:rsidRPr="002A103D">
        <w:rPr>
          <w:szCs w:val="19"/>
          <w:lang w:val="en-US"/>
        </w:rPr>
        <w:t>The smart grid differs from the traditional electrical grid in many ways. It is digital, decentralized, semi or fully automated, enables real time pricing and a two-way communication. It is possible to make a comparison between the smart grid and a smart phone. Basically, smart phone is a cell phone with a computer. Likewise, the smart grid means computerizing the electrical grid. It includes adding two-way digital communication technology to devices associated with the grid. Some of the key features of the smart grid are: reliability, flexibility, efficiency, sustainability and automation technology that lets the utility adjust and control each individual device or millions of devices from a central location.</w:t>
      </w:r>
      <w:r w:rsidRPr="00D51FC2">
        <w:rPr>
          <w:rStyle w:val="FootnoteReference"/>
          <w:sz w:val="19"/>
          <w:szCs w:val="19"/>
        </w:rPr>
        <w:footnoteReference w:id="8"/>
      </w:r>
    </w:p>
    <w:p w:rsidR="00606EA3" w:rsidRPr="002A103D" w:rsidRDefault="00606EA3" w:rsidP="00606EA3">
      <w:pPr>
        <w:rPr>
          <w:szCs w:val="19"/>
          <w:lang w:val="en-US"/>
        </w:rPr>
      </w:pPr>
      <w:r w:rsidRPr="002A103D">
        <w:rPr>
          <w:szCs w:val="19"/>
          <w:lang w:val="en-US"/>
        </w:rPr>
        <w:t xml:space="preserve">The reliability of the smart grid is improved compared to the traditional grid in the sense that the technologies used have better fault detection and enable self-healing of the network without the intervention of technicians. This means that the supply of the electricity is more reliable, because the smart grid adds resiliency to electric power systems. The use of ICTs to transform traditional electricity power stations, build them better resilient to withstand natural and man-made disasters. </w:t>
      </w:r>
      <w:r w:rsidRPr="002A103D">
        <w:rPr>
          <w:rFonts w:cs="TimesNewRomanPSMT"/>
          <w:szCs w:val="19"/>
          <w:lang w:val="en-US"/>
        </w:rPr>
        <w:t>In the case of natural disasters and in order to minimize the risk, the smart grid should be able to guarantee at least sufficient performance when facing extreme meteorological events, such as floods, hurricanes, droughts, as well as earthquakes, tsunamis, tornadoes, solar magnetic storms, etc. As for man-made disasters, the smart grid should be able to mitigate and minimize the impact by providing relevant information of its status</w:t>
      </w:r>
      <w:r w:rsidRPr="002A103D">
        <w:rPr>
          <w:szCs w:val="19"/>
          <w:lang w:val="en-US"/>
        </w:rPr>
        <w:t>. It will also help to ensure that electricity recovery resumes quickly and strategically during and after an emergency, for example, by routing electricity to emergency services first.</w:t>
      </w:r>
      <w:r w:rsidRPr="00D51FC2">
        <w:rPr>
          <w:rStyle w:val="FootnoteReference"/>
          <w:sz w:val="19"/>
          <w:szCs w:val="19"/>
        </w:rPr>
        <w:footnoteReference w:id="9"/>
      </w:r>
      <w:r w:rsidRPr="002A103D">
        <w:rPr>
          <w:szCs w:val="19"/>
          <w:lang w:val="en-US"/>
        </w:rPr>
        <w:t xml:space="preserve"> Finally, if power outages occur, the smart grid would be able to detect and isolate them before they become large-scale blackouts. Important components in improving the reliability are the Phasor Measurement Units (PMU) and the Distribution Management System (DMS). The function of PMU is to estimate the phasor equivalent for power system voltage and current signals many times per second at a given location, thus giving a clear picture of the power system, easing congestion and bottlenecks and mitigating (or even preventing) blackouts. DMS is a combination of software and hardware that monitors and controls the entire distribution network, thus improving its efficiency and reliability resulting in reduced outages.</w:t>
      </w:r>
    </w:p>
    <w:p w:rsidR="00606EA3" w:rsidRPr="002A103D" w:rsidRDefault="00606EA3" w:rsidP="00606EA3">
      <w:pPr>
        <w:rPr>
          <w:szCs w:val="19"/>
          <w:lang w:val="en-US"/>
        </w:rPr>
      </w:pPr>
      <w:r w:rsidRPr="002A103D">
        <w:rPr>
          <w:szCs w:val="19"/>
          <w:lang w:val="en-US"/>
        </w:rPr>
        <w:t xml:space="preserve">The smart grid improves efficiency by load adjustment and peak leveling. The peak demand is a time when there is the greatest need for electricity during a particular period. Since the electricity must be consumed the moment it is generated, the traditional response to this load varying would be to put in use spare generators before a large generator can start working. </w:t>
      </w:r>
    </w:p>
    <w:p w:rsidR="00606EA3" w:rsidRPr="002A103D" w:rsidRDefault="00606EA3" w:rsidP="00606EA3">
      <w:pPr>
        <w:rPr>
          <w:szCs w:val="19"/>
          <w:lang w:val="en-US"/>
        </w:rPr>
      </w:pPr>
      <w:r w:rsidRPr="002A103D">
        <w:rPr>
          <w:szCs w:val="19"/>
          <w:lang w:val="en-US"/>
        </w:rPr>
        <w:t>A smart grid can warn all individual customers to reduce the load demand on critical times or increase demand at times of high production and low demand. The inclusion of customers is called the demand response program, and it is being used by electric system planners and operators for balancing supply and demand.</w:t>
      </w:r>
      <w:r w:rsidRPr="00D51FC2">
        <w:rPr>
          <w:rStyle w:val="FootnoteReference"/>
          <w:sz w:val="19"/>
          <w:szCs w:val="19"/>
        </w:rPr>
        <w:footnoteReference w:id="10"/>
      </w:r>
      <w:r w:rsidRPr="002A103D">
        <w:rPr>
          <w:szCs w:val="19"/>
          <w:lang w:val="en-US"/>
        </w:rPr>
        <w:t xml:space="preserve"> One of the methods used to include customers was to increase the prices of electricity during high demand periods, and to decrease them during low demand periods. This method motivated the consumers to decrease electricity usage during periods of high demand and vice versa. This approach is, </w:t>
      </w:r>
      <w:r w:rsidRPr="002A103D">
        <w:rPr>
          <w:szCs w:val="19"/>
          <w:lang w:val="en-US"/>
        </w:rPr>
        <w:lastRenderedPageBreak/>
        <w:t>of course, well known, but with the smart grid, there would be no need to wait until the end of the month to know how much electricity has been used, because the smart grid will allow every consumer to have a clear picture of consumption at any time. Smart meters will output the amount of energy used, when it was used, and the cost; and this output will allow consumers to save money by using less power when electricity is most expensive.</w:t>
      </w:r>
      <w:r w:rsidRPr="00D51FC2">
        <w:rPr>
          <w:rStyle w:val="FootnoteReference"/>
          <w:sz w:val="19"/>
          <w:szCs w:val="19"/>
        </w:rPr>
        <w:footnoteReference w:id="11"/>
      </w:r>
      <w:r w:rsidRPr="002A103D">
        <w:rPr>
          <w:szCs w:val="19"/>
          <w:lang w:val="en-US"/>
        </w:rPr>
        <w:t xml:space="preserve"> The tool that is used in this process is one of the core elements of the smart grid, called the Advanced Metering Infrastructure (AMI). AMI is a system that measures, collects and analyzes energy usage, but at the same time it provides consumers with the ability to use electricity more efficiently. The difference from traditional meter reading lies in the fact that it enables two-way communication between the meter and the central system. AMI can influence consumption because consumers can use the information provided by the system to change their behavior to take advantage of lower prices.</w:t>
      </w:r>
      <w:r w:rsidRPr="00D51FC2">
        <w:rPr>
          <w:rStyle w:val="FootnoteReference"/>
          <w:sz w:val="19"/>
          <w:szCs w:val="19"/>
        </w:rPr>
        <w:footnoteReference w:id="12"/>
      </w:r>
      <w:r w:rsidRPr="002A103D">
        <w:rPr>
          <w:szCs w:val="19"/>
          <w:lang w:val="en-US"/>
        </w:rPr>
        <w:t xml:space="preserve"> </w:t>
      </w:r>
    </w:p>
    <w:p w:rsidR="00606EA3" w:rsidRPr="002A103D" w:rsidRDefault="00606EA3" w:rsidP="00606EA3">
      <w:pPr>
        <w:rPr>
          <w:szCs w:val="19"/>
          <w:lang w:val="en-US"/>
        </w:rPr>
      </w:pPr>
      <w:r w:rsidRPr="002A103D">
        <w:rPr>
          <w:szCs w:val="19"/>
          <w:lang w:val="en-US"/>
        </w:rPr>
        <w:t xml:space="preserve">The last, but not the least important feature of the smart grid is sustainability. In the context of smart grid, sustainability would be achieved not only through the efficiency improvement, but also through the smart grid’s ability to include renewable energy sources such as solar power and wind power. Unlike the existing network infrastructure, which is not built to allow for many different feed-in points, the smart grid technology permits distributed generation of power, for instance from solar panels, wind turbines, pumped hydroelectric power, and other sources. </w:t>
      </w:r>
    </w:p>
    <w:p w:rsidR="00606EA3" w:rsidRPr="002A103D" w:rsidRDefault="00606EA3" w:rsidP="00606EA3">
      <w:pPr>
        <w:rPr>
          <w:szCs w:val="19"/>
          <w:lang w:val="en-US"/>
        </w:rPr>
      </w:pPr>
      <w:r w:rsidRPr="002A103D">
        <w:rPr>
          <w:szCs w:val="19"/>
          <w:lang w:val="en-US"/>
        </w:rPr>
        <w:t xml:space="preserve">In the European Commission’s communication to the European Parliament, called </w:t>
      </w:r>
      <w:r w:rsidRPr="002A103D">
        <w:rPr>
          <w:i/>
          <w:iCs/>
          <w:szCs w:val="19"/>
          <w:lang w:val="en-US"/>
        </w:rPr>
        <w:t xml:space="preserve">Energy Roadmap 2050, </w:t>
      </w:r>
      <w:r w:rsidRPr="002A103D">
        <w:rPr>
          <w:szCs w:val="19"/>
          <w:lang w:val="en-US"/>
        </w:rPr>
        <w:t>the development of a smarter distribution grid that could include renewable energy sources is seen as one of the main tools in achieving a secure, competitive and decarbonized energy system in next decades.</w:t>
      </w:r>
      <w:r w:rsidRPr="00D51FC2">
        <w:rPr>
          <w:rStyle w:val="FootnoteReference"/>
          <w:sz w:val="19"/>
          <w:szCs w:val="19"/>
        </w:rPr>
        <w:footnoteReference w:id="13"/>
      </w:r>
    </w:p>
    <w:p w:rsidR="00606EA3" w:rsidRPr="00D51FC2" w:rsidRDefault="00606EA3" w:rsidP="00606EA3">
      <w:pPr>
        <w:pStyle w:val="Heading2"/>
      </w:pPr>
      <w:bookmarkStart w:id="82" w:name="_Toc377721074"/>
      <w:bookmarkStart w:id="83" w:name="_Toc377976460"/>
      <w:r w:rsidRPr="00D51FC2">
        <w:t>7.3</w:t>
      </w:r>
      <w:r>
        <w:tab/>
      </w:r>
      <w:r w:rsidRPr="002448F4">
        <w:t>Benefits</w:t>
      </w:r>
      <w:bookmarkEnd w:id="82"/>
      <w:bookmarkEnd w:id="83"/>
    </w:p>
    <w:p w:rsidR="00606EA3" w:rsidRPr="002A103D" w:rsidRDefault="00606EA3" w:rsidP="00606EA3">
      <w:pPr>
        <w:rPr>
          <w:szCs w:val="19"/>
          <w:lang w:val="en-US"/>
        </w:rPr>
      </w:pPr>
      <w:r w:rsidRPr="002A103D">
        <w:rPr>
          <w:szCs w:val="19"/>
          <w:lang w:val="en-US"/>
        </w:rPr>
        <w:t>In order to address energy efficiency and increase consumer awareness about the link between the electricity and the environment, the existing energy infrastructure has to be upgraded or replaced. Apart from increased awareness, it provides concrete ways to address environmental issues, for example by allowing the integration of distributed renewable energy sources such as solar panels.</w:t>
      </w:r>
      <w:r w:rsidRPr="00D51FC2">
        <w:rPr>
          <w:rStyle w:val="FootnoteReference"/>
          <w:sz w:val="19"/>
          <w:szCs w:val="19"/>
        </w:rPr>
        <w:footnoteReference w:id="14"/>
      </w:r>
      <w:r w:rsidRPr="002A103D">
        <w:rPr>
          <w:szCs w:val="19"/>
          <w:lang w:val="en-US"/>
        </w:rPr>
        <w:t xml:space="preserve"> Solar panels are also very interesting from the consumer point of view, because the owners of solar panels will be able to sell the portion of the power they generate back to the local utilities. By doing so, they will not just lower their energy costs, but could also earn a profit. And since solar panels produce electricity during daytime, they will also help to meet peak demand.</w:t>
      </w:r>
      <w:r w:rsidRPr="00D51FC2">
        <w:rPr>
          <w:rStyle w:val="FootnoteReference"/>
          <w:sz w:val="19"/>
          <w:szCs w:val="19"/>
        </w:rPr>
        <w:footnoteReference w:id="15"/>
      </w:r>
      <w:r w:rsidRPr="002A103D">
        <w:rPr>
          <w:szCs w:val="19"/>
          <w:lang w:val="en-US"/>
        </w:rPr>
        <w:t xml:space="preserve"> A good practical example of how renewable sources can be included in power supply are Ghana, which is already providing 50 per cent of its electricity this way,</w:t>
      </w:r>
      <w:r w:rsidRPr="00D51FC2">
        <w:rPr>
          <w:rStyle w:val="FootnoteReference"/>
          <w:sz w:val="19"/>
          <w:szCs w:val="19"/>
        </w:rPr>
        <w:footnoteReference w:id="16"/>
      </w:r>
      <w:r w:rsidRPr="002A103D">
        <w:rPr>
          <w:szCs w:val="19"/>
          <w:lang w:val="en-US"/>
        </w:rPr>
        <w:t xml:space="preserve"> and Spain, where renewable technologies provide more than 40 per cent of the daily demand on certain </w:t>
      </w:r>
      <w:r w:rsidRPr="002A103D">
        <w:rPr>
          <w:szCs w:val="19"/>
          <w:lang w:val="en-US"/>
        </w:rPr>
        <w:lastRenderedPageBreak/>
        <w:t>days.</w:t>
      </w:r>
      <w:r w:rsidRPr="00D51FC2">
        <w:rPr>
          <w:rStyle w:val="FootnoteReference"/>
          <w:sz w:val="19"/>
          <w:szCs w:val="19"/>
        </w:rPr>
        <w:footnoteReference w:id="17"/>
      </w:r>
      <w:r w:rsidRPr="002A103D">
        <w:rPr>
          <w:szCs w:val="19"/>
          <w:lang w:val="en-US"/>
        </w:rPr>
        <w:t xml:space="preserve"> The smart grid will also enable an unseen level of consumer participation, by allowing them to monitor real-time information and price signals and create settings to automatically use power when prices are lowest.</w:t>
      </w:r>
      <w:r w:rsidRPr="00D51FC2">
        <w:rPr>
          <w:rStyle w:val="FootnoteReference"/>
          <w:sz w:val="19"/>
          <w:szCs w:val="19"/>
        </w:rPr>
        <w:footnoteReference w:id="18"/>
      </w:r>
    </w:p>
    <w:p w:rsidR="00606EA3" w:rsidRPr="002A103D" w:rsidRDefault="00606EA3" w:rsidP="00606EA3">
      <w:pPr>
        <w:rPr>
          <w:szCs w:val="19"/>
          <w:lang w:val="en-US"/>
        </w:rPr>
      </w:pPr>
      <w:r w:rsidRPr="002A103D">
        <w:rPr>
          <w:szCs w:val="19"/>
          <w:lang w:val="en-US"/>
        </w:rPr>
        <w:t>A promising opportunity lies also in coordinating smart grid deployment with internet infrastructure deployment, namely high-speed broadband, which can be very cost-efficient. With better broadband communications, utilities will be able to respond far better to peak demand and outages. This approach could offer families not only electricity savings due to the Automated Metering Infrastructure, but also affordable broadband access.</w:t>
      </w:r>
      <w:r w:rsidRPr="00D51FC2">
        <w:rPr>
          <w:rStyle w:val="FootnoteReference"/>
          <w:sz w:val="19"/>
          <w:szCs w:val="19"/>
        </w:rPr>
        <w:footnoteReference w:id="19"/>
      </w:r>
      <w:r w:rsidRPr="002A103D">
        <w:rPr>
          <w:szCs w:val="19"/>
          <w:lang w:val="en-US"/>
        </w:rPr>
        <w:t xml:space="preserve"> </w:t>
      </w:r>
    </w:p>
    <w:p w:rsidR="00606EA3" w:rsidRPr="002A103D" w:rsidRDefault="00606EA3" w:rsidP="00606EA3">
      <w:pPr>
        <w:rPr>
          <w:szCs w:val="19"/>
          <w:lang w:val="en-US"/>
        </w:rPr>
      </w:pPr>
      <w:r w:rsidRPr="002A103D">
        <w:rPr>
          <w:szCs w:val="19"/>
          <w:lang w:val="en-US"/>
        </w:rPr>
        <w:t>Finally, broadband could be beneficial in the field of environmental protection as well, by transferring data from automated pollution detection mechanisms, based on biosensors. Biosensors, organized in flexible, integrated networks, can provide a sensitive and robust method of pollution monitoring.</w:t>
      </w:r>
      <w:r w:rsidRPr="00D51FC2">
        <w:rPr>
          <w:rStyle w:val="FootnoteReference"/>
          <w:sz w:val="19"/>
          <w:szCs w:val="19"/>
        </w:rPr>
        <w:footnoteReference w:id="20"/>
      </w:r>
      <w:r w:rsidRPr="002A103D">
        <w:rPr>
          <w:szCs w:val="19"/>
          <w:lang w:val="en-US"/>
        </w:rPr>
        <w:t xml:space="preserve"> Such a network would consist of a large number of biosensors with the ability to communicate with each other, and sending collected data to the base station.</w:t>
      </w:r>
      <w:r w:rsidRPr="00D51FC2">
        <w:rPr>
          <w:rStyle w:val="FootnoteReference"/>
          <w:sz w:val="19"/>
          <w:szCs w:val="19"/>
        </w:rPr>
        <w:footnoteReference w:id="21"/>
      </w:r>
      <w:r w:rsidRPr="002A103D">
        <w:rPr>
          <w:szCs w:val="19"/>
          <w:lang w:val="en-US"/>
        </w:rPr>
        <w:t xml:space="preserve"> The biosensors can be self-powered, and thus independent from the electrical grid. This real-time detection infrastructure is already used to measure ecological health of waterways in Australia.</w:t>
      </w:r>
      <w:r w:rsidRPr="00D51FC2">
        <w:rPr>
          <w:rStyle w:val="FootnoteReference"/>
          <w:sz w:val="19"/>
          <w:szCs w:val="19"/>
        </w:rPr>
        <w:footnoteReference w:id="22"/>
      </w:r>
      <w:r w:rsidRPr="002A103D">
        <w:rPr>
          <w:szCs w:val="19"/>
          <w:lang w:val="en-US"/>
        </w:rPr>
        <w:t xml:space="preserve"> </w:t>
      </w:r>
    </w:p>
    <w:p w:rsidR="00606EA3" w:rsidRPr="002A103D" w:rsidRDefault="00606EA3" w:rsidP="00606EA3">
      <w:pPr>
        <w:rPr>
          <w:szCs w:val="19"/>
          <w:lang w:val="en-US"/>
        </w:rPr>
      </w:pPr>
      <w:r w:rsidRPr="002A103D">
        <w:rPr>
          <w:szCs w:val="19"/>
          <w:lang w:val="en-US"/>
        </w:rPr>
        <w:t>The goal is to make the transformation from a centralized, producer-controlled electrical grid to one that is decentralized and consumer-interactive, which will link power generation from distributed sources together with traditional power plants.</w:t>
      </w:r>
      <w:r w:rsidRPr="00D51FC2">
        <w:rPr>
          <w:rStyle w:val="FootnoteReference"/>
          <w:sz w:val="19"/>
          <w:szCs w:val="19"/>
        </w:rPr>
        <w:footnoteReference w:id="23"/>
      </w:r>
      <w:r w:rsidRPr="002A103D">
        <w:rPr>
          <w:szCs w:val="19"/>
          <w:lang w:val="en-US"/>
        </w:rPr>
        <w:t xml:space="preserve"> The transfer from the traditional to the smart grid cannot happen overnight; the idea is that during a decade or so, new technologies should be deployed step by step. But the implementation of the smart grid will probably revolutionize every aspect of our lives in the same way that Internet did. </w:t>
      </w:r>
    </w:p>
    <w:p w:rsidR="00606EA3" w:rsidRPr="00D51FC2" w:rsidRDefault="00606EA3" w:rsidP="00606EA3">
      <w:pPr>
        <w:pStyle w:val="Heading2"/>
      </w:pPr>
      <w:bookmarkStart w:id="84" w:name="_Toc377721075"/>
      <w:bookmarkStart w:id="85" w:name="_Toc377976461"/>
      <w:r>
        <w:t>7.4</w:t>
      </w:r>
      <w:r>
        <w:tab/>
      </w:r>
      <w:r w:rsidRPr="00D55097">
        <w:t>References</w:t>
      </w:r>
      <w:bookmarkEnd w:id="84"/>
      <w:bookmarkEnd w:id="85"/>
    </w:p>
    <w:p w:rsidR="00606EA3" w:rsidRPr="00D51FC2" w:rsidRDefault="00606EA3" w:rsidP="00606EA3">
      <w:pPr>
        <w:pStyle w:val="Enumlevel1"/>
      </w:pPr>
      <w:r>
        <w:t>•</w:t>
      </w:r>
      <w:r>
        <w:tab/>
      </w:r>
      <w:r w:rsidRPr="00D51FC2">
        <w:t xml:space="preserve">The Automatic Earth, </w:t>
      </w:r>
      <w:r w:rsidRPr="00D51FC2">
        <w:rPr>
          <w:i/>
          <w:iCs/>
        </w:rPr>
        <w:t xml:space="preserve">India Power Outrage: The Shape of Things to Come?, </w:t>
      </w:r>
      <w:r w:rsidRPr="00D51FC2">
        <w:t xml:space="preserve">available at: </w:t>
      </w:r>
      <w:hyperlink r:id="rId186" w:history="1">
        <w:r w:rsidRPr="00D51FC2">
          <w:rPr>
            <w:rStyle w:val="Hyperlink"/>
            <w:szCs w:val="19"/>
          </w:rPr>
          <w:t>http://theautomaticearth.com/Energy/india-power-outage-the-shape-of-things-to-come.html</w:t>
        </w:r>
      </w:hyperlink>
      <w:r w:rsidRPr="00D51FC2">
        <w:t>, December 18, 2012.</w:t>
      </w:r>
    </w:p>
    <w:p w:rsidR="00606EA3" w:rsidRPr="00D51FC2" w:rsidRDefault="00606EA3" w:rsidP="00606EA3">
      <w:pPr>
        <w:pStyle w:val="Enumlevel1"/>
      </w:pPr>
      <w:r>
        <w:t>•</w:t>
      </w:r>
      <w:r>
        <w:tab/>
      </w:r>
      <w:r w:rsidRPr="00D51FC2">
        <w:t xml:space="preserve">Centre for Aquatic Pollution Identification and Management, Autonomous Live Animal Response Monitors (ALARM), available at: </w:t>
      </w:r>
      <w:hyperlink r:id="rId187" w:history="1">
        <w:r w:rsidRPr="00D51FC2">
          <w:rPr>
            <w:rStyle w:val="Hyperlink"/>
            <w:szCs w:val="19"/>
          </w:rPr>
          <w:t>http://capim.com.au/index.php?page=prac</w:t>
        </w:r>
      </w:hyperlink>
      <w:r w:rsidRPr="00D51FC2">
        <w:t>, December 21, 2012.</w:t>
      </w:r>
    </w:p>
    <w:p w:rsidR="00606EA3" w:rsidRPr="00D51FC2" w:rsidRDefault="00606EA3" w:rsidP="00606EA3">
      <w:pPr>
        <w:pStyle w:val="Enumlevel1"/>
      </w:pPr>
      <w:r>
        <w:t>•</w:t>
      </w:r>
      <w:r>
        <w:tab/>
      </w:r>
      <w:r w:rsidRPr="00D51FC2">
        <w:t xml:space="preserve">Communication from the Commission to the European Parliament, the Council, the European Economic and Social Committee and the Committee of the Regions, </w:t>
      </w:r>
      <w:r w:rsidRPr="00D51FC2">
        <w:rPr>
          <w:i/>
          <w:iCs/>
        </w:rPr>
        <w:t xml:space="preserve">Energy Roadmap 2050, </w:t>
      </w:r>
      <w:r w:rsidRPr="00D51FC2">
        <w:t xml:space="preserve">Brussels, 15.12.2011, COM(2011) 885 final, available at: </w:t>
      </w:r>
      <w:hyperlink r:id="rId188" w:history="1">
        <w:r w:rsidRPr="00D51FC2">
          <w:rPr>
            <w:rStyle w:val="Hyperlink"/>
            <w:szCs w:val="19"/>
          </w:rPr>
          <w:t>http://eur-lex.europa.eu/LexUriServ/LexUriServ.do?uri=COM:2011:0885:FIN:EN:PDF</w:t>
        </w:r>
      </w:hyperlink>
      <w:r w:rsidRPr="00D51FC2">
        <w:t>, December 20, 2012.</w:t>
      </w:r>
    </w:p>
    <w:p w:rsidR="00606EA3" w:rsidRPr="00D51FC2" w:rsidRDefault="00606EA3" w:rsidP="00606EA3">
      <w:pPr>
        <w:pStyle w:val="Enumlevel1"/>
      </w:pPr>
      <w:r>
        <w:lastRenderedPageBreak/>
        <w:t>•</w:t>
      </w:r>
      <w:r>
        <w:tab/>
      </w:r>
      <w:r w:rsidRPr="00D51FC2">
        <w:t xml:space="preserve">Emerson Network Power, </w:t>
      </w:r>
      <w:r w:rsidRPr="00D51FC2">
        <w:rPr>
          <w:i/>
          <w:iCs/>
        </w:rPr>
        <w:t xml:space="preserve">What Smart Grid Means to You, </w:t>
      </w:r>
      <w:r w:rsidRPr="00D51FC2">
        <w:t xml:space="preserve">available at: </w:t>
      </w:r>
      <w:hyperlink r:id="rId189" w:history="1">
        <w:r w:rsidRPr="00E328E4">
          <w:rPr>
            <w:rStyle w:val="Hyperlink"/>
            <w:szCs w:val="19"/>
          </w:rPr>
          <w:t>www.cisco.com/web/partners/downloads/765/other/WhatSmartGridMeansToYou.pdf</w:t>
        </w:r>
      </w:hyperlink>
      <w:r w:rsidRPr="00D51FC2">
        <w:t>, December 20, 2012.</w:t>
      </w:r>
    </w:p>
    <w:p w:rsidR="00606EA3" w:rsidRPr="00D51FC2" w:rsidRDefault="00606EA3" w:rsidP="00606EA3">
      <w:pPr>
        <w:pStyle w:val="Enumlevel1"/>
      </w:pPr>
      <w:r>
        <w:t>•</w:t>
      </w:r>
      <w:r>
        <w:tab/>
      </w:r>
      <w:r w:rsidRPr="00D51FC2">
        <w:t xml:space="preserve">Energy.gov, </w:t>
      </w:r>
      <w:r w:rsidRPr="00D51FC2">
        <w:rPr>
          <w:i/>
          <w:iCs/>
        </w:rPr>
        <w:t>Demand response,</w:t>
      </w:r>
      <w:r w:rsidRPr="00D51FC2">
        <w:t xml:space="preserve"> available at: </w:t>
      </w:r>
      <w:hyperlink r:id="rId190" w:history="1">
        <w:r w:rsidRPr="00D51FC2">
          <w:rPr>
            <w:rStyle w:val="Hyperlink"/>
            <w:szCs w:val="19"/>
          </w:rPr>
          <w:t>http://energy.gov/oe/technology-development/smart-grid/demand-response</w:t>
        </w:r>
      </w:hyperlink>
      <w:r w:rsidRPr="00D51FC2">
        <w:t>, December 10, 2012.</w:t>
      </w:r>
    </w:p>
    <w:p w:rsidR="00606EA3" w:rsidRPr="00D51FC2" w:rsidRDefault="00606EA3" w:rsidP="00606EA3">
      <w:pPr>
        <w:pStyle w:val="Enumlevel1"/>
      </w:pPr>
      <w:r>
        <w:t>•</w:t>
      </w:r>
      <w:r>
        <w:tab/>
      </w:r>
      <w:r w:rsidRPr="00D51FC2">
        <w:t xml:space="preserve">Energy.gov, </w:t>
      </w:r>
      <w:r w:rsidRPr="00D51FC2">
        <w:rPr>
          <w:i/>
          <w:iCs/>
        </w:rPr>
        <w:t xml:space="preserve">Smart grid, </w:t>
      </w:r>
      <w:r w:rsidRPr="00D51FC2">
        <w:t xml:space="preserve">available at: </w:t>
      </w:r>
      <w:hyperlink r:id="rId191" w:history="1">
        <w:r w:rsidRPr="00D51FC2">
          <w:rPr>
            <w:rStyle w:val="Hyperlink"/>
            <w:szCs w:val="19"/>
          </w:rPr>
          <w:t>http://energy.gov/oe/technology-development/smart-grid</w:t>
        </w:r>
      </w:hyperlink>
      <w:r w:rsidRPr="00D51FC2">
        <w:t>, December 7, 2012.</w:t>
      </w:r>
    </w:p>
    <w:p w:rsidR="00606EA3" w:rsidRPr="00D51FC2" w:rsidRDefault="00606EA3" w:rsidP="00606EA3">
      <w:pPr>
        <w:pStyle w:val="Enumlevel1"/>
      </w:pPr>
      <w:r>
        <w:t>•</w:t>
      </w:r>
      <w:r>
        <w:tab/>
      </w:r>
      <w:r w:rsidRPr="00D51FC2">
        <w:t xml:space="preserve">G. Galang et al., </w:t>
      </w:r>
      <w:r w:rsidRPr="00D51FC2">
        <w:rPr>
          <w:i/>
          <w:iCs/>
        </w:rPr>
        <w:t xml:space="preserve">Real-time Detection of Water Pollution using Biosensors and Live Animal Behaviour Models, </w:t>
      </w:r>
      <w:r w:rsidRPr="00D51FC2">
        <w:t>6</w:t>
      </w:r>
      <w:r w:rsidRPr="00D51FC2">
        <w:rPr>
          <w:vertAlign w:val="superscript"/>
        </w:rPr>
        <w:t>th</w:t>
      </w:r>
      <w:r w:rsidRPr="00D51FC2">
        <w:t xml:space="preserve"> eResearch Australian Conference, available at: </w:t>
      </w:r>
      <w:hyperlink r:id="rId192" w:history="1">
        <w:r w:rsidRPr="00E328E4">
          <w:rPr>
            <w:rStyle w:val="Hyperlink"/>
            <w:szCs w:val="19"/>
          </w:rPr>
          <w:t>www.eresearch.unimelb.edu.au/__data/assets/pdf_file/0004/622957/ALARM-final_Sep12.pdf</w:t>
        </w:r>
      </w:hyperlink>
      <w:r w:rsidRPr="00D51FC2">
        <w:t>, December 21, 2012.</w:t>
      </w:r>
    </w:p>
    <w:p w:rsidR="00606EA3" w:rsidRPr="00D51FC2" w:rsidRDefault="00606EA3" w:rsidP="00606EA3">
      <w:pPr>
        <w:pStyle w:val="Enumlevel1"/>
      </w:pPr>
      <w:r>
        <w:t>•</w:t>
      </w:r>
      <w:r>
        <w:tab/>
      </w:r>
      <w:r w:rsidRPr="00D51FC2">
        <w:t xml:space="preserve">ITU, </w:t>
      </w:r>
      <w:r w:rsidRPr="00D51FC2">
        <w:rPr>
          <w:i/>
          <w:iCs/>
        </w:rPr>
        <w:t xml:space="preserve">Boosting energy efficiency through Smart Grids, </w:t>
      </w:r>
      <w:r w:rsidRPr="00D51FC2">
        <w:t xml:space="preserve">2012, available at: </w:t>
      </w:r>
      <w:hyperlink r:id="rId193" w:history="1">
        <w:r w:rsidRPr="001B650C">
          <w:rPr>
            <w:rStyle w:val="Hyperlink"/>
            <w:szCs w:val="19"/>
          </w:rPr>
          <w:t>www.itu.int/ITU-T/climatechange/report-smartgrids.html</w:t>
        </w:r>
      </w:hyperlink>
      <w:r w:rsidRPr="00D51FC2">
        <w:t>, January 22, 2013.</w:t>
      </w:r>
    </w:p>
    <w:p w:rsidR="00606EA3" w:rsidRPr="00D51FC2" w:rsidRDefault="00606EA3" w:rsidP="00606EA3">
      <w:pPr>
        <w:pStyle w:val="Enumlevel1"/>
      </w:pPr>
      <w:r>
        <w:t>•</w:t>
      </w:r>
      <w:r>
        <w:tab/>
      </w:r>
      <w:r w:rsidRPr="00D51FC2">
        <w:t xml:space="preserve">ITU, </w:t>
      </w:r>
      <w:r w:rsidRPr="00D51FC2">
        <w:rPr>
          <w:i/>
          <w:iCs/>
        </w:rPr>
        <w:t xml:space="preserve">Information and communication technologies (ICTs) and climate change adaptation and mitigation : The case of Ghana, </w:t>
      </w:r>
      <w:r w:rsidRPr="00D51FC2">
        <w:t xml:space="preserve">2012, available at: </w:t>
      </w:r>
      <w:hyperlink r:id="rId194" w:history="1">
        <w:r w:rsidRPr="00E328E4">
          <w:rPr>
            <w:rStyle w:val="Hyperlink"/>
            <w:szCs w:val="19"/>
          </w:rPr>
          <w:t>www.itu.int/dms_pub/itu-t/oth/4B/01/T4B010000020001PDFE.pdf</w:t>
        </w:r>
      </w:hyperlink>
      <w:r w:rsidRPr="00D51FC2">
        <w:t>, November 19, 2012.</w:t>
      </w:r>
    </w:p>
    <w:p w:rsidR="00606EA3" w:rsidRPr="00D51FC2" w:rsidRDefault="00606EA3" w:rsidP="00606EA3">
      <w:pPr>
        <w:pStyle w:val="Enumlevel1"/>
      </w:pPr>
      <w:r>
        <w:t>•</w:t>
      </w:r>
      <w:r>
        <w:tab/>
      </w:r>
      <w:r w:rsidRPr="00D51FC2">
        <w:t xml:space="preserve">Litos Strategic Communication, </w:t>
      </w:r>
      <w:r w:rsidRPr="00D51FC2">
        <w:rPr>
          <w:i/>
          <w:iCs/>
        </w:rPr>
        <w:t xml:space="preserve">The Smart Grid: An Introduction, </w:t>
      </w:r>
      <w:r w:rsidRPr="00D51FC2">
        <w:t xml:space="preserve">available at: </w:t>
      </w:r>
      <w:hyperlink r:id="rId195" w:history="1">
        <w:r w:rsidRPr="00D51FC2">
          <w:rPr>
            <w:rStyle w:val="Hyperlink"/>
            <w:szCs w:val="19"/>
          </w:rPr>
          <w:t>http://energy.gov/sites/prod/files/oeprod/DocumentsandMedia/DOE_SG_Book_Single_Pages%281%29.pdf</w:t>
        </w:r>
      </w:hyperlink>
      <w:r w:rsidRPr="00D51FC2">
        <w:t>, December 12, 2012.</w:t>
      </w:r>
    </w:p>
    <w:p w:rsidR="00606EA3" w:rsidRPr="00D51FC2" w:rsidRDefault="00606EA3" w:rsidP="00606EA3">
      <w:pPr>
        <w:pStyle w:val="Enumlevel1"/>
      </w:pPr>
      <w:r>
        <w:t>•</w:t>
      </w:r>
      <w:r>
        <w:tab/>
      </w:r>
      <w:r w:rsidRPr="00D51FC2">
        <w:rPr>
          <w:rFonts w:cstheme="minorHAnsi"/>
        </w:rPr>
        <w:t xml:space="preserve">R. Lyster, </w:t>
      </w:r>
      <w:r w:rsidRPr="00D51FC2">
        <w:rPr>
          <w:rFonts w:cstheme="minorHAnsi"/>
          <w:i/>
          <w:iCs/>
        </w:rPr>
        <w:t xml:space="preserve">Smart Grids: Opportunities for Climate Change Mitigation and Adaptation, </w:t>
      </w:r>
      <w:r w:rsidRPr="00D51FC2">
        <w:rPr>
          <w:rFonts w:cstheme="minorHAnsi"/>
        </w:rPr>
        <w:t>(</w:t>
      </w:r>
      <w:r w:rsidRPr="00D51FC2">
        <w:t>June 21, 2010). Sydney Law School Research Paper No. 10/57</w:t>
      </w:r>
      <w:r w:rsidRPr="00D51FC2">
        <w:rPr>
          <w:rFonts w:cstheme="minorHAnsi"/>
        </w:rPr>
        <w:t xml:space="preserve">, available at: </w:t>
      </w:r>
      <w:hyperlink r:id="rId196" w:history="1">
        <w:r w:rsidRPr="00D51FC2">
          <w:rPr>
            <w:rStyle w:val="Hyperlink"/>
            <w:rFonts w:cstheme="minorHAnsi"/>
            <w:szCs w:val="19"/>
          </w:rPr>
          <w:t>http://ssrn.com/abstract=1628405</w:t>
        </w:r>
      </w:hyperlink>
      <w:r w:rsidRPr="00D51FC2">
        <w:rPr>
          <w:rFonts w:cstheme="minorHAnsi"/>
        </w:rPr>
        <w:t>, 16 November, 2012.</w:t>
      </w:r>
    </w:p>
    <w:p w:rsidR="00606EA3" w:rsidRPr="00D51FC2" w:rsidRDefault="00606EA3" w:rsidP="00606EA3">
      <w:pPr>
        <w:pStyle w:val="Enumlevel1"/>
      </w:pPr>
      <w:r>
        <w:t>•</w:t>
      </w:r>
      <w:r>
        <w:tab/>
      </w:r>
      <w:r w:rsidRPr="00D51FC2">
        <w:t>R. Naik, J. Singh, H.P. Le, “Intelligent Communication Module for Wireless Biosensor Networks”</w:t>
      </w:r>
      <w:r w:rsidRPr="00D51FC2">
        <w:rPr>
          <w:i/>
          <w:iCs/>
        </w:rPr>
        <w:t>,</w:t>
      </w:r>
      <w:r w:rsidRPr="00D51FC2">
        <w:t xml:space="preserve"> </w:t>
      </w:r>
      <w:r w:rsidRPr="00D51FC2">
        <w:rPr>
          <w:i/>
          <w:iCs/>
        </w:rPr>
        <w:t xml:space="preserve">Biosensors </w:t>
      </w:r>
      <w:r w:rsidRPr="00D51FC2">
        <w:t xml:space="preserve">(edited by P.A. Serra), INTECH, Croatia, February 2010, available at: </w:t>
      </w:r>
      <w:hyperlink r:id="rId197" w:history="1">
        <w:r w:rsidRPr="00D51FC2">
          <w:rPr>
            <w:rStyle w:val="Hyperlink"/>
            <w:szCs w:val="19"/>
          </w:rPr>
          <w:t>http://cdn.intechopen.com/pdfs/6923/InTech-Intelligent_communication_module_for_wireless_biosensor_networks.pdf</w:t>
        </w:r>
      </w:hyperlink>
      <w:r w:rsidRPr="00D51FC2">
        <w:t xml:space="preserve">, </w:t>
      </w:r>
      <w:r>
        <w:t xml:space="preserve">21 </w:t>
      </w:r>
      <w:r w:rsidRPr="00D51FC2">
        <w:t>December 2012</w:t>
      </w:r>
    </w:p>
    <w:p w:rsidR="00606EA3" w:rsidRPr="00D51FC2" w:rsidRDefault="00606EA3" w:rsidP="00606EA3">
      <w:pPr>
        <w:pStyle w:val="Enumlevel1"/>
      </w:pPr>
      <w:r>
        <w:t>•</w:t>
      </w:r>
      <w:r>
        <w:tab/>
      </w:r>
      <w:r w:rsidRPr="00D51FC2">
        <w:t xml:space="preserve">National Academy of Engineering, </w:t>
      </w:r>
      <w:r w:rsidRPr="00D51FC2">
        <w:rPr>
          <w:i/>
          <w:iCs/>
        </w:rPr>
        <w:t>Greatest Engineering Achievements of the 20</w:t>
      </w:r>
      <w:r w:rsidRPr="00D51FC2">
        <w:rPr>
          <w:i/>
          <w:iCs/>
          <w:vertAlign w:val="superscript"/>
        </w:rPr>
        <w:t>th</w:t>
      </w:r>
      <w:r w:rsidRPr="00D51FC2">
        <w:rPr>
          <w:i/>
          <w:iCs/>
        </w:rPr>
        <w:t xml:space="preserve"> Century, </w:t>
      </w:r>
      <w:r w:rsidRPr="00D51FC2">
        <w:t>available at:</w:t>
      </w:r>
      <w:r>
        <w:t xml:space="preserve"> </w:t>
      </w:r>
      <w:hyperlink r:id="rId198" w:history="1">
        <w:r w:rsidRPr="00E328E4">
          <w:rPr>
            <w:rStyle w:val="Hyperlink"/>
            <w:szCs w:val="19"/>
          </w:rPr>
          <w:t>www.mae.ncsu.edu/eischen/courses/mae415/docs/GreatestEngineeringAchievements.pdf</w:t>
        </w:r>
      </w:hyperlink>
      <w:r w:rsidRPr="00D51FC2">
        <w:t xml:space="preserve">, </w:t>
      </w:r>
      <w:r>
        <w:t>12 </w:t>
      </w:r>
      <w:r w:rsidRPr="00D51FC2">
        <w:t>December 2012</w:t>
      </w:r>
    </w:p>
    <w:p w:rsidR="00606EA3" w:rsidRPr="00D51FC2" w:rsidRDefault="00606EA3" w:rsidP="00606EA3">
      <w:pPr>
        <w:pStyle w:val="Enumlevel1"/>
      </w:pPr>
      <w:r>
        <w:t>•</w:t>
      </w:r>
      <w:r>
        <w:tab/>
      </w:r>
      <w:r w:rsidRPr="00D51FC2">
        <w:t xml:space="preserve">Smartgrid.gov, </w:t>
      </w:r>
      <w:r w:rsidRPr="00D51FC2">
        <w:rPr>
          <w:i/>
          <w:iCs/>
        </w:rPr>
        <w:t xml:space="preserve">The Smart Grid, </w:t>
      </w:r>
      <w:r w:rsidRPr="00D51FC2">
        <w:t xml:space="preserve">available at: </w:t>
      </w:r>
      <w:hyperlink r:id="rId199" w:anchor="smart_grid" w:history="1">
        <w:r w:rsidRPr="00E328E4">
          <w:rPr>
            <w:rStyle w:val="Hyperlink"/>
            <w:szCs w:val="19"/>
          </w:rPr>
          <w:t>www.smartgrid.gov/the_smart_grid#smart_grid</w:t>
        </w:r>
      </w:hyperlink>
      <w:r w:rsidRPr="00D51FC2">
        <w:t xml:space="preserve">, </w:t>
      </w:r>
      <w:r>
        <w:t>11 </w:t>
      </w:r>
      <w:r w:rsidRPr="00D51FC2">
        <w:t>December 2012</w:t>
      </w:r>
    </w:p>
    <w:p w:rsidR="00606EA3" w:rsidRPr="00D51FC2" w:rsidRDefault="00606EA3" w:rsidP="00606EA3">
      <w:pPr>
        <w:pStyle w:val="Enumlevel1"/>
      </w:pPr>
      <w:r>
        <w:t>•</w:t>
      </w:r>
      <w:r>
        <w:tab/>
      </w:r>
      <w:r w:rsidRPr="00D51FC2">
        <w:t xml:space="preserve">Smartgrid.gov, </w:t>
      </w:r>
      <w:r w:rsidRPr="00D51FC2">
        <w:rPr>
          <w:i/>
          <w:iCs/>
        </w:rPr>
        <w:t xml:space="preserve">The Smart Home, </w:t>
      </w:r>
      <w:r w:rsidRPr="00D51FC2">
        <w:t xml:space="preserve">available at: </w:t>
      </w:r>
      <w:hyperlink r:id="rId200" w:anchor="smart_home" w:history="1">
        <w:r w:rsidRPr="00E328E4">
          <w:rPr>
            <w:rStyle w:val="Hyperlink"/>
            <w:szCs w:val="19"/>
          </w:rPr>
          <w:t>www.smartgrid.gov/the_smart_grid#smart_home</w:t>
        </w:r>
      </w:hyperlink>
      <w:r w:rsidRPr="00D51FC2">
        <w:t xml:space="preserve">, </w:t>
      </w:r>
      <w:r>
        <w:t>11 </w:t>
      </w:r>
      <w:r w:rsidRPr="00D51FC2">
        <w:t>December 2012</w:t>
      </w:r>
    </w:p>
    <w:p w:rsidR="00606EA3" w:rsidRPr="00D51FC2" w:rsidRDefault="00606EA3" w:rsidP="00606EA3">
      <w:pPr>
        <w:pStyle w:val="Enumlevel1"/>
      </w:pPr>
      <w:r>
        <w:t>•</w:t>
      </w:r>
      <w:r>
        <w:tab/>
      </w:r>
      <w:r w:rsidRPr="00D51FC2">
        <w:t xml:space="preserve">P. Swire, </w:t>
      </w:r>
      <w:r w:rsidRPr="00D51FC2">
        <w:rPr>
          <w:i/>
          <w:iCs/>
        </w:rPr>
        <w:t xml:space="preserve">Smart Grid, Smart Broadband, Smart Infrastructure, </w:t>
      </w:r>
      <w:r w:rsidRPr="00D51FC2">
        <w:t>Center for American Progress, April</w:t>
      </w:r>
      <w:r>
        <w:t> </w:t>
      </w:r>
      <w:r w:rsidRPr="00D51FC2">
        <w:t xml:space="preserve">2009, available at: </w:t>
      </w:r>
      <w:hyperlink r:id="rId201" w:history="1">
        <w:r w:rsidRPr="00C448F2">
          <w:rPr>
            <w:rStyle w:val="Hyperlink"/>
            <w:szCs w:val="19"/>
          </w:rPr>
          <w:t>www.americanprogress.org/wp-content/uploads/issues/2009/04/pdf/</w:t>
        </w:r>
        <w:r w:rsidRPr="00C448F2">
          <w:rPr>
            <w:rStyle w:val="Hyperlink"/>
            <w:szCs w:val="19"/>
          </w:rPr>
          <w:br/>
          <w:t>smart_infrastructure.pdf</w:t>
        </w:r>
      </w:hyperlink>
      <w:r w:rsidRPr="00D51FC2">
        <w:t xml:space="preserve">, </w:t>
      </w:r>
      <w:r>
        <w:t xml:space="preserve">21 </w:t>
      </w:r>
      <w:r w:rsidRPr="00D51FC2">
        <w:t>December 2012</w:t>
      </w:r>
    </w:p>
    <w:p w:rsidR="00606EA3" w:rsidRPr="00D51FC2" w:rsidRDefault="00606EA3" w:rsidP="00606EA3">
      <w:pPr>
        <w:pStyle w:val="Enumlevel1"/>
      </w:pPr>
      <w:r>
        <w:t>•</w:t>
      </w:r>
      <w:r>
        <w:tab/>
      </w:r>
      <w:r w:rsidRPr="00D51FC2">
        <w:t xml:space="preserve">Wikipedia, </w:t>
      </w:r>
      <w:r w:rsidRPr="00D51FC2">
        <w:rPr>
          <w:i/>
          <w:iCs/>
        </w:rPr>
        <w:t xml:space="preserve">Advanced Metering Infrastructure, </w:t>
      </w:r>
      <w:r w:rsidRPr="00D51FC2">
        <w:t xml:space="preserve">available at: </w:t>
      </w:r>
      <w:hyperlink r:id="rId202" w:anchor="Advanced_metering_infrastructure" w:history="1">
        <w:r w:rsidRPr="00D51FC2">
          <w:rPr>
            <w:rStyle w:val="Hyperlink"/>
            <w:szCs w:val="19"/>
          </w:rPr>
          <w:t>http://en.wikipedia.org/wiki/Advanced_Metering_Infrastructure#Advanced_metering_infrastructure</w:t>
        </w:r>
      </w:hyperlink>
      <w:r w:rsidRPr="00D51FC2">
        <w:t xml:space="preserve">, </w:t>
      </w:r>
      <w:r>
        <w:t xml:space="preserve">7 </w:t>
      </w:r>
      <w:r w:rsidRPr="00D51FC2">
        <w:t>December 2012</w:t>
      </w:r>
    </w:p>
    <w:p w:rsidR="00606EA3" w:rsidRPr="00D51FC2" w:rsidRDefault="00606EA3" w:rsidP="00606EA3">
      <w:pPr>
        <w:pStyle w:val="Enumlevel1"/>
      </w:pPr>
      <w:r>
        <w:t>•</w:t>
      </w:r>
      <w:r>
        <w:tab/>
      </w:r>
      <w:r w:rsidRPr="00D51FC2">
        <w:t xml:space="preserve">Wikipedia, </w:t>
      </w:r>
      <w:r w:rsidRPr="00D51FC2">
        <w:rPr>
          <w:i/>
          <w:iCs/>
        </w:rPr>
        <w:t xml:space="preserve">Smart grid, </w:t>
      </w:r>
      <w:r w:rsidRPr="00D51FC2">
        <w:t xml:space="preserve">available at: </w:t>
      </w:r>
      <w:hyperlink r:id="rId203" w:anchor="cite_note-1" w:history="1">
        <w:r w:rsidRPr="00D51FC2">
          <w:rPr>
            <w:rStyle w:val="Hyperlink"/>
            <w:szCs w:val="19"/>
          </w:rPr>
          <w:t>http://en.wikipedia.org/wiki/Smart_grid#cite_note-1</w:t>
        </w:r>
      </w:hyperlink>
      <w:r w:rsidRPr="00D51FC2">
        <w:t xml:space="preserve">, </w:t>
      </w:r>
      <w:r>
        <w:t>7 </w:t>
      </w:r>
      <w:r w:rsidRPr="00D51FC2">
        <w:t>December 2012</w:t>
      </w:r>
    </w:p>
    <w:p w:rsidR="00606EA3" w:rsidRPr="00D51FC2" w:rsidRDefault="00606EA3" w:rsidP="00606EA3">
      <w:pPr>
        <w:pStyle w:val="Enumlevel1"/>
      </w:pPr>
      <w:r>
        <w:t>•</w:t>
      </w:r>
      <w:r>
        <w:tab/>
      </w:r>
      <w:r w:rsidRPr="00D51FC2">
        <w:t xml:space="preserve">J. Woudhuysen, J. Kaplinsky, P. Seaman, </w:t>
      </w:r>
      <w:r w:rsidRPr="00D51FC2">
        <w:rPr>
          <w:i/>
          <w:iCs/>
        </w:rPr>
        <w:t xml:space="preserve">How to make blackouts a thing of the past, </w:t>
      </w:r>
      <w:r w:rsidRPr="00D51FC2">
        <w:t xml:space="preserve">available at: </w:t>
      </w:r>
      <w:hyperlink r:id="rId204" w:history="1">
        <w:r w:rsidRPr="001B650C">
          <w:rPr>
            <w:rStyle w:val="Hyperlink"/>
            <w:szCs w:val="19"/>
          </w:rPr>
          <w:t>www.spiked-online.com/site/article/12942/</w:t>
        </w:r>
      </w:hyperlink>
      <w:r w:rsidRPr="00D51FC2">
        <w:t xml:space="preserve">, </w:t>
      </w:r>
      <w:r>
        <w:t xml:space="preserve">18 </w:t>
      </w:r>
      <w:r w:rsidRPr="00D51FC2">
        <w:t>December 2012.</w:t>
      </w:r>
    </w:p>
    <w:p w:rsidR="00606EA3" w:rsidRPr="00D51FC2" w:rsidRDefault="00606EA3" w:rsidP="00606EA3">
      <w:pPr>
        <w:pStyle w:val="Enumlevel1"/>
      </w:pPr>
      <w:r>
        <w:t>•</w:t>
      </w:r>
      <w:r>
        <w:tab/>
      </w:r>
      <w:r w:rsidRPr="00D51FC2">
        <w:t>National Institute of Standards and Technology (NIST): “</w:t>
      </w:r>
      <w:r w:rsidRPr="00D51FC2">
        <w:rPr>
          <w:i/>
          <w:iCs/>
        </w:rPr>
        <w:t>NIST Framework and Roadmap for Smart Grid Interoperability Standards, Release 2.0</w:t>
      </w:r>
      <w:r w:rsidRPr="00D51FC2">
        <w:t xml:space="preserve">” </w:t>
      </w:r>
      <w:r>
        <w:t xml:space="preserve">available </w:t>
      </w:r>
      <w:r w:rsidRPr="00D51FC2">
        <w:t>at</w:t>
      </w:r>
      <w:r>
        <w:t>:</w:t>
      </w:r>
      <w:r w:rsidRPr="00D51FC2">
        <w:t xml:space="preserve"> </w:t>
      </w:r>
      <w:hyperlink r:id="rId205" w:history="1">
        <w:r w:rsidRPr="001B650C">
          <w:rPr>
            <w:rStyle w:val="Hyperlink"/>
            <w:szCs w:val="19"/>
          </w:rPr>
          <w:t>www.nist.gov/smartgrid/upload/NIST_Framework_Release_2-0_corr.pdf</w:t>
        </w:r>
      </w:hyperlink>
      <w:r>
        <w:t>, February</w:t>
      </w:r>
      <w:r w:rsidRPr="00D51FC2">
        <w:t xml:space="preserve"> 2012.</w:t>
      </w:r>
    </w:p>
    <w:p w:rsidR="00606EA3" w:rsidRPr="00D51FC2" w:rsidRDefault="00606EA3" w:rsidP="00606EA3">
      <w:pPr>
        <w:pStyle w:val="Enumlevel1"/>
        <w:rPr>
          <w:rStyle w:val="Hyperlink"/>
          <w:szCs w:val="19"/>
        </w:rPr>
      </w:pPr>
      <w:r>
        <w:lastRenderedPageBreak/>
        <w:t>•</w:t>
      </w:r>
      <w:r>
        <w:tab/>
      </w:r>
      <w:r w:rsidRPr="00D51FC2">
        <w:t>Pacific Northwest National Laboratory: “</w:t>
      </w:r>
      <w:r w:rsidRPr="00D51FC2">
        <w:rPr>
          <w:i/>
          <w:iCs/>
        </w:rPr>
        <w:t>The Smart Grid: An Estimation of the Energy and CO</w:t>
      </w:r>
      <w:r w:rsidRPr="00DE0E49">
        <w:rPr>
          <w:i/>
          <w:iCs/>
          <w:vertAlign w:val="subscript"/>
        </w:rPr>
        <w:t xml:space="preserve">2 </w:t>
      </w:r>
      <w:r w:rsidRPr="00D51FC2">
        <w:rPr>
          <w:i/>
          <w:iCs/>
        </w:rPr>
        <w:t>Benefits</w:t>
      </w:r>
      <w:r w:rsidRPr="00D51FC2">
        <w:t xml:space="preserve">” </w:t>
      </w:r>
      <w:r>
        <w:t xml:space="preserve">available </w:t>
      </w:r>
      <w:r w:rsidRPr="00D51FC2">
        <w:t>at</w:t>
      </w:r>
      <w:r>
        <w:t>:</w:t>
      </w:r>
      <w:r w:rsidRPr="00D51FC2">
        <w:t xml:space="preserve"> </w:t>
      </w:r>
      <w:hyperlink r:id="rId206" w:history="1">
        <w:r w:rsidRPr="001B650C">
          <w:rPr>
            <w:rStyle w:val="Hyperlink"/>
            <w:szCs w:val="19"/>
          </w:rPr>
          <w:t>www.pnl.gov/main/publications/external/technical_reports/PNNL-19112.pdf</w:t>
        </w:r>
      </w:hyperlink>
      <w:r w:rsidRPr="00D51FC2">
        <w:rPr>
          <w:rStyle w:val="Hyperlink"/>
          <w:szCs w:val="19"/>
        </w:rPr>
        <w:t>.</w:t>
      </w:r>
    </w:p>
    <w:p w:rsidR="00606EA3" w:rsidRPr="00D51FC2" w:rsidRDefault="00606EA3" w:rsidP="00606EA3">
      <w:pPr>
        <w:pStyle w:val="Enumlevel1"/>
        <w:rPr>
          <w:u w:val="single"/>
        </w:rPr>
      </w:pPr>
      <w:r>
        <w:t>•</w:t>
      </w:r>
      <w:r>
        <w:tab/>
      </w:r>
      <w:r>
        <w:rPr>
          <w:rFonts w:cs="Times New Roman"/>
        </w:rPr>
        <w:t>European Commission</w:t>
      </w:r>
      <w:r w:rsidRPr="00506EAC">
        <w:rPr>
          <w:rFonts w:cs="Times New Roman"/>
        </w:rPr>
        <w:t>, DGINFSO</w:t>
      </w:r>
      <w:r>
        <w:rPr>
          <w:rFonts w:cs="Times New Roman"/>
        </w:rPr>
        <w:t xml:space="preserve">, </w:t>
      </w:r>
      <w:hyperlink r:id="rId207" w:history="1">
        <w:r w:rsidRPr="00E122B2">
          <w:rPr>
            <w:rStyle w:val="Hyperlink"/>
            <w:rFonts w:cs="Times New Roman"/>
            <w:szCs w:val="19"/>
          </w:rPr>
          <w:t>Roadmap - Initiative on Spectrum for more efficient energy production and distribution</w:t>
        </w:r>
      </w:hyperlink>
      <w:r>
        <w:rPr>
          <w:rFonts w:cs="Times New Roman"/>
        </w:rPr>
        <w:t xml:space="preserve">, 2012 </w:t>
      </w:r>
    </w:p>
    <w:p w:rsidR="00606EA3" w:rsidRPr="00506EAC" w:rsidRDefault="00606EA3" w:rsidP="00606EA3">
      <w:pPr>
        <w:pStyle w:val="Enumlevel1"/>
        <w:rPr>
          <w:rFonts w:cs="Times New Roman"/>
          <w:color w:val="000000"/>
        </w:rPr>
      </w:pPr>
      <w:r>
        <w:t>•</w:t>
      </w:r>
      <w:r>
        <w:tab/>
      </w:r>
      <w:r>
        <w:rPr>
          <w:rFonts w:cs="Times New Roman"/>
        </w:rPr>
        <w:t>European Commission</w:t>
      </w:r>
      <w:r w:rsidRPr="00506EAC">
        <w:rPr>
          <w:rFonts w:cs="Times New Roman"/>
        </w:rPr>
        <w:t>, DGINFSO</w:t>
      </w:r>
      <w:r>
        <w:rPr>
          <w:rFonts w:cs="Times New Roman"/>
        </w:rPr>
        <w:t xml:space="preserve">, </w:t>
      </w:r>
      <w:hyperlink r:id="rId208" w:history="1">
        <w:r w:rsidRPr="00EB25CE">
          <w:rPr>
            <w:rStyle w:val="Hyperlink"/>
            <w:rFonts w:cs="Times New Roman"/>
            <w:szCs w:val="19"/>
          </w:rPr>
          <w:t>Use of spectrum for more efficient energy production and distribution – Outcome of the public consultation</w:t>
        </w:r>
      </w:hyperlink>
      <w:r w:rsidRPr="00506EAC">
        <w:rPr>
          <w:rFonts w:cs="Times New Roman"/>
        </w:rPr>
        <w:t>, May 2012</w:t>
      </w:r>
    </w:p>
    <w:p w:rsidR="00606EA3" w:rsidRPr="002A103D" w:rsidRDefault="00606EA3" w:rsidP="00606EA3">
      <w:pPr>
        <w:spacing w:before="0"/>
        <w:rPr>
          <w:rFonts w:eastAsiaTheme="minorHAnsi" w:cstheme="minorBidi"/>
          <w:b/>
          <w:bCs/>
          <w:szCs w:val="19"/>
          <w:lang w:val="en-US" w:eastAsia="en-US"/>
        </w:rPr>
      </w:pPr>
      <w:r w:rsidRPr="00D51FC2">
        <w:rPr>
          <w:rFonts w:eastAsiaTheme="minorHAnsi" w:cstheme="minorBidi"/>
          <w:b/>
          <w:szCs w:val="19"/>
          <w:lang w:val="en-GB" w:eastAsia="en-US"/>
        </w:rPr>
        <w:br w:type="page"/>
      </w:r>
    </w:p>
    <w:p w:rsidR="00606EA3" w:rsidRPr="00006784" w:rsidRDefault="00606EA3" w:rsidP="00606EA3">
      <w:pPr>
        <w:pStyle w:val="Heading1"/>
        <w:ind w:left="1134" w:hanging="1134"/>
      </w:pPr>
      <w:bookmarkStart w:id="86" w:name="_Toc377721076"/>
      <w:bookmarkStart w:id="87" w:name="_Toc377976462"/>
      <w:r w:rsidRPr="00006784">
        <w:lastRenderedPageBreak/>
        <w:t>Annex 8:</w:t>
      </w:r>
      <w:bookmarkStart w:id="88" w:name="_Toc314853168"/>
      <w:r>
        <w:tab/>
      </w:r>
      <w:r w:rsidRPr="00006784">
        <w:t>Resolution ITU</w:t>
      </w:r>
      <w:r w:rsidRPr="00006784">
        <w:noBreakHyphen/>
        <w:t>R 60</w:t>
      </w:r>
      <w:bookmarkEnd w:id="88"/>
      <w:r w:rsidRPr="00006784">
        <w:t xml:space="preserve"> (2012)</w:t>
      </w:r>
      <w:r>
        <w:t xml:space="preserve"> </w:t>
      </w:r>
      <w:r w:rsidRPr="00006784">
        <w:t xml:space="preserve"> - Reduction of energy consumption for environmental protection and mitigating climate change by use of ICT/radiocommunication technologies and systems</w:t>
      </w:r>
      <w:bookmarkEnd w:id="86"/>
      <w:bookmarkEnd w:id="87"/>
    </w:p>
    <w:p w:rsidR="00606EA3" w:rsidRPr="00D51FC2" w:rsidRDefault="00606EA3" w:rsidP="00606EA3">
      <w:pPr>
        <w:rPr>
          <w:szCs w:val="19"/>
          <w:lang w:val="en-GB"/>
        </w:rPr>
      </w:pPr>
      <w:r w:rsidRPr="00D51FC2">
        <w:rPr>
          <w:szCs w:val="19"/>
          <w:lang w:val="en-GB"/>
        </w:rPr>
        <w:t>The ITU Radiocommunication Assembly,</w:t>
      </w:r>
    </w:p>
    <w:p w:rsidR="00606EA3" w:rsidRPr="00D51FC2" w:rsidRDefault="00606EA3" w:rsidP="00606EA3">
      <w:pPr>
        <w:pStyle w:val="Call"/>
      </w:pPr>
      <w:r w:rsidRPr="00D51FC2">
        <w:t>considering</w:t>
      </w:r>
    </w:p>
    <w:p w:rsidR="00606EA3" w:rsidRPr="00D51FC2" w:rsidRDefault="00606EA3" w:rsidP="00606EA3">
      <w:pPr>
        <w:spacing w:before="60" w:after="60"/>
        <w:rPr>
          <w:szCs w:val="19"/>
          <w:lang w:val="en-GB"/>
        </w:rPr>
      </w:pPr>
      <w:r w:rsidRPr="00D51FC2">
        <w:rPr>
          <w:szCs w:val="19"/>
          <w:lang w:val="en-GB"/>
        </w:rPr>
        <w:t>a)</w:t>
      </w:r>
      <w:r w:rsidRPr="00D51FC2">
        <w:rPr>
          <w:szCs w:val="19"/>
          <w:lang w:val="en-GB"/>
        </w:rPr>
        <w:tab/>
        <w:t>that the issue of climate change is rapidly emerging as a global concern and requires global collaboration;</w:t>
      </w:r>
    </w:p>
    <w:p w:rsidR="00606EA3" w:rsidRPr="00D51FC2" w:rsidRDefault="00606EA3" w:rsidP="00606EA3">
      <w:pPr>
        <w:spacing w:before="60" w:after="60"/>
        <w:rPr>
          <w:szCs w:val="19"/>
          <w:lang w:val="en-GB"/>
        </w:rPr>
      </w:pPr>
      <w:r w:rsidRPr="00D51FC2">
        <w:rPr>
          <w:szCs w:val="19"/>
          <w:lang w:val="en-GB"/>
        </w:rPr>
        <w:t>b)</w:t>
      </w:r>
      <w:r w:rsidRPr="00D51FC2">
        <w:rPr>
          <w:szCs w:val="19"/>
          <w:lang w:val="en-GB"/>
        </w:rPr>
        <w:tab/>
        <w:t>that climate change is one of the major factors causing emergency situations and natural disasters afflicting humankind;</w:t>
      </w:r>
    </w:p>
    <w:p w:rsidR="00606EA3" w:rsidRPr="00D51FC2" w:rsidRDefault="00606EA3" w:rsidP="00606EA3">
      <w:pPr>
        <w:spacing w:before="60" w:after="60"/>
        <w:rPr>
          <w:szCs w:val="19"/>
          <w:lang w:val="en-GB"/>
        </w:rPr>
      </w:pPr>
      <w:r w:rsidRPr="00D51FC2">
        <w:rPr>
          <w:szCs w:val="19"/>
          <w:lang w:val="en-GB"/>
        </w:rPr>
        <w:t>c)</w:t>
      </w:r>
      <w:r w:rsidRPr="00D51FC2">
        <w:rPr>
          <w:szCs w:val="19"/>
          <w:lang w:val="en-GB"/>
        </w:rPr>
        <w:tab/>
        <w:t>that the United Nations Intergovernmental Panel on Climate Change (IPCC) estimated that global greenhouse gas (GHG) emissions have risen by more than 70 per cent since 1970, having an effect on global warming, changing weather patterns, rising sea-levels, desertification, shrinking ice cover and other long-term effects;</w:t>
      </w:r>
    </w:p>
    <w:p w:rsidR="00606EA3" w:rsidRPr="00D51FC2" w:rsidRDefault="00606EA3" w:rsidP="00606EA3">
      <w:pPr>
        <w:spacing w:before="60" w:after="60"/>
        <w:rPr>
          <w:szCs w:val="19"/>
          <w:lang w:val="en-GB"/>
        </w:rPr>
      </w:pPr>
      <w:r w:rsidRPr="00D51FC2">
        <w:rPr>
          <w:szCs w:val="19"/>
          <w:lang w:val="en-GB"/>
        </w:rPr>
        <w:t>d)</w:t>
      </w:r>
      <w:r w:rsidRPr="00D51FC2">
        <w:rPr>
          <w:szCs w:val="19"/>
          <w:lang w:val="en-GB"/>
        </w:rPr>
        <w:tab/>
        <w:t>that information and communication technologies (ICTs), which include radiocommunication technology, contribute approximately 2-2.5 per cent of GHG emissions, which may grow as ICTs become more widely available;</w:t>
      </w:r>
    </w:p>
    <w:p w:rsidR="00606EA3" w:rsidRPr="00D51FC2" w:rsidRDefault="00606EA3" w:rsidP="00606EA3">
      <w:pPr>
        <w:spacing w:before="60" w:after="60"/>
        <w:rPr>
          <w:szCs w:val="19"/>
          <w:lang w:val="en-GB"/>
        </w:rPr>
      </w:pPr>
      <w:r w:rsidRPr="00D51FC2">
        <w:rPr>
          <w:szCs w:val="19"/>
          <w:lang w:val="en-GB"/>
        </w:rPr>
        <w:t>e)</w:t>
      </w:r>
      <w:r w:rsidRPr="00D51FC2">
        <w:rPr>
          <w:szCs w:val="19"/>
          <w:lang w:val="en-GB"/>
        </w:rPr>
        <w:tab/>
        <w:t>that ICT/radiocommunication systems can make a substantial contribution to mitigating and adapting to the effects of climate change;</w:t>
      </w:r>
    </w:p>
    <w:p w:rsidR="00606EA3" w:rsidRPr="00D51FC2" w:rsidRDefault="00606EA3" w:rsidP="00606EA3">
      <w:pPr>
        <w:spacing w:before="60" w:after="60"/>
        <w:rPr>
          <w:szCs w:val="19"/>
          <w:lang w:val="en-GB"/>
        </w:rPr>
      </w:pPr>
      <w:r w:rsidRPr="00D51FC2">
        <w:rPr>
          <w:szCs w:val="19"/>
          <w:lang w:val="en-GB"/>
        </w:rPr>
        <w:t>f)</w:t>
      </w:r>
      <w:r w:rsidRPr="00D51FC2">
        <w:rPr>
          <w:szCs w:val="19"/>
          <w:lang w:val="en-GB"/>
        </w:rPr>
        <w:tab/>
        <w:t>that wireless technologies and systems are effective tools for monitoring the environment and predicting natural disasters and climate change;</w:t>
      </w:r>
    </w:p>
    <w:p w:rsidR="00606EA3" w:rsidRPr="00D51FC2" w:rsidRDefault="00606EA3" w:rsidP="00606EA3">
      <w:pPr>
        <w:spacing w:before="60" w:after="60"/>
        <w:rPr>
          <w:szCs w:val="19"/>
          <w:lang w:val="en-GB"/>
        </w:rPr>
      </w:pPr>
      <w:r w:rsidRPr="00D51FC2">
        <w:rPr>
          <w:szCs w:val="19"/>
          <w:lang w:val="en-GB"/>
        </w:rPr>
        <w:t>g)</w:t>
      </w:r>
      <w:r w:rsidRPr="00D51FC2">
        <w:rPr>
          <w:szCs w:val="19"/>
          <w:lang w:val="en-GB"/>
        </w:rPr>
        <w:tab/>
        <w:t>that ITU, at the United Nations Conference on Climate Change in Bali, Indonesia, on 3 14 December 2007, highlighted the role of ICTs as both a contributor to climate change, and an important element in tackling the challenge;</w:t>
      </w:r>
    </w:p>
    <w:p w:rsidR="00606EA3" w:rsidRPr="00D51FC2" w:rsidRDefault="00606EA3" w:rsidP="00606EA3">
      <w:pPr>
        <w:spacing w:before="60" w:after="60"/>
        <w:rPr>
          <w:szCs w:val="19"/>
          <w:lang w:val="en-GB"/>
        </w:rPr>
      </w:pPr>
      <w:r w:rsidRPr="00D51FC2">
        <w:rPr>
          <w:szCs w:val="19"/>
          <w:lang w:val="en-GB"/>
        </w:rPr>
        <w:t>h)</w:t>
      </w:r>
      <w:r w:rsidRPr="00D51FC2">
        <w:rPr>
          <w:szCs w:val="19"/>
          <w:lang w:val="en-GB"/>
        </w:rPr>
        <w:tab/>
        <w:t>that ITU R Reports and Recommendations that address potential energy-saving mechanisms applicable to different radiocommunication services can contribute to the development of systems and applications that operate in these services,</w:t>
      </w:r>
    </w:p>
    <w:p w:rsidR="00606EA3" w:rsidRPr="00D51FC2" w:rsidRDefault="00606EA3" w:rsidP="00606EA3">
      <w:pPr>
        <w:pStyle w:val="Call"/>
      </w:pPr>
      <w:r w:rsidRPr="00D51FC2">
        <w:t>further considering</w:t>
      </w:r>
    </w:p>
    <w:p w:rsidR="00606EA3" w:rsidRPr="00D51FC2" w:rsidRDefault="00606EA3" w:rsidP="00606EA3">
      <w:pPr>
        <w:spacing w:before="60" w:after="60"/>
        <w:rPr>
          <w:szCs w:val="19"/>
          <w:lang w:val="en-GB"/>
        </w:rPr>
      </w:pPr>
      <w:r w:rsidRPr="00D51FC2">
        <w:rPr>
          <w:szCs w:val="19"/>
          <w:lang w:val="en-GB"/>
        </w:rPr>
        <w:t>a)</w:t>
      </w:r>
      <w:r w:rsidRPr="00D51FC2">
        <w:rPr>
          <w:szCs w:val="19"/>
          <w:lang w:val="en-GB"/>
        </w:rPr>
        <w:tab/>
        <w:t>that the ITU Plenipotentiary Conference (Guadalajara, 2010) approved Resolution 182, on the role of telecommunications/information and communication technologies in regard to climate change and the protection of the environment, which instructs ITU to continue applying ICTs to address the causes and effects of climate change and strengthen collaboration with other organizations working in the field, and encourages the Union to raise public and policy-maker awareness of the critical role of ICTs in addressing climate change;</w:t>
      </w:r>
    </w:p>
    <w:p w:rsidR="00606EA3" w:rsidRPr="00D51FC2" w:rsidRDefault="00606EA3" w:rsidP="00606EA3">
      <w:pPr>
        <w:spacing w:before="60" w:after="60"/>
        <w:rPr>
          <w:szCs w:val="19"/>
          <w:lang w:val="en-GB"/>
        </w:rPr>
      </w:pPr>
      <w:r w:rsidRPr="00D51FC2">
        <w:rPr>
          <w:szCs w:val="19"/>
          <w:lang w:val="en-GB"/>
        </w:rPr>
        <w:t>b)</w:t>
      </w:r>
      <w:r w:rsidRPr="00D51FC2">
        <w:rPr>
          <w:szCs w:val="19"/>
          <w:lang w:val="en-GB"/>
        </w:rPr>
        <w:tab/>
        <w:t>that the ITU T work programme developed on the basis of WTSA Resolution 73, does not contain specific studies focusing on energy consumption related to radio transmission technology or planning characteristics of radio networks;</w:t>
      </w:r>
    </w:p>
    <w:p w:rsidR="00606EA3" w:rsidRPr="00D51FC2" w:rsidRDefault="00606EA3" w:rsidP="00606EA3">
      <w:pPr>
        <w:spacing w:before="60" w:after="60"/>
        <w:rPr>
          <w:szCs w:val="19"/>
          <w:lang w:val="en-GB"/>
        </w:rPr>
      </w:pPr>
      <w:r w:rsidRPr="00D51FC2">
        <w:rPr>
          <w:szCs w:val="19"/>
          <w:lang w:val="en-GB"/>
        </w:rPr>
        <w:t>c)</w:t>
      </w:r>
      <w:r w:rsidRPr="00D51FC2">
        <w:rPr>
          <w:szCs w:val="19"/>
          <w:lang w:val="en-GB"/>
        </w:rPr>
        <w:tab/>
        <w:t>ITU D Report Q.22/2, on utilization of ICT for disaster management, resources, and active and passive space-based sensing systems as they apply to disaster and emergency relief situations;</w:t>
      </w:r>
    </w:p>
    <w:p w:rsidR="00606EA3" w:rsidRPr="00D51FC2" w:rsidRDefault="00606EA3" w:rsidP="00606EA3">
      <w:pPr>
        <w:spacing w:before="60" w:after="60"/>
        <w:rPr>
          <w:szCs w:val="19"/>
          <w:lang w:val="en-GB"/>
        </w:rPr>
      </w:pPr>
      <w:r w:rsidRPr="00D51FC2">
        <w:rPr>
          <w:szCs w:val="19"/>
          <w:lang w:val="en-GB"/>
        </w:rPr>
        <w:t>d)</w:t>
      </w:r>
      <w:r w:rsidRPr="00D51FC2">
        <w:rPr>
          <w:szCs w:val="19"/>
          <w:lang w:val="en-GB"/>
        </w:rPr>
        <w:tab/>
        <w:t>that ITU D Question 24/2 examines the links between ICTs, climate change and development, as these fields become increasingly interlocked due to the magnifying effect of climate change on existing development challenges and vulnerabilities;</w:t>
      </w:r>
    </w:p>
    <w:p w:rsidR="00606EA3" w:rsidRPr="00D51FC2" w:rsidRDefault="00606EA3" w:rsidP="00606EA3">
      <w:pPr>
        <w:spacing w:before="60" w:after="60"/>
        <w:rPr>
          <w:szCs w:val="19"/>
          <w:lang w:val="en-GB"/>
        </w:rPr>
      </w:pPr>
      <w:r w:rsidRPr="00D51FC2">
        <w:rPr>
          <w:szCs w:val="19"/>
          <w:lang w:val="en-GB"/>
        </w:rPr>
        <w:t>e)</w:t>
      </w:r>
      <w:r w:rsidRPr="00D51FC2">
        <w:rPr>
          <w:szCs w:val="19"/>
          <w:lang w:val="en-GB"/>
        </w:rPr>
        <w:tab/>
        <w:t>that ITU D Question 24/2 also addresses the role of Earth observation in climate change, as this radio technique is essential for monitoring the state of the Earth in terms of climate and its evolution,</w:t>
      </w:r>
    </w:p>
    <w:p w:rsidR="00606EA3" w:rsidRPr="00D51FC2" w:rsidRDefault="00606EA3" w:rsidP="00606EA3">
      <w:pPr>
        <w:pStyle w:val="Call"/>
      </w:pPr>
      <w:r w:rsidRPr="00D51FC2">
        <w:t>taking into account</w:t>
      </w:r>
    </w:p>
    <w:p w:rsidR="00606EA3" w:rsidRPr="00D51FC2" w:rsidRDefault="00606EA3" w:rsidP="00606EA3">
      <w:pPr>
        <w:spacing w:before="60" w:after="60"/>
        <w:rPr>
          <w:szCs w:val="19"/>
          <w:lang w:val="en-GB"/>
        </w:rPr>
      </w:pPr>
      <w:r w:rsidRPr="00D51FC2">
        <w:rPr>
          <w:szCs w:val="19"/>
          <w:lang w:val="en-GB"/>
        </w:rPr>
        <w:t>a)</w:t>
      </w:r>
      <w:r w:rsidRPr="00D51FC2">
        <w:rPr>
          <w:szCs w:val="19"/>
          <w:lang w:val="en-GB"/>
        </w:rPr>
        <w:tab/>
        <w:t>Resolutions 673 (WRC 07), on radiocommunications use for Earth observation applications, and 644 (Rev.WRC 07), on radiocommunication resources for early warning, disaster mitigation and relief operations, adopted by the World Radiocommunication Conference (WRC 07);</w:t>
      </w:r>
    </w:p>
    <w:p w:rsidR="00606EA3" w:rsidRPr="00D51FC2" w:rsidRDefault="00606EA3" w:rsidP="00606EA3">
      <w:pPr>
        <w:spacing w:before="60" w:after="60"/>
        <w:rPr>
          <w:szCs w:val="19"/>
          <w:lang w:val="en-GB"/>
        </w:rPr>
      </w:pPr>
      <w:r w:rsidRPr="00D51FC2">
        <w:rPr>
          <w:szCs w:val="19"/>
          <w:lang w:val="en-GB"/>
        </w:rPr>
        <w:lastRenderedPageBreak/>
        <w:t>b)</w:t>
      </w:r>
      <w:r w:rsidRPr="00D51FC2">
        <w:rPr>
          <w:szCs w:val="19"/>
          <w:lang w:val="en-GB"/>
        </w:rPr>
        <w:tab/>
        <w:t xml:space="preserve">Resolution ITU R 53, on the use of radiocommunications in disaster response and relief, and Resolution ITU R 55, on ITU studies of disaster prediction, detection, mitigation and relief, adopted by the Radiocommunication Assembly (RA 07); </w:t>
      </w:r>
    </w:p>
    <w:p w:rsidR="00606EA3" w:rsidRPr="00D51FC2" w:rsidRDefault="00606EA3" w:rsidP="00606EA3">
      <w:pPr>
        <w:spacing w:before="60" w:after="60"/>
        <w:rPr>
          <w:szCs w:val="19"/>
          <w:lang w:val="en-GB"/>
        </w:rPr>
      </w:pPr>
      <w:r w:rsidRPr="00D51FC2">
        <w:rPr>
          <w:szCs w:val="19"/>
          <w:lang w:val="en-GB"/>
        </w:rPr>
        <w:t>c)</w:t>
      </w:r>
      <w:r w:rsidRPr="00D51FC2">
        <w:rPr>
          <w:szCs w:val="19"/>
          <w:lang w:val="en-GB"/>
        </w:rPr>
        <w:tab/>
        <w:t>Resolution 66 (Hyderabad, 2010), on information and communication technology and climate change, adopted by the World Telecommunication Development Conference (WTDC 10);</w:t>
      </w:r>
    </w:p>
    <w:p w:rsidR="00606EA3" w:rsidRPr="00D51FC2" w:rsidRDefault="00606EA3" w:rsidP="00606EA3">
      <w:pPr>
        <w:spacing w:before="60" w:after="60"/>
        <w:rPr>
          <w:szCs w:val="19"/>
          <w:lang w:val="en-GB"/>
        </w:rPr>
      </w:pPr>
      <w:r w:rsidRPr="00D51FC2">
        <w:rPr>
          <w:szCs w:val="19"/>
          <w:lang w:val="en-GB"/>
        </w:rPr>
        <w:t>d)</w:t>
      </w:r>
      <w:r w:rsidRPr="00D51FC2">
        <w:rPr>
          <w:szCs w:val="19"/>
          <w:lang w:val="en-GB"/>
        </w:rPr>
        <w:tab/>
        <w:t>Resolution 73 (Johannesburg, 2008), on information and communication technologies and climate change, adopted by the World Telecommunication Standardization Assembly (WTSA 08),</w:t>
      </w:r>
    </w:p>
    <w:p w:rsidR="00606EA3" w:rsidRPr="00D51FC2" w:rsidRDefault="00606EA3" w:rsidP="00606EA3">
      <w:pPr>
        <w:pStyle w:val="Call"/>
      </w:pPr>
      <w:r w:rsidRPr="00D51FC2">
        <w:t>noting</w:t>
      </w:r>
    </w:p>
    <w:p w:rsidR="00606EA3" w:rsidRPr="00D51FC2" w:rsidRDefault="00606EA3" w:rsidP="00606EA3">
      <w:pPr>
        <w:spacing w:before="60" w:after="60"/>
        <w:rPr>
          <w:szCs w:val="19"/>
          <w:lang w:val="en-GB"/>
        </w:rPr>
      </w:pPr>
      <w:r w:rsidRPr="00D51FC2">
        <w:rPr>
          <w:szCs w:val="19"/>
          <w:lang w:val="en-GB"/>
        </w:rPr>
        <w:t>a)</w:t>
      </w:r>
      <w:r w:rsidRPr="00D51FC2">
        <w:rPr>
          <w:szCs w:val="19"/>
          <w:lang w:val="en-GB"/>
        </w:rPr>
        <w:tab/>
        <w:t>the leadership of ITU R, in collaboration with the ITU membership, in identifying the necessary radio-frequency spectrum for climate monitoring and disaster prediction, detection and relief, including the establishment of cooperative arrangements with the World Meteorological Organization (WMO) in the field of remote-sensing applications;</w:t>
      </w:r>
    </w:p>
    <w:p w:rsidR="00606EA3" w:rsidRPr="00D51FC2" w:rsidRDefault="00606EA3" w:rsidP="00606EA3">
      <w:pPr>
        <w:spacing w:before="60" w:after="60"/>
        <w:rPr>
          <w:szCs w:val="19"/>
          <w:lang w:val="en-GB"/>
        </w:rPr>
      </w:pPr>
      <w:r w:rsidRPr="00D51FC2">
        <w:rPr>
          <w:szCs w:val="19"/>
          <w:lang w:val="en-GB"/>
        </w:rPr>
        <w:t>b)</w:t>
      </w:r>
      <w:r w:rsidRPr="00D51FC2">
        <w:rPr>
          <w:szCs w:val="19"/>
          <w:lang w:val="en-GB"/>
        </w:rPr>
        <w:tab/>
        <w:t xml:space="preserve">Recommendation ITU R RS.1859 “Use of remote sensing systems for data collection to be used in the event of natural disasters and similar emergencies”, and Recommendation ITU R RS.1883 “Use of remote sensing systems in the study of climate change and the effects thereof”; </w:t>
      </w:r>
    </w:p>
    <w:p w:rsidR="00606EA3" w:rsidRPr="00D51FC2" w:rsidRDefault="00606EA3" w:rsidP="00606EA3">
      <w:pPr>
        <w:spacing w:before="60" w:after="60"/>
        <w:rPr>
          <w:szCs w:val="19"/>
          <w:lang w:val="en-GB"/>
        </w:rPr>
      </w:pPr>
      <w:r w:rsidRPr="00D51FC2">
        <w:rPr>
          <w:szCs w:val="19"/>
          <w:lang w:val="en-GB"/>
        </w:rPr>
        <w:t>c)</w:t>
      </w:r>
      <w:r w:rsidRPr="00D51FC2">
        <w:rPr>
          <w:szCs w:val="19"/>
          <w:lang w:val="en-GB"/>
        </w:rPr>
        <w:tab/>
        <w:t xml:space="preserve">Report ITU R RS.2178 “The essential role and global importance of radio spectrum use for Earth observations and for related applications”; </w:t>
      </w:r>
    </w:p>
    <w:p w:rsidR="00606EA3" w:rsidRPr="00D51FC2" w:rsidRDefault="00606EA3" w:rsidP="00606EA3">
      <w:pPr>
        <w:spacing w:before="60" w:after="60"/>
        <w:rPr>
          <w:szCs w:val="19"/>
          <w:lang w:val="en-GB"/>
        </w:rPr>
      </w:pPr>
      <w:r w:rsidRPr="00D51FC2">
        <w:rPr>
          <w:szCs w:val="19"/>
          <w:lang w:val="en-GB"/>
        </w:rPr>
        <w:t>d)</w:t>
      </w:r>
      <w:r w:rsidRPr="00D51FC2">
        <w:rPr>
          <w:szCs w:val="19"/>
          <w:lang w:val="en-GB"/>
        </w:rPr>
        <w:tab/>
        <w:t>Volume 4 – Intelligent Transport System – of the ITU R Handbook on Land Mobile (including Wireless Access), which describes the use of radio technologies for minimizing transportation distances and cost, with a positive effect on the environment, and the use of cars as an environment monitoring tool to measure air temperature, humidity and precipitation, with data sent through wireless links for weather forecasting and climate control;</w:t>
      </w:r>
    </w:p>
    <w:p w:rsidR="00606EA3" w:rsidRPr="00D51FC2" w:rsidRDefault="00606EA3" w:rsidP="00606EA3">
      <w:pPr>
        <w:spacing w:before="60" w:after="60"/>
        <w:rPr>
          <w:szCs w:val="19"/>
          <w:lang w:val="en-GB"/>
        </w:rPr>
      </w:pPr>
      <w:r w:rsidRPr="00D51FC2">
        <w:rPr>
          <w:szCs w:val="19"/>
          <w:lang w:val="en-GB"/>
        </w:rPr>
        <w:t>e)</w:t>
      </w:r>
      <w:r w:rsidRPr="00D51FC2">
        <w:rPr>
          <w:szCs w:val="19"/>
          <w:lang w:val="en-GB"/>
        </w:rPr>
        <w:tab/>
        <w:t>that ITU R provides an opportunity to share technical information about evolution of new methods and technologies to reduce energy consumption within a radio system or by the use of a radio system,</w:t>
      </w:r>
    </w:p>
    <w:p w:rsidR="00606EA3" w:rsidRPr="00D51FC2" w:rsidRDefault="00606EA3" w:rsidP="00606EA3">
      <w:pPr>
        <w:pStyle w:val="Call"/>
      </w:pPr>
      <w:r w:rsidRPr="00D51FC2">
        <w:t>resolves</w:t>
      </w:r>
    </w:p>
    <w:p w:rsidR="00606EA3" w:rsidRPr="00D51FC2" w:rsidRDefault="00606EA3" w:rsidP="00606EA3">
      <w:pPr>
        <w:spacing w:before="60" w:after="60"/>
        <w:rPr>
          <w:szCs w:val="19"/>
          <w:lang w:val="en-GB"/>
        </w:rPr>
      </w:pPr>
      <w:r w:rsidRPr="00D51FC2">
        <w:rPr>
          <w:szCs w:val="19"/>
          <w:lang w:val="en-GB"/>
        </w:rPr>
        <w:t>1</w:t>
      </w:r>
      <w:r w:rsidRPr="00D51FC2">
        <w:rPr>
          <w:szCs w:val="19"/>
          <w:lang w:val="en-GB"/>
        </w:rPr>
        <w:tab/>
        <w:t>that ITU R Study Groups should develop Recommendations, Reports or Handbooks on:</w:t>
      </w:r>
    </w:p>
    <w:p w:rsidR="00606EA3" w:rsidRPr="00F528EA" w:rsidRDefault="00606EA3" w:rsidP="00606EA3">
      <w:pPr>
        <w:pStyle w:val="Enumlevel1"/>
      </w:pPr>
      <w:r>
        <w:t>•</w:t>
      </w:r>
      <w:r>
        <w:tab/>
      </w:r>
      <w:r w:rsidRPr="00F528EA">
        <w:t xml:space="preserve">best practices in place to reduce energy consumption within ICT systems, equipment or applications operating in a radiocommunication service; </w:t>
      </w:r>
    </w:p>
    <w:p w:rsidR="00606EA3" w:rsidRPr="00F528EA" w:rsidRDefault="00606EA3" w:rsidP="00606EA3">
      <w:pPr>
        <w:pStyle w:val="Enumlevel1"/>
      </w:pPr>
      <w:r>
        <w:t>•</w:t>
      </w:r>
      <w:r>
        <w:tab/>
      </w:r>
      <w:r w:rsidRPr="00F528EA">
        <w:t>possible development and use of radio systems or applications which can support reduction of energy consumption in non-radiocommunication sectors;</w:t>
      </w:r>
    </w:p>
    <w:p w:rsidR="00606EA3" w:rsidRPr="00F528EA" w:rsidRDefault="00606EA3" w:rsidP="00606EA3">
      <w:pPr>
        <w:pStyle w:val="Enumlevel1"/>
      </w:pPr>
      <w:r>
        <w:t>•</w:t>
      </w:r>
      <w:r>
        <w:tab/>
      </w:r>
      <w:r w:rsidRPr="00F528EA">
        <w:t>effective systems for monitoring the environment and monitoring and predicting climate change, and ensuring reliable operation of such systems;</w:t>
      </w:r>
    </w:p>
    <w:p w:rsidR="00606EA3" w:rsidRPr="00D51FC2" w:rsidRDefault="00606EA3" w:rsidP="00606EA3">
      <w:pPr>
        <w:spacing w:before="60" w:after="60"/>
        <w:rPr>
          <w:szCs w:val="19"/>
          <w:lang w:val="en-GB"/>
        </w:rPr>
      </w:pPr>
      <w:r w:rsidRPr="00D51FC2">
        <w:rPr>
          <w:szCs w:val="19"/>
          <w:lang w:val="en-GB"/>
        </w:rPr>
        <w:t>2</w:t>
      </w:r>
      <w:r w:rsidRPr="00D51FC2">
        <w:rPr>
          <w:szCs w:val="19"/>
          <w:lang w:val="en-GB"/>
        </w:rPr>
        <w:tab/>
        <w:t>that ITU R Study Groups, when developing new ITU R Recommendations, Handbooks, or Reports or reviewing existing Recommendations or Reports, take into account, as appropriate, energy consumption as well as best practices to conserve energy;</w:t>
      </w:r>
    </w:p>
    <w:p w:rsidR="00606EA3" w:rsidRPr="00D51FC2" w:rsidRDefault="00606EA3" w:rsidP="00606EA3">
      <w:pPr>
        <w:spacing w:before="60" w:after="60"/>
        <w:rPr>
          <w:szCs w:val="19"/>
          <w:lang w:val="en-GB"/>
        </w:rPr>
      </w:pPr>
      <w:r w:rsidRPr="00D51FC2">
        <w:rPr>
          <w:szCs w:val="19"/>
          <w:lang w:val="en-GB"/>
        </w:rPr>
        <w:t>3</w:t>
      </w:r>
      <w:r w:rsidRPr="00D51FC2">
        <w:rPr>
          <w:szCs w:val="19"/>
          <w:lang w:val="en-GB"/>
        </w:rPr>
        <w:tab/>
        <w:t>to maintain close cooperation and to regularly liaise with ITU T, ITU D and the General Secretariat, and to take into account the results of the work carried out in these Sectors and avoid duplication,</w:t>
      </w:r>
    </w:p>
    <w:p w:rsidR="00606EA3" w:rsidRPr="00D51FC2" w:rsidRDefault="00606EA3" w:rsidP="00606EA3">
      <w:pPr>
        <w:pStyle w:val="Call"/>
      </w:pPr>
      <w:r w:rsidRPr="00D51FC2">
        <w:t xml:space="preserve">instructs the Director of the Radiocommunication Bureau </w:t>
      </w:r>
    </w:p>
    <w:p w:rsidR="00606EA3" w:rsidRPr="00D51FC2" w:rsidRDefault="00606EA3" w:rsidP="00606EA3">
      <w:pPr>
        <w:spacing w:before="60" w:after="60"/>
        <w:rPr>
          <w:szCs w:val="19"/>
          <w:lang w:val="en-GB"/>
        </w:rPr>
      </w:pPr>
      <w:r w:rsidRPr="00D51FC2">
        <w:rPr>
          <w:szCs w:val="19"/>
          <w:lang w:val="en-GB"/>
        </w:rPr>
        <w:t>1</w:t>
      </w:r>
      <w:r w:rsidRPr="00D51FC2">
        <w:rPr>
          <w:szCs w:val="19"/>
          <w:lang w:val="en-GB"/>
        </w:rPr>
        <w:tab/>
        <w:t>to take the necessary measures, in conformity with Resolution ITU R 9, to further strengthen collaboration among ITU R, ISO, IEC and other bodies as appropriate, with a view to cooperating in identifying and fostering implementation of all appropriate measures to reduce power consumption in radiocommunication devices and to utilize radiocommunications/ICTs in monitoring and mitigation of the effects of climate change, inter alia, in order to contribute to a global reduction of energy consumption;</w:t>
      </w:r>
    </w:p>
    <w:p w:rsidR="00606EA3" w:rsidRPr="00D51FC2" w:rsidRDefault="00606EA3" w:rsidP="00606EA3">
      <w:pPr>
        <w:spacing w:before="60" w:after="60"/>
        <w:rPr>
          <w:szCs w:val="19"/>
          <w:lang w:val="en-GB"/>
        </w:rPr>
      </w:pPr>
      <w:r w:rsidRPr="00D51FC2">
        <w:rPr>
          <w:szCs w:val="19"/>
          <w:lang w:val="en-GB"/>
        </w:rPr>
        <w:t>2</w:t>
      </w:r>
      <w:r w:rsidRPr="00D51FC2">
        <w:rPr>
          <w:szCs w:val="19"/>
          <w:lang w:val="en-GB"/>
        </w:rPr>
        <w:tab/>
        <w:t>to report annually to the Radiocommunication Advisory Group and to the next Radiocommunication Assembly on the results of studies in the application of this Resolution,</w:t>
      </w:r>
    </w:p>
    <w:p w:rsidR="00606EA3" w:rsidRPr="00D51FC2" w:rsidRDefault="00606EA3" w:rsidP="00606EA3">
      <w:pPr>
        <w:pStyle w:val="Call"/>
      </w:pPr>
      <w:r w:rsidRPr="00D51FC2">
        <w:lastRenderedPageBreak/>
        <w:t>invites Member States, Sector Members and Associates</w:t>
      </w:r>
    </w:p>
    <w:p w:rsidR="00606EA3" w:rsidRPr="00D51FC2" w:rsidRDefault="00606EA3" w:rsidP="00606EA3">
      <w:pPr>
        <w:spacing w:before="60" w:after="60"/>
        <w:rPr>
          <w:szCs w:val="19"/>
          <w:lang w:val="en-GB"/>
        </w:rPr>
      </w:pPr>
      <w:r w:rsidRPr="00D51FC2">
        <w:rPr>
          <w:szCs w:val="19"/>
          <w:lang w:val="en-GB"/>
        </w:rPr>
        <w:t>1</w:t>
      </w:r>
      <w:r w:rsidRPr="00D51FC2">
        <w:rPr>
          <w:szCs w:val="19"/>
          <w:lang w:val="en-GB"/>
        </w:rPr>
        <w:tab/>
        <w:t xml:space="preserve">to contribute actively to ITU R’s work in the field of radiocommunications and climate change, taking due account of relevant ITU initiatives; </w:t>
      </w:r>
    </w:p>
    <w:p w:rsidR="00606EA3" w:rsidRPr="00D51FC2" w:rsidRDefault="00606EA3" w:rsidP="00606EA3">
      <w:pPr>
        <w:spacing w:before="60" w:after="60"/>
        <w:rPr>
          <w:szCs w:val="19"/>
          <w:lang w:val="en-GB"/>
        </w:rPr>
      </w:pPr>
      <w:r w:rsidRPr="00D51FC2">
        <w:rPr>
          <w:szCs w:val="19"/>
          <w:lang w:val="en-GB"/>
        </w:rPr>
        <w:t>2</w:t>
      </w:r>
      <w:r w:rsidRPr="00D51FC2">
        <w:rPr>
          <w:szCs w:val="19"/>
          <w:lang w:val="en-GB"/>
        </w:rPr>
        <w:tab/>
        <w:t>to continue to support ITU R’s work in the field of remote sensing (active and passive) for monitoring of the environment.</w:t>
      </w:r>
    </w:p>
    <w:p w:rsidR="00606EA3" w:rsidRPr="00D51FC2" w:rsidRDefault="00606EA3" w:rsidP="00606EA3">
      <w:pPr>
        <w:pStyle w:val="Call"/>
      </w:pPr>
      <w:r w:rsidRPr="00D51FC2">
        <w:t>invites standardization, scientific and industrial organizations</w:t>
      </w:r>
    </w:p>
    <w:p w:rsidR="00606EA3" w:rsidRDefault="00606EA3" w:rsidP="00606EA3">
      <w:pPr>
        <w:spacing w:before="60" w:after="60"/>
        <w:rPr>
          <w:szCs w:val="19"/>
          <w:lang w:val="en-GB"/>
        </w:rPr>
      </w:pPr>
      <w:r w:rsidRPr="00D51FC2">
        <w:rPr>
          <w:szCs w:val="19"/>
          <w:lang w:val="en-GB"/>
        </w:rPr>
        <w:t>to contribute actively to the work of the Study Groups related to their activities specified in resolves 1 and</w:t>
      </w:r>
      <w:r>
        <w:rPr>
          <w:szCs w:val="19"/>
          <w:lang w:val="en-GB"/>
        </w:rPr>
        <w:t> </w:t>
      </w:r>
      <w:r w:rsidRPr="00D51FC2">
        <w:rPr>
          <w:szCs w:val="19"/>
          <w:lang w:val="en-GB"/>
        </w:rPr>
        <w:t>2.</w:t>
      </w:r>
    </w:p>
    <w:p w:rsidR="00606EA3" w:rsidRDefault="00606EA3" w:rsidP="00606EA3">
      <w:pPr>
        <w:spacing w:before="0"/>
        <w:jc w:val="left"/>
        <w:rPr>
          <w:szCs w:val="19"/>
          <w:lang w:val="en-GB"/>
        </w:rPr>
      </w:pPr>
      <w:r>
        <w:rPr>
          <w:szCs w:val="19"/>
          <w:lang w:val="en-GB"/>
        </w:rPr>
        <w:br w:type="page"/>
      </w:r>
    </w:p>
    <w:p w:rsidR="00606EA3" w:rsidRPr="00006784" w:rsidRDefault="00606EA3" w:rsidP="00606EA3">
      <w:pPr>
        <w:pStyle w:val="Heading1"/>
        <w:ind w:left="851" w:hanging="851"/>
      </w:pPr>
      <w:bookmarkStart w:id="89" w:name="_Toc377721077"/>
      <w:bookmarkStart w:id="90" w:name="_Toc377976463"/>
      <w:r w:rsidRPr="00006784">
        <w:lastRenderedPageBreak/>
        <w:t xml:space="preserve">Annex 9: </w:t>
      </w:r>
      <w:r>
        <w:tab/>
      </w:r>
      <w:r w:rsidRPr="00006784">
        <w:t>Rebound effect</w:t>
      </w:r>
      <w:bookmarkEnd w:id="89"/>
      <w:bookmarkEnd w:id="90"/>
    </w:p>
    <w:p w:rsidR="00606EA3" w:rsidRPr="00E55042" w:rsidRDefault="00606EA3" w:rsidP="00606EA3">
      <w:pPr>
        <w:rPr>
          <w:lang w:val="en-US"/>
        </w:rPr>
      </w:pPr>
      <w:r w:rsidRPr="00E55042">
        <w:rPr>
          <w:lang w:val="en-US"/>
        </w:rPr>
        <w:t>The rebound effect is defined as increases in demand that offset some of the positive impact of ICT implementation: rebound effects act as counter-acting agents to enabling effects. This increase in demand reduces the energy conservation effect of the improved technology on total resource use</w:t>
      </w:r>
    </w:p>
    <w:p w:rsidR="00606EA3" w:rsidRPr="00E55042" w:rsidRDefault="00606EA3" w:rsidP="00606EA3">
      <w:pPr>
        <w:rPr>
          <w:lang w:val="en-US"/>
        </w:rPr>
      </w:pPr>
      <w:r w:rsidRPr="00E55042">
        <w:rPr>
          <w:lang w:val="en-US"/>
        </w:rPr>
        <w:t>The ICT Enablement Methodology proposed by GeSI goes further than a typical product or service, which considers life cycle stages and processes of a single system. In addition to the direct life cycle emissions of an ICT system, the methodology considers the emissions saved or generated by various enabling and rebound effects resulting from changes to the BAU system the BAU (or business-as-usual, system refers to the components in the existing manual, mechanical or physical processes that are impacted by the implementation of the ICT solution). Enabling effects are those that reduce emissions in non-ICT sectors; rebound effects are those that increase emissions, thus offsetting the emission reductions.</w:t>
      </w:r>
      <w:r w:rsidRPr="00086351">
        <w:rPr>
          <w:lang w:val="en-US"/>
        </w:rPr>
        <w:t xml:space="preserve"> </w:t>
      </w:r>
      <w:r w:rsidRPr="00E55042">
        <w:rPr>
          <w:lang w:val="en-US"/>
        </w:rPr>
        <w:t>Rebound effects are typically changes within the BAU system, though may also result from increased use of the ICT system above its intended use to mitigate non-ICT sector emissions.</w:t>
      </w:r>
    </w:p>
    <w:p w:rsidR="00606EA3" w:rsidRPr="00D51FC2" w:rsidRDefault="00606EA3" w:rsidP="00606EA3">
      <w:pPr>
        <w:pStyle w:val="Heading2"/>
        <w:ind w:left="576" w:hanging="576"/>
        <w:rPr>
          <w:sz w:val="19"/>
          <w:szCs w:val="19"/>
        </w:rPr>
      </w:pPr>
      <w:bookmarkStart w:id="91" w:name="_Toc377721078"/>
      <w:bookmarkStart w:id="92" w:name="_Toc377976464"/>
      <w:r w:rsidRPr="00F528EA">
        <w:t>9.1</w:t>
      </w:r>
      <w:r w:rsidRPr="00F528EA">
        <w:tab/>
        <w:t xml:space="preserve">Intended use and limitations of the ICT </w:t>
      </w:r>
      <w:r>
        <w:t>e</w:t>
      </w:r>
      <w:r w:rsidRPr="00F528EA">
        <w:t xml:space="preserve">nablement </w:t>
      </w:r>
      <w:r>
        <w:t>m</w:t>
      </w:r>
      <w:r w:rsidRPr="00F528EA">
        <w:t>ethodology</w:t>
      </w:r>
      <w:bookmarkEnd w:id="91"/>
      <w:bookmarkEnd w:id="92"/>
    </w:p>
    <w:p w:rsidR="00606EA3" w:rsidRPr="00E55042" w:rsidRDefault="00606EA3" w:rsidP="00606EA3">
      <w:pPr>
        <w:rPr>
          <w:lang w:val="en-US"/>
        </w:rPr>
      </w:pPr>
      <w:r w:rsidRPr="00E55042">
        <w:rPr>
          <w:lang w:val="en-US"/>
        </w:rPr>
        <w:t>Comparative assessments across studies can only be made using this methodology if care has been taken to set similar system boundaries and other parameters. In the absence of formal assessment standards, established knowledge and/or existing data may help to define the set of potential enabling and rebound effects. This includes considering the entire set of potential enabling and rebound effects resulting from implementation of the ICT system.</w:t>
      </w:r>
    </w:p>
    <w:p w:rsidR="00606EA3" w:rsidRPr="00D51FC2" w:rsidRDefault="00606EA3" w:rsidP="00606EA3">
      <w:pPr>
        <w:rPr>
          <w:lang w:val="en-US"/>
        </w:rPr>
      </w:pPr>
      <w:r w:rsidRPr="00D51FC2">
        <w:rPr>
          <w:rFonts w:cs="Myriad Pro"/>
          <w:lang w:val="en-GB"/>
        </w:rPr>
        <w:t>The primary, direct ICT emissions are the e</w:t>
      </w:r>
      <w:r w:rsidRPr="00D51FC2">
        <w:rPr>
          <w:lang w:val="en-GB"/>
        </w:rPr>
        <w:t>missions generated over the life cycle of the implemented ICT system.</w:t>
      </w:r>
    </w:p>
    <w:p w:rsidR="00606EA3" w:rsidRPr="00D51FC2" w:rsidRDefault="00606EA3" w:rsidP="00606EA3">
      <w:pPr>
        <w:autoSpaceDE w:val="0"/>
        <w:autoSpaceDN w:val="0"/>
        <w:adjustRightInd w:val="0"/>
        <w:rPr>
          <w:rFonts w:eastAsiaTheme="minorHAnsi" w:cstheme="minorBidi"/>
          <w:bCs/>
          <w:szCs w:val="19"/>
          <w:lang w:val="en-GB" w:eastAsia="en-US"/>
        </w:rPr>
      </w:pPr>
      <w:r w:rsidRPr="00D51FC2">
        <w:rPr>
          <w:rFonts w:cs="Myriad Pro"/>
          <w:color w:val="000000"/>
          <w:szCs w:val="19"/>
          <w:lang w:val="en-GB"/>
        </w:rPr>
        <w:t xml:space="preserve">Primary rebound: </w:t>
      </w:r>
      <w:r w:rsidRPr="00D51FC2">
        <w:rPr>
          <w:rFonts w:eastAsiaTheme="minorHAnsi" w:cs="UNZGZF+ArialMT"/>
          <w:szCs w:val="19"/>
          <w:lang w:val="en-GB" w:eastAsia="en-US"/>
        </w:rPr>
        <w:t xml:space="preserve">Immediate increase in BAU or ICT system emissions occurring as result of ICT system implementation, often driven by behavioural changes in demand for carbon-intensive goods or activities. </w:t>
      </w:r>
      <w:r w:rsidRPr="00D51FC2">
        <w:rPr>
          <w:rFonts w:eastAsiaTheme="minorHAnsi" w:cstheme="minorBidi"/>
          <w:szCs w:val="19"/>
          <w:lang w:val="en-GB" w:eastAsia="en-US"/>
        </w:rPr>
        <w:t xml:space="preserve">They can take one of three forms: </w:t>
      </w:r>
    </w:p>
    <w:p w:rsidR="00606EA3" w:rsidRPr="00F528EA" w:rsidRDefault="00606EA3" w:rsidP="00606EA3">
      <w:pPr>
        <w:pStyle w:val="Enumlevel1"/>
      </w:pPr>
      <w:r>
        <w:t>•</w:t>
      </w:r>
      <w:r>
        <w:tab/>
      </w:r>
      <w:r w:rsidRPr="00F528EA">
        <w:t xml:space="preserve">Increased energy consumption </w:t>
      </w:r>
    </w:p>
    <w:p w:rsidR="00606EA3" w:rsidRPr="00F528EA" w:rsidRDefault="00606EA3" w:rsidP="00606EA3">
      <w:pPr>
        <w:pStyle w:val="Enumlevel1"/>
      </w:pPr>
      <w:r>
        <w:t>•</w:t>
      </w:r>
      <w:r>
        <w:tab/>
      </w:r>
      <w:r w:rsidRPr="00F528EA">
        <w:t xml:space="preserve">Increased travel or shipment </w:t>
      </w:r>
    </w:p>
    <w:p w:rsidR="00606EA3" w:rsidRPr="00F528EA" w:rsidRDefault="00606EA3" w:rsidP="00606EA3">
      <w:pPr>
        <w:pStyle w:val="Enumlevel1"/>
      </w:pPr>
      <w:r>
        <w:t>•</w:t>
      </w:r>
      <w:r>
        <w:tab/>
      </w:r>
      <w:r w:rsidRPr="00F528EA">
        <w:t xml:space="preserve">Increased materials </w:t>
      </w:r>
    </w:p>
    <w:p w:rsidR="00606EA3" w:rsidRPr="00D51FC2" w:rsidRDefault="00606EA3" w:rsidP="00606EA3">
      <w:pPr>
        <w:rPr>
          <w:rFonts w:cs="UNZGZF+ArialMT"/>
          <w:lang w:val="en-US"/>
        </w:rPr>
      </w:pPr>
      <w:r w:rsidRPr="00D51FC2">
        <w:rPr>
          <w:lang w:val="en-GB"/>
        </w:rPr>
        <w:t>Primary rebound effects occur immediately after and as a direct result of implementation of the ICT system.</w:t>
      </w:r>
    </w:p>
    <w:p w:rsidR="00606EA3" w:rsidRPr="00D51FC2" w:rsidRDefault="00606EA3" w:rsidP="00606EA3">
      <w:pPr>
        <w:autoSpaceDE w:val="0"/>
        <w:autoSpaceDN w:val="0"/>
        <w:adjustRightInd w:val="0"/>
        <w:rPr>
          <w:rFonts w:eastAsiaTheme="minorHAnsi" w:cs="Myriad Pro"/>
          <w:bCs/>
          <w:szCs w:val="19"/>
          <w:lang w:val="en-GB" w:eastAsia="en-US"/>
        </w:rPr>
      </w:pPr>
      <w:r w:rsidRPr="00D51FC2">
        <w:rPr>
          <w:szCs w:val="19"/>
          <w:lang w:val="en-GB"/>
        </w:rPr>
        <w:t xml:space="preserve">Secondary rebound: </w:t>
      </w:r>
      <w:r w:rsidRPr="00D51FC2">
        <w:rPr>
          <w:rFonts w:eastAsiaTheme="minorHAnsi" w:cs="UNZGZF+ArialMT"/>
          <w:szCs w:val="19"/>
          <w:lang w:val="en-GB" w:eastAsia="en-US"/>
        </w:rPr>
        <w:t xml:space="preserve">Non-immediate increase in BAU or ICT system emissions occurring as result of ICT system implementation, often driven by behavioural changes in demand for carbon-intensive goods or activities. </w:t>
      </w:r>
      <w:r w:rsidRPr="00D51FC2">
        <w:rPr>
          <w:rFonts w:eastAsiaTheme="minorHAnsi" w:cs="Myriad Pro"/>
          <w:szCs w:val="19"/>
          <w:lang w:val="en-GB" w:eastAsia="en-US"/>
        </w:rPr>
        <w:t xml:space="preserve">These can take one of four forms: </w:t>
      </w:r>
    </w:p>
    <w:p w:rsidR="00606EA3" w:rsidRPr="00F528EA" w:rsidRDefault="00606EA3" w:rsidP="00606EA3">
      <w:pPr>
        <w:pStyle w:val="Enumlevel1"/>
      </w:pPr>
      <w:r>
        <w:t>•</w:t>
      </w:r>
      <w:r>
        <w:tab/>
      </w:r>
      <w:r w:rsidRPr="00F528EA">
        <w:t xml:space="preserve">Increased use of goods/vehicles </w:t>
      </w:r>
    </w:p>
    <w:p w:rsidR="00606EA3" w:rsidRPr="00F528EA" w:rsidRDefault="00606EA3" w:rsidP="00606EA3">
      <w:pPr>
        <w:pStyle w:val="Enumlevel1"/>
      </w:pPr>
      <w:r>
        <w:t>•</w:t>
      </w:r>
      <w:r>
        <w:tab/>
      </w:r>
      <w:r w:rsidRPr="00F528EA">
        <w:t xml:space="preserve">Increased production of goods/vehicles </w:t>
      </w:r>
    </w:p>
    <w:p w:rsidR="00606EA3" w:rsidRPr="00F528EA" w:rsidRDefault="00606EA3" w:rsidP="00606EA3">
      <w:pPr>
        <w:pStyle w:val="Enumlevel1"/>
      </w:pPr>
      <w:r>
        <w:t>•</w:t>
      </w:r>
      <w:r>
        <w:tab/>
      </w:r>
      <w:r w:rsidRPr="00F528EA">
        <w:t xml:space="preserve">Increased use of infrastructure </w:t>
      </w:r>
    </w:p>
    <w:p w:rsidR="00606EA3" w:rsidRPr="00F528EA" w:rsidRDefault="00606EA3" w:rsidP="00606EA3">
      <w:pPr>
        <w:pStyle w:val="Enumlevel1"/>
      </w:pPr>
      <w:r>
        <w:t>•</w:t>
      </w:r>
      <w:r>
        <w:tab/>
      </w:r>
      <w:r w:rsidRPr="00F528EA">
        <w:t xml:space="preserve">Increased development of infrastructure </w:t>
      </w:r>
    </w:p>
    <w:p w:rsidR="00606EA3" w:rsidRPr="00E80C99" w:rsidRDefault="00606EA3" w:rsidP="00606EA3">
      <w:pPr>
        <w:rPr>
          <w:bCs/>
          <w:lang w:val="en-GB" w:eastAsia="en-US"/>
        </w:rPr>
      </w:pPr>
      <w:r w:rsidRPr="00E80C99">
        <w:rPr>
          <w:lang w:val="en-GB" w:eastAsia="en-US"/>
        </w:rPr>
        <w:t xml:space="preserve">Secondary rebound effects are those occurring later in time, often as a result of the cumulative impacts of larger-scale adoption. </w:t>
      </w:r>
    </w:p>
    <w:p w:rsidR="00606EA3" w:rsidRPr="00E55042" w:rsidRDefault="00606EA3" w:rsidP="00606EA3">
      <w:pPr>
        <w:rPr>
          <w:lang w:val="en-US"/>
        </w:rPr>
      </w:pPr>
      <w:r w:rsidRPr="00E55042">
        <w:rPr>
          <w:lang w:val="en-US"/>
        </w:rPr>
        <w:t>Certain secondary enabling and rebound effects can be excluded from rigorous assessment based on the goal and scope of the study. However, the primary enabling effects and direct ICT emissions should always be considered relevant.</w:t>
      </w:r>
    </w:p>
    <w:p w:rsidR="00606EA3" w:rsidRPr="00E55042" w:rsidRDefault="00606EA3" w:rsidP="00606EA3">
      <w:pPr>
        <w:rPr>
          <w:lang w:val="en-US"/>
        </w:rPr>
      </w:pPr>
      <w:r w:rsidRPr="00E55042">
        <w:rPr>
          <w:lang w:val="en-US"/>
        </w:rPr>
        <w:t>As with secondary enabling effects, the scale of adoption often drives the decision on whether to include or exclude individual rebound effects. Figure 7 provides illustrative rebound impacts.</w:t>
      </w:r>
    </w:p>
    <w:p w:rsidR="00606EA3" w:rsidRPr="00D51FC2" w:rsidRDefault="00606EA3" w:rsidP="00606EA3">
      <w:pPr>
        <w:pStyle w:val="Default"/>
        <w:spacing w:before="120" w:after="120"/>
        <w:rPr>
          <w:rFonts w:ascii="Verdana" w:eastAsiaTheme="minorHAnsi" w:hAnsi="Verdana" w:cs="Myriad Pro"/>
          <w:b/>
          <w:bCs/>
          <w:sz w:val="19"/>
          <w:szCs w:val="19"/>
          <w:lang w:val="en-GB"/>
        </w:rPr>
      </w:pPr>
      <w:r w:rsidRPr="00D51FC2">
        <w:rPr>
          <w:rFonts w:ascii="Verdana" w:eastAsiaTheme="minorHAnsi" w:hAnsi="Verdana" w:cs="Myriad Pro"/>
          <w:b/>
          <w:bCs/>
          <w:sz w:val="19"/>
          <w:szCs w:val="19"/>
          <w:lang w:val="en-GB"/>
        </w:rPr>
        <w:t>The primary rebound is mainly derived from the following factors.</w:t>
      </w:r>
    </w:p>
    <w:p w:rsidR="00606EA3" w:rsidRPr="00F528EA" w:rsidRDefault="00606EA3" w:rsidP="00606EA3">
      <w:pPr>
        <w:pStyle w:val="Enumlevel1"/>
      </w:pPr>
      <w:r>
        <w:lastRenderedPageBreak/>
        <w:t>•</w:t>
      </w:r>
      <w:r>
        <w:tab/>
      </w:r>
      <w:r w:rsidRPr="00D51FC2">
        <w:rPr>
          <w:rFonts w:cs="UNZGZF+Arial-BoldMT"/>
          <w:bCs/>
        </w:rPr>
        <w:t>Hom</w:t>
      </w:r>
      <w:r w:rsidRPr="00F528EA">
        <w:t>e energy monitoring: increased energy use during non-peak periods instead of use during peak periods.</w:t>
      </w:r>
    </w:p>
    <w:p w:rsidR="00606EA3" w:rsidRPr="00F528EA" w:rsidRDefault="00606EA3" w:rsidP="00606EA3">
      <w:pPr>
        <w:pStyle w:val="Enumlevel1"/>
      </w:pPr>
      <w:r>
        <w:t>•</w:t>
      </w:r>
      <w:r>
        <w:tab/>
      </w:r>
      <w:r w:rsidRPr="00F528EA">
        <w:t>Telecommuting: increased home energy use (e.g., heating and lighting on at home).</w:t>
      </w:r>
    </w:p>
    <w:p w:rsidR="00606EA3" w:rsidRPr="00D51FC2" w:rsidRDefault="00606EA3" w:rsidP="00606EA3">
      <w:pPr>
        <w:pStyle w:val="Enumlevel1"/>
        <w:rPr>
          <w:rFonts w:cs="UNZGZF+ArialMT"/>
        </w:rPr>
      </w:pPr>
      <w:r>
        <w:t>•</w:t>
      </w:r>
      <w:r>
        <w:tab/>
      </w:r>
      <w:r w:rsidRPr="00F528EA">
        <w:t>Onl</w:t>
      </w:r>
      <w:r w:rsidRPr="00D51FC2">
        <w:rPr>
          <w:rFonts w:cs="UNZGZF+Arial-BoldMT"/>
          <w:bCs/>
        </w:rPr>
        <w:t>ine media</w:t>
      </w:r>
      <w:r w:rsidRPr="00D51FC2">
        <w:rPr>
          <w:rFonts w:cs="UNZGZF+ArialMT"/>
        </w:rPr>
        <w:t>: increased computer use to browse and sample music.</w:t>
      </w:r>
    </w:p>
    <w:p w:rsidR="00606EA3" w:rsidRPr="00D51FC2" w:rsidRDefault="00606EA3" w:rsidP="00606EA3">
      <w:pPr>
        <w:pStyle w:val="Default"/>
        <w:keepNext/>
        <w:spacing w:before="120" w:after="120"/>
        <w:rPr>
          <w:rFonts w:ascii="Verdana" w:eastAsiaTheme="minorHAnsi" w:hAnsi="Verdana" w:cs="Myriad Pro"/>
          <w:b/>
          <w:bCs/>
          <w:sz w:val="19"/>
          <w:szCs w:val="19"/>
          <w:lang w:val="en-GB"/>
        </w:rPr>
      </w:pPr>
      <w:r w:rsidRPr="00D51FC2">
        <w:rPr>
          <w:rFonts w:ascii="Verdana" w:eastAsiaTheme="minorHAnsi" w:hAnsi="Verdana" w:cs="Myriad Pro"/>
          <w:b/>
          <w:bCs/>
          <w:sz w:val="19"/>
          <w:szCs w:val="19"/>
          <w:lang w:val="en-GB"/>
        </w:rPr>
        <w:t>Secondary rebound is mainly derived from the following factors.</w:t>
      </w:r>
    </w:p>
    <w:p w:rsidR="00606EA3" w:rsidRPr="00F528EA" w:rsidRDefault="00606EA3" w:rsidP="00606EA3">
      <w:pPr>
        <w:pStyle w:val="Enumlevel1"/>
      </w:pPr>
      <w:r>
        <w:t>•</w:t>
      </w:r>
      <w:r>
        <w:tab/>
      </w:r>
      <w:r w:rsidRPr="00D51FC2">
        <w:rPr>
          <w:rFonts w:cs="UNZGZF+Arial-BoldMT"/>
          <w:bCs/>
        </w:rPr>
        <w:t xml:space="preserve">Home </w:t>
      </w:r>
      <w:r w:rsidRPr="00F528EA">
        <w:t>energy monitoring: increased consumption of goods using savings from lower energy bill.</w:t>
      </w:r>
    </w:p>
    <w:p w:rsidR="00606EA3" w:rsidRPr="00F528EA" w:rsidRDefault="00606EA3" w:rsidP="00606EA3">
      <w:pPr>
        <w:pStyle w:val="Enumlevel1"/>
      </w:pPr>
      <w:r>
        <w:t>•</w:t>
      </w:r>
      <w:r>
        <w:tab/>
      </w:r>
      <w:r w:rsidRPr="00F528EA">
        <w:t>Telecommuting: increased urban sprawl (and associated inefficiencies) from employees' ability to live further from office.</w:t>
      </w:r>
    </w:p>
    <w:p w:rsidR="00606EA3" w:rsidRPr="00D51FC2" w:rsidRDefault="00606EA3" w:rsidP="00606EA3">
      <w:pPr>
        <w:pStyle w:val="Enumlevel1"/>
        <w:rPr>
          <w:rFonts w:cs="UNZGZF+ArialMT"/>
        </w:rPr>
      </w:pPr>
      <w:r>
        <w:t>•</w:t>
      </w:r>
      <w:r>
        <w:tab/>
      </w:r>
      <w:r w:rsidRPr="00F528EA">
        <w:t xml:space="preserve">Online </w:t>
      </w:r>
      <w:r w:rsidRPr="00D51FC2">
        <w:rPr>
          <w:rFonts w:cs="UNZGZF+Arial-BoldMT"/>
          <w:bCs/>
        </w:rPr>
        <w:t xml:space="preserve">media: </w:t>
      </w:r>
      <w:r w:rsidRPr="00D51FC2">
        <w:rPr>
          <w:rFonts w:cs="UNZGZF+ArialMT"/>
        </w:rPr>
        <w:t xml:space="preserve">increased computer and server manufacturing </w:t>
      </w:r>
    </w:p>
    <w:p w:rsidR="00606EA3" w:rsidRPr="00AE67BF" w:rsidRDefault="00606EA3" w:rsidP="00606EA3">
      <w:pPr>
        <w:rPr>
          <w:lang w:val="en-US"/>
        </w:rPr>
      </w:pPr>
      <w:r w:rsidRPr="00AE67BF">
        <w:rPr>
          <w:lang w:val="en-US"/>
        </w:rPr>
        <w:t>Here are some examples of ICT effects.</w:t>
      </w:r>
    </w:p>
    <w:p w:rsidR="00606EA3" w:rsidRPr="00D51FC2" w:rsidRDefault="00606EA3" w:rsidP="00606EA3">
      <w:pPr>
        <w:pStyle w:val="Enumlevel1"/>
      </w:pPr>
      <w:r>
        <w:t>•</w:t>
      </w:r>
      <w:r>
        <w:tab/>
      </w:r>
      <w:r w:rsidRPr="00D51FC2">
        <w:t>The emission reduction from air travel: secondary enabling effect.</w:t>
      </w:r>
    </w:p>
    <w:p w:rsidR="00606EA3" w:rsidRPr="00D51FC2" w:rsidRDefault="00606EA3" w:rsidP="00606EA3">
      <w:pPr>
        <w:pStyle w:val="Enumlevel1"/>
      </w:pPr>
      <w:r>
        <w:t>•</w:t>
      </w:r>
      <w:r>
        <w:tab/>
      </w:r>
      <w:r w:rsidRPr="00D51FC2">
        <w:t>Emissions generated by use of telepresence to replace air travel: direct ICT emissions.</w:t>
      </w:r>
    </w:p>
    <w:p w:rsidR="00606EA3" w:rsidRPr="00D51FC2" w:rsidRDefault="00606EA3" w:rsidP="00606EA3">
      <w:pPr>
        <w:pStyle w:val="Enumlevel1"/>
      </w:pPr>
      <w:r>
        <w:t>•</w:t>
      </w:r>
      <w:r>
        <w:tab/>
      </w:r>
      <w:r w:rsidRPr="00D51FC2">
        <w:t>Emissions generated by use of telepresence for additional non-necessary meetings using telepresence: primary rebound effect.</w:t>
      </w:r>
    </w:p>
    <w:p w:rsidR="00606EA3" w:rsidRPr="00ED1894" w:rsidRDefault="00606EA3" w:rsidP="00606EA3">
      <w:pPr>
        <w:rPr>
          <w:lang w:val="en-US"/>
        </w:rPr>
      </w:pPr>
      <w:r w:rsidRPr="00D51FC2">
        <w:rPr>
          <w:lang w:val="en" w:eastAsia="zh-CN"/>
        </w:rPr>
        <w:t>In sectors such as telephony or automobile, improving eco-efficiency was more than offset by increasing the production, resulting in lower energy costs and increase in consumption.</w:t>
      </w:r>
    </w:p>
    <w:p w:rsidR="00606EA3" w:rsidRPr="00E55042" w:rsidRDefault="00606EA3" w:rsidP="00606EA3">
      <w:pPr>
        <w:rPr>
          <w:rFonts w:cs="Myriad Pro"/>
          <w:color w:val="000000"/>
          <w:lang w:val="en-US"/>
        </w:rPr>
      </w:pPr>
      <w:r w:rsidRPr="00E55042">
        <w:rPr>
          <w:rFonts w:cs="Myriad Pro"/>
          <w:color w:val="000000"/>
          <w:lang w:val="en-US"/>
        </w:rPr>
        <w:t>In general, to avoid overstating the positive impacts of ICT implementation, greater levels of proof are needed for the exclusion of any rebound effect than for the exclusion of secondary enabling effects. Unfortunately, the uncertainty of rebound effects, especially secondary rebound effects, makes them difficult to quantify. However, performing sensitivity analysis during assessment and presenting a range of potential net enabling effects can mitigate this uncertainty. This conservative approach to assessment will enhance the credibility of the reported net enabling effect.</w:t>
      </w:r>
    </w:p>
    <w:p w:rsidR="00606EA3" w:rsidRPr="00D51FC2" w:rsidRDefault="00606EA3" w:rsidP="00606EA3">
      <w:pPr>
        <w:rPr>
          <w:lang w:val="en" w:eastAsia="zh-CN"/>
        </w:rPr>
      </w:pPr>
      <w:r w:rsidRPr="00E55042">
        <w:rPr>
          <w:lang w:val="en-US" w:eastAsia="zh-CN"/>
        </w:rPr>
        <w:t>From a general point of view, g</w:t>
      </w:r>
      <w:r w:rsidRPr="00D51FC2">
        <w:rPr>
          <w:lang w:val="en" w:eastAsia="zh-CN"/>
        </w:rPr>
        <w:t>overnments emphasize the gap between the consumer intentions and actions. This shift ("value action gap") is due to social and psychological issues of consumption, but also to consumption patterns "closed" (phenomena of "lock-in"), due to economic or institutional constraints, unequal access to devices encouragement, cultural norms and routines. On the other hand, public policies for sustainable consumption have so far focused on the dissemination of "Green products", on improving energy efficiency through innovation technology, or the lifting of the obstacle budget during the act of purchase. in the most cases, this strategy has led to overconsumption ("rebound effect") and and played down the initial environmental goals.</w:t>
      </w:r>
    </w:p>
    <w:p w:rsidR="00606EA3" w:rsidRDefault="00606EA3" w:rsidP="00606EA3">
      <w:pPr>
        <w:rPr>
          <w:lang w:val="en" w:eastAsia="zh-CN"/>
        </w:rPr>
      </w:pPr>
      <w:r w:rsidRPr="00D51FC2">
        <w:rPr>
          <w:lang w:val="en" w:eastAsia="zh-CN"/>
        </w:rPr>
        <w:t>The rebound effect explains why support for technological innovation is not enough to reduce the</w:t>
      </w:r>
      <w:r>
        <w:rPr>
          <w:lang w:val="en" w:eastAsia="zh-CN"/>
        </w:rPr>
        <w:t xml:space="preserve"> </w:t>
      </w:r>
      <w:r w:rsidRPr="00D51FC2">
        <w:rPr>
          <w:lang w:val="en" w:eastAsia="zh-CN"/>
        </w:rPr>
        <w:t>environnemental pressure. Improving the energy efficiency of goods and services generate fiscal savings, these in turn lead on the economy the rebound effects of which can be analyzed in the two effects (primary and secondary) as explained before.</w:t>
      </w:r>
    </w:p>
    <w:p w:rsidR="00606EA3" w:rsidRPr="00F528EA" w:rsidRDefault="00606EA3" w:rsidP="00606EA3">
      <w:pPr>
        <w:pStyle w:val="Heading2"/>
        <w:ind w:left="576" w:hanging="576"/>
      </w:pPr>
      <w:bookmarkStart w:id="93" w:name="_Toc377721079"/>
      <w:bookmarkStart w:id="94" w:name="_Toc377976465"/>
      <w:r>
        <w:t>9.2</w:t>
      </w:r>
      <w:r>
        <w:tab/>
      </w:r>
      <w:r w:rsidRPr="00F528EA">
        <w:t>References:</w:t>
      </w:r>
      <w:bookmarkEnd w:id="93"/>
      <w:bookmarkEnd w:id="94"/>
    </w:p>
    <w:p w:rsidR="00606EA3" w:rsidRPr="00D51FC2" w:rsidRDefault="00606EA3" w:rsidP="00606EA3">
      <w:pPr>
        <w:pStyle w:val="Enumlevel1"/>
      </w:pPr>
      <w:r>
        <w:t>•</w:t>
      </w:r>
      <w:r>
        <w:tab/>
      </w:r>
      <w:r w:rsidRPr="00D51FC2">
        <w:t xml:space="preserve">GeSI, </w:t>
      </w:r>
      <w:hyperlink r:id="rId209" w:history="1">
        <w:r w:rsidRPr="00EB72FA">
          <w:rPr>
            <w:rStyle w:val="Hyperlink"/>
            <w:bCs/>
            <w:i/>
            <w:iCs/>
          </w:rPr>
          <w:t>Evaluating the Carbon-Reducing Impacts of IC</w:t>
        </w:r>
        <w:r>
          <w:rPr>
            <w:rStyle w:val="Hyperlink"/>
            <w:bCs/>
            <w:i/>
            <w:iCs/>
          </w:rPr>
          <w:t>T – An assessment methodology</w:t>
        </w:r>
      </w:hyperlink>
      <w:r>
        <w:t>,</w:t>
      </w:r>
      <w:r w:rsidRPr="00F528EA">
        <w:rPr>
          <w:bCs/>
        </w:rPr>
        <w:t xml:space="preserve"> September</w:t>
      </w:r>
      <w:r>
        <w:rPr>
          <w:bCs/>
        </w:rPr>
        <w:t> </w:t>
      </w:r>
      <w:r w:rsidRPr="00F528EA">
        <w:rPr>
          <w:bCs/>
        </w:rPr>
        <w:t>2010</w:t>
      </w:r>
    </w:p>
    <w:p w:rsidR="00606EA3" w:rsidRPr="00385AAA" w:rsidRDefault="00606EA3" w:rsidP="00606EA3">
      <w:pPr>
        <w:pStyle w:val="Enumlevel1"/>
        <w:rPr>
          <w:rFonts w:cs="Myriad Pro"/>
          <w:color w:val="000000"/>
          <w:lang w:val="fr-CH"/>
        </w:rPr>
      </w:pPr>
      <w:r w:rsidRPr="00385AAA">
        <w:rPr>
          <w:lang w:val="fr-CH"/>
        </w:rPr>
        <w:t>•</w:t>
      </w:r>
      <w:r w:rsidRPr="00385AAA">
        <w:rPr>
          <w:lang w:val="fr-CH"/>
        </w:rPr>
        <w:tab/>
      </w:r>
      <w:r w:rsidRPr="00385AAA">
        <w:rPr>
          <w:rFonts w:cs="Myriad Pro"/>
          <w:color w:val="000000"/>
          <w:lang w:val="fr-CH"/>
        </w:rPr>
        <w:t>Le Monde diplomatique</w:t>
      </w:r>
    </w:p>
    <w:p w:rsidR="00606EA3" w:rsidRPr="00F528EA" w:rsidRDefault="00606EA3" w:rsidP="00606EA3">
      <w:pPr>
        <w:pStyle w:val="Enumlevel1"/>
        <w:rPr>
          <w:rFonts w:cs="Myriad Pro"/>
          <w:color w:val="000000"/>
          <w:lang w:val="fr-CH"/>
        </w:rPr>
      </w:pPr>
      <w:r w:rsidRPr="00385AAA">
        <w:rPr>
          <w:lang w:val="fr-CH"/>
        </w:rPr>
        <w:t>•</w:t>
      </w:r>
      <w:r w:rsidRPr="00385AAA">
        <w:rPr>
          <w:lang w:val="fr-CH"/>
        </w:rPr>
        <w:tab/>
      </w:r>
      <w:r>
        <w:rPr>
          <w:rFonts w:cs="Myriad Pro"/>
          <w:lang w:val="fr-CH"/>
        </w:rPr>
        <w:t xml:space="preserve">France, Centre d’analydse stratégique, </w:t>
      </w:r>
      <w:hyperlink r:id="rId210" w:history="1">
        <w:r w:rsidRPr="00F528EA">
          <w:rPr>
            <w:rStyle w:val="Hyperlink"/>
            <w:i/>
            <w:iCs/>
            <w:lang w:val="fr-CH"/>
          </w:rPr>
          <w:t>Pour une consommation durable</w:t>
        </w:r>
      </w:hyperlink>
      <w:r>
        <w:rPr>
          <w:rFonts w:cs="Myriad Pro"/>
          <w:lang w:val="fr-CH"/>
        </w:rPr>
        <w:t>, janvier 2011</w:t>
      </w:r>
      <w:r w:rsidRPr="00F528EA">
        <w:rPr>
          <w:rFonts w:cs="Myriad Pro"/>
          <w:color w:val="000000"/>
          <w:lang w:val="fr-CH"/>
        </w:rPr>
        <w:t xml:space="preserve"> </w:t>
      </w:r>
    </w:p>
    <w:p w:rsidR="00606EA3" w:rsidRPr="00D51FC2" w:rsidRDefault="00606EA3" w:rsidP="00606EA3">
      <w:pPr>
        <w:pStyle w:val="Enumlevel1"/>
        <w:rPr>
          <w:rFonts w:cs="Myriad Pro"/>
          <w:color w:val="000000"/>
        </w:rPr>
      </w:pPr>
      <w:r>
        <w:t>•</w:t>
      </w:r>
      <w:r>
        <w:tab/>
      </w:r>
      <w:r w:rsidRPr="00D51FC2">
        <w:t>Buluş</w:t>
      </w:r>
      <w:r>
        <w:t>,</w:t>
      </w:r>
      <w:r w:rsidRPr="00EB72FA">
        <w:t xml:space="preserve"> </w:t>
      </w:r>
      <w:r w:rsidRPr="00D51FC2">
        <w:t>A</w:t>
      </w:r>
      <w:r>
        <w:t>.,</w:t>
      </w:r>
      <w:r w:rsidRPr="00EB72FA">
        <w:t xml:space="preserve"> </w:t>
      </w:r>
      <w:r w:rsidRPr="00D51FC2">
        <w:t>Topalli</w:t>
      </w:r>
      <w:r>
        <w:t xml:space="preserve">, </w:t>
      </w:r>
      <w:r w:rsidRPr="00D51FC2">
        <w:t>N</w:t>
      </w:r>
      <w:r>
        <w:t xml:space="preserve">., </w:t>
      </w:r>
      <w:hyperlink r:id="rId211" w:history="1">
        <w:r w:rsidRPr="00F87B58">
          <w:rPr>
            <w:rStyle w:val="Hyperlink"/>
          </w:rPr>
          <w:t>Energy Efficiency and Rebound Effect: Does Energy Efficiency Save Energy?</w:t>
        </w:r>
      </w:hyperlink>
      <w:r>
        <w:t>, July</w:t>
      </w:r>
      <w:r w:rsidRPr="00D51FC2">
        <w:t xml:space="preserve"> </w:t>
      </w:r>
      <w:r>
        <w:t>2011</w:t>
      </w:r>
    </w:p>
    <w:p w:rsidR="00606EA3" w:rsidRPr="00D51FC2" w:rsidRDefault="00606EA3" w:rsidP="00606EA3">
      <w:pPr>
        <w:spacing w:before="0"/>
        <w:rPr>
          <w:b/>
          <w:szCs w:val="19"/>
          <w:lang w:val="en-GB"/>
        </w:rPr>
      </w:pPr>
      <w:r w:rsidRPr="00D51FC2">
        <w:rPr>
          <w:b/>
          <w:szCs w:val="19"/>
          <w:lang w:val="en-GB"/>
        </w:rPr>
        <w:br w:type="page"/>
      </w:r>
    </w:p>
    <w:p w:rsidR="00606EA3" w:rsidRPr="00006784" w:rsidRDefault="00606EA3" w:rsidP="00606EA3">
      <w:pPr>
        <w:pStyle w:val="Heading1"/>
        <w:tabs>
          <w:tab w:val="left" w:pos="1276"/>
        </w:tabs>
        <w:ind w:left="851" w:hanging="851"/>
      </w:pPr>
      <w:bookmarkStart w:id="95" w:name="_Toc377721080"/>
      <w:bookmarkStart w:id="96" w:name="_Toc377976466"/>
      <w:r w:rsidRPr="00006784">
        <w:lastRenderedPageBreak/>
        <w:t xml:space="preserve">Annex 10: </w:t>
      </w:r>
      <w:r>
        <w:tab/>
      </w:r>
      <w:r w:rsidRPr="00006784">
        <w:t>ICT and climate change relevant standardization activities</w:t>
      </w:r>
      <w:bookmarkEnd w:id="95"/>
      <w:bookmarkEnd w:id="96"/>
    </w:p>
    <w:p w:rsidR="00606EA3" w:rsidRPr="00F528EA" w:rsidRDefault="00606EA3" w:rsidP="00606EA3">
      <w:pPr>
        <w:pStyle w:val="Heading2"/>
        <w:ind w:left="576" w:hanging="576"/>
      </w:pPr>
      <w:bookmarkStart w:id="97" w:name="_Toc377721081"/>
      <w:bookmarkStart w:id="98" w:name="_Toc377976467"/>
      <w:r>
        <w:t>10.1</w:t>
      </w:r>
      <w:r>
        <w:tab/>
      </w:r>
      <w:r w:rsidRPr="00F528EA">
        <w:t>ETSI</w:t>
      </w:r>
      <w:bookmarkEnd w:id="97"/>
      <w:bookmarkEnd w:id="98"/>
    </w:p>
    <w:p w:rsidR="00606EA3" w:rsidRPr="00E55042" w:rsidRDefault="00606EA3" w:rsidP="00606EA3">
      <w:pPr>
        <w:rPr>
          <w:lang w:val="en-US"/>
        </w:rPr>
      </w:pPr>
      <w:r w:rsidRPr="00E55042">
        <w:rPr>
          <w:lang w:val="en-US"/>
        </w:rPr>
        <w:t>The European Telecommunications Standards Institute (ETSI) recognized climate change was a global concern and required efforts from all industry sectors, including the ICTs. ETSI is strengthening its efforts by improving the tools for electronic work, introducing a check list that energy saving is considered for all new work items, and initiating a number of new work items in the ICT and environment area. ETSI has published a few deliverables and has a few on-going work items as follows:</w:t>
      </w:r>
    </w:p>
    <w:p w:rsidR="00606EA3" w:rsidRPr="00F96BA6" w:rsidRDefault="00606EA3" w:rsidP="00606EA3">
      <w:pPr>
        <w:rPr>
          <w:lang w:val="en-US"/>
        </w:rPr>
      </w:pPr>
      <w:r w:rsidRPr="00F96BA6">
        <w:rPr>
          <w:lang w:val="en-US"/>
        </w:rPr>
        <w:t>Here are published deliverables:</w:t>
      </w:r>
    </w:p>
    <w:p w:rsidR="00606EA3" w:rsidRPr="00D51FC2" w:rsidRDefault="00606EA3" w:rsidP="00606EA3">
      <w:pPr>
        <w:pStyle w:val="Enumlevel1"/>
      </w:pPr>
      <w:r>
        <w:t>•</w:t>
      </w:r>
      <w:r>
        <w:tab/>
      </w:r>
      <w:r w:rsidRPr="00D51FC2">
        <w:rPr>
          <w:b/>
        </w:rPr>
        <w:t>TR 102 530</w:t>
      </w:r>
      <w:r w:rsidRPr="00D51FC2">
        <w:t xml:space="preserve">, </w:t>
      </w:r>
      <w:r w:rsidRPr="00D51FC2">
        <w:rPr>
          <w:i/>
        </w:rPr>
        <w:t>“Reduction of energy consumption in telecommunications equipment and related infrastructure”</w:t>
      </w:r>
      <w:r w:rsidRPr="00D51FC2">
        <w:t>: This document reports some techniques and some aspects to take in account during the evaluation of the possible reduction of energy consumption at equipment level and at installation level. The first version of this document refers principally at broadband equipment.</w:t>
      </w:r>
    </w:p>
    <w:p w:rsidR="00606EA3" w:rsidRPr="00D51FC2" w:rsidRDefault="00606EA3" w:rsidP="00606EA3">
      <w:pPr>
        <w:pStyle w:val="Enumlevel1"/>
      </w:pPr>
      <w:r>
        <w:t>•</w:t>
      </w:r>
      <w:r>
        <w:tab/>
      </w:r>
      <w:r w:rsidRPr="00D51FC2">
        <w:rPr>
          <w:b/>
        </w:rPr>
        <w:t>TR 102 531</w:t>
      </w:r>
      <w:r w:rsidRPr="00D51FC2">
        <w:t xml:space="preserve"> (2007-04), </w:t>
      </w:r>
      <w:r w:rsidRPr="00D51FC2">
        <w:rPr>
          <w:i/>
        </w:rPr>
        <w:t>“Better determination of equipment power and energy consumption for improved sizing”</w:t>
      </w:r>
      <w:r w:rsidRPr="00D51FC2">
        <w:t>: This document gives guidance on a more appropriate determination of equipment energy consumption with the goal to be able to realize a good design of power station and related power distribution network. A correct design help to have a better energy efficiency of power station with impact on the energy saving and with a not oversized dimensioning of power network permits to reduce the use of material (copper) and as consequence a minor impact on the environmental and a cost reduction.</w:t>
      </w:r>
    </w:p>
    <w:p w:rsidR="00606EA3" w:rsidRPr="00D51FC2" w:rsidRDefault="00606EA3" w:rsidP="00606EA3">
      <w:pPr>
        <w:pStyle w:val="Enumlevel1"/>
      </w:pPr>
      <w:r>
        <w:t>•</w:t>
      </w:r>
      <w:r>
        <w:tab/>
      </w:r>
      <w:r w:rsidRPr="00D51FC2">
        <w:rPr>
          <w:b/>
        </w:rPr>
        <w:t>TS 102 532</w:t>
      </w:r>
      <w:r w:rsidRPr="00D51FC2">
        <w:t xml:space="preserve"> (2009-06), </w:t>
      </w:r>
      <w:r w:rsidRPr="00D51FC2">
        <w:rPr>
          <w:i/>
        </w:rPr>
        <w:t>“Environmental Engineering (EE) – The use of alternative energy sources in telecommunication installations”</w:t>
      </w:r>
      <w:r w:rsidRPr="00D51FC2">
        <w:t>: The use of alternative energy sources in the telecommunication installation/application such as solar, wind, and fuel cell is considered.</w:t>
      </w:r>
    </w:p>
    <w:p w:rsidR="00606EA3" w:rsidRPr="00D51FC2" w:rsidRDefault="00606EA3" w:rsidP="00606EA3">
      <w:pPr>
        <w:pStyle w:val="Enumlevel1"/>
      </w:pPr>
      <w:r>
        <w:t>•</w:t>
      </w:r>
      <w:r>
        <w:tab/>
      </w:r>
      <w:r w:rsidRPr="00D51FC2">
        <w:rPr>
          <w:b/>
        </w:rPr>
        <w:t>TS 102 533</w:t>
      </w:r>
      <w:r w:rsidRPr="00D51FC2">
        <w:t xml:space="preserve"> (2008-06), </w:t>
      </w:r>
      <w:r w:rsidRPr="00D51FC2">
        <w:rPr>
          <w:i/>
        </w:rPr>
        <w:t>“Measurement Methods and limits for Energy Consumption in Broadband Telecommunication Networks Equipment”</w:t>
      </w:r>
      <w:r w:rsidRPr="00D51FC2">
        <w:t>: This document establishes an energy consumption measurement method for broadband telecommunication network equipment; give contributions to fix target energy consumption value for wired broadband equipment including ADSL and VDSL.</w:t>
      </w:r>
    </w:p>
    <w:p w:rsidR="00606EA3" w:rsidRPr="00D51FC2" w:rsidRDefault="00606EA3" w:rsidP="00606EA3">
      <w:pPr>
        <w:pStyle w:val="Enumlevel1"/>
      </w:pPr>
      <w:r>
        <w:t>•</w:t>
      </w:r>
      <w:r>
        <w:tab/>
      </w:r>
      <w:r w:rsidRPr="00D51FC2">
        <w:rPr>
          <w:b/>
        </w:rPr>
        <w:t>TS 102 706</w:t>
      </w:r>
      <w:r w:rsidRPr="00D51FC2">
        <w:t xml:space="preserve"> (2009-08), </w:t>
      </w:r>
      <w:r w:rsidRPr="00D51FC2">
        <w:rPr>
          <w:i/>
        </w:rPr>
        <w:t>“Environmental Engineering (EE) – Energy efficiency of wireless access network equipment”</w:t>
      </w:r>
      <w:r w:rsidRPr="00D51FC2">
        <w:t>: This work will establish wireless access network energy efficiency metrics, which define efficiency parameters and measurement methods for wireless access network equipment. In the first phase GSM/EDGE, WCDMA/HSPA and WiMAX are addressed. Other systems, such as LTE, will be added when a stable system data is available.</w:t>
      </w:r>
    </w:p>
    <w:p w:rsidR="00606EA3" w:rsidRPr="00D51FC2" w:rsidRDefault="00606EA3" w:rsidP="00606EA3">
      <w:pPr>
        <w:pStyle w:val="Enumlevel1"/>
      </w:pPr>
      <w:r>
        <w:t>•</w:t>
      </w:r>
      <w:r>
        <w:tab/>
      </w:r>
      <w:r w:rsidRPr="00D51FC2">
        <w:rPr>
          <w:b/>
        </w:rPr>
        <w:t>EN 300 132-3</w:t>
      </w:r>
      <w:r w:rsidRPr="00D51FC2">
        <w:t xml:space="preserve"> (2003-8), </w:t>
      </w:r>
      <w:r w:rsidRPr="00D51FC2">
        <w:rPr>
          <w:i/>
        </w:rPr>
        <w:t>“Power supply interface at the input to telecommunications equipment; Part 3: Operated by rectified current source, alternating current source or direct current source up to 400 V”</w:t>
      </w:r>
      <w:r w:rsidRPr="00D51FC2">
        <w:t>: This document standardizes a new power interface able to supply both telecom and ICT equipment. This solution permits to build only a power network, with backup, to supply energies at all type of equipment present in a data center without using UPS or AC/DC converters at 48 V so the global energetic efficiency of the entire system is greater than other solutions contributing and the energy saving.</w:t>
      </w:r>
    </w:p>
    <w:p w:rsidR="00606EA3" w:rsidRPr="00F528EA" w:rsidRDefault="00606EA3" w:rsidP="00606EA3">
      <w:pPr>
        <w:pStyle w:val="Enumlevel1"/>
      </w:pPr>
      <w:r>
        <w:t>•</w:t>
      </w:r>
      <w:r>
        <w:tab/>
      </w:r>
      <w:r w:rsidRPr="00F528EA">
        <w:rPr>
          <w:b/>
        </w:rPr>
        <w:t>TR 105 175</w:t>
      </w:r>
      <w:r w:rsidRPr="00F528EA">
        <w:t xml:space="preserve">, </w:t>
      </w:r>
      <w:r w:rsidRPr="00F528EA">
        <w:rPr>
          <w:i/>
        </w:rPr>
        <w:t>“Access, Terminals, Transmission and Multiplexing (ATTM);</w:t>
      </w:r>
      <w:r>
        <w:rPr>
          <w:i/>
        </w:rPr>
        <w:t xml:space="preserve"> </w:t>
      </w:r>
      <w:r w:rsidRPr="00F528EA">
        <w:rPr>
          <w:i/>
        </w:rPr>
        <w:t>Broadband Deployment - Energy Efficiency and Key Performance Indicators”</w:t>
      </w:r>
    </w:p>
    <w:p w:rsidR="00606EA3" w:rsidRPr="002550F0" w:rsidRDefault="00606EA3" w:rsidP="00606EA3">
      <w:pPr>
        <w:pStyle w:val="Enumlevel2"/>
        <w:rPr>
          <w:lang w:val="en-US"/>
        </w:rPr>
      </w:pPr>
      <w:r>
        <w:t>–</w:t>
      </w:r>
      <w:r>
        <w:tab/>
      </w:r>
      <w:r w:rsidRPr="00D51FC2">
        <w:t>Part 2: Network sites</w:t>
      </w:r>
    </w:p>
    <w:p w:rsidR="00606EA3" w:rsidRPr="00F96BA6" w:rsidRDefault="00606EA3" w:rsidP="00606EA3">
      <w:pPr>
        <w:pStyle w:val="Enumlevel3"/>
        <w:rPr>
          <w:lang w:val="en-US"/>
        </w:rPr>
      </w:pPr>
      <w:r w:rsidRPr="00F96BA6">
        <w:rPr>
          <w:lang w:val="en-US"/>
        </w:rPr>
        <w:t>•</w:t>
      </w:r>
      <w:r w:rsidRPr="00F96BA6">
        <w:rPr>
          <w:lang w:val="en-US"/>
        </w:rPr>
        <w:tab/>
        <w:t>Sub-part 1 (TR 105 174-2-1): Operator sites (2009-10)</w:t>
      </w:r>
    </w:p>
    <w:p w:rsidR="00606EA3" w:rsidRPr="002550F0" w:rsidRDefault="00606EA3" w:rsidP="00606EA3">
      <w:pPr>
        <w:pStyle w:val="Enumlevel2"/>
        <w:rPr>
          <w:lang w:val="en-US"/>
        </w:rPr>
      </w:pPr>
      <w:r>
        <w:t>–</w:t>
      </w:r>
      <w:r>
        <w:tab/>
      </w:r>
      <w:r w:rsidRPr="00D51FC2">
        <w:t>Part 4 (TR 105 174-4): Access networks (2009-10)</w:t>
      </w:r>
    </w:p>
    <w:p w:rsidR="00606EA3" w:rsidRPr="00D51FC2" w:rsidRDefault="00606EA3" w:rsidP="00606EA3">
      <w:pPr>
        <w:pStyle w:val="Enumlevel2"/>
      </w:pPr>
      <w:r>
        <w:t>–</w:t>
      </w:r>
      <w:r>
        <w:tab/>
      </w:r>
      <w:r w:rsidRPr="00D51FC2">
        <w:t>Part 5: Customer network infrastructures</w:t>
      </w:r>
    </w:p>
    <w:p w:rsidR="00606EA3" w:rsidRPr="002550F0" w:rsidRDefault="00606EA3" w:rsidP="00606EA3">
      <w:pPr>
        <w:pStyle w:val="Enumlevel3"/>
        <w:rPr>
          <w:lang w:val="en-US"/>
        </w:rPr>
      </w:pPr>
      <w:r w:rsidRPr="002550F0">
        <w:rPr>
          <w:lang w:val="en-US"/>
        </w:rPr>
        <w:t>•</w:t>
      </w:r>
      <w:r w:rsidRPr="002550F0">
        <w:rPr>
          <w:lang w:val="en-US"/>
        </w:rPr>
        <w:tab/>
        <w:t>Sub-part 1 (TR 105 174-5-1): Homes (single-tenant) (2009-10)</w:t>
      </w:r>
    </w:p>
    <w:p w:rsidR="00606EA3" w:rsidRPr="002550F0" w:rsidRDefault="00606EA3" w:rsidP="00606EA3">
      <w:pPr>
        <w:pStyle w:val="Enumlevel3"/>
        <w:rPr>
          <w:lang w:val="en-US"/>
        </w:rPr>
      </w:pPr>
      <w:r w:rsidRPr="002550F0">
        <w:rPr>
          <w:lang w:val="en-US"/>
        </w:rPr>
        <w:lastRenderedPageBreak/>
        <w:t>•</w:t>
      </w:r>
      <w:r w:rsidRPr="002550F0">
        <w:rPr>
          <w:lang w:val="en-US"/>
        </w:rPr>
        <w:tab/>
        <w:t>Sub-part 2 (TR 105 174-5-2): Office premises (single-tenant) (2009-10)</w:t>
      </w:r>
    </w:p>
    <w:p w:rsidR="00606EA3" w:rsidRPr="00D51FC2" w:rsidRDefault="00606EA3" w:rsidP="00606EA3">
      <w:pPr>
        <w:pStyle w:val="Enumlevel1"/>
      </w:pPr>
      <w:r w:rsidRPr="002550F0">
        <w:rPr>
          <w:lang w:val="en-US"/>
        </w:rPr>
        <w:t>•</w:t>
      </w:r>
      <w:r w:rsidRPr="002550F0">
        <w:rPr>
          <w:lang w:val="en-US"/>
        </w:rPr>
        <w:tab/>
      </w:r>
      <w:r w:rsidRPr="00D51FC2">
        <w:rPr>
          <w:b/>
        </w:rPr>
        <w:t xml:space="preserve">TS 105 175, </w:t>
      </w:r>
      <w:r w:rsidRPr="00D51FC2">
        <w:t>“Access, Terminals, Transmission and Multiplexing (ATTM);</w:t>
      </w:r>
      <w:r>
        <w:t xml:space="preserve"> </w:t>
      </w:r>
      <w:r w:rsidRPr="00D51FC2">
        <w:t>Broadband Deployment - Energy Efficiency and Key Performance Indicators”</w:t>
      </w:r>
    </w:p>
    <w:p w:rsidR="00606EA3" w:rsidRPr="00D51FC2" w:rsidRDefault="00606EA3" w:rsidP="00606EA3">
      <w:pPr>
        <w:pStyle w:val="Enumlevel2"/>
      </w:pPr>
      <w:r>
        <w:t>–</w:t>
      </w:r>
      <w:r>
        <w:tab/>
      </w:r>
      <w:r w:rsidRPr="00D51FC2">
        <w:t>Part 1 (TS 105 174-1): Overview, common and generic aspects (2009-10)</w:t>
      </w:r>
    </w:p>
    <w:p w:rsidR="00606EA3" w:rsidRPr="00F96BA6" w:rsidRDefault="00606EA3" w:rsidP="00606EA3">
      <w:pPr>
        <w:pStyle w:val="Enumlevel3"/>
        <w:rPr>
          <w:lang w:val="en-US"/>
        </w:rPr>
      </w:pPr>
      <w:r w:rsidRPr="00F96BA6">
        <w:rPr>
          <w:lang w:val="en-US"/>
        </w:rPr>
        <w:t>•</w:t>
      </w:r>
      <w:r w:rsidRPr="00F96BA6">
        <w:rPr>
          <w:lang w:val="en-US"/>
        </w:rPr>
        <w:tab/>
        <w:t>Sub-part 1 (TR 105 174-1-1): Generalities, common view of the set of documents (2006-06)</w:t>
      </w:r>
    </w:p>
    <w:p w:rsidR="00606EA3" w:rsidRPr="00AE67BF" w:rsidRDefault="00606EA3" w:rsidP="00606EA3">
      <w:pPr>
        <w:pStyle w:val="Enumlevel2"/>
        <w:rPr>
          <w:lang w:val="en-US"/>
        </w:rPr>
      </w:pPr>
      <w:r>
        <w:t>–</w:t>
      </w:r>
      <w:r>
        <w:tab/>
      </w:r>
      <w:r w:rsidRPr="00D51FC2">
        <w:t>Part 2: Network sites</w:t>
      </w:r>
    </w:p>
    <w:p w:rsidR="00606EA3" w:rsidRPr="00F96BA6" w:rsidRDefault="00606EA3" w:rsidP="00606EA3">
      <w:pPr>
        <w:pStyle w:val="Enumlevel3"/>
        <w:rPr>
          <w:lang w:val="en-US"/>
        </w:rPr>
      </w:pPr>
      <w:r w:rsidRPr="00F96BA6">
        <w:rPr>
          <w:lang w:val="en-US"/>
        </w:rPr>
        <w:t>•</w:t>
      </w:r>
      <w:r w:rsidRPr="00F96BA6">
        <w:rPr>
          <w:lang w:val="en-US"/>
        </w:rPr>
        <w:tab/>
        <w:t>Sub-part 2 (TS 105 174-2-2): Data centers (2009-10)</w:t>
      </w:r>
    </w:p>
    <w:p w:rsidR="00606EA3" w:rsidRPr="00D51FC2" w:rsidRDefault="00606EA3" w:rsidP="00606EA3">
      <w:pPr>
        <w:pStyle w:val="Enumlevel2"/>
      </w:pPr>
      <w:r>
        <w:t>–</w:t>
      </w:r>
      <w:r>
        <w:tab/>
      </w:r>
      <w:r w:rsidRPr="00D51FC2">
        <w:t>Part 3 (TS 105 174-3): Core, regional metropolitan networks (WG approval is planned on 2010-09)</w:t>
      </w:r>
    </w:p>
    <w:p w:rsidR="00606EA3" w:rsidRPr="00AE67BF" w:rsidRDefault="00606EA3" w:rsidP="00606EA3">
      <w:pPr>
        <w:pStyle w:val="Enumlevel2"/>
        <w:rPr>
          <w:lang w:val="en-US"/>
        </w:rPr>
      </w:pPr>
      <w:r>
        <w:t>–</w:t>
      </w:r>
      <w:r>
        <w:tab/>
      </w:r>
      <w:r w:rsidRPr="00D51FC2">
        <w:t>Part 4: Customer network infrastructures</w:t>
      </w:r>
    </w:p>
    <w:p w:rsidR="00606EA3" w:rsidRPr="00F96BA6" w:rsidRDefault="00606EA3" w:rsidP="00606EA3">
      <w:pPr>
        <w:pStyle w:val="Enumlevel3"/>
        <w:rPr>
          <w:lang w:val="en-US"/>
        </w:rPr>
      </w:pPr>
      <w:r w:rsidRPr="00F96BA6">
        <w:rPr>
          <w:lang w:val="en-US"/>
        </w:rPr>
        <w:t>•</w:t>
      </w:r>
      <w:r w:rsidRPr="00F96BA6">
        <w:rPr>
          <w:lang w:val="en-US"/>
        </w:rPr>
        <w:tab/>
        <w:t>Sub-part 3 (TS 105 174-5-3): Industrial premises (single-tenant) (WG approval is planned on 2010-09)</w:t>
      </w:r>
    </w:p>
    <w:p w:rsidR="00606EA3" w:rsidRPr="00F96BA6" w:rsidRDefault="00606EA3" w:rsidP="00606EA3">
      <w:pPr>
        <w:pStyle w:val="Enumlevel3"/>
        <w:rPr>
          <w:lang w:val="en-US"/>
        </w:rPr>
      </w:pPr>
      <w:r w:rsidRPr="00F96BA6">
        <w:rPr>
          <w:lang w:val="en-US"/>
        </w:rPr>
        <w:t>•</w:t>
      </w:r>
      <w:r w:rsidRPr="00F96BA6">
        <w:rPr>
          <w:lang w:val="en-US"/>
        </w:rPr>
        <w:tab/>
        <w:t>Sub-part 4 (TS 105 174-5-4): Data centers (customer) (2009-10)</w:t>
      </w:r>
    </w:p>
    <w:p w:rsidR="00606EA3" w:rsidRPr="00D51FC2" w:rsidRDefault="00606EA3" w:rsidP="00606EA3">
      <w:pPr>
        <w:rPr>
          <w:lang w:val="en-US"/>
        </w:rPr>
      </w:pPr>
      <w:r w:rsidRPr="00D51FC2">
        <w:rPr>
          <w:lang w:val="en-US"/>
        </w:rPr>
        <w:t>Here are on-going work items:</w:t>
      </w:r>
    </w:p>
    <w:p w:rsidR="00606EA3" w:rsidRPr="00D51FC2" w:rsidRDefault="00606EA3" w:rsidP="00606EA3">
      <w:pPr>
        <w:pStyle w:val="Enumlevel1"/>
      </w:pPr>
      <w:r w:rsidRPr="002550F0">
        <w:rPr>
          <w:lang w:val="en-US"/>
        </w:rPr>
        <w:t>•</w:t>
      </w:r>
      <w:r w:rsidRPr="002550F0">
        <w:rPr>
          <w:lang w:val="en-US"/>
        </w:rPr>
        <w:tab/>
      </w:r>
      <w:r w:rsidRPr="00D51FC2">
        <w:t xml:space="preserve">DTR/EE-00006, </w:t>
      </w:r>
      <w:r w:rsidRPr="00D51FC2">
        <w:rPr>
          <w:i/>
        </w:rPr>
        <w:t>“Environmental Engineering (EE) – Environmental consideration for equipment installed in outdoor location”</w:t>
      </w:r>
      <w:r w:rsidRPr="00D51FC2">
        <w:t xml:space="preserve">: It is planned to write a technical report on the applicability of ETSI environmental classes to equipment installed in outdoor cabinet. Also acoustics noise emission will be considered. </w:t>
      </w:r>
    </w:p>
    <w:p w:rsidR="00606EA3" w:rsidRPr="00D51FC2" w:rsidRDefault="00606EA3" w:rsidP="00606EA3">
      <w:pPr>
        <w:pStyle w:val="Enumlevel1"/>
      </w:pPr>
      <w:r w:rsidRPr="002550F0">
        <w:rPr>
          <w:lang w:val="en-US"/>
        </w:rPr>
        <w:t>•</w:t>
      </w:r>
      <w:r w:rsidRPr="002550F0">
        <w:rPr>
          <w:lang w:val="en-US"/>
        </w:rPr>
        <w:tab/>
      </w:r>
      <w:r w:rsidRPr="00D51FC2">
        <w:t xml:space="preserve">DTR/ATTM-06002, </w:t>
      </w:r>
      <w:r w:rsidRPr="00D51FC2">
        <w:rPr>
          <w:i/>
        </w:rPr>
        <w:t>“Power Optimization for xDSL transceivers”</w:t>
      </w:r>
      <w:r w:rsidRPr="00D51FC2">
        <w:t xml:space="preserve">: Possibilities to optimize the power consumption of the xDSL transceiver are investigated. These investigations may include power modes that are beyond the currently existing modes. The potential influence of power optimization schemes on the stability and performance of each line of the network due to power optimization, e.g. non-stationary noise, will be an important part of this work. </w:t>
      </w:r>
    </w:p>
    <w:p w:rsidR="00606EA3" w:rsidRPr="00D51FC2" w:rsidRDefault="00606EA3" w:rsidP="00606EA3">
      <w:pPr>
        <w:rPr>
          <w:lang w:val="en-US"/>
        </w:rPr>
      </w:pPr>
      <w:r w:rsidRPr="00D51FC2">
        <w:rPr>
          <w:lang w:val="en-US"/>
        </w:rPr>
        <w:t>ETSI also has more work items as follows:</w:t>
      </w:r>
    </w:p>
    <w:p w:rsidR="00606EA3" w:rsidRPr="00D51FC2" w:rsidRDefault="00606EA3" w:rsidP="00606EA3">
      <w:pPr>
        <w:pStyle w:val="Enumlevel1"/>
      </w:pPr>
      <w:r w:rsidRPr="002550F0">
        <w:rPr>
          <w:lang w:val="en-US"/>
        </w:rPr>
        <w:t>•</w:t>
      </w:r>
      <w:r w:rsidRPr="002550F0">
        <w:rPr>
          <w:lang w:val="en-US"/>
        </w:rPr>
        <w:tab/>
      </w:r>
      <w:r w:rsidRPr="00D51FC2">
        <w:t>DES/EE-00014, “Life Cycle Assessment (LCA) of ICT equipment, ICT network and ICT service: General definition and common requirement”</w:t>
      </w:r>
    </w:p>
    <w:p w:rsidR="00606EA3" w:rsidRPr="00D51FC2" w:rsidRDefault="00606EA3" w:rsidP="00606EA3">
      <w:pPr>
        <w:pStyle w:val="Enumlevel1"/>
      </w:pPr>
      <w:r w:rsidRPr="002550F0">
        <w:rPr>
          <w:lang w:val="en-US"/>
        </w:rPr>
        <w:t>•</w:t>
      </w:r>
      <w:r w:rsidRPr="002550F0">
        <w:rPr>
          <w:lang w:val="en-US"/>
        </w:rPr>
        <w:tab/>
      </w:r>
      <w:r w:rsidRPr="00D51FC2">
        <w:t>DES/EE-00015, “Measurement method and limits for energy consumption in broadband telecommunications equipment”</w:t>
      </w:r>
    </w:p>
    <w:p w:rsidR="00606EA3" w:rsidRPr="00D51FC2" w:rsidRDefault="00606EA3" w:rsidP="00606EA3">
      <w:pPr>
        <w:pStyle w:val="Enumlevel1"/>
      </w:pPr>
      <w:r w:rsidRPr="002550F0">
        <w:rPr>
          <w:lang w:val="en-US"/>
        </w:rPr>
        <w:t>•</w:t>
      </w:r>
      <w:r w:rsidRPr="002550F0">
        <w:rPr>
          <w:lang w:val="en-US"/>
        </w:rPr>
        <w:tab/>
      </w:r>
      <w:r w:rsidRPr="00D51FC2">
        <w:t>DES/EE-00018, “Measurement methods and limits for Energy consumption of End-user Broadband equipment (CPE)”</w:t>
      </w:r>
    </w:p>
    <w:p w:rsidR="00606EA3" w:rsidRPr="00D51FC2" w:rsidRDefault="00606EA3" w:rsidP="00606EA3">
      <w:pPr>
        <w:pStyle w:val="Heading2"/>
        <w:ind w:left="576" w:hanging="576"/>
      </w:pPr>
      <w:bookmarkStart w:id="99" w:name="_Toc377721082"/>
      <w:bookmarkStart w:id="100" w:name="_Toc377976468"/>
      <w:r>
        <w:t>10.2</w:t>
      </w:r>
      <w:r>
        <w:tab/>
      </w:r>
      <w:r w:rsidRPr="00D51FC2">
        <w:t>ATIS</w:t>
      </w:r>
      <w:bookmarkEnd w:id="99"/>
      <w:bookmarkEnd w:id="100"/>
    </w:p>
    <w:p w:rsidR="00606EA3" w:rsidRPr="00E55042" w:rsidRDefault="00606EA3" w:rsidP="00606EA3">
      <w:pPr>
        <w:rPr>
          <w:lang w:val="en-US"/>
        </w:rPr>
      </w:pPr>
      <w:r w:rsidRPr="00E55042">
        <w:rPr>
          <w:lang w:val="en-US"/>
        </w:rPr>
        <w:t>The Alliance for Telecommunications Industry Solutions (ATIS) Network Interface, Power and Protection (NIPP) committee intends to produce a document or suite of documents for use by ICT service providers to assess the true energy needs of equipment at time of purchase such as:</w:t>
      </w:r>
    </w:p>
    <w:p w:rsidR="00606EA3" w:rsidRPr="00D51FC2" w:rsidRDefault="00606EA3" w:rsidP="00606EA3">
      <w:pPr>
        <w:pStyle w:val="Enumlevel1"/>
        <w:spacing w:before="80"/>
      </w:pPr>
      <w:r w:rsidRPr="002550F0">
        <w:rPr>
          <w:lang w:val="en-US"/>
        </w:rPr>
        <w:t>•</w:t>
      </w:r>
      <w:r w:rsidRPr="002550F0">
        <w:rPr>
          <w:lang w:val="en-US"/>
        </w:rPr>
        <w:tab/>
      </w:r>
      <w:r w:rsidRPr="00D51FC2">
        <w:t xml:space="preserve">Energy use as a function of traffic </w:t>
      </w:r>
    </w:p>
    <w:p w:rsidR="00606EA3" w:rsidRPr="00D51FC2" w:rsidRDefault="00606EA3" w:rsidP="00606EA3">
      <w:pPr>
        <w:pStyle w:val="Enumlevel1"/>
        <w:spacing w:before="80"/>
      </w:pPr>
      <w:r w:rsidRPr="002550F0">
        <w:rPr>
          <w:lang w:val="en-US"/>
        </w:rPr>
        <w:t>•</w:t>
      </w:r>
      <w:r w:rsidRPr="002550F0">
        <w:rPr>
          <w:lang w:val="en-US"/>
        </w:rPr>
        <w:tab/>
      </w:r>
      <w:r w:rsidRPr="00D51FC2">
        <w:t>Energy use as a function of environmental conditions</w:t>
      </w:r>
    </w:p>
    <w:p w:rsidR="00606EA3" w:rsidRPr="00D51FC2" w:rsidRDefault="00606EA3" w:rsidP="00606EA3">
      <w:pPr>
        <w:pStyle w:val="Enumlevel1"/>
        <w:spacing w:before="80"/>
      </w:pPr>
      <w:r w:rsidRPr="002550F0">
        <w:rPr>
          <w:lang w:val="en-US"/>
        </w:rPr>
        <w:t>•</w:t>
      </w:r>
      <w:r w:rsidRPr="002550F0">
        <w:rPr>
          <w:lang w:val="en-US"/>
        </w:rPr>
        <w:tab/>
      </w:r>
      <w:r w:rsidRPr="00D51FC2">
        <w:t>Cooling requirements</w:t>
      </w:r>
    </w:p>
    <w:p w:rsidR="00606EA3" w:rsidRPr="00D51FC2" w:rsidRDefault="00606EA3" w:rsidP="00606EA3">
      <w:pPr>
        <w:pStyle w:val="Enumlevel1"/>
        <w:spacing w:before="80"/>
      </w:pPr>
      <w:r w:rsidRPr="002550F0">
        <w:rPr>
          <w:lang w:val="en-US"/>
        </w:rPr>
        <w:t>•</w:t>
      </w:r>
      <w:r w:rsidRPr="002550F0">
        <w:rPr>
          <w:lang w:val="en-US"/>
        </w:rPr>
        <w:tab/>
      </w:r>
      <w:r w:rsidRPr="00D51FC2">
        <w:t>Suitability of a product for use with renewable energy sources</w:t>
      </w:r>
    </w:p>
    <w:p w:rsidR="00606EA3" w:rsidRPr="00D51FC2" w:rsidRDefault="00606EA3" w:rsidP="00606EA3">
      <w:pPr>
        <w:pStyle w:val="Enumlevel1"/>
        <w:spacing w:before="80"/>
      </w:pPr>
      <w:r w:rsidRPr="002550F0">
        <w:rPr>
          <w:lang w:val="en-US"/>
        </w:rPr>
        <w:t>•</w:t>
      </w:r>
      <w:r w:rsidRPr="002550F0">
        <w:rPr>
          <w:lang w:val="en-US"/>
        </w:rPr>
        <w:tab/>
      </w:r>
      <w:r w:rsidRPr="00D51FC2">
        <w:t xml:space="preserve">Improvements in environmental footprint through Life Cycle Assessments </w:t>
      </w:r>
    </w:p>
    <w:p w:rsidR="00606EA3" w:rsidRPr="00D51FC2" w:rsidRDefault="00606EA3" w:rsidP="00606EA3">
      <w:pPr>
        <w:pStyle w:val="Enumlevel1"/>
        <w:spacing w:before="80"/>
      </w:pPr>
      <w:r w:rsidRPr="002550F0">
        <w:rPr>
          <w:lang w:val="en-US"/>
        </w:rPr>
        <w:t>•</w:t>
      </w:r>
      <w:r w:rsidRPr="002550F0">
        <w:rPr>
          <w:lang w:val="en-US"/>
        </w:rPr>
        <w:tab/>
      </w:r>
      <w:r w:rsidRPr="00D51FC2">
        <w:t>Standby and off-mode definitions</w:t>
      </w:r>
    </w:p>
    <w:p w:rsidR="00606EA3" w:rsidRPr="00AE67BF" w:rsidRDefault="00606EA3" w:rsidP="00606EA3">
      <w:pPr>
        <w:spacing w:before="80"/>
        <w:rPr>
          <w:lang w:val="en-US"/>
        </w:rPr>
      </w:pPr>
      <w:r w:rsidRPr="002550F0">
        <w:rPr>
          <w:lang w:val="en-US"/>
        </w:rPr>
        <w:t>•</w:t>
      </w:r>
      <w:r w:rsidRPr="002550F0">
        <w:rPr>
          <w:lang w:val="en-US"/>
        </w:rPr>
        <w:tab/>
      </w:r>
      <w:r w:rsidRPr="00AE67BF">
        <w:rPr>
          <w:lang w:val="en-US"/>
        </w:rPr>
        <w:t>Standby and off-mode losses</w:t>
      </w:r>
    </w:p>
    <w:p w:rsidR="00606EA3" w:rsidRPr="00D51FC2" w:rsidRDefault="00606EA3" w:rsidP="00606EA3">
      <w:r w:rsidRPr="00E55042">
        <w:rPr>
          <w:lang w:val="en-US"/>
        </w:rPr>
        <w:lastRenderedPageBreak/>
        <w:t xml:space="preserve">It provides the methodology to be used by vendors and third party test laboratories in the formation of a Telecommunications Energy Efficiency Ratio (TEER). </w:t>
      </w:r>
      <w:r w:rsidRPr="00D51FC2">
        <w:t>In general, each TEER will follow the formula below:</w:t>
      </w:r>
    </w:p>
    <w:tbl>
      <w:tblPr>
        <w:tblW w:w="0" w:type="auto"/>
        <w:jc w:val="center"/>
        <w:tblInd w:w="200" w:type="dxa"/>
        <w:tblLook w:val="01E0" w:firstRow="1" w:lastRow="1" w:firstColumn="1" w:lastColumn="1" w:noHBand="0" w:noVBand="0"/>
      </w:tblPr>
      <w:tblGrid>
        <w:gridCol w:w="1092"/>
        <w:gridCol w:w="1659"/>
      </w:tblGrid>
      <w:tr w:rsidR="00606EA3" w:rsidRPr="00D51FC2" w:rsidTr="00606EA3">
        <w:trPr>
          <w:trHeight w:val="315"/>
          <w:jc w:val="center"/>
        </w:trPr>
        <w:tc>
          <w:tcPr>
            <w:tcW w:w="1092" w:type="dxa"/>
            <w:vMerge w:val="restart"/>
            <w:vAlign w:val="center"/>
            <w:hideMark/>
          </w:tcPr>
          <w:p w:rsidR="00606EA3" w:rsidRPr="00D51FC2" w:rsidRDefault="00606EA3" w:rsidP="00606EA3">
            <w:pPr>
              <w:rPr>
                <w:bCs/>
                <w:i/>
                <w:iCs/>
                <w:lang w:val="en-US"/>
              </w:rPr>
            </w:pPr>
            <w:r w:rsidRPr="00D51FC2">
              <w:rPr>
                <w:i/>
                <w:iCs/>
                <w:lang w:val="en-US"/>
              </w:rPr>
              <w:t>TEER =</w:t>
            </w:r>
          </w:p>
        </w:tc>
        <w:tc>
          <w:tcPr>
            <w:tcW w:w="1659" w:type="dxa"/>
            <w:tcBorders>
              <w:top w:val="nil"/>
              <w:left w:val="nil"/>
              <w:bottom w:val="single" w:sz="12" w:space="0" w:color="auto"/>
              <w:right w:val="nil"/>
            </w:tcBorders>
            <w:hideMark/>
          </w:tcPr>
          <w:p w:rsidR="00606EA3" w:rsidRPr="00D51FC2" w:rsidRDefault="00606EA3" w:rsidP="00606EA3">
            <w:pPr>
              <w:spacing w:before="240"/>
              <w:rPr>
                <w:i/>
                <w:iCs/>
                <w:lang w:val="en-US"/>
              </w:rPr>
            </w:pPr>
            <w:r w:rsidRPr="00D51FC2">
              <w:rPr>
                <w:i/>
                <w:iCs/>
                <w:lang w:val="en-US"/>
              </w:rPr>
              <w:t>Parameter</w:t>
            </w:r>
          </w:p>
        </w:tc>
      </w:tr>
      <w:tr w:rsidR="00606EA3" w:rsidRPr="00D51FC2" w:rsidTr="00606EA3">
        <w:trPr>
          <w:trHeight w:val="443"/>
          <w:jc w:val="center"/>
        </w:trPr>
        <w:tc>
          <w:tcPr>
            <w:tcW w:w="0" w:type="auto"/>
            <w:vMerge/>
            <w:vAlign w:val="center"/>
            <w:hideMark/>
          </w:tcPr>
          <w:p w:rsidR="00606EA3" w:rsidRPr="00D51FC2" w:rsidRDefault="00606EA3" w:rsidP="00606EA3">
            <w:pPr>
              <w:spacing w:before="0"/>
              <w:rPr>
                <w:i/>
                <w:iCs/>
                <w:szCs w:val="19"/>
                <w:lang w:eastAsia="en-US"/>
              </w:rPr>
            </w:pPr>
          </w:p>
        </w:tc>
        <w:tc>
          <w:tcPr>
            <w:tcW w:w="1659" w:type="dxa"/>
            <w:tcBorders>
              <w:top w:val="single" w:sz="12" w:space="0" w:color="auto"/>
              <w:left w:val="nil"/>
              <w:bottom w:val="nil"/>
              <w:right w:val="nil"/>
            </w:tcBorders>
            <w:hideMark/>
          </w:tcPr>
          <w:p w:rsidR="00606EA3" w:rsidRPr="00D51FC2" w:rsidRDefault="00606EA3" w:rsidP="00606EA3">
            <w:pPr>
              <w:spacing w:before="240"/>
              <w:rPr>
                <w:bCs/>
                <w:i/>
                <w:iCs/>
                <w:lang w:val="en-US"/>
              </w:rPr>
            </w:pPr>
            <w:r w:rsidRPr="00D51FC2">
              <w:rPr>
                <w:i/>
                <w:iCs/>
                <w:lang w:val="en-US"/>
              </w:rPr>
              <w:t>Power</w:t>
            </w:r>
          </w:p>
        </w:tc>
      </w:tr>
    </w:tbl>
    <w:p w:rsidR="00606EA3" w:rsidRPr="00D51FC2" w:rsidRDefault="00606EA3" w:rsidP="00606EA3">
      <w:r w:rsidRPr="00D51FC2">
        <w:t>Where:</w:t>
      </w:r>
    </w:p>
    <w:p w:rsidR="00606EA3" w:rsidRPr="00E55042" w:rsidRDefault="00606EA3" w:rsidP="00606EA3">
      <w:pPr>
        <w:rPr>
          <w:lang w:val="en-US"/>
        </w:rPr>
      </w:pPr>
      <w:r w:rsidRPr="00E55042">
        <w:rPr>
          <w:i/>
          <w:lang w:val="en-US"/>
        </w:rPr>
        <w:t>Parameter</w:t>
      </w:r>
      <w:r w:rsidRPr="00E55042">
        <w:rPr>
          <w:lang w:val="en-US"/>
        </w:rPr>
        <w:t xml:space="preserve"> = Defined in the supplemental standard based on the equipment function. Examples could be, but are not limited to: data rate, throughput, processes per second, etc.</w:t>
      </w:r>
    </w:p>
    <w:p w:rsidR="00606EA3" w:rsidRPr="00E55042" w:rsidRDefault="00606EA3" w:rsidP="00606EA3">
      <w:pPr>
        <w:rPr>
          <w:lang w:val="en-US"/>
        </w:rPr>
      </w:pPr>
      <w:r w:rsidRPr="00E55042">
        <w:rPr>
          <w:i/>
          <w:lang w:val="en-US"/>
        </w:rPr>
        <w:t>Power</w:t>
      </w:r>
      <w:r w:rsidRPr="00E55042">
        <w:rPr>
          <w:lang w:val="en-US"/>
        </w:rPr>
        <w:t xml:space="preserve"> = Power in Watts (dependent on the equipment measurement).</w:t>
      </w:r>
    </w:p>
    <w:p w:rsidR="00606EA3" w:rsidRPr="00E55042" w:rsidRDefault="00606EA3" w:rsidP="00606EA3">
      <w:pPr>
        <w:rPr>
          <w:lang w:val="en-US"/>
        </w:rPr>
      </w:pPr>
      <w:r w:rsidRPr="00E55042">
        <w:rPr>
          <w:lang w:val="en-US"/>
        </w:rPr>
        <w:t xml:space="preserve">The TEER standards consist of five parts: </w:t>
      </w:r>
    </w:p>
    <w:p w:rsidR="00606EA3" w:rsidRPr="00D51FC2" w:rsidRDefault="00606EA3" w:rsidP="00606EA3">
      <w:pPr>
        <w:pStyle w:val="Enumlevel1"/>
      </w:pPr>
      <w:r>
        <w:t>•</w:t>
      </w:r>
      <w:r>
        <w:tab/>
      </w:r>
      <w:r w:rsidRPr="00D51FC2">
        <w:t>ATIS-0600015.2009 (Energy Efficiency for Telecommunications Equipment: Methodology for Measurement and Reporting – General Requirements)</w:t>
      </w:r>
    </w:p>
    <w:p w:rsidR="00606EA3" w:rsidRPr="00D51FC2" w:rsidRDefault="00606EA3" w:rsidP="00606EA3">
      <w:pPr>
        <w:pStyle w:val="Enumlevel1"/>
      </w:pPr>
      <w:r>
        <w:t>•</w:t>
      </w:r>
      <w:r>
        <w:tab/>
      </w:r>
      <w:r w:rsidRPr="00D51FC2">
        <w:t>ATIS-0600015.01.2009 (Energy Efficiency for Telecommunications Equipment: Methodology for Measurement and Reporting – Server Requirements)</w:t>
      </w:r>
    </w:p>
    <w:p w:rsidR="00606EA3" w:rsidRPr="00D51FC2" w:rsidRDefault="00606EA3" w:rsidP="00606EA3">
      <w:pPr>
        <w:pStyle w:val="Enumlevel1"/>
      </w:pPr>
      <w:r>
        <w:t>•</w:t>
      </w:r>
      <w:r>
        <w:tab/>
      </w:r>
      <w:r w:rsidRPr="00D51FC2">
        <w:t>ATIS-0600015.02.2009 (Energy Efficiency for Telecommunications Equipment: Methodology for Measurement and Reporting – Transport Requirements)</w:t>
      </w:r>
    </w:p>
    <w:p w:rsidR="00606EA3" w:rsidRPr="00D51FC2" w:rsidRDefault="00606EA3" w:rsidP="00606EA3">
      <w:pPr>
        <w:pStyle w:val="Enumlevel1"/>
      </w:pPr>
      <w:r>
        <w:t>•</w:t>
      </w:r>
      <w:r>
        <w:tab/>
      </w:r>
      <w:r w:rsidRPr="00D51FC2">
        <w:t>ATIS-0600015.03.2009 (Energy Efficiency for Telecommunications Equipment: Methodology for Measurement and Reporting – Router and Ethernet Switch Products)</w:t>
      </w:r>
    </w:p>
    <w:p w:rsidR="00606EA3" w:rsidRPr="00D51FC2" w:rsidRDefault="00606EA3" w:rsidP="00606EA3">
      <w:pPr>
        <w:pStyle w:val="Enumlevel1"/>
      </w:pPr>
      <w:r>
        <w:t>•</w:t>
      </w:r>
      <w:r>
        <w:tab/>
      </w:r>
      <w:r w:rsidRPr="00D51FC2">
        <w:t>ATIS-0600015.04.2010 (Energy Efficiency for Telecommunications Equipment: Methodology for Measurement and Reporting – DC Power Plant – Rectifier Requirements)</w:t>
      </w:r>
    </w:p>
    <w:p w:rsidR="00606EA3" w:rsidRPr="00E55042" w:rsidRDefault="00606EA3" w:rsidP="00606EA3">
      <w:pPr>
        <w:rPr>
          <w:lang w:val="en-US"/>
        </w:rPr>
      </w:pPr>
      <w:r w:rsidRPr="00E55042">
        <w:rPr>
          <w:lang w:val="en-US"/>
        </w:rPr>
        <w:t>The general requirements document serves as the ATIS base standard for determining telecommunications energy efficiency. It provides a uniform methodology to measure equipment power and defines energy efficiency ratings for telecommunication equipment. In this document, equipment have been classified based on the application and the location in the network with classifications such as core, transport and access. The latter two documents (server requirements, and transport system or network configuration requirements) are part of an ongoing series to define the telecommunications energy efficiency of various telecommunications components.</w:t>
      </w:r>
    </w:p>
    <w:p w:rsidR="00606EA3" w:rsidRPr="00F528EA" w:rsidRDefault="00606EA3" w:rsidP="00606EA3">
      <w:pPr>
        <w:pStyle w:val="Heading2"/>
        <w:ind w:left="576" w:hanging="576"/>
        <w:rPr>
          <w:b w:val="0"/>
        </w:rPr>
      </w:pPr>
      <w:bookmarkStart w:id="101" w:name="_Toc377721083"/>
      <w:bookmarkStart w:id="102" w:name="_Toc377976469"/>
      <w:r>
        <w:t>10.3</w:t>
      </w:r>
      <w:r>
        <w:tab/>
      </w:r>
      <w:r w:rsidRPr="00D51FC2">
        <w:t>Ecma International</w:t>
      </w:r>
      <w:bookmarkEnd w:id="101"/>
      <w:bookmarkEnd w:id="102"/>
    </w:p>
    <w:p w:rsidR="00606EA3" w:rsidRPr="00AE67BF" w:rsidRDefault="00606EA3" w:rsidP="00606EA3">
      <w:pPr>
        <w:rPr>
          <w:lang w:val="en-US"/>
        </w:rPr>
      </w:pPr>
      <w:r w:rsidRPr="00AE67BF">
        <w:rPr>
          <w:lang w:val="en-US"/>
        </w:rPr>
        <w:t>The Ecma International is working on Green of ICT issues in the following projects:</w:t>
      </w:r>
    </w:p>
    <w:p w:rsidR="00606EA3" w:rsidRPr="00D51FC2" w:rsidRDefault="00606EA3" w:rsidP="00606EA3">
      <w:pPr>
        <w:pStyle w:val="Enumlevel1"/>
      </w:pPr>
      <w:bookmarkStart w:id="103" w:name="Problem_statement"/>
      <w:bookmarkStart w:id="104" w:name="Goal_of_2nd_edition"/>
      <w:bookmarkEnd w:id="103"/>
      <w:bookmarkEnd w:id="104"/>
      <w:r>
        <w:t>•</w:t>
      </w:r>
      <w:r>
        <w:tab/>
      </w:r>
      <w:r w:rsidRPr="00D51FC2">
        <w:t xml:space="preserve">ECMA-328, </w:t>
      </w:r>
      <w:r w:rsidRPr="00D51FC2">
        <w:rPr>
          <w:i/>
        </w:rPr>
        <w:t>“Determination of chemical emission rates from electronic equipment”</w:t>
      </w:r>
      <w:r w:rsidRPr="00D51FC2">
        <w:t xml:space="preserve">: this standard specifies methods to determine chemical emission rates of analyst from ICT and CE equipment during intended operation in an Emission Test Chamber (ETC). The methods comprise preparation, sampling (or monitoring) in a controlled ETC, storage and analysis, calculation and reporting of emission rates. This standard includes specific methods for equipment using consumables, such as printers, and equipment not using consumables, such as monitors and PC’s. </w:t>
      </w:r>
    </w:p>
    <w:p w:rsidR="00606EA3" w:rsidRPr="00D51FC2" w:rsidRDefault="00606EA3" w:rsidP="00606EA3">
      <w:pPr>
        <w:pStyle w:val="Enumlevel1"/>
      </w:pPr>
      <w:r>
        <w:t>•</w:t>
      </w:r>
      <w:r>
        <w:tab/>
      </w:r>
      <w:r w:rsidRPr="00D51FC2">
        <w:t xml:space="preserve">ECMA-341, </w:t>
      </w:r>
      <w:r w:rsidRPr="00D51FC2">
        <w:rPr>
          <w:i/>
        </w:rPr>
        <w:t>“Environmental Design Considerations for ICT &amp; CE Products”</w:t>
      </w:r>
      <w:r w:rsidRPr="00D51FC2">
        <w:t>: This standard applies to all audio/video, information and communication technology equipment referred to products, specifying requirements and recommendations for the design of environmentally sound products regarding life cycle thinking aspects, material efficiency, energy efficiency, consumables and batteries, chemical and noise emissions, extension of product lifetime, end of life, hazardous substances/preparations, and product packaging. This standard covers only criteria directly related to the environmental performance of the product. Criteria such as safety, ergonomics and electromagnetic compatibility (EMC) are outside the scope of this standard. ECMA-341 was adopted as IEC 62075 in 2008.</w:t>
      </w:r>
    </w:p>
    <w:p w:rsidR="00606EA3" w:rsidRPr="00D51FC2" w:rsidRDefault="00606EA3" w:rsidP="00606EA3">
      <w:pPr>
        <w:pStyle w:val="Enumlevel1"/>
      </w:pPr>
      <w:r>
        <w:lastRenderedPageBreak/>
        <w:t>•</w:t>
      </w:r>
      <w:r>
        <w:tab/>
      </w:r>
      <w:r w:rsidRPr="00D51FC2">
        <w:t xml:space="preserve">ECMA-370, </w:t>
      </w:r>
      <w:r w:rsidRPr="00D51FC2">
        <w:rPr>
          <w:i/>
        </w:rPr>
        <w:t>“The Eco Declaration”</w:t>
      </w:r>
      <w:r w:rsidRPr="00D51FC2">
        <w:t>: this standard specifies environmental attributes and measurement methods for ICT and CE products according to known regulations, standards, guidelines and currently accepted practices. The standard is also applicable to products used as subassemblies, components, accessories and/or optional parts. The standard addresses company programs and product related attributes, not the manufacturing processes and logistic aspects. Although the declarations as defined in Annex A and B are optimized for application in the European Union, this Standard is intended for global use. </w:t>
      </w:r>
    </w:p>
    <w:p w:rsidR="00606EA3" w:rsidRPr="00D51FC2" w:rsidRDefault="00606EA3" w:rsidP="00606EA3">
      <w:pPr>
        <w:pStyle w:val="Enumlevel1"/>
      </w:pPr>
      <w:r>
        <w:t>•</w:t>
      </w:r>
      <w:r>
        <w:tab/>
      </w:r>
      <w:r w:rsidRPr="00D51FC2">
        <w:t xml:space="preserve">ECMA-383, </w:t>
      </w:r>
      <w:r w:rsidRPr="00D51FC2">
        <w:rPr>
          <w:i/>
        </w:rPr>
        <w:t>“Measuring Energy Consumption, Performance and Capabilities of ICT and CE Products”</w:t>
      </w:r>
      <w:r w:rsidRPr="00D51FC2">
        <w:t>: This standard intends to apply to desktop computers and notebook computers, defining how to evaluate and report energy consumption, performance and capabilities being the vital factors for the energy efficient performance of testing targets, i.e. those computers. Additionally it provides a standardized results reporting format. The standard requires the user to measure and record a set of energy, power, time, and capability results (</w:t>
      </w:r>
      <w:r w:rsidRPr="00D51FC2">
        <w:rPr>
          <w:u w:val="single"/>
        </w:rPr>
        <w:t xml:space="preserve">using a </w:t>
      </w:r>
      <w:hyperlink r:id="rId212" w:history="1">
        <w:r w:rsidRPr="00D51FC2">
          <w:rPr>
            <w:rStyle w:val="Hyperlink"/>
            <w:lang w:val="en-US"/>
          </w:rPr>
          <w:t>Benchmark</w:t>
        </w:r>
      </w:hyperlink>
      <w:r w:rsidRPr="00D51FC2">
        <w:t>), not a single metric of energy efficiency. ECMA-383 is planned to be published as IEC 62623 in 2011.</w:t>
      </w:r>
    </w:p>
    <w:p w:rsidR="00606EA3" w:rsidRPr="00D51FC2" w:rsidRDefault="00606EA3" w:rsidP="00606EA3">
      <w:pPr>
        <w:pStyle w:val="Enumlevel1"/>
      </w:pPr>
      <w:r>
        <w:t>•</w:t>
      </w:r>
      <w:r>
        <w:tab/>
      </w:r>
      <w:r w:rsidRPr="00D51FC2">
        <w:t xml:space="preserve">ECMA-xxx, </w:t>
      </w:r>
      <w:r w:rsidRPr="00D51FC2">
        <w:rPr>
          <w:i/>
        </w:rPr>
        <w:t>“Network proxying of ICT devices to reduce energy consumption”</w:t>
      </w:r>
      <w:r w:rsidRPr="00D51FC2">
        <w:t xml:space="preserve">: This on-going work develops standards and technical reports for network proxying; a proxy is an entity that maintains network presence for a sleeping higher-power ICT device. It will specify: </w:t>
      </w:r>
    </w:p>
    <w:p w:rsidR="00606EA3" w:rsidRPr="00D51FC2" w:rsidRDefault="00606EA3" w:rsidP="00606EA3">
      <w:pPr>
        <w:pStyle w:val="Enumlevel2"/>
      </w:pPr>
      <w:r>
        <w:t>–</w:t>
      </w:r>
      <w:r>
        <w:tab/>
      </w:r>
      <w:r w:rsidRPr="00D51FC2">
        <w:t>the protocols that network proxies must handle to maintain connectivity while hosts are asleep;</w:t>
      </w:r>
    </w:p>
    <w:p w:rsidR="00606EA3" w:rsidRPr="00D51FC2" w:rsidRDefault="00606EA3" w:rsidP="00606EA3">
      <w:pPr>
        <w:pStyle w:val="Enumlevel2"/>
      </w:pPr>
      <w:r>
        <w:t>–</w:t>
      </w:r>
      <w:r>
        <w:tab/>
      </w:r>
      <w:r w:rsidRPr="00D51FC2">
        <w:t>the proxy behavior including ignoring packets, generating packets and waking up host systems; and</w:t>
      </w:r>
    </w:p>
    <w:p w:rsidR="00606EA3" w:rsidRPr="00D51FC2" w:rsidRDefault="00606EA3" w:rsidP="00606EA3">
      <w:pPr>
        <w:pStyle w:val="Enumlevel2"/>
      </w:pPr>
      <w:r>
        <w:t>–</w:t>
      </w:r>
      <w:r>
        <w:tab/>
      </w:r>
      <w:r w:rsidRPr="00D51FC2">
        <w:t xml:space="preserve">the information exchanged between hosts and proxies. </w:t>
      </w:r>
    </w:p>
    <w:p w:rsidR="00606EA3" w:rsidRPr="00F528EA" w:rsidRDefault="00606EA3" w:rsidP="00606EA3">
      <w:pPr>
        <w:pStyle w:val="Heading2"/>
        <w:ind w:left="576" w:hanging="576"/>
        <w:rPr>
          <w:b w:val="0"/>
        </w:rPr>
      </w:pPr>
      <w:bookmarkStart w:id="105" w:name="_Toc377721084"/>
      <w:bookmarkStart w:id="106" w:name="_Toc377976470"/>
      <w:r>
        <w:t>10.4</w:t>
      </w:r>
      <w:r>
        <w:tab/>
      </w:r>
      <w:r w:rsidRPr="00D51FC2">
        <w:t>GHG Protocol Initiative</w:t>
      </w:r>
      <w:bookmarkEnd w:id="105"/>
      <w:bookmarkEnd w:id="106"/>
    </w:p>
    <w:p w:rsidR="00606EA3" w:rsidRPr="00D51FC2" w:rsidRDefault="00606EA3" w:rsidP="00606EA3">
      <w:pPr>
        <w:rPr>
          <w:lang w:val="en-US"/>
        </w:rPr>
      </w:pPr>
      <w:r w:rsidRPr="00D51FC2">
        <w:rPr>
          <w:lang w:val="en-US"/>
        </w:rPr>
        <w:t>WRI/WBCSD has developed the following standards under the GHG Protocol Initiative as follows (two standards were published and the other three documents are still at the draft stage:</w:t>
      </w:r>
    </w:p>
    <w:p w:rsidR="00606EA3" w:rsidRPr="00D51FC2" w:rsidRDefault="00606EA3" w:rsidP="00606EA3">
      <w:pPr>
        <w:pStyle w:val="Enumlevel1"/>
      </w:pPr>
      <w:r>
        <w:t>•</w:t>
      </w:r>
      <w:r>
        <w:tab/>
      </w:r>
      <w:r w:rsidRPr="00D51FC2">
        <w:t>Corporate accounting and reporting standard</w:t>
      </w:r>
    </w:p>
    <w:p w:rsidR="00606EA3" w:rsidRPr="00D51FC2" w:rsidRDefault="00606EA3" w:rsidP="00606EA3">
      <w:pPr>
        <w:pStyle w:val="Enumlevel1"/>
      </w:pPr>
      <w:r>
        <w:t>•</w:t>
      </w:r>
      <w:r>
        <w:tab/>
      </w:r>
      <w:r w:rsidRPr="00D51FC2">
        <w:t>The GHG Protocol for project accounting</w:t>
      </w:r>
    </w:p>
    <w:p w:rsidR="00606EA3" w:rsidRPr="00D51FC2" w:rsidRDefault="00606EA3" w:rsidP="00606EA3">
      <w:pPr>
        <w:pStyle w:val="Enumlevel1"/>
      </w:pPr>
      <w:r>
        <w:t>•</w:t>
      </w:r>
      <w:r>
        <w:tab/>
      </w:r>
      <w:r w:rsidRPr="00D51FC2">
        <w:t>Draft stage, Product accounting and reporting standard</w:t>
      </w:r>
    </w:p>
    <w:p w:rsidR="00606EA3" w:rsidRPr="00D51FC2" w:rsidRDefault="00606EA3" w:rsidP="00606EA3">
      <w:pPr>
        <w:pStyle w:val="Enumlevel1"/>
      </w:pPr>
      <w:r>
        <w:t>•</w:t>
      </w:r>
      <w:r>
        <w:tab/>
      </w:r>
      <w:r w:rsidRPr="00D51FC2">
        <w:t>Corporate value chain (Scope 3) accounting and reporting standard – Supplement to the GHG Protocol corporate accounting and reporting standard</w:t>
      </w:r>
    </w:p>
    <w:p w:rsidR="00606EA3" w:rsidRPr="00D51FC2" w:rsidRDefault="00606EA3" w:rsidP="00606EA3">
      <w:pPr>
        <w:pStyle w:val="Enumlevel1"/>
      </w:pPr>
      <w:r>
        <w:t>•</w:t>
      </w:r>
      <w:r>
        <w:tab/>
      </w:r>
      <w:r w:rsidRPr="00D51FC2">
        <w:t>GHG Protocol Product Life Cycle Standard</w:t>
      </w:r>
    </w:p>
    <w:p w:rsidR="00606EA3" w:rsidRPr="00D51FC2" w:rsidRDefault="00606EA3" w:rsidP="00606EA3">
      <w:pPr>
        <w:pStyle w:val="Enumlevel1"/>
      </w:pPr>
      <w:r>
        <w:t>•</w:t>
      </w:r>
      <w:r>
        <w:tab/>
      </w:r>
      <w:r w:rsidRPr="00D51FC2">
        <w:t>Draft stage, ICT Sector Guidance to support GHG Protocol Product Standard</w:t>
      </w:r>
    </w:p>
    <w:p w:rsidR="00606EA3" w:rsidRPr="00F528EA" w:rsidRDefault="00606EA3" w:rsidP="00606EA3">
      <w:pPr>
        <w:pStyle w:val="Heading2"/>
        <w:ind w:left="576" w:hanging="576"/>
        <w:rPr>
          <w:b w:val="0"/>
        </w:rPr>
      </w:pPr>
      <w:bookmarkStart w:id="107" w:name="_Toc377721085"/>
      <w:bookmarkStart w:id="108" w:name="_Toc377976471"/>
      <w:r>
        <w:t>10.5</w:t>
      </w:r>
      <w:r>
        <w:tab/>
      </w:r>
      <w:r w:rsidRPr="00D51FC2">
        <w:t>Activities in Non-Standard Bodies</w:t>
      </w:r>
      <w:bookmarkEnd w:id="107"/>
      <w:bookmarkEnd w:id="108"/>
    </w:p>
    <w:p w:rsidR="00606EA3" w:rsidRPr="00D51FC2" w:rsidRDefault="00606EA3" w:rsidP="00606EA3">
      <w:pPr>
        <w:pStyle w:val="HeadingB"/>
      </w:pPr>
      <w:r w:rsidRPr="00D51FC2">
        <w:t>OECD</w:t>
      </w:r>
    </w:p>
    <w:p w:rsidR="00606EA3" w:rsidRPr="00E55042" w:rsidRDefault="00606EA3" w:rsidP="00606EA3">
      <w:pPr>
        <w:rPr>
          <w:lang w:val="en-US"/>
        </w:rPr>
      </w:pPr>
      <w:r w:rsidRPr="00E55042">
        <w:rPr>
          <w:lang w:val="en-US"/>
        </w:rPr>
        <w:t xml:space="preserve">The Organization for Economic Co-operation and Development (OECD) has studied the Green ICT so far with recognition of ICT as an efficient solution to improve environmental performance and address climate change across the economy. It is going to hold a conference on “Smart ICTs and Green Growth” on 29 September 2010 which will discuss environmental opportunities, existing barriers and some potential risks to the wider roll-out of smart infrastructures. Focus areas include: smart technologies, smart life-styles and electric mobility. The OECD has held many other conferences such as “Green ICT” side-event at the UN Climate Change talks, Barcelona, 2-6 November 2009; a virtual meeting with video conferencing technology on the sidelines of COP15 in Copenhagen on the topic, “The role of ICTs for climate change. Lead role or supporting act?” and an OECD conference, “ICTs, the environment and climate change", Helsingr, Denmark, 27-28 May 2009. </w:t>
      </w:r>
    </w:p>
    <w:p w:rsidR="00606EA3" w:rsidRPr="00E55042" w:rsidRDefault="00606EA3" w:rsidP="00606EA3">
      <w:pPr>
        <w:rPr>
          <w:lang w:val="en-US"/>
        </w:rPr>
      </w:pPr>
      <w:r w:rsidRPr="00E55042">
        <w:rPr>
          <w:lang w:val="en-US"/>
        </w:rPr>
        <w:lastRenderedPageBreak/>
        <w:t>Various study results of the OECD have been released as OECD reports as follows:</w:t>
      </w:r>
    </w:p>
    <w:p w:rsidR="00606EA3" w:rsidRPr="00D51FC2" w:rsidRDefault="00606EA3" w:rsidP="00606EA3">
      <w:pPr>
        <w:pStyle w:val="Enumlevel1"/>
      </w:pPr>
      <w:r>
        <w:t>•</w:t>
      </w:r>
      <w:r w:rsidRPr="007C25E9">
        <w:tab/>
      </w:r>
      <w:r w:rsidRPr="00D51FC2">
        <w:rPr>
          <w:i/>
        </w:rPr>
        <w:t>Smart Sensor Networks: Technologies and Applications for Green Growth:</w:t>
      </w:r>
      <w:r w:rsidRPr="00D51FC2">
        <w:t xml:space="preserve"> Published in December 2009, this report gives an overview of sensor technology and fields of application of sensors and sensor networks. It discusses in detail selected fields of application that have high potential to reduce greenhouse gas emissions and reviews studies quantifying the environmental impact. The review of the studies assessing the impact of sensor technology in reducing greenhouse gas emissions reveals that the technology has a high potential to contribute to a reduction of emissions across various fields of application. Whereas studies clearly estimate an overall strong positive effect in smart grids, smart buildings, smart industrial applications as well as precision agriculture and farming, results for the field of smart transportation are mixed due to rebound effects. In particular intelligent transport systems render transport more efficient, faster and cheaper. As a consequence, demand for transportation and thus the consumption of resources both increase which can lead to an overall negative effect. </w:t>
      </w:r>
    </w:p>
    <w:p w:rsidR="00606EA3" w:rsidRPr="00D51FC2" w:rsidRDefault="00606EA3" w:rsidP="00606EA3">
      <w:pPr>
        <w:pStyle w:val="Enumlevel1"/>
      </w:pPr>
      <w:r>
        <w:t>•</w:t>
      </w:r>
      <w:r w:rsidRPr="007C25E9">
        <w:tab/>
      </w:r>
      <w:r w:rsidRPr="00D51FC2">
        <w:rPr>
          <w:i/>
        </w:rPr>
        <w:t>Towards Green ICT Strategies: Assessing Policies and Programs on ICT and the Environment:</w:t>
      </w:r>
      <w:r w:rsidRPr="00D51FC2">
        <w:t xml:space="preserve"> Governments and business associations have introduced a range of programs and initiatives on ICT and the environment to address environmental challenges, particularly global warming and energy use. Some government programs also contribute to national targets set in the Kyoto. Business associations have mainly developed initiatives to reduce energy costs and to demonstrate corporate social responsibility. Published in June 2009, this report analyses 92 government programs and business initiatives across 22 OECD countries plus the European Commission. Fifty of these have been introduced by governments and the remaining 42 have been developed by business associations, mostly international. Over two-thirds of these focus on improving performance in the ICT industry. Only one third focus on using ICT across the economy and society in areas where there is major potential to dramatically improve performance, for example in “smart” urban, transport and power distribution systems, despite the fact that this is where ICT have the greatest potential to improve environmental performance.</w:t>
      </w:r>
    </w:p>
    <w:p w:rsidR="00606EA3" w:rsidRPr="00D51FC2" w:rsidRDefault="00606EA3" w:rsidP="00606EA3">
      <w:pPr>
        <w:rPr>
          <w:lang w:val="en-US"/>
        </w:rPr>
      </w:pPr>
      <w:r w:rsidRPr="00D51FC2">
        <w:rPr>
          <w:lang w:val="en-US"/>
        </w:rPr>
        <w:t xml:space="preserve">The OECD has three on-going works as follows: </w:t>
      </w:r>
    </w:p>
    <w:p w:rsidR="00606EA3" w:rsidRPr="00D51FC2" w:rsidRDefault="00606EA3" w:rsidP="00606EA3">
      <w:pPr>
        <w:pStyle w:val="Enumlevel1"/>
      </w:pPr>
      <w:r>
        <w:rPr>
          <w:lang w:val="en-US"/>
        </w:rPr>
        <w:t>•</w:t>
      </w:r>
      <w:r>
        <w:rPr>
          <w:lang w:val="en-US"/>
        </w:rPr>
        <w:tab/>
      </w:r>
      <w:r w:rsidRPr="00D51FC2">
        <w:t>Developing a framework for analysis of ICT and environmental challenges. The aim is to comprehensively model environmental effects of ICT production, use and their application across industry sectors.</w:t>
      </w:r>
    </w:p>
    <w:p w:rsidR="00606EA3" w:rsidRPr="00D51FC2" w:rsidRDefault="00606EA3" w:rsidP="00606EA3">
      <w:pPr>
        <w:pStyle w:val="Enumlevel1"/>
      </w:pPr>
      <w:r>
        <w:rPr>
          <w:lang w:val="en-US"/>
        </w:rPr>
        <w:t>•</w:t>
      </w:r>
      <w:r>
        <w:rPr>
          <w:lang w:val="en-US"/>
        </w:rPr>
        <w:tab/>
      </w:r>
      <w:r w:rsidRPr="00D51FC2">
        <w:t>Analyzing existing indicators and statistics on the relationship between ICT and the environment with the aim of improving availability and comparability of official statistics.</w:t>
      </w:r>
    </w:p>
    <w:p w:rsidR="00606EA3" w:rsidRPr="00D51FC2" w:rsidRDefault="00606EA3" w:rsidP="00606EA3">
      <w:pPr>
        <w:pStyle w:val="Enumlevel1"/>
      </w:pPr>
      <w:r>
        <w:rPr>
          <w:lang w:val="en-US"/>
        </w:rPr>
        <w:t>•</w:t>
      </w:r>
      <w:r>
        <w:rPr>
          <w:lang w:val="en-US"/>
        </w:rPr>
        <w:tab/>
      </w:r>
      <w:r w:rsidRPr="00D51FC2">
        <w:t>Identifying priority areas for policy action including life cycle analysis of ICT products and impact assessments of smart ICT applications. This work covers the potential of sensor-based technologies and broadband networks to monitor and address climate change and facilitate energy efficiency across all sectors of the economy.</w:t>
      </w:r>
    </w:p>
    <w:p w:rsidR="00606EA3" w:rsidRPr="00D51FC2" w:rsidRDefault="00606EA3" w:rsidP="00606EA3">
      <w:pPr>
        <w:pStyle w:val="HeadingB"/>
      </w:pPr>
      <w:r w:rsidRPr="00D51FC2">
        <w:t>WWF</w:t>
      </w:r>
    </w:p>
    <w:p w:rsidR="00606EA3" w:rsidRPr="00D51FC2" w:rsidRDefault="00606EA3" w:rsidP="00606EA3">
      <w:pPr>
        <w:rPr>
          <w:lang w:val="en-US"/>
        </w:rPr>
      </w:pPr>
      <w:r w:rsidRPr="00E55042">
        <w:rPr>
          <w:lang w:val="en-US"/>
        </w:rPr>
        <w:t>The World Wide Fund For Nature (WWF</w:t>
      </w:r>
      <w:r w:rsidRPr="00745FFF">
        <w:rPr>
          <w:rStyle w:val="FootnoteReference"/>
        </w:rPr>
        <w:footnoteReference w:id="24"/>
      </w:r>
      <w:r w:rsidRPr="00E55042">
        <w:rPr>
          <w:lang w:val="en-US"/>
        </w:rPr>
        <w:t>) considers ICT as a tool that constitutes a new infrastructure, changing the way our societies function, while ICT applications will give us totally new opportunities to both preserve the best elements of our society, and develop new and better solutions to our existing problems. As a whole, ICT is best viewed as a catalyst that can speed up current negative trends, or alternatively contribute to a shift towards sustainable development. The WWF devoted a lot of efforts to study on the Green ICT and published the following reports:</w:t>
      </w:r>
    </w:p>
    <w:p w:rsidR="00606EA3" w:rsidRPr="00D51FC2" w:rsidRDefault="00606EA3" w:rsidP="00606EA3">
      <w:pPr>
        <w:pStyle w:val="Enumlevel1"/>
      </w:pPr>
      <w:r>
        <w:rPr>
          <w:lang w:val="en-US"/>
        </w:rPr>
        <w:lastRenderedPageBreak/>
        <w:t>•</w:t>
      </w:r>
      <w:r>
        <w:rPr>
          <w:lang w:val="en-US"/>
        </w:rPr>
        <w:tab/>
      </w:r>
      <w:r w:rsidRPr="00D51FC2">
        <w:rPr>
          <w:i/>
        </w:rPr>
        <w:t>Sustainability at the speed of light:</w:t>
      </w:r>
      <w:r w:rsidRPr="00D51FC2">
        <w:t xml:space="preserve"> the WWF invited experts to describe the future role of ICT for sustainable development and summarize the most important challenges for the future. This report was published in July 2002 and the result of invited contributions. The report was an attempt to bridge the gap between ICT experts and policy makers in politics and business, as well as other stakeholders in society.</w:t>
      </w:r>
    </w:p>
    <w:p w:rsidR="00606EA3" w:rsidRPr="00D51FC2" w:rsidRDefault="00606EA3" w:rsidP="00606EA3">
      <w:pPr>
        <w:pStyle w:val="Enumlevel1"/>
      </w:pPr>
      <w:r>
        <w:rPr>
          <w:lang w:val="en-US"/>
        </w:rPr>
        <w:t>•</w:t>
      </w:r>
      <w:r>
        <w:rPr>
          <w:lang w:val="en-US"/>
        </w:rPr>
        <w:tab/>
      </w:r>
      <w:r w:rsidRPr="00D51FC2">
        <w:rPr>
          <w:i/>
        </w:rPr>
        <w:t>Saving the Climate at the speed of light:</w:t>
      </w:r>
      <w:r w:rsidRPr="00D51FC2">
        <w:t xml:space="preserve"> this report describes a potential to allow the ICT sector to provide leadership for structural changes in infrastructure, lifestyles and business practice to achieve dramatic reductions of CO</w:t>
      </w:r>
      <w:r w:rsidRPr="00DE0E49">
        <w:rPr>
          <w:vertAlign w:val="subscript"/>
        </w:rPr>
        <w:t>2</w:t>
      </w:r>
      <w:r w:rsidRPr="00D51FC2">
        <w:t>. It describes the opportunity of ICT services to reduce CO</w:t>
      </w:r>
      <w:r w:rsidRPr="00DE0E49">
        <w:rPr>
          <w:vertAlign w:val="subscript"/>
        </w:rPr>
        <w:t xml:space="preserve">2 </w:t>
      </w:r>
      <w:r w:rsidRPr="00D51FC2">
        <w:t xml:space="preserve">emissions such as videoconference, audio-conference, virtual answering machine, online phone billing, web-taxation, flexi-work, and so on. Then it suggests two-phase roadmap for actions [23]: </w:t>
      </w:r>
    </w:p>
    <w:p w:rsidR="00606EA3" w:rsidRPr="00D51FC2" w:rsidRDefault="00606EA3" w:rsidP="00606EA3">
      <w:pPr>
        <w:pStyle w:val="Enumlevel2"/>
      </w:pPr>
      <w:r>
        <w:t>–</w:t>
      </w:r>
      <w:r>
        <w:tab/>
      </w:r>
      <w:r w:rsidRPr="00D51FC2">
        <w:t>The first phase is a concrete (numerical) target for 2010 of 50 million tons CO</w:t>
      </w:r>
      <w:r w:rsidRPr="00DE0E49">
        <w:rPr>
          <w:vertAlign w:val="subscript"/>
        </w:rPr>
        <w:t>2</w:t>
      </w:r>
      <w:r w:rsidRPr="00D51FC2">
        <w:t xml:space="preserve"> annually. This target is based on the implementation of several strategic ICT applications, e.g. virtual meetings, e-dematerialization and flexi-work. This also includes some additional tasks like policy revision (e.g. energy, tax, transport, innovation, etc.) and supplementary, parallel actions.</w:t>
      </w:r>
    </w:p>
    <w:p w:rsidR="00606EA3" w:rsidRPr="00D51FC2" w:rsidRDefault="00606EA3" w:rsidP="00606EA3">
      <w:pPr>
        <w:pStyle w:val="Enumlevel2"/>
      </w:pPr>
      <w:r>
        <w:t>–</w:t>
      </w:r>
      <w:r>
        <w:tab/>
      </w:r>
      <w:r w:rsidRPr="00D51FC2">
        <w:t>The second phase is a target for 2020. This target should be set before 2010 and should include more services and system solutions, where a number of services are combined, as well as a more ambitious target for CO</w:t>
      </w:r>
      <w:r w:rsidRPr="00DE0E49">
        <w:rPr>
          <w:vertAlign w:val="subscript"/>
        </w:rPr>
        <w:t>2</w:t>
      </w:r>
      <w:r w:rsidRPr="00D51FC2">
        <w:t xml:space="preserve"> reduction. Possible focus areas for the second phase are sustainable consumption, production, city planning and community development.</w:t>
      </w:r>
    </w:p>
    <w:p w:rsidR="00606EA3" w:rsidRPr="00D51FC2" w:rsidRDefault="00606EA3" w:rsidP="00606EA3">
      <w:pPr>
        <w:pStyle w:val="Enumlevel1"/>
      </w:pPr>
      <w:r w:rsidRPr="002550F0">
        <w:rPr>
          <w:lang w:val="en-US"/>
        </w:rPr>
        <w:t>•</w:t>
      </w:r>
      <w:r w:rsidRPr="002550F0">
        <w:rPr>
          <w:lang w:val="en-US"/>
        </w:rPr>
        <w:tab/>
      </w:r>
      <w:r w:rsidRPr="00D51FC2">
        <w:rPr>
          <w:i/>
        </w:rPr>
        <w:t>Outline for the first global IT strategy for CO</w:t>
      </w:r>
      <w:r w:rsidRPr="00DE0E49">
        <w:rPr>
          <w:i/>
          <w:vertAlign w:val="subscript"/>
        </w:rPr>
        <w:t>2</w:t>
      </w:r>
      <w:r w:rsidRPr="00D51FC2">
        <w:rPr>
          <w:i/>
        </w:rPr>
        <w:t xml:space="preserve"> reductions:</w:t>
      </w:r>
      <w:r w:rsidRPr="00D51FC2">
        <w:t xml:space="preserve"> this report is a shorter report than just the below one and presents ten strategic ICT solutions that help accelerate the first billion tons of CO</w:t>
      </w:r>
      <w:r w:rsidRPr="00DE0E49">
        <w:rPr>
          <w:vertAlign w:val="subscript"/>
        </w:rPr>
        <w:t xml:space="preserve">2 </w:t>
      </w:r>
      <w:r w:rsidRPr="00D51FC2">
        <w:t xml:space="preserve">reductions and begin the transformation towards a low-carbon society. It describes low vs. high-carbon feedback scenarios for the ten ICT solutions. </w:t>
      </w:r>
    </w:p>
    <w:p w:rsidR="00606EA3" w:rsidRPr="00D51FC2" w:rsidRDefault="00606EA3" w:rsidP="00606EA3">
      <w:pPr>
        <w:pStyle w:val="Enumlevel1"/>
      </w:pPr>
      <w:r w:rsidRPr="002550F0">
        <w:rPr>
          <w:lang w:val="en-US"/>
        </w:rPr>
        <w:t>•</w:t>
      </w:r>
      <w:r w:rsidRPr="002550F0">
        <w:rPr>
          <w:lang w:val="en-US"/>
        </w:rPr>
        <w:tab/>
      </w:r>
      <w:r w:rsidRPr="00D51FC2">
        <w:rPr>
          <w:i/>
        </w:rPr>
        <w:t>The potential global CO</w:t>
      </w:r>
      <w:r w:rsidRPr="00DE0E49">
        <w:rPr>
          <w:i/>
          <w:vertAlign w:val="subscript"/>
        </w:rPr>
        <w:t>2</w:t>
      </w:r>
      <w:r w:rsidRPr="00D51FC2">
        <w:rPr>
          <w:i/>
        </w:rPr>
        <w:t xml:space="preserve"> reductions from ICT use</w:t>
      </w:r>
      <w:r w:rsidRPr="00D51FC2">
        <w:t>: this report addresses ten ICT solutions that can help accelerate the reduction of CO</w:t>
      </w:r>
      <w:r w:rsidRPr="00DE0E49">
        <w:rPr>
          <w:vertAlign w:val="subscript"/>
        </w:rPr>
        <w:t>2</w:t>
      </w:r>
      <w:r w:rsidRPr="00D51FC2">
        <w:t xml:space="preserve"> emissions. It identifies one billion tons of strategic CO</w:t>
      </w:r>
      <w:r w:rsidRPr="00DE0E49">
        <w:rPr>
          <w:vertAlign w:val="subscript"/>
        </w:rPr>
        <w:t xml:space="preserve">2 </w:t>
      </w:r>
      <w:r w:rsidRPr="00D51FC2">
        <w:t>reductions based on a bottom up approach with concrete solutions. These reductions are equivalent to more than one quarter of EU’s total CO</w:t>
      </w:r>
      <w:r w:rsidRPr="00DE0E49">
        <w:rPr>
          <w:vertAlign w:val="subscript"/>
        </w:rPr>
        <w:t>2</w:t>
      </w:r>
      <w:r w:rsidRPr="00D51FC2">
        <w:t xml:space="preserve"> emissions. The ten solutions areas are smart city planning, smart buildings, smart appliances, dematerialization services, smart industry, I-optimization, smart grid, integrated renewable solutions, smart work, and intelligent transport.</w:t>
      </w:r>
    </w:p>
    <w:p w:rsidR="00606EA3" w:rsidRPr="00E55042" w:rsidRDefault="00606EA3" w:rsidP="00606EA3">
      <w:pPr>
        <w:rPr>
          <w:lang w:val="en-US"/>
        </w:rPr>
      </w:pPr>
      <w:r w:rsidRPr="00E55042">
        <w:rPr>
          <w:lang w:val="en-US"/>
        </w:rPr>
        <w:t>The WWF made the following achievements also:</w:t>
      </w:r>
    </w:p>
    <w:p w:rsidR="00606EA3" w:rsidRPr="00D51FC2" w:rsidRDefault="00606EA3" w:rsidP="00606EA3">
      <w:pPr>
        <w:pStyle w:val="Enumlevel1"/>
      </w:pPr>
      <w:r>
        <w:rPr>
          <w:lang w:val="en-US"/>
        </w:rPr>
        <w:t>•</w:t>
      </w:r>
      <w:r>
        <w:rPr>
          <w:lang w:val="en-US"/>
        </w:rPr>
        <w:tab/>
      </w:r>
      <w:r w:rsidRPr="00D51FC2">
        <w:t>Communication Solutions for Low Carbon Cities: Helping cities to reduce CO</w:t>
      </w:r>
      <w:r w:rsidRPr="00DE0E49">
        <w:rPr>
          <w:vertAlign w:val="subscript"/>
        </w:rPr>
        <w:t>2</w:t>
      </w:r>
      <w:r w:rsidRPr="00D51FC2">
        <w:t xml:space="preserve"> with existing low carbon ICT solutions</w:t>
      </w:r>
    </w:p>
    <w:p w:rsidR="00606EA3" w:rsidRPr="00D51FC2" w:rsidRDefault="00606EA3" w:rsidP="00606EA3">
      <w:pPr>
        <w:pStyle w:val="Enumlevel1"/>
      </w:pPr>
      <w:r>
        <w:rPr>
          <w:lang w:val="en-US"/>
        </w:rPr>
        <w:t>•</w:t>
      </w:r>
      <w:r>
        <w:rPr>
          <w:lang w:val="en-US"/>
        </w:rPr>
        <w:tab/>
      </w:r>
      <w:r w:rsidRPr="00D51FC2">
        <w:t>A five-step-plan for a low carbon urban development: Understanding and implementing low carbon ICT/telecom solutions that help economic development while reducing carbon emissions</w:t>
      </w:r>
    </w:p>
    <w:p w:rsidR="00606EA3" w:rsidRPr="00D51FC2" w:rsidRDefault="00606EA3" w:rsidP="00606EA3">
      <w:pPr>
        <w:pStyle w:val="Enumlevel1"/>
      </w:pPr>
      <w:r>
        <w:rPr>
          <w:lang w:val="en-US"/>
        </w:rPr>
        <w:t>•</w:t>
      </w:r>
      <w:r>
        <w:rPr>
          <w:lang w:val="en-US"/>
        </w:rPr>
        <w:tab/>
      </w:r>
      <w:r w:rsidRPr="00D51FC2">
        <w:t>From Workplace to Anyplace: assessing the global opportunities to reduce greenhouse gas emissions with virtual meetings and telecommuting</w:t>
      </w:r>
    </w:p>
    <w:p w:rsidR="00606EA3" w:rsidRPr="00D51FC2" w:rsidRDefault="00606EA3" w:rsidP="00606EA3">
      <w:pPr>
        <w:pStyle w:val="Enumlevel1"/>
      </w:pPr>
      <w:r>
        <w:rPr>
          <w:lang w:val="en-US"/>
        </w:rPr>
        <w:t>•</w:t>
      </w:r>
      <w:r>
        <w:rPr>
          <w:lang w:val="en-US"/>
        </w:rPr>
        <w:tab/>
      </w:r>
      <w:r w:rsidRPr="00D51FC2">
        <w:t>From fossil to future with innovative ICT solutions: increased CO</w:t>
      </w:r>
      <w:r w:rsidRPr="00DE0E49">
        <w:rPr>
          <w:vertAlign w:val="subscript"/>
        </w:rPr>
        <w:t>2</w:t>
      </w:r>
      <w:r w:rsidRPr="00D51FC2">
        <w:t xml:space="preserve"> emissions from ICT needed to save the climate</w:t>
      </w:r>
    </w:p>
    <w:p w:rsidR="00606EA3" w:rsidRPr="00D51FC2" w:rsidRDefault="00606EA3" w:rsidP="00606EA3">
      <w:pPr>
        <w:pStyle w:val="Enumlevel1"/>
      </w:pPr>
      <w:r>
        <w:rPr>
          <w:lang w:val="en-US"/>
        </w:rPr>
        <w:t>•</w:t>
      </w:r>
      <w:r>
        <w:rPr>
          <w:lang w:val="en-US"/>
        </w:rPr>
        <w:tab/>
      </w:r>
      <w:r w:rsidRPr="00D51FC2">
        <w:t>From coal power plants to smart buildings at the speed of light: How urbanization in emerging economies could save the climate</w:t>
      </w:r>
    </w:p>
    <w:p w:rsidR="00606EA3" w:rsidRDefault="00606EA3" w:rsidP="00606EA3">
      <w:pPr>
        <w:rPr>
          <w:b/>
          <w:i/>
          <w:u w:val="single"/>
          <w:lang w:val="en-US"/>
        </w:rPr>
      </w:pPr>
      <w:r>
        <w:rPr>
          <w:b/>
          <w:i/>
          <w:u w:val="single"/>
          <w:lang w:val="en-US"/>
        </w:rPr>
        <w:br w:type="page"/>
      </w:r>
    </w:p>
    <w:p w:rsidR="00606EA3" w:rsidRPr="00D51FC2" w:rsidRDefault="00606EA3" w:rsidP="00606EA3">
      <w:pPr>
        <w:pStyle w:val="HeadingB"/>
      </w:pPr>
      <w:r w:rsidRPr="00D51FC2">
        <w:lastRenderedPageBreak/>
        <w:t>SMART 2020</w:t>
      </w:r>
    </w:p>
    <w:p w:rsidR="00606EA3" w:rsidRPr="00E55042" w:rsidRDefault="00606EA3" w:rsidP="00606EA3">
      <w:pPr>
        <w:rPr>
          <w:lang w:val="en-US"/>
        </w:rPr>
      </w:pPr>
      <w:r w:rsidRPr="00E55042">
        <w:rPr>
          <w:lang w:val="en-US"/>
        </w:rPr>
        <w:t>The SMART 2020 is a report by the Climate Group on behalf of the GeSI. This study was initiated by feeling a responsibility to estimate the GHG emissions from the ICT industries and to develop opportunities for ICT to contribute to a more efficient economy. The “SMART 2020 – Enabling the low carbon economy in the information age” presents the case for a future-oriented ICT industry to respond quickly to the challenge of global warming.</w:t>
      </w:r>
    </w:p>
    <w:p w:rsidR="00606EA3" w:rsidRPr="00E55042" w:rsidRDefault="00606EA3" w:rsidP="00606EA3">
      <w:pPr>
        <w:rPr>
          <w:lang w:val="en-US"/>
        </w:rPr>
      </w:pPr>
      <w:r w:rsidRPr="00E55042">
        <w:rPr>
          <w:lang w:val="en-US"/>
        </w:rPr>
        <w:t>This report has quantified the direct emissions from ICT products and services based on expected growth in the ICT sector. It also looked at where ICT could enable significant reductions of emissions in other sectors of the economy and has quantified these in terms of CO</w:t>
      </w:r>
      <w:r w:rsidRPr="00DE0E49">
        <w:rPr>
          <w:vertAlign w:val="subscript"/>
          <w:lang w:val="en-US"/>
        </w:rPr>
        <w:t>2</w:t>
      </w:r>
      <w:r w:rsidRPr="00E55042">
        <w:rPr>
          <w:lang w:val="en-US"/>
        </w:rPr>
        <w:t>e emission savings and cost savings. In total, ICT could deliver approximately 7.8 GtCO</w:t>
      </w:r>
      <w:r w:rsidRPr="00DE0E49">
        <w:rPr>
          <w:vertAlign w:val="subscript"/>
          <w:lang w:val="en-US"/>
        </w:rPr>
        <w:t>2</w:t>
      </w:r>
      <w:r w:rsidRPr="00E55042">
        <w:rPr>
          <w:lang w:val="en-US"/>
        </w:rPr>
        <w:t>e of emissions savings in 2020. This represents 15% of emissions in 2020 based on the BAU estimation. It represents a significant proportion of the reductions below 1990 levels that scientists and economists recommend by 2020 to avoid dangerous climate change. It is an opportunity that cannot be overlooked.</w:t>
      </w:r>
    </w:p>
    <w:p w:rsidR="00606EA3" w:rsidRPr="00E55042" w:rsidRDefault="00606EA3" w:rsidP="00606EA3">
      <w:pPr>
        <w:rPr>
          <w:lang w:val="en-US"/>
        </w:rPr>
      </w:pPr>
      <w:r w:rsidRPr="00E55042">
        <w:rPr>
          <w:lang w:val="en-US"/>
        </w:rPr>
        <w:t>The report identified some of the biggest and most accessible opportunities for ICT to achieve these savings as follows:</w:t>
      </w:r>
    </w:p>
    <w:p w:rsidR="00606EA3" w:rsidRPr="00D51FC2" w:rsidRDefault="00606EA3" w:rsidP="00606EA3">
      <w:pPr>
        <w:pStyle w:val="Enumlevel1"/>
      </w:pPr>
      <w:r>
        <w:rPr>
          <w:lang w:val="en-US"/>
        </w:rPr>
        <w:t>•</w:t>
      </w:r>
      <w:r>
        <w:rPr>
          <w:lang w:val="en-US"/>
        </w:rPr>
        <w:tab/>
      </w:r>
      <w:r w:rsidRPr="00D51FC2">
        <w:t>Smart motor systems: A review of manufacturing in China has identified that without optimization, 10% of China’s emissions (2% of global emissions) in 2020 will come from China’s motor systems alone and to improve industrial efficiency even by 10% would deliver up to 200 Mt CO</w:t>
      </w:r>
      <w:r w:rsidRPr="00DE0E49">
        <w:rPr>
          <w:vertAlign w:val="subscript"/>
        </w:rPr>
        <w:t>2</w:t>
      </w:r>
      <w:r w:rsidRPr="00D51FC2">
        <w:t>e savings. Applied globally, optimized motors and industrial automation would reduce 0.97 GtCO</w:t>
      </w:r>
      <w:r w:rsidRPr="00DE0E49">
        <w:rPr>
          <w:vertAlign w:val="subscript"/>
        </w:rPr>
        <w:t>2</w:t>
      </w:r>
      <w:r w:rsidRPr="00D51FC2">
        <w:t>e in 2020.</w:t>
      </w:r>
    </w:p>
    <w:p w:rsidR="00606EA3" w:rsidRPr="00D51FC2" w:rsidRDefault="00606EA3" w:rsidP="00606EA3">
      <w:pPr>
        <w:pStyle w:val="Enumlevel1"/>
      </w:pPr>
      <w:r>
        <w:rPr>
          <w:lang w:val="en-US"/>
        </w:rPr>
        <w:t>•</w:t>
      </w:r>
      <w:r>
        <w:rPr>
          <w:lang w:val="en-US"/>
        </w:rPr>
        <w:tab/>
      </w:r>
      <w:r w:rsidRPr="00D51FC2">
        <w:t>Smart logistics: Through a host of efficiencies in transport and storage, smart logistics in Europe could deliver fuel, electricity and heating savings of 225 MtCO</w:t>
      </w:r>
      <w:r w:rsidRPr="00DE0E49">
        <w:rPr>
          <w:vertAlign w:val="subscript"/>
        </w:rPr>
        <w:t>2</w:t>
      </w:r>
      <w:r w:rsidRPr="00D51FC2">
        <w:t>e. The global emissions savings from smart logistics in 2020 would reach 1.52 GtCO</w:t>
      </w:r>
      <w:r w:rsidRPr="00DE0E49">
        <w:rPr>
          <w:vertAlign w:val="subscript"/>
        </w:rPr>
        <w:t>2</w:t>
      </w:r>
      <w:r w:rsidRPr="00D51FC2">
        <w:t>e, with energy savings.</w:t>
      </w:r>
    </w:p>
    <w:p w:rsidR="00606EA3" w:rsidRPr="00D51FC2" w:rsidRDefault="00606EA3" w:rsidP="00606EA3">
      <w:pPr>
        <w:pStyle w:val="Enumlevel1"/>
      </w:pPr>
      <w:r>
        <w:rPr>
          <w:lang w:val="en-US"/>
        </w:rPr>
        <w:t>•</w:t>
      </w:r>
      <w:r>
        <w:rPr>
          <w:lang w:val="en-US"/>
        </w:rPr>
        <w:tab/>
      </w:r>
      <w:r w:rsidRPr="00D51FC2">
        <w:t>Smart buildings: A closer look at buildings in North America indicates that better building design, management and automation could save 15% of North America’s buildings emissions. Globally, smart buildings technologies would enable 1.68 GtCO</w:t>
      </w:r>
      <w:r w:rsidRPr="00DE0E49">
        <w:rPr>
          <w:vertAlign w:val="subscript"/>
        </w:rPr>
        <w:t>2</w:t>
      </w:r>
      <w:r w:rsidRPr="00D51FC2">
        <w:t>e of emissions savings.</w:t>
      </w:r>
    </w:p>
    <w:p w:rsidR="00606EA3" w:rsidRPr="00D51FC2" w:rsidRDefault="00606EA3" w:rsidP="00606EA3">
      <w:pPr>
        <w:pStyle w:val="Enumlevel1"/>
      </w:pPr>
      <w:r>
        <w:rPr>
          <w:lang w:val="en-US"/>
        </w:rPr>
        <w:t>•</w:t>
      </w:r>
      <w:r>
        <w:rPr>
          <w:lang w:val="en-US"/>
        </w:rPr>
        <w:tab/>
      </w:r>
      <w:r w:rsidRPr="00D51FC2">
        <w:t>Smart grids: Reducing T&amp;D losses in India’s power sector by 30% is possible through better monitoring and management of electricity grids, first with smart meters and then by integrating more advanced ICT into the so-called energy internet. Smart grid technologies were the largest opportunity found in the study and could globally reduce 2.03 GtCO</w:t>
      </w:r>
      <w:r w:rsidRPr="00DE0E49">
        <w:rPr>
          <w:vertAlign w:val="subscript"/>
        </w:rPr>
        <w:t>2</w:t>
      </w:r>
      <w:r w:rsidRPr="00D51FC2">
        <w:t>e.</w:t>
      </w:r>
    </w:p>
    <w:p w:rsidR="00606EA3" w:rsidRPr="00F528EA" w:rsidRDefault="00606EA3" w:rsidP="00606EA3">
      <w:pPr>
        <w:pStyle w:val="Heading2"/>
        <w:ind w:left="576" w:hanging="576"/>
        <w:rPr>
          <w:b w:val="0"/>
        </w:rPr>
      </w:pPr>
      <w:bookmarkStart w:id="109" w:name="_Toc377721086"/>
      <w:bookmarkStart w:id="110" w:name="_Toc377976472"/>
      <w:r>
        <w:t>10.6</w:t>
      </w:r>
      <w:r>
        <w:tab/>
      </w:r>
      <w:r w:rsidRPr="00F528EA">
        <w:t>References:</w:t>
      </w:r>
      <w:bookmarkEnd w:id="109"/>
      <w:bookmarkEnd w:id="110"/>
    </w:p>
    <w:p w:rsidR="00606EA3" w:rsidRPr="00D51FC2" w:rsidRDefault="00606EA3" w:rsidP="00606EA3">
      <w:pPr>
        <w:pStyle w:val="Enumlevel1"/>
      </w:pPr>
      <w:r>
        <w:rPr>
          <w:lang w:val="en-US"/>
        </w:rPr>
        <w:t>•</w:t>
      </w:r>
      <w:r>
        <w:rPr>
          <w:lang w:val="en-US"/>
        </w:rPr>
        <w:tab/>
      </w:r>
      <w:r w:rsidRPr="00D51FC2">
        <w:t>Korea (Republic of)</w:t>
      </w:r>
      <w:r>
        <w:t xml:space="preserve">, </w:t>
      </w:r>
      <w:hyperlink r:id="rId213" w:history="1">
        <w:r w:rsidRPr="00D51FC2">
          <w:rPr>
            <w:rStyle w:val="Hyperlink"/>
          </w:rPr>
          <w:t>Document 2/INF/29</w:t>
        </w:r>
      </w:hyperlink>
      <w:r w:rsidRPr="00D51FC2">
        <w:t>, “ICT&amp;CC relevant standardization activities of ISO, IEC and ISO/IEC JTC 1,” contributed by Mr Yong-Woon K</w:t>
      </w:r>
      <w:r>
        <w:t>im</w:t>
      </w:r>
      <w:r w:rsidRPr="00D51FC2">
        <w:t>,</w:t>
      </w:r>
      <w:r>
        <w:t xml:space="preserve"> 2011</w:t>
      </w:r>
    </w:p>
    <w:p w:rsidR="00606EA3" w:rsidRPr="00D51FC2" w:rsidRDefault="00606EA3" w:rsidP="00606EA3">
      <w:pPr>
        <w:pStyle w:val="Enumlevel1"/>
      </w:pPr>
      <w:r>
        <w:rPr>
          <w:lang w:val="en-US"/>
        </w:rPr>
        <w:t>•</w:t>
      </w:r>
      <w:r>
        <w:rPr>
          <w:lang w:val="en-US"/>
        </w:rPr>
        <w:tab/>
      </w:r>
      <w:r>
        <w:t xml:space="preserve">APT, </w:t>
      </w:r>
      <w:r w:rsidRPr="00D51FC2">
        <w:t>ASTAP</w:t>
      </w:r>
      <w:r>
        <w:t>1</w:t>
      </w:r>
      <w:r w:rsidRPr="00D51FC2">
        <w:t>9/</w:t>
      </w:r>
      <w:r>
        <w:t>REPT1</w:t>
      </w:r>
      <w:r w:rsidRPr="00D51FC2">
        <w:t>, “</w:t>
      </w:r>
      <w:hyperlink r:id="rId214" w:history="1">
        <w:r w:rsidRPr="002B392B">
          <w:rPr>
            <w:rStyle w:val="Hyperlink"/>
          </w:rPr>
          <w:t>Introduction to Green ICT Activities</w:t>
        </w:r>
      </w:hyperlink>
      <w:r w:rsidRPr="00D51FC2">
        <w:t>”</w:t>
      </w:r>
      <w:r>
        <w:t xml:space="preserve">, 2011 </w:t>
      </w:r>
    </w:p>
    <w:p w:rsidR="00606EA3" w:rsidRPr="00D51FC2" w:rsidRDefault="00606EA3" w:rsidP="00606EA3">
      <w:pPr>
        <w:spacing w:before="0"/>
        <w:rPr>
          <w:b/>
          <w:szCs w:val="19"/>
          <w:lang w:val="en-GB"/>
        </w:rPr>
      </w:pPr>
      <w:r w:rsidRPr="00D51FC2">
        <w:rPr>
          <w:b/>
          <w:szCs w:val="19"/>
          <w:lang w:val="en-GB"/>
        </w:rPr>
        <w:br w:type="page"/>
      </w:r>
    </w:p>
    <w:p w:rsidR="00606EA3" w:rsidRPr="00F36411" w:rsidRDefault="00606EA3" w:rsidP="00606EA3">
      <w:pPr>
        <w:pStyle w:val="Heading1"/>
        <w:ind w:left="1276" w:hanging="1276"/>
      </w:pPr>
      <w:bookmarkStart w:id="111" w:name="_Toc377721087"/>
      <w:bookmarkStart w:id="112" w:name="_Toc377976473"/>
      <w:r w:rsidRPr="00F36411">
        <w:lastRenderedPageBreak/>
        <w:t xml:space="preserve">Annex 11: </w:t>
      </w:r>
      <w:r>
        <w:tab/>
      </w:r>
      <w:r w:rsidRPr="00F36411">
        <w:t>World Summit on the Information Society (WSIS) and the environment</w:t>
      </w:r>
      <w:bookmarkEnd w:id="111"/>
      <w:bookmarkEnd w:id="112"/>
      <w:r w:rsidRPr="00F36411">
        <w:t xml:space="preserve"> </w:t>
      </w:r>
    </w:p>
    <w:p w:rsidR="00606EA3" w:rsidRPr="00D43F0B" w:rsidRDefault="00606EA3" w:rsidP="00606EA3">
      <w:pPr>
        <w:pStyle w:val="Restitle"/>
        <w:tabs>
          <w:tab w:val="clear" w:pos="1134"/>
          <w:tab w:val="clear" w:pos="1871"/>
          <w:tab w:val="clear" w:pos="2268"/>
          <w:tab w:val="left" w:pos="794"/>
          <w:tab w:val="left" w:pos="1191"/>
          <w:tab w:val="left" w:pos="1588"/>
          <w:tab w:val="left" w:pos="1985"/>
        </w:tabs>
        <w:spacing w:before="360"/>
        <w:textAlignment w:val="baseline"/>
        <w:rPr>
          <w:rFonts w:ascii="Calibri" w:hAnsi="Calibri"/>
          <w:lang w:eastAsia="en-US"/>
        </w:rPr>
      </w:pPr>
      <w:r w:rsidRPr="00D43F0B">
        <w:rPr>
          <w:rFonts w:ascii="Calibri" w:hAnsi="Calibri"/>
          <w:lang w:eastAsia="en-US"/>
        </w:rPr>
        <w:t>Analysis of projects submitted to the WSIS Stocktaking Platform</w:t>
      </w:r>
    </w:p>
    <w:p w:rsidR="00606EA3" w:rsidRPr="00D51FC2" w:rsidRDefault="00606EA3" w:rsidP="00606EA3">
      <w:pPr>
        <w:rPr>
          <w:rFonts w:cstheme="majorBidi"/>
          <w:szCs w:val="19"/>
          <w:lang w:val="en-GB"/>
        </w:rPr>
      </w:pPr>
      <w:r w:rsidRPr="00D51FC2">
        <w:rPr>
          <w:rFonts w:cstheme="majorBidi"/>
          <w:szCs w:val="19"/>
          <w:lang w:val="en-GB"/>
        </w:rPr>
        <w:t xml:space="preserve">The WSIS secretariat launched in October 2004 the </w:t>
      </w:r>
      <w:hyperlink r:id="rId215" w:history="1">
        <w:r w:rsidRPr="002A103D">
          <w:rPr>
            <w:rStyle w:val="Hyperlink"/>
            <w:rFonts w:cstheme="majorBidi"/>
            <w:szCs w:val="19"/>
            <w:lang w:val="en-US"/>
          </w:rPr>
          <w:t>WSIS Stocktaking Platform</w:t>
        </w:r>
      </w:hyperlink>
      <w:r w:rsidRPr="00D51FC2">
        <w:rPr>
          <w:rFonts w:cstheme="majorBidi"/>
          <w:szCs w:val="19"/>
          <w:lang w:val="en-GB"/>
        </w:rPr>
        <w:t xml:space="preserve">, a registry for stakeholders to submit projects, both planned and implemented, that relate to the 11 WSIS Action Lines. The goal of the platform is to provide an opportunity for governments, international organizations, businesses, civil society and other entities to network, create partnerships, increase visibility and share ideas, thereby adding value to the projects at the global level. </w:t>
      </w:r>
    </w:p>
    <w:p w:rsidR="00606EA3" w:rsidRPr="00D51FC2" w:rsidRDefault="00606EA3" w:rsidP="00606EA3">
      <w:pPr>
        <w:rPr>
          <w:rFonts w:cstheme="majorBidi"/>
          <w:szCs w:val="19"/>
          <w:lang w:val="en-GB"/>
        </w:rPr>
      </w:pPr>
      <w:r w:rsidRPr="00D51FC2">
        <w:rPr>
          <w:rFonts w:eastAsiaTheme="majorEastAsia" w:cstheme="majorBidi"/>
          <w:szCs w:val="19"/>
          <w:lang w:val="en-GB"/>
        </w:rPr>
        <w:t xml:space="preserve">During the period from </w:t>
      </w:r>
      <w:r w:rsidRPr="00D51FC2">
        <w:rPr>
          <w:rFonts w:cstheme="majorBidi"/>
          <w:szCs w:val="19"/>
          <w:lang w:val="en-GB"/>
        </w:rPr>
        <w:t>2004 up to September 2012</w:t>
      </w:r>
      <w:r w:rsidRPr="00D51FC2">
        <w:rPr>
          <w:rFonts w:eastAsiaTheme="majorEastAsia" w:cstheme="majorBidi"/>
          <w:szCs w:val="19"/>
          <w:lang w:val="en-GB"/>
        </w:rPr>
        <w:t>, a</w:t>
      </w:r>
      <w:r w:rsidRPr="00D51FC2">
        <w:rPr>
          <w:rFonts w:cstheme="majorBidi"/>
          <w:szCs w:val="19"/>
          <w:lang w:val="en-GB"/>
        </w:rPr>
        <w:t xml:space="preserve"> total</w:t>
      </w:r>
      <w:r w:rsidRPr="00D51FC2">
        <w:rPr>
          <w:rFonts w:eastAsiaTheme="majorEastAsia" w:cstheme="majorBidi"/>
          <w:szCs w:val="19"/>
          <w:lang w:val="en-GB"/>
        </w:rPr>
        <w:t xml:space="preserve"> of</w:t>
      </w:r>
      <w:r w:rsidRPr="00D51FC2">
        <w:rPr>
          <w:rFonts w:cstheme="majorBidi"/>
          <w:szCs w:val="19"/>
          <w:lang w:val="en-GB"/>
        </w:rPr>
        <w:t xml:space="preserve"> </w:t>
      </w:r>
      <w:r w:rsidRPr="00D51FC2">
        <w:rPr>
          <w:rFonts w:cstheme="majorBidi"/>
          <w:b/>
          <w:szCs w:val="19"/>
          <w:lang w:val="en-GB"/>
        </w:rPr>
        <w:t>95 projects</w:t>
      </w:r>
      <w:r w:rsidRPr="00D51FC2">
        <w:rPr>
          <w:rFonts w:cstheme="majorBidi"/>
          <w:szCs w:val="19"/>
          <w:lang w:val="en-GB"/>
        </w:rPr>
        <w:t xml:space="preserve"> were submitted to the WSIS Stocktaking Platform related to MDG7 and/or WSIS Action Line C7 by a variety of organizations including governments, international organizations, civil society and the business sector. These projects reflect the diverse ways in which organizations are addressing environmental protection and sustainability through ICTs. </w:t>
      </w:r>
    </w:p>
    <w:p w:rsidR="00606EA3" w:rsidRPr="00D51FC2" w:rsidRDefault="00606EA3" w:rsidP="00606EA3">
      <w:pPr>
        <w:rPr>
          <w:rFonts w:cstheme="majorBidi"/>
          <w:szCs w:val="19"/>
          <w:lang w:val="en-GB"/>
        </w:rPr>
      </w:pPr>
      <w:r w:rsidRPr="00D51FC2">
        <w:rPr>
          <w:rFonts w:cstheme="majorBidi"/>
          <w:szCs w:val="19"/>
          <w:lang w:val="en-GB"/>
        </w:rPr>
        <w:t>Action Line C7 can be broken down to three categories: (1) Environment and Natural Resources; (2) Greening the ICT Sector and (3) Natural Disasters. Nearly two-thirds of the projects submitted fall under the first category. These projects demonstrate the use or promotion of ICTs as instruments for environmental protection and the sustainable use of natural resources. 28% of the projects analyzed fall within the second category. These projects deal with minimizing the environmental footprint of the ICT sector. 12% of the projects are related to the third category. These projects relate to the use of ICTs for emergency and natural disaster preparation, risk evaluation and recovery.</w:t>
      </w:r>
    </w:p>
    <w:p w:rsidR="00606EA3" w:rsidRDefault="00606EA3" w:rsidP="00606EA3">
      <w:pPr>
        <w:rPr>
          <w:rFonts w:cstheme="majorBidi"/>
          <w:szCs w:val="19"/>
          <w:lang w:val="en-GB"/>
        </w:rPr>
      </w:pPr>
      <w:r w:rsidRPr="00D51FC2">
        <w:rPr>
          <w:rFonts w:cstheme="majorBidi"/>
          <w:szCs w:val="19"/>
          <w:lang w:val="en-GB"/>
        </w:rPr>
        <w:t xml:space="preserve">Projects were also categorized and analyzed by activity type to provide further data on how organizations are implementing their projects. In this regard </w:t>
      </w:r>
      <w:r w:rsidRPr="00D51FC2">
        <w:rPr>
          <w:rFonts w:eastAsia="Times New Roman" w:cstheme="majorBidi"/>
          <w:color w:val="000000"/>
          <w:szCs w:val="19"/>
          <w:lang w:val="en-GB"/>
        </w:rPr>
        <w:t xml:space="preserve">35% </w:t>
      </w:r>
      <w:r w:rsidRPr="00D51FC2">
        <w:rPr>
          <w:rFonts w:cstheme="majorBidi"/>
          <w:szCs w:val="19"/>
          <w:lang w:val="en-GB"/>
        </w:rPr>
        <w:t xml:space="preserve">of the projects relate to a centralized location for </w:t>
      </w:r>
      <w:r w:rsidRPr="00D51FC2">
        <w:rPr>
          <w:rFonts w:eastAsia="Times New Roman" w:cstheme="majorBidi"/>
          <w:color w:val="000000"/>
          <w:szCs w:val="19"/>
          <w:lang w:val="en-GB"/>
        </w:rPr>
        <w:t xml:space="preserve">collecting, managing and analyzing environmental data. A quarter of the projects make </w:t>
      </w:r>
      <w:r w:rsidRPr="00D51FC2">
        <w:rPr>
          <w:rFonts w:cstheme="majorBidi"/>
          <w:szCs w:val="19"/>
          <w:lang w:val="en-GB"/>
        </w:rPr>
        <w:t xml:space="preserve">use of geographical information systems (GIS) and other ICTs to collect and/or monitor real images and data to promote decision making based on accurate scientific information. </w:t>
      </w:r>
    </w:p>
    <w:p w:rsidR="00606EA3" w:rsidRPr="002A103D" w:rsidRDefault="00606EA3" w:rsidP="00606EA3">
      <w:pPr>
        <w:rPr>
          <w:lang w:val="en-US"/>
        </w:rPr>
      </w:pPr>
      <w:r w:rsidRPr="002A103D">
        <w:rPr>
          <w:rFonts w:cstheme="minorHAnsi"/>
          <w:szCs w:val="19"/>
          <w:lang w:val="en-US"/>
        </w:rPr>
        <w:t xml:space="preserve">ITU-D Study Group </w:t>
      </w:r>
      <w:r w:rsidRPr="002A103D">
        <w:rPr>
          <w:lang w:val="en-US"/>
        </w:rPr>
        <w:t xml:space="preserve">2 document </w:t>
      </w:r>
      <w:hyperlink r:id="rId216" w:tgtFrame="_blank" w:history="1">
        <w:r w:rsidRPr="00F528EA">
          <w:rPr>
            <w:rStyle w:val="Hyperlink"/>
            <w:lang w:val="en-US"/>
          </w:rPr>
          <w:t>2/179</w:t>
        </w:r>
      </w:hyperlink>
      <w:r w:rsidRPr="002A103D">
        <w:rPr>
          <w:lang w:val="en-US"/>
        </w:rPr>
        <w:t>, provides all the details of the projects as retained by WSIS for the following 3 categories.</w:t>
      </w:r>
    </w:p>
    <w:p w:rsidR="00606EA3" w:rsidRPr="00F528EA" w:rsidRDefault="00606EA3" w:rsidP="00606EA3">
      <w:pPr>
        <w:pStyle w:val="Headingb0"/>
      </w:pPr>
      <w:r>
        <w:t>A.</w:t>
      </w:r>
      <w:r>
        <w:tab/>
      </w:r>
      <w:r w:rsidRPr="00F528EA">
        <w:t xml:space="preserve">Environment and </w:t>
      </w:r>
      <w:r>
        <w:t>n</w:t>
      </w:r>
      <w:r w:rsidRPr="00F528EA">
        <w:t xml:space="preserve">atural </w:t>
      </w:r>
      <w:r>
        <w:t>r</w:t>
      </w:r>
      <w:r w:rsidRPr="00F528EA">
        <w:t>esources</w:t>
      </w:r>
    </w:p>
    <w:p w:rsidR="00606EA3" w:rsidRPr="002A103D" w:rsidRDefault="00606EA3" w:rsidP="00606EA3">
      <w:pPr>
        <w:rPr>
          <w:rFonts w:cstheme="minorHAnsi"/>
          <w:szCs w:val="19"/>
          <w:lang w:val="en-US"/>
        </w:rPr>
      </w:pPr>
      <w:r w:rsidRPr="002A103D">
        <w:rPr>
          <w:rFonts w:cstheme="minorHAnsi"/>
          <w:szCs w:val="19"/>
          <w:lang w:val="en-US"/>
        </w:rPr>
        <w:t xml:space="preserve">These projects demonstrate the use or promotion of ICTs as instruments for environmental protection and the sustainable use of natural resources. Two-thirds, or 66% of projects submitted fall under this category. These projects promote the use of ICTs for collecting, managing and disseminating information related to ecosystems, natural resources, land use, climate and weather and sustainable development. </w:t>
      </w:r>
    </w:p>
    <w:p w:rsidR="00606EA3" w:rsidRPr="00F528EA" w:rsidRDefault="00606EA3" w:rsidP="00606EA3">
      <w:pPr>
        <w:pStyle w:val="Headingb0"/>
      </w:pPr>
      <w:r>
        <w:t>B.</w:t>
      </w:r>
      <w:r>
        <w:tab/>
      </w:r>
      <w:r w:rsidRPr="002803E9">
        <w:t xml:space="preserve">Greening the ICT </w:t>
      </w:r>
      <w:r>
        <w:t>s</w:t>
      </w:r>
      <w:r w:rsidRPr="002803E9">
        <w:t>ector</w:t>
      </w:r>
    </w:p>
    <w:p w:rsidR="00606EA3" w:rsidRPr="002A103D" w:rsidRDefault="00606EA3" w:rsidP="00606EA3">
      <w:pPr>
        <w:rPr>
          <w:rFonts w:cstheme="minorHAnsi"/>
          <w:szCs w:val="19"/>
          <w:lang w:val="en-US"/>
        </w:rPr>
      </w:pPr>
      <w:r w:rsidRPr="002A103D">
        <w:rPr>
          <w:rFonts w:cstheme="minorHAnsi"/>
          <w:szCs w:val="19"/>
          <w:lang w:val="en-US"/>
        </w:rPr>
        <w:t>These projects under this category deal with the minimizing the environmental footprint of the ICT sector (</w:t>
      </w:r>
      <w:r w:rsidRPr="002A103D">
        <w:rPr>
          <w:rFonts w:cstheme="minorHAnsi"/>
          <w:i/>
          <w:iCs/>
          <w:szCs w:val="19"/>
          <w:lang w:val="en-US"/>
        </w:rPr>
        <w:t>or greening the ICT sector</w:t>
      </w:r>
      <w:r w:rsidRPr="002A103D">
        <w:rPr>
          <w:rFonts w:cstheme="minorHAnsi"/>
          <w:szCs w:val="19"/>
          <w:lang w:val="en-US"/>
        </w:rPr>
        <w:t>), such as projects and programs for the environmentally safe disposal and recycling of ICT equipment after its end of life. 23% of the projects analyzed fall within this category, including demonstrate initiatives, national plans and Events and Conferences that prepare for the expansion of the ICT sector or the minimization of the environmental impacts associated with the ICT sector, such as e-waste;</w:t>
      </w:r>
    </w:p>
    <w:p w:rsidR="00606EA3" w:rsidRPr="00F528EA" w:rsidRDefault="00606EA3" w:rsidP="00606EA3">
      <w:pPr>
        <w:pStyle w:val="HeadingB"/>
      </w:pPr>
      <w:r>
        <w:t>C.</w:t>
      </w:r>
      <w:r>
        <w:tab/>
      </w:r>
      <w:r w:rsidRPr="002803E9">
        <w:t xml:space="preserve">Natural </w:t>
      </w:r>
      <w:r>
        <w:t>d</w:t>
      </w:r>
      <w:r w:rsidRPr="002803E9">
        <w:t>isasters</w:t>
      </w:r>
    </w:p>
    <w:p w:rsidR="00606EA3" w:rsidRPr="002A103D" w:rsidRDefault="00606EA3" w:rsidP="00606EA3">
      <w:pPr>
        <w:rPr>
          <w:rFonts w:cstheme="minorHAnsi"/>
          <w:szCs w:val="19"/>
          <w:lang w:val="en-US"/>
        </w:rPr>
      </w:pPr>
      <w:r w:rsidRPr="002A103D">
        <w:rPr>
          <w:rFonts w:cstheme="minorHAnsi"/>
          <w:szCs w:val="19"/>
          <w:lang w:val="en-US"/>
        </w:rPr>
        <w:t>These projects establish monitoring systems, using ICTs, to forecast and monitor the impact of natural disasters and man-made disasters, particularly in developing countries, LDCs and small economies. 12% of the projects analyzed fall in this category, showcasing the use of ICTs for emergency and natural disaster preparation, risk evaluation and recovery.</w:t>
      </w:r>
    </w:p>
    <w:p w:rsidR="00606EA3" w:rsidRPr="002A103D" w:rsidRDefault="00606EA3" w:rsidP="00606EA3">
      <w:pPr>
        <w:spacing w:before="0"/>
        <w:rPr>
          <w:rFonts w:cstheme="minorHAnsi"/>
          <w:b/>
          <w:bCs/>
          <w:sz w:val="18"/>
          <w:szCs w:val="18"/>
          <w:lang w:val="en-US"/>
        </w:rPr>
      </w:pPr>
      <w:r w:rsidRPr="002A103D">
        <w:rPr>
          <w:rFonts w:cstheme="minorHAnsi"/>
          <w:b/>
          <w:sz w:val="18"/>
          <w:szCs w:val="18"/>
          <w:lang w:val="en-US"/>
        </w:rPr>
        <w:br w:type="page"/>
      </w:r>
    </w:p>
    <w:p w:rsidR="00606EA3" w:rsidRPr="002A103D" w:rsidRDefault="00606EA3" w:rsidP="00606EA3">
      <w:pPr>
        <w:pStyle w:val="Figuretitle"/>
        <w:rPr>
          <w:bCs/>
        </w:rPr>
      </w:pPr>
      <w:bookmarkStart w:id="113" w:name="_Toc379381986"/>
      <w:r w:rsidRPr="002A103D">
        <w:lastRenderedPageBreak/>
        <w:t>Figure 1: Projects by sub-category within WSIS Action Line C7 e-environment</w:t>
      </w:r>
      <w:bookmarkEnd w:id="113"/>
    </w:p>
    <w:p w:rsidR="00606EA3" w:rsidRPr="00645D3B" w:rsidRDefault="00606EA3" w:rsidP="00606EA3">
      <w:pPr>
        <w:pStyle w:val="Figure"/>
        <w:rPr>
          <w:i/>
          <w:iCs/>
        </w:rPr>
      </w:pPr>
      <w:r w:rsidRPr="00F528EA">
        <w:rPr>
          <w:noProof/>
          <w:lang w:val="en-US" w:eastAsia="zh-CN"/>
        </w:rPr>
        <w:drawing>
          <wp:inline distT="0" distB="0" distL="0" distR="0" wp14:anchorId="28FEBDC4" wp14:editId="4FC2CE8F">
            <wp:extent cx="5865963" cy="1871932"/>
            <wp:effectExtent l="0" t="0" r="0" b="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7"/>
              </a:graphicData>
            </a:graphic>
          </wp:inline>
        </w:drawing>
      </w:r>
    </w:p>
    <w:p w:rsidR="00606EA3" w:rsidRPr="002A103D" w:rsidRDefault="00606EA3" w:rsidP="00606EA3">
      <w:pPr>
        <w:rPr>
          <w:rFonts w:cstheme="minorHAnsi"/>
          <w:szCs w:val="19"/>
          <w:lang w:val="en-US"/>
        </w:rPr>
      </w:pPr>
      <w:r w:rsidRPr="002A103D">
        <w:rPr>
          <w:rFonts w:cstheme="minorHAnsi"/>
          <w:szCs w:val="19"/>
          <w:lang w:val="en-US"/>
        </w:rPr>
        <w:t xml:space="preserve">Of the projects submitted to WSIS Stocktaking Platform, trends regarding activity type of e-environment projects were identified. Projects were categorized and analyzed by activity type to provide further data on how organizations are implementing projects related to the WSIS Action Line C7, e-environment. Figure 2 provides a summary of the projects by activity type. </w:t>
      </w:r>
    </w:p>
    <w:p w:rsidR="00606EA3" w:rsidRPr="002803E9" w:rsidRDefault="00606EA3" w:rsidP="00606EA3">
      <w:pPr>
        <w:pStyle w:val="Enumlevel1"/>
      </w:pPr>
      <w:r w:rsidRPr="007C25E9">
        <w:t>1</w:t>
      </w:r>
      <w:r w:rsidRPr="007C25E9">
        <w:tab/>
      </w:r>
      <w:r w:rsidRPr="002803E9">
        <w:rPr>
          <w:u w:val="single"/>
        </w:rPr>
        <w:t>Mapping/ Modeling/ Monitoring</w:t>
      </w:r>
      <w:r w:rsidRPr="002803E9">
        <w:t>: the use of geographical information systems (GIS) and other ICTs to collect and/or monitor real images and data to promote decision making based on accurate scientific information;</w:t>
      </w:r>
    </w:p>
    <w:p w:rsidR="00606EA3" w:rsidRPr="002803E9" w:rsidRDefault="00606EA3" w:rsidP="00606EA3">
      <w:pPr>
        <w:pStyle w:val="Enumlevel1"/>
      </w:pPr>
      <w:r>
        <w:t>2</w:t>
      </w:r>
      <w:r w:rsidRPr="007C25E9">
        <w:tab/>
      </w:r>
      <w:r w:rsidRPr="002803E9">
        <w:rPr>
          <w:u w:val="single"/>
        </w:rPr>
        <w:t>Information System/ Database</w:t>
      </w:r>
      <w:r w:rsidRPr="002803E9">
        <w:t xml:space="preserve">: establishment of a centralized location for </w:t>
      </w:r>
      <w:r w:rsidRPr="002803E9">
        <w:rPr>
          <w:rFonts w:eastAsia="Times New Roman"/>
          <w:color w:val="000000"/>
        </w:rPr>
        <w:t>collecting, managing and analyzing environmental data to provide a clear overview of important information, avoid duplication and disseminate information;</w:t>
      </w:r>
    </w:p>
    <w:p w:rsidR="00606EA3" w:rsidRPr="002803E9" w:rsidRDefault="00606EA3" w:rsidP="00606EA3">
      <w:pPr>
        <w:pStyle w:val="Enumlevel1"/>
      </w:pPr>
      <w:r>
        <w:t>3</w:t>
      </w:r>
      <w:r w:rsidRPr="007C25E9">
        <w:tab/>
      </w:r>
      <w:r w:rsidRPr="002803E9">
        <w:rPr>
          <w:u w:val="single"/>
        </w:rPr>
        <w:t>Initiative</w:t>
      </w:r>
      <w:r w:rsidRPr="002803E9">
        <w:t>: Activities, planned or implemented, by organizations to achieve on the ground results for mitigating environment impact through ICTs or of the ICT sector;</w:t>
      </w:r>
    </w:p>
    <w:p w:rsidR="00606EA3" w:rsidRPr="002803E9" w:rsidRDefault="00606EA3" w:rsidP="00606EA3">
      <w:pPr>
        <w:pStyle w:val="Enumlevel1"/>
      </w:pPr>
      <w:r>
        <w:t>4</w:t>
      </w:r>
      <w:r w:rsidRPr="007C25E9">
        <w:tab/>
      </w:r>
      <w:r w:rsidRPr="002803E9">
        <w:rPr>
          <w:u w:val="single"/>
        </w:rPr>
        <w:t>Web Information Portal</w:t>
      </w:r>
      <w:r w:rsidRPr="002803E9">
        <w:t>: Creation of a document or set of documents published shared online to promote education, disseminate and increase accessibility of information topics related to e-environment and disseminate relevant information;</w:t>
      </w:r>
    </w:p>
    <w:p w:rsidR="00606EA3" w:rsidRPr="002803E9" w:rsidRDefault="00606EA3" w:rsidP="00606EA3">
      <w:pPr>
        <w:pStyle w:val="Enumlevel1"/>
      </w:pPr>
      <w:r>
        <w:t>5</w:t>
      </w:r>
      <w:r w:rsidRPr="007C25E9">
        <w:tab/>
      </w:r>
      <w:r w:rsidRPr="002803E9">
        <w:rPr>
          <w:u w:val="single"/>
        </w:rPr>
        <w:t>Events and Conferences</w:t>
      </w:r>
      <w:r w:rsidRPr="002803E9">
        <w:t>: Organization of a public event (workshop, Events and Conferences or similar) for consultation, exchange of information, or discussion related to objectives pursuant action line C-7, e-environment;</w:t>
      </w:r>
    </w:p>
    <w:p w:rsidR="00606EA3" w:rsidRPr="002803E9" w:rsidRDefault="00606EA3" w:rsidP="00606EA3">
      <w:pPr>
        <w:pStyle w:val="Enumlevel1"/>
      </w:pPr>
      <w:r>
        <w:t>6</w:t>
      </w:r>
      <w:r w:rsidRPr="007C25E9">
        <w:tab/>
      </w:r>
      <w:r w:rsidRPr="002803E9">
        <w:rPr>
          <w:u w:val="single"/>
        </w:rPr>
        <w:t>National Plan</w:t>
      </w:r>
      <w:r w:rsidRPr="002803E9">
        <w:t>: DDefining, developing and outlining a course of actions for managing ecosystems and resources, expanding the ICT sector or mitigating impacts, or preparing for natural disasters;</w:t>
      </w:r>
    </w:p>
    <w:p w:rsidR="00606EA3" w:rsidRPr="002803E9" w:rsidRDefault="00606EA3" w:rsidP="00606EA3">
      <w:pPr>
        <w:pStyle w:val="Enumlevel1"/>
      </w:pPr>
      <w:r>
        <w:t>7</w:t>
      </w:r>
      <w:r w:rsidRPr="007C25E9">
        <w:tab/>
      </w:r>
      <w:r w:rsidRPr="002803E9">
        <w:rPr>
          <w:u w:val="single"/>
        </w:rPr>
        <w:t>Research</w:t>
      </w:r>
      <w:r w:rsidRPr="002803E9">
        <w:t xml:space="preserve">: </w:t>
      </w:r>
      <w:r w:rsidRPr="00086351">
        <w:t>a detailed study of a subject, especially in order to discover information or reach an understanding.</w:t>
      </w:r>
    </w:p>
    <w:p w:rsidR="00606EA3" w:rsidRPr="002803E9" w:rsidRDefault="00606EA3" w:rsidP="00606EA3">
      <w:pPr>
        <w:pStyle w:val="Enumlevel1"/>
        <w:rPr>
          <w:u w:val="single"/>
        </w:rPr>
      </w:pPr>
      <w:r>
        <w:t>8</w:t>
      </w:r>
      <w:r w:rsidRPr="007C25E9">
        <w:tab/>
      </w:r>
      <w:r w:rsidRPr="002803E9">
        <w:rPr>
          <w:u w:val="single"/>
        </w:rPr>
        <w:t>Memorandum of Understand (MoU)</w:t>
      </w:r>
      <w:r w:rsidRPr="002803E9">
        <w:t>: Signature of agreements to promote cooperation between entities.</w:t>
      </w:r>
    </w:p>
    <w:p w:rsidR="00606EA3" w:rsidRPr="002A103D" w:rsidRDefault="00606EA3" w:rsidP="00606EA3">
      <w:pPr>
        <w:pStyle w:val="Figuretitle"/>
        <w:rPr>
          <w:bCs/>
        </w:rPr>
      </w:pPr>
      <w:bookmarkStart w:id="114" w:name="_Toc379381987"/>
      <w:r w:rsidRPr="002A103D">
        <w:lastRenderedPageBreak/>
        <w:t>Figure 2: e-Environment projects by activity type</w:t>
      </w:r>
      <w:bookmarkEnd w:id="114"/>
    </w:p>
    <w:p w:rsidR="00606EA3" w:rsidRPr="00645D3B" w:rsidRDefault="00606EA3" w:rsidP="00606EA3">
      <w:pPr>
        <w:pStyle w:val="Figure"/>
      </w:pPr>
      <w:r w:rsidRPr="00F528EA">
        <w:rPr>
          <w:noProof/>
          <w:lang w:val="en-US" w:eastAsia="zh-CN"/>
        </w:rPr>
        <w:drawing>
          <wp:inline distT="0" distB="0" distL="0" distR="0" wp14:anchorId="7F7B334A" wp14:editId="346B9AF0">
            <wp:extent cx="5969479" cy="2035834"/>
            <wp:effectExtent l="0" t="0" r="0" b="0"/>
            <wp:docPr id="27"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8"/>
              </a:graphicData>
            </a:graphic>
          </wp:inline>
        </w:drawing>
      </w:r>
    </w:p>
    <w:p w:rsidR="00606EA3" w:rsidRPr="002A103D" w:rsidRDefault="00606EA3" w:rsidP="00606EA3">
      <w:pPr>
        <w:rPr>
          <w:rFonts w:cstheme="minorHAnsi"/>
          <w:lang w:val="en-US"/>
        </w:rPr>
      </w:pPr>
      <w:r w:rsidRPr="002A103D">
        <w:rPr>
          <w:rFonts w:cstheme="minorHAnsi"/>
          <w:lang w:val="en-US"/>
        </w:rPr>
        <w:t>A variety of organizations contributed to the stocktaking process, including government, international organizations, civil society and businesses. Figure 4 shows the percentage submission by organizations type. Nearly two-thirds of projects (62%) were submitted by governments.</w:t>
      </w:r>
    </w:p>
    <w:p w:rsidR="00606EA3" w:rsidRPr="002A103D" w:rsidRDefault="00606EA3" w:rsidP="00606EA3">
      <w:pPr>
        <w:pStyle w:val="Figuretitle"/>
        <w:rPr>
          <w:bCs/>
        </w:rPr>
      </w:pPr>
      <w:bookmarkStart w:id="115" w:name="_Toc379381988"/>
      <w:r w:rsidRPr="002A103D">
        <w:t>Figure 3: Project submissions by organization type</w:t>
      </w:r>
      <w:bookmarkEnd w:id="115"/>
      <w:r w:rsidRPr="002A103D">
        <w:t xml:space="preserve"> </w:t>
      </w:r>
    </w:p>
    <w:p w:rsidR="00606EA3" w:rsidRPr="00645D3B" w:rsidRDefault="00606EA3" w:rsidP="00606EA3">
      <w:pPr>
        <w:pStyle w:val="Figure"/>
      </w:pPr>
      <w:r w:rsidRPr="00F528EA">
        <w:rPr>
          <w:noProof/>
          <w:lang w:val="en-US" w:eastAsia="zh-CN"/>
        </w:rPr>
        <w:drawing>
          <wp:inline distT="0" distB="0" distL="0" distR="0" wp14:anchorId="1F23C92C" wp14:editId="3AE96A9C">
            <wp:extent cx="6021238" cy="1940944"/>
            <wp:effectExtent l="0" t="0" r="0" b="2540"/>
            <wp:docPr id="28"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9"/>
              </a:graphicData>
            </a:graphic>
          </wp:inline>
        </w:drawing>
      </w:r>
    </w:p>
    <w:p w:rsidR="00606EA3" w:rsidRDefault="00606EA3" w:rsidP="00606EA3">
      <w:pPr>
        <w:spacing w:before="0"/>
        <w:rPr>
          <w:b/>
          <w:szCs w:val="19"/>
          <w:lang w:eastAsia="en-US"/>
        </w:rPr>
      </w:pPr>
      <w:r>
        <w:rPr>
          <w:szCs w:val="19"/>
        </w:rPr>
        <w:br w:type="page"/>
      </w:r>
    </w:p>
    <w:p w:rsidR="00606EA3" w:rsidRPr="00006784" w:rsidRDefault="00606EA3" w:rsidP="00606EA3">
      <w:pPr>
        <w:pStyle w:val="Heading1"/>
        <w:tabs>
          <w:tab w:val="left" w:pos="1418"/>
        </w:tabs>
        <w:ind w:left="1418" w:hanging="1418"/>
      </w:pPr>
      <w:bookmarkStart w:id="116" w:name="_Toc377721088"/>
      <w:bookmarkStart w:id="117" w:name="_Toc377976474"/>
      <w:r w:rsidRPr="00006784">
        <w:lastRenderedPageBreak/>
        <w:t xml:space="preserve">Annex 12: </w:t>
      </w:r>
      <w:r>
        <w:tab/>
      </w:r>
      <w:r w:rsidRPr="00006784">
        <w:t>List of relevant ITU Reports and Recommendations</w:t>
      </w:r>
      <w:bookmarkEnd w:id="116"/>
      <w:bookmarkEnd w:id="117"/>
    </w:p>
    <w:p w:rsidR="00606EA3" w:rsidRPr="00F528EA" w:rsidRDefault="00606EA3" w:rsidP="00606EA3">
      <w:pPr>
        <w:pStyle w:val="Heading2"/>
      </w:pPr>
      <w:bookmarkStart w:id="118" w:name="_Toc377721089"/>
      <w:bookmarkStart w:id="119" w:name="_Toc377976475"/>
      <w:r w:rsidRPr="00F528EA">
        <w:t>A12.1</w:t>
      </w:r>
      <w:r>
        <w:tab/>
      </w:r>
      <w:r w:rsidRPr="00F528EA">
        <w:t xml:space="preserve">ITU </w:t>
      </w:r>
      <w:r>
        <w:t>c</w:t>
      </w:r>
      <w:r w:rsidRPr="00F528EA">
        <w:t xml:space="preserve">limate </w:t>
      </w:r>
      <w:r>
        <w:t>c</w:t>
      </w:r>
      <w:r w:rsidRPr="00F528EA">
        <w:t xml:space="preserve">hange </w:t>
      </w:r>
      <w:r>
        <w:t>r</w:t>
      </w:r>
      <w:r w:rsidRPr="00F528EA">
        <w:t>eports</w:t>
      </w:r>
      <w:bookmarkEnd w:id="118"/>
      <w:bookmarkEnd w:id="119"/>
    </w:p>
    <w:p w:rsidR="00606EA3" w:rsidRPr="00745FFF" w:rsidRDefault="00606EA3" w:rsidP="00606EA3">
      <w:pPr>
        <w:rPr>
          <w:b/>
          <w:sz w:val="19"/>
          <w:lang w:val="en-US"/>
        </w:rPr>
      </w:pPr>
      <w:bookmarkStart w:id="120" w:name="_Toc377721090"/>
      <w:bookmarkStart w:id="121" w:name="_Toc377976476"/>
      <w:r w:rsidRPr="00745FFF">
        <w:rPr>
          <w:lang w:val="en-US"/>
        </w:rPr>
        <w:t>ITU and Climate Change, 2008:</w:t>
      </w:r>
      <w:r w:rsidRPr="00745FFF">
        <w:rPr>
          <w:sz w:val="19"/>
          <w:lang w:val="en-US"/>
        </w:rPr>
        <w:t xml:space="preserve"> </w:t>
      </w:r>
      <w:hyperlink r:id="rId220" w:history="1">
        <w:r w:rsidRPr="00745FFF">
          <w:rPr>
            <w:rStyle w:val="Hyperlink"/>
            <w:szCs w:val="19"/>
            <w:lang w:val="en-US"/>
          </w:rPr>
          <w:t>www.itu.int/pub/S-GEN-CLIM-2008-11/</w:t>
        </w:r>
        <w:bookmarkEnd w:id="120"/>
        <w:bookmarkEnd w:id="121"/>
      </w:hyperlink>
      <w:r w:rsidRPr="00745FFF">
        <w:rPr>
          <w:sz w:val="19"/>
          <w:lang w:val="en-US"/>
        </w:rPr>
        <w:t xml:space="preserve"> </w:t>
      </w:r>
    </w:p>
    <w:p w:rsidR="00606EA3" w:rsidRPr="00745FFF" w:rsidRDefault="00606EA3" w:rsidP="00606EA3">
      <w:pPr>
        <w:rPr>
          <w:b/>
          <w:sz w:val="19"/>
          <w:lang w:val="en-US"/>
        </w:rPr>
      </w:pPr>
      <w:bookmarkStart w:id="122" w:name="_Toc377721091"/>
      <w:bookmarkStart w:id="123" w:name="_Toc377976477"/>
      <w:r w:rsidRPr="00745FFF">
        <w:rPr>
          <w:lang w:val="en-US"/>
        </w:rPr>
        <w:t>ITU ICT and Climate change resources:</w:t>
      </w:r>
      <w:r w:rsidRPr="00745FFF">
        <w:rPr>
          <w:sz w:val="19"/>
          <w:lang w:val="en-US"/>
        </w:rPr>
        <w:t xml:space="preserve"> </w:t>
      </w:r>
      <w:hyperlink r:id="rId221" w:history="1">
        <w:r w:rsidRPr="00745FFF">
          <w:rPr>
            <w:rStyle w:val="Hyperlink"/>
            <w:szCs w:val="19"/>
            <w:lang w:val="en-US"/>
          </w:rPr>
          <w:t>www.itu.int/en/action/climate/Pages/default.aspx</w:t>
        </w:r>
        <w:bookmarkEnd w:id="122"/>
        <w:bookmarkEnd w:id="123"/>
      </w:hyperlink>
    </w:p>
    <w:p w:rsidR="00606EA3" w:rsidRPr="00F528EA" w:rsidRDefault="00606EA3" w:rsidP="00606EA3">
      <w:pPr>
        <w:pStyle w:val="Heading2"/>
        <w:rPr>
          <w:lang w:val="fr-CH"/>
        </w:rPr>
      </w:pPr>
      <w:bookmarkStart w:id="124" w:name="_Toc377721092"/>
      <w:bookmarkStart w:id="125" w:name="_Toc377976478"/>
      <w:r w:rsidRPr="00F528EA">
        <w:rPr>
          <w:lang w:val="fr-CH"/>
        </w:rPr>
        <w:t>A12.2</w:t>
      </w:r>
      <w:r>
        <w:rPr>
          <w:lang w:val="fr-CH"/>
        </w:rPr>
        <w:tab/>
      </w:r>
      <w:r w:rsidRPr="00F528EA">
        <w:rPr>
          <w:lang w:val="fr-CH"/>
        </w:rPr>
        <w:t xml:space="preserve">ITU-T </w:t>
      </w:r>
      <w:r>
        <w:rPr>
          <w:lang w:val="fr-CH"/>
        </w:rPr>
        <w:t>c</w:t>
      </w:r>
      <w:r w:rsidRPr="00F528EA">
        <w:rPr>
          <w:lang w:val="fr-CH"/>
        </w:rPr>
        <w:t xml:space="preserve">limate </w:t>
      </w:r>
      <w:r>
        <w:rPr>
          <w:lang w:val="fr-CH"/>
        </w:rPr>
        <w:t>c</w:t>
      </w:r>
      <w:r w:rsidRPr="00F528EA">
        <w:rPr>
          <w:lang w:val="fr-CH"/>
        </w:rPr>
        <w:t>hange documents</w:t>
      </w:r>
      <w:bookmarkEnd w:id="124"/>
      <w:bookmarkEnd w:id="125"/>
    </w:p>
    <w:p w:rsidR="00606EA3" w:rsidRPr="002A103D" w:rsidRDefault="00606EA3" w:rsidP="00606EA3">
      <w:pPr>
        <w:rPr>
          <w:lang w:val="en-US"/>
        </w:rPr>
      </w:pPr>
      <w:r w:rsidRPr="002A103D">
        <w:rPr>
          <w:b/>
          <w:lang w:val="en-US"/>
        </w:rPr>
        <w:t>Recommendations:</w:t>
      </w:r>
    </w:p>
    <w:p w:rsidR="00606EA3" w:rsidRPr="002A103D" w:rsidRDefault="00606EA3" w:rsidP="00606EA3">
      <w:pPr>
        <w:ind w:left="567" w:hanging="567"/>
        <w:rPr>
          <w:lang w:val="en-US"/>
        </w:rPr>
      </w:pPr>
      <w:r w:rsidRPr="002A103D">
        <w:rPr>
          <w:lang w:val="en-US"/>
        </w:rPr>
        <w:t>K series: Protection against interference</w:t>
      </w:r>
    </w:p>
    <w:p w:rsidR="00606EA3" w:rsidRPr="002A103D" w:rsidRDefault="00606EA3" w:rsidP="00606EA3">
      <w:pPr>
        <w:rPr>
          <w:lang w:val="en-US"/>
        </w:rPr>
      </w:pPr>
      <w:r w:rsidRPr="002A103D">
        <w:rPr>
          <w:lang w:val="en-US"/>
        </w:rPr>
        <w:t>L series: Construction, installation and protection of cables and other elements of outside plant</w:t>
      </w:r>
    </w:p>
    <w:p w:rsidR="00606EA3" w:rsidRPr="002A103D" w:rsidRDefault="00606EA3" w:rsidP="00606EA3">
      <w:pPr>
        <w:ind w:left="1701" w:hanging="1701"/>
        <w:rPr>
          <w:lang w:val="en-US"/>
        </w:rPr>
      </w:pPr>
      <w:r w:rsidRPr="002A103D">
        <w:rPr>
          <w:lang w:val="en-US"/>
        </w:rPr>
        <w:t xml:space="preserve">L.1000: </w:t>
      </w:r>
      <w:r w:rsidRPr="002A103D">
        <w:rPr>
          <w:lang w:val="en-US"/>
        </w:rPr>
        <w:tab/>
        <w:t>Universal power adapter and charger solution for mobile terminals and other hand-held ICT devices (approved)</w:t>
      </w:r>
    </w:p>
    <w:p w:rsidR="00606EA3" w:rsidRPr="002A103D" w:rsidRDefault="00606EA3" w:rsidP="00606EA3">
      <w:pPr>
        <w:ind w:left="1701" w:hanging="1701"/>
        <w:rPr>
          <w:lang w:val="en-US"/>
        </w:rPr>
      </w:pPr>
      <w:r w:rsidRPr="002A103D">
        <w:rPr>
          <w:lang w:val="en-US"/>
        </w:rPr>
        <w:t xml:space="preserve">L.1001: </w:t>
      </w:r>
      <w:r w:rsidRPr="002A103D">
        <w:rPr>
          <w:lang w:val="en-US"/>
        </w:rPr>
        <w:tab/>
        <w:t>External universal power adapter solutions for stationary information and communication technology devices (approved)</w:t>
      </w:r>
    </w:p>
    <w:p w:rsidR="00606EA3" w:rsidRPr="002A103D" w:rsidRDefault="00606EA3" w:rsidP="00606EA3">
      <w:pPr>
        <w:ind w:left="1701" w:hanging="1701"/>
        <w:rPr>
          <w:lang w:val="en-US"/>
        </w:rPr>
      </w:pPr>
      <w:r w:rsidRPr="002A103D">
        <w:rPr>
          <w:lang w:val="en-US"/>
        </w:rPr>
        <w:t xml:space="preserve">L.1100: </w:t>
      </w:r>
      <w:r w:rsidRPr="002A103D">
        <w:rPr>
          <w:lang w:val="en-US"/>
        </w:rPr>
        <w:tab/>
        <w:t>Procedure for recycling rare metals in information and communication technology goods (approved)</w:t>
      </w:r>
    </w:p>
    <w:p w:rsidR="00606EA3" w:rsidRPr="002A103D" w:rsidRDefault="00606EA3" w:rsidP="00606EA3">
      <w:pPr>
        <w:ind w:left="1701" w:hanging="1701"/>
        <w:rPr>
          <w:lang w:val="en-US"/>
        </w:rPr>
      </w:pPr>
      <w:r w:rsidRPr="002A103D">
        <w:rPr>
          <w:lang w:val="en-US"/>
        </w:rPr>
        <w:t xml:space="preserve">L.1200: </w:t>
      </w:r>
      <w:r w:rsidRPr="002A103D">
        <w:rPr>
          <w:lang w:val="en-US"/>
        </w:rPr>
        <w:tab/>
        <w:t>Direct current power feeding interface up to 400 V at the input to telecommunication and ICT equipment (approved)</w:t>
      </w:r>
    </w:p>
    <w:p w:rsidR="00606EA3" w:rsidRPr="002A103D" w:rsidRDefault="00606EA3" w:rsidP="00606EA3">
      <w:pPr>
        <w:ind w:left="1701" w:hanging="1701"/>
        <w:rPr>
          <w:lang w:val="en-US"/>
        </w:rPr>
      </w:pPr>
      <w:r w:rsidRPr="002A103D">
        <w:rPr>
          <w:lang w:val="en-US"/>
        </w:rPr>
        <w:t xml:space="preserve">L.1300: </w:t>
      </w:r>
      <w:r w:rsidRPr="002A103D">
        <w:rPr>
          <w:lang w:val="en-US"/>
        </w:rPr>
        <w:tab/>
        <w:t>Best practices for green data centres (approved)</w:t>
      </w:r>
    </w:p>
    <w:p w:rsidR="00606EA3" w:rsidRPr="002A103D" w:rsidRDefault="00606EA3" w:rsidP="00606EA3">
      <w:pPr>
        <w:ind w:left="1701" w:hanging="1701"/>
        <w:rPr>
          <w:lang w:val="en-US"/>
        </w:rPr>
      </w:pPr>
      <w:r w:rsidRPr="002A103D">
        <w:rPr>
          <w:lang w:val="en-US"/>
        </w:rPr>
        <w:t xml:space="preserve">L.1310: </w:t>
      </w:r>
      <w:r w:rsidRPr="002A103D">
        <w:rPr>
          <w:lang w:val="en-US"/>
        </w:rPr>
        <w:tab/>
        <w:t>Energy efficiency metrics and measurement methods for telecommunication equipment (approved)</w:t>
      </w:r>
    </w:p>
    <w:p w:rsidR="00606EA3" w:rsidRPr="002A103D" w:rsidRDefault="00606EA3" w:rsidP="00606EA3">
      <w:pPr>
        <w:ind w:left="1701" w:hanging="1701"/>
        <w:rPr>
          <w:lang w:val="en-US"/>
        </w:rPr>
      </w:pPr>
      <w:r w:rsidRPr="002A103D">
        <w:rPr>
          <w:lang w:val="en-US"/>
        </w:rPr>
        <w:t>L.1400:</w:t>
      </w:r>
      <w:r w:rsidRPr="002A103D">
        <w:rPr>
          <w:lang w:val="en-US"/>
        </w:rPr>
        <w:tab/>
        <w:t>Overview and general principles of methodologies for assessing the environmental impact of information and communication technologies (approved)</w:t>
      </w:r>
    </w:p>
    <w:p w:rsidR="00606EA3" w:rsidRPr="002A103D" w:rsidRDefault="00606EA3" w:rsidP="00606EA3">
      <w:pPr>
        <w:ind w:left="1701" w:hanging="1701"/>
        <w:rPr>
          <w:lang w:val="en-US"/>
        </w:rPr>
      </w:pPr>
      <w:r w:rsidRPr="002A103D">
        <w:rPr>
          <w:lang w:val="en-US"/>
        </w:rPr>
        <w:t xml:space="preserve">L.1410: </w:t>
      </w:r>
      <w:r w:rsidRPr="002A103D">
        <w:rPr>
          <w:lang w:val="en-US"/>
        </w:rPr>
        <w:tab/>
        <w:t>Methodology for the assessment of the environmental impact of information and communication technology goods, networks and services (approved)</w:t>
      </w:r>
    </w:p>
    <w:p w:rsidR="00606EA3" w:rsidRPr="002A103D" w:rsidRDefault="00606EA3" w:rsidP="00606EA3">
      <w:pPr>
        <w:ind w:left="1701" w:hanging="1701"/>
        <w:rPr>
          <w:lang w:val="en-US"/>
        </w:rPr>
      </w:pPr>
      <w:r w:rsidRPr="002A103D">
        <w:rPr>
          <w:lang w:val="en-US"/>
        </w:rPr>
        <w:t xml:space="preserve">L.1420: </w:t>
      </w:r>
      <w:r w:rsidRPr="002A103D">
        <w:rPr>
          <w:lang w:val="en-US"/>
        </w:rPr>
        <w:tab/>
        <w:t>Methodology for energy consumption and greenhouse gas emissions impact assessment of information and communication technologies in organizations (approved)</w:t>
      </w:r>
    </w:p>
    <w:p w:rsidR="00606EA3" w:rsidRPr="002A103D" w:rsidRDefault="00606EA3" w:rsidP="00606EA3">
      <w:pPr>
        <w:ind w:left="1701" w:hanging="1701"/>
        <w:rPr>
          <w:lang w:val="en-US"/>
        </w:rPr>
      </w:pPr>
      <w:r w:rsidRPr="002A103D">
        <w:rPr>
          <w:lang w:val="en-US"/>
        </w:rPr>
        <w:t>L.1430:</w:t>
      </w:r>
      <w:r w:rsidRPr="002A103D">
        <w:rPr>
          <w:lang w:val="en-US"/>
        </w:rPr>
        <w:tab/>
        <w:t>Methodology for assessment of the environmental impact of information and communication technology greenhouse gas and energy projects (approved)</w:t>
      </w:r>
    </w:p>
    <w:p w:rsidR="00606EA3" w:rsidRPr="002A103D" w:rsidRDefault="00606EA3" w:rsidP="00606EA3">
      <w:pPr>
        <w:ind w:left="1701" w:hanging="1701"/>
        <w:rPr>
          <w:lang w:val="en-US"/>
        </w:rPr>
      </w:pPr>
      <w:r w:rsidRPr="002A103D">
        <w:rPr>
          <w:lang w:val="en-US"/>
        </w:rPr>
        <w:t xml:space="preserve">L.recBat: </w:t>
      </w:r>
      <w:r w:rsidRPr="002A103D">
        <w:rPr>
          <w:lang w:val="en-US"/>
        </w:rPr>
        <w:tab/>
        <w:t>Recycling of discarded batteries (under Study)</w:t>
      </w:r>
    </w:p>
    <w:p w:rsidR="00606EA3" w:rsidRPr="002A103D" w:rsidRDefault="00606EA3" w:rsidP="00606EA3">
      <w:pPr>
        <w:ind w:left="1701" w:hanging="1701"/>
        <w:rPr>
          <w:lang w:val="en-US"/>
        </w:rPr>
      </w:pPr>
      <w:r w:rsidRPr="002A103D">
        <w:rPr>
          <w:lang w:val="en-US"/>
        </w:rPr>
        <w:t xml:space="preserve">L.UPA portable: </w:t>
      </w:r>
      <w:r w:rsidRPr="002A103D">
        <w:rPr>
          <w:lang w:val="en-US"/>
        </w:rPr>
        <w:tab/>
        <w:t>Universal Power Adapter for portable ICT equipment (under study)</w:t>
      </w:r>
    </w:p>
    <w:p w:rsidR="00606EA3" w:rsidRPr="002A103D" w:rsidRDefault="00606EA3" w:rsidP="00606EA3">
      <w:pPr>
        <w:ind w:left="1701" w:hanging="1701"/>
        <w:rPr>
          <w:lang w:val="en-US"/>
        </w:rPr>
      </w:pPr>
      <w:r w:rsidRPr="002A103D">
        <w:rPr>
          <w:lang w:val="en-US"/>
        </w:rPr>
        <w:t>L.Infrastructure and adaptation: Recommendations to support adaptation to climate change and the ICT infrastructure to the impacts of climate change (under Study)</w:t>
      </w:r>
    </w:p>
    <w:p w:rsidR="00606EA3" w:rsidRPr="002A103D" w:rsidRDefault="00606EA3" w:rsidP="00606EA3">
      <w:pPr>
        <w:ind w:left="1701" w:hanging="1701"/>
        <w:rPr>
          <w:lang w:val="en-US"/>
        </w:rPr>
      </w:pPr>
      <w:r w:rsidRPr="002A103D">
        <w:rPr>
          <w:lang w:val="en-US"/>
        </w:rPr>
        <w:t>L.Green Batteries: Green battery solution for mobile phones and other ICT devices (under study)</w:t>
      </w:r>
    </w:p>
    <w:p w:rsidR="00606EA3" w:rsidRPr="002A103D" w:rsidRDefault="00606EA3" w:rsidP="00606EA3">
      <w:pPr>
        <w:ind w:left="1701" w:hanging="1701"/>
        <w:rPr>
          <w:lang w:val="en-US"/>
        </w:rPr>
      </w:pPr>
      <w:r w:rsidRPr="002A103D">
        <w:rPr>
          <w:lang w:val="en-US"/>
        </w:rPr>
        <w:t xml:space="preserve">L.Eco_rating: </w:t>
      </w:r>
      <w:r w:rsidRPr="002A103D">
        <w:rPr>
          <w:lang w:val="en-US"/>
        </w:rPr>
        <w:tab/>
        <w:t>Development of a Recommendation for eco-specifications and rating criteria for mobile phones eco-rating programs (under study)</w:t>
      </w:r>
    </w:p>
    <w:p w:rsidR="00606EA3" w:rsidRPr="002A103D" w:rsidRDefault="00606EA3" w:rsidP="00606EA3">
      <w:pPr>
        <w:ind w:left="1701" w:hanging="1701"/>
        <w:rPr>
          <w:lang w:val="en-US"/>
        </w:rPr>
      </w:pPr>
      <w:r w:rsidRPr="002A103D">
        <w:rPr>
          <w:lang w:val="en-US"/>
        </w:rPr>
        <w:t xml:space="preserve">L.AssDC: </w:t>
      </w:r>
      <w:r w:rsidRPr="002A103D">
        <w:rPr>
          <w:lang w:val="en-US"/>
        </w:rPr>
        <w:tab/>
        <w:t>Data center infrastructure energy efficiency assessment methodology concerning environmental and working conditions (under study)</w:t>
      </w:r>
    </w:p>
    <w:p w:rsidR="00606EA3" w:rsidRPr="002A103D" w:rsidRDefault="00606EA3" w:rsidP="00606EA3">
      <w:pPr>
        <w:ind w:left="1701" w:hanging="1701"/>
        <w:rPr>
          <w:lang w:val="en-US"/>
        </w:rPr>
      </w:pPr>
      <w:r w:rsidRPr="002A103D">
        <w:rPr>
          <w:lang w:val="en-US"/>
        </w:rPr>
        <w:t xml:space="preserve">L.broad_impact: </w:t>
      </w:r>
      <w:r w:rsidRPr="002A103D">
        <w:rPr>
          <w:lang w:val="en-US"/>
        </w:rPr>
        <w:tab/>
        <w:t>Environmental impact assessment of broadcasting services (under study)</w:t>
      </w:r>
    </w:p>
    <w:p w:rsidR="00606EA3" w:rsidRDefault="00606EA3" w:rsidP="00606EA3">
      <w:pPr>
        <w:ind w:left="567" w:hanging="567"/>
        <w:rPr>
          <w:b/>
          <w:lang w:val="en-US"/>
        </w:rPr>
      </w:pPr>
      <w:r>
        <w:rPr>
          <w:b/>
          <w:lang w:val="en-US"/>
        </w:rPr>
        <w:br w:type="page"/>
      </w:r>
    </w:p>
    <w:p w:rsidR="00606EA3" w:rsidRPr="002A103D" w:rsidRDefault="00606EA3" w:rsidP="00606EA3">
      <w:pPr>
        <w:pStyle w:val="HeadingB"/>
      </w:pPr>
      <w:r w:rsidRPr="002A103D">
        <w:lastRenderedPageBreak/>
        <w:t>Handbooks:</w:t>
      </w:r>
    </w:p>
    <w:p w:rsidR="00606EA3" w:rsidRPr="002A103D" w:rsidRDefault="00606EA3" w:rsidP="00606EA3">
      <w:pPr>
        <w:ind w:left="567" w:hanging="567"/>
        <w:rPr>
          <w:lang w:val="en-US"/>
        </w:rPr>
      </w:pPr>
      <w:r w:rsidRPr="002A103D">
        <w:rPr>
          <w:lang w:val="en-US"/>
        </w:rPr>
        <w:t>CCITT Directives concerning the protection of telecommunication lines against harmful effects from electrical power and electrified railway, and its volumes.</w:t>
      </w:r>
    </w:p>
    <w:p w:rsidR="00606EA3" w:rsidRPr="002A103D" w:rsidRDefault="00606EA3" w:rsidP="00606EA3">
      <w:pPr>
        <w:ind w:left="567" w:hanging="567"/>
        <w:rPr>
          <w:lang w:val="en-US"/>
        </w:rPr>
      </w:pPr>
      <w:r w:rsidRPr="002A103D">
        <w:rPr>
          <w:lang w:val="en-US"/>
        </w:rPr>
        <w:t>Mitigation Handbook</w:t>
      </w:r>
    </w:p>
    <w:p w:rsidR="00606EA3" w:rsidRPr="002A103D" w:rsidRDefault="00606EA3" w:rsidP="00606EA3">
      <w:pPr>
        <w:pStyle w:val="HeadingB"/>
      </w:pPr>
      <w:r w:rsidRPr="002A103D">
        <w:t>Technical Papers:</w:t>
      </w:r>
    </w:p>
    <w:p w:rsidR="00606EA3" w:rsidRPr="002A103D" w:rsidRDefault="00606EA3" w:rsidP="00606EA3">
      <w:pPr>
        <w:rPr>
          <w:lang w:val="en-US"/>
        </w:rPr>
      </w:pPr>
      <w:r w:rsidRPr="002A103D">
        <w:rPr>
          <w:lang w:val="en-US"/>
        </w:rPr>
        <w:t>Environmental sustainability in outside plant and ICT equipment – facilities</w:t>
      </w:r>
    </w:p>
    <w:p w:rsidR="00606EA3" w:rsidRPr="002A103D" w:rsidRDefault="00606EA3" w:rsidP="00606EA3">
      <w:pPr>
        <w:rPr>
          <w:lang w:val="en-US"/>
        </w:rPr>
      </w:pPr>
      <w:r w:rsidRPr="002A103D">
        <w:rPr>
          <w:lang w:val="en-US"/>
        </w:rPr>
        <w:t>Life-cycle management of ICT equipment</w:t>
      </w:r>
    </w:p>
    <w:p w:rsidR="00606EA3" w:rsidRPr="002A103D" w:rsidRDefault="00606EA3" w:rsidP="00606EA3">
      <w:pPr>
        <w:rPr>
          <w:lang w:val="en-US"/>
        </w:rPr>
      </w:pPr>
      <w:r w:rsidRPr="002A103D">
        <w:rPr>
          <w:lang w:val="en-US"/>
        </w:rPr>
        <w:t xml:space="preserve">Setting up a low cost sustainable telecommunications infrastructure for rural communications for developing nations. </w:t>
      </w:r>
    </w:p>
    <w:p w:rsidR="00606EA3" w:rsidRPr="002A103D" w:rsidRDefault="00606EA3" w:rsidP="00606EA3">
      <w:pPr>
        <w:rPr>
          <w:lang w:val="en-US"/>
        </w:rPr>
      </w:pPr>
      <w:r w:rsidRPr="002A103D">
        <w:rPr>
          <w:lang w:val="en-US"/>
        </w:rPr>
        <w:t>Life-cycle management of ICT equipment (under study)</w:t>
      </w:r>
    </w:p>
    <w:p w:rsidR="00606EA3" w:rsidRPr="002A103D" w:rsidRDefault="00606EA3" w:rsidP="00606EA3">
      <w:pPr>
        <w:pStyle w:val="HeadingB"/>
      </w:pPr>
      <w:r w:rsidRPr="002A103D">
        <w:t>Supplements:</w:t>
      </w:r>
    </w:p>
    <w:p w:rsidR="00606EA3" w:rsidRPr="002A103D" w:rsidRDefault="00606EA3" w:rsidP="00606EA3">
      <w:pPr>
        <w:rPr>
          <w:lang w:val="en-US"/>
        </w:rPr>
      </w:pPr>
      <w:r w:rsidRPr="002A103D">
        <w:rPr>
          <w:lang w:val="en-US"/>
        </w:rPr>
        <w:t xml:space="preserve">L Suppl.1  </w:t>
      </w:r>
      <w:r w:rsidRPr="002A103D">
        <w:rPr>
          <w:lang w:val="en-US"/>
        </w:rPr>
        <w:tab/>
        <w:t>ITU-T L.1310 – Supplement on energy efficiency for telecommunication equipment</w:t>
      </w:r>
    </w:p>
    <w:p w:rsidR="00606EA3" w:rsidRPr="002A103D" w:rsidRDefault="00606EA3" w:rsidP="00606EA3">
      <w:pPr>
        <w:rPr>
          <w:lang w:val="en-US"/>
        </w:rPr>
      </w:pPr>
      <w:r w:rsidRPr="002A103D">
        <w:rPr>
          <w:lang w:val="en-US"/>
        </w:rPr>
        <w:t>Assessment case studies using L.1410 (under study)</w:t>
      </w:r>
    </w:p>
    <w:p w:rsidR="00606EA3" w:rsidRPr="002A103D" w:rsidRDefault="00606EA3" w:rsidP="00606EA3">
      <w:pPr>
        <w:rPr>
          <w:szCs w:val="19"/>
          <w:lang w:val="en-US"/>
        </w:rPr>
      </w:pPr>
      <w:r w:rsidRPr="002A103D">
        <w:rPr>
          <w:szCs w:val="19"/>
          <w:lang w:val="en-US"/>
        </w:rPr>
        <w:t>Supplement to L.ICT projects for RNS projects (under study)</w:t>
      </w:r>
    </w:p>
    <w:p w:rsidR="00606EA3" w:rsidRPr="00F528EA" w:rsidRDefault="00606EA3" w:rsidP="00606EA3">
      <w:pPr>
        <w:pStyle w:val="HeadingB"/>
      </w:pPr>
      <w:bookmarkStart w:id="126" w:name="_Toc377721093"/>
      <w:bookmarkStart w:id="127" w:name="_Toc377976479"/>
      <w:r w:rsidRPr="00F528EA">
        <w:t>Reports</w:t>
      </w:r>
      <w:bookmarkEnd w:id="126"/>
      <w:bookmarkEnd w:id="127"/>
    </w:p>
    <w:p w:rsidR="00606EA3" w:rsidRPr="00745FFF" w:rsidRDefault="00606EA3" w:rsidP="00606EA3">
      <w:pPr>
        <w:rPr>
          <w:b/>
          <w:lang w:val="en-US"/>
        </w:rPr>
      </w:pPr>
      <w:bookmarkStart w:id="128" w:name="_Toc377721094"/>
      <w:bookmarkStart w:id="129" w:name="_Toc377976480"/>
      <w:r w:rsidRPr="00745FFF">
        <w:rPr>
          <w:lang w:val="en-US"/>
        </w:rPr>
        <w:t>The case of Korea: the quantification of GHG reduction effects achieved by ICTs</w:t>
      </w:r>
      <w:bookmarkEnd w:id="128"/>
      <w:bookmarkEnd w:id="129"/>
    </w:p>
    <w:p w:rsidR="00606EA3" w:rsidRPr="00745FFF" w:rsidRDefault="00606EA3" w:rsidP="00606EA3">
      <w:pPr>
        <w:rPr>
          <w:b/>
          <w:lang w:val="en-US"/>
        </w:rPr>
      </w:pPr>
      <w:bookmarkStart w:id="130" w:name="_Toc377721095"/>
      <w:bookmarkStart w:id="131" w:name="_Toc377976481"/>
      <w:r w:rsidRPr="00745FFF">
        <w:rPr>
          <w:lang w:val="en-US"/>
        </w:rPr>
        <w:t>Toolkit on Environmental Sustainability for the ICT Sector</w:t>
      </w:r>
      <w:bookmarkEnd w:id="130"/>
      <w:bookmarkEnd w:id="131"/>
    </w:p>
    <w:p w:rsidR="00606EA3" w:rsidRPr="00745FFF" w:rsidRDefault="00606EA3" w:rsidP="00606EA3">
      <w:pPr>
        <w:rPr>
          <w:b/>
          <w:lang w:val="en-US"/>
        </w:rPr>
      </w:pPr>
      <w:bookmarkStart w:id="132" w:name="_Toc377721096"/>
      <w:bookmarkStart w:id="133" w:name="_Toc377976482"/>
      <w:r w:rsidRPr="00745FFF">
        <w:rPr>
          <w:lang w:val="en-US"/>
        </w:rPr>
        <w:t>Sustainable ICT in Corporate Organizations</w:t>
      </w:r>
      <w:bookmarkEnd w:id="132"/>
      <w:bookmarkEnd w:id="133"/>
    </w:p>
    <w:p w:rsidR="00606EA3" w:rsidRPr="00745FFF" w:rsidRDefault="00606EA3" w:rsidP="00606EA3">
      <w:pPr>
        <w:rPr>
          <w:b/>
          <w:lang w:val="en-US"/>
        </w:rPr>
      </w:pPr>
      <w:bookmarkStart w:id="134" w:name="_Toc377721097"/>
      <w:bookmarkStart w:id="135" w:name="_Toc377976483"/>
      <w:r w:rsidRPr="00745FFF">
        <w:rPr>
          <w:lang w:val="en-US"/>
        </w:rPr>
        <w:t>Using submarine cables for climate monitoring and disaster warning: Engineering Feasibility Study</w:t>
      </w:r>
      <w:bookmarkEnd w:id="134"/>
      <w:bookmarkEnd w:id="135"/>
    </w:p>
    <w:p w:rsidR="00606EA3" w:rsidRPr="00745FFF" w:rsidRDefault="00606EA3" w:rsidP="00606EA3">
      <w:pPr>
        <w:rPr>
          <w:b/>
          <w:lang w:val="en-US"/>
        </w:rPr>
      </w:pPr>
      <w:bookmarkStart w:id="136" w:name="_Toc377721098"/>
      <w:bookmarkStart w:id="137" w:name="_Toc377976484"/>
      <w:r w:rsidRPr="00745FFF">
        <w:rPr>
          <w:lang w:val="en-US"/>
        </w:rPr>
        <w:t>Climate Change Adaptation, Mitigation and Information &amp; Communications Technologies (ICTs): the Case of Ghana</w:t>
      </w:r>
      <w:bookmarkEnd w:id="136"/>
      <w:bookmarkEnd w:id="137"/>
    </w:p>
    <w:p w:rsidR="00606EA3" w:rsidRPr="00745FFF" w:rsidRDefault="00606EA3" w:rsidP="00606EA3">
      <w:pPr>
        <w:rPr>
          <w:b/>
          <w:lang w:val="en-US"/>
        </w:rPr>
      </w:pPr>
      <w:bookmarkStart w:id="138" w:name="_Toc377721099"/>
      <w:bookmarkStart w:id="139" w:name="_Toc377976485"/>
      <w:r w:rsidRPr="00745FFF">
        <w:rPr>
          <w:lang w:val="en-US"/>
        </w:rPr>
        <w:t>Boosting Energy Efficiency through Smart Grids</w:t>
      </w:r>
      <w:bookmarkEnd w:id="138"/>
      <w:bookmarkEnd w:id="139"/>
    </w:p>
    <w:p w:rsidR="00606EA3" w:rsidRPr="00F528EA" w:rsidRDefault="00606EA3" w:rsidP="00606EA3">
      <w:pPr>
        <w:pStyle w:val="Heading2"/>
        <w:rPr>
          <w:lang w:val="fr-CH"/>
        </w:rPr>
      </w:pPr>
      <w:bookmarkStart w:id="140" w:name="_Toc377721100"/>
      <w:bookmarkStart w:id="141" w:name="_Toc377976486"/>
      <w:r w:rsidRPr="00F528EA">
        <w:rPr>
          <w:lang w:val="fr-CH"/>
        </w:rPr>
        <w:t>A12.3</w:t>
      </w:r>
      <w:r>
        <w:rPr>
          <w:lang w:val="fr-CH"/>
        </w:rPr>
        <w:tab/>
      </w:r>
      <w:r w:rsidRPr="00F528EA">
        <w:rPr>
          <w:lang w:val="fr-CH"/>
        </w:rPr>
        <w:t xml:space="preserve">ITU-R </w:t>
      </w:r>
      <w:r>
        <w:rPr>
          <w:lang w:val="fr-CH"/>
        </w:rPr>
        <w:t>c</w:t>
      </w:r>
      <w:r w:rsidRPr="00F528EA">
        <w:rPr>
          <w:lang w:val="fr-CH"/>
        </w:rPr>
        <w:t xml:space="preserve">limate </w:t>
      </w:r>
      <w:r>
        <w:rPr>
          <w:lang w:val="fr-CH"/>
        </w:rPr>
        <w:t>c</w:t>
      </w:r>
      <w:r w:rsidRPr="00F528EA">
        <w:rPr>
          <w:lang w:val="fr-CH"/>
        </w:rPr>
        <w:t>hange documents</w:t>
      </w:r>
      <w:bookmarkEnd w:id="140"/>
      <w:bookmarkEnd w:id="141"/>
    </w:p>
    <w:p w:rsidR="00606EA3" w:rsidRPr="002A103D" w:rsidRDefault="00606EA3" w:rsidP="00606EA3">
      <w:pPr>
        <w:rPr>
          <w:szCs w:val="19"/>
          <w:lang w:val="en-US"/>
        </w:rPr>
      </w:pPr>
      <w:r w:rsidRPr="002A103D">
        <w:rPr>
          <w:szCs w:val="19"/>
          <w:lang w:val="en-US"/>
        </w:rPr>
        <w:t>ITU Radiocommunications and Climate Change, ITU-R presentation, June 2007</w:t>
      </w:r>
    </w:p>
    <w:p w:rsidR="00606EA3" w:rsidRPr="004D7AD2" w:rsidRDefault="00433698" w:rsidP="00606EA3">
      <w:pPr>
        <w:rPr>
          <w:lang w:val="en-US"/>
        </w:rPr>
      </w:pPr>
      <w:hyperlink r:id="rId222" w:history="1">
        <w:r w:rsidR="00606EA3" w:rsidRPr="00433698">
          <w:rPr>
            <w:rStyle w:val="Hyperlink"/>
            <w:szCs w:val="19"/>
            <w:lang w:val="en-GB"/>
          </w:rPr>
          <w:t>Report RS. 2178: The essential role and global importance of radio spectrum use for Earth observations and for related applications</w:t>
        </w:r>
      </w:hyperlink>
      <w:bookmarkStart w:id="142" w:name="_GoBack"/>
      <w:bookmarkEnd w:id="142"/>
      <w:r w:rsidR="00606EA3" w:rsidRPr="004D7AD2">
        <w:rPr>
          <w:szCs w:val="19"/>
          <w:lang w:val="en-GB"/>
        </w:rPr>
        <w:t xml:space="preserve"> </w:t>
      </w:r>
    </w:p>
    <w:bookmarkStart w:id="143" w:name="_Toc377721101"/>
    <w:bookmarkStart w:id="144" w:name="_Toc377976487"/>
    <w:p w:rsidR="00606EA3" w:rsidRPr="00F5443C" w:rsidRDefault="00433698" w:rsidP="004D7AD2">
      <w:pPr>
        <w:rPr>
          <w:b/>
          <w:szCs w:val="21"/>
          <w:lang w:val="en-US"/>
        </w:rPr>
      </w:pPr>
      <w:r>
        <w:rPr>
          <w:szCs w:val="21"/>
          <w:lang w:val="en-US"/>
        </w:rPr>
        <w:fldChar w:fldCharType="begin"/>
      </w:r>
      <w:r>
        <w:rPr>
          <w:szCs w:val="21"/>
          <w:lang w:val="en-US"/>
        </w:rPr>
        <w:instrText xml:space="preserve"> HYPERLINK "http://www.itu.int/rec/R-REC-RS.1883-0-201102-I/en" </w:instrText>
      </w:r>
      <w:r>
        <w:rPr>
          <w:szCs w:val="21"/>
          <w:lang w:val="en-US"/>
        </w:rPr>
      </w:r>
      <w:r>
        <w:rPr>
          <w:szCs w:val="21"/>
          <w:lang w:val="en-US"/>
        </w:rPr>
        <w:fldChar w:fldCharType="separate"/>
      </w:r>
      <w:r w:rsidR="00606EA3" w:rsidRPr="00433698">
        <w:rPr>
          <w:rStyle w:val="Hyperlink"/>
          <w:szCs w:val="21"/>
          <w:lang w:val="en-US"/>
        </w:rPr>
        <w:t>Recommendation ITU-R RS.1883: Use of remote sensing systems in the study of climate change and the effects thereof</w:t>
      </w:r>
      <w:bookmarkEnd w:id="143"/>
      <w:bookmarkEnd w:id="144"/>
      <w:r>
        <w:rPr>
          <w:szCs w:val="21"/>
          <w:lang w:val="en-US"/>
        </w:rPr>
        <w:fldChar w:fldCharType="end"/>
      </w:r>
      <w:r w:rsidR="00606EA3" w:rsidRPr="00F5443C">
        <w:rPr>
          <w:szCs w:val="21"/>
          <w:lang w:val="en-US"/>
        </w:rPr>
        <w:t xml:space="preserve"> </w:t>
      </w:r>
    </w:p>
    <w:p w:rsidR="00606EA3" w:rsidRPr="002A103D" w:rsidRDefault="00606EA3" w:rsidP="00606EA3">
      <w:pPr>
        <w:rPr>
          <w:szCs w:val="19"/>
          <w:lang w:val="en-US"/>
        </w:rPr>
      </w:pPr>
      <w:r w:rsidRPr="002A103D">
        <w:rPr>
          <w:szCs w:val="19"/>
          <w:lang w:val="en-US"/>
        </w:rPr>
        <w:t>Resolution ITU</w:t>
      </w:r>
      <w:r w:rsidRPr="002A103D">
        <w:rPr>
          <w:szCs w:val="19"/>
          <w:lang w:val="en-US"/>
        </w:rPr>
        <w:noBreakHyphen/>
        <w:t>R 60 (2012): Reduction of energy consumption for environmental protection and mitigating climate change by use of ICT/radiocommunication technologies and systems. (See annex 8 for full text).</w:t>
      </w:r>
    </w:p>
    <w:p w:rsidR="00606EA3" w:rsidRPr="002A103D" w:rsidRDefault="00606EA3" w:rsidP="00606EA3">
      <w:pPr>
        <w:rPr>
          <w:rStyle w:val="Hyperlink"/>
          <w:b/>
          <w:smallCaps/>
          <w:szCs w:val="19"/>
          <w:lang w:val="en-US"/>
        </w:rPr>
      </w:pPr>
      <w:r w:rsidRPr="002A103D">
        <w:rPr>
          <w:szCs w:val="19"/>
          <w:lang w:val="en-US"/>
        </w:rPr>
        <w:t xml:space="preserve">ITU </w:t>
      </w:r>
      <w:hyperlink r:id="rId223" w:tgtFrame="_parent" w:history="1">
        <w:r w:rsidRPr="002A103D">
          <w:rPr>
            <w:rStyle w:val="Hyperlink"/>
            <w:szCs w:val="19"/>
            <w:lang w:val="en-US"/>
          </w:rPr>
          <w:t xml:space="preserve">Handbook on Use of Radio spectrum for meteorology: weather, </w:t>
        </w:r>
      </w:hyperlink>
      <w:hyperlink r:id="rId224" w:tgtFrame="_parent" w:history="1">
        <w:r w:rsidRPr="002A103D">
          <w:rPr>
            <w:rStyle w:val="Hyperlink"/>
            <w:szCs w:val="19"/>
            <w:lang w:val="en-US"/>
          </w:rPr>
          <w:t>water and climate monitoring and prediction</w:t>
        </w:r>
      </w:hyperlink>
    </w:p>
    <w:p w:rsidR="00606EA3" w:rsidRPr="002A103D" w:rsidRDefault="00606EA3" w:rsidP="00606EA3">
      <w:pPr>
        <w:autoSpaceDE w:val="0"/>
        <w:autoSpaceDN w:val="0"/>
        <w:adjustRightInd w:val="0"/>
        <w:spacing w:before="0"/>
        <w:rPr>
          <w:lang w:val="en-US"/>
        </w:rPr>
      </w:pPr>
      <w:r w:rsidRPr="002A103D">
        <w:rPr>
          <w:rFonts w:cs="TimesNewRoman"/>
          <w:szCs w:val="19"/>
          <w:lang w:val="en-US"/>
        </w:rPr>
        <w:t xml:space="preserve">Resolution 673 (Rev.WRC-12): </w:t>
      </w:r>
      <w:r w:rsidRPr="002A103D">
        <w:rPr>
          <w:rFonts w:cs="TimesNewRoman,Bold"/>
          <w:szCs w:val="19"/>
          <w:lang w:val="en-US"/>
        </w:rPr>
        <w:t>The importance of Earth observation radiocommunication applications</w:t>
      </w:r>
    </w:p>
    <w:p w:rsidR="00606EA3" w:rsidRPr="00F528EA" w:rsidRDefault="00606EA3" w:rsidP="00606EA3">
      <w:pPr>
        <w:autoSpaceDE w:val="0"/>
        <w:autoSpaceDN w:val="0"/>
        <w:adjustRightInd w:val="0"/>
        <w:rPr>
          <w:rStyle w:val="Hyperlink"/>
          <w:rFonts w:cs="TimesNewRoman"/>
          <w:b/>
          <w:bCs/>
          <w:smallCaps/>
          <w:szCs w:val="19"/>
          <w:lang w:val="en-US"/>
        </w:rPr>
      </w:pPr>
      <w:r w:rsidRPr="002A103D">
        <w:rPr>
          <w:lang w:val="en-US"/>
        </w:rPr>
        <w:t>Report: Radio-based technologies in support of understanding, assessing and mitigating the effects of climate change, 2012</w:t>
      </w:r>
    </w:p>
    <w:p w:rsidR="002A103D" w:rsidRDefault="00606EA3" w:rsidP="00606EA3">
      <w:pPr>
        <w:jc w:val="center"/>
        <w:rPr>
          <w:lang w:val="en-US"/>
        </w:rPr>
      </w:pPr>
      <w:r w:rsidRPr="00672CEC">
        <w:rPr>
          <w:lang w:val="fr-CH"/>
        </w:rPr>
        <w:t>__________</w:t>
      </w:r>
      <w:r>
        <w:rPr>
          <w:lang w:val="fr-CH"/>
        </w:rPr>
        <w:t>___</w:t>
      </w:r>
    </w:p>
    <w:sectPr w:rsidR="002A103D" w:rsidSect="00CC3E98">
      <w:headerReference w:type="even" r:id="rId225"/>
      <w:headerReference w:type="default" r:id="rId226"/>
      <w:footerReference w:type="even" r:id="rId227"/>
      <w:footerReference w:type="default" r:id="rId228"/>
      <w:endnotePr>
        <w:numFmt w:val="decimal"/>
      </w:endnotePr>
      <w:type w:val="oddPage"/>
      <w:pgSz w:w="11907" w:h="16840" w:code="9"/>
      <w:pgMar w:top="1418" w:right="1418" w:bottom="1418" w:left="1418" w:header="709" w:footer="709" w:gutter="0"/>
      <w:pgNumType w:start="47"/>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06EA3" w:rsidRPr="0034180A" w:rsidRDefault="00606EA3" w:rsidP="00837668">
      <w:pPr>
        <w:pStyle w:val="Footer"/>
      </w:pPr>
    </w:p>
    <w:p w:rsidR="00606EA3" w:rsidRDefault="00606EA3"/>
    <w:p w:rsidR="00606EA3" w:rsidRDefault="00606EA3"/>
  </w:endnote>
  <w:endnote w:type="continuationSeparator" w:id="0">
    <w:p w:rsidR="00606EA3" w:rsidRPr="0034180A" w:rsidRDefault="00606EA3" w:rsidP="00837668">
      <w:pPr>
        <w:pStyle w:val="Footer"/>
      </w:pPr>
    </w:p>
    <w:p w:rsidR="00606EA3" w:rsidRDefault="00606EA3"/>
    <w:p w:rsidR="00606EA3" w:rsidRDefault="00606EA3"/>
  </w:endnote>
  <w:endnote w:type="continuationNotice" w:id="1">
    <w:p w:rsidR="00606EA3" w:rsidRDefault="00606EA3"/>
    <w:p w:rsidR="00606EA3" w:rsidRDefault="00606EA3"/>
    <w:p w:rsidR="00606EA3" w:rsidRDefault="00606EA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Helvetica">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Helvetica-Narrow">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embedRegular r:id="rId1" w:fontKey="{2D543830-40E6-43A1-B6F4-494B44769BF3}"/>
    <w:embedBold r:id="rId2" w:fontKey="{4990B2E5-D961-4F28-91E1-B283B70CB456}"/>
    <w:embedItalic r:id="rId3" w:fontKey="{AC4C8EA1-CDF5-4444-B5CE-DE484530BD73}"/>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embedRegular r:id="rId4" w:fontKey="{37C20330-663E-43CD-B856-B10083AE7436}"/>
    <w:embedBold r:id="rId5" w:fontKey="{ED88DE18-4470-4BC3-A73E-AEC878D223BC}"/>
    <w:embedItalic r:id="rId6" w:fontKey="{0A82B12E-486F-4477-BE2F-A0AF8385A632}"/>
    <w:embedBoldItalic r:id="rId7" w:fontKey="{21163318-AB9B-4214-B90F-46C9E59ECF05}"/>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9060101010101"/>
    <w:charset w:val="86"/>
    <w:family w:val="modern"/>
    <w:notTrueType/>
    <w:pitch w:val="fixed"/>
    <w:sig w:usb0="00000001" w:usb1="080E0000" w:usb2="00000010" w:usb3="00000000" w:csb0="00040000" w:csb1="00000000"/>
  </w:font>
  <w:font w:name="Simplified Arabic">
    <w:panose1 w:val="02020603050405020304"/>
    <w:charset w:val="00"/>
    <w:family w:val="roman"/>
    <w:pitch w:val="variable"/>
    <w:sig w:usb0="00002003" w:usb1="00000000" w:usb2="00000000" w:usb3="00000000" w:csb0="00000041" w:csb1="00000000"/>
  </w:font>
  <w:font w:name="Zurich UBlkEx BT">
    <w:panose1 w:val="020B0907040502030204"/>
    <w:charset w:val="00"/>
    <w:family w:val="swiss"/>
    <w:pitch w:val="variable"/>
    <w:sig w:usb0="00000087" w:usb1="00000000" w:usb2="00000000" w:usb3="00000000" w:csb0="0000001B"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Bold">
    <w:panose1 w:val="020B0704020202020204"/>
    <w:charset w:val="00"/>
    <w:family w:val="roman"/>
    <w:notTrueType/>
    <w:pitch w:val="default"/>
  </w:font>
  <w:font w:name="Lucida Grande">
    <w:altName w:val="Arial"/>
    <w:charset w:val="00"/>
    <w:family w:val="auto"/>
    <w:pitch w:val="variable"/>
    <w:sig w:usb0="E1000AEF" w:usb1="5000A1FF" w:usb2="00000000" w:usb3="00000000" w:csb0="000001BF" w:csb1="00000000"/>
  </w:font>
  <w:font w:name="Times New Roman Bold">
    <w:altName w:val="Times New Roman"/>
    <w:panose1 w:val="02020803070505020304"/>
    <w:charset w:val="00"/>
    <w:family w:val="roman"/>
    <w:pitch w:val="variable"/>
    <w:sig w:usb0="00003A87" w:usb1="00000000" w:usb2="00000000" w:usb3="00000000" w:csb0="000000FF" w:csb1="00000000"/>
  </w:font>
  <w:font w:name="Times New Roman italic">
    <w:panose1 w:val="00000000000000000000"/>
    <w:charset w:val="00"/>
    <w:family w:val="roman"/>
    <w:notTrueType/>
    <w:pitch w:val="default"/>
  </w:font>
  <w:font w:name="Traditional Arabic">
    <w:panose1 w:val="02020603050405020304"/>
    <w:charset w:val="B2"/>
    <w:family w:val="auto"/>
    <w:pitch w:val="variable"/>
    <w:sig w:usb0="00002001" w:usb1="00000000" w:usb2="00000000" w:usb3="00000000" w:csb0="00000040" w:csb1="00000000"/>
    <w:embedItalic r:id="rId8" w:subsetted="1" w:fontKey="{E32E9D03-78A9-4CB7-9AB8-EF7FD63065BD}"/>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Myriad Pro">
    <w:altName w:val="Arial"/>
    <w:panose1 w:val="00000000000000000000"/>
    <w:charset w:val="00"/>
    <w:family w:val="swiss"/>
    <w:notTrueType/>
    <w:pitch w:val="variable"/>
    <w:sig w:usb0="A00002AF" w:usb1="5000204B"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BoldItalic">
    <w:panose1 w:val="00000000000000000000"/>
    <w:charset w:val="00"/>
    <w:family w:val="swiss"/>
    <w:notTrueType/>
    <w:pitch w:val="default"/>
    <w:sig w:usb0="00000003" w:usb1="00000000" w:usb2="00000000" w:usb3="00000000" w:csb0="00000001" w:csb1="00000000"/>
  </w:font>
  <w:font w:name="HelveticaNeue-Light">
    <w:panose1 w:val="00000000000000000000"/>
    <w:charset w:val="00"/>
    <w:family w:val="swiss"/>
    <w:notTrueType/>
    <w:pitch w:val="default"/>
    <w:sig w:usb0="00000003" w:usb1="00000000" w:usb2="00000000" w:usb3="00000000" w:csb0="00000001" w:csb1="00000000"/>
  </w:font>
  <w:font w:name="FreeSerif">
    <w:panose1 w:val="00000000000000000000"/>
    <w:charset w:val="00"/>
    <w:family w:val="auto"/>
    <w:notTrueType/>
    <w:pitch w:val="default"/>
    <w:sig w:usb0="00000003" w:usb1="00000000" w:usb2="00000000" w:usb3="00000000" w:csb0="00000001" w:csb1="00000000"/>
  </w:font>
  <w:font w:name="Cambria Math">
    <w:panose1 w:val="02040503050406030204"/>
    <w:charset w:val="01"/>
    <w:family w:val="roman"/>
    <w:notTrueType/>
    <w:pitch w:val="variable"/>
  </w:font>
  <w:font w:name="MS Mincho">
    <w:altName w:val="ＭＳ 明朝"/>
    <w:panose1 w:val="02020609040205080304"/>
    <w:charset w:val="80"/>
    <w:family w:val="modern"/>
    <w:pitch w:val="fixed"/>
    <w:sig w:usb0="E00002FF" w:usb1="6AC7FDFB" w:usb2="00000012" w:usb3="00000000" w:csb0="0002009F" w:csb1="00000000"/>
  </w:font>
  <w:font w:name="Calibri,Bold">
    <w:panose1 w:val="00000000000000000000"/>
    <w:charset w:val="00"/>
    <w:family w:val="swiss"/>
    <w:notTrueType/>
    <w:pitch w:val="default"/>
    <w:sig w:usb0="00000003" w:usb1="00000000" w:usb2="00000000" w:usb3="00000000" w:csb0="00000001" w:csb1="00000000"/>
  </w:font>
  <w:font w:name="TimesNewRomanPSMT">
    <w:panose1 w:val="00000000000000000000"/>
    <w:charset w:val="00"/>
    <w:family w:val="auto"/>
    <w:notTrueType/>
    <w:pitch w:val="default"/>
    <w:sig w:usb0="00000003" w:usb1="00000000" w:usb2="00000000" w:usb3="00000000" w:csb0="00000001" w:csb1="00000000"/>
  </w:font>
  <w:font w:name="UNZGZF+ArialMT">
    <w:altName w:val="UNZGZF+ArialMT"/>
    <w:panose1 w:val="00000000000000000000"/>
    <w:charset w:val="00"/>
    <w:family w:val="swiss"/>
    <w:notTrueType/>
    <w:pitch w:val="default"/>
    <w:sig w:usb0="00000003" w:usb1="00000000" w:usb2="00000000" w:usb3="00000000" w:csb0="00000001" w:csb1="00000000"/>
  </w:font>
  <w:font w:name="UNZGZF+Arial-BoldMT">
    <w:altName w:val="UNZGZF+Arial-BoldMT"/>
    <w:panose1 w:val="00000000000000000000"/>
    <w:charset w:val="00"/>
    <w:family w:val="swiss"/>
    <w:notTrueType/>
    <w:pitch w:val="default"/>
    <w:sig w:usb0="00000003" w:usb1="00000000" w:usb2="00000000" w:usb3="00000000" w:csb0="00000001" w:csb1="00000000"/>
  </w:font>
  <w:font w:name="TimesNewRoman">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6EA3" w:rsidRPr="00F3255F" w:rsidRDefault="00606EA3" w:rsidP="00F3255F">
    <w:pPr>
      <w:pStyle w:val="Footer"/>
      <w:pBdr>
        <w:top w:val="none" w:sz="0" w:space="0" w:color="auto"/>
      </w:pBd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6EA3" w:rsidRDefault="00606EA3" w:rsidP="00A965D1">
    <w:pPr>
      <w:pStyle w:val="Footer"/>
      <w:tabs>
        <w:tab w:val="clear" w:pos="9071"/>
      </w:tabs>
      <w:bidi/>
      <w:ind w:left="0" w:right="6803"/>
      <w:jc w:val="left"/>
    </w:pPr>
    <w:r>
      <w:fldChar w:fldCharType="begin"/>
    </w:r>
    <w:r>
      <w:instrText xml:space="preserve"> PAGE </w:instrText>
    </w:r>
    <w:r>
      <w:fldChar w:fldCharType="separate"/>
    </w:r>
    <w:r w:rsidR="00433698">
      <w:rPr>
        <w:noProof/>
        <w:rtl/>
      </w:rPr>
      <w:t>98</w:t>
    </w:r>
    <w:r>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6EA3" w:rsidRDefault="00606EA3" w:rsidP="00A965D1">
    <w:pPr>
      <w:pStyle w:val="Footer"/>
      <w:bidi/>
      <w:jc w:val="left"/>
    </w:pPr>
    <w:r w:rsidRPr="009E2BB9">
      <w:tab/>
    </w:r>
    <w:r>
      <w:fldChar w:fldCharType="begin"/>
    </w:r>
    <w:r>
      <w:instrText xml:space="preserve"> PAGE </w:instrText>
    </w:r>
    <w:r>
      <w:fldChar w:fldCharType="separate"/>
    </w:r>
    <w:r w:rsidR="00433698">
      <w:rPr>
        <w:noProof/>
        <w:rtl/>
      </w:rPr>
      <w:t>99</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06EA3" w:rsidRDefault="00606EA3" w:rsidP="009319E4">
      <w:pPr>
        <w:spacing w:after="120"/>
      </w:pPr>
      <w:r>
        <w:separator/>
      </w:r>
    </w:p>
  </w:footnote>
  <w:footnote w:type="continuationSeparator" w:id="0">
    <w:p w:rsidR="00606EA3" w:rsidRDefault="00606EA3">
      <w:r>
        <w:continuationSeparator/>
      </w:r>
    </w:p>
    <w:p w:rsidR="00606EA3" w:rsidRDefault="00606EA3"/>
    <w:p w:rsidR="00606EA3" w:rsidRDefault="00606EA3"/>
    <w:p w:rsidR="00606EA3" w:rsidRDefault="00606EA3"/>
    <w:p w:rsidR="00606EA3" w:rsidRDefault="00606EA3"/>
    <w:p w:rsidR="00606EA3" w:rsidRDefault="00606EA3"/>
  </w:footnote>
  <w:footnote w:type="continuationNotice" w:id="1">
    <w:p w:rsidR="00606EA3" w:rsidRPr="006570A8" w:rsidRDefault="00606EA3" w:rsidP="006570A8">
      <w:pPr>
        <w:pStyle w:val="Footer"/>
      </w:pPr>
    </w:p>
  </w:footnote>
  <w:footnote w:id="2">
    <w:p w:rsidR="00606EA3" w:rsidRPr="002A103D" w:rsidRDefault="00606EA3" w:rsidP="00606EA3">
      <w:pPr>
        <w:autoSpaceDE w:val="0"/>
        <w:autoSpaceDN w:val="0"/>
        <w:adjustRightInd w:val="0"/>
        <w:spacing w:before="0"/>
        <w:rPr>
          <w:rFonts w:cs="Calibri,Bold"/>
          <w:sz w:val="18"/>
          <w:szCs w:val="18"/>
          <w:lang w:val="en-US"/>
        </w:rPr>
      </w:pPr>
      <w:r w:rsidRPr="00D51FC2">
        <w:rPr>
          <w:rStyle w:val="FootnoteReference"/>
          <w:szCs w:val="18"/>
        </w:rPr>
        <w:footnoteRef/>
      </w:r>
      <w:r w:rsidRPr="002A103D">
        <w:rPr>
          <w:sz w:val="18"/>
          <w:szCs w:val="18"/>
          <w:lang w:val="en-US"/>
        </w:rPr>
        <w:t xml:space="preserve"> </w:t>
      </w:r>
      <w:r>
        <w:rPr>
          <w:sz w:val="18"/>
          <w:szCs w:val="18"/>
          <w:lang w:val="en-US"/>
        </w:rPr>
        <w:t xml:space="preserve">   </w:t>
      </w:r>
      <w:r w:rsidRPr="002A103D">
        <w:rPr>
          <w:rFonts w:cs="Calibri,Bold"/>
          <w:sz w:val="18"/>
          <w:szCs w:val="18"/>
          <w:lang w:val="en-US"/>
        </w:rPr>
        <w:t>Information and communication technologies (ICTs) and climate change adaptation and mitigation: The case of Ghana</w:t>
      </w:r>
    </w:p>
  </w:footnote>
  <w:footnote w:id="3">
    <w:p w:rsidR="00606EA3" w:rsidRPr="000347CF" w:rsidRDefault="00606EA3" w:rsidP="00606EA3">
      <w:pPr>
        <w:pStyle w:val="FootnoteText"/>
        <w:spacing w:before="60"/>
        <w:jc w:val="left"/>
        <w:rPr>
          <w:rFonts w:asciiTheme="minorHAnsi" w:eastAsiaTheme="minorHAnsi" w:hAnsiTheme="minorHAnsi" w:cstheme="minorBidi"/>
          <w:lang w:val="en-GB" w:eastAsia="en-US"/>
        </w:rPr>
      </w:pPr>
      <w:r w:rsidRPr="00A5641A">
        <w:rPr>
          <w:rStyle w:val="FootnoteReference"/>
        </w:rPr>
        <w:footnoteRef/>
      </w:r>
      <w:r w:rsidRPr="00D51FC2">
        <w:rPr>
          <w:rFonts w:ascii="Verdana" w:hAnsi="Verdana"/>
        </w:rPr>
        <w:t xml:space="preserve"> </w:t>
      </w:r>
      <w:r>
        <w:rPr>
          <w:rFonts w:ascii="Verdana" w:hAnsi="Verdana"/>
        </w:rPr>
        <w:tab/>
      </w:r>
      <w:r w:rsidRPr="000347CF">
        <w:rPr>
          <w:rFonts w:asciiTheme="minorHAnsi" w:eastAsiaTheme="minorHAnsi" w:hAnsiTheme="minorHAnsi" w:cstheme="minorBidi"/>
          <w:lang w:val="en-GB" w:eastAsia="en-US"/>
        </w:rPr>
        <w:t xml:space="preserve">National Academy of Engineering, Greatest Engineering Achievements of the 20th Century, available at: </w:t>
      </w:r>
      <w:hyperlink r:id="rId1" w:history="1">
        <w:r w:rsidRPr="001B650C">
          <w:rPr>
            <w:rStyle w:val="Hyperlink"/>
            <w:rFonts w:asciiTheme="minorHAnsi" w:eastAsiaTheme="minorHAnsi" w:hAnsiTheme="minorHAnsi" w:cstheme="minorBidi"/>
            <w:lang w:val="en-GB" w:eastAsia="en-US"/>
          </w:rPr>
          <w:t>www.mae.ncsu.edu/eischen/courses/mae415/docs/GreatestEngineeringAchievements.pdf</w:t>
        </w:r>
      </w:hyperlink>
      <w:r w:rsidRPr="000347CF">
        <w:rPr>
          <w:rFonts w:asciiTheme="minorHAnsi" w:eastAsiaTheme="minorHAnsi" w:hAnsiTheme="minorHAnsi" w:cstheme="minorBidi"/>
          <w:lang w:val="en-GB" w:eastAsia="en-US"/>
        </w:rPr>
        <w:t>, December 12, 2012</w:t>
      </w:r>
    </w:p>
  </w:footnote>
  <w:footnote w:id="4">
    <w:p w:rsidR="00606EA3" w:rsidRPr="00B67DEF" w:rsidRDefault="00606EA3" w:rsidP="00606EA3">
      <w:pPr>
        <w:pStyle w:val="FootnoteText"/>
        <w:rPr>
          <w:rFonts w:asciiTheme="minorHAnsi" w:eastAsiaTheme="minorHAnsi" w:hAnsiTheme="minorHAnsi" w:cstheme="minorBidi"/>
          <w:lang w:val="en-GB" w:eastAsia="en-US"/>
        </w:rPr>
      </w:pPr>
      <w:r w:rsidRPr="00A5641A">
        <w:rPr>
          <w:rStyle w:val="FootnoteReference"/>
        </w:rPr>
        <w:footnoteRef/>
      </w:r>
      <w:r>
        <w:rPr>
          <w:rFonts w:ascii="Verdana" w:hAnsi="Verdana"/>
        </w:rPr>
        <w:tab/>
      </w:r>
      <w:r w:rsidRPr="00B67DEF">
        <w:rPr>
          <w:rFonts w:asciiTheme="minorHAnsi" w:eastAsiaTheme="minorHAnsi" w:hAnsiTheme="minorHAnsi" w:cstheme="minorBidi"/>
          <w:lang w:val="en-GB" w:eastAsia="en-US"/>
        </w:rPr>
        <w:t xml:space="preserve">Litos Strategic Communication, The Smart Grid: An Introduction, available at: </w:t>
      </w:r>
      <w:hyperlink r:id="rId2" w:history="1">
        <w:r w:rsidRPr="00CC2EE6">
          <w:rPr>
            <w:rStyle w:val="Hyperlink"/>
            <w:rFonts w:asciiTheme="minorHAnsi" w:eastAsiaTheme="minorHAnsi" w:hAnsiTheme="minorHAnsi" w:cstheme="minorBidi"/>
            <w:lang w:val="en-GB" w:eastAsia="en-US"/>
          </w:rPr>
          <w:t>http://energy.gov/sites/prod/files/oeprod/DocumentsandMedia/DOE_SG_Book_Single_Pages%281%29.pdf</w:t>
        </w:r>
      </w:hyperlink>
      <w:r w:rsidRPr="00B67DEF">
        <w:rPr>
          <w:rFonts w:asciiTheme="minorHAnsi" w:eastAsiaTheme="minorHAnsi" w:hAnsiTheme="minorHAnsi" w:cstheme="minorBidi"/>
          <w:lang w:val="en-GB" w:eastAsia="en-US"/>
        </w:rPr>
        <w:t>, December 12, 2012</w:t>
      </w:r>
    </w:p>
  </w:footnote>
  <w:footnote w:id="5">
    <w:p w:rsidR="00606EA3" w:rsidRPr="00342252" w:rsidRDefault="00606EA3" w:rsidP="00606EA3">
      <w:pPr>
        <w:pStyle w:val="FootnoteText"/>
      </w:pPr>
      <w:r w:rsidRPr="00A5641A">
        <w:rPr>
          <w:rStyle w:val="FootnoteReference"/>
        </w:rPr>
        <w:footnoteRef/>
      </w:r>
      <w:r>
        <w:rPr>
          <w:rFonts w:ascii="Verdana" w:hAnsi="Verdana"/>
        </w:rPr>
        <w:tab/>
      </w:r>
      <w:r w:rsidRPr="00342252">
        <w:t xml:space="preserve">J. Woudhuysen, J. Kaplinsky, P. Seaman, How to make blackouts a thing of the past, available at: </w:t>
      </w:r>
      <w:hyperlink r:id="rId3" w:history="1">
        <w:r w:rsidRPr="00E108AC">
          <w:rPr>
            <w:rStyle w:val="Hyperlink"/>
          </w:rPr>
          <w:t>www.spiked-online.com/site/article/12942/</w:t>
        </w:r>
      </w:hyperlink>
      <w:r w:rsidRPr="00342252">
        <w:t>, December 18, 2012</w:t>
      </w:r>
    </w:p>
  </w:footnote>
  <w:footnote w:id="6">
    <w:p w:rsidR="00606EA3" w:rsidRPr="008706D5" w:rsidRDefault="00606EA3" w:rsidP="00606EA3">
      <w:pPr>
        <w:pStyle w:val="FootnoteText"/>
        <w:rPr>
          <w:rStyle w:val="FootnoteReference"/>
          <w:lang w:val="en-US"/>
        </w:rPr>
      </w:pPr>
      <w:r w:rsidRPr="00A5641A">
        <w:rPr>
          <w:rStyle w:val="FootnoteReference"/>
        </w:rPr>
        <w:footnoteRef/>
      </w:r>
      <w:r>
        <w:rPr>
          <w:rFonts w:ascii="Verdana" w:hAnsi="Verdana"/>
        </w:rPr>
        <w:tab/>
      </w:r>
      <w:r w:rsidRPr="00342252">
        <w:t xml:space="preserve">The Automatic Earth, India Power Outrage: The Shape of Things to Come?, available at: </w:t>
      </w:r>
      <w:hyperlink r:id="rId4" w:history="1">
        <w:r w:rsidRPr="00E108AC">
          <w:rPr>
            <w:rStyle w:val="Hyperlink"/>
          </w:rPr>
          <w:t>http://theautomaticearth.com/Energy/india-power-outage-the-shape-of-things-to-come.html</w:t>
        </w:r>
      </w:hyperlink>
      <w:r w:rsidRPr="00342252">
        <w:t>, December 18, 2012</w:t>
      </w:r>
    </w:p>
  </w:footnote>
  <w:footnote w:id="7">
    <w:p w:rsidR="00606EA3" w:rsidRPr="00342252" w:rsidRDefault="00606EA3" w:rsidP="00606EA3">
      <w:pPr>
        <w:pStyle w:val="FootnoteText"/>
      </w:pPr>
      <w:r w:rsidRPr="00A5641A">
        <w:rPr>
          <w:rStyle w:val="FootnoteReference"/>
        </w:rPr>
        <w:footnoteRef/>
      </w:r>
      <w:r w:rsidRPr="00D51FC2">
        <w:rPr>
          <w:rFonts w:ascii="Verdana" w:hAnsi="Verdana"/>
        </w:rPr>
        <w:t xml:space="preserve"> </w:t>
      </w:r>
      <w:r>
        <w:rPr>
          <w:rFonts w:ascii="Verdana" w:hAnsi="Verdana"/>
        </w:rPr>
        <w:tab/>
      </w:r>
      <w:r w:rsidRPr="00342252">
        <w:t xml:space="preserve">ITU, Boosting energy efficiency through Smart Grids, 2012, 6, available at: </w:t>
      </w:r>
      <w:hyperlink r:id="rId5" w:history="1">
        <w:r w:rsidRPr="00E108AC">
          <w:rPr>
            <w:rStyle w:val="Hyperlink"/>
          </w:rPr>
          <w:t>www.itu.int/ITU-T/climatechange/report-smartgrids.html</w:t>
        </w:r>
      </w:hyperlink>
      <w:r w:rsidRPr="00342252">
        <w:t>, January 22, 2013</w:t>
      </w:r>
    </w:p>
  </w:footnote>
  <w:footnote w:id="8">
    <w:p w:rsidR="00606EA3" w:rsidRPr="008D7E35" w:rsidRDefault="00606EA3" w:rsidP="00606EA3">
      <w:pPr>
        <w:pStyle w:val="FootnoteText"/>
      </w:pPr>
      <w:r w:rsidRPr="00695DC9">
        <w:rPr>
          <w:rStyle w:val="FootnoteReference"/>
        </w:rPr>
        <w:footnoteRef/>
      </w:r>
      <w:r w:rsidRPr="00D51FC2">
        <w:rPr>
          <w:rFonts w:ascii="Verdana" w:hAnsi="Verdana"/>
        </w:rPr>
        <w:t xml:space="preserve"> </w:t>
      </w:r>
      <w:r>
        <w:rPr>
          <w:rFonts w:ascii="Verdana" w:hAnsi="Verdana"/>
        </w:rPr>
        <w:tab/>
      </w:r>
      <w:r w:rsidRPr="008D7E35">
        <w:t>Energy.gov, Smart grid</w:t>
      </w:r>
    </w:p>
  </w:footnote>
  <w:footnote w:id="9">
    <w:p w:rsidR="00606EA3" w:rsidRPr="008D7E35" w:rsidRDefault="00606EA3" w:rsidP="00606EA3">
      <w:pPr>
        <w:pStyle w:val="FootnoteText"/>
      </w:pPr>
      <w:r w:rsidRPr="00695DC9">
        <w:rPr>
          <w:rStyle w:val="FootnoteReference"/>
        </w:rPr>
        <w:footnoteRef/>
      </w:r>
      <w:r w:rsidRPr="00D51FC2">
        <w:rPr>
          <w:rFonts w:ascii="Verdana" w:hAnsi="Verdana"/>
        </w:rPr>
        <w:t xml:space="preserve"> </w:t>
      </w:r>
      <w:r>
        <w:rPr>
          <w:rFonts w:ascii="Verdana" w:hAnsi="Verdana"/>
        </w:rPr>
        <w:tab/>
      </w:r>
      <w:r w:rsidRPr="008D7E35">
        <w:t>Smartgrid.gov, The Smart Grid</w:t>
      </w:r>
    </w:p>
  </w:footnote>
  <w:footnote w:id="10">
    <w:p w:rsidR="00606EA3" w:rsidRPr="008D7E35" w:rsidRDefault="00606EA3" w:rsidP="00606EA3">
      <w:pPr>
        <w:pStyle w:val="FootnoteText"/>
      </w:pPr>
      <w:r w:rsidRPr="00695DC9">
        <w:rPr>
          <w:rStyle w:val="FootnoteReference"/>
        </w:rPr>
        <w:footnoteRef/>
      </w:r>
      <w:r w:rsidRPr="00D51FC2">
        <w:rPr>
          <w:rFonts w:ascii="Verdana" w:hAnsi="Verdana"/>
        </w:rPr>
        <w:t xml:space="preserve"> </w:t>
      </w:r>
      <w:r>
        <w:rPr>
          <w:rFonts w:ascii="Verdana" w:hAnsi="Verdana"/>
        </w:rPr>
        <w:tab/>
      </w:r>
      <w:r w:rsidRPr="008D7E35">
        <w:t xml:space="preserve">Energy.gov, Demand response, available at: </w:t>
      </w:r>
      <w:hyperlink r:id="rId6" w:history="1">
        <w:r w:rsidRPr="00E108AC">
          <w:rPr>
            <w:rStyle w:val="Hyperlink"/>
          </w:rPr>
          <w:t>http://energy.gov/oe/technology-development/smart-grid/demand-response</w:t>
        </w:r>
      </w:hyperlink>
      <w:r w:rsidRPr="008D7E35">
        <w:t>, December 10, 2012</w:t>
      </w:r>
    </w:p>
  </w:footnote>
  <w:footnote w:id="11">
    <w:p w:rsidR="00606EA3" w:rsidRPr="0096280E" w:rsidRDefault="00606EA3" w:rsidP="00606EA3">
      <w:pPr>
        <w:pStyle w:val="FootnoteText"/>
      </w:pPr>
      <w:r w:rsidRPr="00E04838">
        <w:rPr>
          <w:rStyle w:val="FootnoteReference"/>
        </w:rPr>
        <w:footnoteRef/>
      </w:r>
      <w:r w:rsidRPr="00D51FC2">
        <w:rPr>
          <w:rFonts w:ascii="Verdana" w:hAnsi="Verdana"/>
        </w:rPr>
        <w:t xml:space="preserve"> </w:t>
      </w:r>
      <w:r>
        <w:rPr>
          <w:rFonts w:ascii="Verdana" w:hAnsi="Verdana"/>
        </w:rPr>
        <w:tab/>
      </w:r>
      <w:r w:rsidRPr="0096280E">
        <w:t>Smartgrid.gov, The Smart Grid</w:t>
      </w:r>
    </w:p>
  </w:footnote>
  <w:footnote w:id="12">
    <w:p w:rsidR="00606EA3" w:rsidRPr="0096280E" w:rsidRDefault="00606EA3" w:rsidP="00606EA3">
      <w:pPr>
        <w:pStyle w:val="FootnoteText"/>
      </w:pPr>
      <w:r w:rsidRPr="00E04838">
        <w:rPr>
          <w:rStyle w:val="FootnoteReference"/>
        </w:rPr>
        <w:footnoteRef/>
      </w:r>
      <w:r>
        <w:rPr>
          <w:rFonts w:ascii="Verdana" w:hAnsi="Verdana"/>
        </w:rPr>
        <w:tab/>
      </w:r>
      <w:r w:rsidRPr="00745FFF">
        <w:t>Wikipedia</w:t>
      </w:r>
      <w:r w:rsidRPr="0096280E">
        <w:t xml:space="preserve">, Advanced Metering Infrastructure, available at: </w:t>
      </w:r>
      <w:hyperlink r:id="rId7" w:anchor="Advanced_metering_infrastructure" w:history="1">
        <w:r w:rsidRPr="00E108AC">
          <w:rPr>
            <w:rStyle w:val="Hyperlink"/>
          </w:rPr>
          <w:t>http://en.wikipedia.org/wiki/Advanced_Metering_</w:t>
        </w:r>
        <w:r w:rsidRPr="00E108AC">
          <w:rPr>
            <w:rStyle w:val="Hyperlink"/>
          </w:rPr>
          <w:br/>
          <w:t>Infrastructure#Advanced_metering_infrastructure</w:t>
        </w:r>
      </w:hyperlink>
      <w:r w:rsidRPr="0096280E">
        <w:t>, 7 December 2012</w:t>
      </w:r>
      <w:r>
        <w:t xml:space="preserve">  </w:t>
      </w:r>
    </w:p>
  </w:footnote>
  <w:footnote w:id="13">
    <w:p w:rsidR="00606EA3" w:rsidRPr="0096280E" w:rsidRDefault="00606EA3" w:rsidP="00606EA3">
      <w:pPr>
        <w:pStyle w:val="FootnoteText"/>
      </w:pPr>
      <w:r w:rsidRPr="00E04838">
        <w:rPr>
          <w:rStyle w:val="FootnoteReference"/>
        </w:rPr>
        <w:footnoteRef/>
      </w:r>
      <w:r>
        <w:rPr>
          <w:rFonts w:ascii="Verdana" w:hAnsi="Verdana"/>
        </w:rPr>
        <w:tab/>
      </w:r>
      <w:r w:rsidRPr="0096280E">
        <w:t xml:space="preserve">Communication from the Commission to the European Parliament, the Council, the European Economic and Social Committee and the Committee of the Regions, Energy Roadmap 2050, Brussels, 15.12.2011, COM(2011) 885 final, available at: </w:t>
      </w:r>
      <w:hyperlink r:id="rId8" w:history="1">
        <w:r w:rsidRPr="00E108AC">
          <w:rPr>
            <w:rStyle w:val="Hyperlink"/>
          </w:rPr>
          <w:t>http://eur-lex.europa.eu/LexUriServ/LexUriServ.do?uri=COM:2011:0885:FIN:EN:PDF</w:t>
        </w:r>
      </w:hyperlink>
      <w:r w:rsidRPr="0096280E">
        <w:t>, 20 December 2012</w:t>
      </w:r>
    </w:p>
  </w:footnote>
  <w:footnote w:id="14">
    <w:p w:rsidR="00606EA3" w:rsidRPr="0096280E" w:rsidRDefault="00606EA3" w:rsidP="00606EA3">
      <w:pPr>
        <w:pStyle w:val="FootnoteText"/>
      </w:pPr>
      <w:r w:rsidRPr="00E04838">
        <w:rPr>
          <w:rStyle w:val="FootnoteReference"/>
        </w:rPr>
        <w:footnoteRef/>
      </w:r>
      <w:r>
        <w:rPr>
          <w:rFonts w:ascii="Verdana" w:hAnsi="Verdana"/>
        </w:rPr>
        <w:tab/>
      </w:r>
      <w:r w:rsidRPr="0096280E">
        <w:t xml:space="preserve">R. Lyster, Smart Grids: Opportunities for Climate Change Mitigation and Adaptation, (June 21, 2010). Sydney Law School Research Paper No. 10/57, 5, available at: </w:t>
      </w:r>
      <w:hyperlink r:id="rId9" w:history="1">
        <w:r w:rsidRPr="00E108AC">
          <w:rPr>
            <w:rStyle w:val="Hyperlink"/>
          </w:rPr>
          <w:t>http://ssrn.com/abstract=1628405</w:t>
        </w:r>
      </w:hyperlink>
      <w:r w:rsidRPr="0096280E">
        <w:t>, 16 November 2012</w:t>
      </w:r>
    </w:p>
  </w:footnote>
  <w:footnote w:id="15">
    <w:p w:rsidR="00606EA3" w:rsidRPr="0096280E" w:rsidRDefault="00606EA3" w:rsidP="00606EA3">
      <w:pPr>
        <w:pStyle w:val="FootnoteText"/>
      </w:pPr>
      <w:r w:rsidRPr="00E04838">
        <w:rPr>
          <w:rStyle w:val="FootnoteReference"/>
        </w:rPr>
        <w:footnoteRef/>
      </w:r>
      <w:r>
        <w:rPr>
          <w:rFonts w:ascii="Verdana" w:hAnsi="Verdana"/>
        </w:rPr>
        <w:tab/>
      </w:r>
      <w:r w:rsidRPr="0096280E">
        <w:t xml:space="preserve">Emerson Network Power, What Smart Grid Means to You, available at: </w:t>
      </w:r>
      <w:hyperlink r:id="rId10" w:history="1">
        <w:r w:rsidRPr="00E108AC">
          <w:rPr>
            <w:rStyle w:val="Hyperlink"/>
          </w:rPr>
          <w:t>www.cisco.com/web/partners/downloads/765/other/WhatSmartGridMeansToYou.pdf</w:t>
        </w:r>
      </w:hyperlink>
      <w:r w:rsidRPr="0096280E">
        <w:t>, 20 December 2012</w:t>
      </w:r>
    </w:p>
  </w:footnote>
  <w:footnote w:id="16">
    <w:p w:rsidR="00606EA3" w:rsidRPr="0096280E" w:rsidRDefault="00606EA3" w:rsidP="00606EA3">
      <w:pPr>
        <w:pStyle w:val="FootnoteText"/>
      </w:pPr>
      <w:r w:rsidRPr="00E04838">
        <w:rPr>
          <w:rStyle w:val="FootnoteReference"/>
        </w:rPr>
        <w:footnoteRef/>
      </w:r>
      <w:r w:rsidRPr="00D51FC2">
        <w:rPr>
          <w:rFonts w:ascii="Verdana" w:hAnsi="Verdana"/>
        </w:rPr>
        <w:t xml:space="preserve"> </w:t>
      </w:r>
      <w:r>
        <w:rPr>
          <w:rFonts w:ascii="Verdana" w:hAnsi="Verdana"/>
        </w:rPr>
        <w:tab/>
      </w:r>
      <w:r w:rsidRPr="0096280E">
        <w:t xml:space="preserve">ITU, Information and communication technologies (ICTs) and climate change adaptation and mitigation : The case of Ghana, 2012, available at: </w:t>
      </w:r>
      <w:hyperlink r:id="rId11" w:history="1">
        <w:r w:rsidRPr="00E108AC">
          <w:rPr>
            <w:rStyle w:val="Hyperlink"/>
          </w:rPr>
          <w:t>www.itu.int/dms_pub/itu-t/oth/4B/01/T4B010000020001PDFE.pdf</w:t>
        </w:r>
      </w:hyperlink>
      <w:r w:rsidRPr="0096280E">
        <w:t>, 19 November 2012</w:t>
      </w:r>
    </w:p>
  </w:footnote>
  <w:footnote w:id="17">
    <w:p w:rsidR="00606EA3" w:rsidRPr="008706D5" w:rsidRDefault="00606EA3" w:rsidP="00606EA3">
      <w:pPr>
        <w:pStyle w:val="FootnoteText"/>
      </w:pPr>
      <w:r w:rsidRPr="00D03C23">
        <w:rPr>
          <w:rStyle w:val="FootnoteReference"/>
        </w:rPr>
        <w:footnoteRef/>
      </w:r>
      <w:r w:rsidRPr="00D51FC2">
        <w:rPr>
          <w:rFonts w:ascii="Verdana" w:hAnsi="Verdana"/>
        </w:rPr>
        <w:t xml:space="preserve"> </w:t>
      </w:r>
      <w:r>
        <w:rPr>
          <w:rFonts w:ascii="Verdana" w:hAnsi="Verdana"/>
        </w:rPr>
        <w:tab/>
      </w:r>
      <w:r w:rsidRPr="008706D5">
        <w:t>ITU, Boosting energy efficiency through Smart Grids, 2012, 8.</w:t>
      </w:r>
    </w:p>
  </w:footnote>
  <w:footnote w:id="18">
    <w:p w:rsidR="00606EA3" w:rsidRPr="008706D5" w:rsidRDefault="00606EA3" w:rsidP="00606EA3">
      <w:pPr>
        <w:pStyle w:val="FootnoteText"/>
      </w:pPr>
      <w:r w:rsidRPr="00D03C23">
        <w:rPr>
          <w:rStyle w:val="FootnoteReference"/>
        </w:rPr>
        <w:footnoteRef/>
      </w:r>
      <w:r w:rsidRPr="00D51FC2">
        <w:rPr>
          <w:rFonts w:ascii="Verdana" w:hAnsi="Verdana"/>
        </w:rPr>
        <w:t xml:space="preserve"> </w:t>
      </w:r>
      <w:r>
        <w:rPr>
          <w:rFonts w:ascii="Verdana" w:hAnsi="Verdana"/>
        </w:rPr>
        <w:tab/>
      </w:r>
      <w:r w:rsidRPr="008706D5">
        <w:t xml:space="preserve">Smartgrid.gov, The Smart Home, available at: </w:t>
      </w:r>
      <w:hyperlink r:id="rId12" w:anchor="smart_home" w:history="1">
        <w:r w:rsidRPr="00E108AC">
          <w:rPr>
            <w:rStyle w:val="Hyperlink"/>
          </w:rPr>
          <w:t>www.smartgrid.gov/the_smart_grid#smart_home</w:t>
        </w:r>
      </w:hyperlink>
      <w:r w:rsidRPr="008706D5">
        <w:t>, 11 December 2012</w:t>
      </w:r>
    </w:p>
  </w:footnote>
  <w:footnote w:id="19">
    <w:p w:rsidR="00606EA3" w:rsidRPr="0096280E" w:rsidRDefault="00606EA3" w:rsidP="00606EA3">
      <w:pPr>
        <w:pStyle w:val="FootnoteText"/>
      </w:pPr>
      <w:r w:rsidRPr="00D03C23">
        <w:rPr>
          <w:rStyle w:val="FootnoteReference"/>
        </w:rPr>
        <w:footnoteRef/>
      </w:r>
      <w:r w:rsidRPr="00D51FC2">
        <w:rPr>
          <w:rFonts w:ascii="Verdana" w:hAnsi="Verdana"/>
        </w:rPr>
        <w:t xml:space="preserve"> </w:t>
      </w:r>
      <w:r>
        <w:rPr>
          <w:rFonts w:ascii="Verdana" w:hAnsi="Verdana"/>
        </w:rPr>
        <w:tab/>
      </w:r>
      <w:r w:rsidRPr="0096280E">
        <w:t xml:space="preserve">P. Swire, Smart Grid, Smart Broadband, Smart Infrastructure, Center for American Progress, April 2009, available at: </w:t>
      </w:r>
      <w:hyperlink r:id="rId13" w:history="1">
        <w:r w:rsidRPr="00E108AC">
          <w:rPr>
            <w:rStyle w:val="Hyperlink"/>
          </w:rPr>
          <w:t>www.americanprogress.org/wp-content/uploads/issues/2009/04/pdf/smart_infrastructure.pdf</w:t>
        </w:r>
      </w:hyperlink>
      <w:r w:rsidRPr="0096280E">
        <w:t>, 21 December 2012</w:t>
      </w:r>
    </w:p>
  </w:footnote>
  <w:footnote w:id="20">
    <w:p w:rsidR="00606EA3" w:rsidRPr="0096280E" w:rsidRDefault="00606EA3" w:rsidP="00606EA3">
      <w:pPr>
        <w:pStyle w:val="FootnoteText"/>
      </w:pPr>
      <w:r w:rsidRPr="00D03C23">
        <w:rPr>
          <w:rStyle w:val="FootnoteReference"/>
        </w:rPr>
        <w:footnoteRef/>
      </w:r>
      <w:r w:rsidRPr="00D51FC2">
        <w:rPr>
          <w:rFonts w:ascii="Verdana" w:hAnsi="Verdana"/>
        </w:rPr>
        <w:t xml:space="preserve"> </w:t>
      </w:r>
      <w:r>
        <w:rPr>
          <w:rFonts w:ascii="Verdana" w:hAnsi="Verdana"/>
        </w:rPr>
        <w:tab/>
      </w:r>
      <w:r w:rsidRPr="0096280E">
        <w:t xml:space="preserve">G. Galang et al., Real-time Detection of Water Pollution using Biosensors and Live Animal Behaviour Models, 6th eResearch Australian Conference, available at: </w:t>
      </w:r>
      <w:hyperlink r:id="rId14" w:history="1">
        <w:r w:rsidRPr="00E108AC">
          <w:rPr>
            <w:rStyle w:val="Hyperlink"/>
          </w:rPr>
          <w:t>www.eresearch.unimelb.edu.au/__data/assets/pdf_file/</w:t>
        </w:r>
        <w:r w:rsidRPr="00E108AC">
          <w:rPr>
            <w:rStyle w:val="Hyperlink"/>
          </w:rPr>
          <w:br/>
          <w:t>0004/622957/ALARM-final_Sep12.pdf</w:t>
        </w:r>
      </w:hyperlink>
      <w:r w:rsidRPr="0096280E">
        <w:t>, 21 December 2012</w:t>
      </w:r>
    </w:p>
  </w:footnote>
  <w:footnote w:id="21">
    <w:p w:rsidR="00606EA3" w:rsidRPr="00D51FC2" w:rsidRDefault="00606EA3" w:rsidP="00606EA3">
      <w:pPr>
        <w:pStyle w:val="FootnoteText"/>
        <w:rPr>
          <w:rFonts w:ascii="Verdana" w:hAnsi="Verdana"/>
        </w:rPr>
      </w:pPr>
      <w:r w:rsidRPr="00D03C23">
        <w:rPr>
          <w:rStyle w:val="FootnoteReference"/>
        </w:rPr>
        <w:footnoteRef/>
      </w:r>
      <w:r w:rsidRPr="00D51FC2">
        <w:rPr>
          <w:rFonts w:ascii="Verdana" w:hAnsi="Verdana"/>
        </w:rPr>
        <w:t xml:space="preserve"> </w:t>
      </w:r>
      <w:r>
        <w:rPr>
          <w:rFonts w:ascii="Verdana" w:hAnsi="Verdana"/>
        </w:rPr>
        <w:tab/>
      </w:r>
      <w:r w:rsidRPr="0096280E">
        <w:t xml:space="preserve">R. Naik, J. Singh, H.P. Le, “Intelligent Communication Module for Wireless Biosensor Networks”, Biosensors (edited by P.A. Serra), INTECH, Croatia, February 2010, available at: </w:t>
      </w:r>
      <w:hyperlink r:id="rId15" w:history="1">
        <w:r w:rsidRPr="00E108AC">
          <w:rPr>
            <w:rStyle w:val="Hyperlink"/>
          </w:rPr>
          <w:t>http://cdn.intechopen.com/pdfs/6923/InTech-Intelligent_communication_module_for_wireless_biosensor_networks.pdf</w:t>
        </w:r>
      </w:hyperlink>
      <w:r w:rsidRPr="0096280E">
        <w:t>, 21 December 2012</w:t>
      </w:r>
      <w:r w:rsidRPr="00D51FC2">
        <w:rPr>
          <w:rFonts w:ascii="Verdana" w:hAnsi="Verdana"/>
        </w:rPr>
        <w:t xml:space="preserve"> </w:t>
      </w:r>
    </w:p>
  </w:footnote>
  <w:footnote w:id="22">
    <w:p w:rsidR="00606EA3" w:rsidRPr="0096280E" w:rsidRDefault="00606EA3" w:rsidP="00606EA3">
      <w:pPr>
        <w:pStyle w:val="FootnoteText"/>
      </w:pPr>
      <w:r w:rsidRPr="00D03C23">
        <w:rPr>
          <w:rStyle w:val="FootnoteReference"/>
        </w:rPr>
        <w:footnoteRef/>
      </w:r>
      <w:r w:rsidRPr="00D51FC2">
        <w:rPr>
          <w:rFonts w:ascii="Verdana" w:hAnsi="Verdana"/>
        </w:rPr>
        <w:t xml:space="preserve"> </w:t>
      </w:r>
      <w:r>
        <w:rPr>
          <w:rFonts w:ascii="Verdana" w:hAnsi="Verdana"/>
        </w:rPr>
        <w:tab/>
      </w:r>
      <w:r w:rsidRPr="0096280E">
        <w:t xml:space="preserve">Centre for Aquatic Pollution Identification and Management, Autonomous Live Animal Response Monitors (ALARM), available at: </w:t>
      </w:r>
      <w:hyperlink r:id="rId16" w:history="1">
        <w:r w:rsidRPr="00E108AC">
          <w:rPr>
            <w:rStyle w:val="Hyperlink"/>
          </w:rPr>
          <w:t>http://capim.com.au/index.php?page=prac</w:t>
        </w:r>
      </w:hyperlink>
      <w:r w:rsidRPr="0096280E">
        <w:t>, 21 December 2012</w:t>
      </w:r>
    </w:p>
  </w:footnote>
  <w:footnote w:id="23">
    <w:p w:rsidR="00606EA3" w:rsidRPr="00D03C23" w:rsidRDefault="00606EA3" w:rsidP="00606EA3">
      <w:pPr>
        <w:pStyle w:val="FootnoteText"/>
      </w:pPr>
      <w:r w:rsidRPr="00D03C23">
        <w:rPr>
          <w:rStyle w:val="FootnoteReference"/>
        </w:rPr>
        <w:footnoteRef/>
      </w:r>
      <w:r w:rsidRPr="00D51FC2">
        <w:rPr>
          <w:rFonts w:ascii="Verdana" w:hAnsi="Verdana"/>
        </w:rPr>
        <w:t xml:space="preserve"> </w:t>
      </w:r>
      <w:r>
        <w:rPr>
          <w:rFonts w:ascii="Verdana" w:hAnsi="Verdana"/>
        </w:rPr>
        <w:tab/>
      </w:r>
      <w:r w:rsidRPr="00D03C23">
        <w:t>Litos Strategic Communication, The Smart Grid: An Introduction</w:t>
      </w:r>
    </w:p>
  </w:footnote>
  <w:footnote w:id="24">
    <w:p w:rsidR="00606EA3" w:rsidRPr="00D51FC2" w:rsidRDefault="00606EA3" w:rsidP="00606EA3">
      <w:pPr>
        <w:pStyle w:val="FootnoteText"/>
      </w:pPr>
      <w:r w:rsidRPr="00745FFF">
        <w:rPr>
          <w:rStyle w:val="FootnoteReference"/>
        </w:rPr>
        <w:footnoteRef/>
      </w:r>
      <w:r w:rsidRPr="00745FFF">
        <w:rPr>
          <w:rStyle w:val="FootnoteReference"/>
          <w:lang w:val="en-US"/>
        </w:rPr>
        <w:t xml:space="preserve"> </w:t>
      </w:r>
      <w:r>
        <w:tab/>
      </w:r>
      <w:r w:rsidRPr="00D51FC2">
        <w:t xml:space="preserve">When it was found in 1961, WWF stood for the World Wildlife Fund. But the legal name became the World Wide Fund for Nature during the 1980s by expanding its work to conserve the environment as a whole, except in North America where the old name was retained.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6EA3" w:rsidRPr="00F3255F" w:rsidRDefault="00606EA3" w:rsidP="00F3255F">
    <w:pPr>
      <w:pStyle w:val="Header"/>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6EA3" w:rsidRPr="00A965D1" w:rsidRDefault="00A965D1" w:rsidP="00A965D1">
    <w:pPr>
      <w:pStyle w:val="Header"/>
      <w:bidi/>
      <w:spacing w:before="0"/>
      <w:rPr>
        <w:rFonts w:cstheme="minorBidi"/>
      </w:rPr>
    </w:pPr>
    <w:r w:rsidRPr="00755F4B">
      <w:rPr>
        <w:rFonts w:ascii="Verdana" w:hAnsi="Verdana" w:cs="Traditional Arabic" w:hint="cs"/>
        <w:szCs w:val="28"/>
        <w:rtl/>
      </w:rPr>
      <w:t xml:space="preserve">المسألة </w:t>
    </w:r>
    <w:r w:rsidRPr="00755F4B">
      <w:rPr>
        <w:rFonts w:ascii="Verdana" w:hAnsi="Verdana" w:cs="Traditional Arabic"/>
        <w:szCs w:val="28"/>
      </w:rPr>
      <w:t>24/2</w:t>
    </w:r>
    <w:r w:rsidRPr="00755F4B">
      <w:rPr>
        <w:rFonts w:ascii="Verdana" w:hAnsi="Verdana" w:cs="Traditional Arabic" w:hint="cs"/>
        <w:szCs w:val="28"/>
        <w:rtl/>
      </w:rPr>
      <w:t>: تكنولوجيا المعلومات والاتصالات وتغير المناخ</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6EA3" w:rsidRPr="00A965D1" w:rsidRDefault="00A965D1" w:rsidP="00A965D1">
    <w:pPr>
      <w:pStyle w:val="Header"/>
      <w:bidi/>
      <w:spacing w:before="0"/>
      <w:rPr>
        <w:rFonts w:cstheme="minorBidi"/>
      </w:rPr>
    </w:pPr>
    <w:r w:rsidRPr="00755F4B">
      <w:rPr>
        <w:rFonts w:ascii="Verdana" w:hAnsi="Verdana" w:cs="Traditional Arabic" w:hint="cs"/>
        <w:szCs w:val="28"/>
        <w:rtl/>
      </w:rPr>
      <w:t xml:space="preserve">المسألة </w:t>
    </w:r>
    <w:r w:rsidRPr="00755F4B">
      <w:rPr>
        <w:rFonts w:ascii="Verdana" w:hAnsi="Verdana" w:cs="Traditional Arabic"/>
        <w:szCs w:val="28"/>
      </w:rPr>
      <w:t>24/2</w:t>
    </w:r>
    <w:r w:rsidRPr="00755F4B">
      <w:rPr>
        <w:rFonts w:ascii="Verdana" w:hAnsi="Verdana" w:cs="Traditional Arabic" w:hint="cs"/>
        <w:szCs w:val="28"/>
        <w:rtl/>
      </w:rPr>
      <w:t>: تكنولوجيا المعلومات والاتصالات وتغير المناخ</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35pt;height:9.35pt" o:bullet="t">
        <v:imagedata r:id="rId1" o:title="BD10267_"/>
      </v:shape>
    </w:pict>
  </w:numPicBullet>
  <w:abstractNum w:abstractNumId="0">
    <w:nsid w:val="02B4599C"/>
    <w:multiLevelType w:val="multilevel"/>
    <w:tmpl w:val="38A6C67E"/>
    <w:name w:val="structure3"/>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
    <w:nsid w:val="046D7EC1"/>
    <w:multiLevelType w:val="hybridMultilevel"/>
    <w:tmpl w:val="052A60E0"/>
    <w:lvl w:ilvl="0" w:tplc="19227E42">
      <w:start w:val="1"/>
      <w:numFmt w:val="decimal"/>
      <w:pStyle w:val="CEOIndent1-123"/>
      <w:lvlText w:val="%1."/>
      <w:lvlJc w:val="left"/>
      <w:pPr>
        <w:tabs>
          <w:tab w:val="num" w:pos="927"/>
        </w:tabs>
        <w:ind w:left="927" w:hanging="360"/>
      </w:pPr>
      <w:rPr>
        <w:rFonts w:ascii="Verdana" w:hAnsi="Verdana" w:hint="default"/>
        <w:b w:val="0"/>
        <w:i w:val="0"/>
        <w:sz w:val="18"/>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rPr>
        <w:rFonts w:hint="default"/>
        <w:b w:val="0"/>
        <w:i w:val="0"/>
        <w:sz w:val="18"/>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6370B18"/>
    <w:multiLevelType w:val="hybridMultilevel"/>
    <w:tmpl w:val="82FED61A"/>
    <w:lvl w:ilvl="0" w:tplc="2542BA02">
      <w:start w:val="1"/>
      <w:numFmt w:val="bullet"/>
      <w:lvlText w:val=""/>
      <w:lvlJc w:val="left"/>
      <w:pPr>
        <w:ind w:left="717" w:hanging="360"/>
      </w:pPr>
      <w:rPr>
        <w:rFonts w:ascii="Symbol" w:hAnsi="Symbol"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3">
    <w:nsid w:val="065349B8"/>
    <w:multiLevelType w:val="hybridMultilevel"/>
    <w:tmpl w:val="D8D6176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8280A3B"/>
    <w:multiLevelType w:val="multilevel"/>
    <w:tmpl w:val="0809001D"/>
    <w:name w:val="RD_Hierarchie_Titres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0BAD2384"/>
    <w:multiLevelType w:val="hybridMultilevel"/>
    <w:tmpl w:val="3228AFFC"/>
    <w:lvl w:ilvl="0" w:tplc="FE9C63CA">
      <w:start w:val="1"/>
      <w:numFmt w:val="bullet"/>
      <w:pStyle w:val="CEOIndent-bulletsBlueSquare"/>
      <w:lvlText w:val=""/>
      <w:lvlPicBulletId w:val="0"/>
      <w:lvlJc w:val="left"/>
      <w:pPr>
        <w:tabs>
          <w:tab w:val="num" w:pos="927"/>
        </w:tabs>
        <w:ind w:left="927" w:hanging="360"/>
      </w:pPr>
      <w:rPr>
        <w:rFonts w:ascii="Symbol" w:hAnsi="Symbol" w:hint="default"/>
        <w:color w:val="auto"/>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6">
    <w:nsid w:val="12F618F5"/>
    <w:multiLevelType w:val="hybridMultilevel"/>
    <w:tmpl w:val="2E886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6480589"/>
    <w:multiLevelType w:val="hybridMultilevel"/>
    <w:tmpl w:val="F398BB0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CA232A6"/>
    <w:multiLevelType w:val="hybridMultilevel"/>
    <w:tmpl w:val="ADF29B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9">
    <w:nsid w:val="1DBD1038"/>
    <w:multiLevelType w:val="hybridMultilevel"/>
    <w:tmpl w:val="AF96A260"/>
    <w:lvl w:ilvl="0" w:tplc="2542BA02">
      <w:start w:val="1"/>
      <w:numFmt w:val="bullet"/>
      <w:lvlText w:val=""/>
      <w:lvlJc w:val="left"/>
      <w:pPr>
        <w:tabs>
          <w:tab w:val="num" w:pos="360"/>
        </w:tabs>
        <w:ind w:left="360" w:hanging="360"/>
      </w:pPr>
      <w:rPr>
        <w:rFonts w:ascii="Symbol" w:hAnsi="Symbol" w:hint="default"/>
      </w:rPr>
    </w:lvl>
    <w:lvl w:ilvl="1" w:tplc="244A82E2">
      <w:start w:val="1"/>
      <w:numFmt w:val="bullet"/>
      <w:lvlText w:val=""/>
      <w:lvlJc w:val="left"/>
      <w:pPr>
        <w:tabs>
          <w:tab w:val="num" w:pos="1080"/>
        </w:tabs>
        <w:ind w:left="1080" w:hanging="360"/>
      </w:pPr>
      <w:rPr>
        <w:rFonts w:ascii="Wingdings" w:hAnsi="Wingdings" w:hint="default"/>
      </w:rPr>
    </w:lvl>
    <w:lvl w:ilvl="2" w:tplc="A2CE57BA">
      <w:start w:val="1"/>
      <w:numFmt w:val="bullet"/>
      <w:lvlText w:val=""/>
      <w:lvlJc w:val="left"/>
      <w:pPr>
        <w:tabs>
          <w:tab w:val="num" w:pos="1800"/>
        </w:tabs>
        <w:ind w:left="1800" w:hanging="360"/>
      </w:pPr>
      <w:rPr>
        <w:rFonts w:ascii="Wingdings" w:hAnsi="Wingdings" w:hint="default"/>
      </w:rPr>
    </w:lvl>
    <w:lvl w:ilvl="3" w:tplc="F020C444">
      <w:start w:val="1"/>
      <w:numFmt w:val="bullet"/>
      <w:lvlText w:val=""/>
      <w:lvlJc w:val="left"/>
      <w:pPr>
        <w:tabs>
          <w:tab w:val="num" w:pos="2520"/>
        </w:tabs>
        <w:ind w:left="2520" w:hanging="360"/>
      </w:pPr>
      <w:rPr>
        <w:rFonts w:ascii="Wingdings" w:hAnsi="Wingdings" w:hint="default"/>
      </w:rPr>
    </w:lvl>
    <w:lvl w:ilvl="4" w:tplc="E068B636">
      <w:start w:val="1"/>
      <w:numFmt w:val="bullet"/>
      <w:lvlText w:val=""/>
      <w:lvlJc w:val="left"/>
      <w:pPr>
        <w:tabs>
          <w:tab w:val="num" w:pos="3240"/>
        </w:tabs>
        <w:ind w:left="3240" w:hanging="360"/>
      </w:pPr>
      <w:rPr>
        <w:rFonts w:ascii="Wingdings" w:hAnsi="Wingdings" w:hint="default"/>
      </w:rPr>
    </w:lvl>
    <w:lvl w:ilvl="5" w:tplc="D3F4C77E">
      <w:start w:val="1"/>
      <w:numFmt w:val="bullet"/>
      <w:lvlText w:val=""/>
      <w:lvlJc w:val="left"/>
      <w:pPr>
        <w:tabs>
          <w:tab w:val="num" w:pos="3960"/>
        </w:tabs>
        <w:ind w:left="3960" w:hanging="360"/>
      </w:pPr>
      <w:rPr>
        <w:rFonts w:ascii="Wingdings" w:hAnsi="Wingdings" w:hint="default"/>
      </w:rPr>
    </w:lvl>
    <w:lvl w:ilvl="6" w:tplc="A52E5974">
      <w:start w:val="1"/>
      <w:numFmt w:val="bullet"/>
      <w:lvlText w:val=""/>
      <w:lvlJc w:val="left"/>
      <w:pPr>
        <w:tabs>
          <w:tab w:val="num" w:pos="4680"/>
        </w:tabs>
        <w:ind w:left="4680" w:hanging="360"/>
      </w:pPr>
      <w:rPr>
        <w:rFonts w:ascii="Wingdings" w:hAnsi="Wingdings" w:hint="default"/>
      </w:rPr>
    </w:lvl>
    <w:lvl w:ilvl="7" w:tplc="1AD0FBA4">
      <w:start w:val="1"/>
      <w:numFmt w:val="bullet"/>
      <w:lvlText w:val=""/>
      <w:lvlJc w:val="left"/>
      <w:pPr>
        <w:tabs>
          <w:tab w:val="num" w:pos="5400"/>
        </w:tabs>
        <w:ind w:left="5400" w:hanging="360"/>
      </w:pPr>
      <w:rPr>
        <w:rFonts w:ascii="Wingdings" w:hAnsi="Wingdings" w:hint="default"/>
      </w:rPr>
    </w:lvl>
    <w:lvl w:ilvl="8" w:tplc="90CA1060">
      <w:start w:val="1"/>
      <w:numFmt w:val="bullet"/>
      <w:lvlText w:val=""/>
      <w:lvlJc w:val="left"/>
      <w:pPr>
        <w:tabs>
          <w:tab w:val="num" w:pos="6120"/>
        </w:tabs>
        <w:ind w:left="6120" w:hanging="360"/>
      </w:pPr>
      <w:rPr>
        <w:rFonts w:ascii="Wingdings" w:hAnsi="Wingdings" w:hint="default"/>
      </w:rPr>
    </w:lvl>
  </w:abstractNum>
  <w:abstractNum w:abstractNumId="10">
    <w:nsid w:val="1E97481D"/>
    <w:multiLevelType w:val="hybridMultilevel"/>
    <w:tmpl w:val="7C86BDC4"/>
    <w:lvl w:ilvl="0" w:tplc="AB6016E8">
      <w:start w:val="1"/>
      <w:numFmt w:val="bullet"/>
      <w:lvlText w:val=""/>
      <w:lvlJc w:val="left"/>
      <w:pPr>
        <w:tabs>
          <w:tab w:val="num" w:pos="561"/>
        </w:tabs>
        <w:ind w:left="561" w:hanging="561"/>
      </w:pPr>
      <w:rPr>
        <w:rFonts w:ascii="Wingdings" w:hAnsi="Wingdings" w:hint="default"/>
      </w:rPr>
    </w:lvl>
    <w:lvl w:ilvl="1" w:tplc="04090003">
      <w:start w:val="1"/>
      <w:numFmt w:val="bullet"/>
      <w:lvlText w:val=""/>
      <w:lvlJc w:val="left"/>
      <w:pPr>
        <w:tabs>
          <w:tab w:val="num" w:pos="797"/>
        </w:tabs>
        <w:ind w:left="797" w:hanging="400"/>
      </w:pPr>
      <w:rPr>
        <w:rFonts w:ascii="Wingdings" w:hAnsi="Wingdings" w:hint="default"/>
      </w:rPr>
    </w:lvl>
    <w:lvl w:ilvl="2" w:tplc="04090005" w:tentative="1">
      <w:start w:val="1"/>
      <w:numFmt w:val="bullet"/>
      <w:lvlText w:val=""/>
      <w:lvlJc w:val="left"/>
      <w:pPr>
        <w:tabs>
          <w:tab w:val="num" w:pos="1197"/>
        </w:tabs>
        <w:ind w:left="1197" w:hanging="400"/>
      </w:pPr>
      <w:rPr>
        <w:rFonts w:ascii="Wingdings" w:hAnsi="Wingdings" w:hint="default"/>
      </w:rPr>
    </w:lvl>
    <w:lvl w:ilvl="3" w:tplc="04090001" w:tentative="1">
      <w:start w:val="1"/>
      <w:numFmt w:val="bullet"/>
      <w:lvlText w:val=""/>
      <w:lvlJc w:val="left"/>
      <w:pPr>
        <w:tabs>
          <w:tab w:val="num" w:pos="1597"/>
        </w:tabs>
        <w:ind w:left="1597" w:hanging="400"/>
      </w:pPr>
      <w:rPr>
        <w:rFonts w:ascii="Wingdings" w:hAnsi="Wingdings" w:hint="default"/>
      </w:rPr>
    </w:lvl>
    <w:lvl w:ilvl="4" w:tplc="04090003" w:tentative="1">
      <w:start w:val="1"/>
      <w:numFmt w:val="bullet"/>
      <w:lvlText w:val=""/>
      <w:lvlJc w:val="left"/>
      <w:pPr>
        <w:tabs>
          <w:tab w:val="num" w:pos="1997"/>
        </w:tabs>
        <w:ind w:left="1997" w:hanging="400"/>
      </w:pPr>
      <w:rPr>
        <w:rFonts w:ascii="Wingdings" w:hAnsi="Wingdings" w:hint="default"/>
      </w:rPr>
    </w:lvl>
    <w:lvl w:ilvl="5" w:tplc="04090005" w:tentative="1">
      <w:start w:val="1"/>
      <w:numFmt w:val="bullet"/>
      <w:lvlText w:val=""/>
      <w:lvlJc w:val="left"/>
      <w:pPr>
        <w:tabs>
          <w:tab w:val="num" w:pos="2397"/>
        </w:tabs>
        <w:ind w:left="2397" w:hanging="400"/>
      </w:pPr>
      <w:rPr>
        <w:rFonts w:ascii="Wingdings" w:hAnsi="Wingdings" w:hint="default"/>
      </w:rPr>
    </w:lvl>
    <w:lvl w:ilvl="6" w:tplc="04090001" w:tentative="1">
      <w:start w:val="1"/>
      <w:numFmt w:val="bullet"/>
      <w:lvlText w:val=""/>
      <w:lvlJc w:val="left"/>
      <w:pPr>
        <w:tabs>
          <w:tab w:val="num" w:pos="2797"/>
        </w:tabs>
        <w:ind w:left="2797" w:hanging="400"/>
      </w:pPr>
      <w:rPr>
        <w:rFonts w:ascii="Wingdings" w:hAnsi="Wingdings" w:hint="default"/>
      </w:rPr>
    </w:lvl>
    <w:lvl w:ilvl="7" w:tplc="04090003" w:tentative="1">
      <w:start w:val="1"/>
      <w:numFmt w:val="bullet"/>
      <w:lvlText w:val=""/>
      <w:lvlJc w:val="left"/>
      <w:pPr>
        <w:tabs>
          <w:tab w:val="num" w:pos="3197"/>
        </w:tabs>
        <w:ind w:left="3197" w:hanging="400"/>
      </w:pPr>
      <w:rPr>
        <w:rFonts w:ascii="Wingdings" w:hAnsi="Wingdings" w:hint="default"/>
      </w:rPr>
    </w:lvl>
    <w:lvl w:ilvl="8" w:tplc="04090005" w:tentative="1">
      <w:start w:val="1"/>
      <w:numFmt w:val="bullet"/>
      <w:lvlText w:val=""/>
      <w:lvlJc w:val="left"/>
      <w:pPr>
        <w:tabs>
          <w:tab w:val="num" w:pos="3597"/>
        </w:tabs>
        <w:ind w:left="3597" w:hanging="400"/>
      </w:pPr>
      <w:rPr>
        <w:rFonts w:ascii="Wingdings" w:hAnsi="Wingdings" w:hint="default"/>
      </w:rPr>
    </w:lvl>
  </w:abstractNum>
  <w:abstractNum w:abstractNumId="11">
    <w:nsid w:val="215610EC"/>
    <w:multiLevelType w:val="hybridMultilevel"/>
    <w:tmpl w:val="B32C10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26677578"/>
    <w:multiLevelType w:val="multilevel"/>
    <w:tmpl w:val="040C001D"/>
    <w:name w:val="structure3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nsid w:val="2F557F6A"/>
    <w:multiLevelType w:val="hybridMultilevel"/>
    <w:tmpl w:val="9A3C8F44"/>
    <w:lvl w:ilvl="0" w:tplc="A4FA9182">
      <w:start w:val="7"/>
      <w:numFmt w:val="bullet"/>
      <w:lvlText w:val="–"/>
      <w:lvlJc w:val="left"/>
      <w:pPr>
        <w:ind w:left="927" w:hanging="360"/>
      </w:pPr>
      <w:rPr>
        <w:rFonts w:ascii="Calibri" w:eastAsia="SimSun" w:hAnsi="Calibri" w:cs="Calibri"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nsid w:val="328F5AFE"/>
    <w:multiLevelType w:val="hybridMultilevel"/>
    <w:tmpl w:val="F5C64F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3501160B"/>
    <w:multiLevelType w:val="multilevel"/>
    <w:tmpl w:val="9BDCEE40"/>
    <w:name w:val="structure"/>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2694" w:firstLine="0"/>
      </w:pPr>
      <w:rPr>
        <w:rFonts w:ascii="Helvetica" w:hAnsi="Helvetica" w:hint="default"/>
        <w:b/>
        <w:i w:val="0"/>
        <w:color w:val="003399"/>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4679"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6">
    <w:nsid w:val="355A70D3"/>
    <w:multiLevelType w:val="multilevel"/>
    <w:tmpl w:val="3B080C46"/>
    <w:name w:val="structure4"/>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7">
    <w:nsid w:val="356D452F"/>
    <w:multiLevelType w:val="hybridMultilevel"/>
    <w:tmpl w:val="A8BA71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35D1554C"/>
    <w:multiLevelType w:val="hybridMultilevel"/>
    <w:tmpl w:val="F62469F4"/>
    <w:lvl w:ilvl="0" w:tplc="287A33FE">
      <w:start w:val="1"/>
      <w:numFmt w:val="bullet"/>
      <w:pStyle w:val="CEOindent-endash"/>
      <w:lvlText w:val="–"/>
      <w:lvlJc w:val="left"/>
      <w:pPr>
        <w:tabs>
          <w:tab w:val="num" w:pos="1134"/>
        </w:tabs>
        <w:ind w:left="1134" w:hanging="360"/>
      </w:pPr>
      <w:rPr>
        <w:rFonts w:ascii="Verdana" w:hAnsi="Verdana" w:hint="default"/>
        <w:color w:val="auto"/>
      </w:rPr>
    </w:lvl>
    <w:lvl w:ilvl="1" w:tplc="04090003" w:tentative="1">
      <w:start w:val="1"/>
      <w:numFmt w:val="bullet"/>
      <w:lvlText w:val="o"/>
      <w:lvlJc w:val="left"/>
      <w:pPr>
        <w:tabs>
          <w:tab w:val="num" w:pos="1865"/>
        </w:tabs>
        <w:ind w:left="1865" w:hanging="360"/>
      </w:pPr>
      <w:rPr>
        <w:rFonts w:ascii="Courier New" w:hAnsi="Courier New" w:cs="Courier New" w:hint="default"/>
      </w:rPr>
    </w:lvl>
    <w:lvl w:ilvl="2" w:tplc="04090005" w:tentative="1">
      <w:start w:val="1"/>
      <w:numFmt w:val="bullet"/>
      <w:lvlText w:val=""/>
      <w:lvlJc w:val="left"/>
      <w:pPr>
        <w:tabs>
          <w:tab w:val="num" w:pos="2585"/>
        </w:tabs>
        <w:ind w:left="2585" w:hanging="360"/>
      </w:pPr>
      <w:rPr>
        <w:rFonts w:ascii="Wingdings" w:hAnsi="Wingdings" w:hint="default"/>
      </w:rPr>
    </w:lvl>
    <w:lvl w:ilvl="3" w:tplc="04090001" w:tentative="1">
      <w:start w:val="1"/>
      <w:numFmt w:val="bullet"/>
      <w:lvlText w:val=""/>
      <w:lvlJc w:val="left"/>
      <w:pPr>
        <w:tabs>
          <w:tab w:val="num" w:pos="3305"/>
        </w:tabs>
        <w:ind w:left="3305" w:hanging="360"/>
      </w:pPr>
      <w:rPr>
        <w:rFonts w:ascii="Symbol" w:hAnsi="Symbol" w:hint="default"/>
      </w:rPr>
    </w:lvl>
    <w:lvl w:ilvl="4" w:tplc="04090003" w:tentative="1">
      <w:start w:val="1"/>
      <w:numFmt w:val="bullet"/>
      <w:lvlText w:val="o"/>
      <w:lvlJc w:val="left"/>
      <w:pPr>
        <w:tabs>
          <w:tab w:val="num" w:pos="4025"/>
        </w:tabs>
        <w:ind w:left="4025" w:hanging="360"/>
      </w:pPr>
      <w:rPr>
        <w:rFonts w:ascii="Courier New" w:hAnsi="Courier New" w:cs="Courier New" w:hint="default"/>
      </w:rPr>
    </w:lvl>
    <w:lvl w:ilvl="5" w:tplc="04090005" w:tentative="1">
      <w:start w:val="1"/>
      <w:numFmt w:val="bullet"/>
      <w:lvlText w:val=""/>
      <w:lvlJc w:val="left"/>
      <w:pPr>
        <w:tabs>
          <w:tab w:val="num" w:pos="4745"/>
        </w:tabs>
        <w:ind w:left="4745" w:hanging="360"/>
      </w:pPr>
      <w:rPr>
        <w:rFonts w:ascii="Wingdings" w:hAnsi="Wingdings" w:hint="default"/>
      </w:rPr>
    </w:lvl>
    <w:lvl w:ilvl="6" w:tplc="04090001" w:tentative="1">
      <w:start w:val="1"/>
      <w:numFmt w:val="bullet"/>
      <w:lvlText w:val=""/>
      <w:lvlJc w:val="left"/>
      <w:pPr>
        <w:tabs>
          <w:tab w:val="num" w:pos="5465"/>
        </w:tabs>
        <w:ind w:left="5465" w:hanging="360"/>
      </w:pPr>
      <w:rPr>
        <w:rFonts w:ascii="Symbol" w:hAnsi="Symbol" w:hint="default"/>
      </w:rPr>
    </w:lvl>
    <w:lvl w:ilvl="7" w:tplc="04090003" w:tentative="1">
      <w:start w:val="1"/>
      <w:numFmt w:val="bullet"/>
      <w:lvlText w:val="o"/>
      <w:lvlJc w:val="left"/>
      <w:pPr>
        <w:tabs>
          <w:tab w:val="num" w:pos="6185"/>
        </w:tabs>
        <w:ind w:left="6185" w:hanging="360"/>
      </w:pPr>
      <w:rPr>
        <w:rFonts w:ascii="Courier New" w:hAnsi="Courier New" w:cs="Courier New" w:hint="default"/>
      </w:rPr>
    </w:lvl>
    <w:lvl w:ilvl="8" w:tplc="04090005" w:tentative="1">
      <w:start w:val="1"/>
      <w:numFmt w:val="bullet"/>
      <w:lvlText w:val=""/>
      <w:lvlJc w:val="left"/>
      <w:pPr>
        <w:tabs>
          <w:tab w:val="num" w:pos="6905"/>
        </w:tabs>
        <w:ind w:left="6905" w:hanging="360"/>
      </w:pPr>
      <w:rPr>
        <w:rFonts w:ascii="Wingdings" w:hAnsi="Wingdings" w:hint="default"/>
      </w:rPr>
    </w:lvl>
  </w:abstractNum>
  <w:abstractNum w:abstractNumId="19">
    <w:nsid w:val="372E1672"/>
    <w:multiLevelType w:val="hybridMultilevel"/>
    <w:tmpl w:val="13EE12EA"/>
    <w:lvl w:ilvl="0" w:tplc="EA4E3A9E">
      <w:start w:val="1"/>
      <w:numFmt w:val="decimal"/>
      <w:lvlText w:val="%1."/>
      <w:lvlJc w:val="left"/>
      <w:pPr>
        <w:ind w:left="360" w:hanging="360"/>
      </w:pPr>
      <w:rPr>
        <w:b w:val="0"/>
        <w:bCs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0">
    <w:nsid w:val="37ED3CC0"/>
    <w:multiLevelType w:val="hybridMultilevel"/>
    <w:tmpl w:val="1A881D94"/>
    <w:lvl w:ilvl="0" w:tplc="3FDADA78">
      <w:start w:val="1"/>
      <w:numFmt w:val="bullet"/>
      <w:pStyle w:val="CEOEndashListNoIndent"/>
      <w:lvlText w:val="–"/>
      <w:lvlJc w:val="left"/>
      <w:pPr>
        <w:tabs>
          <w:tab w:val="num" w:pos="2237"/>
        </w:tabs>
        <w:ind w:left="2237" w:hanging="360"/>
      </w:pPr>
      <w:rPr>
        <w:rFonts w:ascii="Verdana" w:hAnsi="Verdana"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nsid w:val="391775F4"/>
    <w:multiLevelType w:val="hybridMultilevel"/>
    <w:tmpl w:val="6762B042"/>
    <w:lvl w:ilvl="0" w:tplc="7A9AC6D6">
      <w:start w:val="1"/>
      <w:numFmt w:val="decimal"/>
      <w:pStyle w:val="CEOcontribution-H123"/>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3C5D7CEB"/>
    <w:multiLevelType w:val="hybridMultilevel"/>
    <w:tmpl w:val="2304B3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424216DE"/>
    <w:multiLevelType w:val="hybridMultilevel"/>
    <w:tmpl w:val="E7C652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47DA4686"/>
    <w:multiLevelType w:val="hybridMultilevel"/>
    <w:tmpl w:val="808AD422"/>
    <w:lvl w:ilvl="0" w:tplc="47E47828">
      <w:start w:val="1"/>
      <w:numFmt w:val="bullet"/>
      <w:lvlText w:val="–"/>
      <w:lvlJc w:val="left"/>
      <w:pPr>
        <w:ind w:left="360" w:hanging="360"/>
      </w:pPr>
      <w:rPr>
        <w:rFonts w:ascii="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5">
    <w:nsid w:val="496E3E96"/>
    <w:multiLevelType w:val="hybridMultilevel"/>
    <w:tmpl w:val="C63697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4A7533CF"/>
    <w:multiLevelType w:val="hybridMultilevel"/>
    <w:tmpl w:val="91E8FA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4E9D1DFB"/>
    <w:multiLevelType w:val="hybridMultilevel"/>
    <w:tmpl w:val="1C7C074C"/>
    <w:lvl w:ilvl="0" w:tplc="AB6016E8">
      <w:start w:val="1"/>
      <w:numFmt w:val="bullet"/>
      <w:lvlText w:val=""/>
      <w:lvlJc w:val="left"/>
      <w:pPr>
        <w:tabs>
          <w:tab w:val="num" w:pos="1074"/>
        </w:tabs>
        <w:ind w:left="1074" w:hanging="360"/>
      </w:pPr>
      <w:rPr>
        <w:rFonts w:ascii="Wingdings" w:hAnsi="Wingdings" w:hint="default"/>
        <w:color w:val="auto"/>
      </w:rPr>
    </w:lvl>
    <w:lvl w:ilvl="1" w:tplc="04090003" w:tentative="1">
      <w:start w:val="1"/>
      <w:numFmt w:val="bullet"/>
      <w:lvlText w:val="o"/>
      <w:lvlJc w:val="left"/>
      <w:pPr>
        <w:tabs>
          <w:tab w:val="num" w:pos="1805"/>
        </w:tabs>
        <w:ind w:left="1805" w:hanging="360"/>
      </w:pPr>
      <w:rPr>
        <w:rFonts w:ascii="Courier New" w:hAnsi="Courier New" w:cs="Courier New" w:hint="default"/>
      </w:rPr>
    </w:lvl>
    <w:lvl w:ilvl="2" w:tplc="04090005" w:tentative="1">
      <w:start w:val="1"/>
      <w:numFmt w:val="bullet"/>
      <w:lvlText w:val=""/>
      <w:lvlJc w:val="left"/>
      <w:pPr>
        <w:tabs>
          <w:tab w:val="num" w:pos="2525"/>
        </w:tabs>
        <w:ind w:left="2525" w:hanging="360"/>
      </w:pPr>
      <w:rPr>
        <w:rFonts w:ascii="Wingdings" w:hAnsi="Wingdings" w:hint="default"/>
      </w:rPr>
    </w:lvl>
    <w:lvl w:ilvl="3" w:tplc="04090001" w:tentative="1">
      <w:start w:val="1"/>
      <w:numFmt w:val="bullet"/>
      <w:lvlText w:val=""/>
      <w:lvlJc w:val="left"/>
      <w:pPr>
        <w:tabs>
          <w:tab w:val="num" w:pos="3245"/>
        </w:tabs>
        <w:ind w:left="3245" w:hanging="360"/>
      </w:pPr>
      <w:rPr>
        <w:rFonts w:ascii="Symbol" w:hAnsi="Symbol" w:hint="default"/>
      </w:rPr>
    </w:lvl>
    <w:lvl w:ilvl="4" w:tplc="04090003" w:tentative="1">
      <w:start w:val="1"/>
      <w:numFmt w:val="bullet"/>
      <w:lvlText w:val="o"/>
      <w:lvlJc w:val="left"/>
      <w:pPr>
        <w:tabs>
          <w:tab w:val="num" w:pos="3965"/>
        </w:tabs>
        <w:ind w:left="3965" w:hanging="360"/>
      </w:pPr>
      <w:rPr>
        <w:rFonts w:ascii="Courier New" w:hAnsi="Courier New" w:cs="Courier New" w:hint="default"/>
      </w:rPr>
    </w:lvl>
    <w:lvl w:ilvl="5" w:tplc="04090005" w:tentative="1">
      <w:start w:val="1"/>
      <w:numFmt w:val="bullet"/>
      <w:lvlText w:val=""/>
      <w:lvlJc w:val="left"/>
      <w:pPr>
        <w:tabs>
          <w:tab w:val="num" w:pos="4685"/>
        </w:tabs>
        <w:ind w:left="4685" w:hanging="360"/>
      </w:pPr>
      <w:rPr>
        <w:rFonts w:ascii="Wingdings" w:hAnsi="Wingdings" w:hint="default"/>
      </w:rPr>
    </w:lvl>
    <w:lvl w:ilvl="6" w:tplc="04090001" w:tentative="1">
      <w:start w:val="1"/>
      <w:numFmt w:val="bullet"/>
      <w:lvlText w:val=""/>
      <w:lvlJc w:val="left"/>
      <w:pPr>
        <w:tabs>
          <w:tab w:val="num" w:pos="5405"/>
        </w:tabs>
        <w:ind w:left="5405" w:hanging="360"/>
      </w:pPr>
      <w:rPr>
        <w:rFonts w:ascii="Symbol" w:hAnsi="Symbol" w:hint="default"/>
      </w:rPr>
    </w:lvl>
    <w:lvl w:ilvl="7" w:tplc="04090003" w:tentative="1">
      <w:start w:val="1"/>
      <w:numFmt w:val="bullet"/>
      <w:lvlText w:val="o"/>
      <w:lvlJc w:val="left"/>
      <w:pPr>
        <w:tabs>
          <w:tab w:val="num" w:pos="6125"/>
        </w:tabs>
        <w:ind w:left="6125" w:hanging="360"/>
      </w:pPr>
      <w:rPr>
        <w:rFonts w:ascii="Courier New" w:hAnsi="Courier New" w:cs="Courier New" w:hint="default"/>
      </w:rPr>
    </w:lvl>
    <w:lvl w:ilvl="8" w:tplc="04090005" w:tentative="1">
      <w:start w:val="1"/>
      <w:numFmt w:val="bullet"/>
      <w:lvlText w:val=""/>
      <w:lvlJc w:val="left"/>
      <w:pPr>
        <w:tabs>
          <w:tab w:val="num" w:pos="6845"/>
        </w:tabs>
        <w:ind w:left="6845" w:hanging="360"/>
      </w:pPr>
      <w:rPr>
        <w:rFonts w:ascii="Wingdings" w:hAnsi="Wingdings" w:hint="default"/>
      </w:rPr>
    </w:lvl>
  </w:abstractNum>
  <w:abstractNum w:abstractNumId="28">
    <w:nsid w:val="54051013"/>
    <w:multiLevelType w:val="hybridMultilevel"/>
    <w:tmpl w:val="AD2280A0"/>
    <w:lvl w:ilvl="0" w:tplc="0409000F">
      <w:start w:val="1"/>
      <w:numFmt w:val="decimal"/>
      <w:lvlText w:val="%1."/>
      <w:lvlJc w:val="left"/>
      <w:pPr>
        <w:ind w:left="-708" w:hanging="360"/>
      </w:pPr>
    </w:lvl>
    <w:lvl w:ilvl="1" w:tplc="04090019">
      <w:start w:val="1"/>
      <w:numFmt w:val="lowerLetter"/>
      <w:lvlText w:val="%2."/>
      <w:lvlJc w:val="left"/>
      <w:pPr>
        <w:ind w:left="12" w:hanging="360"/>
      </w:pPr>
    </w:lvl>
    <w:lvl w:ilvl="2" w:tplc="0409001B">
      <w:start w:val="1"/>
      <w:numFmt w:val="lowerRoman"/>
      <w:lvlText w:val="%3."/>
      <w:lvlJc w:val="right"/>
      <w:pPr>
        <w:ind w:left="732" w:hanging="180"/>
      </w:pPr>
    </w:lvl>
    <w:lvl w:ilvl="3" w:tplc="0409000F">
      <w:start w:val="1"/>
      <w:numFmt w:val="decimal"/>
      <w:lvlText w:val="%4."/>
      <w:lvlJc w:val="left"/>
      <w:pPr>
        <w:ind w:left="1452" w:hanging="360"/>
      </w:pPr>
    </w:lvl>
    <w:lvl w:ilvl="4" w:tplc="04090019">
      <w:start w:val="1"/>
      <w:numFmt w:val="lowerLetter"/>
      <w:lvlText w:val="%5."/>
      <w:lvlJc w:val="left"/>
      <w:pPr>
        <w:ind w:left="2172" w:hanging="360"/>
      </w:pPr>
    </w:lvl>
    <w:lvl w:ilvl="5" w:tplc="0409001B">
      <w:start w:val="1"/>
      <w:numFmt w:val="lowerRoman"/>
      <w:lvlText w:val="%6."/>
      <w:lvlJc w:val="right"/>
      <w:pPr>
        <w:ind w:left="2892" w:hanging="180"/>
      </w:pPr>
    </w:lvl>
    <w:lvl w:ilvl="6" w:tplc="0409000F">
      <w:start w:val="1"/>
      <w:numFmt w:val="decimal"/>
      <w:lvlText w:val="%7."/>
      <w:lvlJc w:val="left"/>
      <w:pPr>
        <w:ind w:left="3612" w:hanging="360"/>
      </w:pPr>
    </w:lvl>
    <w:lvl w:ilvl="7" w:tplc="04090019">
      <w:start w:val="1"/>
      <w:numFmt w:val="lowerLetter"/>
      <w:lvlText w:val="%8."/>
      <w:lvlJc w:val="left"/>
      <w:pPr>
        <w:ind w:left="4332" w:hanging="360"/>
      </w:pPr>
    </w:lvl>
    <w:lvl w:ilvl="8" w:tplc="0409001B">
      <w:start w:val="1"/>
      <w:numFmt w:val="lowerRoman"/>
      <w:lvlText w:val="%9."/>
      <w:lvlJc w:val="right"/>
      <w:pPr>
        <w:ind w:left="5052" w:hanging="180"/>
      </w:pPr>
    </w:lvl>
  </w:abstractNum>
  <w:abstractNum w:abstractNumId="29">
    <w:nsid w:val="56832D6E"/>
    <w:multiLevelType w:val="hybridMultilevel"/>
    <w:tmpl w:val="0BE80640"/>
    <w:lvl w:ilvl="0" w:tplc="9A82E69C">
      <w:start w:val="1"/>
      <w:numFmt w:val="decimal"/>
      <w:lvlText w:val="%1."/>
      <w:lvlJc w:val="left"/>
      <w:pPr>
        <w:ind w:left="360" w:hanging="360"/>
      </w:pPr>
      <w:rPr>
        <w:b/>
        <w:b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0">
    <w:nsid w:val="56D97DFB"/>
    <w:multiLevelType w:val="hybridMultilevel"/>
    <w:tmpl w:val="901CFA74"/>
    <w:lvl w:ilvl="0" w:tplc="2542BA02">
      <w:start w:val="1"/>
      <w:numFmt w:val="bullet"/>
      <w:lvlText w:val=""/>
      <w:lvlJc w:val="left"/>
      <w:pPr>
        <w:ind w:left="72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1">
    <w:nsid w:val="5B505F91"/>
    <w:multiLevelType w:val="hybridMultilevel"/>
    <w:tmpl w:val="7EC83216"/>
    <w:lvl w:ilvl="0" w:tplc="ED405FDA">
      <w:numFmt w:val="bullet"/>
      <w:pStyle w:val="CEOIndent-bulletsblackdot"/>
      <w:lvlText w:val=""/>
      <w:lvlJc w:val="left"/>
      <w:pPr>
        <w:tabs>
          <w:tab w:val="num" w:pos="284"/>
        </w:tabs>
        <w:ind w:left="284" w:hanging="284"/>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5F8C4384"/>
    <w:multiLevelType w:val="hybridMultilevel"/>
    <w:tmpl w:val="E2F805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6192757D"/>
    <w:multiLevelType w:val="hybridMultilevel"/>
    <w:tmpl w:val="1D28DE54"/>
    <w:lvl w:ilvl="0" w:tplc="C54C9AE6">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3E46F4C"/>
    <w:multiLevelType w:val="hybridMultilevel"/>
    <w:tmpl w:val="F79CDB7C"/>
    <w:lvl w:ilvl="0" w:tplc="04090001">
      <w:start w:val="1"/>
      <w:numFmt w:val="bullet"/>
      <w:lvlText w:val=""/>
      <w:lvlJc w:val="left"/>
      <w:pPr>
        <w:tabs>
          <w:tab w:val="num" w:pos="360"/>
        </w:tabs>
        <w:ind w:left="360" w:hanging="360"/>
      </w:pPr>
      <w:rPr>
        <w:rFonts w:ascii="Symbol" w:hAnsi="Symbol" w:hint="default"/>
      </w:rPr>
    </w:lvl>
    <w:lvl w:ilvl="1" w:tplc="2542BA02">
      <w:start w:val="1"/>
      <w:numFmt w:val="bullet"/>
      <w:lvlText w:val=""/>
      <w:lvlJc w:val="left"/>
      <w:pPr>
        <w:tabs>
          <w:tab w:val="num" w:pos="1080"/>
        </w:tabs>
        <w:ind w:left="1080" w:hanging="360"/>
      </w:pPr>
      <w:rPr>
        <w:rFonts w:ascii="Symbol" w:hAnsi="Symbol" w:hint="default"/>
      </w:rPr>
    </w:lvl>
    <w:lvl w:ilvl="2" w:tplc="99A03AF6">
      <w:numFmt w:val="bullet"/>
      <w:lvlText w:val="•"/>
      <w:lvlJc w:val="left"/>
      <w:pPr>
        <w:ind w:left="2010" w:hanging="570"/>
      </w:pPr>
      <w:rPr>
        <w:rFonts w:ascii="Verdana" w:eastAsia="SimHei" w:hAnsi="Verdana" w:cs="Simplified Arabic" w:hint="default"/>
      </w:rPr>
    </w:lvl>
    <w:lvl w:ilvl="3" w:tplc="8104FE00" w:tentative="1">
      <w:start w:val="1"/>
      <w:numFmt w:val="bullet"/>
      <w:lvlText w:val=""/>
      <w:lvlJc w:val="left"/>
      <w:pPr>
        <w:tabs>
          <w:tab w:val="num" w:pos="2520"/>
        </w:tabs>
        <w:ind w:left="2520" w:hanging="360"/>
      </w:pPr>
      <w:rPr>
        <w:rFonts w:ascii="Wingdings" w:hAnsi="Wingdings" w:hint="default"/>
      </w:rPr>
    </w:lvl>
    <w:lvl w:ilvl="4" w:tplc="E8F00560" w:tentative="1">
      <w:start w:val="1"/>
      <w:numFmt w:val="bullet"/>
      <w:lvlText w:val=""/>
      <w:lvlJc w:val="left"/>
      <w:pPr>
        <w:tabs>
          <w:tab w:val="num" w:pos="3240"/>
        </w:tabs>
        <w:ind w:left="3240" w:hanging="360"/>
      </w:pPr>
      <w:rPr>
        <w:rFonts w:ascii="Wingdings" w:hAnsi="Wingdings" w:hint="default"/>
      </w:rPr>
    </w:lvl>
    <w:lvl w:ilvl="5" w:tplc="891A4A84" w:tentative="1">
      <w:start w:val="1"/>
      <w:numFmt w:val="bullet"/>
      <w:lvlText w:val=""/>
      <w:lvlJc w:val="left"/>
      <w:pPr>
        <w:tabs>
          <w:tab w:val="num" w:pos="3960"/>
        </w:tabs>
        <w:ind w:left="3960" w:hanging="360"/>
      </w:pPr>
      <w:rPr>
        <w:rFonts w:ascii="Wingdings" w:hAnsi="Wingdings" w:hint="default"/>
      </w:rPr>
    </w:lvl>
    <w:lvl w:ilvl="6" w:tplc="FBF23316" w:tentative="1">
      <w:start w:val="1"/>
      <w:numFmt w:val="bullet"/>
      <w:lvlText w:val=""/>
      <w:lvlJc w:val="left"/>
      <w:pPr>
        <w:tabs>
          <w:tab w:val="num" w:pos="4680"/>
        </w:tabs>
        <w:ind w:left="4680" w:hanging="360"/>
      </w:pPr>
      <w:rPr>
        <w:rFonts w:ascii="Wingdings" w:hAnsi="Wingdings" w:hint="default"/>
      </w:rPr>
    </w:lvl>
    <w:lvl w:ilvl="7" w:tplc="357A13C4" w:tentative="1">
      <w:start w:val="1"/>
      <w:numFmt w:val="bullet"/>
      <w:lvlText w:val=""/>
      <w:lvlJc w:val="left"/>
      <w:pPr>
        <w:tabs>
          <w:tab w:val="num" w:pos="5400"/>
        </w:tabs>
        <w:ind w:left="5400" w:hanging="360"/>
      </w:pPr>
      <w:rPr>
        <w:rFonts w:ascii="Wingdings" w:hAnsi="Wingdings" w:hint="default"/>
      </w:rPr>
    </w:lvl>
    <w:lvl w:ilvl="8" w:tplc="BC70B9FE" w:tentative="1">
      <w:start w:val="1"/>
      <w:numFmt w:val="bullet"/>
      <w:lvlText w:val=""/>
      <w:lvlJc w:val="left"/>
      <w:pPr>
        <w:tabs>
          <w:tab w:val="num" w:pos="6120"/>
        </w:tabs>
        <w:ind w:left="6120" w:hanging="360"/>
      </w:pPr>
      <w:rPr>
        <w:rFonts w:ascii="Wingdings" w:hAnsi="Wingdings" w:hint="default"/>
      </w:rPr>
    </w:lvl>
  </w:abstractNum>
  <w:abstractNum w:abstractNumId="35">
    <w:nsid w:val="65A82329"/>
    <w:multiLevelType w:val="hybridMultilevel"/>
    <w:tmpl w:val="133AF2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67073252"/>
    <w:multiLevelType w:val="hybridMultilevel"/>
    <w:tmpl w:val="48AAFAEE"/>
    <w:lvl w:ilvl="0" w:tplc="04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37">
    <w:nsid w:val="6B1C5B24"/>
    <w:multiLevelType w:val="hybridMultilevel"/>
    <w:tmpl w:val="6A3294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6C553AB3"/>
    <w:multiLevelType w:val="hybridMultilevel"/>
    <w:tmpl w:val="3092D56C"/>
    <w:lvl w:ilvl="0" w:tplc="04090001">
      <w:start w:val="1"/>
      <w:numFmt w:val="bullet"/>
      <w:lvlText w:val=""/>
      <w:lvlJc w:val="left"/>
      <w:pPr>
        <w:ind w:left="1006" w:hanging="360"/>
      </w:pPr>
      <w:rPr>
        <w:rFonts w:ascii="Symbol" w:hAnsi="Symbol" w:hint="default"/>
      </w:rPr>
    </w:lvl>
    <w:lvl w:ilvl="1" w:tplc="04090003">
      <w:start w:val="1"/>
      <w:numFmt w:val="bullet"/>
      <w:lvlText w:val="o"/>
      <w:lvlJc w:val="left"/>
      <w:pPr>
        <w:ind w:left="1726" w:hanging="360"/>
      </w:pPr>
      <w:rPr>
        <w:rFonts w:ascii="Courier New" w:hAnsi="Courier New" w:cs="Times New Roman" w:hint="default"/>
      </w:rPr>
    </w:lvl>
    <w:lvl w:ilvl="2" w:tplc="04090005">
      <w:start w:val="1"/>
      <w:numFmt w:val="bullet"/>
      <w:lvlText w:val=""/>
      <w:lvlJc w:val="left"/>
      <w:pPr>
        <w:ind w:left="2446" w:hanging="360"/>
      </w:pPr>
      <w:rPr>
        <w:rFonts w:ascii="Wingdings" w:hAnsi="Wingdings" w:hint="default"/>
      </w:rPr>
    </w:lvl>
    <w:lvl w:ilvl="3" w:tplc="04090001">
      <w:start w:val="1"/>
      <w:numFmt w:val="bullet"/>
      <w:lvlText w:val=""/>
      <w:lvlJc w:val="left"/>
      <w:pPr>
        <w:ind w:left="3166" w:hanging="360"/>
      </w:pPr>
      <w:rPr>
        <w:rFonts w:ascii="Symbol" w:hAnsi="Symbol" w:hint="default"/>
      </w:rPr>
    </w:lvl>
    <w:lvl w:ilvl="4" w:tplc="04090003">
      <w:start w:val="1"/>
      <w:numFmt w:val="bullet"/>
      <w:lvlText w:val="o"/>
      <w:lvlJc w:val="left"/>
      <w:pPr>
        <w:ind w:left="3886" w:hanging="360"/>
      </w:pPr>
      <w:rPr>
        <w:rFonts w:ascii="Courier New" w:hAnsi="Courier New" w:cs="Times New Roman" w:hint="default"/>
      </w:rPr>
    </w:lvl>
    <w:lvl w:ilvl="5" w:tplc="04090005">
      <w:start w:val="1"/>
      <w:numFmt w:val="bullet"/>
      <w:lvlText w:val=""/>
      <w:lvlJc w:val="left"/>
      <w:pPr>
        <w:ind w:left="4606" w:hanging="360"/>
      </w:pPr>
      <w:rPr>
        <w:rFonts w:ascii="Wingdings" w:hAnsi="Wingdings" w:hint="default"/>
      </w:rPr>
    </w:lvl>
    <w:lvl w:ilvl="6" w:tplc="04090001">
      <w:start w:val="1"/>
      <w:numFmt w:val="bullet"/>
      <w:lvlText w:val=""/>
      <w:lvlJc w:val="left"/>
      <w:pPr>
        <w:ind w:left="5326" w:hanging="360"/>
      </w:pPr>
      <w:rPr>
        <w:rFonts w:ascii="Symbol" w:hAnsi="Symbol" w:hint="default"/>
      </w:rPr>
    </w:lvl>
    <w:lvl w:ilvl="7" w:tplc="04090003">
      <w:start w:val="1"/>
      <w:numFmt w:val="bullet"/>
      <w:lvlText w:val="o"/>
      <w:lvlJc w:val="left"/>
      <w:pPr>
        <w:ind w:left="6046" w:hanging="360"/>
      </w:pPr>
      <w:rPr>
        <w:rFonts w:ascii="Courier New" w:hAnsi="Courier New" w:cs="Times New Roman" w:hint="default"/>
      </w:rPr>
    </w:lvl>
    <w:lvl w:ilvl="8" w:tplc="04090005">
      <w:start w:val="1"/>
      <w:numFmt w:val="bullet"/>
      <w:lvlText w:val=""/>
      <w:lvlJc w:val="left"/>
      <w:pPr>
        <w:ind w:left="6766" w:hanging="360"/>
      </w:pPr>
      <w:rPr>
        <w:rFonts w:ascii="Wingdings" w:hAnsi="Wingdings" w:hint="default"/>
      </w:rPr>
    </w:lvl>
  </w:abstractNum>
  <w:abstractNum w:abstractNumId="39">
    <w:nsid w:val="6DEB1171"/>
    <w:multiLevelType w:val="hybridMultilevel"/>
    <w:tmpl w:val="BC569E58"/>
    <w:lvl w:ilvl="0" w:tplc="04090001">
      <w:start w:val="1"/>
      <w:numFmt w:val="bullet"/>
      <w:lvlText w:val=""/>
      <w:lvlJc w:val="left"/>
      <w:pPr>
        <w:tabs>
          <w:tab w:val="num" w:pos="-351"/>
        </w:tabs>
        <w:ind w:left="-351" w:hanging="360"/>
      </w:pPr>
      <w:rPr>
        <w:rFonts w:ascii="Symbol" w:hAnsi="Symbol" w:hint="default"/>
      </w:rPr>
    </w:lvl>
    <w:lvl w:ilvl="1" w:tplc="04090001">
      <w:start w:val="1"/>
      <w:numFmt w:val="bullet"/>
      <w:lvlText w:val=""/>
      <w:lvlJc w:val="left"/>
      <w:pPr>
        <w:tabs>
          <w:tab w:val="num" w:pos="369"/>
        </w:tabs>
        <w:ind w:left="369" w:hanging="360"/>
      </w:pPr>
      <w:rPr>
        <w:rFonts w:ascii="Symbol" w:hAnsi="Symbol" w:hint="default"/>
      </w:rPr>
    </w:lvl>
    <w:lvl w:ilvl="2" w:tplc="6ADACD76">
      <w:start w:val="1"/>
      <w:numFmt w:val="bullet"/>
      <w:lvlText w:val=""/>
      <w:lvlJc w:val="left"/>
      <w:pPr>
        <w:tabs>
          <w:tab w:val="num" w:pos="1089"/>
        </w:tabs>
        <w:ind w:left="1089" w:hanging="360"/>
      </w:pPr>
      <w:rPr>
        <w:rFonts w:ascii="Wingdings" w:hAnsi="Wingdings" w:hint="default"/>
      </w:rPr>
    </w:lvl>
    <w:lvl w:ilvl="3" w:tplc="E152AEA0">
      <w:start w:val="1"/>
      <w:numFmt w:val="bullet"/>
      <w:lvlText w:val=""/>
      <w:lvlJc w:val="left"/>
      <w:pPr>
        <w:tabs>
          <w:tab w:val="num" w:pos="1809"/>
        </w:tabs>
        <w:ind w:left="1809" w:hanging="360"/>
      </w:pPr>
      <w:rPr>
        <w:rFonts w:ascii="Wingdings" w:hAnsi="Wingdings" w:hint="default"/>
      </w:rPr>
    </w:lvl>
    <w:lvl w:ilvl="4" w:tplc="D13ED0A2">
      <w:start w:val="1"/>
      <w:numFmt w:val="bullet"/>
      <w:lvlText w:val=""/>
      <w:lvlJc w:val="left"/>
      <w:pPr>
        <w:tabs>
          <w:tab w:val="num" w:pos="2529"/>
        </w:tabs>
        <w:ind w:left="2529" w:hanging="360"/>
      </w:pPr>
      <w:rPr>
        <w:rFonts w:ascii="Wingdings" w:hAnsi="Wingdings" w:hint="default"/>
      </w:rPr>
    </w:lvl>
    <w:lvl w:ilvl="5" w:tplc="55F658B8">
      <w:start w:val="1"/>
      <w:numFmt w:val="bullet"/>
      <w:lvlText w:val=""/>
      <w:lvlJc w:val="left"/>
      <w:pPr>
        <w:tabs>
          <w:tab w:val="num" w:pos="3249"/>
        </w:tabs>
        <w:ind w:left="3249" w:hanging="360"/>
      </w:pPr>
      <w:rPr>
        <w:rFonts w:ascii="Wingdings" w:hAnsi="Wingdings" w:hint="default"/>
      </w:rPr>
    </w:lvl>
    <w:lvl w:ilvl="6" w:tplc="086699AC">
      <w:start w:val="1"/>
      <w:numFmt w:val="bullet"/>
      <w:lvlText w:val=""/>
      <w:lvlJc w:val="left"/>
      <w:pPr>
        <w:tabs>
          <w:tab w:val="num" w:pos="3969"/>
        </w:tabs>
        <w:ind w:left="3969" w:hanging="360"/>
      </w:pPr>
      <w:rPr>
        <w:rFonts w:ascii="Wingdings" w:hAnsi="Wingdings" w:hint="default"/>
      </w:rPr>
    </w:lvl>
    <w:lvl w:ilvl="7" w:tplc="F342D486">
      <w:start w:val="1"/>
      <w:numFmt w:val="bullet"/>
      <w:lvlText w:val=""/>
      <w:lvlJc w:val="left"/>
      <w:pPr>
        <w:tabs>
          <w:tab w:val="num" w:pos="4689"/>
        </w:tabs>
        <w:ind w:left="4689" w:hanging="360"/>
      </w:pPr>
      <w:rPr>
        <w:rFonts w:ascii="Wingdings" w:hAnsi="Wingdings" w:hint="default"/>
      </w:rPr>
    </w:lvl>
    <w:lvl w:ilvl="8" w:tplc="A4E2E320">
      <w:start w:val="1"/>
      <w:numFmt w:val="bullet"/>
      <w:lvlText w:val=""/>
      <w:lvlJc w:val="left"/>
      <w:pPr>
        <w:tabs>
          <w:tab w:val="num" w:pos="5409"/>
        </w:tabs>
        <w:ind w:left="5409" w:hanging="360"/>
      </w:pPr>
      <w:rPr>
        <w:rFonts w:ascii="Wingdings" w:hAnsi="Wingdings" w:hint="default"/>
      </w:rPr>
    </w:lvl>
  </w:abstractNum>
  <w:abstractNum w:abstractNumId="40">
    <w:nsid w:val="6F432276"/>
    <w:multiLevelType w:val="multilevel"/>
    <w:tmpl w:val="1C66F352"/>
    <w:name w:val="RD_Tiles_Hierarchy"/>
    <w:styleLink w:val="HIPTitlesHierarchy"/>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008000"/>
        <w:sz w:val="24"/>
        <w:szCs w:val="24"/>
      </w:rPr>
    </w:lvl>
    <w:lvl w:ilvl="2">
      <w:start w:val="1"/>
      <w:numFmt w:val="decimal"/>
      <w:suff w:val="space"/>
      <w:lvlText w:val="%3"/>
      <w:lvlJc w:val="left"/>
      <w:pPr>
        <w:ind w:left="0" w:firstLine="0"/>
      </w:pPr>
      <w:rPr>
        <w:rFonts w:ascii="Helvetica" w:hAnsi="Helvetica" w:hint="default"/>
        <w:b/>
        <w:i w:val="0"/>
        <w:color w:val="008000"/>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color w:val="008000"/>
        <w:sz w:val="22"/>
        <w:szCs w:val="22"/>
      </w:rPr>
    </w:lvl>
    <w:lvl w:ilvl="5">
      <w:start w:val="1"/>
      <w:numFmt w:val="decimal"/>
      <w:suff w:val="space"/>
      <w:lvlText w:val="%3.%4.%5.%6"/>
      <w:lvlJc w:val="left"/>
      <w:pPr>
        <w:ind w:left="0" w:firstLine="0"/>
      </w:pPr>
      <w:rPr>
        <w:rFonts w:ascii="Helvetica" w:hAnsi="Helvetica" w:hint="default"/>
        <w:b w:val="0"/>
        <w:i/>
        <w:color w:val="auto"/>
        <w:sz w:val="22"/>
        <w:szCs w:val="22"/>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41">
    <w:nsid w:val="74925CCE"/>
    <w:multiLevelType w:val="hybridMultilevel"/>
    <w:tmpl w:val="345C25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nsid w:val="760901FA"/>
    <w:multiLevelType w:val="hybridMultilevel"/>
    <w:tmpl w:val="F626CFAC"/>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766147C6"/>
    <w:multiLevelType w:val="hybridMultilevel"/>
    <w:tmpl w:val="4C3CEC6A"/>
    <w:lvl w:ilvl="0" w:tplc="107A6078">
      <w:start w:val="7"/>
      <w:numFmt w:val="bullet"/>
      <w:lvlText w:val="•"/>
      <w:lvlJc w:val="left"/>
      <w:pPr>
        <w:ind w:left="927" w:hanging="360"/>
      </w:pPr>
      <w:rPr>
        <w:rFonts w:ascii="Calibri" w:eastAsia="SimSun" w:hAnsi="Calibri" w:cs="Calibri"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4">
    <w:nsid w:val="7A9218F9"/>
    <w:multiLevelType w:val="hybridMultilevel"/>
    <w:tmpl w:val="26FC1B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nsid w:val="7B803F8C"/>
    <w:multiLevelType w:val="hybridMultilevel"/>
    <w:tmpl w:val="29843874"/>
    <w:lvl w:ilvl="0" w:tplc="72D4B984">
      <w:start w:val="1"/>
      <w:numFmt w:val="lowerLetter"/>
      <w:lvlText w:val="%1."/>
      <w:lvlJc w:val="left"/>
      <w:pPr>
        <w:tabs>
          <w:tab w:val="num" w:pos="1440"/>
        </w:tabs>
        <w:ind w:left="1440" w:hanging="360"/>
      </w:pPr>
      <w:rPr>
        <w:rFonts w:hint="default"/>
      </w:rPr>
    </w:lvl>
    <w:lvl w:ilvl="1" w:tplc="E258DE48">
      <w:start w:val="1"/>
      <w:numFmt w:val="lowerLetter"/>
      <w:pStyle w:val="CEOindent-abc"/>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7BFD764C"/>
    <w:multiLevelType w:val="multilevel"/>
    <w:tmpl w:val="A59828A6"/>
    <w:name w:val="structure2"/>
    <w:styleLink w:val="HIPBulletsHierarchy"/>
    <w:lvl w:ilvl="0">
      <w:start w:val="1"/>
      <w:numFmt w:val="bullet"/>
      <w:suff w:val="space"/>
      <w:lvlText w:val=""/>
      <w:lvlJc w:val="left"/>
      <w:pPr>
        <w:ind w:left="360" w:hanging="360"/>
      </w:pPr>
      <w:rPr>
        <w:rFonts w:ascii="Symbol" w:hAnsi="Symbol" w:hint="default"/>
        <w:b/>
        <w:color w:val="008000"/>
        <w:sz w:val="22"/>
        <w:szCs w:val="22"/>
      </w:rPr>
    </w:lvl>
    <w:lvl w:ilvl="1">
      <w:start w:val="1"/>
      <w:numFmt w:val="bullet"/>
      <w:suff w:val="space"/>
      <w:lvlText w:val=""/>
      <w:lvlJc w:val="left"/>
      <w:pPr>
        <w:ind w:left="720" w:hanging="360"/>
      </w:pPr>
      <w:rPr>
        <w:rFonts w:ascii="Symbol" w:hAnsi="Symbol" w:hint="default"/>
        <w:b w:val="0"/>
        <w:i w:val="0"/>
        <w:color w:val="auto"/>
        <w:sz w:val="22"/>
      </w:rPr>
    </w:lvl>
    <w:lvl w:ilvl="2">
      <w:start w:val="1"/>
      <w:numFmt w:val="bullet"/>
      <w:suff w:val="nothing"/>
      <w:lvlText w:val="−"/>
      <w:lvlJc w:val="left"/>
      <w:pPr>
        <w:ind w:left="1080" w:hanging="360"/>
      </w:pPr>
      <w:rPr>
        <w:rFonts w:ascii="Helvetica" w:hAnsi="Helvetica" w:cs="Times New Roman" w:hint="default"/>
        <w:b/>
        <w:i w:val="0"/>
        <w:sz w:val="22"/>
        <w:szCs w:val="22"/>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7CFA5B5D"/>
    <w:multiLevelType w:val="hybridMultilevel"/>
    <w:tmpl w:val="95D23BB0"/>
    <w:lvl w:ilvl="0" w:tplc="2542BA02">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8">
    <w:nsid w:val="7E334965"/>
    <w:multiLevelType w:val="hybridMultilevel"/>
    <w:tmpl w:val="E438E9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40"/>
    <w:lvlOverride w:ilvl="0">
      <w:lvl w:ilvl="0">
        <w:numFmt w:val="decimal"/>
        <w:lvlText w:val=""/>
        <w:lvlJc w:val="left"/>
      </w:lvl>
    </w:lvlOverride>
    <w:lvlOverride w:ilvl="1">
      <w:lvl w:ilvl="1">
        <w:start w:val="1"/>
        <w:numFmt w:val="none"/>
        <w:suff w:val="space"/>
        <w:lvlText w:val="&gt;"/>
        <w:lvlJc w:val="left"/>
        <w:pPr>
          <w:ind w:left="0" w:firstLine="0"/>
        </w:pPr>
        <w:rPr>
          <w:rFonts w:ascii="Zurich UBlkEx BT" w:hAnsi="Zurich UBlkEx BT" w:hint="default"/>
          <w:b/>
          <w:i w:val="0"/>
          <w:color w:val="E36C0A" w:themeColor="accent6" w:themeShade="BF"/>
          <w:sz w:val="20"/>
          <w:szCs w:val="20"/>
        </w:rPr>
      </w:lvl>
    </w:lvlOverride>
    <w:lvlOverride w:ilvl="2">
      <w:lvl w:ilvl="2">
        <w:start w:val="1"/>
        <w:numFmt w:val="decimal"/>
        <w:suff w:val="space"/>
        <w:lvlText w:val="%3"/>
        <w:lvlJc w:val="left"/>
        <w:pPr>
          <w:ind w:left="0" w:firstLine="0"/>
        </w:pPr>
        <w:rPr>
          <w:rFonts w:ascii="Zurich UBlkEx BT" w:hAnsi="Zurich UBlkEx BT" w:hint="default"/>
          <w:b w:val="0"/>
          <w:bCs w:val="0"/>
          <w:i w:val="0"/>
          <w:color w:val="00589F"/>
          <w:sz w:val="20"/>
          <w:szCs w:val="20"/>
        </w:rPr>
      </w:lvl>
    </w:lvlOverride>
    <w:lvlOverride w:ilvl="3">
      <w:lvl w:ilvl="3">
        <w:start w:val="1"/>
        <w:numFmt w:val="decimal"/>
        <w:suff w:val="space"/>
        <w:lvlText w:val="%3.%4"/>
        <w:lvlJc w:val="left"/>
        <w:pPr>
          <w:ind w:left="142" w:firstLine="0"/>
        </w:pPr>
        <w:rPr>
          <w:rFonts w:ascii="Zurich UBlkEx BT" w:hAnsi="Zurich UBlkEx BT" w:hint="default"/>
          <w:b w:val="0"/>
          <w:i w:val="0"/>
          <w:iCs/>
          <w:color w:val="00589F"/>
          <w:sz w:val="20"/>
          <w:szCs w:val="20"/>
        </w:rPr>
      </w:lvl>
    </w:lvlOverride>
    <w:lvlOverride w:ilvl="4">
      <w:lvl w:ilvl="4">
        <w:start w:val="1"/>
        <w:numFmt w:val="decimal"/>
        <w:suff w:val="space"/>
        <w:lvlText w:val="%3.%4.%5"/>
        <w:lvlJc w:val="left"/>
        <w:pPr>
          <w:ind w:left="0" w:firstLine="0"/>
        </w:pPr>
        <w:rPr>
          <w:rFonts w:ascii="Zurich UBlkEx BT" w:hAnsi="Zurich UBlkEx BT" w:hint="default"/>
          <w:b w:val="0"/>
          <w:i w:val="0"/>
          <w:color w:val="00589F"/>
          <w:sz w:val="20"/>
          <w:szCs w:val="20"/>
        </w:rPr>
      </w:lvl>
    </w:lvlOverride>
    <w:lvlOverride w:ilvl="5">
      <w:lvl w:ilvl="5">
        <w:start w:val="1"/>
        <w:numFmt w:val="decimal"/>
        <w:suff w:val="space"/>
        <w:lvlText w:val="%3.%4.%5.%6"/>
        <w:lvlJc w:val="left"/>
        <w:pPr>
          <w:ind w:left="0" w:firstLine="0"/>
        </w:pPr>
        <w:rPr>
          <w:rFonts w:ascii="Zurich UBlkEx BT" w:hAnsi="Zurich UBlkEx BT" w:hint="default"/>
          <w:b w:val="0"/>
          <w:i w:val="0"/>
          <w:iCs/>
          <w:color w:val="E36C0A" w:themeColor="accent6" w:themeShade="BF"/>
          <w:sz w:val="20"/>
          <w:szCs w:val="20"/>
        </w:rPr>
      </w:lvl>
    </w:lvlOverride>
  </w:num>
  <w:num w:numId="2">
    <w:abstractNumId w:val="46"/>
  </w:num>
  <w:num w:numId="3">
    <w:abstractNumId w:val="40"/>
  </w:num>
  <w:num w:numId="4">
    <w:abstractNumId w:val="1"/>
  </w:num>
  <w:num w:numId="5">
    <w:abstractNumId w:val="45"/>
  </w:num>
  <w:num w:numId="6">
    <w:abstractNumId w:val="31"/>
  </w:num>
  <w:num w:numId="7">
    <w:abstractNumId w:val="5"/>
  </w:num>
  <w:num w:numId="8">
    <w:abstractNumId w:val="18"/>
  </w:num>
  <w:num w:numId="9">
    <w:abstractNumId w:val="21"/>
  </w:num>
  <w:num w:numId="10">
    <w:abstractNumId w:val="47"/>
  </w:num>
  <w:num w:numId="11">
    <w:abstractNumId w:val="34"/>
  </w:num>
  <w:num w:numId="12">
    <w:abstractNumId w:val="20"/>
  </w:num>
  <w:num w:numId="13">
    <w:abstractNumId w:val="38"/>
  </w:num>
  <w:num w:numId="14">
    <w:abstractNumId w:val="9"/>
  </w:num>
  <w:num w:numId="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4"/>
  </w:num>
  <w:num w:numId="19">
    <w:abstractNumId w:val="44"/>
  </w:num>
  <w:num w:numId="20">
    <w:abstractNumId w:val="8"/>
  </w:num>
  <w:num w:numId="21">
    <w:abstractNumId w:val="36"/>
  </w:num>
  <w:num w:numId="22">
    <w:abstractNumId w:val="10"/>
  </w:num>
  <w:num w:numId="23">
    <w:abstractNumId w:val="27"/>
  </w:num>
  <w:num w:numId="24">
    <w:abstractNumId w:val="6"/>
  </w:num>
  <w:num w:numId="25">
    <w:abstractNumId w:val="32"/>
  </w:num>
  <w:num w:numId="26">
    <w:abstractNumId w:val="3"/>
  </w:num>
  <w:num w:numId="27">
    <w:abstractNumId w:val="17"/>
  </w:num>
  <w:num w:numId="28">
    <w:abstractNumId w:val="33"/>
  </w:num>
  <w:num w:numId="29">
    <w:abstractNumId w:val="35"/>
  </w:num>
  <w:num w:numId="30">
    <w:abstractNumId w:val="39"/>
  </w:num>
  <w:num w:numId="31">
    <w:abstractNumId w:val="37"/>
  </w:num>
  <w:num w:numId="32">
    <w:abstractNumId w:val="2"/>
  </w:num>
  <w:num w:numId="33">
    <w:abstractNumId w:val="41"/>
  </w:num>
  <w:num w:numId="34">
    <w:abstractNumId w:val="26"/>
  </w:num>
  <w:num w:numId="35">
    <w:abstractNumId w:val="23"/>
  </w:num>
  <w:num w:numId="36">
    <w:abstractNumId w:val="7"/>
  </w:num>
  <w:num w:numId="37">
    <w:abstractNumId w:val="48"/>
  </w:num>
  <w:num w:numId="38">
    <w:abstractNumId w:val="11"/>
  </w:num>
  <w:num w:numId="39">
    <w:abstractNumId w:val="25"/>
  </w:num>
  <w:num w:numId="40">
    <w:abstractNumId w:val="22"/>
  </w:num>
  <w:num w:numId="41">
    <w:abstractNumId w:val="14"/>
  </w:num>
  <w:num w:numId="42">
    <w:abstractNumId w:val="30"/>
  </w:num>
  <w:num w:numId="43">
    <w:abstractNumId w:val="42"/>
  </w:num>
  <w:num w:numId="44">
    <w:abstractNumId w:val="43"/>
  </w:num>
  <w:num w:numId="45">
    <w:abstractNumId w:val="13"/>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TrueTypeFonts/>
  <w:saveSubsetFonts/>
  <w:activeWritingStyle w:appName="MSWord" w:lang="fr-FR" w:vendorID="64" w:dllVersion="131078" w:nlCheck="1" w:checkStyle="1"/>
  <w:activeWritingStyle w:appName="MSWord" w:lang="en-GB" w:vendorID="64" w:dllVersion="131078" w:nlCheck="1" w:checkStyle="1"/>
  <w:activeWritingStyle w:appName="MSWord" w:lang="es-ES"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fr-CH" w:vendorID="64" w:dllVersion="131078" w:nlCheck="1" w:checkStyle="1"/>
  <w:activeWritingStyle w:appName="MSWord" w:lang="en-TT" w:vendorID="64" w:dllVersion="131078" w:nlCheck="1" w:checkStyle="1"/>
  <w:activeWritingStyle w:appName="MSWord" w:lang="en-029" w:vendorID="64" w:dllVersion="131078" w:nlCheck="1" w:checkStyle="1"/>
  <w:activeWritingStyle w:appName="MSWord" w:lang="en-AU" w:vendorID="64" w:dllVersion="131078" w:nlCheck="1" w:checkStyle="1"/>
  <w:activeWritingStyle w:appName="MSWord" w:lang="en-CA" w:vendorID="64" w:dllVersion="131078" w:nlCheck="1" w:checkStyle="1"/>
  <w:activeWritingStyle w:appName="MSWord" w:lang="fr-CA" w:vendorID="64" w:dllVersion="131078" w:nlCheck="1" w:checkStyle="1"/>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evenAndOddHeaders/>
  <w:bookFoldPrintingSheets w:val="-4"/>
  <w:displayHorizontalDrawingGridEvery w:val="0"/>
  <w:displayVerticalDrawingGridEvery w:val="0"/>
  <w:doNotUseMarginsForDrawingGridOrigin/>
  <w:noPunctuationKerning/>
  <w:characterSpacingControl w:val="doNotCompress"/>
  <w:hdrShapeDefaults>
    <o:shapedefaults v:ext="edit" spidmax="2049" fill="f" fillcolor="white" stroke="f">
      <v:fill color="white" on="f"/>
      <v:stroke on="f"/>
      <v:textbox style="layout-flow:vertical;mso-layout-flow-alt:bottom-to-top;mso-fit-shape-to-text:t"/>
      <o:colormru v:ext="edit" colors="#36c,#039"/>
    </o:shapedefaults>
  </w:hdrShapeDefaults>
  <w:footnotePr>
    <w:footnote w:id="-1"/>
    <w:footnote w:id="0"/>
    <w:footnote w:id="1"/>
  </w:footnotePr>
  <w:endnotePr>
    <w:numFmt w:val="decimal"/>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34375"/>
    <w:rsid w:val="000012C8"/>
    <w:rsid w:val="0000259F"/>
    <w:rsid w:val="00004160"/>
    <w:rsid w:val="00005A08"/>
    <w:rsid w:val="00006784"/>
    <w:rsid w:val="00010631"/>
    <w:rsid w:val="00010EEB"/>
    <w:rsid w:val="000135A4"/>
    <w:rsid w:val="00013D6F"/>
    <w:rsid w:val="00013E61"/>
    <w:rsid w:val="00014A90"/>
    <w:rsid w:val="00017323"/>
    <w:rsid w:val="00017645"/>
    <w:rsid w:val="00021824"/>
    <w:rsid w:val="000233CA"/>
    <w:rsid w:val="00023A85"/>
    <w:rsid w:val="000273F7"/>
    <w:rsid w:val="00031CA2"/>
    <w:rsid w:val="00033090"/>
    <w:rsid w:val="000347CF"/>
    <w:rsid w:val="00037F99"/>
    <w:rsid w:val="00040A84"/>
    <w:rsid w:val="00041301"/>
    <w:rsid w:val="00042845"/>
    <w:rsid w:val="0004319A"/>
    <w:rsid w:val="0004551C"/>
    <w:rsid w:val="0004621F"/>
    <w:rsid w:val="00047D3C"/>
    <w:rsid w:val="0005154A"/>
    <w:rsid w:val="00051DDE"/>
    <w:rsid w:val="00053573"/>
    <w:rsid w:val="000541C8"/>
    <w:rsid w:val="00054F25"/>
    <w:rsid w:val="000608E4"/>
    <w:rsid w:val="000614AD"/>
    <w:rsid w:val="000617AE"/>
    <w:rsid w:val="0006382C"/>
    <w:rsid w:val="000650DC"/>
    <w:rsid w:val="00066280"/>
    <w:rsid w:val="00067F61"/>
    <w:rsid w:val="00070E31"/>
    <w:rsid w:val="00075AC8"/>
    <w:rsid w:val="00075AFE"/>
    <w:rsid w:val="00077618"/>
    <w:rsid w:val="00077AAE"/>
    <w:rsid w:val="00077DE6"/>
    <w:rsid w:val="000806FF"/>
    <w:rsid w:val="00081922"/>
    <w:rsid w:val="00085DF4"/>
    <w:rsid w:val="00087A33"/>
    <w:rsid w:val="0009006B"/>
    <w:rsid w:val="0009019D"/>
    <w:rsid w:val="000910C5"/>
    <w:rsid w:val="00092021"/>
    <w:rsid w:val="00092B20"/>
    <w:rsid w:val="00093E66"/>
    <w:rsid w:val="00096433"/>
    <w:rsid w:val="00096922"/>
    <w:rsid w:val="00097162"/>
    <w:rsid w:val="0009716E"/>
    <w:rsid w:val="00097207"/>
    <w:rsid w:val="00097422"/>
    <w:rsid w:val="00097540"/>
    <w:rsid w:val="000A14B5"/>
    <w:rsid w:val="000A316D"/>
    <w:rsid w:val="000A55BE"/>
    <w:rsid w:val="000A67CB"/>
    <w:rsid w:val="000A71D3"/>
    <w:rsid w:val="000B40AB"/>
    <w:rsid w:val="000B6B25"/>
    <w:rsid w:val="000C0D53"/>
    <w:rsid w:val="000C36E9"/>
    <w:rsid w:val="000C58D2"/>
    <w:rsid w:val="000D0B4D"/>
    <w:rsid w:val="000D0DCD"/>
    <w:rsid w:val="000D0F63"/>
    <w:rsid w:val="000E2EB3"/>
    <w:rsid w:val="000E54EF"/>
    <w:rsid w:val="000F0388"/>
    <w:rsid w:val="000F16CC"/>
    <w:rsid w:val="000F1919"/>
    <w:rsid w:val="000F4B9A"/>
    <w:rsid w:val="000F5307"/>
    <w:rsid w:val="00100D4C"/>
    <w:rsid w:val="001016E4"/>
    <w:rsid w:val="0010381E"/>
    <w:rsid w:val="00103A5D"/>
    <w:rsid w:val="0010485E"/>
    <w:rsid w:val="00104860"/>
    <w:rsid w:val="00104DB4"/>
    <w:rsid w:val="001071F8"/>
    <w:rsid w:val="00111CA1"/>
    <w:rsid w:val="001131CF"/>
    <w:rsid w:val="00113F18"/>
    <w:rsid w:val="001145E0"/>
    <w:rsid w:val="0011585A"/>
    <w:rsid w:val="0011701B"/>
    <w:rsid w:val="00117759"/>
    <w:rsid w:val="001178D8"/>
    <w:rsid w:val="00120BEF"/>
    <w:rsid w:val="00121F29"/>
    <w:rsid w:val="001227E0"/>
    <w:rsid w:val="001239C8"/>
    <w:rsid w:val="00125968"/>
    <w:rsid w:val="0012680A"/>
    <w:rsid w:val="00126A1E"/>
    <w:rsid w:val="00127A5D"/>
    <w:rsid w:val="00127AD9"/>
    <w:rsid w:val="001323E2"/>
    <w:rsid w:val="00132571"/>
    <w:rsid w:val="00132ECE"/>
    <w:rsid w:val="00132F83"/>
    <w:rsid w:val="00133CDA"/>
    <w:rsid w:val="00134C5A"/>
    <w:rsid w:val="00135581"/>
    <w:rsid w:val="00136E05"/>
    <w:rsid w:val="00137D83"/>
    <w:rsid w:val="00143C19"/>
    <w:rsid w:val="00143D5F"/>
    <w:rsid w:val="00146207"/>
    <w:rsid w:val="00152EC9"/>
    <w:rsid w:val="00153E45"/>
    <w:rsid w:val="001542B4"/>
    <w:rsid w:val="00163055"/>
    <w:rsid w:val="00163120"/>
    <w:rsid w:val="00163F1C"/>
    <w:rsid w:val="00164580"/>
    <w:rsid w:val="00166796"/>
    <w:rsid w:val="00167C0D"/>
    <w:rsid w:val="001701B3"/>
    <w:rsid w:val="0017095C"/>
    <w:rsid w:val="00171C2C"/>
    <w:rsid w:val="00171DA3"/>
    <w:rsid w:val="00172563"/>
    <w:rsid w:val="0017278E"/>
    <w:rsid w:val="001733CD"/>
    <w:rsid w:val="001734FD"/>
    <w:rsid w:val="00173B4B"/>
    <w:rsid w:val="001743FA"/>
    <w:rsid w:val="001752B0"/>
    <w:rsid w:val="0017654F"/>
    <w:rsid w:val="00176A68"/>
    <w:rsid w:val="00176F25"/>
    <w:rsid w:val="0017756B"/>
    <w:rsid w:val="00180969"/>
    <w:rsid w:val="00180D80"/>
    <w:rsid w:val="00185CE5"/>
    <w:rsid w:val="001878E0"/>
    <w:rsid w:val="0019104B"/>
    <w:rsid w:val="00192284"/>
    <w:rsid w:val="00193E6A"/>
    <w:rsid w:val="00197038"/>
    <w:rsid w:val="001A07A9"/>
    <w:rsid w:val="001A43E1"/>
    <w:rsid w:val="001A4C73"/>
    <w:rsid w:val="001A6578"/>
    <w:rsid w:val="001A768A"/>
    <w:rsid w:val="001A7B18"/>
    <w:rsid w:val="001B0B90"/>
    <w:rsid w:val="001B150C"/>
    <w:rsid w:val="001B1836"/>
    <w:rsid w:val="001B29B0"/>
    <w:rsid w:val="001B3273"/>
    <w:rsid w:val="001B5202"/>
    <w:rsid w:val="001B6FB6"/>
    <w:rsid w:val="001C1207"/>
    <w:rsid w:val="001C2C22"/>
    <w:rsid w:val="001C3365"/>
    <w:rsid w:val="001C33A5"/>
    <w:rsid w:val="001C476E"/>
    <w:rsid w:val="001C69F4"/>
    <w:rsid w:val="001C7095"/>
    <w:rsid w:val="001C70BF"/>
    <w:rsid w:val="001D4147"/>
    <w:rsid w:val="001D55D5"/>
    <w:rsid w:val="001D6A6E"/>
    <w:rsid w:val="001D795A"/>
    <w:rsid w:val="001E0DF9"/>
    <w:rsid w:val="001E1D38"/>
    <w:rsid w:val="001E6535"/>
    <w:rsid w:val="001F17CE"/>
    <w:rsid w:val="001F20BB"/>
    <w:rsid w:val="001F39FB"/>
    <w:rsid w:val="001F413F"/>
    <w:rsid w:val="001F429D"/>
    <w:rsid w:val="001F5A63"/>
    <w:rsid w:val="001F7F3F"/>
    <w:rsid w:val="00203D84"/>
    <w:rsid w:val="00205608"/>
    <w:rsid w:val="0020793F"/>
    <w:rsid w:val="00207DF0"/>
    <w:rsid w:val="00211EAC"/>
    <w:rsid w:val="00217FBE"/>
    <w:rsid w:val="002208F5"/>
    <w:rsid w:val="00220C8A"/>
    <w:rsid w:val="00225657"/>
    <w:rsid w:val="00225A80"/>
    <w:rsid w:val="0022728A"/>
    <w:rsid w:val="00234760"/>
    <w:rsid w:val="00234E6B"/>
    <w:rsid w:val="0023606E"/>
    <w:rsid w:val="00236A97"/>
    <w:rsid w:val="002375B2"/>
    <w:rsid w:val="00243015"/>
    <w:rsid w:val="002438AC"/>
    <w:rsid w:val="002448F4"/>
    <w:rsid w:val="0024564C"/>
    <w:rsid w:val="00246157"/>
    <w:rsid w:val="0024621F"/>
    <w:rsid w:val="00246785"/>
    <w:rsid w:val="0025181A"/>
    <w:rsid w:val="002550F0"/>
    <w:rsid w:val="002556EB"/>
    <w:rsid w:val="00256167"/>
    <w:rsid w:val="00256912"/>
    <w:rsid w:val="00256BEA"/>
    <w:rsid w:val="00262366"/>
    <w:rsid w:val="00262368"/>
    <w:rsid w:val="0026283E"/>
    <w:rsid w:val="00263740"/>
    <w:rsid w:val="0027124D"/>
    <w:rsid w:val="0027160A"/>
    <w:rsid w:val="0027183A"/>
    <w:rsid w:val="00271D36"/>
    <w:rsid w:val="00273758"/>
    <w:rsid w:val="002737B9"/>
    <w:rsid w:val="002737D1"/>
    <w:rsid w:val="00274D96"/>
    <w:rsid w:val="00277526"/>
    <w:rsid w:val="0028053C"/>
    <w:rsid w:val="002856AB"/>
    <w:rsid w:val="00291073"/>
    <w:rsid w:val="00291A51"/>
    <w:rsid w:val="00292D79"/>
    <w:rsid w:val="0029306D"/>
    <w:rsid w:val="00295040"/>
    <w:rsid w:val="002A0464"/>
    <w:rsid w:val="002A103D"/>
    <w:rsid w:val="002A12C3"/>
    <w:rsid w:val="002A733E"/>
    <w:rsid w:val="002B15C5"/>
    <w:rsid w:val="002B2394"/>
    <w:rsid w:val="002B44A9"/>
    <w:rsid w:val="002B493E"/>
    <w:rsid w:val="002B5674"/>
    <w:rsid w:val="002B595B"/>
    <w:rsid w:val="002B7FA8"/>
    <w:rsid w:val="002C05D3"/>
    <w:rsid w:val="002C087E"/>
    <w:rsid w:val="002C1A49"/>
    <w:rsid w:val="002C23FD"/>
    <w:rsid w:val="002C30D6"/>
    <w:rsid w:val="002C40A6"/>
    <w:rsid w:val="002C57CA"/>
    <w:rsid w:val="002D01EA"/>
    <w:rsid w:val="002D17FF"/>
    <w:rsid w:val="002D26DA"/>
    <w:rsid w:val="002D4567"/>
    <w:rsid w:val="002D4CC9"/>
    <w:rsid w:val="002D6E23"/>
    <w:rsid w:val="002D720D"/>
    <w:rsid w:val="002E0961"/>
    <w:rsid w:val="002E1C89"/>
    <w:rsid w:val="002E3A9C"/>
    <w:rsid w:val="002E4E79"/>
    <w:rsid w:val="002F05B0"/>
    <w:rsid w:val="002F4126"/>
    <w:rsid w:val="002F6FFC"/>
    <w:rsid w:val="002F79C4"/>
    <w:rsid w:val="003000B4"/>
    <w:rsid w:val="00300A43"/>
    <w:rsid w:val="003010AB"/>
    <w:rsid w:val="00302A0A"/>
    <w:rsid w:val="00304068"/>
    <w:rsid w:val="0030419C"/>
    <w:rsid w:val="00305EA5"/>
    <w:rsid w:val="0030667A"/>
    <w:rsid w:val="00310639"/>
    <w:rsid w:val="00312509"/>
    <w:rsid w:val="003132E0"/>
    <w:rsid w:val="00316A00"/>
    <w:rsid w:val="00317F8D"/>
    <w:rsid w:val="00320017"/>
    <w:rsid w:val="00323481"/>
    <w:rsid w:val="003244EC"/>
    <w:rsid w:val="00324561"/>
    <w:rsid w:val="00325DD9"/>
    <w:rsid w:val="00330C99"/>
    <w:rsid w:val="00332AB2"/>
    <w:rsid w:val="00332E08"/>
    <w:rsid w:val="00333DEF"/>
    <w:rsid w:val="003340DD"/>
    <w:rsid w:val="00334375"/>
    <w:rsid w:val="003369B6"/>
    <w:rsid w:val="0034180A"/>
    <w:rsid w:val="00342252"/>
    <w:rsid w:val="00344375"/>
    <w:rsid w:val="0034527B"/>
    <w:rsid w:val="00345977"/>
    <w:rsid w:val="003459B2"/>
    <w:rsid w:val="0035061D"/>
    <w:rsid w:val="003507C9"/>
    <w:rsid w:val="00350AE1"/>
    <w:rsid w:val="003512B6"/>
    <w:rsid w:val="0035666B"/>
    <w:rsid w:val="003605D0"/>
    <w:rsid w:val="0036211D"/>
    <w:rsid w:val="00362FFF"/>
    <w:rsid w:val="003633BA"/>
    <w:rsid w:val="00363C83"/>
    <w:rsid w:val="003647EF"/>
    <w:rsid w:val="003650C0"/>
    <w:rsid w:val="003664F2"/>
    <w:rsid w:val="00367032"/>
    <w:rsid w:val="003703C0"/>
    <w:rsid w:val="003707AC"/>
    <w:rsid w:val="003723AB"/>
    <w:rsid w:val="0037334A"/>
    <w:rsid w:val="0037395B"/>
    <w:rsid w:val="00373A5A"/>
    <w:rsid w:val="00375AAF"/>
    <w:rsid w:val="00382B6B"/>
    <w:rsid w:val="00383297"/>
    <w:rsid w:val="00383BD1"/>
    <w:rsid w:val="0038411C"/>
    <w:rsid w:val="00384D7C"/>
    <w:rsid w:val="00385AAA"/>
    <w:rsid w:val="00385DD4"/>
    <w:rsid w:val="00386439"/>
    <w:rsid w:val="003879E6"/>
    <w:rsid w:val="003913F2"/>
    <w:rsid w:val="00393C26"/>
    <w:rsid w:val="003944FE"/>
    <w:rsid w:val="00395676"/>
    <w:rsid w:val="0039683A"/>
    <w:rsid w:val="00396A3C"/>
    <w:rsid w:val="003A02C1"/>
    <w:rsid w:val="003A036F"/>
    <w:rsid w:val="003A39F7"/>
    <w:rsid w:val="003A4036"/>
    <w:rsid w:val="003A4C99"/>
    <w:rsid w:val="003B1976"/>
    <w:rsid w:val="003B27A7"/>
    <w:rsid w:val="003C1287"/>
    <w:rsid w:val="003C1570"/>
    <w:rsid w:val="003C2542"/>
    <w:rsid w:val="003C4176"/>
    <w:rsid w:val="003C4261"/>
    <w:rsid w:val="003C4ED6"/>
    <w:rsid w:val="003C5D30"/>
    <w:rsid w:val="003C7C81"/>
    <w:rsid w:val="003D213F"/>
    <w:rsid w:val="003D23ED"/>
    <w:rsid w:val="003D5315"/>
    <w:rsid w:val="003D663E"/>
    <w:rsid w:val="003D67E8"/>
    <w:rsid w:val="003E2209"/>
    <w:rsid w:val="003E2368"/>
    <w:rsid w:val="003E3CD1"/>
    <w:rsid w:val="003E4C32"/>
    <w:rsid w:val="003E52C2"/>
    <w:rsid w:val="003E7BFD"/>
    <w:rsid w:val="003F0AC1"/>
    <w:rsid w:val="003F433C"/>
    <w:rsid w:val="003F5733"/>
    <w:rsid w:val="003F5FD0"/>
    <w:rsid w:val="003F6086"/>
    <w:rsid w:val="00402A02"/>
    <w:rsid w:val="0040368C"/>
    <w:rsid w:val="00403F4F"/>
    <w:rsid w:val="0040406E"/>
    <w:rsid w:val="00404EDC"/>
    <w:rsid w:val="00406E30"/>
    <w:rsid w:val="00411536"/>
    <w:rsid w:val="0041170E"/>
    <w:rsid w:val="00411F98"/>
    <w:rsid w:val="00412B2E"/>
    <w:rsid w:val="00416288"/>
    <w:rsid w:val="0042073F"/>
    <w:rsid w:val="00424792"/>
    <w:rsid w:val="0042487D"/>
    <w:rsid w:val="00424D86"/>
    <w:rsid w:val="004251B1"/>
    <w:rsid w:val="004255AD"/>
    <w:rsid w:val="004268E9"/>
    <w:rsid w:val="00433527"/>
    <w:rsid w:val="00433698"/>
    <w:rsid w:val="0043453F"/>
    <w:rsid w:val="004359FB"/>
    <w:rsid w:val="00441ED5"/>
    <w:rsid w:val="004449BD"/>
    <w:rsid w:val="00444AA0"/>
    <w:rsid w:val="00445DD4"/>
    <w:rsid w:val="00446E47"/>
    <w:rsid w:val="004513F0"/>
    <w:rsid w:val="00452B5A"/>
    <w:rsid w:val="00453C8E"/>
    <w:rsid w:val="004542E7"/>
    <w:rsid w:val="00455426"/>
    <w:rsid w:val="00455EC2"/>
    <w:rsid w:val="0046015E"/>
    <w:rsid w:val="004621F9"/>
    <w:rsid w:val="00463DA1"/>
    <w:rsid w:val="0046428B"/>
    <w:rsid w:val="00464BCC"/>
    <w:rsid w:val="00465064"/>
    <w:rsid w:val="00465E86"/>
    <w:rsid w:val="00466213"/>
    <w:rsid w:val="004667AD"/>
    <w:rsid w:val="004670E1"/>
    <w:rsid w:val="0046715B"/>
    <w:rsid w:val="004703DE"/>
    <w:rsid w:val="00471F49"/>
    <w:rsid w:val="00472BDE"/>
    <w:rsid w:val="00473B2A"/>
    <w:rsid w:val="0047647C"/>
    <w:rsid w:val="00476DEE"/>
    <w:rsid w:val="00483AD7"/>
    <w:rsid w:val="00485626"/>
    <w:rsid w:val="004866ED"/>
    <w:rsid w:val="0048705D"/>
    <w:rsid w:val="00487149"/>
    <w:rsid w:val="00487360"/>
    <w:rsid w:val="00490E38"/>
    <w:rsid w:val="004941E7"/>
    <w:rsid w:val="00494F0A"/>
    <w:rsid w:val="004A0C27"/>
    <w:rsid w:val="004A0FC5"/>
    <w:rsid w:val="004A1FF8"/>
    <w:rsid w:val="004A3217"/>
    <w:rsid w:val="004A3FC4"/>
    <w:rsid w:val="004A718F"/>
    <w:rsid w:val="004A7326"/>
    <w:rsid w:val="004B0478"/>
    <w:rsid w:val="004B080D"/>
    <w:rsid w:val="004B0A0B"/>
    <w:rsid w:val="004B46CE"/>
    <w:rsid w:val="004B47C7"/>
    <w:rsid w:val="004B5B17"/>
    <w:rsid w:val="004B6316"/>
    <w:rsid w:val="004B6BC1"/>
    <w:rsid w:val="004C02FE"/>
    <w:rsid w:val="004C03AA"/>
    <w:rsid w:val="004C0A95"/>
    <w:rsid w:val="004C5178"/>
    <w:rsid w:val="004C58A8"/>
    <w:rsid w:val="004C71E0"/>
    <w:rsid w:val="004D0D9F"/>
    <w:rsid w:val="004D1772"/>
    <w:rsid w:val="004D32FE"/>
    <w:rsid w:val="004D4A59"/>
    <w:rsid w:val="004D7AD2"/>
    <w:rsid w:val="004E073F"/>
    <w:rsid w:val="004E0ED6"/>
    <w:rsid w:val="004E3383"/>
    <w:rsid w:val="004E3987"/>
    <w:rsid w:val="004E3AA9"/>
    <w:rsid w:val="004E471F"/>
    <w:rsid w:val="004E5215"/>
    <w:rsid w:val="004E532D"/>
    <w:rsid w:val="004E5B2C"/>
    <w:rsid w:val="004E65E6"/>
    <w:rsid w:val="004E6D70"/>
    <w:rsid w:val="004F1F13"/>
    <w:rsid w:val="004F2132"/>
    <w:rsid w:val="004F381D"/>
    <w:rsid w:val="004F6F05"/>
    <w:rsid w:val="005027B2"/>
    <w:rsid w:val="00502C37"/>
    <w:rsid w:val="005046AF"/>
    <w:rsid w:val="005047B8"/>
    <w:rsid w:val="00506702"/>
    <w:rsid w:val="0050674F"/>
    <w:rsid w:val="0051048D"/>
    <w:rsid w:val="00515A6A"/>
    <w:rsid w:val="00516846"/>
    <w:rsid w:val="00520948"/>
    <w:rsid w:val="00522DCF"/>
    <w:rsid w:val="00526074"/>
    <w:rsid w:val="00532850"/>
    <w:rsid w:val="00537DC3"/>
    <w:rsid w:val="00541179"/>
    <w:rsid w:val="00543044"/>
    <w:rsid w:val="00543AEE"/>
    <w:rsid w:val="00544466"/>
    <w:rsid w:val="00545F0D"/>
    <w:rsid w:val="00547F5F"/>
    <w:rsid w:val="00550486"/>
    <w:rsid w:val="0055091B"/>
    <w:rsid w:val="0055315E"/>
    <w:rsid w:val="0055324C"/>
    <w:rsid w:val="00555DD8"/>
    <w:rsid w:val="00557363"/>
    <w:rsid w:val="00560106"/>
    <w:rsid w:val="00564A35"/>
    <w:rsid w:val="005653CC"/>
    <w:rsid w:val="00567EAE"/>
    <w:rsid w:val="005702C2"/>
    <w:rsid w:val="00571155"/>
    <w:rsid w:val="00571B3E"/>
    <w:rsid w:val="00572079"/>
    <w:rsid w:val="0057455E"/>
    <w:rsid w:val="0058130F"/>
    <w:rsid w:val="00581449"/>
    <w:rsid w:val="00581532"/>
    <w:rsid w:val="005815E2"/>
    <w:rsid w:val="005827CB"/>
    <w:rsid w:val="00584E81"/>
    <w:rsid w:val="00590CB1"/>
    <w:rsid w:val="005916D3"/>
    <w:rsid w:val="005965AD"/>
    <w:rsid w:val="00597DC2"/>
    <w:rsid w:val="005A07EF"/>
    <w:rsid w:val="005A2D39"/>
    <w:rsid w:val="005B2283"/>
    <w:rsid w:val="005B68F6"/>
    <w:rsid w:val="005B7AE1"/>
    <w:rsid w:val="005C1B6E"/>
    <w:rsid w:val="005C33A1"/>
    <w:rsid w:val="005C3947"/>
    <w:rsid w:val="005C39BD"/>
    <w:rsid w:val="005C39DC"/>
    <w:rsid w:val="005C669F"/>
    <w:rsid w:val="005C6A93"/>
    <w:rsid w:val="005C6BDA"/>
    <w:rsid w:val="005D2912"/>
    <w:rsid w:val="005E0123"/>
    <w:rsid w:val="005E01C4"/>
    <w:rsid w:val="005E151F"/>
    <w:rsid w:val="005E1D56"/>
    <w:rsid w:val="005E5E28"/>
    <w:rsid w:val="005F2E51"/>
    <w:rsid w:val="005F33E1"/>
    <w:rsid w:val="005F3B9D"/>
    <w:rsid w:val="005F56C9"/>
    <w:rsid w:val="005F64AB"/>
    <w:rsid w:val="005F64BF"/>
    <w:rsid w:val="005F7A06"/>
    <w:rsid w:val="005F7AAC"/>
    <w:rsid w:val="006023F3"/>
    <w:rsid w:val="00603C3C"/>
    <w:rsid w:val="00604691"/>
    <w:rsid w:val="00604F4D"/>
    <w:rsid w:val="00606EA3"/>
    <w:rsid w:val="00607F41"/>
    <w:rsid w:val="006104A4"/>
    <w:rsid w:val="00611B8A"/>
    <w:rsid w:val="006141CD"/>
    <w:rsid w:val="006171A9"/>
    <w:rsid w:val="00617637"/>
    <w:rsid w:val="0062235F"/>
    <w:rsid w:val="00622694"/>
    <w:rsid w:val="006230C3"/>
    <w:rsid w:val="006258CA"/>
    <w:rsid w:val="006274F7"/>
    <w:rsid w:val="006276FC"/>
    <w:rsid w:val="00627927"/>
    <w:rsid w:val="00631A14"/>
    <w:rsid w:val="006344BB"/>
    <w:rsid w:val="00634F41"/>
    <w:rsid w:val="00635A76"/>
    <w:rsid w:val="0063644E"/>
    <w:rsid w:val="00641CB5"/>
    <w:rsid w:val="0064295F"/>
    <w:rsid w:val="00645569"/>
    <w:rsid w:val="00645C5A"/>
    <w:rsid w:val="00646133"/>
    <w:rsid w:val="00651A08"/>
    <w:rsid w:val="00652762"/>
    <w:rsid w:val="00652B2B"/>
    <w:rsid w:val="00653534"/>
    <w:rsid w:val="00653771"/>
    <w:rsid w:val="0065379A"/>
    <w:rsid w:val="00653CE2"/>
    <w:rsid w:val="00655CBD"/>
    <w:rsid w:val="00656D4C"/>
    <w:rsid w:val="006570A8"/>
    <w:rsid w:val="0066107A"/>
    <w:rsid w:val="00661A78"/>
    <w:rsid w:val="00662E9D"/>
    <w:rsid w:val="006630D2"/>
    <w:rsid w:val="00665EC4"/>
    <w:rsid w:val="006666B8"/>
    <w:rsid w:val="00671D53"/>
    <w:rsid w:val="00671F7A"/>
    <w:rsid w:val="00674332"/>
    <w:rsid w:val="00676F90"/>
    <w:rsid w:val="00680BAE"/>
    <w:rsid w:val="0068146F"/>
    <w:rsid w:val="006818E2"/>
    <w:rsid w:val="00684473"/>
    <w:rsid w:val="006879C3"/>
    <w:rsid w:val="00687F61"/>
    <w:rsid w:val="00691200"/>
    <w:rsid w:val="00693D4E"/>
    <w:rsid w:val="00695DC9"/>
    <w:rsid w:val="00695FF7"/>
    <w:rsid w:val="00696AC6"/>
    <w:rsid w:val="006A03DB"/>
    <w:rsid w:val="006A30C4"/>
    <w:rsid w:val="006A3329"/>
    <w:rsid w:val="006A365A"/>
    <w:rsid w:val="006A5E44"/>
    <w:rsid w:val="006A6170"/>
    <w:rsid w:val="006A7EBB"/>
    <w:rsid w:val="006B135F"/>
    <w:rsid w:val="006B19EA"/>
    <w:rsid w:val="006B1EE2"/>
    <w:rsid w:val="006B5FCD"/>
    <w:rsid w:val="006B74EE"/>
    <w:rsid w:val="006B7D4F"/>
    <w:rsid w:val="006C0A76"/>
    <w:rsid w:val="006C1356"/>
    <w:rsid w:val="006C197E"/>
    <w:rsid w:val="006C419A"/>
    <w:rsid w:val="006C5AA8"/>
    <w:rsid w:val="006C71F5"/>
    <w:rsid w:val="006D3D2F"/>
    <w:rsid w:val="006D3FA2"/>
    <w:rsid w:val="006D4DF3"/>
    <w:rsid w:val="006D53C3"/>
    <w:rsid w:val="006D5844"/>
    <w:rsid w:val="006D6DFB"/>
    <w:rsid w:val="006E2A5C"/>
    <w:rsid w:val="006E4588"/>
    <w:rsid w:val="006E7DBC"/>
    <w:rsid w:val="006F1C1D"/>
    <w:rsid w:val="006F3B2C"/>
    <w:rsid w:val="006F5E93"/>
    <w:rsid w:val="00700B18"/>
    <w:rsid w:val="00702A01"/>
    <w:rsid w:val="00703D56"/>
    <w:rsid w:val="00703D8D"/>
    <w:rsid w:val="0070744C"/>
    <w:rsid w:val="00710DD2"/>
    <w:rsid w:val="007134EA"/>
    <w:rsid w:val="007156B7"/>
    <w:rsid w:val="007202A5"/>
    <w:rsid w:val="00721164"/>
    <w:rsid w:val="007241A0"/>
    <w:rsid w:val="007261B5"/>
    <w:rsid w:val="00727290"/>
    <w:rsid w:val="00727AE7"/>
    <w:rsid w:val="007304D8"/>
    <w:rsid w:val="007306B9"/>
    <w:rsid w:val="007318D7"/>
    <w:rsid w:val="00734F3C"/>
    <w:rsid w:val="00736BBA"/>
    <w:rsid w:val="007378DC"/>
    <w:rsid w:val="00737D26"/>
    <w:rsid w:val="00740292"/>
    <w:rsid w:val="007417CF"/>
    <w:rsid w:val="00742EB0"/>
    <w:rsid w:val="007431C5"/>
    <w:rsid w:val="00744125"/>
    <w:rsid w:val="007457D6"/>
    <w:rsid w:val="00745FFF"/>
    <w:rsid w:val="00750D05"/>
    <w:rsid w:val="00750EB0"/>
    <w:rsid w:val="00751A94"/>
    <w:rsid w:val="00751C9C"/>
    <w:rsid w:val="00753254"/>
    <w:rsid w:val="0075342B"/>
    <w:rsid w:val="00754328"/>
    <w:rsid w:val="00754B44"/>
    <w:rsid w:val="007551EA"/>
    <w:rsid w:val="00755F4B"/>
    <w:rsid w:val="007628CB"/>
    <w:rsid w:val="007633E7"/>
    <w:rsid w:val="007653CB"/>
    <w:rsid w:val="00765A3F"/>
    <w:rsid w:val="00770445"/>
    <w:rsid w:val="0078113F"/>
    <w:rsid w:val="0078387C"/>
    <w:rsid w:val="007914CE"/>
    <w:rsid w:val="007962E4"/>
    <w:rsid w:val="0079799F"/>
    <w:rsid w:val="007A1212"/>
    <w:rsid w:val="007A23B5"/>
    <w:rsid w:val="007A44AC"/>
    <w:rsid w:val="007A68CA"/>
    <w:rsid w:val="007A7578"/>
    <w:rsid w:val="007A7C0F"/>
    <w:rsid w:val="007B05C3"/>
    <w:rsid w:val="007C25E9"/>
    <w:rsid w:val="007C5600"/>
    <w:rsid w:val="007D21D5"/>
    <w:rsid w:val="007E077D"/>
    <w:rsid w:val="007E14F9"/>
    <w:rsid w:val="007E2F21"/>
    <w:rsid w:val="007E4A7A"/>
    <w:rsid w:val="007F1E9C"/>
    <w:rsid w:val="007F254D"/>
    <w:rsid w:val="007F2B6A"/>
    <w:rsid w:val="007F3EB4"/>
    <w:rsid w:val="007F4820"/>
    <w:rsid w:val="007F56EE"/>
    <w:rsid w:val="007F6D5A"/>
    <w:rsid w:val="008002B8"/>
    <w:rsid w:val="0080095F"/>
    <w:rsid w:val="0080173C"/>
    <w:rsid w:val="0080275E"/>
    <w:rsid w:val="00802DC4"/>
    <w:rsid w:val="008034CA"/>
    <w:rsid w:val="00805791"/>
    <w:rsid w:val="00806CD5"/>
    <w:rsid w:val="008073E3"/>
    <w:rsid w:val="00807B4B"/>
    <w:rsid w:val="00811082"/>
    <w:rsid w:val="00813042"/>
    <w:rsid w:val="0081371A"/>
    <w:rsid w:val="00813D28"/>
    <w:rsid w:val="008154F1"/>
    <w:rsid w:val="0081660F"/>
    <w:rsid w:val="00817765"/>
    <w:rsid w:val="00821809"/>
    <w:rsid w:val="00821C93"/>
    <w:rsid w:val="008228A6"/>
    <w:rsid w:val="0082760E"/>
    <w:rsid w:val="00830CDD"/>
    <w:rsid w:val="00831BCD"/>
    <w:rsid w:val="008325A3"/>
    <w:rsid w:val="00832901"/>
    <w:rsid w:val="00833048"/>
    <w:rsid w:val="00835C1F"/>
    <w:rsid w:val="00835FA4"/>
    <w:rsid w:val="00837668"/>
    <w:rsid w:val="00837C8C"/>
    <w:rsid w:val="00843BE3"/>
    <w:rsid w:val="008447FC"/>
    <w:rsid w:val="00844A1C"/>
    <w:rsid w:val="008454C1"/>
    <w:rsid w:val="00845950"/>
    <w:rsid w:val="00846091"/>
    <w:rsid w:val="008520A7"/>
    <w:rsid w:val="0085320B"/>
    <w:rsid w:val="008533D1"/>
    <w:rsid w:val="008538A1"/>
    <w:rsid w:val="00854059"/>
    <w:rsid w:val="008574C0"/>
    <w:rsid w:val="00861031"/>
    <w:rsid w:val="008610F3"/>
    <w:rsid w:val="00863A33"/>
    <w:rsid w:val="008706D5"/>
    <w:rsid w:val="00870C66"/>
    <w:rsid w:val="008772E4"/>
    <w:rsid w:val="00877D77"/>
    <w:rsid w:val="00880E9F"/>
    <w:rsid w:val="00882B75"/>
    <w:rsid w:val="00882D82"/>
    <w:rsid w:val="00883714"/>
    <w:rsid w:val="008849E6"/>
    <w:rsid w:val="00887FC9"/>
    <w:rsid w:val="00894A7A"/>
    <w:rsid w:val="00894F8A"/>
    <w:rsid w:val="008966E0"/>
    <w:rsid w:val="008A3FEF"/>
    <w:rsid w:val="008A4A76"/>
    <w:rsid w:val="008A69F4"/>
    <w:rsid w:val="008B0C46"/>
    <w:rsid w:val="008B2896"/>
    <w:rsid w:val="008B2F75"/>
    <w:rsid w:val="008B3465"/>
    <w:rsid w:val="008B3E9F"/>
    <w:rsid w:val="008B3EAB"/>
    <w:rsid w:val="008B4ABF"/>
    <w:rsid w:val="008B6710"/>
    <w:rsid w:val="008B7C0E"/>
    <w:rsid w:val="008C0E53"/>
    <w:rsid w:val="008C1FAE"/>
    <w:rsid w:val="008C3BA6"/>
    <w:rsid w:val="008C46FC"/>
    <w:rsid w:val="008C61A0"/>
    <w:rsid w:val="008C6297"/>
    <w:rsid w:val="008C7290"/>
    <w:rsid w:val="008C746A"/>
    <w:rsid w:val="008D1B37"/>
    <w:rsid w:val="008D2014"/>
    <w:rsid w:val="008D3374"/>
    <w:rsid w:val="008D35C2"/>
    <w:rsid w:val="008D3C4D"/>
    <w:rsid w:val="008D52A4"/>
    <w:rsid w:val="008D5A31"/>
    <w:rsid w:val="008D6F87"/>
    <w:rsid w:val="008D7BF1"/>
    <w:rsid w:val="008D7E35"/>
    <w:rsid w:val="008E270B"/>
    <w:rsid w:val="008E3CD0"/>
    <w:rsid w:val="008E40A2"/>
    <w:rsid w:val="008E40DE"/>
    <w:rsid w:val="008E49D5"/>
    <w:rsid w:val="008E5556"/>
    <w:rsid w:val="008E5A56"/>
    <w:rsid w:val="008E64AB"/>
    <w:rsid w:val="008E6781"/>
    <w:rsid w:val="008E74D4"/>
    <w:rsid w:val="008F3B31"/>
    <w:rsid w:val="008F4E75"/>
    <w:rsid w:val="008F6F2C"/>
    <w:rsid w:val="009006C7"/>
    <w:rsid w:val="00900B38"/>
    <w:rsid w:val="00900F1A"/>
    <w:rsid w:val="0090388F"/>
    <w:rsid w:val="00905DCC"/>
    <w:rsid w:val="00906678"/>
    <w:rsid w:val="009119B6"/>
    <w:rsid w:val="009122F8"/>
    <w:rsid w:val="00914407"/>
    <w:rsid w:val="00916FDD"/>
    <w:rsid w:val="00917300"/>
    <w:rsid w:val="009173DA"/>
    <w:rsid w:val="00923593"/>
    <w:rsid w:val="009236DE"/>
    <w:rsid w:val="00923A9B"/>
    <w:rsid w:val="00924F45"/>
    <w:rsid w:val="00926D62"/>
    <w:rsid w:val="009319E4"/>
    <w:rsid w:val="00933196"/>
    <w:rsid w:val="009336CF"/>
    <w:rsid w:val="00934A3F"/>
    <w:rsid w:val="00940053"/>
    <w:rsid w:val="009431B3"/>
    <w:rsid w:val="00950367"/>
    <w:rsid w:val="00950A55"/>
    <w:rsid w:val="00951A67"/>
    <w:rsid w:val="00953B35"/>
    <w:rsid w:val="00953BFF"/>
    <w:rsid w:val="009544FE"/>
    <w:rsid w:val="009565F6"/>
    <w:rsid w:val="00960DD2"/>
    <w:rsid w:val="009613C6"/>
    <w:rsid w:val="00961BA7"/>
    <w:rsid w:val="0096280E"/>
    <w:rsid w:val="00963471"/>
    <w:rsid w:val="009652B9"/>
    <w:rsid w:val="00965E79"/>
    <w:rsid w:val="00967B6D"/>
    <w:rsid w:val="00972B2C"/>
    <w:rsid w:val="0097344A"/>
    <w:rsid w:val="0097555D"/>
    <w:rsid w:val="00980646"/>
    <w:rsid w:val="00980757"/>
    <w:rsid w:val="009851BD"/>
    <w:rsid w:val="009907AA"/>
    <w:rsid w:val="0099234A"/>
    <w:rsid w:val="009923FC"/>
    <w:rsid w:val="00993280"/>
    <w:rsid w:val="00995067"/>
    <w:rsid w:val="00995C47"/>
    <w:rsid w:val="0099699B"/>
    <w:rsid w:val="00996AAA"/>
    <w:rsid w:val="00996CE3"/>
    <w:rsid w:val="009A026D"/>
    <w:rsid w:val="009A204D"/>
    <w:rsid w:val="009A3923"/>
    <w:rsid w:val="009A4E8F"/>
    <w:rsid w:val="009A6173"/>
    <w:rsid w:val="009A7544"/>
    <w:rsid w:val="009B0B5A"/>
    <w:rsid w:val="009B0FB2"/>
    <w:rsid w:val="009B2549"/>
    <w:rsid w:val="009B27F8"/>
    <w:rsid w:val="009B2950"/>
    <w:rsid w:val="009B2960"/>
    <w:rsid w:val="009B4A83"/>
    <w:rsid w:val="009B73BF"/>
    <w:rsid w:val="009C1F0D"/>
    <w:rsid w:val="009C2745"/>
    <w:rsid w:val="009C280B"/>
    <w:rsid w:val="009C5901"/>
    <w:rsid w:val="009C703E"/>
    <w:rsid w:val="009D0B61"/>
    <w:rsid w:val="009D2085"/>
    <w:rsid w:val="009D26A2"/>
    <w:rsid w:val="009D30B8"/>
    <w:rsid w:val="009D46ED"/>
    <w:rsid w:val="009D7157"/>
    <w:rsid w:val="009E27C2"/>
    <w:rsid w:val="009E2BB9"/>
    <w:rsid w:val="009E3217"/>
    <w:rsid w:val="009F0BDC"/>
    <w:rsid w:val="009F6A42"/>
    <w:rsid w:val="00A01CFB"/>
    <w:rsid w:val="00A057B2"/>
    <w:rsid w:val="00A05D29"/>
    <w:rsid w:val="00A103AE"/>
    <w:rsid w:val="00A11555"/>
    <w:rsid w:val="00A117DC"/>
    <w:rsid w:val="00A11AC1"/>
    <w:rsid w:val="00A13549"/>
    <w:rsid w:val="00A145D3"/>
    <w:rsid w:val="00A14F47"/>
    <w:rsid w:val="00A158DC"/>
    <w:rsid w:val="00A16E02"/>
    <w:rsid w:val="00A20B07"/>
    <w:rsid w:val="00A232F4"/>
    <w:rsid w:val="00A23985"/>
    <w:rsid w:val="00A24D4D"/>
    <w:rsid w:val="00A264CE"/>
    <w:rsid w:val="00A26624"/>
    <w:rsid w:val="00A32C68"/>
    <w:rsid w:val="00A33D0F"/>
    <w:rsid w:val="00A360D2"/>
    <w:rsid w:val="00A36381"/>
    <w:rsid w:val="00A372CC"/>
    <w:rsid w:val="00A401B5"/>
    <w:rsid w:val="00A43AB6"/>
    <w:rsid w:val="00A45700"/>
    <w:rsid w:val="00A46313"/>
    <w:rsid w:val="00A46B82"/>
    <w:rsid w:val="00A5005B"/>
    <w:rsid w:val="00A5641A"/>
    <w:rsid w:val="00A56709"/>
    <w:rsid w:val="00A57C96"/>
    <w:rsid w:val="00A621B4"/>
    <w:rsid w:val="00A62CCF"/>
    <w:rsid w:val="00A6383F"/>
    <w:rsid w:val="00A64F44"/>
    <w:rsid w:val="00A65BC8"/>
    <w:rsid w:val="00A65FB1"/>
    <w:rsid w:val="00A676A4"/>
    <w:rsid w:val="00A70B8F"/>
    <w:rsid w:val="00A70DE8"/>
    <w:rsid w:val="00A741BD"/>
    <w:rsid w:val="00A76EFC"/>
    <w:rsid w:val="00A7784A"/>
    <w:rsid w:val="00A8294C"/>
    <w:rsid w:val="00A82C7D"/>
    <w:rsid w:val="00A84115"/>
    <w:rsid w:val="00A84237"/>
    <w:rsid w:val="00A86BBD"/>
    <w:rsid w:val="00A90B4F"/>
    <w:rsid w:val="00A9425B"/>
    <w:rsid w:val="00A95207"/>
    <w:rsid w:val="00A9578B"/>
    <w:rsid w:val="00A958EC"/>
    <w:rsid w:val="00A965D1"/>
    <w:rsid w:val="00A96CE7"/>
    <w:rsid w:val="00A97BB4"/>
    <w:rsid w:val="00AA2C20"/>
    <w:rsid w:val="00AA3B43"/>
    <w:rsid w:val="00AA4332"/>
    <w:rsid w:val="00AA4369"/>
    <w:rsid w:val="00AA6C42"/>
    <w:rsid w:val="00AA711E"/>
    <w:rsid w:val="00AA7989"/>
    <w:rsid w:val="00AB0010"/>
    <w:rsid w:val="00AB00FB"/>
    <w:rsid w:val="00AB0101"/>
    <w:rsid w:val="00AB2059"/>
    <w:rsid w:val="00AB3F31"/>
    <w:rsid w:val="00AB4812"/>
    <w:rsid w:val="00AC0E7B"/>
    <w:rsid w:val="00AC1EE3"/>
    <w:rsid w:val="00AC3A3F"/>
    <w:rsid w:val="00AC661B"/>
    <w:rsid w:val="00AC6E22"/>
    <w:rsid w:val="00AC7069"/>
    <w:rsid w:val="00AC733C"/>
    <w:rsid w:val="00AD24A5"/>
    <w:rsid w:val="00AD381A"/>
    <w:rsid w:val="00AD58E6"/>
    <w:rsid w:val="00AD5AB9"/>
    <w:rsid w:val="00AE0FF0"/>
    <w:rsid w:val="00AE251D"/>
    <w:rsid w:val="00AE2FCB"/>
    <w:rsid w:val="00AE4D94"/>
    <w:rsid w:val="00AE5280"/>
    <w:rsid w:val="00AE67BF"/>
    <w:rsid w:val="00AE6BCF"/>
    <w:rsid w:val="00AE700F"/>
    <w:rsid w:val="00AF20C4"/>
    <w:rsid w:val="00AF31AB"/>
    <w:rsid w:val="00AF3C2C"/>
    <w:rsid w:val="00AF56F2"/>
    <w:rsid w:val="00AF7B25"/>
    <w:rsid w:val="00B002CC"/>
    <w:rsid w:val="00B01ACF"/>
    <w:rsid w:val="00B01E61"/>
    <w:rsid w:val="00B03387"/>
    <w:rsid w:val="00B065CE"/>
    <w:rsid w:val="00B06857"/>
    <w:rsid w:val="00B07DC1"/>
    <w:rsid w:val="00B12998"/>
    <w:rsid w:val="00B1349F"/>
    <w:rsid w:val="00B13593"/>
    <w:rsid w:val="00B168B2"/>
    <w:rsid w:val="00B17C55"/>
    <w:rsid w:val="00B218E3"/>
    <w:rsid w:val="00B22D73"/>
    <w:rsid w:val="00B23A08"/>
    <w:rsid w:val="00B26974"/>
    <w:rsid w:val="00B26B47"/>
    <w:rsid w:val="00B278EB"/>
    <w:rsid w:val="00B312E9"/>
    <w:rsid w:val="00B32F0C"/>
    <w:rsid w:val="00B33D4C"/>
    <w:rsid w:val="00B36548"/>
    <w:rsid w:val="00B374ED"/>
    <w:rsid w:val="00B406A3"/>
    <w:rsid w:val="00B454A9"/>
    <w:rsid w:val="00B459CD"/>
    <w:rsid w:val="00B45D1D"/>
    <w:rsid w:val="00B475A0"/>
    <w:rsid w:val="00B5057C"/>
    <w:rsid w:val="00B519F6"/>
    <w:rsid w:val="00B51DB3"/>
    <w:rsid w:val="00B525B7"/>
    <w:rsid w:val="00B5270F"/>
    <w:rsid w:val="00B52E64"/>
    <w:rsid w:val="00B53905"/>
    <w:rsid w:val="00B53BCB"/>
    <w:rsid w:val="00B55DC5"/>
    <w:rsid w:val="00B5609E"/>
    <w:rsid w:val="00B56677"/>
    <w:rsid w:val="00B56723"/>
    <w:rsid w:val="00B56CBE"/>
    <w:rsid w:val="00B605CF"/>
    <w:rsid w:val="00B61E2B"/>
    <w:rsid w:val="00B620BF"/>
    <w:rsid w:val="00B62632"/>
    <w:rsid w:val="00B62921"/>
    <w:rsid w:val="00B6360F"/>
    <w:rsid w:val="00B6382A"/>
    <w:rsid w:val="00B63EEB"/>
    <w:rsid w:val="00B6565D"/>
    <w:rsid w:val="00B65CAA"/>
    <w:rsid w:val="00B66328"/>
    <w:rsid w:val="00B676E5"/>
    <w:rsid w:val="00B67DEF"/>
    <w:rsid w:val="00B70822"/>
    <w:rsid w:val="00B72864"/>
    <w:rsid w:val="00B72F99"/>
    <w:rsid w:val="00B73058"/>
    <w:rsid w:val="00B74F3F"/>
    <w:rsid w:val="00B75F60"/>
    <w:rsid w:val="00B76AA6"/>
    <w:rsid w:val="00B76C2D"/>
    <w:rsid w:val="00B824FE"/>
    <w:rsid w:val="00B82EE3"/>
    <w:rsid w:val="00B8353D"/>
    <w:rsid w:val="00B84EEF"/>
    <w:rsid w:val="00B84FD8"/>
    <w:rsid w:val="00B860FF"/>
    <w:rsid w:val="00B9372E"/>
    <w:rsid w:val="00B95F33"/>
    <w:rsid w:val="00B967A9"/>
    <w:rsid w:val="00B97D3B"/>
    <w:rsid w:val="00BA0F4A"/>
    <w:rsid w:val="00BA250C"/>
    <w:rsid w:val="00BA297E"/>
    <w:rsid w:val="00BA58D9"/>
    <w:rsid w:val="00BA6B4C"/>
    <w:rsid w:val="00BA7211"/>
    <w:rsid w:val="00BB21B8"/>
    <w:rsid w:val="00BB2AA7"/>
    <w:rsid w:val="00BB2B48"/>
    <w:rsid w:val="00BB3526"/>
    <w:rsid w:val="00BB3908"/>
    <w:rsid w:val="00BB4F6E"/>
    <w:rsid w:val="00BB5150"/>
    <w:rsid w:val="00BB6720"/>
    <w:rsid w:val="00BC0628"/>
    <w:rsid w:val="00BC1908"/>
    <w:rsid w:val="00BC21BF"/>
    <w:rsid w:val="00BC66FE"/>
    <w:rsid w:val="00BD1723"/>
    <w:rsid w:val="00BD1D68"/>
    <w:rsid w:val="00BD25E9"/>
    <w:rsid w:val="00BD30ED"/>
    <w:rsid w:val="00BD5189"/>
    <w:rsid w:val="00BD747A"/>
    <w:rsid w:val="00BE267E"/>
    <w:rsid w:val="00BE4397"/>
    <w:rsid w:val="00BE5449"/>
    <w:rsid w:val="00BE5A67"/>
    <w:rsid w:val="00BE74A5"/>
    <w:rsid w:val="00BF08DD"/>
    <w:rsid w:val="00BF3B6A"/>
    <w:rsid w:val="00BF49C7"/>
    <w:rsid w:val="00C0318D"/>
    <w:rsid w:val="00C07C4E"/>
    <w:rsid w:val="00C12B99"/>
    <w:rsid w:val="00C15624"/>
    <w:rsid w:val="00C15BC0"/>
    <w:rsid w:val="00C20AA1"/>
    <w:rsid w:val="00C210CC"/>
    <w:rsid w:val="00C21D57"/>
    <w:rsid w:val="00C239F6"/>
    <w:rsid w:val="00C24C0A"/>
    <w:rsid w:val="00C25155"/>
    <w:rsid w:val="00C25608"/>
    <w:rsid w:val="00C25E36"/>
    <w:rsid w:val="00C26F81"/>
    <w:rsid w:val="00C3027A"/>
    <w:rsid w:val="00C34130"/>
    <w:rsid w:val="00C36120"/>
    <w:rsid w:val="00C40B7E"/>
    <w:rsid w:val="00C43E84"/>
    <w:rsid w:val="00C45CD5"/>
    <w:rsid w:val="00C60F72"/>
    <w:rsid w:val="00C6107E"/>
    <w:rsid w:val="00C61BD9"/>
    <w:rsid w:val="00C638B2"/>
    <w:rsid w:val="00C63E54"/>
    <w:rsid w:val="00C64047"/>
    <w:rsid w:val="00C64238"/>
    <w:rsid w:val="00C653BC"/>
    <w:rsid w:val="00C66500"/>
    <w:rsid w:val="00C70B0B"/>
    <w:rsid w:val="00C7150D"/>
    <w:rsid w:val="00C7226E"/>
    <w:rsid w:val="00C72674"/>
    <w:rsid w:val="00C729F1"/>
    <w:rsid w:val="00C72A25"/>
    <w:rsid w:val="00C73CF9"/>
    <w:rsid w:val="00C74FEF"/>
    <w:rsid w:val="00C8124F"/>
    <w:rsid w:val="00C82870"/>
    <w:rsid w:val="00C8584A"/>
    <w:rsid w:val="00C8624A"/>
    <w:rsid w:val="00C87756"/>
    <w:rsid w:val="00C915E4"/>
    <w:rsid w:val="00C95278"/>
    <w:rsid w:val="00C95B2F"/>
    <w:rsid w:val="00CA0E2F"/>
    <w:rsid w:val="00CA2BD7"/>
    <w:rsid w:val="00CA3738"/>
    <w:rsid w:val="00CA42F7"/>
    <w:rsid w:val="00CA4AA6"/>
    <w:rsid w:val="00CA5541"/>
    <w:rsid w:val="00CA6969"/>
    <w:rsid w:val="00CA71B7"/>
    <w:rsid w:val="00CB00F3"/>
    <w:rsid w:val="00CB12BA"/>
    <w:rsid w:val="00CB2557"/>
    <w:rsid w:val="00CB484E"/>
    <w:rsid w:val="00CB4B53"/>
    <w:rsid w:val="00CB7D21"/>
    <w:rsid w:val="00CB7DA1"/>
    <w:rsid w:val="00CC16B2"/>
    <w:rsid w:val="00CC2D8D"/>
    <w:rsid w:val="00CC3E98"/>
    <w:rsid w:val="00CC6596"/>
    <w:rsid w:val="00CD1B01"/>
    <w:rsid w:val="00CD1D5B"/>
    <w:rsid w:val="00CD1E6E"/>
    <w:rsid w:val="00CD341E"/>
    <w:rsid w:val="00CD4791"/>
    <w:rsid w:val="00CD5187"/>
    <w:rsid w:val="00CD7815"/>
    <w:rsid w:val="00CE3E78"/>
    <w:rsid w:val="00CE40B1"/>
    <w:rsid w:val="00CE6775"/>
    <w:rsid w:val="00CE67D7"/>
    <w:rsid w:val="00CE68DB"/>
    <w:rsid w:val="00CE7256"/>
    <w:rsid w:val="00CE76FC"/>
    <w:rsid w:val="00CE77E0"/>
    <w:rsid w:val="00CE7F23"/>
    <w:rsid w:val="00CF1AFB"/>
    <w:rsid w:val="00CF22CE"/>
    <w:rsid w:val="00CF29E9"/>
    <w:rsid w:val="00CF44B9"/>
    <w:rsid w:val="00D00209"/>
    <w:rsid w:val="00D03C23"/>
    <w:rsid w:val="00D155DD"/>
    <w:rsid w:val="00D15DB8"/>
    <w:rsid w:val="00D175DD"/>
    <w:rsid w:val="00D224B0"/>
    <w:rsid w:val="00D22F33"/>
    <w:rsid w:val="00D22F4F"/>
    <w:rsid w:val="00D23E78"/>
    <w:rsid w:val="00D240F2"/>
    <w:rsid w:val="00D24137"/>
    <w:rsid w:val="00D24BFE"/>
    <w:rsid w:val="00D268C0"/>
    <w:rsid w:val="00D26F29"/>
    <w:rsid w:val="00D27162"/>
    <w:rsid w:val="00D277DC"/>
    <w:rsid w:val="00D31DC3"/>
    <w:rsid w:val="00D329CF"/>
    <w:rsid w:val="00D33EE5"/>
    <w:rsid w:val="00D347B9"/>
    <w:rsid w:val="00D35966"/>
    <w:rsid w:val="00D429EE"/>
    <w:rsid w:val="00D42E2E"/>
    <w:rsid w:val="00D43F0B"/>
    <w:rsid w:val="00D44CD5"/>
    <w:rsid w:val="00D4571D"/>
    <w:rsid w:val="00D46C7B"/>
    <w:rsid w:val="00D47647"/>
    <w:rsid w:val="00D50C7B"/>
    <w:rsid w:val="00D52334"/>
    <w:rsid w:val="00D56B5F"/>
    <w:rsid w:val="00D57F4F"/>
    <w:rsid w:val="00D62251"/>
    <w:rsid w:val="00D638A6"/>
    <w:rsid w:val="00D65589"/>
    <w:rsid w:val="00D672EC"/>
    <w:rsid w:val="00D67B5C"/>
    <w:rsid w:val="00D702A7"/>
    <w:rsid w:val="00D71F9C"/>
    <w:rsid w:val="00D75B86"/>
    <w:rsid w:val="00D77BE8"/>
    <w:rsid w:val="00D8213A"/>
    <w:rsid w:val="00D8753F"/>
    <w:rsid w:val="00D91533"/>
    <w:rsid w:val="00D91F0F"/>
    <w:rsid w:val="00D932DC"/>
    <w:rsid w:val="00D94DFC"/>
    <w:rsid w:val="00D94FEE"/>
    <w:rsid w:val="00D9553B"/>
    <w:rsid w:val="00DA046D"/>
    <w:rsid w:val="00DA269E"/>
    <w:rsid w:val="00DA2D7C"/>
    <w:rsid w:val="00DA4798"/>
    <w:rsid w:val="00DA552F"/>
    <w:rsid w:val="00DA6A48"/>
    <w:rsid w:val="00DB0B42"/>
    <w:rsid w:val="00DB3E84"/>
    <w:rsid w:val="00DB4069"/>
    <w:rsid w:val="00DB49CA"/>
    <w:rsid w:val="00DC2054"/>
    <w:rsid w:val="00DC2472"/>
    <w:rsid w:val="00DC33F5"/>
    <w:rsid w:val="00DC3648"/>
    <w:rsid w:val="00DC3E55"/>
    <w:rsid w:val="00DC4711"/>
    <w:rsid w:val="00DC7DFF"/>
    <w:rsid w:val="00DC7F23"/>
    <w:rsid w:val="00DD0C12"/>
    <w:rsid w:val="00DD1E6F"/>
    <w:rsid w:val="00DD6562"/>
    <w:rsid w:val="00DD6D3A"/>
    <w:rsid w:val="00DE0F8A"/>
    <w:rsid w:val="00DE23E5"/>
    <w:rsid w:val="00DE3AD4"/>
    <w:rsid w:val="00DE495D"/>
    <w:rsid w:val="00DE4C4D"/>
    <w:rsid w:val="00DE4DCD"/>
    <w:rsid w:val="00DE524F"/>
    <w:rsid w:val="00DE770C"/>
    <w:rsid w:val="00DF3F29"/>
    <w:rsid w:val="00DF421A"/>
    <w:rsid w:val="00E0321A"/>
    <w:rsid w:val="00E04179"/>
    <w:rsid w:val="00E04838"/>
    <w:rsid w:val="00E04A9E"/>
    <w:rsid w:val="00E07081"/>
    <w:rsid w:val="00E07E02"/>
    <w:rsid w:val="00E10293"/>
    <w:rsid w:val="00E104D5"/>
    <w:rsid w:val="00E10C23"/>
    <w:rsid w:val="00E11EDC"/>
    <w:rsid w:val="00E12611"/>
    <w:rsid w:val="00E12EBA"/>
    <w:rsid w:val="00E12F24"/>
    <w:rsid w:val="00E1439B"/>
    <w:rsid w:val="00E14F1B"/>
    <w:rsid w:val="00E164C5"/>
    <w:rsid w:val="00E173B7"/>
    <w:rsid w:val="00E219E6"/>
    <w:rsid w:val="00E23265"/>
    <w:rsid w:val="00E23A33"/>
    <w:rsid w:val="00E31AAA"/>
    <w:rsid w:val="00E32A54"/>
    <w:rsid w:val="00E32C8A"/>
    <w:rsid w:val="00E3399A"/>
    <w:rsid w:val="00E34B38"/>
    <w:rsid w:val="00E354DC"/>
    <w:rsid w:val="00E404E4"/>
    <w:rsid w:val="00E414BD"/>
    <w:rsid w:val="00E41791"/>
    <w:rsid w:val="00E4260B"/>
    <w:rsid w:val="00E46F22"/>
    <w:rsid w:val="00E5077C"/>
    <w:rsid w:val="00E5206D"/>
    <w:rsid w:val="00E52B76"/>
    <w:rsid w:val="00E52CF4"/>
    <w:rsid w:val="00E55042"/>
    <w:rsid w:val="00E563C2"/>
    <w:rsid w:val="00E56618"/>
    <w:rsid w:val="00E57724"/>
    <w:rsid w:val="00E578CB"/>
    <w:rsid w:val="00E6026B"/>
    <w:rsid w:val="00E612DB"/>
    <w:rsid w:val="00E618C0"/>
    <w:rsid w:val="00E61F6D"/>
    <w:rsid w:val="00E62DFD"/>
    <w:rsid w:val="00E6584D"/>
    <w:rsid w:val="00E66A52"/>
    <w:rsid w:val="00E673B8"/>
    <w:rsid w:val="00E72086"/>
    <w:rsid w:val="00E72F51"/>
    <w:rsid w:val="00E75855"/>
    <w:rsid w:val="00E76131"/>
    <w:rsid w:val="00E76860"/>
    <w:rsid w:val="00E76ABB"/>
    <w:rsid w:val="00E80E71"/>
    <w:rsid w:val="00E818CE"/>
    <w:rsid w:val="00E84520"/>
    <w:rsid w:val="00E871BE"/>
    <w:rsid w:val="00E87816"/>
    <w:rsid w:val="00E91AB2"/>
    <w:rsid w:val="00E9227E"/>
    <w:rsid w:val="00E939FF"/>
    <w:rsid w:val="00E94F9B"/>
    <w:rsid w:val="00EA04C4"/>
    <w:rsid w:val="00EA1623"/>
    <w:rsid w:val="00EA5633"/>
    <w:rsid w:val="00EA6CB9"/>
    <w:rsid w:val="00EB05BA"/>
    <w:rsid w:val="00EB3DB6"/>
    <w:rsid w:val="00EB501C"/>
    <w:rsid w:val="00EB6490"/>
    <w:rsid w:val="00EC0F11"/>
    <w:rsid w:val="00EC18AD"/>
    <w:rsid w:val="00EC6DCA"/>
    <w:rsid w:val="00ED078D"/>
    <w:rsid w:val="00ED0C71"/>
    <w:rsid w:val="00ED3677"/>
    <w:rsid w:val="00ED411F"/>
    <w:rsid w:val="00ED46A8"/>
    <w:rsid w:val="00ED5945"/>
    <w:rsid w:val="00ED6B25"/>
    <w:rsid w:val="00EE01AD"/>
    <w:rsid w:val="00EE1688"/>
    <w:rsid w:val="00EE31E5"/>
    <w:rsid w:val="00EE320D"/>
    <w:rsid w:val="00EE350A"/>
    <w:rsid w:val="00EF2CE0"/>
    <w:rsid w:val="00EF3C6F"/>
    <w:rsid w:val="00F01239"/>
    <w:rsid w:val="00F01266"/>
    <w:rsid w:val="00F01EE3"/>
    <w:rsid w:val="00F03275"/>
    <w:rsid w:val="00F034E4"/>
    <w:rsid w:val="00F03B70"/>
    <w:rsid w:val="00F04066"/>
    <w:rsid w:val="00F04115"/>
    <w:rsid w:val="00F0568E"/>
    <w:rsid w:val="00F05D57"/>
    <w:rsid w:val="00F05FDA"/>
    <w:rsid w:val="00F06EFC"/>
    <w:rsid w:val="00F11861"/>
    <w:rsid w:val="00F11BDE"/>
    <w:rsid w:val="00F131D7"/>
    <w:rsid w:val="00F144EA"/>
    <w:rsid w:val="00F15AF4"/>
    <w:rsid w:val="00F203D8"/>
    <w:rsid w:val="00F20AB2"/>
    <w:rsid w:val="00F21142"/>
    <w:rsid w:val="00F22605"/>
    <w:rsid w:val="00F23B45"/>
    <w:rsid w:val="00F24754"/>
    <w:rsid w:val="00F261AC"/>
    <w:rsid w:val="00F31503"/>
    <w:rsid w:val="00F31846"/>
    <w:rsid w:val="00F31D8C"/>
    <w:rsid w:val="00F3255F"/>
    <w:rsid w:val="00F34BB1"/>
    <w:rsid w:val="00F363D1"/>
    <w:rsid w:val="00F36411"/>
    <w:rsid w:val="00F377FA"/>
    <w:rsid w:val="00F37F8E"/>
    <w:rsid w:val="00F44873"/>
    <w:rsid w:val="00F52B27"/>
    <w:rsid w:val="00F52ECF"/>
    <w:rsid w:val="00F5419E"/>
    <w:rsid w:val="00F5443C"/>
    <w:rsid w:val="00F604AE"/>
    <w:rsid w:val="00F608DE"/>
    <w:rsid w:val="00F61491"/>
    <w:rsid w:val="00F620CD"/>
    <w:rsid w:val="00F62B12"/>
    <w:rsid w:val="00F63EDA"/>
    <w:rsid w:val="00F6413F"/>
    <w:rsid w:val="00F6454F"/>
    <w:rsid w:val="00F662DE"/>
    <w:rsid w:val="00F6711C"/>
    <w:rsid w:val="00F679EC"/>
    <w:rsid w:val="00F67C2B"/>
    <w:rsid w:val="00F67C6A"/>
    <w:rsid w:val="00F67CB5"/>
    <w:rsid w:val="00F72C00"/>
    <w:rsid w:val="00F80021"/>
    <w:rsid w:val="00F83630"/>
    <w:rsid w:val="00F853B3"/>
    <w:rsid w:val="00F859AE"/>
    <w:rsid w:val="00F877F1"/>
    <w:rsid w:val="00F9384E"/>
    <w:rsid w:val="00F95A55"/>
    <w:rsid w:val="00F96852"/>
    <w:rsid w:val="00F96BA6"/>
    <w:rsid w:val="00FA0B1A"/>
    <w:rsid w:val="00FA1758"/>
    <w:rsid w:val="00FA17B6"/>
    <w:rsid w:val="00FA470B"/>
    <w:rsid w:val="00FA766D"/>
    <w:rsid w:val="00FB0769"/>
    <w:rsid w:val="00FB07DA"/>
    <w:rsid w:val="00FB3EE3"/>
    <w:rsid w:val="00FB6739"/>
    <w:rsid w:val="00FB73EC"/>
    <w:rsid w:val="00FB75C9"/>
    <w:rsid w:val="00FB79B8"/>
    <w:rsid w:val="00FC0D2F"/>
    <w:rsid w:val="00FC1CA4"/>
    <w:rsid w:val="00FC381D"/>
    <w:rsid w:val="00FC5F36"/>
    <w:rsid w:val="00FC6455"/>
    <w:rsid w:val="00FC672E"/>
    <w:rsid w:val="00FD10DD"/>
    <w:rsid w:val="00FD18F9"/>
    <w:rsid w:val="00FD1C92"/>
    <w:rsid w:val="00FD3646"/>
    <w:rsid w:val="00FD369C"/>
    <w:rsid w:val="00FD6576"/>
    <w:rsid w:val="00FD6903"/>
    <w:rsid w:val="00FD78BC"/>
    <w:rsid w:val="00FD7C40"/>
    <w:rsid w:val="00FE0356"/>
    <w:rsid w:val="00FE0FDE"/>
    <w:rsid w:val="00FE1089"/>
    <w:rsid w:val="00FE2943"/>
    <w:rsid w:val="00FE3CDC"/>
    <w:rsid w:val="00FE4239"/>
    <w:rsid w:val="00FF25C6"/>
    <w:rsid w:val="00FF4352"/>
    <w:rsid w:val="00FF5403"/>
    <w:rsid w:val="00FF5ECF"/>
    <w:rsid w:val="00FF7C8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v:textbox style="layout-flow:vertical;mso-layout-flow-alt:bottom-to-top;mso-fit-shape-to-text:t"/>
      <o:colormru v:ext="edit" colors="#36c,#039"/>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header" w:uiPriority="99"/>
    <w:lsdException w:name="footer" w:uiPriority="99"/>
    <w:lsdException w:name="caption" w:qFormat="1"/>
    <w:lsdException w:name="table of figures" w:uiPriority="99"/>
    <w:lsdException w:name="footnote reference" w:uiPriority="99"/>
    <w:lsdException w:name="Title" w:qFormat="1"/>
    <w:lsdException w:name="Subtitle" w:qFormat="1"/>
    <w:lsdException w:name="Body Text Indent 3" w:uiPriority="99"/>
    <w:lsdException w:name="Block Text"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Acronym" w:uiPriority="99"/>
    <w:lsdException w:name="HTML Cite" w:uiPriority="99"/>
    <w:lsdException w:name="HTML Definition" w:uiPriority="99"/>
    <w:lsdException w:name="HTML Preformatted"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002CC"/>
    <w:pPr>
      <w:spacing w:before="120"/>
      <w:jc w:val="both"/>
    </w:pPr>
    <w:rPr>
      <w:rFonts w:ascii="Calibri" w:hAnsi="Calibri"/>
      <w:sz w:val="21"/>
      <w:szCs w:val="22"/>
      <w:lang w:val="fr-FR" w:eastAsia="fr-FR"/>
    </w:rPr>
  </w:style>
  <w:style w:type="paragraph" w:styleId="Heading1">
    <w:name w:val="heading 1"/>
    <w:basedOn w:val="Normal"/>
    <w:next w:val="Normal"/>
    <w:link w:val="Heading1Char"/>
    <w:uiPriority w:val="9"/>
    <w:qFormat/>
    <w:rsid w:val="00821C93"/>
    <w:pPr>
      <w:keepNext/>
      <w:keepLines/>
      <w:tabs>
        <w:tab w:val="left" w:pos="851"/>
      </w:tabs>
      <w:spacing w:before="400"/>
      <w:outlineLvl w:val="0"/>
    </w:pPr>
    <w:rPr>
      <w:rFonts w:eastAsia="Times New Roman" w:cs="Helvetica"/>
      <w:b/>
      <w:bCs/>
      <w:color w:val="005173"/>
      <w:sz w:val="28"/>
      <w:szCs w:val="28"/>
      <w:lang w:val="en-US"/>
    </w:rPr>
  </w:style>
  <w:style w:type="paragraph" w:styleId="Heading2">
    <w:name w:val="heading 2"/>
    <w:basedOn w:val="Normal"/>
    <w:next w:val="Normal"/>
    <w:link w:val="Heading2Char"/>
    <w:qFormat/>
    <w:rsid w:val="00821C93"/>
    <w:pPr>
      <w:keepNext/>
      <w:tabs>
        <w:tab w:val="left" w:pos="851"/>
      </w:tabs>
      <w:spacing w:before="400"/>
      <w:outlineLvl w:val="1"/>
    </w:pPr>
    <w:rPr>
      <w:rFonts w:eastAsia="Times New Roman" w:cs="Helvetica"/>
      <w:b/>
      <w:bCs/>
      <w:color w:val="005173"/>
      <w:sz w:val="24"/>
      <w:szCs w:val="32"/>
      <w:lang w:val="en-US"/>
    </w:rPr>
  </w:style>
  <w:style w:type="paragraph" w:styleId="Heading3">
    <w:name w:val="heading 3"/>
    <w:basedOn w:val="Heading2"/>
    <w:next w:val="Normal"/>
    <w:link w:val="Heading3Char"/>
    <w:qFormat/>
    <w:rsid w:val="00F20AB2"/>
    <w:pPr>
      <w:spacing w:before="240"/>
      <w:outlineLvl w:val="2"/>
    </w:pPr>
    <w:rPr>
      <w:i/>
      <w:iCs/>
    </w:rPr>
  </w:style>
  <w:style w:type="paragraph" w:styleId="Heading4">
    <w:name w:val="heading 4"/>
    <w:basedOn w:val="Normal"/>
    <w:next w:val="Normal"/>
    <w:link w:val="Heading4Char"/>
    <w:qFormat/>
    <w:rsid w:val="00821C93"/>
    <w:pPr>
      <w:keepNext/>
      <w:tabs>
        <w:tab w:val="left" w:pos="993"/>
      </w:tabs>
      <w:spacing w:before="240" w:after="60"/>
      <w:outlineLvl w:val="3"/>
    </w:pPr>
    <w:rPr>
      <w:rFonts w:eastAsia="Times New Roman"/>
      <w:b/>
      <w:bCs/>
      <w:color w:val="005173"/>
      <w:sz w:val="22"/>
      <w:lang w:val="en-GB" w:eastAsia="en-CA"/>
    </w:rPr>
  </w:style>
  <w:style w:type="paragraph" w:styleId="Heading5">
    <w:name w:val="heading 5"/>
    <w:basedOn w:val="Normal"/>
    <w:next w:val="Normal"/>
    <w:link w:val="Heading5Char"/>
    <w:qFormat/>
    <w:rsid w:val="00821C93"/>
    <w:pPr>
      <w:keepNext/>
      <w:keepLines/>
      <w:tabs>
        <w:tab w:val="left" w:pos="1134"/>
      </w:tabs>
      <w:spacing w:before="240" w:after="60"/>
      <w:ind w:left="1134" w:hanging="1134"/>
      <w:outlineLvl w:val="4"/>
    </w:pPr>
    <w:rPr>
      <w:rFonts w:eastAsia="Times New Roman"/>
      <w:b/>
      <w:bCs/>
      <w:i/>
      <w:iCs/>
      <w:color w:val="005173"/>
      <w:sz w:val="22"/>
      <w:lang w:val="en-GB"/>
    </w:rPr>
  </w:style>
  <w:style w:type="paragraph" w:styleId="Heading6">
    <w:name w:val="heading 6"/>
    <w:basedOn w:val="Normal"/>
    <w:next w:val="Normal"/>
    <w:link w:val="Heading6Char"/>
    <w:qFormat/>
    <w:rsid w:val="00821C93"/>
    <w:pPr>
      <w:spacing w:before="240" w:after="60"/>
      <w:outlineLvl w:val="5"/>
    </w:pPr>
    <w:rPr>
      <w:b/>
      <w:bCs/>
      <w:color w:val="005173"/>
    </w:rPr>
  </w:style>
  <w:style w:type="paragraph" w:styleId="Heading7">
    <w:name w:val="heading 7"/>
    <w:basedOn w:val="Normal"/>
    <w:next w:val="Normal"/>
    <w:link w:val="Heading7Char"/>
    <w:qFormat/>
    <w:rsid w:val="00C43E84"/>
    <w:pPr>
      <w:numPr>
        <w:ilvl w:val="6"/>
        <w:numId w:val="1"/>
      </w:numPr>
      <w:spacing w:before="240" w:after="60"/>
      <w:outlineLvl w:val="6"/>
    </w:pPr>
    <w:rPr>
      <w:sz w:val="24"/>
      <w:szCs w:val="24"/>
    </w:rPr>
  </w:style>
  <w:style w:type="paragraph" w:styleId="Heading8">
    <w:name w:val="heading 8"/>
    <w:basedOn w:val="Normal"/>
    <w:next w:val="Normal"/>
    <w:link w:val="Heading8Char"/>
    <w:qFormat/>
    <w:rsid w:val="00C43E84"/>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C43E84"/>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rsid w:val="00075AFE"/>
    <w:pPr>
      <w:spacing w:before="0"/>
    </w:pPr>
    <w:rPr>
      <w:rFonts w:ascii="Tahoma" w:hAnsi="Tahoma" w:cs="Tahoma"/>
      <w:sz w:val="16"/>
      <w:szCs w:val="16"/>
    </w:rPr>
  </w:style>
  <w:style w:type="character" w:customStyle="1" w:styleId="BalloonTextChar">
    <w:name w:val="Balloon Text Char"/>
    <w:link w:val="BalloonText"/>
    <w:uiPriority w:val="99"/>
    <w:rsid w:val="00075AFE"/>
    <w:rPr>
      <w:rFonts w:ascii="Tahoma" w:hAnsi="Tahoma" w:cs="Tahoma"/>
      <w:sz w:val="16"/>
      <w:szCs w:val="16"/>
      <w:lang w:val="fr-FR" w:eastAsia="fr-FR"/>
    </w:rPr>
  </w:style>
  <w:style w:type="paragraph" w:styleId="Header">
    <w:name w:val="header"/>
    <w:basedOn w:val="Normal"/>
    <w:link w:val="HeaderChar"/>
    <w:uiPriority w:val="99"/>
    <w:rsid w:val="00821C93"/>
    <w:pPr>
      <w:pBdr>
        <w:bottom w:val="single" w:sz="12" w:space="1" w:color="005173"/>
      </w:pBdr>
      <w:jc w:val="center"/>
    </w:pPr>
    <w:rPr>
      <w:rFonts w:eastAsia="Times New Roman" w:cs="Calibri"/>
      <w:i/>
      <w:iCs/>
      <w:szCs w:val="21"/>
      <w:lang w:val="en-US"/>
    </w:rPr>
  </w:style>
  <w:style w:type="character" w:customStyle="1" w:styleId="HeaderChar">
    <w:name w:val="Header Char"/>
    <w:link w:val="Header"/>
    <w:uiPriority w:val="99"/>
    <w:rsid w:val="00821C93"/>
    <w:rPr>
      <w:rFonts w:ascii="Calibri" w:eastAsia="Times New Roman" w:hAnsi="Calibri" w:cs="Calibri"/>
      <w:i/>
      <w:iCs/>
      <w:sz w:val="21"/>
      <w:szCs w:val="21"/>
      <w:lang w:eastAsia="fr-FR"/>
    </w:rPr>
  </w:style>
  <w:style w:type="character" w:styleId="Hyperlink">
    <w:name w:val="Hyperlink"/>
    <w:aliases w:val="CEO_Hyperlink,超级链接"/>
    <w:uiPriority w:val="99"/>
    <w:rsid w:val="00FF7C81"/>
    <w:rPr>
      <w:color w:val="0000FF"/>
      <w:u w:val="single"/>
    </w:rPr>
  </w:style>
  <w:style w:type="paragraph" w:styleId="TOC2">
    <w:name w:val="toc 2"/>
    <w:basedOn w:val="Normal"/>
    <w:next w:val="Normal"/>
    <w:autoRedefine/>
    <w:uiPriority w:val="39"/>
    <w:qFormat/>
    <w:rsid w:val="00993280"/>
    <w:pPr>
      <w:tabs>
        <w:tab w:val="left" w:pos="567"/>
        <w:tab w:val="left" w:pos="1134"/>
        <w:tab w:val="right" w:leader="dot" w:pos="8505"/>
        <w:tab w:val="right" w:pos="9071"/>
      </w:tabs>
      <w:ind w:left="567"/>
      <w:jc w:val="left"/>
    </w:pPr>
    <w:rPr>
      <w:rFonts w:cs="Helvetica"/>
      <w:bCs/>
      <w:noProof/>
      <w:szCs w:val="24"/>
      <w:u w:color="3366CC"/>
    </w:rPr>
  </w:style>
  <w:style w:type="paragraph" w:styleId="TOC1">
    <w:name w:val="toc 1"/>
    <w:basedOn w:val="Normal"/>
    <w:next w:val="Normal"/>
    <w:uiPriority w:val="39"/>
    <w:qFormat/>
    <w:rsid w:val="0017278E"/>
    <w:pPr>
      <w:keepNext/>
      <w:keepLines/>
      <w:tabs>
        <w:tab w:val="left" w:pos="567"/>
        <w:tab w:val="right" w:leader="dot" w:pos="8505"/>
        <w:tab w:val="right" w:pos="9071"/>
      </w:tabs>
      <w:spacing w:before="200"/>
      <w:jc w:val="left"/>
    </w:pPr>
    <w:rPr>
      <w:rFonts w:cs="Helvetica"/>
      <w:b/>
      <w:bCs/>
      <w:noProof/>
      <w:szCs w:val="28"/>
      <w:lang w:val="en-US"/>
    </w:rPr>
  </w:style>
  <w:style w:type="paragraph" w:customStyle="1" w:styleId="Enumlevel2">
    <w:name w:val="Enum level 2"/>
    <w:basedOn w:val="Enumlevel1"/>
    <w:link w:val="Enumlevel2Char"/>
    <w:qFormat/>
    <w:rsid w:val="00CE7F23"/>
    <w:pPr>
      <w:ind w:left="1134"/>
    </w:pPr>
    <w:rPr>
      <w:lang w:val="en-AU"/>
    </w:rPr>
  </w:style>
  <w:style w:type="paragraph" w:customStyle="1" w:styleId="Figuretitle">
    <w:name w:val="Figure title"/>
    <w:basedOn w:val="Normal"/>
    <w:link w:val="FiguretitleChar"/>
    <w:qFormat/>
    <w:rsid w:val="00821C93"/>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rFonts w:cs="Arial"/>
      <w:b/>
      <w:color w:val="000000"/>
      <w:lang w:val="en-AU"/>
    </w:rPr>
  </w:style>
  <w:style w:type="paragraph" w:customStyle="1" w:styleId="PartTitle">
    <w:name w:val="Part Title"/>
    <w:basedOn w:val="Heading2"/>
    <w:next w:val="Normal"/>
    <w:link w:val="PartTitleChar"/>
    <w:rsid w:val="0010485E"/>
    <w:pPr>
      <w:tabs>
        <w:tab w:val="left" w:pos="1134"/>
      </w:tabs>
    </w:pPr>
    <w:rPr>
      <w:i/>
      <w:sz w:val="44"/>
      <w:szCs w:val="36"/>
      <w:u w:color="E36C0A"/>
      <w:lang w:val="en-AU"/>
    </w:rPr>
  </w:style>
  <w:style w:type="character" w:customStyle="1" w:styleId="Enumlevel2Char">
    <w:name w:val="Enum level 2 Char"/>
    <w:link w:val="Enumlevel2"/>
    <w:rsid w:val="00CE7F23"/>
    <w:rPr>
      <w:rFonts w:ascii="Calibri" w:eastAsia="SimSun" w:hAnsi="Calibri" w:cs="Calibri"/>
      <w:sz w:val="21"/>
      <w:szCs w:val="21"/>
      <w:lang w:val="en-AU" w:eastAsia="en-GB"/>
    </w:rPr>
  </w:style>
  <w:style w:type="paragraph" w:customStyle="1" w:styleId="Figure">
    <w:name w:val="Figure"/>
    <w:basedOn w:val="Figuretitle"/>
    <w:link w:val="FigureChar"/>
    <w:qFormat/>
    <w:rsid w:val="00821C93"/>
    <w:pPr>
      <w:spacing w:before="240" w:after="120"/>
      <w:jc w:val="center"/>
    </w:pPr>
    <w:rPr>
      <w:b w:val="0"/>
      <w:bCs/>
    </w:rPr>
  </w:style>
  <w:style w:type="character" w:customStyle="1" w:styleId="FiguretitleChar">
    <w:name w:val="Figure title Char"/>
    <w:link w:val="Figuretitle"/>
    <w:rsid w:val="00821C93"/>
    <w:rPr>
      <w:rFonts w:ascii="Calibri" w:hAnsi="Calibri" w:cs="Arial"/>
      <w:b/>
      <w:color w:val="000000"/>
      <w:sz w:val="21"/>
      <w:szCs w:val="22"/>
      <w:shd w:val="clear" w:color="auto" w:fill="E8F8FD"/>
      <w:lang w:val="en-AU" w:eastAsia="fr-FR"/>
    </w:rPr>
  </w:style>
  <w:style w:type="paragraph" w:customStyle="1" w:styleId="figuresource">
    <w:name w:val="figure source"/>
    <w:basedOn w:val="Figuretitle"/>
    <w:link w:val="figuresourceChar"/>
    <w:qFormat/>
    <w:rsid w:val="00F44873"/>
    <w:pPr>
      <w:jc w:val="left"/>
    </w:pPr>
    <w:rPr>
      <w:b w:val="0"/>
      <w:bCs/>
      <w:i/>
      <w:iCs/>
      <w:sz w:val="19"/>
      <w:szCs w:val="19"/>
    </w:rPr>
  </w:style>
  <w:style w:type="character" w:customStyle="1" w:styleId="FigureChar">
    <w:name w:val="Figure Char"/>
    <w:link w:val="Figure"/>
    <w:rsid w:val="00821C93"/>
    <w:rPr>
      <w:rFonts w:ascii="Calibri" w:hAnsi="Calibri" w:cs="Arial"/>
      <w:bCs/>
      <w:color w:val="000000"/>
      <w:sz w:val="21"/>
      <w:szCs w:val="22"/>
      <w:shd w:val="clear" w:color="auto" w:fill="E8F8FD"/>
      <w:lang w:val="en-AU" w:eastAsia="fr-FR"/>
    </w:rPr>
  </w:style>
  <w:style w:type="character" w:customStyle="1" w:styleId="href">
    <w:name w:val="href"/>
    <w:rsid w:val="006104A4"/>
    <w:rPr>
      <w:rFonts w:cs="Times New Roman"/>
    </w:rPr>
  </w:style>
  <w:style w:type="character" w:customStyle="1" w:styleId="figuresourceChar">
    <w:name w:val="figure source Char"/>
    <w:link w:val="figuresource"/>
    <w:rsid w:val="00F44873"/>
    <w:rPr>
      <w:rFonts w:ascii="Calibri" w:eastAsia="SimSun" w:hAnsi="Calibri" w:cs="Arial"/>
      <w:b w:val="0"/>
      <w:bCs/>
      <w:i/>
      <w:iCs/>
      <w:color w:val="000000"/>
      <w:sz w:val="19"/>
      <w:szCs w:val="19"/>
      <w:shd w:val="clear" w:color="auto" w:fill="E8F8FD"/>
      <w:lang w:val="en-AU" w:eastAsia="fr-FR"/>
    </w:rPr>
  </w:style>
  <w:style w:type="paragraph" w:styleId="TOC3">
    <w:name w:val="toc 3"/>
    <w:basedOn w:val="Normal"/>
    <w:next w:val="Normal"/>
    <w:autoRedefine/>
    <w:uiPriority w:val="39"/>
    <w:qFormat/>
    <w:rsid w:val="0017278E"/>
    <w:pPr>
      <w:tabs>
        <w:tab w:val="right" w:pos="1701"/>
        <w:tab w:val="right" w:pos="1985"/>
        <w:tab w:val="right" w:leader="dot" w:pos="8505"/>
        <w:tab w:val="right" w:pos="9071"/>
      </w:tabs>
      <w:spacing w:before="40"/>
      <w:ind w:left="1701" w:hanging="567"/>
    </w:pPr>
    <w:rPr>
      <w:rFonts w:cs="Arial"/>
      <w:noProof/>
      <w:color w:val="000000"/>
      <w:szCs w:val="24"/>
      <w:lang w:val="en-US"/>
    </w:rPr>
  </w:style>
  <w:style w:type="paragraph" w:styleId="Footer">
    <w:name w:val="footer"/>
    <w:basedOn w:val="Normal"/>
    <w:link w:val="FooterChar"/>
    <w:uiPriority w:val="99"/>
    <w:rsid w:val="00821C93"/>
    <w:pPr>
      <w:pBdr>
        <w:top w:val="single" w:sz="4" w:space="1" w:color="005173"/>
      </w:pBdr>
      <w:tabs>
        <w:tab w:val="right" w:pos="9071"/>
      </w:tabs>
      <w:ind w:left="6804"/>
      <w:jc w:val="right"/>
    </w:pPr>
  </w:style>
  <w:style w:type="character" w:customStyle="1" w:styleId="FooterChar">
    <w:name w:val="Footer Char"/>
    <w:link w:val="Footer"/>
    <w:uiPriority w:val="99"/>
    <w:rsid w:val="00821C93"/>
    <w:rPr>
      <w:rFonts w:ascii="Calibri" w:hAnsi="Calibri"/>
      <w:sz w:val="21"/>
      <w:szCs w:val="22"/>
      <w:lang w:val="fr-FR" w:eastAsia="fr-FR"/>
    </w:rPr>
  </w:style>
  <w:style w:type="table" w:customStyle="1" w:styleId="HIPTable">
    <w:name w:val="HIP Table"/>
    <w:basedOn w:val="TableNormal"/>
    <w:rsid w:val="00B23A08"/>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C43E84"/>
    <w:pPr>
      <w:numPr>
        <w:numId w:val="3"/>
      </w:numPr>
    </w:pPr>
  </w:style>
  <w:style w:type="numbering" w:customStyle="1" w:styleId="HIPBulletsHierarchy">
    <w:name w:val="HIP Bullets Hierarchy"/>
    <w:rsid w:val="00C43E84"/>
    <w:pPr>
      <w:numPr>
        <w:numId w:val="2"/>
      </w:numPr>
    </w:pPr>
  </w:style>
  <w:style w:type="character" w:customStyle="1" w:styleId="Heading2Char">
    <w:name w:val="Heading 2 Char"/>
    <w:link w:val="Heading2"/>
    <w:rsid w:val="00821C93"/>
    <w:rPr>
      <w:rFonts w:ascii="Calibri" w:eastAsia="Times New Roman" w:hAnsi="Calibri" w:cs="Helvetica"/>
      <w:b/>
      <w:bCs/>
      <w:color w:val="005173"/>
      <w:sz w:val="24"/>
      <w:szCs w:val="32"/>
      <w:lang w:eastAsia="fr-FR"/>
    </w:rPr>
  </w:style>
  <w:style w:type="character" w:customStyle="1" w:styleId="PartTitleChar">
    <w:name w:val="Part Title Char"/>
    <w:link w:val="PartTitle"/>
    <w:rsid w:val="0010485E"/>
    <w:rPr>
      <w:rFonts w:ascii="Calibri" w:eastAsia="Times New Roman" w:hAnsi="Calibri" w:cs="Helvetica"/>
      <w:b/>
      <w:bCs/>
      <w:i/>
      <w:color w:val="548DD4"/>
      <w:sz w:val="44"/>
      <w:szCs w:val="36"/>
      <w:u w:color="E36C0A"/>
      <w:lang w:val="en-AU" w:eastAsia="fr-FR"/>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V-,DNV,D"/>
    <w:basedOn w:val="Normal"/>
    <w:link w:val="FootnoteTextChar"/>
    <w:uiPriority w:val="99"/>
    <w:rsid w:val="007202A5"/>
    <w:pPr>
      <w:tabs>
        <w:tab w:val="left" w:pos="284"/>
      </w:tabs>
    </w:pPr>
    <w:rPr>
      <w:sz w:val="18"/>
      <w:szCs w:val="18"/>
      <w:lang w:val="en-US"/>
    </w:r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V- Char,DNV Char,D Char"/>
    <w:link w:val="FootnoteText"/>
    <w:uiPriority w:val="99"/>
    <w:rsid w:val="007202A5"/>
    <w:rPr>
      <w:rFonts w:ascii="Calibri" w:hAnsi="Calibri"/>
      <w:sz w:val="18"/>
      <w:szCs w:val="18"/>
      <w:lang w:eastAsia="fr-FR"/>
    </w:rPr>
  </w:style>
  <w:style w:type="character" w:styleId="FootnoteReference">
    <w:name w:val="footnote reference"/>
    <w:aliases w:val="Appel note de bas de p,Footnote Reference/,Style 12,(NECG) Footnote Reference,Style 124,Footnote symbol,o,fr,Style 13,FR,Style 17,Style 3,Appel note de bas de p + 11 pt,Italic,Footnote,Appel note de bas de p1"/>
    <w:uiPriority w:val="99"/>
    <w:rsid w:val="004866ED"/>
    <w:rPr>
      <w:rFonts w:ascii="Calibri" w:hAnsi="Calibri"/>
      <w:sz w:val="21"/>
      <w:vertAlign w:val="superscript"/>
      <w:lang w:val="fr-CH"/>
    </w:rPr>
  </w:style>
  <w:style w:type="table" w:styleId="TableGrid">
    <w:name w:val="Table Grid"/>
    <w:basedOn w:val="TableNormal"/>
    <w:rsid w:val="003703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4621F9"/>
    <w:pPr>
      <w:autoSpaceDE w:val="0"/>
      <w:autoSpaceDN w:val="0"/>
      <w:adjustRightInd w:val="0"/>
    </w:pPr>
    <w:rPr>
      <w:color w:val="000000"/>
      <w:sz w:val="24"/>
      <w:szCs w:val="24"/>
      <w:lang w:val="en-TT" w:eastAsia="en-US"/>
    </w:rPr>
  </w:style>
  <w:style w:type="paragraph" w:customStyle="1" w:styleId="Chapttitle">
    <w:name w:val="Chapt title"/>
    <w:basedOn w:val="Normal"/>
    <w:link w:val="ChapttitleChar"/>
    <w:qFormat/>
    <w:rsid w:val="00821C93"/>
    <w:pPr>
      <w:keepNext/>
      <w:keepLines/>
      <w:tabs>
        <w:tab w:val="left" w:pos="851"/>
      </w:tabs>
      <w:spacing w:before="0"/>
      <w:jc w:val="center"/>
      <w:outlineLvl w:val="0"/>
    </w:pPr>
    <w:rPr>
      <w:rFonts w:cs="Helvetica"/>
      <w:b/>
      <w:bCs/>
      <w:color w:val="005173"/>
      <w:sz w:val="40"/>
      <w:szCs w:val="28"/>
      <w:lang w:val="en-US"/>
    </w:rPr>
  </w:style>
  <w:style w:type="paragraph" w:customStyle="1" w:styleId="Toc0">
    <w:name w:val="Toc 0"/>
    <w:basedOn w:val="Normal"/>
    <w:link w:val="Toc0Char"/>
    <w:qFormat/>
    <w:rsid w:val="00821C93"/>
    <w:pPr>
      <w:tabs>
        <w:tab w:val="right" w:pos="9071"/>
      </w:tabs>
      <w:spacing w:before="200"/>
      <w:jc w:val="right"/>
    </w:pPr>
    <w:rPr>
      <w:rFonts w:cs="Helvetica"/>
      <w:bCs/>
      <w:i/>
      <w:iCs/>
      <w:noProof/>
      <w:color w:val="005173"/>
      <w:szCs w:val="28"/>
      <w:lang w:val="en-US"/>
    </w:rPr>
  </w:style>
  <w:style w:type="character" w:customStyle="1" w:styleId="Heading1Char">
    <w:name w:val="Heading 1 Char"/>
    <w:link w:val="Heading1"/>
    <w:uiPriority w:val="9"/>
    <w:rsid w:val="00821C93"/>
    <w:rPr>
      <w:rFonts w:ascii="Calibri" w:eastAsia="Times New Roman" w:hAnsi="Calibri" w:cs="Helvetica"/>
      <w:b/>
      <w:bCs/>
      <w:color w:val="005173"/>
      <w:sz w:val="28"/>
      <w:szCs w:val="28"/>
      <w:lang w:eastAsia="fr-FR"/>
    </w:rPr>
  </w:style>
  <w:style w:type="character" w:customStyle="1" w:styleId="ChapttitleChar">
    <w:name w:val="Chapt title Char"/>
    <w:link w:val="Chapttitle"/>
    <w:rsid w:val="00821C93"/>
    <w:rPr>
      <w:rFonts w:ascii="Calibri" w:hAnsi="Calibri" w:cs="Helvetica"/>
      <w:b/>
      <w:bCs/>
      <w:color w:val="005173"/>
      <w:sz w:val="40"/>
      <w:szCs w:val="28"/>
      <w:lang w:eastAsia="fr-FR"/>
    </w:rPr>
  </w:style>
  <w:style w:type="character" w:customStyle="1" w:styleId="Toc0Char">
    <w:name w:val="Toc 0 Char"/>
    <w:link w:val="Toc0"/>
    <w:rsid w:val="00821C93"/>
    <w:rPr>
      <w:rFonts w:ascii="Calibri" w:hAnsi="Calibri" w:cs="Helvetica"/>
      <w:bCs/>
      <w:i/>
      <w:iCs/>
      <w:noProof/>
      <w:color w:val="005173"/>
      <w:sz w:val="21"/>
      <w:szCs w:val="28"/>
      <w:lang w:eastAsia="fr-FR"/>
    </w:rPr>
  </w:style>
  <w:style w:type="paragraph" w:customStyle="1" w:styleId="HeadingB">
    <w:name w:val="Heading B"/>
    <w:basedOn w:val="Normal"/>
    <w:link w:val="HeadingBChar"/>
    <w:qFormat/>
    <w:rsid w:val="0024564C"/>
    <w:pPr>
      <w:spacing w:before="240"/>
    </w:pPr>
    <w:rPr>
      <w:b/>
      <w:bCs/>
      <w:lang w:val="en-AU"/>
    </w:rPr>
  </w:style>
  <w:style w:type="paragraph" w:customStyle="1" w:styleId="Enumlevel1">
    <w:name w:val="Enum level 1"/>
    <w:basedOn w:val="Normal"/>
    <w:link w:val="Enumlevel1Char"/>
    <w:qFormat/>
    <w:rsid w:val="00ED3677"/>
    <w:pPr>
      <w:ind w:left="567" w:hanging="567"/>
    </w:pPr>
    <w:rPr>
      <w:rFonts w:cs="Calibri"/>
      <w:szCs w:val="21"/>
      <w:lang w:val="en-GB" w:eastAsia="en-GB"/>
    </w:rPr>
  </w:style>
  <w:style w:type="character" w:customStyle="1" w:styleId="HeadingBChar">
    <w:name w:val="Heading B Char"/>
    <w:link w:val="HeadingB"/>
    <w:rsid w:val="0024564C"/>
    <w:rPr>
      <w:rFonts w:ascii="Calibri" w:hAnsi="Calibri"/>
      <w:b/>
      <w:bCs/>
      <w:sz w:val="21"/>
      <w:szCs w:val="22"/>
      <w:lang w:val="en-AU" w:eastAsia="fr-FR"/>
    </w:rPr>
  </w:style>
  <w:style w:type="paragraph" w:customStyle="1" w:styleId="Citation">
    <w:name w:val="Citation"/>
    <w:basedOn w:val="Normal"/>
    <w:link w:val="CitationChar"/>
    <w:qFormat/>
    <w:rsid w:val="00291073"/>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lang w:val="en-US"/>
    </w:rPr>
  </w:style>
  <w:style w:type="character" w:customStyle="1" w:styleId="Enumlevel1Char">
    <w:name w:val="Enum level 1 Char"/>
    <w:link w:val="Enumlevel1"/>
    <w:rsid w:val="00ED3677"/>
    <w:rPr>
      <w:rFonts w:ascii="Calibri" w:eastAsia="SimSun" w:hAnsi="Calibri" w:cs="Calibri"/>
      <w:sz w:val="21"/>
      <w:szCs w:val="21"/>
      <w:lang w:val="en-GB" w:eastAsia="en-GB"/>
    </w:rPr>
  </w:style>
  <w:style w:type="paragraph" w:customStyle="1" w:styleId="Tablesource">
    <w:name w:val="Table source"/>
    <w:basedOn w:val="Tabletext"/>
    <w:link w:val="TablesourceChar"/>
    <w:qFormat/>
    <w:rsid w:val="00FE1089"/>
    <w:pPr>
      <w:pBdr>
        <w:bottom w:val="single" w:sz="18" w:space="1" w:color="1F9DD9"/>
      </w:pBdr>
    </w:pPr>
    <w:rPr>
      <w:i/>
      <w:iCs/>
      <w:lang w:val="en-US"/>
    </w:rPr>
  </w:style>
  <w:style w:type="character" w:customStyle="1" w:styleId="CitationChar">
    <w:name w:val="Citation Char"/>
    <w:link w:val="Citation"/>
    <w:rsid w:val="00291073"/>
    <w:rPr>
      <w:rFonts w:ascii="Calibri" w:hAnsi="Calibri"/>
      <w:bCs/>
      <w:i/>
      <w:iCs/>
      <w:sz w:val="21"/>
      <w:szCs w:val="22"/>
      <w:shd w:val="clear" w:color="auto" w:fill="DAEEF3"/>
      <w:lang w:eastAsia="fr-FR"/>
    </w:rPr>
  </w:style>
  <w:style w:type="paragraph" w:customStyle="1" w:styleId="Acknowledgements">
    <w:name w:val="Acknowledgements"/>
    <w:basedOn w:val="Figure"/>
    <w:link w:val="AcknowledgementsChar"/>
    <w:qFormat/>
    <w:rsid w:val="006B135F"/>
    <w:pPr>
      <w:spacing w:before="0" w:after="0"/>
      <w:ind w:left="0" w:firstLine="0"/>
      <w:jc w:val="both"/>
    </w:pPr>
    <w:rPr>
      <w:lang w:val="en-GB"/>
    </w:rPr>
  </w:style>
  <w:style w:type="character" w:customStyle="1" w:styleId="Heading3Char">
    <w:name w:val="Heading 3 Char"/>
    <w:link w:val="Heading3"/>
    <w:locked/>
    <w:rsid w:val="00BB5150"/>
    <w:rPr>
      <w:rFonts w:ascii="Calibri" w:eastAsia="Times New Roman" w:hAnsi="Calibri" w:cs="Helvetica"/>
      <w:b/>
      <w:bCs/>
      <w:i/>
      <w:iCs/>
      <w:color w:val="943634"/>
      <w:sz w:val="24"/>
      <w:szCs w:val="32"/>
      <w:lang w:eastAsia="fr-FR"/>
    </w:rPr>
  </w:style>
  <w:style w:type="character" w:customStyle="1" w:styleId="Heading4Char">
    <w:name w:val="Heading 4 Char"/>
    <w:link w:val="Heading4"/>
    <w:locked/>
    <w:rsid w:val="00821C93"/>
    <w:rPr>
      <w:rFonts w:ascii="Calibri" w:eastAsia="Times New Roman" w:hAnsi="Calibri"/>
      <w:b/>
      <w:bCs/>
      <w:color w:val="005173"/>
      <w:sz w:val="22"/>
      <w:szCs w:val="22"/>
      <w:lang w:val="en-GB" w:eastAsia="en-CA"/>
    </w:rPr>
  </w:style>
  <w:style w:type="character" w:customStyle="1" w:styleId="Heading5Char">
    <w:name w:val="Heading 5 Char"/>
    <w:link w:val="Heading5"/>
    <w:locked/>
    <w:rsid w:val="00821C93"/>
    <w:rPr>
      <w:rFonts w:ascii="Calibri" w:eastAsia="Times New Roman" w:hAnsi="Calibri"/>
      <w:b/>
      <w:bCs/>
      <w:i/>
      <w:iCs/>
      <w:color w:val="005173"/>
      <w:sz w:val="22"/>
      <w:szCs w:val="22"/>
      <w:lang w:val="en-GB" w:eastAsia="fr-FR"/>
    </w:rPr>
  </w:style>
  <w:style w:type="character" w:customStyle="1" w:styleId="Heading6Char">
    <w:name w:val="Heading 6 Char"/>
    <w:link w:val="Heading6"/>
    <w:locked/>
    <w:rsid w:val="00821C93"/>
    <w:rPr>
      <w:rFonts w:ascii="Calibri" w:hAnsi="Calibri"/>
      <w:b/>
      <w:bCs/>
      <w:color w:val="005173"/>
      <w:sz w:val="21"/>
      <w:szCs w:val="22"/>
      <w:lang w:val="fr-FR" w:eastAsia="fr-FR"/>
    </w:rPr>
  </w:style>
  <w:style w:type="character" w:customStyle="1" w:styleId="Heading7Char">
    <w:name w:val="Heading 7 Char"/>
    <w:link w:val="Heading7"/>
    <w:locked/>
    <w:rsid w:val="00271D36"/>
    <w:rPr>
      <w:rFonts w:ascii="Calibri" w:hAnsi="Calibri"/>
      <w:sz w:val="24"/>
      <w:szCs w:val="24"/>
      <w:lang w:val="fr-FR" w:eastAsia="fr-FR"/>
    </w:rPr>
  </w:style>
  <w:style w:type="character" w:customStyle="1" w:styleId="Heading8Char">
    <w:name w:val="Heading 8 Char"/>
    <w:link w:val="Heading8"/>
    <w:locked/>
    <w:rsid w:val="00271D36"/>
    <w:rPr>
      <w:rFonts w:ascii="Calibri" w:hAnsi="Calibri"/>
      <w:i/>
      <w:iCs/>
      <w:sz w:val="24"/>
      <w:szCs w:val="24"/>
      <w:lang w:val="fr-FR" w:eastAsia="fr-FR"/>
    </w:rPr>
  </w:style>
  <w:style w:type="character" w:customStyle="1" w:styleId="Heading9Char">
    <w:name w:val="Heading 9 Char"/>
    <w:link w:val="Heading9"/>
    <w:locked/>
    <w:rsid w:val="00271D36"/>
    <w:rPr>
      <w:rFonts w:ascii="Arial" w:hAnsi="Arial" w:cs="Arial"/>
      <w:sz w:val="21"/>
      <w:szCs w:val="22"/>
      <w:lang w:val="fr-FR" w:eastAsia="fr-FR"/>
    </w:rPr>
  </w:style>
  <w:style w:type="paragraph" w:styleId="Revision">
    <w:name w:val="Revision"/>
    <w:hidden/>
    <w:uiPriority w:val="99"/>
    <w:semiHidden/>
    <w:rsid w:val="00271D36"/>
    <w:rPr>
      <w:sz w:val="24"/>
      <w:szCs w:val="24"/>
      <w:lang w:val="en-GB" w:eastAsia="en-GB"/>
    </w:rPr>
  </w:style>
  <w:style w:type="character" w:styleId="FollowedHyperlink">
    <w:name w:val="FollowedHyperlink"/>
    <w:aliases w:val="CEO_FollowedHyperlink"/>
    <w:uiPriority w:val="99"/>
    <w:rsid w:val="00271D36"/>
    <w:rPr>
      <w:rFonts w:cs="Times New Roman"/>
      <w:color w:val="800080"/>
      <w:u w:val="single"/>
    </w:rPr>
  </w:style>
  <w:style w:type="paragraph" w:customStyle="1" w:styleId="Tablehead">
    <w:name w:val="Table head"/>
    <w:basedOn w:val="Normal"/>
    <w:link w:val="TableheadChar"/>
    <w:qFormat/>
    <w:rsid w:val="00E6584D"/>
    <w:pPr>
      <w:autoSpaceDE w:val="0"/>
      <w:autoSpaceDN w:val="0"/>
      <w:adjustRightInd w:val="0"/>
      <w:spacing w:before="80" w:after="80"/>
      <w:jc w:val="center"/>
    </w:pPr>
    <w:rPr>
      <w:rFonts w:cs="Arial Bold"/>
      <w:b/>
      <w:bCs/>
      <w:color w:val="FFFFFF"/>
      <w:sz w:val="19"/>
      <w:lang w:val="en-US"/>
    </w:rPr>
  </w:style>
  <w:style w:type="character" w:customStyle="1" w:styleId="TableheadChar">
    <w:name w:val="Table head Char"/>
    <w:link w:val="Tablehead"/>
    <w:rsid w:val="00E6584D"/>
    <w:rPr>
      <w:rFonts w:ascii="Calibri" w:hAnsi="Calibri" w:cs="Arial Bold"/>
      <w:b/>
      <w:bCs/>
      <w:color w:val="FFFFFF"/>
      <w:sz w:val="19"/>
      <w:szCs w:val="22"/>
      <w:lang w:eastAsia="fr-FR"/>
    </w:rPr>
  </w:style>
  <w:style w:type="paragraph" w:customStyle="1" w:styleId="Tabletext">
    <w:name w:val="Table text"/>
    <w:basedOn w:val="Normal"/>
    <w:link w:val="TabletextChar"/>
    <w:qFormat/>
    <w:rsid w:val="00E6584D"/>
    <w:pPr>
      <w:spacing w:before="40" w:after="40"/>
      <w:jc w:val="left"/>
    </w:pPr>
    <w:rPr>
      <w:rFonts w:cs="Calibri"/>
      <w:sz w:val="19"/>
      <w:szCs w:val="19"/>
    </w:rPr>
  </w:style>
  <w:style w:type="character" w:customStyle="1" w:styleId="TabletextChar">
    <w:name w:val="Table text Char"/>
    <w:link w:val="Tabletext"/>
    <w:rsid w:val="00E6584D"/>
    <w:rPr>
      <w:rFonts w:ascii="Calibri" w:hAnsi="Calibri" w:cs="Calibri"/>
      <w:sz w:val="19"/>
      <w:szCs w:val="19"/>
      <w:lang w:val="fr-FR" w:eastAsia="fr-FR"/>
    </w:rPr>
  </w:style>
  <w:style w:type="paragraph" w:customStyle="1" w:styleId="Tabletitle">
    <w:name w:val="Table title"/>
    <w:basedOn w:val="Normal"/>
    <w:link w:val="TabletitleChar"/>
    <w:qFormat/>
    <w:rsid w:val="00CB7DA1"/>
    <w:pPr>
      <w:pBdr>
        <w:top w:val="single" w:sz="18" w:space="1" w:color="1F9DD9"/>
      </w:pBdr>
      <w:shd w:val="clear" w:color="auto" w:fill="FFFFFF"/>
      <w:autoSpaceDE w:val="0"/>
      <w:autoSpaceDN w:val="0"/>
      <w:adjustRightInd w:val="0"/>
      <w:spacing w:before="240" w:after="120"/>
      <w:jc w:val="center"/>
    </w:pPr>
    <w:rPr>
      <w:rFonts w:cs="Arial"/>
      <w:b/>
      <w:bCs/>
      <w:color w:val="1F9DD9"/>
      <w:szCs w:val="24"/>
      <w:lang w:val="en-US"/>
    </w:rPr>
  </w:style>
  <w:style w:type="character" w:customStyle="1" w:styleId="TabletitleChar">
    <w:name w:val="Table title Char"/>
    <w:link w:val="Tabletitle"/>
    <w:rsid w:val="00CB7DA1"/>
    <w:rPr>
      <w:rFonts w:ascii="Calibri" w:hAnsi="Calibri" w:cs="Arial"/>
      <w:b/>
      <w:bCs/>
      <w:color w:val="1F9DD9"/>
      <w:sz w:val="21"/>
      <w:szCs w:val="24"/>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B9372E"/>
    <w:pPr>
      <w:ind w:left="1701" w:hanging="567"/>
    </w:pPr>
    <w:rPr>
      <w:iCs/>
    </w:rPr>
  </w:style>
  <w:style w:type="character" w:customStyle="1" w:styleId="Enumlevel3Char">
    <w:name w:val="Enum level 3 Char"/>
    <w:link w:val="Enumlevel3"/>
    <w:rsid w:val="00B9372E"/>
    <w:rPr>
      <w:rFonts w:ascii="Calibri" w:hAnsi="Calibri"/>
      <w:iCs/>
      <w:sz w:val="21"/>
      <w:szCs w:val="22"/>
      <w:lang w:val="fr-FR" w:eastAsia="fr-FR"/>
    </w:rPr>
  </w:style>
  <w:style w:type="character" w:customStyle="1" w:styleId="BalloonTextChar15">
    <w:name w:val="Balloon Text Char15"/>
    <w:uiPriority w:val="99"/>
    <w:semiHidden/>
    <w:rsid w:val="003E2368"/>
    <w:rPr>
      <w:rFonts w:ascii="Lucida Grande" w:hAnsi="Lucida Grande" w:cs="Times New Roman"/>
      <w:sz w:val="18"/>
    </w:rPr>
  </w:style>
  <w:style w:type="character" w:customStyle="1" w:styleId="BalloonTextChar14">
    <w:name w:val="Balloon Text Char14"/>
    <w:uiPriority w:val="99"/>
    <w:semiHidden/>
    <w:rsid w:val="003E2368"/>
    <w:rPr>
      <w:rFonts w:ascii="Lucida Grande" w:hAnsi="Lucida Grande" w:cs="Times New Roman"/>
      <w:sz w:val="18"/>
    </w:rPr>
  </w:style>
  <w:style w:type="character" w:customStyle="1" w:styleId="BalloonTextChar13">
    <w:name w:val="Balloon Text Char13"/>
    <w:uiPriority w:val="99"/>
    <w:semiHidden/>
    <w:rsid w:val="003E2368"/>
    <w:rPr>
      <w:rFonts w:ascii="Lucida Grande" w:hAnsi="Lucida Grande" w:cs="Times New Roman"/>
      <w:sz w:val="18"/>
    </w:rPr>
  </w:style>
  <w:style w:type="character" w:customStyle="1" w:styleId="BalloonTextChar12">
    <w:name w:val="Balloon Text Char12"/>
    <w:uiPriority w:val="99"/>
    <w:semiHidden/>
    <w:rsid w:val="003E2368"/>
    <w:rPr>
      <w:rFonts w:ascii="Lucida Grande" w:hAnsi="Lucida Grande" w:cs="Times New Roman"/>
      <w:sz w:val="18"/>
    </w:rPr>
  </w:style>
  <w:style w:type="character" w:customStyle="1" w:styleId="BalloonTextChar11">
    <w:name w:val="Balloon Text Char11"/>
    <w:uiPriority w:val="99"/>
    <w:semiHidden/>
    <w:rsid w:val="003E2368"/>
    <w:rPr>
      <w:rFonts w:ascii="Lucida Grande" w:hAnsi="Lucida Grande" w:cs="Times New Roman"/>
      <w:sz w:val="18"/>
    </w:rPr>
  </w:style>
  <w:style w:type="character" w:customStyle="1" w:styleId="BalloonTextChar10">
    <w:name w:val="Balloon Text Char10"/>
    <w:uiPriority w:val="99"/>
    <w:semiHidden/>
    <w:rsid w:val="003E2368"/>
    <w:rPr>
      <w:rFonts w:ascii="Lucida Grande" w:hAnsi="Lucida Grande" w:cs="Times New Roman"/>
      <w:sz w:val="18"/>
    </w:rPr>
  </w:style>
  <w:style w:type="character" w:customStyle="1" w:styleId="BalloonTextChar9">
    <w:name w:val="Balloon Text Char9"/>
    <w:uiPriority w:val="99"/>
    <w:semiHidden/>
    <w:rsid w:val="003E2368"/>
    <w:rPr>
      <w:rFonts w:ascii="Lucida Grande" w:hAnsi="Lucida Grande" w:cs="Times New Roman"/>
      <w:sz w:val="18"/>
    </w:rPr>
  </w:style>
  <w:style w:type="character" w:customStyle="1" w:styleId="BalloonTextChar8">
    <w:name w:val="Balloon Text Char8"/>
    <w:uiPriority w:val="99"/>
    <w:semiHidden/>
    <w:rsid w:val="003E2368"/>
    <w:rPr>
      <w:rFonts w:ascii="Lucida Grande" w:hAnsi="Lucida Grande" w:cs="Times New Roman"/>
      <w:sz w:val="18"/>
    </w:rPr>
  </w:style>
  <w:style w:type="character" w:customStyle="1" w:styleId="BalloonTextChar7">
    <w:name w:val="Balloon Text Char7"/>
    <w:uiPriority w:val="99"/>
    <w:semiHidden/>
    <w:rsid w:val="003E2368"/>
    <w:rPr>
      <w:rFonts w:ascii="Lucida Grande" w:hAnsi="Lucida Grande" w:cs="Times New Roman"/>
      <w:sz w:val="18"/>
    </w:rPr>
  </w:style>
  <w:style w:type="character" w:customStyle="1" w:styleId="BalloonTextChar6">
    <w:name w:val="Balloon Text Char6"/>
    <w:uiPriority w:val="99"/>
    <w:semiHidden/>
    <w:rsid w:val="003E2368"/>
    <w:rPr>
      <w:rFonts w:ascii="Lucida Grande" w:hAnsi="Lucida Grande" w:cs="Times New Roman"/>
      <w:sz w:val="18"/>
    </w:rPr>
  </w:style>
  <w:style w:type="character" w:customStyle="1" w:styleId="BalloonTextChar5">
    <w:name w:val="Balloon Text Char5"/>
    <w:uiPriority w:val="99"/>
    <w:semiHidden/>
    <w:rsid w:val="003E2368"/>
    <w:rPr>
      <w:rFonts w:ascii="Lucida Grande" w:hAnsi="Lucida Grande" w:cs="Times New Roman"/>
      <w:sz w:val="18"/>
    </w:rPr>
  </w:style>
  <w:style w:type="character" w:customStyle="1" w:styleId="BalloonTextChar4">
    <w:name w:val="Balloon Text Char4"/>
    <w:uiPriority w:val="99"/>
    <w:semiHidden/>
    <w:rsid w:val="003E2368"/>
    <w:rPr>
      <w:rFonts w:ascii="Lucida Grande" w:hAnsi="Lucida Grande" w:cs="Times New Roman"/>
      <w:sz w:val="18"/>
    </w:rPr>
  </w:style>
  <w:style w:type="character" w:customStyle="1" w:styleId="BalloonTextChar3">
    <w:name w:val="Balloon Text Char3"/>
    <w:uiPriority w:val="99"/>
    <w:semiHidden/>
    <w:rsid w:val="003E2368"/>
    <w:rPr>
      <w:rFonts w:ascii="Lucida Grande" w:hAnsi="Lucida Grande" w:cs="Times New Roman"/>
      <w:sz w:val="18"/>
    </w:rPr>
  </w:style>
  <w:style w:type="character" w:customStyle="1" w:styleId="BalloonTextChar2">
    <w:name w:val="Balloon Text Char2"/>
    <w:uiPriority w:val="99"/>
    <w:semiHidden/>
    <w:rsid w:val="003E2368"/>
    <w:rPr>
      <w:rFonts w:ascii="Lucida Grande" w:hAnsi="Lucida Grande" w:cs="Times New Roman"/>
      <w:sz w:val="18"/>
    </w:rPr>
  </w:style>
  <w:style w:type="paragraph" w:customStyle="1" w:styleId="Note">
    <w:name w:val="Note"/>
    <w:basedOn w:val="Normal"/>
    <w:uiPriority w:val="99"/>
    <w:rsid w:val="000A71D3"/>
    <w:pPr>
      <w:overflowPunct w:val="0"/>
      <w:autoSpaceDE w:val="0"/>
      <w:autoSpaceDN w:val="0"/>
      <w:adjustRightInd w:val="0"/>
      <w:spacing w:before="80"/>
      <w:textAlignment w:val="baseline"/>
    </w:pPr>
    <w:rPr>
      <w:rFonts w:cs="Arial"/>
      <w:sz w:val="20"/>
      <w:lang w:eastAsia="en-US"/>
    </w:rPr>
  </w:style>
  <w:style w:type="table" w:customStyle="1" w:styleId="TableGrid1">
    <w:name w:val="Table Grid1"/>
    <w:basedOn w:val="TableNormal"/>
    <w:next w:val="TableGrid"/>
    <w:rsid w:val="00B824F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411F98"/>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411F98"/>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411F98"/>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411F98"/>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411F98"/>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411F98"/>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1">
    <w:name w:val="Medium Shading 1 Accent 1"/>
    <w:basedOn w:val="TableNormal"/>
    <w:uiPriority w:val="63"/>
    <w:rsid w:val="00821C93"/>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11585A"/>
    <w:rPr>
      <w:color w:val="808080"/>
    </w:rPr>
  </w:style>
  <w:style w:type="table" w:customStyle="1" w:styleId="LightShading1">
    <w:name w:val="Light Shading1"/>
    <w:basedOn w:val="TableNormal"/>
    <w:uiPriority w:val="60"/>
    <w:rsid w:val="00133CDA"/>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AcknowledgementsChar">
    <w:name w:val="Acknowledgements Char"/>
    <w:link w:val="Acknowledgements"/>
    <w:rsid w:val="006B135F"/>
    <w:rPr>
      <w:rFonts w:ascii="Calibri" w:eastAsia="SimSun" w:hAnsi="Calibri" w:cs="Arial"/>
      <w:b w:val="0"/>
      <w:bCs/>
      <w:color w:val="000000"/>
      <w:sz w:val="21"/>
      <w:szCs w:val="22"/>
      <w:shd w:val="clear" w:color="auto" w:fill="DAEEF3"/>
      <w:lang w:val="en-GB" w:eastAsia="fr-FR"/>
    </w:rPr>
  </w:style>
  <w:style w:type="character" w:customStyle="1" w:styleId="TablesourceChar">
    <w:name w:val="Table source Char"/>
    <w:link w:val="Tablesource"/>
    <w:rsid w:val="00FE1089"/>
    <w:rPr>
      <w:rFonts w:ascii="Calibri" w:hAnsi="Calibri" w:cs="Calibri"/>
      <w:bCs w:val="0"/>
      <w:i/>
      <w:iCs/>
      <w:sz w:val="19"/>
      <w:szCs w:val="18"/>
      <w:lang w:val="fr-FR" w:eastAsia="fr-FR"/>
    </w:rPr>
  </w:style>
  <w:style w:type="paragraph" w:customStyle="1" w:styleId="Normalaftertitle">
    <w:name w:val="Normal_after_title"/>
    <w:basedOn w:val="Normal"/>
    <w:next w:val="Normal"/>
    <w:rsid w:val="00C729F1"/>
    <w:pPr>
      <w:tabs>
        <w:tab w:val="left" w:pos="794"/>
        <w:tab w:val="left" w:pos="1191"/>
        <w:tab w:val="left" w:pos="1588"/>
        <w:tab w:val="left" w:pos="1985"/>
      </w:tabs>
      <w:overflowPunct w:val="0"/>
      <w:autoSpaceDE w:val="0"/>
      <w:autoSpaceDN w:val="0"/>
      <w:adjustRightInd w:val="0"/>
      <w:spacing w:before="360"/>
      <w:textAlignment w:val="baseline"/>
    </w:pPr>
    <w:rPr>
      <w:rFonts w:ascii="Times New Roman" w:eastAsia="Times New Roman" w:hAnsi="Times New Roman"/>
      <w:sz w:val="22"/>
      <w:szCs w:val="20"/>
      <w:lang w:val="en-GB" w:eastAsia="en-US"/>
    </w:rPr>
  </w:style>
  <w:style w:type="character" w:styleId="PageNumber">
    <w:name w:val="page number"/>
    <w:basedOn w:val="DefaultParagraphFont"/>
    <w:rsid w:val="00C729F1"/>
  </w:style>
  <w:style w:type="paragraph" w:customStyle="1" w:styleId="Annextitle">
    <w:name w:val="Annex_title"/>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160"/>
      <w:ind w:left="794"/>
      <w:jc w:val="left"/>
      <w:textAlignment w:val="baseline"/>
    </w:pPr>
    <w:rPr>
      <w:rFonts w:eastAsia="Times New Roman" w:cs="Times New Roman italic"/>
      <w:i/>
      <w:szCs w:val="20"/>
      <w:lang w:val="en-GB" w:eastAsia="en-US"/>
    </w:rPr>
  </w:style>
  <w:style w:type="paragraph" w:customStyle="1" w:styleId="Headingb0">
    <w:name w:val="Heading_b"/>
    <w:basedOn w:val="Normal"/>
    <w:next w:val="Normal"/>
    <w:uiPriority w:val="99"/>
    <w:rsid w:val="0024564C"/>
    <w:pPr>
      <w:keepNext/>
      <w:tabs>
        <w:tab w:val="left" w:pos="794"/>
        <w:tab w:val="left" w:pos="1191"/>
        <w:tab w:val="left" w:pos="1588"/>
        <w:tab w:val="left" w:pos="1985"/>
      </w:tabs>
      <w:overflowPunct w:val="0"/>
      <w:autoSpaceDE w:val="0"/>
      <w:autoSpaceDN w:val="0"/>
      <w:adjustRightInd w:val="0"/>
      <w:spacing w:before="160"/>
      <w:jc w:val="left"/>
      <w:textAlignment w:val="baseline"/>
    </w:pPr>
    <w:rPr>
      <w:rFonts w:eastAsia="Times New Roman" w:cs="Times New Roman Bold"/>
      <w:b/>
      <w:bCs/>
      <w:sz w:val="22"/>
      <w:szCs w:val="20"/>
      <w:lang w:val="en-GB" w:eastAsia="en-US"/>
    </w:rPr>
  </w:style>
  <w:style w:type="paragraph" w:customStyle="1" w:styleId="QuestionNo">
    <w:name w:val="Question_No"/>
    <w:basedOn w:val="Normal"/>
    <w:qFormat/>
    <w:rsid w:val="00821C93"/>
    <w:pPr>
      <w:jc w:val="right"/>
    </w:pPr>
    <w:rPr>
      <w:rFonts w:cs="Times New Roman Bold"/>
      <w:b/>
      <w:bCs/>
      <w:color w:val="005173"/>
      <w:sz w:val="52"/>
    </w:rPr>
  </w:style>
  <w:style w:type="paragraph" w:customStyle="1" w:styleId="QuestionTitle">
    <w:name w:val="Question Title"/>
    <w:basedOn w:val="Normal"/>
    <w:qFormat/>
    <w:rsid w:val="00821C93"/>
    <w:pPr>
      <w:spacing w:before="240"/>
      <w:jc w:val="right"/>
    </w:pPr>
    <w:rPr>
      <w:rFonts w:cs="Times New Roman Bold"/>
      <w:b/>
      <w:i/>
      <w:color w:val="005173"/>
      <w:sz w:val="48"/>
    </w:rPr>
  </w:style>
  <w:style w:type="paragraph" w:customStyle="1" w:styleId="CEOFooterContact2-3">
    <w:name w:val="CEO_FooterContact2-3"/>
    <w:basedOn w:val="Normal"/>
    <w:rsid w:val="00B620BF"/>
    <w:pPr>
      <w:spacing w:before="0" w:after="120"/>
      <w:ind w:left="3827" w:hanging="2268"/>
      <w:jc w:val="left"/>
    </w:pPr>
    <w:rPr>
      <w:rFonts w:ascii="Verdana" w:eastAsia="SimHei" w:hAnsi="Verdana" w:cs="Simplified Arabic"/>
      <w:bCs/>
      <w:sz w:val="16"/>
      <w:szCs w:val="16"/>
      <w:lang w:val="en-US" w:eastAsia="zh-CN"/>
    </w:rPr>
  </w:style>
  <w:style w:type="paragraph" w:customStyle="1" w:styleId="CEODocTitle2lines-Second">
    <w:name w:val="CEO_DocTitle2lines-Second"/>
    <w:basedOn w:val="CEODocTitle2lines-First"/>
    <w:uiPriority w:val="99"/>
    <w:rsid w:val="00B620BF"/>
    <w:pPr>
      <w:spacing w:before="0" w:after="480"/>
    </w:pPr>
  </w:style>
  <w:style w:type="paragraph" w:customStyle="1" w:styleId="CEODocTitle2lines-First">
    <w:name w:val="CEO_DocTitle2lines-First"/>
    <w:basedOn w:val="CEODocTitle-1line"/>
    <w:next w:val="Normal"/>
    <w:uiPriority w:val="99"/>
    <w:rsid w:val="00B620BF"/>
    <w:pPr>
      <w:spacing w:after="0"/>
    </w:pPr>
  </w:style>
  <w:style w:type="paragraph" w:customStyle="1" w:styleId="CEODocTitle-1line">
    <w:name w:val="CEO_DocTitle-1line"/>
    <w:basedOn w:val="Normal"/>
    <w:next w:val="Normal"/>
    <w:uiPriority w:val="99"/>
    <w:rsid w:val="00B620BF"/>
    <w:pPr>
      <w:spacing w:before="480" w:after="480"/>
      <w:jc w:val="center"/>
    </w:pPr>
    <w:rPr>
      <w:rFonts w:ascii="Verdana" w:eastAsia="SimHei" w:hAnsi="Verdana" w:cs="Simplified Arabic"/>
      <w:b/>
      <w:bCs/>
      <w:sz w:val="28"/>
      <w:szCs w:val="28"/>
      <w:lang w:val="en-US" w:eastAsia="en-US"/>
    </w:rPr>
  </w:style>
  <w:style w:type="paragraph" w:customStyle="1" w:styleId="CEOcontributionH1">
    <w:name w:val="CEO_contributionH1"/>
    <w:basedOn w:val="CEOcontribution-H123"/>
    <w:uiPriority w:val="99"/>
    <w:rsid w:val="00B620BF"/>
    <w:pPr>
      <w:keepNext/>
      <w:keepLines/>
      <w:numPr>
        <w:numId w:val="0"/>
      </w:numPr>
      <w:spacing w:before="480"/>
    </w:pPr>
  </w:style>
  <w:style w:type="paragraph" w:customStyle="1" w:styleId="CEOcontribution-H123">
    <w:name w:val="CEO_contribution-H123"/>
    <w:basedOn w:val="Normal"/>
    <w:uiPriority w:val="99"/>
    <w:rsid w:val="00B620BF"/>
    <w:pPr>
      <w:numPr>
        <w:numId w:val="9"/>
      </w:numPr>
      <w:tabs>
        <w:tab w:val="clear" w:pos="720"/>
        <w:tab w:val="num" w:pos="567"/>
      </w:tabs>
      <w:spacing w:after="120"/>
      <w:ind w:left="567" w:hanging="567"/>
      <w:jc w:val="left"/>
    </w:pPr>
    <w:rPr>
      <w:rFonts w:ascii="Verdana" w:eastAsia="SimHei" w:hAnsi="Verdana" w:cs="Simplified Arabic"/>
      <w:b/>
      <w:sz w:val="19"/>
      <w:szCs w:val="19"/>
      <w:lang w:val="en-GB" w:eastAsia="en-US"/>
    </w:rPr>
  </w:style>
  <w:style w:type="paragraph" w:customStyle="1" w:styleId="CEOFooterContact1">
    <w:name w:val="CEO_FooterContact1"/>
    <w:basedOn w:val="Normal"/>
    <w:next w:val="CEOFooterContact2-3"/>
    <w:rsid w:val="00B620BF"/>
    <w:pPr>
      <w:pBdr>
        <w:top w:val="single" w:sz="4" w:space="5" w:color="auto"/>
      </w:pBdr>
      <w:tabs>
        <w:tab w:val="left" w:pos="1560"/>
      </w:tabs>
      <w:spacing w:after="120"/>
      <w:ind w:left="3827" w:hanging="3827"/>
      <w:jc w:val="left"/>
    </w:pPr>
    <w:rPr>
      <w:rFonts w:ascii="Verdana" w:eastAsia="SimHei" w:hAnsi="Verdana" w:cs="Simplified Arabic"/>
      <w:bCs/>
      <w:sz w:val="16"/>
      <w:szCs w:val="16"/>
      <w:lang w:val="en-US" w:eastAsia="zh-CN"/>
    </w:rPr>
  </w:style>
  <w:style w:type="paragraph" w:customStyle="1" w:styleId="CEOForAction">
    <w:name w:val="CEO_ForAction"/>
    <w:basedOn w:val="Normal"/>
    <w:next w:val="CEOSourceTitle"/>
    <w:uiPriority w:val="99"/>
    <w:rsid w:val="00B620BF"/>
    <w:pPr>
      <w:spacing w:after="120"/>
      <w:ind w:left="743"/>
      <w:jc w:val="left"/>
    </w:pPr>
    <w:rPr>
      <w:rFonts w:ascii="Verdana" w:eastAsia="SimHei" w:hAnsi="Verdana" w:cs="Simplified Arabic"/>
      <w:b/>
      <w:iCs/>
      <w:sz w:val="19"/>
      <w:szCs w:val="28"/>
      <w:lang w:val="en-US" w:eastAsia="zh-CN"/>
    </w:rPr>
  </w:style>
  <w:style w:type="paragraph" w:customStyle="1" w:styleId="CEOSourceTitle">
    <w:name w:val="CEO_Source_Title"/>
    <w:basedOn w:val="Normal"/>
    <w:rsid w:val="00B620BF"/>
    <w:pPr>
      <w:spacing w:after="120"/>
      <w:jc w:val="left"/>
    </w:pPr>
    <w:rPr>
      <w:rFonts w:ascii="Verdana" w:eastAsia="SimHei" w:hAnsi="Verdana" w:cs="Simplified Arabic"/>
      <w:b/>
      <w:sz w:val="19"/>
      <w:szCs w:val="19"/>
      <w:lang w:val="en-GB" w:eastAsia="en-US"/>
    </w:rPr>
  </w:style>
  <w:style w:type="paragraph" w:customStyle="1" w:styleId="CEOParagraph11">
    <w:name w:val="CEO_Paragraph 1.1"/>
    <w:basedOn w:val="Heading2"/>
    <w:uiPriority w:val="99"/>
    <w:rsid w:val="00B620BF"/>
    <w:pPr>
      <w:keepNext w:val="0"/>
      <w:numPr>
        <w:ilvl w:val="1"/>
      </w:numPr>
      <w:tabs>
        <w:tab w:val="clear" w:pos="851"/>
        <w:tab w:val="num" w:pos="576"/>
      </w:tabs>
      <w:spacing w:before="120" w:after="120"/>
      <w:ind w:left="567" w:hanging="576"/>
      <w:jc w:val="left"/>
    </w:pPr>
    <w:rPr>
      <w:rFonts w:ascii="Verdana" w:eastAsia="SimHei" w:hAnsi="Verdana" w:cs="Simplified Arabic"/>
      <w:b w:val="0"/>
      <w:bCs w:val="0"/>
      <w:color w:val="auto"/>
      <w:sz w:val="18"/>
      <w:szCs w:val="28"/>
      <w:lang w:val="en-GB" w:eastAsia="zh-CN"/>
    </w:rPr>
  </w:style>
  <w:style w:type="paragraph" w:customStyle="1" w:styleId="CEOIndent1-123">
    <w:name w:val="CEO_Indent1-123"/>
    <w:basedOn w:val="Normal"/>
    <w:uiPriority w:val="99"/>
    <w:rsid w:val="00B620BF"/>
    <w:pPr>
      <w:numPr>
        <w:numId w:val="4"/>
      </w:numPr>
      <w:spacing w:before="60" w:after="60"/>
      <w:ind w:right="709"/>
      <w:jc w:val="left"/>
    </w:pPr>
    <w:rPr>
      <w:rFonts w:ascii="Verdana" w:eastAsia="SimHei" w:hAnsi="Verdana" w:cs="Simplified Arabic"/>
      <w:bCs/>
      <w:sz w:val="19"/>
      <w:szCs w:val="19"/>
      <w:lang w:val="en-US" w:eastAsia="en-US"/>
    </w:rPr>
  </w:style>
  <w:style w:type="paragraph" w:customStyle="1" w:styleId="CEOAgendaItemN">
    <w:name w:val="CEO_AgendaItemN°"/>
    <w:basedOn w:val="CEOIndent1-123"/>
    <w:uiPriority w:val="99"/>
    <w:rsid w:val="00B620BF"/>
    <w:pPr>
      <w:numPr>
        <w:numId w:val="0"/>
      </w:numPr>
      <w:ind w:right="12"/>
      <w:jc w:val="right"/>
    </w:pPr>
  </w:style>
  <w:style w:type="paragraph" w:customStyle="1" w:styleId="CEODocDates">
    <w:name w:val="CEO_DocDates"/>
    <w:basedOn w:val="Normal"/>
    <w:next w:val="Normal"/>
    <w:uiPriority w:val="99"/>
    <w:rsid w:val="00B620BF"/>
    <w:pPr>
      <w:spacing w:before="0"/>
      <w:jc w:val="left"/>
    </w:pPr>
    <w:rPr>
      <w:rFonts w:ascii="Verdana" w:eastAsia="SimHei" w:hAnsi="Verdana" w:cs="Simplified Arabic"/>
      <w:b/>
      <w:sz w:val="19"/>
      <w:szCs w:val="19"/>
      <w:lang w:val="en-GB" w:eastAsia="en-US"/>
    </w:rPr>
  </w:style>
  <w:style w:type="paragraph" w:customStyle="1" w:styleId="CEODocNo">
    <w:name w:val="CEO_DocNo"/>
    <w:basedOn w:val="Normal"/>
    <w:next w:val="Normal"/>
    <w:uiPriority w:val="99"/>
    <w:rsid w:val="00B620BF"/>
    <w:pPr>
      <w:spacing w:before="0"/>
      <w:jc w:val="left"/>
    </w:pPr>
    <w:rPr>
      <w:rFonts w:ascii="Verdana" w:eastAsia="SimHei" w:hAnsi="Verdana" w:cs="Simplified Arabic"/>
      <w:b/>
      <w:sz w:val="19"/>
      <w:szCs w:val="19"/>
      <w:lang w:val="en-GB" w:eastAsia="en-US"/>
    </w:rPr>
  </w:style>
  <w:style w:type="paragraph" w:customStyle="1" w:styleId="CEODocNoDetails">
    <w:name w:val="CEO_DocNoDetails"/>
    <w:basedOn w:val="Normal"/>
    <w:uiPriority w:val="99"/>
    <w:rsid w:val="00B620BF"/>
    <w:pPr>
      <w:spacing w:before="80" w:after="80"/>
      <w:jc w:val="center"/>
    </w:pPr>
    <w:rPr>
      <w:rFonts w:ascii="Verdana" w:eastAsia="SimHei" w:hAnsi="Verdana" w:cs="Simplified Arabic"/>
      <w:bCs/>
      <w:sz w:val="19"/>
      <w:szCs w:val="19"/>
      <w:lang w:val="en-GB" w:eastAsia="en-US"/>
    </w:rPr>
  </w:style>
  <w:style w:type="paragraph" w:customStyle="1" w:styleId="CEOFooter">
    <w:name w:val="CEO_Footer"/>
    <w:basedOn w:val="Normal"/>
    <w:uiPriority w:val="99"/>
    <w:rsid w:val="00B620BF"/>
    <w:pPr>
      <w:tabs>
        <w:tab w:val="right" w:pos="9072"/>
      </w:tabs>
      <w:spacing w:before="0"/>
      <w:jc w:val="left"/>
    </w:pPr>
    <w:rPr>
      <w:rFonts w:ascii="Verdana" w:eastAsia="SimHei" w:hAnsi="Verdana" w:cs="Simplified Arabic"/>
      <w:bCs/>
      <w:sz w:val="16"/>
      <w:szCs w:val="19"/>
      <w:lang w:val="en-GB" w:eastAsia="en-US"/>
    </w:rPr>
  </w:style>
  <w:style w:type="paragraph" w:customStyle="1" w:styleId="CEOHeader1">
    <w:name w:val="CEO_Header1"/>
    <w:basedOn w:val="Normal"/>
    <w:rsid w:val="00B620BF"/>
    <w:pPr>
      <w:tabs>
        <w:tab w:val="num" w:pos="432"/>
      </w:tabs>
      <w:spacing w:before="0"/>
      <w:ind w:left="432" w:hanging="432"/>
      <w:jc w:val="left"/>
    </w:pPr>
    <w:rPr>
      <w:rFonts w:ascii="Verdana" w:eastAsia="SimHei" w:hAnsi="Verdana" w:cs="Simplified Arabic"/>
      <w:bCs/>
      <w:sz w:val="19"/>
      <w:szCs w:val="19"/>
      <w:lang w:val="en-US" w:eastAsia="en-US"/>
    </w:rPr>
  </w:style>
  <w:style w:type="paragraph" w:customStyle="1" w:styleId="CEOHeader2">
    <w:name w:val="CEO_Header2"/>
    <w:basedOn w:val="Normal"/>
    <w:uiPriority w:val="99"/>
    <w:rsid w:val="00B620BF"/>
    <w:pPr>
      <w:spacing w:before="720"/>
      <w:jc w:val="left"/>
    </w:pPr>
    <w:rPr>
      <w:rFonts w:ascii="Verdana" w:eastAsia="SimHei" w:hAnsi="Verdana" w:cs="Simplified Arabic"/>
      <w:bCs/>
      <w:sz w:val="19"/>
      <w:szCs w:val="19"/>
      <w:lang w:val="en-US" w:eastAsia="en-US"/>
    </w:rPr>
  </w:style>
  <w:style w:type="paragraph" w:customStyle="1" w:styleId="CEOHeaderPageNumber">
    <w:name w:val="CEO_HeaderPageNumber"/>
    <w:basedOn w:val="Normal"/>
    <w:uiPriority w:val="99"/>
    <w:rsid w:val="00B620BF"/>
    <w:pPr>
      <w:tabs>
        <w:tab w:val="center" w:pos="4536"/>
        <w:tab w:val="right" w:pos="9072"/>
      </w:tabs>
      <w:spacing w:before="0"/>
      <w:jc w:val="right"/>
    </w:pPr>
    <w:rPr>
      <w:rFonts w:ascii="Verdana" w:eastAsia="SimHei" w:hAnsi="Verdana" w:cs="Simplified Arabic"/>
      <w:bCs/>
      <w:smallCaps/>
      <w:sz w:val="19"/>
      <w:szCs w:val="19"/>
      <w:lang w:val="en-US" w:eastAsia="en-US"/>
    </w:rPr>
  </w:style>
  <w:style w:type="paragraph" w:customStyle="1" w:styleId="CEOcontributionStart">
    <w:name w:val="CEO_contributionStart"/>
    <w:basedOn w:val="CEOcontribution-H123"/>
    <w:uiPriority w:val="99"/>
    <w:rsid w:val="00B620BF"/>
    <w:pPr>
      <w:numPr>
        <w:numId w:val="0"/>
      </w:numPr>
      <w:spacing w:before="360"/>
    </w:pPr>
    <w:rPr>
      <w:b w:val="0"/>
    </w:rPr>
  </w:style>
  <w:style w:type="paragraph" w:customStyle="1" w:styleId="CEOParagraph111">
    <w:name w:val="CEO_Paragraph1.1.1"/>
    <w:basedOn w:val="Heading3"/>
    <w:uiPriority w:val="99"/>
    <w:rsid w:val="00B620BF"/>
    <w:pPr>
      <w:keepNext w:val="0"/>
      <w:numPr>
        <w:ilvl w:val="2"/>
      </w:numPr>
      <w:tabs>
        <w:tab w:val="clear" w:pos="851"/>
        <w:tab w:val="num" w:pos="1418"/>
      </w:tabs>
      <w:spacing w:before="0"/>
      <w:ind w:left="1418" w:hanging="851"/>
      <w:jc w:val="left"/>
    </w:pPr>
    <w:rPr>
      <w:rFonts w:ascii="Verdana" w:eastAsia="SimHei" w:hAnsi="Verdana" w:cs="Simplified Arabic"/>
      <w:b w:val="0"/>
      <w:bCs w:val="0"/>
      <w:i w:val="0"/>
      <w:iCs w:val="0"/>
      <w:color w:val="auto"/>
      <w:sz w:val="19"/>
      <w:szCs w:val="28"/>
      <w:lang w:val="en-GB" w:eastAsia="zh-CN"/>
    </w:rPr>
  </w:style>
  <w:style w:type="paragraph" w:customStyle="1" w:styleId="CEOindent-abc">
    <w:name w:val="CEO_indent-abc"/>
    <w:basedOn w:val="Normal"/>
    <w:uiPriority w:val="99"/>
    <w:rsid w:val="00B620BF"/>
    <w:pPr>
      <w:numPr>
        <w:ilvl w:val="1"/>
        <w:numId w:val="5"/>
      </w:numPr>
      <w:spacing w:before="0"/>
      <w:jc w:val="left"/>
    </w:pPr>
    <w:rPr>
      <w:rFonts w:ascii="Verdana" w:eastAsia="SimHei" w:hAnsi="Verdana" w:cs="Traditional Arabic"/>
      <w:bCs/>
      <w:sz w:val="18"/>
      <w:szCs w:val="28"/>
      <w:lang w:val="en-GB" w:eastAsia="en-US"/>
    </w:rPr>
  </w:style>
  <w:style w:type="paragraph" w:customStyle="1" w:styleId="CEOIndent-bulletsblackdot">
    <w:name w:val="CEO_Indent-bulletsblackdot"/>
    <w:basedOn w:val="Normal"/>
    <w:rsid w:val="00B620BF"/>
    <w:pPr>
      <w:numPr>
        <w:numId w:val="6"/>
      </w:numPr>
      <w:spacing w:before="60" w:after="60"/>
      <w:jc w:val="left"/>
    </w:pPr>
    <w:rPr>
      <w:rFonts w:ascii="Verdana" w:eastAsia="SimHei" w:hAnsi="Verdana" w:cs="Simplified Arabic"/>
      <w:bCs/>
      <w:sz w:val="19"/>
      <w:szCs w:val="19"/>
      <w:lang w:val="en-GB" w:eastAsia="en-US"/>
    </w:rPr>
  </w:style>
  <w:style w:type="paragraph" w:customStyle="1" w:styleId="CEOIndent-bulletsBlueSquare">
    <w:name w:val="CEO_Indent-bulletsBlueSquare"/>
    <w:basedOn w:val="CEOIndent-bulletsblackdot"/>
    <w:uiPriority w:val="99"/>
    <w:rsid w:val="00B620BF"/>
    <w:pPr>
      <w:numPr>
        <w:numId w:val="7"/>
      </w:numPr>
    </w:pPr>
  </w:style>
  <w:style w:type="paragraph" w:customStyle="1" w:styleId="CEOMeetingDates">
    <w:name w:val="CEO_MeetingDates"/>
    <w:basedOn w:val="Normal"/>
    <w:uiPriority w:val="99"/>
    <w:rsid w:val="00B620BF"/>
    <w:pPr>
      <w:spacing w:before="0" w:after="40"/>
      <w:jc w:val="left"/>
    </w:pPr>
    <w:rPr>
      <w:rFonts w:ascii="Verdana" w:eastAsia="SimHei" w:hAnsi="Verdana" w:cs="Simplified Arabic"/>
      <w:b/>
      <w:sz w:val="19"/>
      <w:szCs w:val="19"/>
      <w:lang w:val="en-GB" w:eastAsia="en-US"/>
    </w:rPr>
  </w:style>
  <w:style w:type="paragraph" w:customStyle="1" w:styleId="CEOMeetingName">
    <w:name w:val="CEO_MeetingName"/>
    <w:basedOn w:val="Normal"/>
    <w:uiPriority w:val="99"/>
    <w:rsid w:val="00B620BF"/>
    <w:pPr>
      <w:spacing w:before="0"/>
      <w:jc w:val="left"/>
    </w:pPr>
    <w:rPr>
      <w:rFonts w:ascii="Verdana" w:eastAsia="SimHei" w:hAnsi="Verdana" w:cs="Simplified Arabic"/>
      <w:b/>
      <w:sz w:val="19"/>
      <w:szCs w:val="19"/>
      <w:lang w:val="en-GB" w:eastAsia="en-US"/>
    </w:rPr>
  </w:style>
  <w:style w:type="paragraph" w:customStyle="1" w:styleId="CEOOriginalLanguage">
    <w:name w:val="CEO_OriginalLanguage"/>
    <w:basedOn w:val="Normal"/>
    <w:next w:val="Normal"/>
    <w:uiPriority w:val="99"/>
    <w:rsid w:val="00B620BF"/>
    <w:pPr>
      <w:spacing w:before="240" w:after="120"/>
      <w:jc w:val="left"/>
    </w:pPr>
    <w:rPr>
      <w:rFonts w:ascii="Verdana" w:eastAsia="SimHei" w:hAnsi="Verdana" w:cs="Simplified Arabic"/>
      <w:b/>
      <w:sz w:val="19"/>
      <w:szCs w:val="19"/>
      <w:lang w:val="en-GB" w:eastAsia="en-US"/>
    </w:rPr>
  </w:style>
  <w:style w:type="paragraph" w:customStyle="1" w:styleId="CEOQuestion">
    <w:name w:val="CEO_Question"/>
    <w:basedOn w:val="CEOOriginalLanguage"/>
    <w:uiPriority w:val="99"/>
    <w:rsid w:val="00B620BF"/>
    <w:pPr>
      <w:tabs>
        <w:tab w:val="left" w:pos="2098"/>
      </w:tabs>
      <w:ind w:left="2098" w:hanging="2098"/>
    </w:pPr>
    <w:rPr>
      <w:lang w:val="fr-CH"/>
    </w:rPr>
  </w:style>
  <w:style w:type="paragraph" w:customStyle="1" w:styleId="CEOQuestionDetails">
    <w:name w:val="CEO_QuestionDetails"/>
    <w:basedOn w:val="CEOOriginalLanguage"/>
    <w:uiPriority w:val="99"/>
    <w:rsid w:val="00B620BF"/>
    <w:rPr>
      <w:b w:val="0"/>
      <w:bCs/>
    </w:rPr>
  </w:style>
  <w:style w:type="paragraph" w:customStyle="1" w:styleId="CEOSectorName">
    <w:name w:val="CEO_SectorName"/>
    <w:basedOn w:val="Normal"/>
    <w:uiPriority w:val="99"/>
    <w:rsid w:val="00B620BF"/>
    <w:pPr>
      <w:spacing w:after="120"/>
      <w:jc w:val="left"/>
    </w:pPr>
    <w:rPr>
      <w:rFonts w:ascii="Verdana" w:eastAsia="SimHei" w:hAnsi="Verdana" w:cs="Simplified Arabic"/>
      <w:b/>
      <w:sz w:val="26"/>
      <w:szCs w:val="28"/>
      <w:lang w:val="en-GB" w:eastAsia="en-US"/>
    </w:rPr>
  </w:style>
  <w:style w:type="paragraph" w:customStyle="1" w:styleId="CEOSignatureName">
    <w:name w:val="CEO_SignatureName"/>
    <w:basedOn w:val="Normal"/>
    <w:uiPriority w:val="99"/>
    <w:rsid w:val="00B620BF"/>
    <w:pPr>
      <w:spacing w:before="720"/>
      <w:jc w:val="left"/>
    </w:pPr>
    <w:rPr>
      <w:rFonts w:ascii="Verdana" w:eastAsia="SimHei" w:hAnsi="Verdana" w:cs="Simplified Arabic"/>
      <w:bCs/>
      <w:sz w:val="19"/>
      <w:szCs w:val="19"/>
      <w:lang w:val="en-GB" w:eastAsia="en-US"/>
    </w:rPr>
  </w:style>
  <w:style w:type="paragraph" w:customStyle="1" w:styleId="CEOSignatureTitle">
    <w:name w:val="CEO_SignatureTitle"/>
    <w:basedOn w:val="CEOSignatureName"/>
    <w:uiPriority w:val="99"/>
    <w:rsid w:val="00B620BF"/>
    <w:pPr>
      <w:spacing w:before="0"/>
    </w:pPr>
  </w:style>
  <w:style w:type="paragraph" w:customStyle="1" w:styleId="CEOSourceTitleDetails">
    <w:name w:val="CEO_SourceTitleDetails"/>
    <w:basedOn w:val="Normal"/>
    <w:rsid w:val="00B620BF"/>
    <w:pPr>
      <w:spacing w:after="120"/>
      <w:jc w:val="left"/>
    </w:pPr>
    <w:rPr>
      <w:rFonts w:ascii="Verdana" w:eastAsia="SimHei" w:hAnsi="Verdana" w:cs="Simplified Arabic"/>
      <w:bCs/>
      <w:sz w:val="19"/>
      <w:szCs w:val="19"/>
      <w:lang w:val="en-GB" w:eastAsia="en-US"/>
    </w:rPr>
  </w:style>
  <w:style w:type="paragraph" w:customStyle="1" w:styleId="CEOSTG">
    <w:name w:val="CEO_STG"/>
    <w:basedOn w:val="CEOOriginalLanguage"/>
    <w:uiPriority w:val="99"/>
    <w:rsid w:val="00B620BF"/>
    <w:pPr>
      <w:spacing w:before="120"/>
      <w:jc w:val="center"/>
    </w:pPr>
  </w:style>
  <w:style w:type="paragraph" w:customStyle="1" w:styleId="CEOindent-endash">
    <w:name w:val="CEO_indent-endash"/>
    <w:basedOn w:val="CEOEmdashList"/>
    <w:uiPriority w:val="99"/>
    <w:rsid w:val="00B620BF"/>
    <w:pPr>
      <w:numPr>
        <w:numId w:val="8"/>
      </w:numPr>
    </w:pPr>
  </w:style>
  <w:style w:type="paragraph" w:customStyle="1" w:styleId="CEOEmdashList">
    <w:name w:val="CEO_EmdashList"/>
    <w:basedOn w:val="Normal"/>
    <w:uiPriority w:val="99"/>
    <w:rsid w:val="00B620BF"/>
    <w:pPr>
      <w:spacing w:after="120"/>
      <w:jc w:val="left"/>
    </w:pPr>
    <w:rPr>
      <w:rFonts w:ascii="Verdana" w:eastAsia="SimHei" w:hAnsi="Verdana" w:cs="Simplified Arabic"/>
      <w:bCs/>
      <w:sz w:val="19"/>
      <w:szCs w:val="28"/>
      <w:lang w:val="en-US" w:eastAsia="zh-CN"/>
    </w:rPr>
  </w:style>
  <w:style w:type="paragraph" w:customStyle="1" w:styleId="CEOConsidering">
    <w:name w:val="CEO_Considering"/>
    <w:basedOn w:val="Normal"/>
    <w:uiPriority w:val="99"/>
    <w:rsid w:val="00B620BF"/>
    <w:pPr>
      <w:keepNext/>
      <w:keepLines/>
      <w:spacing w:after="120"/>
      <w:ind w:left="851"/>
      <w:jc w:val="left"/>
    </w:pPr>
    <w:rPr>
      <w:rFonts w:ascii="Verdana" w:eastAsia="SimHei" w:hAnsi="Verdana" w:cs="Simplified Arabic"/>
      <w:bCs/>
      <w:i/>
      <w:iCs/>
      <w:sz w:val="19"/>
      <w:szCs w:val="28"/>
      <w:lang w:val="en-US" w:eastAsia="zh-CN"/>
    </w:rPr>
  </w:style>
  <w:style w:type="paragraph" w:customStyle="1" w:styleId="CEOEndBar">
    <w:name w:val="CEO_EndBar"/>
    <w:basedOn w:val="Normal"/>
    <w:uiPriority w:val="99"/>
    <w:rsid w:val="00B620BF"/>
    <w:pPr>
      <w:spacing w:after="120"/>
      <w:jc w:val="center"/>
    </w:pPr>
    <w:rPr>
      <w:rFonts w:ascii="Verdana" w:eastAsia="SimHei" w:hAnsi="Verdana" w:cs="Simplified Arabic"/>
      <w:bCs/>
      <w:sz w:val="19"/>
      <w:szCs w:val="28"/>
      <w:lang w:val="en-US" w:eastAsia="zh-CN"/>
    </w:rPr>
  </w:style>
  <w:style w:type="paragraph" w:customStyle="1" w:styleId="CEOExtract">
    <w:name w:val="CEO_Extract"/>
    <w:basedOn w:val="Normal"/>
    <w:uiPriority w:val="99"/>
    <w:rsid w:val="00B620BF"/>
    <w:pPr>
      <w:keepNext/>
      <w:keepLines/>
      <w:spacing w:after="120"/>
      <w:jc w:val="left"/>
    </w:pPr>
    <w:rPr>
      <w:rFonts w:ascii="Verdana" w:eastAsia="SimHei" w:hAnsi="Verdana" w:cs="Simplified Arabic"/>
      <w:bCs/>
      <w:sz w:val="19"/>
      <w:szCs w:val="28"/>
      <w:lang w:val="en-US" w:eastAsia="zh-CN"/>
    </w:rPr>
  </w:style>
  <w:style w:type="paragraph" w:customStyle="1" w:styleId="CEOHeader">
    <w:name w:val="CEO_Header"/>
    <w:basedOn w:val="Normal"/>
    <w:uiPriority w:val="99"/>
    <w:rsid w:val="00B620BF"/>
    <w:pPr>
      <w:tabs>
        <w:tab w:val="center" w:pos="5103"/>
        <w:tab w:val="right" w:pos="10206"/>
      </w:tabs>
      <w:spacing w:after="480"/>
      <w:ind w:right="357"/>
      <w:jc w:val="left"/>
    </w:pPr>
    <w:rPr>
      <w:rFonts w:ascii="Verdana" w:eastAsia="SimHei" w:hAnsi="Verdana" w:cs="Simplified Arabic"/>
      <w:bCs/>
      <w:smallCaps/>
      <w:spacing w:val="24"/>
      <w:sz w:val="18"/>
      <w:szCs w:val="18"/>
      <w:lang w:val="en-US" w:eastAsia="zh-CN"/>
    </w:rPr>
  </w:style>
  <w:style w:type="paragraph" w:customStyle="1" w:styleId="CEOResText">
    <w:name w:val="CEO_ResText"/>
    <w:basedOn w:val="Normal"/>
    <w:uiPriority w:val="99"/>
    <w:rsid w:val="00B620BF"/>
    <w:pPr>
      <w:spacing w:after="120"/>
      <w:ind w:left="426"/>
      <w:jc w:val="left"/>
    </w:pPr>
    <w:rPr>
      <w:rFonts w:ascii="Verdana" w:eastAsia="SimHei" w:hAnsi="Verdana" w:cs="Simplified Arabic"/>
      <w:bCs/>
      <w:sz w:val="19"/>
      <w:szCs w:val="28"/>
      <w:lang w:val="en-US" w:eastAsia="zh-CN"/>
    </w:rPr>
  </w:style>
  <w:style w:type="paragraph" w:customStyle="1" w:styleId="CEOLogo">
    <w:name w:val="CEO_Logo"/>
    <w:basedOn w:val="Normal"/>
    <w:uiPriority w:val="99"/>
    <w:rsid w:val="00B620BF"/>
    <w:pPr>
      <w:spacing w:before="0" w:after="120"/>
      <w:jc w:val="right"/>
    </w:pPr>
    <w:rPr>
      <w:rFonts w:ascii="Verdana" w:eastAsia="SimHei" w:hAnsi="Verdana" w:cs="Simplified Arabic"/>
      <w:bCs/>
      <w:sz w:val="19"/>
      <w:szCs w:val="28"/>
      <w:lang w:val="en-US" w:eastAsia="zh-CN"/>
    </w:rPr>
  </w:style>
  <w:style w:type="paragraph" w:customStyle="1" w:styleId="CEOMeetingSTG">
    <w:name w:val="CEO_MeetingSTG"/>
    <w:basedOn w:val="CEOMeetingName"/>
    <w:uiPriority w:val="99"/>
    <w:rsid w:val="00B620BF"/>
    <w:pPr>
      <w:spacing w:before="120" w:after="120"/>
    </w:pPr>
  </w:style>
  <w:style w:type="paragraph" w:customStyle="1" w:styleId="CEORevision">
    <w:name w:val="CEO_Revision"/>
    <w:basedOn w:val="Normal"/>
    <w:autoRedefine/>
    <w:uiPriority w:val="99"/>
    <w:rsid w:val="00B620BF"/>
    <w:pPr>
      <w:tabs>
        <w:tab w:val="left" w:pos="1928"/>
      </w:tabs>
      <w:spacing w:after="120"/>
      <w:jc w:val="left"/>
    </w:pPr>
    <w:rPr>
      <w:rFonts w:ascii="Verdana" w:eastAsia="SimHei" w:hAnsi="Verdana" w:cs="Simplified Arabic"/>
      <w:b/>
      <w:bCs/>
      <w:sz w:val="18"/>
      <w:szCs w:val="18"/>
      <w:lang w:val="en-US" w:eastAsia="zh-CN"/>
    </w:rPr>
  </w:style>
  <w:style w:type="paragraph" w:customStyle="1" w:styleId="CEORevisionNote">
    <w:name w:val="CEO_RevisionNote"/>
    <w:basedOn w:val="CEORevision"/>
    <w:autoRedefine/>
    <w:uiPriority w:val="99"/>
    <w:rsid w:val="00B620BF"/>
    <w:rPr>
      <w:b w:val="0"/>
      <w:i/>
      <w:iCs/>
    </w:rPr>
  </w:style>
  <w:style w:type="paragraph" w:customStyle="1" w:styleId="CEOActionRequired">
    <w:name w:val="CEO_ActionRequired"/>
    <w:basedOn w:val="Normal"/>
    <w:uiPriority w:val="99"/>
    <w:rsid w:val="00B620BF"/>
    <w:pPr>
      <w:tabs>
        <w:tab w:val="left" w:pos="1928"/>
      </w:tabs>
      <w:spacing w:after="120"/>
      <w:jc w:val="left"/>
    </w:pPr>
    <w:rPr>
      <w:rFonts w:ascii="Verdana" w:eastAsia="SimHei" w:hAnsi="Verdana" w:cs="Simplified Arabic"/>
      <w:b/>
      <w:bCs/>
      <w:sz w:val="19"/>
      <w:szCs w:val="28"/>
      <w:lang w:val="en-US" w:eastAsia="zh-CN"/>
    </w:rPr>
  </w:style>
  <w:style w:type="paragraph" w:customStyle="1" w:styleId="CEOSummaryStartHere">
    <w:name w:val="CEO_Summary_StartHere"/>
    <w:uiPriority w:val="99"/>
    <w:rsid w:val="00B620BF"/>
    <w:pPr>
      <w:spacing w:before="120" w:after="120"/>
      <w:jc w:val="center"/>
    </w:pPr>
    <w:rPr>
      <w:rFonts w:ascii="Verdana" w:eastAsia="SimHei" w:hAnsi="Verdana" w:cs="Simplified Arabic"/>
      <w:bCs/>
      <w:sz w:val="16"/>
      <w:szCs w:val="16"/>
      <w:lang w:val="fr-FR"/>
    </w:rPr>
  </w:style>
  <w:style w:type="paragraph" w:customStyle="1" w:styleId="CEOAbstract">
    <w:name w:val="CEO_Abstract"/>
    <w:uiPriority w:val="99"/>
    <w:rsid w:val="00B620BF"/>
    <w:pPr>
      <w:tabs>
        <w:tab w:val="left" w:pos="2127"/>
      </w:tabs>
      <w:spacing w:before="360" w:after="120"/>
    </w:pPr>
    <w:rPr>
      <w:rFonts w:ascii="Verdana" w:eastAsia="SimHei" w:hAnsi="Verdana" w:cs="Simplified Arabic"/>
      <w:b/>
      <w:sz w:val="19"/>
      <w:szCs w:val="22"/>
      <w:lang w:val="fr-CA"/>
    </w:rPr>
  </w:style>
  <w:style w:type="paragraph" w:customStyle="1" w:styleId="CEOActionRequiredDetails">
    <w:name w:val="CEO_ActionRequiredDetails"/>
    <w:uiPriority w:val="99"/>
    <w:rsid w:val="00B620BF"/>
    <w:pPr>
      <w:spacing w:before="120"/>
    </w:pPr>
    <w:rPr>
      <w:rFonts w:ascii="Verdana" w:hAnsi="Verdana"/>
      <w:bCs/>
      <w:sz w:val="19"/>
      <w:szCs w:val="19"/>
      <w:lang w:val="en-GB" w:eastAsia="en-US"/>
    </w:rPr>
  </w:style>
  <w:style w:type="character" w:customStyle="1" w:styleId="hps">
    <w:name w:val="hps"/>
    <w:basedOn w:val="DefaultParagraphFont"/>
    <w:rsid w:val="00B620BF"/>
    <w:rPr>
      <w:rFonts w:ascii="Trebuchet MS" w:hAnsi="Trebuchet MS" w:cs="Times New Roman"/>
      <w:noProof w:val="0"/>
      <w:lang w:val="en-GB"/>
    </w:rPr>
  </w:style>
  <w:style w:type="character" w:styleId="Strong">
    <w:name w:val="Strong"/>
    <w:basedOn w:val="DefaultParagraphFont"/>
    <w:uiPriority w:val="22"/>
    <w:qFormat/>
    <w:rsid w:val="00B620BF"/>
    <w:rPr>
      <w:rFonts w:ascii="Trebuchet MS" w:hAnsi="Trebuchet MS" w:cs="Times New Roman"/>
      <w:b/>
      <w:bCs/>
      <w:noProof w:val="0"/>
      <w:lang w:val="en-GB"/>
    </w:rPr>
  </w:style>
  <w:style w:type="paragraph" w:customStyle="1" w:styleId="Heading1CenteredCustomColorRGB0">
    <w:name w:val="Heading 1 + Centered Custom Color(RGB(0"/>
    <w:aliases w:val="51,154))"/>
    <w:basedOn w:val="Default"/>
    <w:next w:val="Default"/>
    <w:uiPriority w:val="99"/>
    <w:rsid w:val="00B620BF"/>
    <w:rPr>
      <w:rFonts w:ascii="Arial" w:hAnsi="Arial"/>
      <w:color w:val="auto"/>
      <w:lang w:val="fr-FR" w:eastAsia="fr-FR"/>
    </w:rPr>
  </w:style>
  <w:style w:type="paragraph" w:styleId="NormalWeb">
    <w:name w:val="Normal (Web)"/>
    <w:basedOn w:val="Normal"/>
    <w:uiPriority w:val="99"/>
    <w:rsid w:val="00B620BF"/>
    <w:pPr>
      <w:spacing w:before="100" w:beforeAutospacing="1" w:after="100" w:afterAutospacing="1"/>
      <w:jc w:val="left"/>
    </w:pPr>
    <w:rPr>
      <w:rFonts w:ascii="Times New Roman" w:hAnsi="Times New Roman"/>
      <w:sz w:val="24"/>
      <w:szCs w:val="24"/>
    </w:rPr>
  </w:style>
  <w:style w:type="character" w:customStyle="1" w:styleId="i">
    <w:name w:val="i"/>
    <w:basedOn w:val="DefaultParagraphFont"/>
    <w:uiPriority w:val="99"/>
    <w:rsid w:val="00B620BF"/>
    <w:rPr>
      <w:rFonts w:ascii="Trebuchet MS" w:hAnsi="Trebuchet MS" w:cs="Times New Roman"/>
      <w:noProof w:val="0"/>
      <w:lang w:val="en-GB"/>
    </w:rPr>
  </w:style>
  <w:style w:type="paragraph" w:styleId="ListParagraph">
    <w:name w:val="List Paragraph"/>
    <w:basedOn w:val="Normal"/>
    <w:uiPriority w:val="34"/>
    <w:qFormat/>
    <w:rsid w:val="00B620BF"/>
    <w:pPr>
      <w:spacing w:after="120"/>
      <w:ind w:left="720"/>
      <w:contextualSpacing/>
      <w:jc w:val="left"/>
    </w:pPr>
    <w:rPr>
      <w:rFonts w:ascii="Verdana" w:eastAsia="SimHei" w:hAnsi="Verdana" w:cs="Simplified Arabic"/>
      <w:bCs/>
      <w:sz w:val="19"/>
      <w:szCs w:val="28"/>
      <w:lang w:val="en-US" w:eastAsia="zh-CN"/>
    </w:rPr>
  </w:style>
  <w:style w:type="paragraph" w:customStyle="1" w:styleId="avisoheader">
    <w:name w:val="avisoheader"/>
    <w:basedOn w:val="Normal"/>
    <w:uiPriority w:val="99"/>
    <w:rsid w:val="00B620BF"/>
    <w:pPr>
      <w:spacing w:before="100" w:beforeAutospacing="1" w:after="100" w:afterAutospacing="1"/>
      <w:jc w:val="left"/>
    </w:pPr>
    <w:rPr>
      <w:rFonts w:ascii="Times New Roman" w:hAnsi="Times New Roman"/>
      <w:sz w:val="24"/>
      <w:szCs w:val="24"/>
    </w:rPr>
  </w:style>
  <w:style w:type="paragraph" w:customStyle="1" w:styleId="bodytext">
    <w:name w:val="bodytext"/>
    <w:basedOn w:val="Normal"/>
    <w:uiPriority w:val="99"/>
    <w:rsid w:val="00B620BF"/>
    <w:pPr>
      <w:spacing w:before="100" w:beforeAutospacing="1" w:after="100" w:afterAutospacing="1"/>
      <w:jc w:val="left"/>
    </w:pPr>
    <w:rPr>
      <w:rFonts w:ascii="Times New Roman" w:hAnsi="Times New Roman"/>
      <w:sz w:val="24"/>
      <w:szCs w:val="24"/>
    </w:rPr>
  </w:style>
  <w:style w:type="character" w:styleId="HTMLDefinition">
    <w:name w:val="HTML Definition"/>
    <w:basedOn w:val="DefaultParagraphFont"/>
    <w:uiPriority w:val="99"/>
    <w:rsid w:val="00B620BF"/>
    <w:rPr>
      <w:rFonts w:ascii="Trebuchet MS" w:hAnsi="Trebuchet MS" w:cs="Times New Roman"/>
      <w:i/>
      <w:iCs/>
      <w:noProof w:val="0"/>
      <w:lang w:val="en-GB"/>
    </w:rPr>
  </w:style>
  <w:style w:type="character" w:customStyle="1" w:styleId="longtext">
    <w:name w:val="long_text"/>
    <w:basedOn w:val="DefaultParagraphFont"/>
    <w:uiPriority w:val="99"/>
    <w:rsid w:val="00B620BF"/>
    <w:rPr>
      <w:rFonts w:ascii="Trebuchet MS" w:hAnsi="Trebuchet MS" w:cs="Times New Roman"/>
      <w:noProof w:val="0"/>
      <w:lang w:val="en-GB"/>
    </w:rPr>
  </w:style>
  <w:style w:type="character" w:styleId="CommentReference">
    <w:name w:val="annotation reference"/>
    <w:basedOn w:val="DefaultParagraphFont"/>
    <w:rsid w:val="00B620BF"/>
    <w:rPr>
      <w:sz w:val="18"/>
      <w:szCs w:val="18"/>
    </w:rPr>
  </w:style>
  <w:style w:type="paragraph" w:styleId="CommentText">
    <w:name w:val="annotation text"/>
    <w:basedOn w:val="Normal"/>
    <w:link w:val="CommentTextChar"/>
    <w:rsid w:val="00B620BF"/>
    <w:pPr>
      <w:spacing w:after="120"/>
      <w:jc w:val="left"/>
    </w:pPr>
    <w:rPr>
      <w:rFonts w:ascii="Verdana" w:eastAsia="SimHei" w:hAnsi="Verdana" w:cs="Simplified Arabic"/>
      <w:bCs/>
      <w:sz w:val="24"/>
      <w:szCs w:val="24"/>
      <w:lang w:val="en-US" w:eastAsia="zh-CN"/>
    </w:rPr>
  </w:style>
  <w:style w:type="character" w:customStyle="1" w:styleId="CommentTextChar">
    <w:name w:val="Comment Text Char"/>
    <w:basedOn w:val="DefaultParagraphFont"/>
    <w:link w:val="CommentText"/>
    <w:rsid w:val="00B620BF"/>
    <w:rPr>
      <w:rFonts w:ascii="Verdana" w:eastAsia="SimHei" w:hAnsi="Verdana" w:cs="Simplified Arabic"/>
      <w:bCs/>
      <w:sz w:val="24"/>
      <w:szCs w:val="24"/>
    </w:rPr>
  </w:style>
  <w:style w:type="paragraph" w:styleId="CommentSubject">
    <w:name w:val="annotation subject"/>
    <w:basedOn w:val="CommentText"/>
    <w:next w:val="CommentText"/>
    <w:link w:val="CommentSubjectChar"/>
    <w:rsid w:val="00B620BF"/>
    <w:rPr>
      <w:b/>
      <w:sz w:val="20"/>
      <w:szCs w:val="20"/>
    </w:rPr>
  </w:style>
  <w:style w:type="character" w:customStyle="1" w:styleId="CommentSubjectChar">
    <w:name w:val="Comment Subject Char"/>
    <w:basedOn w:val="CommentTextChar"/>
    <w:link w:val="CommentSubject"/>
    <w:rsid w:val="00B620BF"/>
    <w:rPr>
      <w:rFonts w:ascii="Verdana" w:eastAsia="SimHei" w:hAnsi="Verdana" w:cs="Simplified Arabic"/>
      <w:b/>
      <w:bCs/>
      <w:sz w:val="24"/>
      <w:szCs w:val="24"/>
    </w:rPr>
  </w:style>
  <w:style w:type="paragraph" w:styleId="EndnoteText">
    <w:name w:val="endnote text"/>
    <w:basedOn w:val="Normal"/>
    <w:link w:val="EndnoteTextChar"/>
    <w:rsid w:val="00B620BF"/>
    <w:pPr>
      <w:spacing w:before="0"/>
      <w:jc w:val="left"/>
    </w:pPr>
    <w:rPr>
      <w:rFonts w:ascii="Verdana" w:eastAsia="SimHei" w:hAnsi="Verdana" w:cs="Simplified Arabic"/>
      <w:bCs/>
      <w:sz w:val="20"/>
      <w:szCs w:val="20"/>
      <w:lang w:val="en-US" w:eastAsia="zh-CN"/>
    </w:rPr>
  </w:style>
  <w:style w:type="character" w:customStyle="1" w:styleId="EndnoteTextChar">
    <w:name w:val="Endnote Text Char"/>
    <w:basedOn w:val="DefaultParagraphFont"/>
    <w:link w:val="EndnoteText"/>
    <w:rsid w:val="00B620BF"/>
    <w:rPr>
      <w:rFonts w:ascii="Verdana" w:eastAsia="SimHei" w:hAnsi="Verdana" w:cs="Simplified Arabic"/>
      <w:bCs/>
    </w:rPr>
  </w:style>
  <w:style w:type="character" w:styleId="EndnoteReference">
    <w:name w:val="endnote reference"/>
    <w:basedOn w:val="DefaultParagraphFont"/>
    <w:rsid w:val="00B620BF"/>
    <w:rPr>
      <w:vertAlign w:val="superscript"/>
    </w:rPr>
  </w:style>
  <w:style w:type="paragraph" w:styleId="TOCHeading">
    <w:name w:val="TOC Heading"/>
    <w:basedOn w:val="Heading1"/>
    <w:next w:val="Normal"/>
    <w:uiPriority w:val="39"/>
    <w:semiHidden/>
    <w:unhideWhenUsed/>
    <w:qFormat/>
    <w:rsid w:val="00B620BF"/>
    <w:pPr>
      <w:tabs>
        <w:tab w:val="clear" w:pos="851"/>
      </w:tabs>
      <w:spacing w:before="480" w:line="276" w:lineRule="auto"/>
      <w:jc w:val="left"/>
      <w:outlineLvl w:val="9"/>
    </w:pPr>
    <w:rPr>
      <w:rFonts w:asciiTheme="majorHAnsi" w:eastAsiaTheme="majorEastAsia" w:hAnsiTheme="majorHAnsi" w:cstheme="majorBidi"/>
      <w:color w:val="365F91" w:themeColor="accent1" w:themeShade="BF"/>
      <w:lang w:eastAsia="ja-JP"/>
    </w:rPr>
  </w:style>
  <w:style w:type="character" w:styleId="Emphasis">
    <w:name w:val="Emphasis"/>
    <w:basedOn w:val="DefaultParagraphFont"/>
    <w:uiPriority w:val="20"/>
    <w:qFormat/>
    <w:rsid w:val="00B620BF"/>
    <w:rPr>
      <w:i/>
      <w:iCs/>
    </w:rPr>
  </w:style>
  <w:style w:type="paragraph" w:customStyle="1" w:styleId="CEONormal">
    <w:name w:val="CEO_Normal"/>
    <w:autoRedefine/>
    <w:uiPriority w:val="99"/>
    <w:rsid w:val="00B620BF"/>
    <w:pPr>
      <w:spacing w:after="120"/>
    </w:pPr>
    <w:rPr>
      <w:rFonts w:ascii="Verdana" w:hAnsi="Verdana"/>
      <w:sz w:val="19"/>
      <w:szCs w:val="19"/>
      <w:lang w:val="en-GB" w:eastAsia="en-US"/>
    </w:rPr>
  </w:style>
  <w:style w:type="character" w:customStyle="1" w:styleId="paracolourtext1">
    <w:name w:val="paracolourtext1"/>
    <w:basedOn w:val="DefaultParagraphFont"/>
    <w:rsid w:val="00B620BF"/>
    <w:rPr>
      <w:rFonts w:ascii="Trebuchet MS" w:hAnsi="Trebuchet MS"/>
      <w:b w:val="0"/>
      <w:bCs w:val="0"/>
      <w:i w:val="0"/>
      <w:iCs w:val="0"/>
      <w:noProof w:val="0"/>
      <w:color w:val="800000"/>
      <w:sz w:val="20"/>
      <w:szCs w:val="20"/>
      <w:lang w:val="en-GB"/>
    </w:rPr>
  </w:style>
  <w:style w:type="character" w:customStyle="1" w:styleId="shorttext">
    <w:name w:val="short_text"/>
    <w:basedOn w:val="DefaultParagraphFont"/>
    <w:rsid w:val="00B620BF"/>
  </w:style>
  <w:style w:type="paragraph" w:styleId="Caption">
    <w:name w:val="caption"/>
    <w:basedOn w:val="Normal"/>
    <w:next w:val="Normal"/>
    <w:unhideWhenUsed/>
    <w:qFormat/>
    <w:rsid w:val="00B620BF"/>
    <w:pPr>
      <w:spacing w:before="0" w:after="200"/>
      <w:jc w:val="left"/>
    </w:pPr>
    <w:rPr>
      <w:rFonts w:ascii="Verdana" w:eastAsia="SimHei" w:hAnsi="Verdana" w:cs="Simplified Arabic"/>
      <w:b/>
      <w:color w:val="4F81BD" w:themeColor="accent1"/>
      <w:sz w:val="18"/>
      <w:szCs w:val="18"/>
      <w:lang w:val="en-US" w:eastAsia="zh-CN"/>
    </w:rPr>
  </w:style>
  <w:style w:type="paragraph" w:styleId="TableofFigures">
    <w:name w:val="table of figures"/>
    <w:basedOn w:val="Normal"/>
    <w:next w:val="Normal"/>
    <w:uiPriority w:val="99"/>
    <w:rsid w:val="00B620BF"/>
    <w:pPr>
      <w:jc w:val="left"/>
    </w:pPr>
    <w:rPr>
      <w:rFonts w:ascii="Verdana" w:eastAsia="SimHei" w:hAnsi="Verdana" w:cs="Simplified Arabic"/>
      <w:bCs/>
      <w:sz w:val="19"/>
      <w:szCs w:val="28"/>
      <w:lang w:val="en-US" w:eastAsia="zh-CN"/>
    </w:rPr>
  </w:style>
  <w:style w:type="paragraph" w:customStyle="1" w:styleId="LSDeadline">
    <w:name w:val="LSDeadline"/>
    <w:basedOn w:val="Normal"/>
    <w:uiPriority w:val="99"/>
    <w:rsid w:val="002A103D"/>
    <w:pPr>
      <w:tabs>
        <w:tab w:val="left" w:pos="794"/>
        <w:tab w:val="left" w:pos="1191"/>
        <w:tab w:val="left" w:pos="1588"/>
        <w:tab w:val="left" w:pos="1985"/>
      </w:tabs>
      <w:overflowPunct w:val="0"/>
      <w:autoSpaceDE w:val="0"/>
      <w:autoSpaceDN w:val="0"/>
      <w:adjustRightInd w:val="0"/>
      <w:jc w:val="left"/>
      <w:textAlignment w:val="baseline"/>
    </w:pPr>
    <w:rPr>
      <w:rFonts w:ascii="Times New Roman" w:eastAsia="Times New Roman" w:hAnsi="Times New Roman"/>
      <w:b/>
      <w:bCs/>
      <w:sz w:val="24"/>
      <w:szCs w:val="20"/>
      <w:lang w:val="en-GB" w:eastAsia="en-US"/>
    </w:rPr>
  </w:style>
  <w:style w:type="paragraph" w:customStyle="1" w:styleId="LSForAction">
    <w:name w:val="LSForAction"/>
    <w:basedOn w:val="Normal"/>
    <w:uiPriority w:val="99"/>
    <w:rsid w:val="002A103D"/>
    <w:pPr>
      <w:tabs>
        <w:tab w:val="left" w:pos="794"/>
        <w:tab w:val="left" w:pos="1191"/>
        <w:tab w:val="left" w:pos="1588"/>
        <w:tab w:val="left" w:pos="1985"/>
      </w:tabs>
      <w:overflowPunct w:val="0"/>
      <w:autoSpaceDE w:val="0"/>
      <w:autoSpaceDN w:val="0"/>
      <w:adjustRightInd w:val="0"/>
      <w:jc w:val="left"/>
      <w:textAlignment w:val="baseline"/>
    </w:pPr>
    <w:rPr>
      <w:rFonts w:ascii="Times New Roman" w:eastAsia="Times New Roman" w:hAnsi="Times New Roman"/>
      <w:b/>
      <w:bCs/>
      <w:sz w:val="24"/>
      <w:szCs w:val="20"/>
      <w:lang w:val="en-GB" w:eastAsia="en-US"/>
    </w:rPr>
  </w:style>
  <w:style w:type="paragraph" w:customStyle="1" w:styleId="LSForInfo">
    <w:name w:val="LSForInfo"/>
    <w:basedOn w:val="LSForAction"/>
    <w:uiPriority w:val="99"/>
    <w:rsid w:val="002A103D"/>
  </w:style>
  <w:style w:type="paragraph" w:customStyle="1" w:styleId="LSForComment">
    <w:name w:val="LSForComment"/>
    <w:basedOn w:val="LSForAction"/>
    <w:uiPriority w:val="99"/>
    <w:rsid w:val="002A103D"/>
  </w:style>
  <w:style w:type="paragraph" w:customStyle="1" w:styleId="CEORequiredAction">
    <w:name w:val="CEO_RequiredAction"/>
    <w:basedOn w:val="Normal"/>
    <w:uiPriority w:val="99"/>
    <w:rsid w:val="002A103D"/>
    <w:pPr>
      <w:tabs>
        <w:tab w:val="left" w:pos="1928"/>
      </w:tabs>
      <w:spacing w:after="120"/>
      <w:jc w:val="left"/>
    </w:pPr>
    <w:rPr>
      <w:rFonts w:ascii="Verdana" w:eastAsia="SimHei" w:hAnsi="Verdana" w:cs="Simplified Arabic"/>
      <w:b/>
      <w:bCs/>
      <w:sz w:val="19"/>
      <w:szCs w:val="28"/>
      <w:lang w:eastAsia="zh-CN"/>
    </w:rPr>
  </w:style>
  <w:style w:type="paragraph" w:customStyle="1" w:styleId="CEOAnnex">
    <w:name w:val="CEO_Annex"/>
    <w:basedOn w:val="CEOSignatureTitle"/>
    <w:uiPriority w:val="99"/>
    <w:rsid w:val="002A103D"/>
    <w:pPr>
      <w:spacing w:before="1000"/>
    </w:pPr>
  </w:style>
  <w:style w:type="paragraph" w:customStyle="1" w:styleId="CEOEndashListNoIndent">
    <w:name w:val="CEO_EndashListNoIndent"/>
    <w:basedOn w:val="Normal"/>
    <w:uiPriority w:val="99"/>
    <w:rsid w:val="002A103D"/>
    <w:pPr>
      <w:numPr>
        <w:numId w:val="12"/>
      </w:numPr>
      <w:spacing w:after="120"/>
      <w:jc w:val="left"/>
    </w:pPr>
    <w:rPr>
      <w:rFonts w:ascii="Verdana" w:eastAsia="SimHei" w:hAnsi="Verdana" w:cs="Simplified Arabic"/>
      <w:bCs/>
      <w:sz w:val="19"/>
      <w:szCs w:val="28"/>
      <w:lang w:eastAsia="zh-CN"/>
    </w:rPr>
  </w:style>
  <w:style w:type="paragraph" w:customStyle="1" w:styleId="CEOFootnoteText">
    <w:name w:val="CEO_Footnote Text"/>
    <w:basedOn w:val="Normal"/>
    <w:uiPriority w:val="99"/>
    <w:rsid w:val="002A103D"/>
    <w:pPr>
      <w:tabs>
        <w:tab w:val="left" w:pos="357"/>
      </w:tabs>
      <w:spacing w:before="0" w:after="120"/>
      <w:jc w:val="left"/>
    </w:pPr>
    <w:rPr>
      <w:rFonts w:ascii="Verdana" w:eastAsia="SimHei" w:hAnsi="Verdana" w:cs="Simplified Arabic"/>
      <w:bCs/>
      <w:sz w:val="19"/>
      <w:szCs w:val="28"/>
      <w:lang w:eastAsia="zh-CN"/>
    </w:rPr>
  </w:style>
  <w:style w:type="paragraph" w:customStyle="1" w:styleId="CEOHeading1-Numbered">
    <w:name w:val="CEO_Heading1-Numbered"/>
    <w:basedOn w:val="Normal"/>
    <w:uiPriority w:val="99"/>
    <w:rsid w:val="002A103D"/>
    <w:pPr>
      <w:pBdr>
        <w:bottom w:val="single" w:sz="12" w:space="1" w:color="808080"/>
      </w:pBdr>
      <w:tabs>
        <w:tab w:val="num" w:pos="360"/>
      </w:tabs>
      <w:spacing w:after="120"/>
      <w:ind w:left="360" w:hanging="360"/>
      <w:jc w:val="left"/>
    </w:pPr>
    <w:rPr>
      <w:rFonts w:ascii="Verdana" w:eastAsia="SimHei" w:hAnsi="Verdana" w:cs="Simplified Arabic"/>
      <w:b/>
      <w:color w:val="808080"/>
      <w:sz w:val="20"/>
      <w:szCs w:val="28"/>
      <w:lang w:eastAsia="zh-CN"/>
    </w:rPr>
  </w:style>
  <w:style w:type="paragraph" w:customStyle="1" w:styleId="CEOHeading1">
    <w:name w:val="CEO_Heading1"/>
    <w:basedOn w:val="CEOHeading1-Numbered"/>
    <w:uiPriority w:val="99"/>
    <w:rsid w:val="002A103D"/>
    <w:pPr>
      <w:tabs>
        <w:tab w:val="clear" w:pos="360"/>
      </w:tabs>
      <w:ind w:left="0" w:firstLine="0"/>
    </w:pPr>
  </w:style>
  <w:style w:type="paragraph" w:customStyle="1" w:styleId="CEOIndent1-abc">
    <w:name w:val="CEO_Indent1-abc"/>
    <w:basedOn w:val="Normal"/>
    <w:uiPriority w:val="99"/>
    <w:rsid w:val="002A103D"/>
    <w:pPr>
      <w:tabs>
        <w:tab w:val="num" w:pos="1494"/>
      </w:tabs>
      <w:spacing w:before="60" w:after="60"/>
      <w:ind w:left="1494" w:right="709" w:hanging="360"/>
      <w:jc w:val="left"/>
    </w:pPr>
    <w:rPr>
      <w:rFonts w:ascii="Verdana" w:eastAsia="SimHei" w:hAnsi="Verdana" w:cs="Simplified Arabic"/>
      <w:bCs/>
      <w:sz w:val="19"/>
      <w:szCs w:val="28"/>
      <w:lang w:eastAsia="zh-CN"/>
    </w:rPr>
  </w:style>
  <w:style w:type="paragraph" w:customStyle="1" w:styleId="CEOAbstract0">
    <w:name w:val="CEOAbstract"/>
    <w:uiPriority w:val="99"/>
    <w:rsid w:val="002A103D"/>
    <w:pPr>
      <w:tabs>
        <w:tab w:val="left" w:pos="2127"/>
      </w:tabs>
    </w:pPr>
    <w:rPr>
      <w:rFonts w:ascii="Verdana" w:eastAsia="SimHei" w:hAnsi="Verdana" w:cs="Simplified Arabic"/>
      <w:b/>
      <w:sz w:val="19"/>
      <w:szCs w:val="22"/>
      <w:lang w:val="fr-CA"/>
    </w:rPr>
  </w:style>
  <w:style w:type="paragraph" w:customStyle="1" w:styleId="CEOSignature">
    <w:name w:val="CEO_Signature"/>
    <w:basedOn w:val="Normal"/>
    <w:uiPriority w:val="99"/>
    <w:rsid w:val="002A103D"/>
    <w:pPr>
      <w:spacing w:before="720" w:after="120"/>
      <w:jc w:val="left"/>
    </w:pPr>
    <w:rPr>
      <w:rFonts w:ascii="Verdana" w:eastAsia="SimHei" w:hAnsi="Verdana" w:cs="Simplified Arabic"/>
      <w:bCs/>
      <w:sz w:val="19"/>
      <w:szCs w:val="28"/>
      <w:lang w:eastAsia="zh-CN"/>
    </w:rPr>
  </w:style>
  <w:style w:type="paragraph" w:customStyle="1" w:styleId="CEOSmall">
    <w:name w:val="CEO_Small"/>
    <w:basedOn w:val="Normal"/>
    <w:uiPriority w:val="99"/>
    <w:rsid w:val="002A103D"/>
    <w:pPr>
      <w:spacing w:after="120"/>
      <w:jc w:val="left"/>
    </w:pPr>
    <w:rPr>
      <w:rFonts w:ascii="Verdana" w:eastAsia="SimHei" w:hAnsi="Verdana" w:cs="Simplified Arabic"/>
      <w:bCs/>
      <w:sz w:val="19"/>
      <w:szCs w:val="28"/>
      <w:lang w:eastAsia="zh-CN"/>
    </w:rPr>
  </w:style>
  <w:style w:type="paragraph" w:customStyle="1" w:styleId="CEOStartNextPage">
    <w:name w:val="CEO_StartNextPage"/>
    <w:uiPriority w:val="99"/>
    <w:rsid w:val="002A103D"/>
    <w:pPr>
      <w:spacing w:before="120"/>
      <w:jc w:val="center"/>
    </w:pPr>
    <w:rPr>
      <w:rFonts w:ascii="Verdana" w:eastAsia="SimHei" w:hAnsi="Verdana" w:cs="Simplified Arabic"/>
      <w:sz w:val="16"/>
      <w:szCs w:val="24"/>
      <w:lang w:val="en-GB" w:eastAsia="en-US"/>
    </w:rPr>
  </w:style>
  <w:style w:type="paragraph" w:customStyle="1" w:styleId="ann">
    <w:name w:val="ann"/>
    <w:basedOn w:val="Normal"/>
    <w:uiPriority w:val="99"/>
    <w:rsid w:val="002A103D"/>
    <w:pPr>
      <w:tabs>
        <w:tab w:val="left" w:pos="4820"/>
      </w:tabs>
      <w:spacing w:after="120"/>
    </w:pPr>
    <w:rPr>
      <w:rFonts w:ascii="Verdana" w:eastAsia="SimHei" w:hAnsi="Verdana" w:cs="Simplified Arabic"/>
      <w:sz w:val="24"/>
      <w:szCs w:val="24"/>
      <w:lang w:eastAsia="zh-CN"/>
    </w:rPr>
  </w:style>
  <w:style w:type="paragraph" w:customStyle="1" w:styleId="Paragraphedeliste1">
    <w:name w:val="Paragraphe de liste1"/>
    <w:basedOn w:val="Normal"/>
    <w:uiPriority w:val="99"/>
    <w:qFormat/>
    <w:rsid w:val="002A103D"/>
    <w:pPr>
      <w:tabs>
        <w:tab w:val="left" w:pos="794"/>
        <w:tab w:val="left" w:pos="1191"/>
        <w:tab w:val="left" w:pos="1588"/>
        <w:tab w:val="left" w:pos="1985"/>
      </w:tabs>
      <w:ind w:left="720"/>
      <w:contextualSpacing/>
      <w:jc w:val="left"/>
    </w:pPr>
    <w:rPr>
      <w:rFonts w:ascii="Times New Roman" w:eastAsia="Times New Roman" w:hAnsi="Times New Roman"/>
      <w:sz w:val="24"/>
      <w:szCs w:val="20"/>
      <w:lang w:val="en-GB" w:eastAsia="en-US"/>
    </w:rPr>
  </w:style>
  <w:style w:type="paragraph" w:customStyle="1" w:styleId="AnnexNoTitle">
    <w:name w:val="Annex_NoTitle"/>
    <w:basedOn w:val="Normal"/>
    <w:next w:val="Normal"/>
    <w:uiPriority w:val="99"/>
    <w:rsid w:val="002A103D"/>
    <w:pPr>
      <w:keepNext/>
      <w:keepLines/>
      <w:tabs>
        <w:tab w:val="left" w:pos="794"/>
        <w:tab w:val="left" w:pos="1191"/>
        <w:tab w:val="left" w:pos="1588"/>
        <w:tab w:val="left" w:pos="1985"/>
      </w:tabs>
      <w:overflowPunct w:val="0"/>
      <w:autoSpaceDE w:val="0"/>
      <w:autoSpaceDN w:val="0"/>
      <w:adjustRightInd w:val="0"/>
      <w:spacing w:before="720" w:after="120" w:line="280" w:lineRule="exact"/>
      <w:jc w:val="center"/>
    </w:pPr>
    <w:rPr>
      <w:rFonts w:ascii="Verdana" w:eastAsia="SimHei" w:hAnsi="Verdana" w:cs="Simplified Arabic"/>
      <w:b/>
      <w:bCs/>
      <w:sz w:val="24"/>
      <w:szCs w:val="28"/>
      <w:lang w:eastAsia="zh-CN"/>
    </w:rPr>
  </w:style>
  <w:style w:type="character" w:customStyle="1" w:styleId="enumlev1Char">
    <w:name w:val="enumlev1 Char"/>
    <w:basedOn w:val="DefaultParagraphFont"/>
    <w:link w:val="enumlev1"/>
    <w:locked/>
    <w:rsid w:val="002A103D"/>
    <w:rPr>
      <w:rFonts w:eastAsia="Times New Roman"/>
      <w:bCs/>
      <w:sz w:val="24"/>
      <w:lang w:val="fr-FR"/>
    </w:rPr>
  </w:style>
  <w:style w:type="paragraph" w:customStyle="1" w:styleId="enumlev1">
    <w:name w:val="enumlev1"/>
    <w:basedOn w:val="Normal"/>
    <w:link w:val="enumlev1Char"/>
    <w:rsid w:val="002A103D"/>
    <w:pPr>
      <w:tabs>
        <w:tab w:val="left" w:pos="794"/>
        <w:tab w:val="left" w:pos="1191"/>
        <w:tab w:val="left" w:pos="1588"/>
        <w:tab w:val="left" w:pos="1985"/>
      </w:tabs>
      <w:overflowPunct w:val="0"/>
      <w:autoSpaceDE w:val="0"/>
      <w:autoSpaceDN w:val="0"/>
      <w:adjustRightInd w:val="0"/>
      <w:spacing w:before="80"/>
      <w:ind w:left="794" w:hanging="794"/>
      <w:jc w:val="left"/>
    </w:pPr>
    <w:rPr>
      <w:rFonts w:ascii="Times New Roman" w:eastAsia="Times New Roman" w:hAnsi="Times New Roman"/>
      <w:bCs/>
      <w:sz w:val="24"/>
      <w:szCs w:val="20"/>
      <w:lang w:eastAsia="zh-CN"/>
    </w:rPr>
  </w:style>
  <w:style w:type="paragraph" w:customStyle="1" w:styleId="ResNo">
    <w:name w:val="Res_No"/>
    <w:basedOn w:val="Normal"/>
    <w:next w:val="Normal"/>
    <w:uiPriority w:val="99"/>
    <w:rsid w:val="002A103D"/>
    <w:pPr>
      <w:keepNext/>
      <w:keepLines/>
      <w:tabs>
        <w:tab w:val="left" w:pos="1134"/>
        <w:tab w:val="left" w:pos="1871"/>
        <w:tab w:val="left" w:pos="2268"/>
      </w:tabs>
      <w:overflowPunct w:val="0"/>
      <w:autoSpaceDE w:val="0"/>
      <w:autoSpaceDN w:val="0"/>
      <w:adjustRightInd w:val="0"/>
      <w:spacing w:before="480"/>
      <w:jc w:val="center"/>
    </w:pPr>
    <w:rPr>
      <w:rFonts w:ascii="Times New Roman" w:eastAsia="Times New Roman" w:hAnsi="Times New Roman"/>
      <w:caps/>
      <w:sz w:val="28"/>
      <w:szCs w:val="20"/>
      <w:lang w:val="en-GB" w:eastAsia="en-US"/>
    </w:rPr>
  </w:style>
  <w:style w:type="character" w:customStyle="1" w:styleId="RestitleChar">
    <w:name w:val="Res_title Char"/>
    <w:link w:val="Restitle"/>
    <w:uiPriority w:val="99"/>
    <w:locked/>
    <w:rsid w:val="002A103D"/>
    <w:rPr>
      <w:rFonts w:ascii="Times New Roman Bold" w:eastAsia="Times New Roman" w:hAnsi="Times New Roman Bold" w:cs="Times New Roman Bold"/>
      <w:b/>
      <w:sz w:val="28"/>
      <w:lang w:val="en-GB"/>
    </w:rPr>
  </w:style>
  <w:style w:type="paragraph" w:customStyle="1" w:styleId="Restitle">
    <w:name w:val="Res_title"/>
    <w:basedOn w:val="Normal"/>
    <w:next w:val="Normal"/>
    <w:link w:val="RestitleChar"/>
    <w:uiPriority w:val="99"/>
    <w:rsid w:val="002A103D"/>
    <w:pPr>
      <w:keepNext/>
      <w:keepLines/>
      <w:tabs>
        <w:tab w:val="left" w:pos="1134"/>
        <w:tab w:val="left" w:pos="1871"/>
        <w:tab w:val="left" w:pos="2268"/>
      </w:tabs>
      <w:overflowPunct w:val="0"/>
      <w:autoSpaceDE w:val="0"/>
      <w:autoSpaceDN w:val="0"/>
      <w:adjustRightInd w:val="0"/>
      <w:spacing w:before="240"/>
      <w:jc w:val="center"/>
    </w:pPr>
    <w:rPr>
      <w:rFonts w:ascii="Times New Roman Bold" w:eastAsia="Times New Roman" w:hAnsi="Times New Roman Bold" w:cs="Times New Roman Bold"/>
      <w:b/>
      <w:sz w:val="28"/>
      <w:szCs w:val="20"/>
      <w:lang w:val="en-GB" w:eastAsia="zh-CN"/>
    </w:rPr>
  </w:style>
  <w:style w:type="paragraph" w:customStyle="1" w:styleId="Resdate">
    <w:name w:val="Res_date"/>
    <w:basedOn w:val="Normal"/>
    <w:next w:val="Normal"/>
    <w:uiPriority w:val="99"/>
    <w:rsid w:val="002A103D"/>
    <w:pPr>
      <w:keepNext/>
      <w:keepLines/>
      <w:tabs>
        <w:tab w:val="left" w:pos="1134"/>
        <w:tab w:val="left" w:pos="1871"/>
        <w:tab w:val="left" w:pos="2268"/>
      </w:tabs>
      <w:overflowPunct w:val="0"/>
      <w:autoSpaceDE w:val="0"/>
      <w:autoSpaceDN w:val="0"/>
      <w:adjustRightInd w:val="0"/>
      <w:jc w:val="right"/>
    </w:pPr>
    <w:rPr>
      <w:rFonts w:ascii="Times New Roman" w:eastAsia="Times New Roman" w:hAnsi="Times New Roman"/>
      <w:sz w:val="22"/>
      <w:szCs w:val="20"/>
      <w:lang w:val="en-GB" w:eastAsia="en-US"/>
    </w:rPr>
  </w:style>
  <w:style w:type="paragraph" w:customStyle="1" w:styleId="Pa3">
    <w:name w:val="Pa3"/>
    <w:basedOn w:val="Default"/>
    <w:next w:val="Default"/>
    <w:uiPriority w:val="99"/>
    <w:rsid w:val="002A103D"/>
    <w:pPr>
      <w:spacing w:line="201" w:lineRule="atLeast"/>
    </w:pPr>
    <w:rPr>
      <w:rFonts w:ascii="Myriad Pro" w:eastAsiaTheme="minorHAnsi" w:hAnsi="Myriad Pro" w:cstheme="minorBidi"/>
      <w:color w:val="auto"/>
      <w:lang w:val="en-GB"/>
    </w:rPr>
  </w:style>
  <w:style w:type="character" w:customStyle="1" w:styleId="CEONormalCharChar">
    <w:name w:val="CEO_Normal Char Char"/>
    <w:basedOn w:val="DefaultParagraphFont"/>
    <w:locked/>
    <w:rsid w:val="002A103D"/>
    <w:rPr>
      <w:rFonts w:ascii="Verdana" w:hAnsi="Verdana" w:hint="default"/>
      <w:sz w:val="19"/>
      <w:szCs w:val="19"/>
      <w:lang w:val="fr-CH" w:eastAsia="en-US"/>
    </w:rPr>
  </w:style>
  <w:style w:type="character" w:customStyle="1" w:styleId="atn">
    <w:name w:val="atn"/>
    <w:basedOn w:val="DefaultParagraphFont"/>
    <w:rsid w:val="002A103D"/>
    <w:rPr>
      <w:rFonts w:ascii="Trebuchet MS" w:hAnsi="Trebuchet MS" w:hint="default"/>
      <w:noProof w:val="0"/>
      <w:lang w:val="en-GB"/>
    </w:rPr>
  </w:style>
  <w:style w:type="character" w:customStyle="1" w:styleId="A12">
    <w:name w:val="A12"/>
    <w:uiPriority w:val="99"/>
    <w:rsid w:val="002A103D"/>
    <w:rPr>
      <w:rFonts w:ascii="Myriad Pro" w:hAnsi="Myriad Pro" w:cs="Myriad Pro" w:hint="default"/>
      <w:color w:val="000000"/>
      <w:sz w:val="11"/>
      <w:szCs w:val="11"/>
    </w:rPr>
  </w:style>
  <w:style w:type="character" w:customStyle="1" w:styleId="A14">
    <w:name w:val="A14"/>
    <w:uiPriority w:val="99"/>
    <w:rsid w:val="002A103D"/>
    <w:rPr>
      <w:rFonts w:ascii="Myriad Pro" w:hAnsi="Myriad Pro" w:cs="Myriad Pro" w:hint="default"/>
      <w:color w:val="000000"/>
      <w:sz w:val="50"/>
      <w:szCs w:val="50"/>
    </w:rPr>
  </w:style>
  <w:style w:type="character" w:customStyle="1" w:styleId="nowrap">
    <w:name w:val="nowrap"/>
    <w:basedOn w:val="DefaultParagraphFont"/>
    <w:rsid w:val="002A103D"/>
  </w:style>
  <w:style w:type="character" w:customStyle="1" w:styleId="needref">
    <w:name w:val="need_ref"/>
    <w:basedOn w:val="DefaultParagraphFont"/>
    <w:rsid w:val="002A103D"/>
  </w:style>
  <w:style w:type="character" w:customStyle="1" w:styleId="st">
    <w:name w:val="st"/>
    <w:basedOn w:val="DefaultParagraphFont"/>
    <w:rsid w:val="002A103D"/>
  </w:style>
  <w:style w:type="paragraph" w:customStyle="1" w:styleId="RecNo">
    <w:name w:val="Rec_No"/>
    <w:basedOn w:val="Normal"/>
    <w:next w:val="Rectitle"/>
    <w:rsid w:val="002A103D"/>
    <w:pPr>
      <w:keepNext/>
      <w:keepLines/>
      <w:overflowPunct w:val="0"/>
      <w:autoSpaceDE w:val="0"/>
      <w:autoSpaceDN w:val="0"/>
      <w:adjustRightInd w:val="0"/>
      <w:spacing w:before="480"/>
      <w:jc w:val="center"/>
      <w:textAlignment w:val="baseline"/>
    </w:pPr>
    <w:rPr>
      <w:rFonts w:ascii="Times New Roman" w:eastAsia="Times New Roman" w:hAnsi="Times New Roman"/>
      <w:sz w:val="28"/>
      <w:szCs w:val="20"/>
      <w:lang w:eastAsia="en-US"/>
    </w:rPr>
  </w:style>
  <w:style w:type="paragraph" w:customStyle="1" w:styleId="Rectitle">
    <w:name w:val="Rec_title"/>
    <w:basedOn w:val="Normal"/>
    <w:next w:val="Normal"/>
    <w:link w:val="RectitleChar"/>
    <w:rsid w:val="002A103D"/>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rFonts w:ascii="Times New Roman" w:eastAsia="Times New Roman" w:hAnsi="Times New Roman"/>
      <w:b/>
      <w:sz w:val="28"/>
      <w:szCs w:val="20"/>
      <w:lang w:eastAsia="en-US"/>
    </w:rPr>
  </w:style>
  <w:style w:type="character" w:customStyle="1" w:styleId="RectitleChar">
    <w:name w:val="Rec_title Char"/>
    <w:basedOn w:val="DefaultParagraphFont"/>
    <w:link w:val="Rectitle"/>
    <w:locked/>
    <w:rsid w:val="002A103D"/>
    <w:rPr>
      <w:rFonts w:eastAsia="Times New Roman"/>
      <w:b/>
      <w:sz w:val="28"/>
      <w:lang w:val="fr-FR" w:eastAsia="en-US"/>
    </w:rPr>
  </w:style>
  <w:style w:type="paragraph" w:styleId="TOC4">
    <w:name w:val="toc 4"/>
    <w:basedOn w:val="Normal"/>
    <w:next w:val="Normal"/>
    <w:autoRedefine/>
    <w:uiPriority w:val="39"/>
    <w:unhideWhenUsed/>
    <w:rsid w:val="009173DA"/>
    <w:pPr>
      <w:spacing w:before="0" w:after="100" w:line="276" w:lineRule="auto"/>
      <w:ind w:left="660"/>
      <w:jc w:val="left"/>
    </w:pPr>
    <w:rPr>
      <w:rFonts w:asciiTheme="minorHAnsi" w:eastAsiaTheme="minorEastAsia" w:hAnsiTheme="minorHAnsi" w:cstheme="minorBidi"/>
      <w:sz w:val="22"/>
      <w:lang w:val="en-US" w:eastAsia="zh-CN"/>
    </w:rPr>
  </w:style>
  <w:style w:type="paragraph" w:styleId="TOC5">
    <w:name w:val="toc 5"/>
    <w:basedOn w:val="Normal"/>
    <w:next w:val="Normal"/>
    <w:autoRedefine/>
    <w:uiPriority w:val="39"/>
    <w:unhideWhenUsed/>
    <w:rsid w:val="009173DA"/>
    <w:pPr>
      <w:spacing w:before="0" w:after="100" w:line="276" w:lineRule="auto"/>
      <w:ind w:left="880"/>
      <w:jc w:val="left"/>
    </w:pPr>
    <w:rPr>
      <w:rFonts w:asciiTheme="minorHAnsi" w:eastAsiaTheme="minorEastAsia" w:hAnsiTheme="minorHAnsi" w:cstheme="minorBidi"/>
      <w:sz w:val="22"/>
      <w:lang w:val="en-US" w:eastAsia="zh-CN"/>
    </w:rPr>
  </w:style>
  <w:style w:type="paragraph" w:styleId="TOC6">
    <w:name w:val="toc 6"/>
    <w:basedOn w:val="Normal"/>
    <w:next w:val="Normal"/>
    <w:autoRedefine/>
    <w:uiPriority w:val="39"/>
    <w:unhideWhenUsed/>
    <w:rsid w:val="009173DA"/>
    <w:pPr>
      <w:spacing w:before="0" w:after="100" w:line="276" w:lineRule="auto"/>
      <w:ind w:left="1100"/>
      <w:jc w:val="left"/>
    </w:pPr>
    <w:rPr>
      <w:rFonts w:asciiTheme="minorHAnsi" w:eastAsiaTheme="minorEastAsia" w:hAnsiTheme="minorHAnsi" w:cstheme="minorBidi"/>
      <w:sz w:val="22"/>
      <w:lang w:val="en-US" w:eastAsia="zh-CN"/>
    </w:rPr>
  </w:style>
  <w:style w:type="paragraph" w:styleId="TOC7">
    <w:name w:val="toc 7"/>
    <w:basedOn w:val="Normal"/>
    <w:next w:val="Normal"/>
    <w:autoRedefine/>
    <w:uiPriority w:val="39"/>
    <w:unhideWhenUsed/>
    <w:rsid w:val="009173DA"/>
    <w:pPr>
      <w:spacing w:before="0" w:after="100" w:line="276" w:lineRule="auto"/>
      <w:ind w:left="1320"/>
      <w:jc w:val="left"/>
    </w:pPr>
    <w:rPr>
      <w:rFonts w:asciiTheme="minorHAnsi" w:eastAsiaTheme="minorEastAsia" w:hAnsiTheme="minorHAnsi" w:cstheme="minorBidi"/>
      <w:sz w:val="22"/>
      <w:lang w:val="en-US" w:eastAsia="zh-CN"/>
    </w:rPr>
  </w:style>
  <w:style w:type="paragraph" w:styleId="TOC8">
    <w:name w:val="toc 8"/>
    <w:basedOn w:val="Normal"/>
    <w:next w:val="Normal"/>
    <w:autoRedefine/>
    <w:uiPriority w:val="39"/>
    <w:unhideWhenUsed/>
    <w:rsid w:val="009173DA"/>
    <w:pPr>
      <w:spacing w:before="0" w:after="100" w:line="276" w:lineRule="auto"/>
      <w:ind w:left="1540"/>
      <w:jc w:val="left"/>
    </w:pPr>
    <w:rPr>
      <w:rFonts w:asciiTheme="minorHAnsi" w:eastAsiaTheme="minorEastAsia" w:hAnsiTheme="minorHAnsi" w:cstheme="minorBidi"/>
      <w:sz w:val="22"/>
      <w:lang w:val="en-US" w:eastAsia="zh-CN"/>
    </w:rPr>
  </w:style>
  <w:style w:type="paragraph" w:styleId="TOC9">
    <w:name w:val="toc 9"/>
    <w:basedOn w:val="Normal"/>
    <w:next w:val="Normal"/>
    <w:autoRedefine/>
    <w:uiPriority w:val="39"/>
    <w:unhideWhenUsed/>
    <w:rsid w:val="009173DA"/>
    <w:pPr>
      <w:spacing w:before="0" w:after="100" w:line="276" w:lineRule="auto"/>
      <w:ind w:left="1760"/>
      <w:jc w:val="left"/>
    </w:pPr>
    <w:rPr>
      <w:rFonts w:asciiTheme="minorHAnsi" w:eastAsiaTheme="minorEastAsia" w:hAnsiTheme="minorHAnsi" w:cstheme="minorBidi"/>
      <w:sz w:val="22"/>
      <w:lang w:val="en-US"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header" w:uiPriority="99"/>
    <w:lsdException w:name="footer" w:uiPriority="99"/>
    <w:lsdException w:name="caption" w:qFormat="1"/>
    <w:lsdException w:name="table of figures" w:uiPriority="99"/>
    <w:lsdException w:name="footnote reference" w:uiPriority="99"/>
    <w:lsdException w:name="Title" w:qFormat="1"/>
    <w:lsdException w:name="Subtitle" w:qFormat="1"/>
    <w:lsdException w:name="Body Text Indent 3" w:uiPriority="99"/>
    <w:lsdException w:name="Block Text"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Acronym" w:uiPriority="99"/>
    <w:lsdException w:name="HTML Cite" w:uiPriority="99"/>
    <w:lsdException w:name="HTML Definition" w:uiPriority="99"/>
    <w:lsdException w:name="HTML Preformatted"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002CC"/>
    <w:pPr>
      <w:spacing w:before="120"/>
      <w:jc w:val="both"/>
    </w:pPr>
    <w:rPr>
      <w:rFonts w:ascii="Calibri" w:hAnsi="Calibri"/>
      <w:sz w:val="21"/>
      <w:szCs w:val="22"/>
      <w:lang w:val="fr-FR" w:eastAsia="fr-FR"/>
    </w:rPr>
  </w:style>
  <w:style w:type="paragraph" w:styleId="Heading1">
    <w:name w:val="heading 1"/>
    <w:basedOn w:val="Normal"/>
    <w:next w:val="Normal"/>
    <w:link w:val="Heading1Char"/>
    <w:uiPriority w:val="9"/>
    <w:qFormat/>
    <w:rsid w:val="00821C93"/>
    <w:pPr>
      <w:keepNext/>
      <w:keepLines/>
      <w:tabs>
        <w:tab w:val="left" w:pos="851"/>
      </w:tabs>
      <w:spacing w:before="400"/>
      <w:outlineLvl w:val="0"/>
    </w:pPr>
    <w:rPr>
      <w:rFonts w:eastAsia="Times New Roman" w:cs="Helvetica"/>
      <w:b/>
      <w:bCs/>
      <w:color w:val="005173"/>
      <w:sz w:val="28"/>
      <w:szCs w:val="28"/>
      <w:lang w:val="en-US"/>
    </w:rPr>
  </w:style>
  <w:style w:type="paragraph" w:styleId="Heading2">
    <w:name w:val="heading 2"/>
    <w:basedOn w:val="Normal"/>
    <w:next w:val="Normal"/>
    <w:link w:val="Heading2Char"/>
    <w:qFormat/>
    <w:rsid w:val="00821C93"/>
    <w:pPr>
      <w:keepNext/>
      <w:tabs>
        <w:tab w:val="left" w:pos="851"/>
      </w:tabs>
      <w:spacing w:before="400"/>
      <w:outlineLvl w:val="1"/>
    </w:pPr>
    <w:rPr>
      <w:rFonts w:eastAsia="Times New Roman" w:cs="Helvetica"/>
      <w:b/>
      <w:bCs/>
      <w:color w:val="005173"/>
      <w:sz w:val="24"/>
      <w:szCs w:val="32"/>
      <w:lang w:val="en-US"/>
    </w:rPr>
  </w:style>
  <w:style w:type="paragraph" w:styleId="Heading3">
    <w:name w:val="heading 3"/>
    <w:basedOn w:val="Heading2"/>
    <w:next w:val="Normal"/>
    <w:link w:val="Heading3Char"/>
    <w:qFormat/>
    <w:rsid w:val="00F20AB2"/>
    <w:pPr>
      <w:spacing w:before="240"/>
      <w:outlineLvl w:val="2"/>
    </w:pPr>
    <w:rPr>
      <w:i/>
      <w:iCs/>
    </w:rPr>
  </w:style>
  <w:style w:type="paragraph" w:styleId="Heading4">
    <w:name w:val="heading 4"/>
    <w:basedOn w:val="Normal"/>
    <w:next w:val="Normal"/>
    <w:link w:val="Heading4Char"/>
    <w:qFormat/>
    <w:rsid w:val="00821C93"/>
    <w:pPr>
      <w:keepNext/>
      <w:tabs>
        <w:tab w:val="left" w:pos="993"/>
      </w:tabs>
      <w:spacing w:before="240" w:after="60"/>
      <w:outlineLvl w:val="3"/>
    </w:pPr>
    <w:rPr>
      <w:rFonts w:eastAsia="Times New Roman"/>
      <w:b/>
      <w:bCs/>
      <w:color w:val="005173"/>
      <w:sz w:val="22"/>
      <w:lang w:val="en-GB" w:eastAsia="en-CA"/>
    </w:rPr>
  </w:style>
  <w:style w:type="paragraph" w:styleId="Heading5">
    <w:name w:val="heading 5"/>
    <w:basedOn w:val="Normal"/>
    <w:next w:val="Normal"/>
    <w:link w:val="Heading5Char"/>
    <w:qFormat/>
    <w:rsid w:val="00821C93"/>
    <w:pPr>
      <w:keepNext/>
      <w:keepLines/>
      <w:tabs>
        <w:tab w:val="left" w:pos="1134"/>
      </w:tabs>
      <w:spacing w:before="240" w:after="60"/>
      <w:ind w:left="1134" w:hanging="1134"/>
      <w:outlineLvl w:val="4"/>
    </w:pPr>
    <w:rPr>
      <w:rFonts w:eastAsia="Times New Roman"/>
      <w:b/>
      <w:bCs/>
      <w:i/>
      <w:iCs/>
      <w:color w:val="005173"/>
      <w:sz w:val="22"/>
      <w:lang w:val="en-GB"/>
    </w:rPr>
  </w:style>
  <w:style w:type="paragraph" w:styleId="Heading6">
    <w:name w:val="heading 6"/>
    <w:basedOn w:val="Normal"/>
    <w:next w:val="Normal"/>
    <w:link w:val="Heading6Char"/>
    <w:qFormat/>
    <w:rsid w:val="00821C93"/>
    <w:pPr>
      <w:spacing w:before="240" w:after="60"/>
      <w:outlineLvl w:val="5"/>
    </w:pPr>
    <w:rPr>
      <w:b/>
      <w:bCs/>
      <w:color w:val="005173"/>
    </w:rPr>
  </w:style>
  <w:style w:type="paragraph" w:styleId="Heading7">
    <w:name w:val="heading 7"/>
    <w:basedOn w:val="Normal"/>
    <w:next w:val="Normal"/>
    <w:link w:val="Heading7Char"/>
    <w:qFormat/>
    <w:rsid w:val="00C43E84"/>
    <w:pPr>
      <w:numPr>
        <w:ilvl w:val="6"/>
        <w:numId w:val="1"/>
      </w:numPr>
      <w:spacing w:before="240" w:after="60"/>
      <w:outlineLvl w:val="6"/>
    </w:pPr>
    <w:rPr>
      <w:sz w:val="24"/>
      <w:szCs w:val="24"/>
    </w:rPr>
  </w:style>
  <w:style w:type="paragraph" w:styleId="Heading8">
    <w:name w:val="heading 8"/>
    <w:basedOn w:val="Normal"/>
    <w:next w:val="Normal"/>
    <w:link w:val="Heading8Char"/>
    <w:qFormat/>
    <w:rsid w:val="00C43E84"/>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C43E84"/>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rsid w:val="00075AFE"/>
    <w:pPr>
      <w:spacing w:before="0"/>
    </w:pPr>
    <w:rPr>
      <w:rFonts w:ascii="Tahoma" w:hAnsi="Tahoma" w:cs="Tahoma"/>
      <w:sz w:val="16"/>
      <w:szCs w:val="16"/>
    </w:rPr>
  </w:style>
  <w:style w:type="character" w:customStyle="1" w:styleId="BalloonTextChar">
    <w:name w:val="Balloon Text Char"/>
    <w:link w:val="BalloonText"/>
    <w:uiPriority w:val="99"/>
    <w:rsid w:val="00075AFE"/>
    <w:rPr>
      <w:rFonts w:ascii="Tahoma" w:hAnsi="Tahoma" w:cs="Tahoma"/>
      <w:sz w:val="16"/>
      <w:szCs w:val="16"/>
      <w:lang w:val="fr-FR" w:eastAsia="fr-FR"/>
    </w:rPr>
  </w:style>
  <w:style w:type="paragraph" w:styleId="Header">
    <w:name w:val="header"/>
    <w:basedOn w:val="Normal"/>
    <w:link w:val="HeaderChar"/>
    <w:uiPriority w:val="99"/>
    <w:rsid w:val="00821C93"/>
    <w:pPr>
      <w:pBdr>
        <w:bottom w:val="single" w:sz="12" w:space="1" w:color="005173"/>
      </w:pBdr>
      <w:jc w:val="center"/>
    </w:pPr>
    <w:rPr>
      <w:rFonts w:eastAsia="Times New Roman" w:cs="Calibri"/>
      <w:i/>
      <w:iCs/>
      <w:szCs w:val="21"/>
      <w:lang w:val="en-US"/>
    </w:rPr>
  </w:style>
  <w:style w:type="character" w:customStyle="1" w:styleId="HeaderChar">
    <w:name w:val="Header Char"/>
    <w:link w:val="Header"/>
    <w:uiPriority w:val="99"/>
    <w:rsid w:val="00821C93"/>
    <w:rPr>
      <w:rFonts w:ascii="Calibri" w:eastAsia="Times New Roman" w:hAnsi="Calibri" w:cs="Calibri"/>
      <w:i/>
      <w:iCs/>
      <w:sz w:val="21"/>
      <w:szCs w:val="21"/>
      <w:lang w:eastAsia="fr-FR"/>
    </w:rPr>
  </w:style>
  <w:style w:type="character" w:styleId="Hyperlink">
    <w:name w:val="Hyperlink"/>
    <w:aliases w:val="CEO_Hyperlink,超级链接"/>
    <w:uiPriority w:val="99"/>
    <w:rsid w:val="00FF7C81"/>
    <w:rPr>
      <w:color w:val="0000FF"/>
      <w:u w:val="single"/>
    </w:rPr>
  </w:style>
  <w:style w:type="paragraph" w:styleId="TOC2">
    <w:name w:val="toc 2"/>
    <w:basedOn w:val="Normal"/>
    <w:next w:val="Normal"/>
    <w:autoRedefine/>
    <w:uiPriority w:val="39"/>
    <w:qFormat/>
    <w:rsid w:val="00993280"/>
    <w:pPr>
      <w:tabs>
        <w:tab w:val="left" w:pos="567"/>
        <w:tab w:val="left" w:pos="1134"/>
        <w:tab w:val="right" w:leader="dot" w:pos="8505"/>
        <w:tab w:val="right" w:pos="9071"/>
      </w:tabs>
      <w:ind w:left="567"/>
      <w:jc w:val="left"/>
    </w:pPr>
    <w:rPr>
      <w:rFonts w:cs="Helvetica"/>
      <w:bCs/>
      <w:noProof/>
      <w:szCs w:val="24"/>
      <w:u w:color="3366CC"/>
    </w:rPr>
  </w:style>
  <w:style w:type="paragraph" w:styleId="TOC1">
    <w:name w:val="toc 1"/>
    <w:basedOn w:val="Normal"/>
    <w:next w:val="Normal"/>
    <w:uiPriority w:val="39"/>
    <w:qFormat/>
    <w:rsid w:val="0017278E"/>
    <w:pPr>
      <w:keepNext/>
      <w:keepLines/>
      <w:tabs>
        <w:tab w:val="left" w:pos="567"/>
        <w:tab w:val="right" w:leader="dot" w:pos="8505"/>
        <w:tab w:val="right" w:pos="9071"/>
      </w:tabs>
      <w:spacing w:before="200"/>
      <w:jc w:val="left"/>
    </w:pPr>
    <w:rPr>
      <w:rFonts w:cs="Helvetica"/>
      <w:b/>
      <w:bCs/>
      <w:noProof/>
      <w:szCs w:val="28"/>
      <w:lang w:val="en-US"/>
    </w:rPr>
  </w:style>
  <w:style w:type="paragraph" w:customStyle="1" w:styleId="Enumlevel2">
    <w:name w:val="Enum level 2"/>
    <w:basedOn w:val="Enumlevel1"/>
    <w:link w:val="Enumlevel2Char"/>
    <w:qFormat/>
    <w:rsid w:val="00CE7F23"/>
    <w:pPr>
      <w:ind w:left="1134"/>
    </w:pPr>
    <w:rPr>
      <w:lang w:val="en-AU"/>
    </w:rPr>
  </w:style>
  <w:style w:type="paragraph" w:customStyle="1" w:styleId="Figuretitle">
    <w:name w:val="Figure title"/>
    <w:basedOn w:val="Normal"/>
    <w:link w:val="FiguretitleChar"/>
    <w:qFormat/>
    <w:rsid w:val="00821C93"/>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rFonts w:cs="Arial"/>
      <w:b/>
      <w:color w:val="000000"/>
      <w:lang w:val="en-AU"/>
    </w:rPr>
  </w:style>
  <w:style w:type="paragraph" w:customStyle="1" w:styleId="PartTitle">
    <w:name w:val="Part Title"/>
    <w:basedOn w:val="Heading2"/>
    <w:next w:val="Normal"/>
    <w:link w:val="PartTitleChar"/>
    <w:rsid w:val="0010485E"/>
    <w:pPr>
      <w:tabs>
        <w:tab w:val="left" w:pos="1134"/>
      </w:tabs>
    </w:pPr>
    <w:rPr>
      <w:i/>
      <w:sz w:val="44"/>
      <w:szCs w:val="36"/>
      <w:u w:color="E36C0A"/>
      <w:lang w:val="en-AU"/>
    </w:rPr>
  </w:style>
  <w:style w:type="character" w:customStyle="1" w:styleId="Enumlevel2Char">
    <w:name w:val="Enum level 2 Char"/>
    <w:link w:val="Enumlevel2"/>
    <w:rsid w:val="00CE7F23"/>
    <w:rPr>
      <w:rFonts w:ascii="Calibri" w:eastAsia="SimSun" w:hAnsi="Calibri" w:cs="Calibri"/>
      <w:sz w:val="21"/>
      <w:szCs w:val="21"/>
      <w:lang w:val="en-AU" w:eastAsia="en-GB"/>
    </w:rPr>
  </w:style>
  <w:style w:type="paragraph" w:customStyle="1" w:styleId="Figure">
    <w:name w:val="Figure"/>
    <w:basedOn w:val="Figuretitle"/>
    <w:link w:val="FigureChar"/>
    <w:qFormat/>
    <w:rsid w:val="00821C93"/>
    <w:pPr>
      <w:spacing w:before="240" w:after="120"/>
      <w:jc w:val="center"/>
    </w:pPr>
    <w:rPr>
      <w:b w:val="0"/>
      <w:bCs/>
    </w:rPr>
  </w:style>
  <w:style w:type="character" w:customStyle="1" w:styleId="FiguretitleChar">
    <w:name w:val="Figure title Char"/>
    <w:link w:val="Figuretitle"/>
    <w:rsid w:val="00821C93"/>
    <w:rPr>
      <w:rFonts w:ascii="Calibri" w:hAnsi="Calibri" w:cs="Arial"/>
      <w:b/>
      <w:color w:val="000000"/>
      <w:sz w:val="21"/>
      <w:szCs w:val="22"/>
      <w:shd w:val="clear" w:color="auto" w:fill="E8F8FD"/>
      <w:lang w:val="en-AU" w:eastAsia="fr-FR"/>
    </w:rPr>
  </w:style>
  <w:style w:type="paragraph" w:customStyle="1" w:styleId="figuresource">
    <w:name w:val="figure source"/>
    <w:basedOn w:val="Figuretitle"/>
    <w:link w:val="figuresourceChar"/>
    <w:qFormat/>
    <w:rsid w:val="00F44873"/>
    <w:pPr>
      <w:jc w:val="left"/>
    </w:pPr>
    <w:rPr>
      <w:b w:val="0"/>
      <w:bCs/>
      <w:i/>
      <w:iCs/>
      <w:sz w:val="19"/>
      <w:szCs w:val="19"/>
    </w:rPr>
  </w:style>
  <w:style w:type="character" w:customStyle="1" w:styleId="FigureChar">
    <w:name w:val="Figure Char"/>
    <w:link w:val="Figure"/>
    <w:rsid w:val="00821C93"/>
    <w:rPr>
      <w:rFonts w:ascii="Calibri" w:hAnsi="Calibri" w:cs="Arial"/>
      <w:bCs/>
      <w:color w:val="000000"/>
      <w:sz w:val="21"/>
      <w:szCs w:val="22"/>
      <w:shd w:val="clear" w:color="auto" w:fill="E8F8FD"/>
      <w:lang w:val="en-AU" w:eastAsia="fr-FR"/>
    </w:rPr>
  </w:style>
  <w:style w:type="character" w:customStyle="1" w:styleId="href">
    <w:name w:val="href"/>
    <w:rsid w:val="006104A4"/>
    <w:rPr>
      <w:rFonts w:cs="Times New Roman"/>
    </w:rPr>
  </w:style>
  <w:style w:type="character" w:customStyle="1" w:styleId="figuresourceChar">
    <w:name w:val="figure source Char"/>
    <w:link w:val="figuresource"/>
    <w:rsid w:val="00F44873"/>
    <w:rPr>
      <w:rFonts w:ascii="Calibri" w:eastAsia="SimSun" w:hAnsi="Calibri" w:cs="Arial"/>
      <w:b w:val="0"/>
      <w:bCs/>
      <w:i/>
      <w:iCs/>
      <w:color w:val="000000"/>
      <w:sz w:val="19"/>
      <w:szCs w:val="19"/>
      <w:shd w:val="clear" w:color="auto" w:fill="E8F8FD"/>
      <w:lang w:val="en-AU" w:eastAsia="fr-FR"/>
    </w:rPr>
  </w:style>
  <w:style w:type="paragraph" w:styleId="TOC3">
    <w:name w:val="toc 3"/>
    <w:basedOn w:val="Normal"/>
    <w:next w:val="Normal"/>
    <w:autoRedefine/>
    <w:uiPriority w:val="39"/>
    <w:qFormat/>
    <w:rsid w:val="0017278E"/>
    <w:pPr>
      <w:tabs>
        <w:tab w:val="right" w:pos="1701"/>
        <w:tab w:val="right" w:pos="1985"/>
        <w:tab w:val="right" w:leader="dot" w:pos="8505"/>
        <w:tab w:val="right" w:pos="9071"/>
      </w:tabs>
      <w:spacing w:before="40"/>
      <w:ind w:left="1701" w:hanging="567"/>
    </w:pPr>
    <w:rPr>
      <w:rFonts w:cs="Arial"/>
      <w:noProof/>
      <w:color w:val="000000"/>
      <w:szCs w:val="24"/>
      <w:lang w:val="en-US"/>
    </w:rPr>
  </w:style>
  <w:style w:type="paragraph" w:styleId="Footer">
    <w:name w:val="footer"/>
    <w:basedOn w:val="Normal"/>
    <w:link w:val="FooterChar"/>
    <w:uiPriority w:val="99"/>
    <w:rsid w:val="00821C93"/>
    <w:pPr>
      <w:pBdr>
        <w:top w:val="single" w:sz="4" w:space="1" w:color="005173"/>
      </w:pBdr>
      <w:tabs>
        <w:tab w:val="right" w:pos="9071"/>
      </w:tabs>
      <w:ind w:left="6804"/>
      <w:jc w:val="right"/>
    </w:pPr>
  </w:style>
  <w:style w:type="character" w:customStyle="1" w:styleId="FooterChar">
    <w:name w:val="Footer Char"/>
    <w:link w:val="Footer"/>
    <w:uiPriority w:val="99"/>
    <w:rsid w:val="00821C93"/>
    <w:rPr>
      <w:rFonts w:ascii="Calibri" w:hAnsi="Calibri"/>
      <w:sz w:val="21"/>
      <w:szCs w:val="22"/>
      <w:lang w:val="fr-FR" w:eastAsia="fr-FR"/>
    </w:rPr>
  </w:style>
  <w:style w:type="table" w:customStyle="1" w:styleId="HIPTable">
    <w:name w:val="HIP Table"/>
    <w:basedOn w:val="TableNormal"/>
    <w:rsid w:val="00B23A08"/>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C43E84"/>
    <w:pPr>
      <w:numPr>
        <w:numId w:val="3"/>
      </w:numPr>
    </w:pPr>
  </w:style>
  <w:style w:type="numbering" w:customStyle="1" w:styleId="HIPBulletsHierarchy">
    <w:name w:val="HIP Bullets Hierarchy"/>
    <w:rsid w:val="00C43E84"/>
    <w:pPr>
      <w:numPr>
        <w:numId w:val="2"/>
      </w:numPr>
    </w:pPr>
  </w:style>
  <w:style w:type="character" w:customStyle="1" w:styleId="Heading2Char">
    <w:name w:val="Heading 2 Char"/>
    <w:link w:val="Heading2"/>
    <w:rsid w:val="00821C93"/>
    <w:rPr>
      <w:rFonts w:ascii="Calibri" w:eastAsia="Times New Roman" w:hAnsi="Calibri" w:cs="Helvetica"/>
      <w:b/>
      <w:bCs/>
      <w:color w:val="005173"/>
      <w:sz w:val="24"/>
      <w:szCs w:val="32"/>
      <w:lang w:eastAsia="fr-FR"/>
    </w:rPr>
  </w:style>
  <w:style w:type="character" w:customStyle="1" w:styleId="PartTitleChar">
    <w:name w:val="Part Title Char"/>
    <w:link w:val="PartTitle"/>
    <w:rsid w:val="0010485E"/>
    <w:rPr>
      <w:rFonts w:ascii="Calibri" w:eastAsia="Times New Roman" w:hAnsi="Calibri" w:cs="Helvetica"/>
      <w:b/>
      <w:bCs/>
      <w:i/>
      <w:color w:val="548DD4"/>
      <w:sz w:val="44"/>
      <w:szCs w:val="36"/>
      <w:u w:color="E36C0A"/>
      <w:lang w:val="en-AU" w:eastAsia="fr-FR"/>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V-,DNV,D"/>
    <w:basedOn w:val="Normal"/>
    <w:link w:val="FootnoteTextChar"/>
    <w:uiPriority w:val="99"/>
    <w:rsid w:val="007202A5"/>
    <w:pPr>
      <w:tabs>
        <w:tab w:val="left" w:pos="284"/>
      </w:tabs>
    </w:pPr>
    <w:rPr>
      <w:sz w:val="18"/>
      <w:szCs w:val="18"/>
      <w:lang w:val="en-US"/>
    </w:r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V- Char,DNV Char,D Char"/>
    <w:link w:val="FootnoteText"/>
    <w:uiPriority w:val="99"/>
    <w:rsid w:val="007202A5"/>
    <w:rPr>
      <w:rFonts w:ascii="Calibri" w:hAnsi="Calibri"/>
      <w:sz w:val="18"/>
      <w:szCs w:val="18"/>
      <w:lang w:eastAsia="fr-FR"/>
    </w:rPr>
  </w:style>
  <w:style w:type="character" w:styleId="FootnoteReference">
    <w:name w:val="footnote reference"/>
    <w:aliases w:val="Appel note de bas de p,Footnote Reference/,Style 12,(NECG) Footnote Reference,Style 124,Footnote symbol,o,fr,Style 13,FR,Style 17,Style 3,Appel note de bas de p + 11 pt,Italic,Footnote,Appel note de bas de p1"/>
    <w:uiPriority w:val="99"/>
    <w:rsid w:val="004866ED"/>
    <w:rPr>
      <w:rFonts w:ascii="Calibri" w:hAnsi="Calibri"/>
      <w:sz w:val="21"/>
      <w:vertAlign w:val="superscript"/>
      <w:lang w:val="fr-CH"/>
    </w:rPr>
  </w:style>
  <w:style w:type="table" w:styleId="TableGrid">
    <w:name w:val="Table Grid"/>
    <w:basedOn w:val="TableNormal"/>
    <w:rsid w:val="003703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4621F9"/>
    <w:pPr>
      <w:autoSpaceDE w:val="0"/>
      <w:autoSpaceDN w:val="0"/>
      <w:adjustRightInd w:val="0"/>
    </w:pPr>
    <w:rPr>
      <w:color w:val="000000"/>
      <w:sz w:val="24"/>
      <w:szCs w:val="24"/>
      <w:lang w:val="en-TT" w:eastAsia="en-US"/>
    </w:rPr>
  </w:style>
  <w:style w:type="paragraph" w:customStyle="1" w:styleId="Chapttitle">
    <w:name w:val="Chapt title"/>
    <w:basedOn w:val="Normal"/>
    <w:link w:val="ChapttitleChar"/>
    <w:qFormat/>
    <w:rsid w:val="00821C93"/>
    <w:pPr>
      <w:keepNext/>
      <w:keepLines/>
      <w:tabs>
        <w:tab w:val="left" w:pos="851"/>
      </w:tabs>
      <w:spacing w:before="0"/>
      <w:jc w:val="center"/>
      <w:outlineLvl w:val="0"/>
    </w:pPr>
    <w:rPr>
      <w:rFonts w:cs="Helvetica"/>
      <w:b/>
      <w:bCs/>
      <w:color w:val="005173"/>
      <w:sz w:val="40"/>
      <w:szCs w:val="28"/>
      <w:lang w:val="en-US"/>
    </w:rPr>
  </w:style>
  <w:style w:type="paragraph" w:customStyle="1" w:styleId="Toc0">
    <w:name w:val="Toc 0"/>
    <w:basedOn w:val="Normal"/>
    <w:link w:val="Toc0Char"/>
    <w:qFormat/>
    <w:rsid w:val="00821C93"/>
    <w:pPr>
      <w:tabs>
        <w:tab w:val="right" w:pos="9071"/>
      </w:tabs>
      <w:spacing w:before="200"/>
      <w:jc w:val="right"/>
    </w:pPr>
    <w:rPr>
      <w:rFonts w:cs="Helvetica"/>
      <w:bCs/>
      <w:i/>
      <w:iCs/>
      <w:noProof/>
      <w:color w:val="005173"/>
      <w:szCs w:val="28"/>
      <w:lang w:val="en-US"/>
    </w:rPr>
  </w:style>
  <w:style w:type="character" w:customStyle="1" w:styleId="Heading1Char">
    <w:name w:val="Heading 1 Char"/>
    <w:link w:val="Heading1"/>
    <w:uiPriority w:val="9"/>
    <w:rsid w:val="00821C93"/>
    <w:rPr>
      <w:rFonts w:ascii="Calibri" w:eastAsia="Times New Roman" w:hAnsi="Calibri" w:cs="Helvetica"/>
      <w:b/>
      <w:bCs/>
      <w:color w:val="005173"/>
      <w:sz w:val="28"/>
      <w:szCs w:val="28"/>
      <w:lang w:eastAsia="fr-FR"/>
    </w:rPr>
  </w:style>
  <w:style w:type="character" w:customStyle="1" w:styleId="ChapttitleChar">
    <w:name w:val="Chapt title Char"/>
    <w:link w:val="Chapttitle"/>
    <w:rsid w:val="00821C93"/>
    <w:rPr>
      <w:rFonts w:ascii="Calibri" w:hAnsi="Calibri" w:cs="Helvetica"/>
      <w:b/>
      <w:bCs/>
      <w:color w:val="005173"/>
      <w:sz w:val="40"/>
      <w:szCs w:val="28"/>
      <w:lang w:eastAsia="fr-FR"/>
    </w:rPr>
  </w:style>
  <w:style w:type="character" w:customStyle="1" w:styleId="Toc0Char">
    <w:name w:val="Toc 0 Char"/>
    <w:link w:val="Toc0"/>
    <w:rsid w:val="00821C93"/>
    <w:rPr>
      <w:rFonts w:ascii="Calibri" w:hAnsi="Calibri" w:cs="Helvetica"/>
      <w:bCs/>
      <w:i/>
      <w:iCs/>
      <w:noProof/>
      <w:color w:val="005173"/>
      <w:sz w:val="21"/>
      <w:szCs w:val="28"/>
      <w:lang w:eastAsia="fr-FR"/>
    </w:rPr>
  </w:style>
  <w:style w:type="paragraph" w:customStyle="1" w:styleId="HeadingB">
    <w:name w:val="Heading B"/>
    <w:basedOn w:val="Normal"/>
    <w:link w:val="HeadingBChar"/>
    <w:qFormat/>
    <w:rsid w:val="0024564C"/>
    <w:pPr>
      <w:spacing w:before="240"/>
    </w:pPr>
    <w:rPr>
      <w:b/>
      <w:bCs/>
      <w:lang w:val="en-AU"/>
    </w:rPr>
  </w:style>
  <w:style w:type="paragraph" w:customStyle="1" w:styleId="Enumlevel1">
    <w:name w:val="Enum level 1"/>
    <w:basedOn w:val="Normal"/>
    <w:link w:val="Enumlevel1Char"/>
    <w:qFormat/>
    <w:rsid w:val="00ED3677"/>
    <w:pPr>
      <w:ind w:left="567" w:hanging="567"/>
    </w:pPr>
    <w:rPr>
      <w:rFonts w:cs="Calibri"/>
      <w:szCs w:val="21"/>
      <w:lang w:val="en-GB" w:eastAsia="en-GB"/>
    </w:rPr>
  </w:style>
  <w:style w:type="character" w:customStyle="1" w:styleId="HeadingBChar">
    <w:name w:val="Heading B Char"/>
    <w:link w:val="HeadingB"/>
    <w:rsid w:val="0024564C"/>
    <w:rPr>
      <w:rFonts w:ascii="Calibri" w:hAnsi="Calibri"/>
      <w:b/>
      <w:bCs/>
      <w:sz w:val="21"/>
      <w:szCs w:val="22"/>
      <w:lang w:val="en-AU" w:eastAsia="fr-FR"/>
    </w:rPr>
  </w:style>
  <w:style w:type="paragraph" w:customStyle="1" w:styleId="Citation">
    <w:name w:val="Citation"/>
    <w:basedOn w:val="Normal"/>
    <w:link w:val="CitationChar"/>
    <w:qFormat/>
    <w:rsid w:val="00291073"/>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lang w:val="en-US"/>
    </w:rPr>
  </w:style>
  <w:style w:type="character" w:customStyle="1" w:styleId="Enumlevel1Char">
    <w:name w:val="Enum level 1 Char"/>
    <w:link w:val="Enumlevel1"/>
    <w:rsid w:val="00ED3677"/>
    <w:rPr>
      <w:rFonts w:ascii="Calibri" w:eastAsia="SimSun" w:hAnsi="Calibri" w:cs="Calibri"/>
      <w:sz w:val="21"/>
      <w:szCs w:val="21"/>
      <w:lang w:val="en-GB" w:eastAsia="en-GB"/>
    </w:rPr>
  </w:style>
  <w:style w:type="paragraph" w:customStyle="1" w:styleId="Tablesource">
    <w:name w:val="Table source"/>
    <w:basedOn w:val="Tabletext"/>
    <w:link w:val="TablesourceChar"/>
    <w:qFormat/>
    <w:rsid w:val="00FE1089"/>
    <w:pPr>
      <w:pBdr>
        <w:bottom w:val="single" w:sz="18" w:space="1" w:color="1F9DD9"/>
      </w:pBdr>
    </w:pPr>
    <w:rPr>
      <w:i/>
      <w:iCs/>
      <w:lang w:val="en-US"/>
    </w:rPr>
  </w:style>
  <w:style w:type="character" w:customStyle="1" w:styleId="CitationChar">
    <w:name w:val="Citation Char"/>
    <w:link w:val="Citation"/>
    <w:rsid w:val="00291073"/>
    <w:rPr>
      <w:rFonts w:ascii="Calibri" w:hAnsi="Calibri"/>
      <w:bCs/>
      <w:i/>
      <w:iCs/>
      <w:sz w:val="21"/>
      <w:szCs w:val="22"/>
      <w:shd w:val="clear" w:color="auto" w:fill="DAEEF3"/>
      <w:lang w:eastAsia="fr-FR"/>
    </w:rPr>
  </w:style>
  <w:style w:type="paragraph" w:customStyle="1" w:styleId="Acknowledgements">
    <w:name w:val="Acknowledgements"/>
    <w:basedOn w:val="Figure"/>
    <w:link w:val="AcknowledgementsChar"/>
    <w:qFormat/>
    <w:rsid w:val="006B135F"/>
    <w:pPr>
      <w:spacing w:before="0" w:after="0"/>
      <w:ind w:left="0" w:firstLine="0"/>
      <w:jc w:val="both"/>
    </w:pPr>
    <w:rPr>
      <w:lang w:val="en-GB"/>
    </w:rPr>
  </w:style>
  <w:style w:type="character" w:customStyle="1" w:styleId="Heading3Char">
    <w:name w:val="Heading 3 Char"/>
    <w:link w:val="Heading3"/>
    <w:locked/>
    <w:rsid w:val="00BB5150"/>
    <w:rPr>
      <w:rFonts w:ascii="Calibri" w:eastAsia="Times New Roman" w:hAnsi="Calibri" w:cs="Helvetica"/>
      <w:b/>
      <w:bCs/>
      <w:i/>
      <w:iCs/>
      <w:color w:val="943634"/>
      <w:sz w:val="24"/>
      <w:szCs w:val="32"/>
      <w:lang w:eastAsia="fr-FR"/>
    </w:rPr>
  </w:style>
  <w:style w:type="character" w:customStyle="1" w:styleId="Heading4Char">
    <w:name w:val="Heading 4 Char"/>
    <w:link w:val="Heading4"/>
    <w:locked/>
    <w:rsid w:val="00821C93"/>
    <w:rPr>
      <w:rFonts w:ascii="Calibri" w:eastAsia="Times New Roman" w:hAnsi="Calibri"/>
      <w:b/>
      <w:bCs/>
      <w:color w:val="005173"/>
      <w:sz w:val="22"/>
      <w:szCs w:val="22"/>
      <w:lang w:val="en-GB" w:eastAsia="en-CA"/>
    </w:rPr>
  </w:style>
  <w:style w:type="character" w:customStyle="1" w:styleId="Heading5Char">
    <w:name w:val="Heading 5 Char"/>
    <w:link w:val="Heading5"/>
    <w:locked/>
    <w:rsid w:val="00821C93"/>
    <w:rPr>
      <w:rFonts w:ascii="Calibri" w:eastAsia="Times New Roman" w:hAnsi="Calibri"/>
      <w:b/>
      <w:bCs/>
      <w:i/>
      <w:iCs/>
      <w:color w:val="005173"/>
      <w:sz w:val="22"/>
      <w:szCs w:val="22"/>
      <w:lang w:val="en-GB" w:eastAsia="fr-FR"/>
    </w:rPr>
  </w:style>
  <w:style w:type="character" w:customStyle="1" w:styleId="Heading6Char">
    <w:name w:val="Heading 6 Char"/>
    <w:link w:val="Heading6"/>
    <w:locked/>
    <w:rsid w:val="00821C93"/>
    <w:rPr>
      <w:rFonts w:ascii="Calibri" w:hAnsi="Calibri"/>
      <w:b/>
      <w:bCs/>
      <w:color w:val="005173"/>
      <w:sz w:val="21"/>
      <w:szCs w:val="22"/>
      <w:lang w:val="fr-FR" w:eastAsia="fr-FR"/>
    </w:rPr>
  </w:style>
  <w:style w:type="character" w:customStyle="1" w:styleId="Heading7Char">
    <w:name w:val="Heading 7 Char"/>
    <w:link w:val="Heading7"/>
    <w:locked/>
    <w:rsid w:val="00271D36"/>
    <w:rPr>
      <w:rFonts w:ascii="Calibri" w:hAnsi="Calibri"/>
      <w:sz w:val="24"/>
      <w:szCs w:val="24"/>
      <w:lang w:val="fr-FR" w:eastAsia="fr-FR"/>
    </w:rPr>
  </w:style>
  <w:style w:type="character" w:customStyle="1" w:styleId="Heading8Char">
    <w:name w:val="Heading 8 Char"/>
    <w:link w:val="Heading8"/>
    <w:locked/>
    <w:rsid w:val="00271D36"/>
    <w:rPr>
      <w:rFonts w:ascii="Calibri" w:hAnsi="Calibri"/>
      <w:i/>
      <w:iCs/>
      <w:sz w:val="24"/>
      <w:szCs w:val="24"/>
      <w:lang w:val="fr-FR" w:eastAsia="fr-FR"/>
    </w:rPr>
  </w:style>
  <w:style w:type="character" w:customStyle="1" w:styleId="Heading9Char">
    <w:name w:val="Heading 9 Char"/>
    <w:link w:val="Heading9"/>
    <w:locked/>
    <w:rsid w:val="00271D36"/>
    <w:rPr>
      <w:rFonts w:ascii="Arial" w:hAnsi="Arial" w:cs="Arial"/>
      <w:sz w:val="21"/>
      <w:szCs w:val="22"/>
      <w:lang w:val="fr-FR" w:eastAsia="fr-FR"/>
    </w:rPr>
  </w:style>
  <w:style w:type="paragraph" w:styleId="Revision">
    <w:name w:val="Revision"/>
    <w:hidden/>
    <w:uiPriority w:val="99"/>
    <w:semiHidden/>
    <w:rsid w:val="00271D36"/>
    <w:rPr>
      <w:sz w:val="24"/>
      <w:szCs w:val="24"/>
      <w:lang w:val="en-GB" w:eastAsia="en-GB"/>
    </w:rPr>
  </w:style>
  <w:style w:type="character" w:styleId="FollowedHyperlink">
    <w:name w:val="FollowedHyperlink"/>
    <w:aliases w:val="CEO_FollowedHyperlink"/>
    <w:uiPriority w:val="99"/>
    <w:rsid w:val="00271D36"/>
    <w:rPr>
      <w:rFonts w:cs="Times New Roman"/>
      <w:color w:val="800080"/>
      <w:u w:val="single"/>
    </w:rPr>
  </w:style>
  <w:style w:type="paragraph" w:customStyle="1" w:styleId="Tablehead">
    <w:name w:val="Table head"/>
    <w:basedOn w:val="Normal"/>
    <w:link w:val="TableheadChar"/>
    <w:qFormat/>
    <w:rsid w:val="00E6584D"/>
    <w:pPr>
      <w:autoSpaceDE w:val="0"/>
      <w:autoSpaceDN w:val="0"/>
      <w:adjustRightInd w:val="0"/>
      <w:spacing w:before="80" w:after="80"/>
      <w:jc w:val="center"/>
    </w:pPr>
    <w:rPr>
      <w:rFonts w:cs="Arial Bold"/>
      <w:b/>
      <w:bCs/>
      <w:color w:val="FFFFFF"/>
      <w:sz w:val="19"/>
      <w:lang w:val="en-US"/>
    </w:rPr>
  </w:style>
  <w:style w:type="character" w:customStyle="1" w:styleId="TableheadChar">
    <w:name w:val="Table head Char"/>
    <w:link w:val="Tablehead"/>
    <w:rsid w:val="00E6584D"/>
    <w:rPr>
      <w:rFonts w:ascii="Calibri" w:hAnsi="Calibri" w:cs="Arial Bold"/>
      <w:b/>
      <w:bCs/>
      <w:color w:val="FFFFFF"/>
      <w:sz w:val="19"/>
      <w:szCs w:val="22"/>
      <w:lang w:eastAsia="fr-FR"/>
    </w:rPr>
  </w:style>
  <w:style w:type="paragraph" w:customStyle="1" w:styleId="Tabletext">
    <w:name w:val="Table text"/>
    <w:basedOn w:val="Normal"/>
    <w:link w:val="TabletextChar"/>
    <w:qFormat/>
    <w:rsid w:val="00E6584D"/>
    <w:pPr>
      <w:spacing w:before="40" w:after="40"/>
      <w:jc w:val="left"/>
    </w:pPr>
    <w:rPr>
      <w:rFonts w:cs="Calibri"/>
      <w:sz w:val="19"/>
      <w:szCs w:val="19"/>
    </w:rPr>
  </w:style>
  <w:style w:type="character" w:customStyle="1" w:styleId="TabletextChar">
    <w:name w:val="Table text Char"/>
    <w:link w:val="Tabletext"/>
    <w:rsid w:val="00E6584D"/>
    <w:rPr>
      <w:rFonts w:ascii="Calibri" w:hAnsi="Calibri" w:cs="Calibri"/>
      <w:sz w:val="19"/>
      <w:szCs w:val="19"/>
      <w:lang w:val="fr-FR" w:eastAsia="fr-FR"/>
    </w:rPr>
  </w:style>
  <w:style w:type="paragraph" w:customStyle="1" w:styleId="Tabletitle">
    <w:name w:val="Table title"/>
    <w:basedOn w:val="Normal"/>
    <w:link w:val="TabletitleChar"/>
    <w:qFormat/>
    <w:rsid w:val="00CB7DA1"/>
    <w:pPr>
      <w:pBdr>
        <w:top w:val="single" w:sz="18" w:space="1" w:color="1F9DD9"/>
      </w:pBdr>
      <w:shd w:val="clear" w:color="auto" w:fill="FFFFFF"/>
      <w:autoSpaceDE w:val="0"/>
      <w:autoSpaceDN w:val="0"/>
      <w:adjustRightInd w:val="0"/>
      <w:spacing w:before="240" w:after="120"/>
      <w:jc w:val="center"/>
    </w:pPr>
    <w:rPr>
      <w:rFonts w:cs="Arial"/>
      <w:b/>
      <w:bCs/>
      <w:color w:val="1F9DD9"/>
      <w:szCs w:val="24"/>
      <w:lang w:val="en-US"/>
    </w:rPr>
  </w:style>
  <w:style w:type="character" w:customStyle="1" w:styleId="TabletitleChar">
    <w:name w:val="Table title Char"/>
    <w:link w:val="Tabletitle"/>
    <w:rsid w:val="00CB7DA1"/>
    <w:rPr>
      <w:rFonts w:ascii="Calibri" w:hAnsi="Calibri" w:cs="Arial"/>
      <w:b/>
      <w:bCs/>
      <w:color w:val="1F9DD9"/>
      <w:sz w:val="21"/>
      <w:szCs w:val="24"/>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B9372E"/>
    <w:pPr>
      <w:ind w:left="1701" w:hanging="567"/>
    </w:pPr>
    <w:rPr>
      <w:iCs/>
    </w:rPr>
  </w:style>
  <w:style w:type="character" w:customStyle="1" w:styleId="Enumlevel3Char">
    <w:name w:val="Enum level 3 Char"/>
    <w:link w:val="Enumlevel3"/>
    <w:rsid w:val="00B9372E"/>
    <w:rPr>
      <w:rFonts w:ascii="Calibri" w:hAnsi="Calibri"/>
      <w:iCs/>
      <w:sz w:val="21"/>
      <w:szCs w:val="22"/>
      <w:lang w:val="fr-FR" w:eastAsia="fr-FR"/>
    </w:rPr>
  </w:style>
  <w:style w:type="character" w:customStyle="1" w:styleId="BalloonTextChar15">
    <w:name w:val="Balloon Text Char15"/>
    <w:uiPriority w:val="99"/>
    <w:semiHidden/>
    <w:rsid w:val="003E2368"/>
    <w:rPr>
      <w:rFonts w:ascii="Lucida Grande" w:hAnsi="Lucida Grande" w:cs="Times New Roman"/>
      <w:sz w:val="18"/>
    </w:rPr>
  </w:style>
  <w:style w:type="character" w:customStyle="1" w:styleId="BalloonTextChar14">
    <w:name w:val="Balloon Text Char14"/>
    <w:uiPriority w:val="99"/>
    <w:semiHidden/>
    <w:rsid w:val="003E2368"/>
    <w:rPr>
      <w:rFonts w:ascii="Lucida Grande" w:hAnsi="Lucida Grande" w:cs="Times New Roman"/>
      <w:sz w:val="18"/>
    </w:rPr>
  </w:style>
  <w:style w:type="character" w:customStyle="1" w:styleId="BalloonTextChar13">
    <w:name w:val="Balloon Text Char13"/>
    <w:uiPriority w:val="99"/>
    <w:semiHidden/>
    <w:rsid w:val="003E2368"/>
    <w:rPr>
      <w:rFonts w:ascii="Lucida Grande" w:hAnsi="Lucida Grande" w:cs="Times New Roman"/>
      <w:sz w:val="18"/>
    </w:rPr>
  </w:style>
  <w:style w:type="character" w:customStyle="1" w:styleId="BalloonTextChar12">
    <w:name w:val="Balloon Text Char12"/>
    <w:uiPriority w:val="99"/>
    <w:semiHidden/>
    <w:rsid w:val="003E2368"/>
    <w:rPr>
      <w:rFonts w:ascii="Lucida Grande" w:hAnsi="Lucida Grande" w:cs="Times New Roman"/>
      <w:sz w:val="18"/>
    </w:rPr>
  </w:style>
  <w:style w:type="character" w:customStyle="1" w:styleId="BalloonTextChar11">
    <w:name w:val="Balloon Text Char11"/>
    <w:uiPriority w:val="99"/>
    <w:semiHidden/>
    <w:rsid w:val="003E2368"/>
    <w:rPr>
      <w:rFonts w:ascii="Lucida Grande" w:hAnsi="Lucida Grande" w:cs="Times New Roman"/>
      <w:sz w:val="18"/>
    </w:rPr>
  </w:style>
  <w:style w:type="character" w:customStyle="1" w:styleId="BalloonTextChar10">
    <w:name w:val="Balloon Text Char10"/>
    <w:uiPriority w:val="99"/>
    <w:semiHidden/>
    <w:rsid w:val="003E2368"/>
    <w:rPr>
      <w:rFonts w:ascii="Lucida Grande" w:hAnsi="Lucida Grande" w:cs="Times New Roman"/>
      <w:sz w:val="18"/>
    </w:rPr>
  </w:style>
  <w:style w:type="character" w:customStyle="1" w:styleId="BalloonTextChar9">
    <w:name w:val="Balloon Text Char9"/>
    <w:uiPriority w:val="99"/>
    <w:semiHidden/>
    <w:rsid w:val="003E2368"/>
    <w:rPr>
      <w:rFonts w:ascii="Lucida Grande" w:hAnsi="Lucida Grande" w:cs="Times New Roman"/>
      <w:sz w:val="18"/>
    </w:rPr>
  </w:style>
  <w:style w:type="character" w:customStyle="1" w:styleId="BalloonTextChar8">
    <w:name w:val="Balloon Text Char8"/>
    <w:uiPriority w:val="99"/>
    <w:semiHidden/>
    <w:rsid w:val="003E2368"/>
    <w:rPr>
      <w:rFonts w:ascii="Lucida Grande" w:hAnsi="Lucida Grande" w:cs="Times New Roman"/>
      <w:sz w:val="18"/>
    </w:rPr>
  </w:style>
  <w:style w:type="character" w:customStyle="1" w:styleId="BalloonTextChar7">
    <w:name w:val="Balloon Text Char7"/>
    <w:uiPriority w:val="99"/>
    <w:semiHidden/>
    <w:rsid w:val="003E2368"/>
    <w:rPr>
      <w:rFonts w:ascii="Lucida Grande" w:hAnsi="Lucida Grande" w:cs="Times New Roman"/>
      <w:sz w:val="18"/>
    </w:rPr>
  </w:style>
  <w:style w:type="character" w:customStyle="1" w:styleId="BalloonTextChar6">
    <w:name w:val="Balloon Text Char6"/>
    <w:uiPriority w:val="99"/>
    <w:semiHidden/>
    <w:rsid w:val="003E2368"/>
    <w:rPr>
      <w:rFonts w:ascii="Lucida Grande" w:hAnsi="Lucida Grande" w:cs="Times New Roman"/>
      <w:sz w:val="18"/>
    </w:rPr>
  </w:style>
  <w:style w:type="character" w:customStyle="1" w:styleId="BalloonTextChar5">
    <w:name w:val="Balloon Text Char5"/>
    <w:uiPriority w:val="99"/>
    <w:semiHidden/>
    <w:rsid w:val="003E2368"/>
    <w:rPr>
      <w:rFonts w:ascii="Lucida Grande" w:hAnsi="Lucida Grande" w:cs="Times New Roman"/>
      <w:sz w:val="18"/>
    </w:rPr>
  </w:style>
  <w:style w:type="character" w:customStyle="1" w:styleId="BalloonTextChar4">
    <w:name w:val="Balloon Text Char4"/>
    <w:uiPriority w:val="99"/>
    <w:semiHidden/>
    <w:rsid w:val="003E2368"/>
    <w:rPr>
      <w:rFonts w:ascii="Lucida Grande" w:hAnsi="Lucida Grande" w:cs="Times New Roman"/>
      <w:sz w:val="18"/>
    </w:rPr>
  </w:style>
  <w:style w:type="character" w:customStyle="1" w:styleId="BalloonTextChar3">
    <w:name w:val="Balloon Text Char3"/>
    <w:uiPriority w:val="99"/>
    <w:semiHidden/>
    <w:rsid w:val="003E2368"/>
    <w:rPr>
      <w:rFonts w:ascii="Lucida Grande" w:hAnsi="Lucida Grande" w:cs="Times New Roman"/>
      <w:sz w:val="18"/>
    </w:rPr>
  </w:style>
  <w:style w:type="character" w:customStyle="1" w:styleId="BalloonTextChar2">
    <w:name w:val="Balloon Text Char2"/>
    <w:uiPriority w:val="99"/>
    <w:semiHidden/>
    <w:rsid w:val="003E2368"/>
    <w:rPr>
      <w:rFonts w:ascii="Lucida Grande" w:hAnsi="Lucida Grande" w:cs="Times New Roman"/>
      <w:sz w:val="18"/>
    </w:rPr>
  </w:style>
  <w:style w:type="paragraph" w:customStyle="1" w:styleId="Note">
    <w:name w:val="Note"/>
    <w:basedOn w:val="Normal"/>
    <w:uiPriority w:val="99"/>
    <w:rsid w:val="000A71D3"/>
    <w:pPr>
      <w:overflowPunct w:val="0"/>
      <w:autoSpaceDE w:val="0"/>
      <w:autoSpaceDN w:val="0"/>
      <w:adjustRightInd w:val="0"/>
      <w:spacing w:before="80"/>
      <w:textAlignment w:val="baseline"/>
    </w:pPr>
    <w:rPr>
      <w:rFonts w:cs="Arial"/>
      <w:sz w:val="20"/>
      <w:lang w:eastAsia="en-US"/>
    </w:rPr>
  </w:style>
  <w:style w:type="table" w:customStyle="1" w:styleId="TableGrid1">
    <w:name w:val="Table Grid1"/>
    <w:basedOn w:val="TableNormal"/>
    <w:next w:val="TableGrid"/>
    <w:rsid w:val="00B824F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411F98"/>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411F98"/>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411F98"/>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411F98"/>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411F98"/>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411F98"/>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1">
    <w:name w:val="Medium Shading 1 Accent 1"/>
    <w:basedOn w:val="TableNormal"/>
    <w:uiPriority w:val="63"/>
    <w:rsid w:val="00821C93"/>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11585A"/>
    <w:rPr>
      <w:color w:val="808080"/>
    </w:rPr>
  </w:style>
  <w:style w:type="table" w:customStyle="1" w:styleId="LightShading1">
    <w:name w:val="Light Shading1"/>
    <w:basedOn w:val="TableNormal"/>
    <w:uiPriority w:val="60"/>
    <w:rsid w:val="00133CDA"/>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AcknowledgementsChar">
    <w:name w:val="Acknowledgements Char"/>
    <w:link w:val="Acknowledgements"/>
    <w:rsid w:val="006B135F"/>
    <w:rPr>
      <w:rFonts w:ascii="Calibri" w:eastAsia="SimSun" w:hAnsi="Calibri" w:cs="Arial"/>
      <w:b w:val="0"/>
      <w:bCs/>
      <w:color w:val="000000"/>
      <w:sz w:val="21"/>
      <w:szCs w:val="22"/>
      <w:shd w:val="clear" w:color="auto" w:fill="DAEEF3"/>
      <w:lang w:val="en-GB" w:eastAsia="fr-FR"/>
    </w:rPr>
  </w:style>
  <w:style w:type="character" w:customStyle="1" w:styleId="TablesourceChar">
    <w:name w:val="Table source Char"/>
    <w:link w:val="Tablesource"/>
    <w:rsid w:val="00FE1089"/>
    <w:rPr>
      <w:rFonts w:ascii="Calibri" w:hAnsi="Calibri" w:cs="Calibri"/>
      <w:bCs w:val="0"/>
      <w:i/>
      <w:iCs/>
      <w:sz w:val="19"/>
      <w:szCs w:val="18"/>
      <w:lang w:val="fr-FR" w:eastAsia="fr-FR"/>
    </w:rPr>
  </w:style>
  <w:style w:type="paragraph" w:customStyle="1" w:styleId="Normalaftertitle">
    <w:name w:val="Normal_after_title"/>
    <w:basedOn w:val="Normal"/>
    <w:next w:val="Normal"/>
    <w:rsid w:val="00C729F1"/>
    <w:pPr>
      <w:tabs>
        <w:tab w:val="left" w:pos="794"/>
        <w:tab w:val="left" w:pos="1191"/>
        <w:tab w:val="left" w:pos="1588"/>
        <w:tab w:val="left" w:pos="1985"/>
      </w:tabs>
      <w:overflowPunct w:val="0"/>
      <w:autoSpaceDE w:val="0"/>
      <w:autoSpaceDN w:val="0"/>
      <w:adjustRightInd w:val="0"/>
      <w:spacing w:before="360"/>
      <w:textAlignment w:val="baseline"/>
    </w:pPr>
    <w:rPr>
      <w:rFonts w:ascii="Times New Roman" w:eastAsia="Times New Roman" w:hAnsi="Times New Roman"/>
      <w:sz w:val="22"/>
      <w:szCs w:val="20"/>
      <w:lang w:val="en-GB" w:eastAsia="en-US"/>
    </w:rPr>
  </w:style>
  <w:style w:type="character" w:styleId="PageNumber">
    <w:name w:val="page number"/>
    <w:basedOn w:val="DefaultParagraphFont"/>
    <w:rsid w:val="00C729F1"/>
  </w:style>
  <w:style w:type="paragraph" w:customStyle="1" w:styleId="Annextitle">
    <w:name w:val="Annex_title"/>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160"/>
      <w:ind w:left="794"/>
      <w:jc w:val="left"/>
      <w:textAlignment w:val="baseline"/>
    </w:pPr>
    <w:rPr>
      <w:rFonts w:eastAsia="Times New Roman" w:cs="Times New Roman italic"/>
      <w:i/>
      <w:szCs w:val="20"/>
      <w:lang w:val="en-GB" w:eastAsia="en-US"/>
    </w:rPr>
  </w:style>
  <w:style w:type="paragraph" w:customStyle="1" w:styleId="Headingb0">
    <w:name w:val="Heading_b"/>
    <w:basedOn w:val="Normal"/>
    <w:next w:val="Normal"/>
    <w:uiPriority w:val="99"/>
    <w:rsid w:val="0024564C"/>
    <w:pPr>
      <w:keepNext/>
      <w:tabs>
        <w:tab w:val="left" w:pos="794"/>
        <w:tab w:val="left" w:pos="1191"/>
        <w:tab w:val="left" w:pos="1588"/>
        <w:tab w:val="left" w:pos="1985"/>
      </w:tabs>
      <w:overflowPunct w:val="0"/>
      <w:autoSpaceDE w:val="0"/>
      <w:autoSpaceDN w:val="0"/>
      <w:adjustRightInd w:val="0"/>
      <w:spacing w:before="160"/>
      <w:jc w:val="left"/>
      <w:textAlignment w:val="baseline"/>
    </w:pPr>
    <w:rPr>
      <w:rFonts w:eastAsia="Times New Roman" w:cs="Times New Roman Bold"/>
      <w:b/>
      <w:bCs/>
      <w:sz w:val="22"/>
      <w:szCs w:val="20"/>
      <w:lang w:val="en-GB" w:eastAsia="en-US"/>
    </w:rPr>
  </w:style>
  <w:style w:type="paragraph" w:customStyle="1" w:styleId="QuestionNo">
    <w:name w:val="Question_No"/>
    <w:basedOn w:val="Normal"/>
    <w:qFormat/>
    <w:rsid w:val="00821C93"/>
    <w:pPr>
      <w:jc w:val="right"/>
    </w:pPr>
    <w:rPr>
      <w:rFonts w:cs="Times New Roman Bold"/>
      <w:b/>
      <w:bCs/>
      <w:color w:val="005173"/>
      <w:sz w:val="52"/>
    </w:rPr>
  </w:style>
  <w:style w:type="paragraph" w:customStyle="1" w:styleId="QuestionTitle">
    <w:name w:val="Question Title"/>
    <w:basedOn w:val="Normal"/>
    <w:qFormat/>
    <w:rsid w:val="00821C93"/>
    <w:pPr>
      <w:spacing w:before="240"/>
      <w:jc w:val="right"/>
    </w:pPr>
    <w:rPr>
      <w:rFonts w:cs="Times New Roman Bold"/>
      <w:b/>
      <w:i/>
      <w:color w:val="005173"/>
      <w:sz w:val="48"/>
    </w:rPr>
  </w:style>
  <w:style w:type="paragraph" w:customStyle="1" w:styleId="CEOFooterContact2-3">
    <w:name w:val="CEO_FooterContact2-3"/>
    <w:basedOn w:val="Normal"/>
    <w:rsid w:val="00B620BF"/>
    <w:pPr>
      <w:spacing w:before="0" w:after="120"/>
      <w:ind w:left="3827" w:hanging="2268"/>
      <w:jc w:val="left"/>
    </w:pPr>
    <w:rPr>
      <w:rFonts w:ascii="Verdana" w:eastAsia="SimHei" w:hAnsi="Verdana" w:cs="Simplified Arabic"/>
      <w:bCs/>
      <w:sz w:val="16"/>
      <w:szCs w:val="16"/>
      <w:lang w:val="en-US" w:eastAsia="zh-CN"/>
    </w:rPr>
  </w:style>
  <w:style w:type="paragraph" w:customStyle="1" w:styleId="CEODocTitle2lines-Second">
    <w:name w:val="CEO_DocTitle2lines-Second"/>
    <w:basedOn w:val="CEODocTitle2lines-First"/>
    <w:uiPriority w:val="99"/>
    <w:rsid w:val="00B620BF"/>
    <w:pPr>
      <w:spacing w:before="0" w:after="480"/>
    </w:pPr>
  </w:style>
  <w:style w:type="paragraph" w:customStyle="1" w:styleId="CEODocTitle2lines-First">
    <w:name w:val="CEO_DocTitle2lines-First"/>
    <w:basedOn w:val="CEODocTitle-1line"/>
    <w:next w:val="Normal"/>
    <w:uiPriority w:val="99"/>
    <w:rsid w:val="00B620BF"/>
    <w:pPr>
      <w:spacing w:after="0"/>
    </w:pPr>
  </w:style>
  <w:style w:type="paragraph" w:customStyle="1" w:styleId="CEODocTitle-1line">
    <w:name w:val="CEO_DocTitle-1line"/>
    <w:basedOn w:val="Normal"/>
    <w:next w:val="Normal"/>
    <w:uiPriority w:val="99"/>
    <w:rsid w:val="00B620BF"/>
    <w:pPr>
      <w:spacing w:before="480" w:after="480"/>
      <w:jc w:val="center"/>
    </w:pPr>
    <w:rPr>
      <w:rFonts w:ascii="Verdana" w:eastAsia="SimHei" w:hAnsi="Verdana" w:cs="Simplified Arabic"/>
      <w:b/>
      <w:bCs/>
      <w:sz w:val="28"/>
      <w:szCs w:val="28"/>
      <w:lang w:val="en-US" w:eastAsia="en-US"/>
    </w:rPr>
  </w:style>
  <w:style w:type="paragraph" w:customStyle="1" w:styleId="CEOcontributionH1">
    <w:name w:val="CEO_contributionH1"/>
    <w:basedOn w:val="CEOcontribution-H123"/>
    <w:uiPriority w:val="99"/>
    <w:rsid w:val="00B620BF"/>
    <w:pPr>
      <w:keepNext/>
      <w:keepLines/>
      <w:numPr>
        <w:numId w:val="0"/>
      </w:numPr>
      <w:spacing w:before="480"/>
    </w:pPr>
  </w:style>
  <w:style w:type="paragraph" w:customStyle="1" w:styleId="CEOcontribution-H123">
    <w:name w:val="CEO_contribution-H123"/>
    <w:basedOn w:val="Normal"/>
    <w:uiPriority w:val="99"/>
    <w:rsid w:val="00B620BF"/>
    <w:pPr>
      <w:numPr>
        <w:numId w:val="9"/>
      </w:numPr>
      <w:tabs>
        <w:tab w:val="clear" w:pos="720"/>
        <w:tab w:val="num" w:pos="567"/>
      </w:tabs>
      <w:spacing w:after="120"/>
      <w:ind w:left="567" w:hanging="567"/>
      <w:jc w:val="left"/>
    </w:pPr>
    <w:rPr>
      <w:rFonts w:ascii="Verdana" w:eastAsia="SimHei" w:hAnsi="Verdana" w:cs="Simplified Arabic"/>
      <w:b/>
      <w:sz w:val="19"/>
      <w:szCs w:val="19"/>
      <w:lang w:val="en-GB" w:eastAsia="en-US"/>
    </w:rPr>
  </w:style>
  <w:style w:type="paragraph" w:customStyle="1" w:styleId="CEOFooterContact1">
    <w:name w:val="CEO_FooterContact1"/>
    <w:basedOn w:val="Normal"/>
    <w:next w:val="CEOFooterContact2-3"/>
    <w:rsid w:val="00B620BF"/>
    <w:pPr>
      <w:pBdr>
        <w:top w:val="single" w:sz="4" w:space="5" w:color="auto"/>
      </w:pBdr>
      <w:tabs>
        <w:tab w:val="left" w:pos="1560"/>
      </w:tabs>
      <w:spacing w:after="120"/>
      <w:ind w:left="3827" w:hanging="3827"/>
      <w:jc w:val="left"/>
    </w:pPr>
    <w:rPr>
      <w:rFonts w:ascii="Verdana" w:eastAsia="SimHei" w:hAnsi="Verdana" w:cs="Simplified Arabic"/>
      <w:bCs/>
      <w:sz w:val="16"/>
      <w:szCs w:val="16"/>
      <w:lang w:val="en-US" w:eastAsia="zh-CN"/>
    </w:rPr>
  </w:style>
  <w:style w:type="paragraph" w:customStyle="1" w:styleId="CEOForAction">
    <w:name w:val="CEO_ForAction"/>
    <w:basedOn w:val="Normal"/>
    <w:next w:val="CEOSourceTitle"/>
    <w:uiPriority w:val="99"/>
    <w:rsid w:val="00B620BF"/>
    <w:pPr>
      <w:spacing w:after="120"/>
      <w:ind w:left="743"/>
      <w:jc w:val="left"/>
    </w:pPr>
    <w:rPr>
      <w:rFonts w:ascii="Verdana" w:eastAsia="SimHei" w:hAnsi="Verdana" w:cs="Simplified Arabic"/>
      <w:b/>
      <w:iCs/>
      <w:sz w:val="19"/>
      <w:szCs w:val="28"/>
      <w:lang w:val="en-US" w:eastAsia="zh-CN"/>
    </w:rPr>
  </w:style>
  <w:style w:type="paragraph" w:customStyle="1" w:styleId="CEOSourceTitle">
    <w:name w:val="CEO_Source_Title"/>
    <w:basedOn w:val="Normal"/>
    <w:rsid w:val="00B620BF"/>
    <w:pPr>
      <w:spacing w:after="120"/>
      <w:jc w:val="left"/>
    </w:pPr>
    <w:rPr>
      <w:rFonts w:ascii="Verdana" w:eastAsia="SimHei" w:hAnsi="Verdana" w:cs="Simplified Arabic"/>
      <w:b/>
      <w:sz w:val="19"/>
      <w:szCs w:val="19"/>
      <w:lang w:val="en-GB" w:eastAsia="en-US"/>
    </w:rPr>
  </w:style>
  <w:style w:type="paragraph" w:customStyle="1" w:styleId="CEOParagraph11">
    <w:name w:val="CEO_Paragraph 1.1"/>
    <w:basedOn w:val="Heading2"/>
    <w:uiPriority w:val="99"/>
    <w:rsid w:val="00B620BF"/>
    <w:pPr>
      <w:keepNext w:val="0"/>
      <w:numPr>
        <w:ilvl w:val="1"/>
      </w:numPr>
      <w:tabs>
        <w:tab w:val="clear" w:pos="851"/>
        <w:tab w:val="num" w:pos="576"/>
      </w:tabs>
      <w:spacing w:before="120" w:after="120"/>
      <w:ind w:left="567" w:hanging="576"/>
      <w:jc w:val="left"/>
    </w:pPr>
    <w:rPr>
      <w:rFonts w:ascii="Verdana" w:eastAsia="SimHei" w:hAnsi="Verdana" w:cs="Simplified Arabic"/>
      <w:b w:val="0"/>
      <w:bCs w:val="0"/>
      <w:color w:val="auto"/>
      <w:sz w:val="18"/>
      <w:szCs w:val="28"/>
      <w:lang w:val="en-GB" w:eastAsia="zh-CN"/>
    </w:rPr>
  </w:style>
  <w:style w:type="paragraph" w:customStyle="1" w:styleId="CEOIndent1-123">
    <w:name w:val="CEO_Indent1-123"/>
    <w:basedOn w:val="Normal"/>
    <w:uiPriority w:val="99"/>
    <w:rsid w:val="00B620BF"/>
    <w:pPr>
      <w:numPr>
        <w:numId w:val="4"/>
      </w:numPr>
      <w:spacing w:before="60" w:after="60"/>
      <w:ind w:right="709"/>
      <w:jc w:val="left"/>
    </w:pPr>
    <w:rPr>
      <w:rFonts w:ascii="Verdana" w:eastAsia="SimHei" w:hAnsi="Verdana" w:cs="Simplified Arabic"/>
      <w:bCs/>
      <w:sz w:val="19"/>
      <w:szCs w:val="19"/>
      <w:lang w:val="en-US" w:eastAsia="en-US"/>
    </w:rPr>
  </w:style>
  <w:style w:type="paragraph" w:customStyle="1" w:styleId="CEOAgendaItemN">
    <w:name w:val="CEO_AgendaItemN°"/>
    <w:basedOn w:val="CEOIndent1-123"/>
    <w:uiPriority w:val="99"/>
    <w:rsid w:val="00B620BF"/>
    <w:pPr>
      <w:numPr>
        <w:numId w:val="0"/>
      </w:numPr>
      <w:ind w:right="12"/>
      <w:jc w:val="right"/>
    </w:pPr>
  </w:style>
  <w:style w:type="paragraph" w:customStyle="1" w:styleId="CEODocDates">
    <w:name w:val="CEO_DocDates"/>
    <w:basedOn w:val="Normal"/>
    <w:next w:val="Normal"/>
    <w:uiPriority w:val="99"/>
    <w:rsid w:val="00B620BF"/>
    <w:pPr>
      <w:spacing w:before="0"/>
      <w:jc w:val="left"/>
    </w:pPr>
    <w:rPr>
      <w:rFonts w:ascii="Verdana" w:eastAsia="SimHei" w:hAnsi="Verdana" w:cs="Simplified Arabic"/>
      <w:b/>
      <w:sz w:val="19"/>
      <w:szCs w:val="19"/>
      <w:lang w:val="en-GB" w:eastAsia="en-US"/>
    </w:rPr>
  </w:style>
  <w:style w:type="paragraph" w:customStyle="1" w:styleId="CEODocNo">
    <w:name w:val="CEO_DocNo"/>
    <w:basedOn w:val="Normal"/>
    <w:next w:val="Normal"/>
    <w:uiPriority w:val="99"/>
    <w:rsid w:val="00B620BF"/>
    <w:pPr>
      <w:spacing w:before="0"/>
      <w:jc w:val="left"/>
    </w:pPr>
    <w:rPr>
      <w:rFonts w:ascii="Verdana" w:eastAsia="SimHei" w:hAnsi="Verdana" w:cs="Simplified Arabic"/>
      <w:b/>
      <w:sz w:val="19"/>
      <w:szCs w:val="19"/>
      <w:lang w:val="en-GB" w:eastAsia="en-US"/>
    </w:rPr>
  </w:style>
  <w:style w:type="paragraph" w:customStyle="1" w:styleId="CEODocNoDetails">
    <w:name w:val="CEO_DocNoDetails"/>
    <w:basedOn w:val="Normal"/>
    <w:uiPriority w:val="99"/>
    <w:rsid w:val="00B620BF"/>
    <w:pPr>
      <w:spacing w:before="80" w:after="80"/>
      <w:jc w:val="center"/>
    </w:pPr>
    <w:rPr>
      <w:rFonts w:ascii="Verdana" w:eastAsia="SimHei" w:hAnsi="Verdana" w:cs="Simplified Arabic"/>
      <w:bCs/>
      <w:sz w:val="19"/>
      <w:szCs w:val="19"/>
      <w:lang w:val="en-GB" w:eastAsia="en-US"/>
    </w:rPr>
  </w:style>
  <w:style w:type="paragraph" w:customStyle="1" w:styleId="CEOFooter">
    <w:name w:val="CEO_Footer"/>
    <w:basedOn w:val="Normal"/>
    <w:uiPriority w:val="99"/>
    <w:rsid w:val="00B620BF"/>
    <w:pPr>
      <w:tabs>
        <w:tab w:val="right" w:pos="9072"/>
      </w:tabs>
      <w:spacing w:before="0"/>
      <w:jc w:val="left"/>
    </w:pPr>
    <w:rPr>
      <w:rFonts w:ascii="Verdana" w:eastAsia="SimHei" w:hAnsi="Verdana" w:cs="Simplified Arabic"/>
      <w:bCs/>
      <w:sz w:val="16"/>
      <w:szCs w:val="19"/>
      <w:lang w:val="en-GB" w:eastAsia="en-US"/>
    </w:rPr>
  </w:style>
  <w:style w:type="paragraph" w:customStyle="1" w:styleId="CEOHeader1">
    <w:name w:val="CEO_Header1"/>
    <w:basedOn w:val="Normal"/>
    <w:rsid w:val="00B620BF"/>
    <w:pPr>
      <w:tabs>
        <w:tab w:val="num" w:pos="432"/>
      </w:tabs>
      <w:spacing w:before="0"/>
      <w:ind w:left="432" w:hanging="432"/>
      <w:jc w:val="left"/>
    </w:pPr>
    <w:rPr>
      <w:rFonts w:ascii="Verdana" w:eastAsia="SimHei" w:hAnsi="Verdana" w:cs="Simplified Arabic"/>
      <w:bCs/>
      <w:sz w:val="19"/>
      <w:szCs w:val="19"/>
      <w:lang w:val="en-US" w:eastAsia="en-US"/>
    </w:rPr>
  </w:style>
  <w:style w:type="paragraph" w:customStyle="1" w:styleId="CEOHeader2">
    <w:name w:val="CEO_Header2"/>
    <w:basedOn w:val="Normal"/>
    <w:uiPriority w:val="99"/>
    <w:rsid w:val="00B620BF"/>
    <w:pPr>
      <w:spacing w:before="720"/>
      <w:jc w:val="left"/>
    </w:pPr>
    <w:rPr>
      <w:rFonts w:ascii="Verdana" w:eastAsia="SimHei" w:hAnsi="Verdana" w:cs="Simplified Arabic"/>
      <w:bCs/>
      <w:sz w:val="19"/>
      <w:szCs w:val="19"/>
      <w:lang w:val="en-US" w:eastAsia="en-US"/>
    </w:rPr>
  </w:style>
  <w:style w:type="paragraph" w:customStyle="1" w:styleId="CEOHeaderPageNumber">
    <w:name w:val="CEO_HeaderPageNumber"/>
    <w:basedOn w:val="Normal"/>
    <w:uiPriority w:val="99"/>
    <w:rsid w:val="00B620BF"/>
    <w:pPr>
      <w:tabs>
        <w:tab w:val="center" w:pos="4536"/>
        <w:tab w:val="right" w:pos="9072"/>
      </w:tabs>
      <w:spacing w:before="0"/>
      <w:jc w:val="right"/>
    </w:pPr>
    <w:rPr>
      <w:rFonts w:ascii="Verdana" w:eastAsia="SimHei" w:hAnsi="Verdana" w:cs="Simplified Arabic"/>
      <w:bCs/>
      <w:smallCaps/>
      <w:sz w:val="19"/>
      <w:szCs w:val="19"/>
      <w:lang w:val="en-US" w:eastAsia="en-US"/>
    </w:rPr>
  </w:style>
  <w:style w:type="paragraph" w:customStyle="1" w:styleId="CEOcontributionStart">
    <w:name w:val="CEO_contributionStart"/>
    <w:basedOn w:val="CEOcontribution-H123"/>
    <w:uiPriority w:val="99"/>
    <w:rsid w:val="00B620BF"/>
    <w:pPr>
      <w:numPr>
        <w:numId w:val="0"/>
      </w:numPr>
      <w:spacing w:before="360"/>
    </w:pPr>
    <w:rPr>
      <w:b w:val="0"/>
    </w:rPr>
  </w:style>
  <w:style w:type="paragraph" w:customStyle="1" w:styleId="CEOParagraph111">
    <w:name w:val="CEO_Paragraph1.1.1"/>
    <w:basedOn w:val="Heading3"/>
    <w:uiPriority w:val="99"/>
    <w:rsid w:val="00B620BF"/>
    <w:pPr>
      <w:keepNext w:val="0"/>
      <w:numPr>
        <w:ilvl w:val="2"/>
      </w:numPr>
      <w:tabs>
        <w:tab w:val="clear" w:pos="851"/>
        <w:tab w:val="num" w:pos="1418"/>
      </w:tabs>
      <w:spacing w:before="0"/>
      <w:ind w:left="1418" w:hanging="851"/>
      <w:jc w:val="left"/>
    </w:pPr>
    <w:rPr>
      <w:rFonts w:ascii="Verdana" w:eastAsia="SimHei" w:hAnsi="Verdana" w:cs="Simplified Arabic"/>
      <w:b w:val="0"/>
      <w:bCs w:val="0"/>
      <w:i w:val="0"/>
      <w:iCs w:val="0"/>
      <w:color w:val="auto"/>
      <w:sz w:val="19"/>
      <w:szCs w:val="28"/>
      <w:lang w:val="en-GB" w:eastAsia="zh-CN"/>
    </w:rPr>
  </w:style>
  <w:style w:type="paragraph" w:customStyle="1" w:styleId="CEOindent-abc">
    <w:name w:val="CEO_indent-abc"/>
    <w:basedOn w:val="Normal"/>
    <w:uiPriority w:val="99"/>
    <w:rsid w:val="00B620BF"/>
    <w:pPr>
      <w:numPr>
        <w:ilvl w:val="1"/>
        <w:numId w:val="5"/>
      </w:numPr>
      <w:spacing w:before="0"/>
      <w:jc w:val="left"/>
    </w:pPr>
    <w:rPr>
      <w:rFonts w:ascii="Verdana" w:eastAsia="SimHei" w:hAnsi="Verdana" w:cs="Traditional Arabic"/>
      <w:bCs/>
      <w:sz w:val="18"/>
      <w:szCs w:val="28"/>
      <w:lang w:val="en-GB" w:eastAsia="en-US"/>
    </w:rPr>
  </w:style>
  <w:style w:type="paragraph" w:customStyle="1" w:styleId="CEOIndent-bulletsblackdot">
    <w:name w:val="CEO_Indent-bulletsblackdot"/>
    <w:basedOn w:val="Normal"/>
    <w:rsid w:val="00B620BF"/>
    <w:pPr>
      <w:numPr>
        <w:numId w:val="6"/>
      </w:numPr>
      <w:spacing w:before="60" w:after="60"/>
      <w:jc w:val="left"/>
    </w:pPr>
    <w:rPr>
      <w:rFonts w:ascii="Verdana" w:eastAsia="SimHei" w:hAnsi="Verdana" w:cs="Simplified Arabic"/>
      <w:bCs/>
      <w:sz w:val="19"/>
      <w:szCs w:val="19"/>
      <w:lang w:val="en-GB" w:eastAsia="en-US"/>
    </w:rPr>
  </w:style>
  <w:style w:type="paragraph" w:customStyle="1" w:styleId="CEOIndent-bulletsBlueSquare">
    <w:name w:val="CEO_Indent-bulletsBlueSquare"/>
    <w:basedOn w:val="CEOIndent-bulletsblackdot"/>
    <w:uiPriority w:val="99"/>
    <w:rsid w:val="00B620BF"/>
    <w:pPr>
      <w:numPr>
        <w:numId w:val="7"/>
      </w:numPr>
    </w:pPr>
  </w:style>
  <w:style w:type="paragraph" w:customStyle="1" w:styleId="CEOMeetingDates">
    <w:name w:val="CEO_MeetingDates"/>
    <w:basedOn w:val="Normal"/>
    <w:uiPriority w:val="99"/>
    <w:rsid w:val="00B620BF"/>
    <w:pPr>
      <w:spacing w:before="0" w:after="40"/>
      <w:jc w:val="left"/>
    </w:pPr>
    <w:rPr>
      <w:rFonts w:ascii="Verdana" w:eastAsia="SimHei" w:hAnsi="Verdana" w:cs="Simplified Arabic"/>
      <w:b/>
      <w:sz w:val="19"/>
      <w:szCs w:val="19"/>
      <w:lang w:val="en-GB" w:eastAsia="en-US"/>
    </w:rPr>
  </w:style>
  <w:style w:type="paragraph" w:customStyle="1" w:styleId="CEOMeetingName">
    <w:name w:val="CEO_MeetingName"/>
    <w:basedOn w:val="Normal"/>
    <w:uiPriority w:val="99"/>
    <w:rsid w:val="00B620BF"/>
    <w:pPr>
      <w:spacing w:before="0"/>
      <w:jc w:val="left"/>
    </w:pPr>
    <w:rPr>
      <w:rFonts w:ascii="Verdana" w:eastAsia="SimHei" w:hAnsi="Verdana" w:cs="Simplified Arabic"/>
      <w:b/>
      <w:sz w:val="19"/>
      <w:szCs w:val="19"/>
      <w:lang w:val="en-GB" w:eastAsia="en-US"/>
    </w:rPr>
  </w:style>
  <w:style w:type="paragraph" w:customStyle="1" w:styleId="CEOOriginalLanguage">
    <w:name w:val="CEO_OriginalLanguage"/>
    <w:basedOn w:val="Normal"/>
    <w:next w:val="Normal"/>
    <w:uiPriority w:val="99"/>
    <w:rsid w:val="00B620BF"/>
    <w:pPr>
      <w:spacing w:before="240" w:after="120"/>
      <w:jc w:val="left"/>
    </w:pPr>
    <w:rPr>
      <w:rFonts w:ascii="Verdana" w:eastAsia="SimHei" w:hAnsi="Verdana" w:cs="Simplified Arabic"/>
      <w:b/>
      <w:sz w:val="19"/>
      <w:szCs w:val="19"/>
      <w:lang w:val="en-GB" w:eastAsia="en-US"/>
    </w:rPr>
  </w:style>
  <w:style w:type="paragraph" w:customStyle="1" w:styleId="CEOQuestion">
    <w:name w:val="CEO_Question"/>
    <w:basedOn w:val="CEOOriginalLanguage"/>
    <w:uiPriority w:val="99"/>
    <w:rsid w:val="00B620BF"/>
    <w:pPr>
      <w:tabs>
        <w:tab w:val="left" w:pos="2098"/>
      </w:tabs>
      <w:ind w:left="2098" w:hanging="2098"/>
    </w:pPr>
    <w:rPr>
      <w:lang w:val="fr-CH"/>
    </w:rPr>
  </w:style>
  <w:style w:type="paragraph" w:customStyle="1" w:styleId="CEOQuestionDetails">
    <w:name w:val="CEO_QuestionDetails"/>
    <w:basedOn w:val="CEOOriginalLanguage"/>
    <w:uiPriority w:val="99"/>
    <w:rsid w:val="00B620BF"/>
    <w:rPr>
      <w:b w:val="0"/>
      <w:bCs/>
    </w:rPr>
  </w:style>
  <w:style w:type="paragraph" w:customStyle="1" w:styleId="CEOSectorName">
    <w:name w:val="CEO_SectorName"/>
    <w:basedOn w:val="Normal"/>
    <w:uiPriority w:val="99"/>
    <w:rsid w:val="00B620BF"/>
    <w:pPr>
      <w:spacing w:after="120"/>
      <w:jc w:val="left"/>
    </w:pPr>
    <w:rPr>
      <w:rFonts w:ascii="Verdana" w:eastAsia="SimHei" w:hAnsi="Verdana" w:cs="Simplified Arabic"/>
      <w:b/>
      <w:sz w:val="26"/>
      <w:szCs w:val="28"/>
      <w:lang w:val="en-GB" w:eastAsia="en-US"/>
    </w:rPr>
  </w:style>
  <w:style w:type="paragraph" w:customStyle="1" w:styleId="CEOSignatureName">
    <w:name w:val="CEO_SignatureName"/>
    <w:basedOn w:val="Normal"/>
    <w:uiPriority w:val="99"/>
    <w:rsid w:val="00B620BF"/>
    <w:pPr>
      <w:spacing w:before="720"/>
      <w:jc w:val="left"/>
    </w:pPr>
    <w:rPr>
      <w:rFonts w:ascii="Verdana" w:eastAsia="SimHei" w:hAnsi="Verdana" w:cs="Simplified Arabic"/>
      <w:bCs/>
      <w:sz w:val="19"/>
      <w:szCs w:val="19"/>
      <w:lang w:val="en-GB" w:eastAsia="en-US"/>
    </w:rPr>
  </w:style>
  <w:style w:type="paragraph" w:customStyle="1" w:styleId="CEOSignatureTitle">
    <w:name w:val="CEO_SignatureTitle"/>
    <w:basedOn w:val="CEOSignatureName"/>
    <w:uiPriority w:val="99"/>
    <w:rsid w:val="00B620BF"/>
    <w:pPr>
      <w:spacing w:before="0"/>
    </w:pPr>
  </w:style>
  <w:style w:type="paragraph" w:customStyle="1" w:styleId="CEOSourceTitleDetails">
    <w:name w:val="CEO_SourceTitleDetails"/>
    <w:basedOn w:val="Normal"/>
    <w:rsid w:val="00B620BF"/>
    <w:pPr>
      <w:spacing w:after="120"/>
      <w:jc w:val="left"/>
    </w:pPr>
    <w:rPr>
      <w:rFonts w:ascii="Verdana" w:eastAsia="SimHei" w:hAnsi="Verdana" w:cs="Simplified Arabic"/>
      <w:bCs/>
      <w:sz w:val="19"/>
      <w:szCs w:val="19"/>
      <w:lang w:val="en-GB" w:eastAsia="en-US"/>
    </w:rPr>
  </w:style>
  <w:style w:type="paragraph" w:customStyle="1" w:styleId="CEOSTG">
    <w:name w:val="CEO_STG"/>
    <w:basedOn w:val="CEOOriginalLanguage"/>
    <w:uiPriority w:val="99"/>
    <w:rsid w:val="00B620BF"/>
    <w:pPr>
      <w:spacing w:before="120"/>
      <w:jc w:val="center"/>
    </w:pPr>
  </w:style>
  <w:style w:type="paragraph" w:customStyle="1" w:styleId="CEOindent-endash">
    <w:name w:val="CEO_indent-endash"/>
    <w:basedOn w:val="CEOEmdashList"/>
    <w:uiPriority w:val="99"/>
    <w:rsid w:val="00B620BF"/>
    <w:pPr>
      <w:numPr>
        <w:numId w:val="8"/>
      </w:numPr>
    </w:pPr>
  </w:style>
  <w:style w:type="paragraph" w:customStyle="1" w:styleId="CEOEmdashList">
    <w:name w:val="CEO_EmdashList"/>
    <w:basedOn w:val="Normal"/>
    <w:uiPriority w:val="99"/>
    <w:rsid w:val="00B620BF"/>
    <w:pPr>
      <w:spacing w:after="120"/>
      <w:jc w:val="left"/>
    </w:pPr>
    <w:rPr>
      <w:rFonts w:ascii="Verdana" w:eastAsia="SimHei" w:hAnsi="Verdana" w:cs="Simplified Arabic"/>
      <w:bCs/>
      <w:sz w:val="19"/>
      <w:szCs w:val="28"/>
      <w:lang w:val="en-US" w:eastAsia="zh-CN"/>
    </w:rPr>
  </w:style>
  <w:style w:type="paragraph" w:customStyle="1" w:styleId="CEOConsidering">
    <w:name w:val="CEO_Considering"/>
    <w:basedOn w:val="Normal"/>
    <w:uiPriority w:val="99"/>
    <w:rsid w:val="00B620BF"/>
    <w:pPr>
      <w:keepNext/>
      <w:keepLines/>
      <w:spacing w:after="120"/>
      <w:ind w:left="851"/>
      <w:jc w:val="left"/>
    </w:pPr>
    <w:rPr>
      <w:rFonts w:ascii="Verdana" w:eastAsia="SimHei" w:hAnsi="Verdana" w:cs="Simplified Arabic"/>
      <w:bCs/>
      <w:i/>
      <w:iCs/>
      <w:sz w:val="19"/>
      <w:szCs w:val="28"/>
      <w:lang w:val="en-US" w:eastAsia="zh-CN"/>
    </w:rPr>
  </w:style>
  <w:style w:type="paragraph" w:customStyle="1" w:styleId="CEOEndBar">
    <w:name w:val="CEO_EndBar"/>
    <w:basedOn w:val="Normal"/>
    <w:uiPriority w:val="99"/>
    <w:rsid w:val="00B620BF"/>
    <w:pPr>
      <w:spacing w:after="120"/>
      <w:jc w:val="center"/>
    </w:pPr>
    <w:rPr>
      <w:rFonts w:ascii="Verdana" w:eastAsia="SimHei" w:hAnsi="Verdana" w:cs="Simplified Arabic"/>
      <w:bCs/>
      <w:sz w:val="19"/>
      <w:szCs w:val="28"/>
      <w:lang w:val="en-US" w:eastAsia="zh-CN"/>
    </w:rPr>
  </w:style>
  <w:style w:type="paragraph" w:customStyle="1" w:styleId="CEOExtract">
    <w:name w:val="CEO_Extract"/>
    <w:basedOn w:val="Normal"/>
    <w:uiPriority w:val="99"/>
    <w:rsid w:val="00B620BF"/>
    <w:pPr>
      <w:keepNext/>
      <w:keepLines/>
      <w:spacing w:after="120"/>
      <w:jc w:val="left"/>
    </w:pPr>
    <w:rPr>
      <w:rFonts w:ascii="Verdana" w:eastAsia="SimHei" w:hAnsi="Verdana" w:cs="Simplified Arabic"/>
      <w:bCs/>
      <w:sz w:val="19"/>
      <w:szCs w:val="28"/>
      <w:lang w:val="en-US" w:eastAsia="zh-CN"/>
    </w:rPr>
  </w:style>
  <w:style w:type="paragraph" w:customStyle="1" w:styleId="CEOHeader">
    <w:name w:val="CEO_Header"/>
    <w:basedOn w:val="Normal"/>
    <w:uiPriority w:val="99"/>
    <w:rsid w:val="00B620BF"/>
    <w:pPr>
      <w:tabs>
        <w:tab w:val="center" w:pos="5103"/>
        <w:tab w:val="right" w:pos="10206"/>
      </w:tabs>
      <w:spacing w:after="480"/>
      <w:ind w:right="357"/>
      <w:jc w:val="left"/>
    </w:pPr>
    <w:rPr>
      <w:rFonts w:ascii="Verdana" w:eastAsia="SimHei" w:hAnsi="Verdana" w:cs="Simplified Arabic"/>
      <w:bCs/>
      <w:smallCaps/>
      <w:spacing w:val="24"/>
      <w:sz w:val="18"/>
      <w:szCs w:val="18"/>
      <w:lang w:val="en-US" w:eastAsia="zh-CN"/>
    </w:rPr>
  </w:style>
  <w:style w:type="paragraph" w:customStyle="1" w:styleId="CEOResText">
    <w:name w:val="CEO_ResText"/>
    <w:basedOn w:val="Normal"/>
    <w:uiPriority w:val="99"/>
    <w:rsid w:val="00B620BF"/>
    <w:pPr>
      <w:spacing w:after="120"/>
      <w:ind w:left="426"/>
      <w:jc w:val="left"/>
    </w:pPr>
    <w:rPr>
      <w:rFonts w:ascii="Verdana" w:eastAsia="SimHei" w:hAnsi="Verdana" w:cs="Simplified Arabic"/>
      <w:bCs/>
      <w:sz w:val="19"/>
      <w:szCs w:val="28"/>
      <w:lang w:val="en-US" w:eastAsia="zh-CN"/>
    </w:rPr>
  </w:style>
  <w:style w:type="paragraph" w:customStyle="1" w:styleId="CEOLogo">
    <w:name w:val="CEO_Logo"/>
    <w:basedOn w:val="Normal"/>
    <w:uiPriority w:val="99"/>
    <w:rsid w:val="00B620BF"/>
    <w:pPr>
      <w:spacing w:before="0" w:after="120"/>
      <w:jc w:val="right"/>
    </w:pPr>
    <w:rPr>
      <w:rFonts w:ascii="Verdana" w:eastAsia="SimHei" w:hAnsi="Verdana" w:cs="Simplified Arabic"/>
      <w:bCs/>
      <w:sz w:val="19"/>
      <w:szCs w:val="28"/>
      <w:lang w:val="en-US" w:eastAsia="zh-CN"/>
    </w:rPr>
  </w:style>
  <w:style w:type="paragraph" w:customStyle="1" w:styleId="CEOMeetingSTG">
    <w:name w:val="CEO_MeetingSTG"/>
    <w:basedOn w:val="CEOMeetingName"/>
    <w:uiPriority w:val="99"/>
    <w:rsid w:val="00B620BF"/>
    <w:pPr>
      <w:spacing w:before="120" w:after="120"/>
    </w:pPr>
  </w:style>
  <w:style w:type="paragraph" w:customStyle="1" w:styleId="CEORevision">
    <w:name w:val="CEO_Revision"/>
    <w:basedOn w:val="Normal"/>
    <w:autoRedefine/>
    <w:uiPriority w:val="99"/>
    <w:rsid w:val="00B620BF"/>
    <w:pPr>
      <w:tabs>
        <w:tab w:val="left" w:pos="1928"/>
      </w:tabs>
      <w:spacing w:after="120"/>
      <w:jc w:val="left"/>
    </w:pPr>
    <w:rPr>
      <w:rFonts w:ascii="Verdana" w:eastAsia="SimHei" w:hAnsi="Verdana" w:cs="Simplified Arabic"/>
      <w:b/>
      <w:bCs/>
      <w:sz w:val="18"/>
      <w:szCs w:val="18"/>
      <w:lang w:val="en-US" w:eastAsia="zh-CN"/>
    </w:rPr>
  </w:style>
  <w:style w:type="paragraph" w:customStyle="1" w:styleId="CEORevisionNote">
    <w:name w:val="CEO_RevisionNote"/>
    <w:basedOn w:val="CEORevision"/>
    <w:autoRedefine/>
    <w:uiPriority w:val="99"/>
    <w:rsid w:val="00B620BF"/>
    <w:rPr>
      <w:b w:val="0"/>
      <w:i/>
      <w:iCs/>
    </w:rPr>
  </w:style>
  <w:style w:type="paragraph" w:customStyle="1" w:styleId="CEOActionRequired">
    <w:name w:val="CEO_ActionRequired"/>
    <w:basedOn w:val="Normal"/>
    <w:uiPriority w:val="99"/>
    <w:rsid w:val="00B620BF"/>
    <w:pPr>
      <w:tabs>
        <w:tab w:val="left" w:pos="1928"/>
      </w:tabs>
      <w:spacing w:after="120"/>
      <w:jc w:val="left"/>
    </w:pPr>
    <w:rPr>
      <w:rFonts w:ascii="Verdana" w:eastAsia="SimHei" w:hAnsi="Verdana" w:cs="Simplified Arabic"/>
      <w:b/>
      <w:bCs/>
      <w:sz w:val="19"/>
      <w:szCs w:val="28"/>
      <w:lang w:val="en-US" w:eastAsia="zh-CN"/>
    </w:rPr>
  </w:style>
  <w:style w:type="paragraph" w:customStyle="1" w:styleId="CEOSummaryStartHere">
    <w:name w:val="CEO_Summary_StartHere"/>
    <w:uiPriority w:val="99"/>
    <w:rsid w:val="00B620BF"/>
    <w:pPr>
      <w:spacing w:before="120" w:after="120"/>
      <w:jc w:val="center"/>
    </w:pPr>
    <w:rPr>
      <w:rFonts w:ascii="Verdana" w:eastAsia="SimHei" w:hAnsi="Verdana" w:cs="Simplified Arabic"/>
      <w:bCs/>
      <w:sz w:val="16"/>
      <w:szCs w:val="16"/>
      <w:lang w:val="fr-FR"/>
    </w:rPr>
  </w:style>
  <w:style w:type="paragraph" w:customStyle="1" w:styleId="CEOAbstract">
    <w:name w:val="CEO_Abstract"/>
    <w:uiPriority w:val="99"/>
    <w:rsid w:val="00B620BF"/>
    <w:pPr>
      <w:tabs>
        <w:tab w:val="left" w:pos="2127"/>
      </w:tabs>
      <w:spacing w:before="360" w:after="120"/>
    </w:pPr>
    <w:rPr>
      <w:rFonts w:ascii="Verdana" w:eastAsia="SimHei" w:hAnsi="Verdana" w:cs="Simplified Arabic"/>
      <w:b/>
      <w:sz w:val="19"/>
      <w:szCs w:val="22"/>
      <w:lang w:val="fr-CA"/>
    </w:rPr>
  </w:style>
  <w:style w:type="paragraph" w:customStyle="1" w:styleId="CEOActionRequiredDetails">
    <w:name w:val="CEO_ActionRequiredDetails"/>
    <w:uiPriority w:val="99"/>
    <w:rsid w:val="00B620BF"/>
    <w:pPr>
      <w:spacing w:before="120"/>
    </w:pPr>
    <w:rPr>
      <w:rFonts w:ascii="Verdana" w:hAnsi="Verdana"/>
      <w:bCs/>
      <w:sz w:val="19"/>
      <w:szCs w:val="19"/>
      <w:lang w:val="en-GB" w:eastAsia="en-US"/>
    </w:rPr>
  </w:style>
  <w:style w:type="character" w:customStyle="1" w:styleId="hps">
    <w:name w:val="hps"/>
    <w:basedOn w:val="DefaultParagraphFont"/>
    <w:rsid w:val="00B620BF"/>
    <w:rPr>
      <w:rFonts w:ascii="Trebuchet MS" w:hAnsi="Trebuchet MS" w:cs="Times New Roman"/>
      <w:noProof w:val="0"/>
      <w:lang w:val="en-GB"/>
    </w:rPr>
  </w:style>
  <w:style w:type="character" w:styleId="Strong">
    <w:name w:val="Strong"/>
    <w:basedOn w:val="DefaultParagraphFont"/>
    <w:uiPriority w:val="22"/>
    <w:qFormat/>
    <w:rsid w:val="00B620BF"/>
    <w:rPr>
      <w:rFonts w:ascii="Trebuchet MS" w:hAnsi="Trebuchet MS" w:cs="Times New Roman"/>
      <w:b/>
      <w:bCs/>
      <w:noProof w:val="0"/>
      <w:lang w:val="en-GB"/>
    </w:rPr>
  </w:style>
  <w:style w:type="paragraph" w:customStyle="1" w:styleId="Heading1CenteredCustomColorRGB0">
    <w:name w:val="Heading 1 + Centered Custom Color(RGB(0"/>
    <w:aliases w:val="51,154))"/>
    <w:basedOn w:val="Default"/>
    <w:next w:val="Default"/>
    <w:uiPriority w:val="99"/>
    <w:rsid w:val="00B620BF"/>
    <w:rPr>
      <w:rFonts w:ascii="Arial" w:hAnsi="Arial"/>
      <w:color w:val="auto"/>
      <w:lang w:val="fr-FR" w:eastAsia="fr-FR"/>
    </w:rPr>
  </w:style>
  <w:style w:type="paragraph" w:styleId="NormalWeb">
    <w:name w:val="Normal (Web)"/>
    <w:basedOn w:val="Normal"/>
    <w:uiPriority w:val="99"/>
    <w:rsid w:val="00B620BF"/>
    <w:pPr>
      <w:spacing w:before="100" w:beforeAutospacing="1" w:after="100" w:afterAutospacing="1"/>
      <w:jc w:val="left"/>
    </w:pPr>
    <w:rPr>
      <w:rFonts w:ascii="Times New Roman" w:hAnsi="Times New Roman"/>
      <w:sz w:val="24"/>
      <w:szCs w:val="24"/>
    </w:rPr>
  </w:style>
  <w:style w:type="character" w:customStyle="1" w:styleId="i">
    <w:name w:val="i"/>
    <w:basedOn w:val="DefaultParagraphFont"/>
    <w:uiPriority w:val="99"/>
    <w:rsid w:val="00B620BF"/>
    <w:rPr>
      <w:rFonts w:ascii="Trebuchet MS" w:hAnsi="Trebuchet MS" w:cs="Times New Roman"/>
      <w:noProof w:val="0"/>
      <w:lang w:val="en-GB"/>
    </w:rPr>
  </w:style>
  <w:style w:type="paragraph" w:styleId="ListParagraph">
    <w:name w:val="List Paragraph"/>
    <w:basedOn w:val="Normal"/>
    <w:uiPriority w:val="34"/>
    <w:qFormat/>
    <w:rsid w:val="00B620BF"/>
    <w:pPr>
      <w:spacing w:after="120"/>
      <w:ind w:left="720"/>
      <w:contextualSpacing/>
      <w:jc w:val="left"/>
    </w:pPr>
    <w:rPr>
      <w:rFonts w:ascii="Verdana" w:eastAsia="SimHei" w:hAnsi="Verdana" w:cs="Simplified Arabic"/>
      <w:bCs/>
      <w:sz w:val="19"/>
      <w:szCs w:val="28"/>
      <w:lang w:val="en-US" w:eastAsia="zh-CN"/>
    </w:rPr>
  </w:style>
  <w:style w:type="paragraph" w:customStyle="1" w:styleId="avisoheader">
    <w:name w:val="avisoheader"/>
    <w:basedOn w:val="Normal"/>
    <w:uiPriority w:val="99"/>
    <w:rsid w:val="00B620BF"/>
    <w:pPr>
      <w:spacing w:before="100" w:beforeAutospacing="1" w:after="100" w:afterAutospacing="1"/>
      <w:jc w:val="left"/>
    </w:pPr>
    <w:rPr>
      <w:rFonts w:ascii="Times New Roman" w:hAnsi="Times New Roman"/>
      <w:sz w:val="24"/>
      <w:szCs w:val="24"/>
    </w:rPr>
  </w:style>
  <w:style w:type="paragraph" w:customStyle="1" w:styleId="bodytext">
    <w:name w:val="bodytext"/>
    <w:basedOn w:val="Normal"/>
    <w:uiPriority w:val="99"/>
    <w:rsid w:val="00B620BF"/>
    <w:pPr>
      <w:spacing w:before="100" w:beforeAutospacing="1" w:after="100" w:afterAutospacing="1"/>
      <w:jc w:val="left"/>
    </w:pPr>
    <w:rPr>
      <w:rFonts w:ascii="Times New Roman" w:hAnsi="Times New Roman"/>
      <w:sz w:val="24"/>
      <w:szCs w:val="24"/>
    </w:rPr>
  </w:style>
  <w:style w:type="character" w:styleId="HTMLDefinition">
    <w:name w:val="HTML Definition"/>
    <w:basedOn w:val="DefaultParagraphFont"/>
    <w:uiPriority w:val="99"/>
    <w:rsid w:val="00B620BF"/>
    <w:rPr>
      <w:rFonts w:ascii="Trebuchet MS" w:hAnsi="Trebuchet MS" w:cs="Times New Roman"/>
      <w:i/>
      <w:iCs/>
      <w:noProof w:val="0"/>
      <w:lang w:val="en-GB"/>
    </w:rPr>
  </w:style>
  <w:style w:type="character" w:customStyle="1" w:styleId="longtext">
    <w:name w:val="long_text"/>
    <w:basedOn w:val="DefaultParagraphFont"/>
    <w:uiPriority w:val="99"/>
    <w:rsid w:val="00B620BF"/>
    <w:rPr>
      <w:rFonts w:ascii="Trebuchet MS" w:hAnsi="Trebuchet MS" w:cs="Times New Roman"/>
      <w:noProof w:val="0"/>
      <w:lang w:val="en-GB"/>
    </w:rPr>
  </w:style>
  <w:style w:type="character" w:styleId="CommentReference">
    <w:name w:val="annotation reference"/>
    <w:basedOn w:val="DefaultParagraphFont"/>
    <w:rsid w:val="00B620BF"/>
    <w:rPr>
      <w:sz w:val="18"/>
      <w:szCs w:val="18"/>
    </w:rPr>
  </w:style>
  <w:style w:type="paragraph" w:styleId="CommentText">
    <w:name w:val="annotation text"/>
    <w:basedOn w:val="Normal"/>
    <w:link w:val="CommentTextChar"/>
    <w:rsid w:val="00B620BF"/>
    <w:pPr>
      <w:spacing w:after="120"/>
      <w:jc w:val="left"/>
    </w:pPr>
    <w:rPr>
      <w:rFonts w:ascii="Verdana" w:eastAsia="SimHei" w:hAnsi="Verdana" w:cs="Simplified Arabic"/>
      <w:bCs/>
      <w:sz w:val="24"/>
      <w:szCs w:val="24"/>
      <w:lang w:val="en-US" w:eastAsia="zh-CN"/>
    </w:rPr>
  </w:style>
  <w:style w:type="character" w:customStyle="1" w:styleId="CommentTextChar">
    <w:name w:val="Comment Text Char"/>
    <w:basedOn w:val="DefaultParagraphFont"/>
    <w:link w:val="CommentText"/>
    <w:rsid w:val="00B620BF"/>
    <w:rPr>
      <w:rFonts w:ascii="Verdana" w:eastAsia="SimHei" w:hAnsi="Verdana" w:cs="Simplified Arabic"/>
      <w:bCs/>
      <w:sz w:val="24"/>
      <w:szCs w:val="24"/>
    </w:rPr>
  </w:style>
  <w:style w:type="paragraph" w:styleId="CommentSubject">
    <w:name w:val="annotation subject"/>
    <w:basedOn w:val="CommentText"/>
    <w:next w:val="CommentText"/>
    <w:link w:val="CommentSubjectChar"/>
    <w:rsid w:val="00B620BF"/>
    <w:rPr>
      <w:b/>
      <w:sz w:val="20"/>
      <w:szCs w:val="20"/>
    </w:rPr>
  </w:style>
  <w:style w:type="character" w:customStyle="1" w:styleId="CommentSubjectChar">
    <w:name w:val="Comment Subject Char"/>
    <w:basedOn w:val="CommentTextChar"/>
    <w:link w:val="CommentSubject"/>
    <w:rsid w:val="00B620BF"/>
    <w:rPr>
      <w:rFonts w:ascii="Verdana" w:eastAsia="SimHei" w:hAnsi="Verdana" w:cs="Simplified Arabic"/>
      <w:b/>
      <w:bCs/>
      <w:sz w:val="24"/>
      <w:szCs w:val="24"/>
    </w:rPr>
  </w:style>
  <w:style w:type="paragraph" w:styleId="EndnoteText">
    <w:name w:val="endnote text"/>
    <w:basedOn w:val="Normal"/>
    <w:link w:val="EndnoteTextChar"/>
    <w:rsid w:val="00B620BF"/>
    <w:pPr>
      <w:spacing w:before="0"/>
      <w:jc w:val="left"/>
    </w:pPr>
    <w:rPr>
      <w:rFonts w:ascii="Verdana" w:eastAsia="SimHei" w:hAnsi="Verdana" w:cs="Simplified Arabic"/>
      <w:bCs/>
      <w:sz w:val="20"/>
      <w:szCs w:val="20"/>
      <w:lang w:val="en-US" w:eastAsia="zh-CN"/>
    </w:rPr>
  </w:style>
  <w:style w:type="character" w:customStyle="1" w:styleId="EndnoteTextChar">
    <w:name w:val="Endnote Text Char"/>
    <w:basedOn w:val="DefaultParagraphFont"/>
    <w:link w:val="EndnoteText"/>
    <w:rsid w:val="00B620BF"/>
    <w:rPr>
      <w:rFonts w:ascii="Verdana" w:eastAsia="SimHei" w:hAnsi="Verdana" w:cs="Simplified Arabic"/>
      <w:bCs/>
    </w:rPr>
  </w:style>
  <w:style w:type="character" w:styleId="EndnoteReference">
    <w:name w:val="endnote reference"/>
    <w:basedOn w:val="DefaultParagraphFont"/>
    <w:rsid w:val="00B620BF"/>
    <w:rPr>
      <w:vertAlign w:val="superscript"/>
    </w:rPr>
  </w:style>
  <w:style w:type="paragraph" w:styleId="TOCHeading">
    <w:name w:val="TOC Heading"/>
    <w:basedOn w:val="Heading1"/>
    <w:next w:val="Normal"/>
    <w:uiPriority w:val="39"/>
    <w:semiHidden/>
    <w:unhideWhenUsed/>
    <w:qFormat/>
    <w:rsid w:val="00B620BF"/>
    <w:pPr>
      <w:tabs>
        <w:tab w:val="clear" w:pos="851"/>
      </w:tabs>
      <w:spacing w:before="480" w:line="276" w:lineRule="auto"/>
      <w:jc w:val="left"/>
      <w:outlineLvl w:val="9"/>
    </w:pPr>
    <w:rPr>
      <w:rFonts w:asciiTheme="majorHAnsi" w:eastAsiaTheme="majorEastAsia" w:hAnsiTheme="majorHAnsi" w:cstheme="majorBidi"/>
      <w:color w:val="365F91" w:themeColor="accent1" w:themeShade="BF"/>
      <w:lang w:eastAsia="ja-JP"/>
    </w:rPr>
  </w:style>
  <w:style w:type="character" w:styleId="Emphasis">
    <w:name w:val="Emphasis"/>
    <w:basedOn w:val="DefaultParagraphFont"/>
    <w:uiPriority w:val="20"/>
    <w:qFormat/>
    <w:rsid w:val="00B620BF"/>
    <w:rPr>
      <w:i/>
      <w:iCs/>
    </w:rPr>
  </w:style>
  <w:style w:type="paragraph" w:customStyle="1" w:styleId="CEONormal">
    <w:name w:val="CEO_Normal"/>
    <w:autoRedefine/>
    <w:uiPriority w:val="99"/>
    <w:rsid w:val="00B620BF"/>
    <w:pPr>
      <w:spacing w:after="120"/>
    </w:pPr>
    <w:rPr>
      <w:rFonts w:ascii="Verdana" w:hAnsi="Verdana"/>
      <w:sz w:val="19"/>
      <w:szCs w:val="19"/>
      <w:lang w:val="en-GB" w:eastAsia="en-US"/>
    </w:rPr>
  </w:style>
  <w:style w:type="character" w:customStyle="1" w:styleId="paracolourtext1">
    <w:name w:val="paracolourtext1"/>
    <w:basedOn w:val="DefaultParagraphFont"/>
    <w:rsid w:val="00B620BF"/>
    <w:rPr>
      <w:rFonts w:ascii="Trebuchet MS" w:hAnsi="Trebuchet MS"/>
      <w:b w:val="0"/>
      <w:bCs w:val="0"/>
      <w:i w:val="0"/>
      <w:iCs w:val="0"/>
      <w:noProof w:val="0"/>
      <w:color w:val="800000"/>
      <w:sz w:val="20"/>
      <w:szCs w:val="20"/>
      <w:lang w:val="en-GB"/>
    </w:rPr>
  </w:style>
  <w:style w:type="character" w:customStyle="1" w:styleId="shorttext">
    <w:name w:val="short_text"/>
    <w:basedOn w:val="DefaultParagraphFont"/>
    <w:rsid w:val="00B620BF"/>
  </w:style>
  <w:style w:type="paragraph" w:styleId="Caption">
    <w:name w:val="caption"/>
    <w:basedOn w:val="Normal"/>
    <w:next w:val="Normal"/>
    <w:unhideWhenUsed/>
    <w:qFormat/>
    <w:rsid w:val="00B620BF"/>
    <w:pPr>
      <w:spacing w:before="0" w:after="200"/>
      <w:jc w:val="left"/>
    </w:pPr>
    <w:rPr>
      <w:rFonts w:ascii="Verdana" w:eastAsia="SimHei" w:hAnsi="Verdana" w:cs="Simplified Arabic"/>
      <w:b/>
      <w:color w:val="4F81BD" w:themeColor="accent1"/>
      <w:sz w:val="18"/>
      <w:szCs w:val="18"/>
      <w:lang w:val="en-US" w:eastAsia="zh-CN"/>
    </w:rPr>
  </w:style>
  <w:style w:type="paragraph" w:styleId="TableofFigures">
    <w:name w:val="table of figures"/>
    <w:basedOn w:val="Normal"/>
    <w:next w:val="Normal"/>
    <w:uiPriority w:val="99"/>
    <w:rsid w:val="00B620BF"/>
    <w:pPr>
      <w:jc w:val="left"/>
    </w:pPr>
    <w:rPr>
      <w:rFonts w:ascii="Verdana" w:eastAsia="SimHei" w:hAnsi="Verdana" w:cs="Simplified Arabic"/>
      <w:bCs/>
      <w:sz w:val="19"/>
      <w:szCs w:val="28"/>
      <w:lang w:val="en-US" w:eastAsia="zh-CN"/>
    </w:rPr>
  </w:style>
  <w:style w:type="paragraph" w:customStyle="1" w:styleId="LSDeadline">
    <w:name w:val="LSDeadline"/>
    <w:basedOn w:val="Normal"/>
    <w:uiPriority w:val="99"/>
    <w:rsid w:val="002A103D"/>
    <w:pPr>
      <w:tabs>
        <w:tab w:val="left" w:pos="794"/>
        <w:tab w:val="left" w:pos="1191"/>
        <w:tab w:val="left" w:pos="1588"/>
        <w:tab w:val="left" w:pos="1985"/>
      </w:tabs>
      <w:overflowPunct w:val="0"/>
      <w:autoSpaceDE w:val="0"/>
      <w:autoSpaceDN w:val="0"/>
      <w:adjustRightInd w:val="0"/>
      <w:jc w:val="left"/>
      <w:textAlignment w:val="baseline"/>
    </w:pPr>
    <w:rPr>
      <w:rFonts w:ascii="Times New Roman" w:eastAsia="Times New Roman" w:hAnsi="Times New Roman"/>
      <w:b/>
      <w:bCs/>
      <w:sz w:val="24"/>
      <w:szCs w:val="20"/>
      <w:lang w:val="en-GB" w:eastAsia="en-US"/>
    </w:rPr>
  </w:style>
  <w:style w:type="paragraph" w:customStyle="1" w:styleId="LSForAction">
    <w:name w:val="LSForAction"/>
    <w:basedOn w:val="Normal"/>
    <w:uiPriority w:val="99"/>
    <w:rsid w:val="002A103D"/>
    <w:pPr>
      <w:tabs>
        <w:tab w:val="left" w:pos="794"/>
        <w:tab w:val="left" w:pos="1191"/>
        <w:tab w:val="left" w:pos="1588"/>
        <w:tab w:val="left" w:pos="1985"/>
      </w:tabs>
      <w:overflowPunct w:val="0"/>
      <w:autoSpaceDE w:val="0"/>
      <w:autoSpaceDN w:val="0"/>
      <w:adjustRightInd w:val="0"/>
      <w:jc w:val="left"/>
      <w:textAlignment w:val="baseline"/>
    </w:pPr>
    <w:rPr>
      <w:rFonts w:ascii="Times New Roman" w:eastAsia="Times New Roman" w:hAnsi="Times New Roman"/>
      <w:b/>
      <w:bCs/>
      <w:sz w:val="24"/>
      <w:szCs w:val="20"/>
      <w:lang w:val="en-GB" w:eastAsia="en-US"/>
    </w:rPr>
  </w:style>
  <w:style w:type="paragraph" w:customStyle="1" w:styleId="LSForInfo">
    <w:name w:val="LSForInfo"/>
    <w:basedOn w:val="LSForAction"/>
    <w:uiPriority w:val="99"/>
    <w:rsid w:val="002A103D"/>
  </w:style>
  <w:style w:type="paragraph" w:customStyle="1" w:styleId="LSForComment">
    <w:name w:val="LSForComment"/>
    <w:basedOn w:val="LSForAction"/>
    <w:uiPriority w:val="99"/>
    <w:rsid w:val="002A103D"/>
  </w:style>
  <w:style w:type="paragraph" w:customStyle="1" w:styleId="CEORequiredAction">
    <w:name w:val="CEO_RequiredAction"/>
    <w:basedOn w:val="Normal"/>
    <w:uiPriority w:val="99"/>
    <w:rsid w:val="002A103D"/>
    <w:pPr>
      <w:tabs>
        <w:tab w:val="left" w:pos="1928"/>
      </w:tabs>
      <w:spacing w:after="120"/>
      <w:jc w:val="left"/>
    </w:pPr>
    <w:rPr>
      <w:rFonts w:ascii="Verdana" w:eastAsia="SimHei" w:hAnsi="Verdana" w:cs="Simplified Arabic"/>
      <w:b/>
      <w:bCs/>
      <w:sz w:val="19"/>
      <w:szCs w:val="28"/>
      <w:lang w:eastAsia="zh-CN"/>
    </w:rPr>
  </w:style>
  <w:style w:type="paragraph" w:customStyle="1" w:styleId="CEOAnnex">
    <w:name w:val="CEO_Annex"/>
    <w:basedOn w:val="CEOSignatureTitle"/>
    <w:uiPriority w:val="99"/>
    <w:rsid w:val="002A103D"/>
    <w:pPr>
      <w:spacing w:before="1000"/>
    </w:pPr>
  </w:style>
  <w:style w:type="paragraph" w:customStyle="1" w:styleId="CEOEndashListNoIndent">
    <w:name w:val="CEO_EndashListNoIndent"/>
    <w:basedOn w:val="Normal"/>
    <w:uiPriority w:val="99"/>
    <w:rsid w:val="002A103D"/>
    <w:pPr>
      <w:numPr>
        <w:numId w:val="12"/>
      </w:numPr>
      <w:spacing w:after="120"/>
      <w:jc w:val="left"/>
    </w:pPr>
    <w:rPr>
      <w:rFonts w:ascii="Verdana" w:eastAsia="SimHei" w:hAnsi="Verdana" w:cs="Simplified Arabic"/>
      <w:bCs/>
      <w:sz w:val="19"/>
      <w:szCs w:val="28"/>
      <w:lang w:eastAsia="zh-CN"/>
    </w:rPr>
  </w:style>
  <w:style w:type="paragraph" w:customStyle="1" w:styleId="CEOFootnoteText">
    <w:name w:val="CEO_Footnote Text"/>
    <w:basedOn w:val="Normal"/>
    <w:uiPriority w:val="99"/>
    <w:rsid w:val="002A103D"/>
    <w:pPr>
      <w:tabs>
        <w:tab w:val="left" w:pos="357"/>
      </w:tabs>
      <w:spacing w:before="0" w:after="120"/>
      <w:jc w:val="left"/>
    </w:pPr>
    <w:rPr>
      <w:rFonts w:ascii="Verdana" w:eastAsia="SimHei" w:hAnsi="Verdana" w:cs="Simplified Arabic"/>
      <w:bCs/>
      <w:sz w:val="19"/>
      <w:szCs w:val="28"/>
      <w:lang w:eastAsia="zh-CN"/>
    </w:rPr>
  </w:style>
  <w:style w:type="paragraph" w:customStyle="1" w:styleId="CEOHeading1-Numbered">
    <w:name w:val="CEO_Heading1-Numbered"/>
    <w:basedOn w:val="Normal"/>
    <w:uiPriority w:val="99"/>
    <w:rsid w:val="002A103D"/>
    <w:pPr>
      <w:pBdr>
        <w:bottom w:val="single" w:sz="12" w:space="1" w:color="808080"/>
      </w:pBdr>
      <w:tabs>
        <w:tab w:val="num" w:pos="360"/>
      </w:tabs>
      <w:spacing w:after="120"/>
      <w:ind w:left="360" w:hanging="360"/>
      <w:jc w:val="left"/>
    </w:pPr>
    <w:rPr>
      <w:rFonts w:ascii="Verdana" w:eastAsia="SimHei" w:hAnsi="Verdana" w:cs="Simplified Arabic"/>
      <w:b/>
      <w:color w:val="808080"/>
      <w:sz w:val="20"/>
      <w:szCs w:val="28"/>
      <w:lang w:eastAsia="zh-CN"/>
    </w:rPr>
  </w:style>
  <w:style w:type="paragraph" w:customStyle="1" w:styleId="CEOHeading1">
    <w:name w:val="CEO_Heading1"/>
    <w:basedOn w:val="CEOHeading1-Numbered"/>
    <w:uiPriority w:val="99"/>
    <w:rsid w:val="002A103D"/>
    <w:pPr>
      <w:tabs>
        <w:tab w:val="clear" w:pos="360"/>
      </w:tabs>
      <w:ind w:left="0" w:firstLine="0"/>
    </w:pPr>
  </w:style>
  <w:style w:type="paragraph" w:customStyle="1" w:styleId="CEOIndent1-abc">
    <w:name w:val="CEO_Indent1-abc"/>
    <w:basedOn w:val="Normal"/>
    <w:uiPriority w:val="99"/>
    <w:rsid w:val="002A103D"/>
    <w:pPr>
      <w:tabs>
        <w:tab w:val="num" w:pos="1494"/>
      </w:tabs>
      <w:spacing w:before="60" w:after="60"/>
      <w:ind w:left="1494" w:right="709" w:hanging="360"/>
      <w:jc w:val="left"/>
    </w:pPr>
    <w:rPr>
      <w:rFonts w:ascii="Verdana" w:eastAsia="SimHei" w:hAnsi="Verdana" w:cs="Simplified Arabic"/>
      <w:bCs/>
      <w:sz w:val="19"/>
      <w:szCs w:val="28"/>
      <w:lang w:eastAsia="zh-CN"/>
    </w:rPr>
  </w:style>
  <w:style w:type="paragraph" w:customStyle="1" w:styleId="CEOAbstract0">
    <w:name w:val="CEOAbstract"/>
    <w:uiPriority w:val="99"/>
    <w:rsid w:val="002A103D"/>
    <w:pPr>
      <w:tabs>
        <w:tab w:val="left" w:pos="2127"/>
      </w:tabs>
    </w:pPr>
    <w:rPr>
      <w:rFonts w:ascii="Verdana" w:eastAsia="SimHei" w:hAnsi="Verdana" w:cs="Simplified Arabic"/>
      <w:b/>
      <w:sz w:val="19"/>
      <w:szCs w:val="22"/>
      <w:lang w:val="fr-CA"/>
    </w:rPr>
  </w:style>
  <w:style w:type="paragraph" w:customStyle="1" w:styleId="CEOSignature">
    <w:name w:val="CEO_Signature"/>
    <w:basedOn w:val="Normal"/>
    <w:uiPriority w:val="99"/>
    <w:rsid w:val="002A103D"/>
    <w:pPr>
      <w:spacing w:before="720" w:after="120"/>
      <w:jc w:val="left"/>
    </w:pPr>
    <w:rPr>
      <w:rFonts w:ascii="Verdana" w:eastAsia="SimHei" w:hAnsi="Verdana" w:cs="Simplified Arabic"/>
      <w:bCs/>
      <w:sz w:val="19"/>
      <w:szCs w:val="28"/>
      <w:lang w:eastAsia="zh-CN"/>
    </w:rPr>
  </w:style>
  <w:style w:type="paragraph" w:customStyle="1" w:styleId="CEOSmall">
    <w:name w:val="CEO_Small"/>
    <w:basedOn w:val="Normal"/>
    <w:uiPriority w:val="99"/>
    <w:rsid w:val="002A103D"/>
    <w:pPr>
      <w:spacing w:after="120"/>
      <w:jc w:val="left"/>
    </w:pPr>
    <w:rPr>
      <w:rFonts w:ascii="Verdana" w:eastAsia="SimHei" w:hAnsi="Verdana" w:cs="Simplified Arabic"/>
      <w:bCs/>
      <w:sz w:val="19"/>
      <w:szCs w:val="28"/>
      <w:lang w:eastAsia="zh-CN"/>
    </w:rPr>
  </w:style>
  <w:style w:type="paragraph" w:customStyle="1" w:styleId="CEOStartNextPage">
    <w:name w:val="CEO_StartNextPage"/>
    <w:uiPriority w:val="99"/>
    <w:rsid w:val="002A103D"/>
    <w:pPr>
      <w:spacing w:before="120"/>
      <w:jc w:val="center"/>
    </w:pPr>
    <w:rPr>
      <w:rFonts w:ascii="Verdana" w:eastAsia="SimHei" w:hAnsi="Verdana" w:cs="Simplified Arabic"/>
      <w:sz w:val="16"/>
      <w:szCs w:val="24"/>
      <w:lang w:val="en-GB" w:eastAsia="en-US"/>
    </w:rPr>
  </w:style>
  <w:style w:type="paragraph" w:customStyle="1" w:styleId="ann">
    <w:name w:val="ann"/>
    <w:basedOn w:val="Normal"/>
    <w:uiPriority w:val="99"/>
    <w:rsid w:val="002A103D"/>
    <w:pPr>
      <w:tabs>
        <w:tab w:val="left" w:pos="4820"/>
      </w:tabs>
      <w:spacing w:after="120"/>
    </w:pPr>
    <w:rPr>
      <w:rFonts w:ascii="Verdana" w:eastAsia="SimHei" w:hAnsi="Verdana" w:cs="Simplified Arabic"/>
      <w:sz w:val="24"/>
      <w:szCs w:val="24"/>
      <w:lang w:eastAsia="zh-CN"/>
    </w:rPr>
  </w:style>
  <w:style w:type="paragraph" w:customStyle="1" w:styleId="Paragraphedeliste1">
    <w:name w:val="Paragraphe de liste1"/>
    <w:basedOn w:val="Normal"/>
    <w:uiPriority w:val="99"/>
    <w:qFormat/>
    <w:rsid w:val="002A103D"/>
    <w:pPr>
      <w:tabs>
        <w:tab w:val="left" w:pos="794"/>
        <w:tab w:val="left" w:pos="1191"/>
        <w:tab w:val="left" w:pos="1588"/>
        <w:tab w:val="left" w:pos="1985"/>
      </w:tabs>
      <w:ind w:left="720"/>
      <w:contextualSpacing/>
      <w:jc w:val="left"/>
    </w:pPr>
    <w:rPr>
      <w:rFonts w:ascii="Times New Roman" w:eastAsia="Times New Roman" w:hAnsi="Times New Roman"/>
      <w:sz w:val="24"/>
      <w:szCs w:val="20"/>
      <w:lang w:val="en-GB" w:eastAsia="en-US"/>
    </w:rPr>
  </w:style>
  <w:style w:type="paragraph" w:customStyle="1" w:styleId="AnnexNoTitle">
    <w:name w:val="Annex_NoTitle"/>
    <w:basedOn w:val="Normal"/>
    <w:next w:val="Normal"/>
    <w:uiPriority w:val="99"/>
    <w:rsid w:val="002A103D"/>
    <w:pPr>
      <w:keepNext/>
      <w:keepLines/>
      <w:tabs>
        <w:tab w:val="left" w:pos="794"/>
        <w:tab w:val="left" w:pos="1191"/>
        <w:tab w:val="left" w:pos="1588"/>
        <w:tab w:val="left" w:pos="1985"/>
      </w:tabs>
      <w:overflowPunct w:val="0"/>
      <w:autoSpaceDE w:val="0"/>
      <w:autoSpaceDN w:val="0"/>
      <w:adjustRightInd w:val="0"/>
      <w:spacing w:before="720" w:after="120" w:line="280" w:lineRule="exact"/>
      <w:jc w:val="center"/>
    </w:pPr>
    <w:rPr>
      <w:rFonts w:ascii="Verdana" w:eastAsia="SimHei" w:hAnsi="Verdana" w:cs="Simplified Arabic"/>
      <w:b/>
      <w:bCs/>
      <w:sz w:val="24"/>
      <w:szCs w:val="28"/>
      <w:lang w:eastAsia="zh-CN"/>
    </w:rPr>
  </w:style>
  <w:style w:type="character" w:customStyle="1" w:styleId="enumlev1Char">
    <w:name w:val="enumlev1 Char"/>
    <w:basedOn w:val="DefaultParagraphFont"/>
    <w:link w:val="enumlev1"/>
    <w:locked/>
    <w:rsid w:val="002A103D"/>
    <w:rPr>
      <w:rFonts w:eastAsia="Times New Roman"/>
      <w:bCs/>
      <w:sz w:val="24"/>
      <w:lang w:val="fr-FR"/>
    </w:rPr>
  </w:style>
  <w:style w:type="paragraph" w:customStyle="1" w:styleId="enumlev1">
    <w:name w:val="enumlev1"/>
    <w:basedOn w:val="Normal"/>
    <w:link w:val="enumlev1Char"/>
    <w:rsid w:val="002A103D"/>
    <w:pPr>
      <w:tabs>
        <w:tab w:val="left" w:pos="794"/>
        <w:tab w:val="left" w:pos="1191"/>
        <w:tab w:val="left" w:pos="1588"/>
        <w:tab w:val="left" w:pos="1985"/>
      </w:tabs>
      <w:overflowPunct w:val="0"/>
      <w:autoSpaceDE w:val="0"/>
      <w:autoSpaceDN w:val="0"/>
      <w:adjustRightInd w:val="0"/>
      <w:spacing w:before="80"/>
      <w:ind w:left="794" w:hanging="794"/>
      <w:jc w:val="left"/>
    </w:pPr>
    <w:rPr>
      <w:rFonts w:ascii="Times New Roman" w:eastAsia="Times New Roman" w:hAnsi="Times New Roman"/>
      <w:bCs/>
      <w:sz w:val="24"/>
      <w:szCs w:val="20"/>
      <w:lang w:eastAsia="zh-CN"/>
    </w:rPr>
  </w:style>
  <w:style w:type="paragraph" w:customStyle="1" w:styleId="ResNo">
    <w:name w:val="Res_No"/>
    <w:basedOn w:val="Normal"/>
    <w:next w:val="Normal"/>
    <w:uiPriority w:val="99"/>
    <w:rsid w:val="002A103D"/>
    <w:pPr>
      <w:keepNext/>
      <w:keepLines/>
      <w:tabs>
        <w:tab w:val="left" w:pos="1134"/>
        <w:tab w:val="left" w:pos="1871"/>
        <w:tab w:val="left" w:pos="2268"/>
      </w:tabs>
      <w:overflowPunct w:val="0"/>
      <w:autoSpaceDE w:val="0"/>
      <w:autoSpaceDN w:val="0"/>
      <w:adjustRightInd w:val="0"/>
      <w:spacing w:before="480"/>
      <w:jc w:val="center"/>
    </w:pPr>
    <w:rPr>
      <w:rFonts w:ascii="Times New Roman" w:eastAsia="Times New Roman" w:hAnsi="Times New Roman"/>
      <w:caps/>
      <w:sz w:val="28"/>
      <w:szCs w:val="20"/>
      <w:lang w:val="en-GB" w:eastAsia="en-US"/>
    </w:rPr>
  </w:style>
  <w:style w:type="character" w:customStyle="1" w:styleId="RestitleChar">
    <w:name w:val="Res_title Char"/>
    <w:link w:val="Restitle"/>
    <w:uiPriority w:val="99"/>
    <w:locked/>
    <w:rsid w:val="002A103D"/>
    <w:rPr>
      <w:rFonts w:ascii="Times New Roman Bold" w:eastAsia="Times New Roman" w:hAnsi="Times New Roman Bold" w:cs="Times New Roman Bold"/>
      <w:b/>
      <w:sz w:val="28"/>
      <w:lang w:val="en-GB"/>
    </w:rPr>
  </w:style>
  <w:style w:type="paragraph" w:customStyle="1" w:styleId="Restitle">
    <w:name w:val="Res_title"/>
    <w:basedOn w:val="Normal"/>
    <w:next w:val="Normal"/>
    <w:link w:val="RestitleChar"/>
    <w:uiPriority w:val="99"/>
    <w:rsid w:val="002A103D"/>
    <w:pPr>
      <w:keepNext/>
      <w:keepLines/>
      <w:tabs>
        <w:tab w:val="left" w:pos="1134"/>
        <w:tab w:val="left" w:pos="1871"/>
        <w:tab w:val="left" w:pos="2268"/>
      </w:tabs>
      <w:overflowPunct w:val="0"/>
      <w:autoSpaceDE w:val="0"/>
      <w:autoSpaceDN w:val="0"/>
      <w:adjustRightInd w:val="0"/>
      <w:spacing w:before="240"/>
      <w:jc w:val="center"/>
    </w:pPr>
    <w:rPr>
      <w:rFonts w:ascii="Times New Roman Bold" w:eastAsia="Times New Roman" w:hAnsi="Times New Roman Bold" w:cs="Times New Roman Bold"/>
      <w:b/>
      <w:sz w:val="28"/>
      <w:szCs w:val="20"/>
      <w:lang w:val="en-GB" w:eastAsia="zh-CN"/>
    </w:rPr>
  </w:style>
  <w:style w:type="paragraph" w:customStyle="1" w:styleId="Resdate">
    <w:name w:val="Res_date"/>
    <w:basedOn w:val="Normal"/>
    <w:next w:val="Normal"/>
    <w:uiPriority w:val="99"/>
    <w:rsid w:val="002A103D"/>
    <w:pPr>
      <w:keepNext/>
      <w:keepLines/>
      <w:tabs>
        <w:tab w:val="left" w:pos="1134"/>
        <w:tab w:val="left" w:pos="1871"/>
        <w:tab w:val="left" w:pos="2268"/>
      </w:tabs>
      <w:overflowPunct w:val="0"/>
      <w:autoSpaceDE w:val="0"/>
      <w:autoSpaceDN w:val="0"/>
      <w:adjustRightInd w:val="0"/>
      <w:jc w:val="right"/>
    </w:pPr>
    <w:rPr>
      <w:rFonts w:ascii="Times New Roman" w:eastAsia="Times New Roman" w:hAnsi="Times New Roman"/>
      <w:sz w:val="22"/>
      <w:szCs w:val="20"/>
      <w:lang w:val="en-GB" w:eastAsia="en-US"/>
    </w:rPr>
  </w:style>
  <w:style w:type="paragraph" w:customStyle="1" w:styleId="Pa3">
    <w:name w:val="Pa3"/>
    <w:basedOn w:val="Default"/>
    <w:next w:val="Default"/>
    <w:uiPriority w:val="99"/>
    <w:rsid w:val="002A103D"/>
    <w:pPr>
      <w:spacing w:line="201" w:lineRule="atLeast"/>
    </w:pPr>
    <w:rPr>
      <w:rFonts w:ascii="Myriad Pro" w:eastAsiaTheme="minorHAnsi" w:hAnsi="Myriad Pro" w:cstheme="minorBidi"/>
      <w:color w:val="auto"/>
      <w:lang w:val="en-GB"/>
    </w:rPr>
  </w:style>
  <w:style w:type="character" w:customStyle="1" w:styleId="CEONormalCharChar">
    <w:name w:val="CEO_Normal Char Char"/>
    <w:basedOn w:val="DefaultParagraphFont"/>
    <w:locked/>
    <w:rsid w:val="002A103D"/>
    <w:rPr>
      <w:rFonts w:ascii="Verdana" w:hAnsi="Verdana" w:hint="default"/>
      <w:sz w:val="19"/>
      <w:szCs w:val="19"/>
      <w:lang w:val="fr-CH" w:eastAsia="en-US"/>
    </w:rPr>
  </w:style>
  <w:style w:type="character" w:customStyle="1" w:styleId="atn">
    <w:name w:val="atn"/>
    <w:basedOn w:val="DefaultParagraphFont"/>
    <w:rsid w:val="002A103D"/>
    <w:rPr>
      <w:rFonts w:ascii="Trebuchet MS" w:hAnsi="Trebuchet MS" w:hint="default"/>
      <w:noProof w:val="0"/>
      <w:lang w:val="en-GB"/>
    </w:rPr>
  </w:style>
  <w:style w:type="character" w:customStyle="1" w:styleId="A12">
    <w:name w:val="A12"/>
    <w:uiPriority w:val="99"/>
    <w:rsid w:val="002A103D"/>
    <w:rPr>
      <w:rFonts w:ascii="Myriad Pro" w:hAnsi="Myriad Pro" w:cs="Myriad Pro" w:hint="default"/>
      <w:color w:val="000000"/>
      <w:sz w:val="11"/>
      <w:szCs w:val="11"/>
    </w:rPr>
  </w:style>
  <w:style w:type="character" w:customStyle="1" w:styleId="A14">
    <w:name w:val="A14"/>
    <w:uiPriority w:val="99"/>
    <w:rsid w:val="002A103D"/>
    <w:rPr>
      <w:rFonts w:ascii="Myriad Pro" w:hAnsi="Myriad Pro" w:cs="Myriad Pro" w:hint="default"/>
      <w:color w:val="000000"/>
      <w:sz w:val="50"/>
      <w:szCs w:val="50"/>
    </w:rPr>
  </w:style>
  <w:style w:type="character" w:customStyle="1" w:styleId="nowrap">
    <w:name w:val="nowrap"/>
    <w:basedOn w:val="DefaultParagraphFont"/>
    <w:rsid w:val="002A103D"/>
  </w:style>
  <w:style w:type="character" w:customStyle="1" w:styleId="needref">
    <w:name w:val="need_ref"/>
    <w:basedOn w:val="DefaultParagraphFont"/>
    <w:rsid w:val="002A103D"/>
  </w:style>
  <w:style w:type="character" w:customStyle="1" w:styleId="st">
    <w:name w:val="st"/>
    <w:basedOn w:val="DefaultParagraphFont"/>
    <w:rsid w:val="002A103D"/>
  </w:style>
  <w:style w:type="paragraph" w:customStyle="1" w:styleId="RecNo">
    <w:name w:val="Rec_No"/>
    <w:basedOn w:val="Normal"/>
    <w:next w:val="Rectitle"/>
    <w:rsid w:val="002A103D"/>
    <w:pPr>
      <w:keepNext/>
      <w:keepLines/>
      <w:overflowPunct w:val="0"/>
      <w:autoSpaceDE w:val="0"/>
      <w:autoSpaceDN w:val="0"/>
      <w:adjustRightInd w:val="0"/>
      <w:spacing w:before="480"/>
      <w:jc w:val="center"/>
      <w:textAlignment w:val="baseline"/>
    </w:pPr>
    <w:rPr>
      <w:rFonts w:ascii="Times New Roman" w:eastAsia="Times New Roman" w:hAnsi="Times New Roman"/>
      <w:sz w:val="28"/>
      <w:szCs w:val="20"/>
      <w:lang w:eastAsia="en-US"/>
    </w:rPr>
  </w:style>
  <w:style w:type="paragraph" w:customStyle="1" w:styleId="Rectitle">
    <w:name w:val="Rec_title"/>
    <w:basedOn w:val="Normal"/>
    <w:next w:val="Normal"/>
    <w:link w:val="RectitleChar"/>
    <w:rsid w:val="002A103D"/>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rFonts w:ascii="Times New Roman" w:eastAsia="Times New Roman" w:hAnsi="Times New Roman"/>
      <w:b/>
      <w:sz w:val="28"/>
      <w:szCs w:val="20"/>
      <w:lang w:eastAsia="en-US"/>
    </w:rPr>
  </w:style>
  <w:style w:type="character" w:customStyle="1" w:styleId="RectitleChar">
    <w:name w:val="Rec_title Char"/>
    <w:basedOn w:val="DefaultParagraphFont"/>
    <w:link w:val="Rectitle"/>
    <w:locked/>
    <w:rsid w:val="002A103D"/>
    <w:rPr>
      <w:rFonts w:eastAsia="Times New Roman"/>
      <w:b/>
      <w:sz w:val="28"/>
      <w:lang w:val="fr-FR" w:eastAsia="en-US"/>
    </w:rPr>
  </w:style>
  <w:style w:type="paragraph" w:styleId="TOC4">
    <w:name w:val="toc 4"/>
    <w:basedOn w:val="Normal"/>
    <w:next w:val="Normal"/>
    <w:autoRedefine/>
    <w:uiPriority w:val="39"/>
    <w:unhideWhenUsed/>
    <w:rsid w:val="009173DA"/>
    <w:pPr>
      <w:spacing w:before="0" w:after="100" w:line="276" w:lineRule="auto"/>
      <w:ind w:left="660"/>
      <w:jc w:val="left"/>
    </w:pPr>
    <w:rPr>
      <w:rFonts w:asciiTheme="minorHAnsi" w:eastAsiaTheme="minorEastAsia" w:hAnsiTheme="minorHAnsi" w:cstheme="minorBidi"/>
      <w:sz w:val="22"/>
      <w:lang w:val="en-US" w:eastAsia="zh-CN"/>
    </w:rPr>
  </w:style>
  <w:style w:type="paragraph" w:styleId="TOC5">
    <w:name w:val="toc 5"/>
    <w:basedOn w:val="Normal"/>
    <w:next w:val="Normal"/>
    <w:autoRedefine/>
    <w:uiPriority w:val="39"/>
    <w:unhideWhenUsed/>
    <w:rsid w:val="009173DA"/>
    <w:pPr>
      <w:spacing w:before="0" w:after="100" w:line="276" w:lineRule="auto"/>
      <w:ind w:left="880"/>
      <w:jc w:val="left"/>
    </w:pPr>
    <w:rPr>
      <w:rFonts w:asciiTheme="minorHAnsi" w:eastAsiaTheme="minorEastAsia" w:hAnsiTheme="minorHAnsi" w:cstheme="minorBidi"/>
      <w:sz w:val="22"/>
      <w:lang w:val="en-US" w:eastAsia="zh-CN"/>
    </w:rPr>
  </w:style>
  <w:style w:type="paragraph" w:styleId="TOC6">
    <w:name w:val="toc 6"/>
    <w:basedOn w:val="Normal"/>
    <w:next w:val="Normal"/>
    <w:autoRedefine/>
    <w:uiPriority w:val="39"/>
    <w:unhideWhenUsed/>
    <w:rsid w:val="009173DA"/>
    <w:pPr>
      <w:spacing w:before="0" w:after="100" w:line="276" w:lineRule="auto"/>
      <w:ind w:left="1100"/>
      <w:jc w:val="left"/>
    </w:pPr>
    <w:rPr>
      <w:rFonts w:asciiTheme="minorHAnsi" w:eastAsiaTheme="minorEastAsia" w:hAnsiTheme="minorHAnsi" w:cstheme="minorBidi"/>
      <w:sz w:val="22"/>
      <w:lang w:val="en-US" w:eastAsia="zh-CN"/>
    </w:rPr>
  </w:style>
  <w:style w:type="paragraph" w:styleId="TOC7">
    <w:name w:val="toc 7"/>
    <w:basedOn w:val="Normal"/>
    <w:next w:val="Normal"/>
    <w:autoRedefine/>
    <w:uiPriority w:val="39"/>
    <w:unhideWhenUsed/>
    <w:rsid w:val="009173DA"/>
    <w:pPr>
      <w:spacing w:before="0" w:after="100" w:line="276" w:lineRule="auto"/>
      <w:ind w:left="1320"/>
      <w:jc w:val="left"/>
    </w:pPr>
    <w:rPr>
      <w:rFonts w:asciiTheme="minorHAnsi" w:eastAsiaTheme="minorEastAsia" w:hAnsiTheme="minorHAnsi" w:cstheme="minorBidi"/>
      <w:sz w:val="22"/>
      <w:lang w:val="en-US" w:eastAsia="zh-CN"/>
    </w:rPr>
  </w:style>
  <w:style w:type="paragraph" w:styleId="TOC8">
    <w:name w:val="toc 8"/>
    <w:basedOn w:val="Normal"/>
    <w:next w:val="Normal"/>
    <w:autoRedefine/>
    <w:uiPriority w:val="39"/>
    <w:unhideWhenUsed/>
    <w:rsid w:val="009173DA"/>
    <w:pPr>
      <w:spacing w:before="0" w:after="100" w:line="276" w:lineRule="auto"/>
      <w:ind w:left="1540"/>
      <w:jc w:val="left"/>
    </w:pPr>
    <w:rPr>
      <w:rFonts w:asciiTheme="minorHAnsi" w:eastAsiaTheme="minorEastAsia" w:hAnsiTheme="minorHAnsi" w:cstheme="minorBidi"/>
      <w:sz w:val="22"/>
      <w:lang w:val="en-US" w:eastAsia="zh-CN"/>
    </w:rPr>
  </w:style>
  <w:style w:type="paragraph" w:styleId="TOC9">
    <w:name w:val="toc 9"/>
    <w:basedOn w:val="Normal"/>
    <w:next w:val="Normal"/>
    <w:autoRedefine/>
    <w:uiPriority w:val="39"/>
    <w:unhideWhenUsed/>
    <w:rsid w:val="009173DA"/>
    <w:pPr>
      <w:spacing w:before="0" w:after="100" w:line="276" w:lineRule="auto"/>
      <w:ind w:left="1760"/>
      <w:jc w:val="left"/>
    </w:pPr>
    <w:rPr>
      <w:rFonts w:asciiTheme="minorHAnsi" w:eastAsiaTheme="minorEastAsia" w:hAnsiTheme="minorHAnsi" w:cstheme="minorBidi"/>
      <w:sz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17" Type="http://schemas.openxmlformats.org/officeDocument/2006/relationships/control" Target="activeX/activeX25.xml"/><Relationship Id="rId21" Type="http://schemas.openxmlformats.org/officeDocument/2006/relationships/hyperlink" Target="http://www.ncdc.noaa.gov/indicators/" TargetMode="External"/><Relationship Id="rId42" Type="http://schemas.openxmlformats.org/officeDocument/2006/relationships/hyperlink" Target="http://www.niccd.org/NICCD_Mitigation_Case_Study_Cookstoves.pdf" TargetMode="External"/><Relationship Id="rId63" Type="http://schemas.openxmlformats.org/officeDocument/2006/relationships/hyperlink" Target="http://www.itu.int/ITU-T/worksem/climatechange/resources.html" TargetMode="External"/><Relationship Id="rId84" Type="http://schemas.openxmlformats.org/officeDocument/2006/relationships/image" Target="media/image13.wmf"/><Relationship Id="rId138" Type="http://schemas.openxmlformats.org/officeDocument/2006/relationships/image" Target="media/image40.wmf"/><Relationship Id="rId159" Type="http://schemas.openxmlformats.org/officeDocument/2006/relationships/control" Target="activeX/activeX46.xml"/><Relationship Id="rId170" Type="http://schemas.openxmlformats.org/officeDocument/2006/relationships/image" Target="media/image56.wmf"/><Relationship Id="rId191" Type="http://schemas.openxmlformats.org/officeDocument/2006/relationships/hyperlink" Target="http://energy.gov/oe/technology-development/smart-grid" TargetMode="External"/><Relationship Id="rId205" Type="http://schemas.openxmlformats.org/officeDocument/2006/relationships/hyperlink" Target="http://www.nist.gov/smartgrid/upload/NIST_Framework_Release_2-0_corr.pdf" TargetMode="External"/><Relationship Id="rId226" Type="http://schemas.openxmlformats.org/officeDocument/2006/relationships/header" Target="header3.xml"/><Relationship Id="rId107" Type="http://schemas.openxmlformats.org/officeDocument/2006/relationships/control" Target="activeX/activeX20.xml"/><Relationship Id="rId11" Type="http://schemas.openxmlformats.org/officeDocument/2006/relationships/hyperlink" Target="http://unfccc.int/essential_background/background_publications_htmlpdf/climate_change_information_kit/items/305.php" TargetMode="External"/><Relationship Id="rId32" Type="http://schemas.openxmlformats.org/officeDocument/2006/relationships/hyperlink" Target="http://www.niccd.org/NICCD_Disasters_Case_Study_Pakreport.pdf" TargetMode="External"/><Relationship Id="rId53" Type="http://schemas.openxmlformats.org/officeDocument/2006/relationships/hyperlink" Target="http://webarchive.nationalarchives.gov.uk/+/http:/www.cabinetoffice.gov.uk/media/317444/ict_strategy4.pdf" TargetMode="External"/><Relationship Id="rId74" Type="http://schemas.openxmlformats.org/officeDocument/2006/relationships/image" Target="media/image8.wmf"/><Relationship Id="rId128" Type="http://schemas.openxmlformats.org/officeDocument/2006/relationships/image" Target="media/image35.wmf"/><Relationship Id="rId149" Type="http://schemas.openxmlformats.org/officeDocument/2006/relationships/control" Target="activeX/activeX41.xml"/><Relationship Id="rId5" Type="http://schemas.openxmlformats.org/officeDocument/2006/relationships/settings" Target="settings.xml"/><Relationship Id="rId95" Type="http://schemas.openxmlformats.org/officeDocument/2006/relationships/control" Target="activeX/activeX14.xml"/><Relationship Id="rId160" Type="http://schemas.openxmlformats.org/officeDocument/2006/relationships/image" Target="media/image51.wmf"/><Relationship Id="rId181" Type="http://schemas.openxmlformats.org/officeDocument/2006/relationships/hyperlink" Target="http://gesi.org/files/tinymce/uploaded/Press%20release_Final-march-28-2011.pdf" TargetMode="External"/><Relationship Id="rId216" Type="http://schemas.openxmlformats.org/officeDocument/2006/relationships/hyperlink" Target="https://webmail.cnes.fr/owa/,DanaInfo=tw-nlbcas-p01.cnesnet.ad.cnes.fr,SSL+redir.aspx?C=9odyXh6d0kqi1lO8471VyyrGivoGiNAIO_gy002N0vzwg-MnuXtDa7508tnE8sWfWTDftryMGMM.&amp;URL=http%3a%2f%2fwww.itu.int%2fmd%2fD10-SG02-C-0179%2f" TargetMode="External"/><Relationship Id="rId22" Type="http://schemas.openxmlformats.org/officeDocument/2006/relationships/hyperlink" Target="http://www.manchester.ac.uk/cdi" TargetMode="External"/><Relationship Id="rId27" Type="http://schemas.openxmlformats.org/officeDocument/2006/relationships/hyperlink" Target="http://www.oecd.org/env/climatechange/economicaspectsofadaptationtoclimatechangecostsbenefitsandpolicyinstruments.htm" TargetMode="External"/><Relationship Id="rId43" Type="http://schemas.openxmlformats.org/officeDocument/2006/relationships/hyperlink" Target="http://www.niccd.org/NICCD_Mitigation_Case_Study_VideoConferencing.pdf" TargetMode="External"/><Relationship Id="rId48" Type="http://schemas.openxmlformats.org/officeDocument/2006/relationships/hyperlink" Target="http://www.niccd.org/NICCD_Strategy_Case_Study_FrontlineViews.pdf" TargetMode="External"/><Relationship Id="rId64" Type="http://schemas.openxmlformats.org/officeDocument/2006/relationships/hyperlink" Target="http://www.itu.int/ITU-T/worksem/climatechange/resources.html" TargetMode="External"/><Relationship Id="rId69" Type="http://schemas.openxmlformats.org/officeDocument/2006/relationships/control" Target="activeX/activeX1.xml"/><Relationship Id="rId113" Type="http://schemas.openxmlformats.org/officeDocument/2006/relationships/control" Target="activeX/activeX23.xml"/><Relationship Id="rId118" Type="http://schemas.openxmlformats.org/officeDocument/2006/relationships/image" Target="media/image30.wmf"/><Relationship Id="rId134" Type="http://schemas.openxmlformats.org/officeDocument/2006/relationships/image" Target="media/image38.wmf"/><Relationship Id="rId139" Type="http://schemas.openxmlformats.org/officeDocument/2006/relationships/control" Target="activeX/activeX36.xml"/><Relationship Id="rId80" Type="http://schemas.openxmlformats.org/officeDocument/2006/relationships/image" Target="media/image11.wmf"/><Relationship Id="rId85" Type="http://schemas.openxmlformats.org/officeDocument/2006/relationships/control" Target="activeX/activeX9.xml"/><Relationship Id="rId150" Type="http://schemas.openxmlformats.org/officeDocument/2006/relationships/image" Target="media/image46.wmf"/><Relationship Id="rId155" Type="http://schemas.openxmlformats.org/officeDocument/2006/relationships/control" Target="activeX/activeX44.xml"/><Relationship Id="rId171" Type="http://schemas.openxmlformats.org/officeDocument/2006/relationships/control" Target="activeX/activeX52.xml"/><Relationship Id="rId176" Type="http://schemas.openxmlformats.org/officeDocument/2006/relationships/chart" Target="charts/chart2.xml"/><Relationship Id="rId192" Type="http://schemas.openxmlformats.org/officeDocument/2006/relationships/hyperlink" Target="http://www.eresearch.unimelb.edu.au/__data/assets/pdf_file/0004/622957/ALARM-final_Sep12.pdf" TargetMode="External"/><Relationship Id="rId197" Type="http://schemas.openxmlformats.org/officeDocument/2006/relationships/hyperlink" Target="http://cdn.intechopen.com/pdfs/6923/InTech-Intelligent_communication_module_for_wireless_biosensor_networks.pdf" TargetMode="External"/><Relationship Id="rId206" Type="http://schemas.openxmlformats.org/officeDocument/2006/relationships/hyperlink" Target="http://www.pnl.gov/main/publications/external/technical_reports/PNNL-19112.pdf" TargetMode="External"/><Relationship Id="rId227" Type="http://schemas.openxmlformats.org/officeDocument/2006/relationships/footer" Target="footer2.xml"/><Relationship Id="rId201" Type="http://schemas.openxmlformats.org/officeDocument/2006/relationships/hyperlink" Target="http://www.americanprogress.org/wp-content/uploads/issues/2009/04/pdf/smart_infrastructure.pdf" TargetMode="External"/><Relationship Id="rId222" Type="http://schemas.openxmlformats.org/officeDocument/2006/relationships/hyperlink" Target="http://www.itu.int/pub/R-REP-RS.2178-2010" TargetMode="External"/><Relationship Id="rId12" Type="http://schemas.openxmlformats.org/officeDocument/2006/relationships/hyperlink" Target="http://unfccc.int/essential_background/convention/background/items/2853.php" TargetMode="External"/><Relationship Id="rId17" Type="http://schemas.openxmlformats.org/officeDocument/2006/relationships/hyperlink" Target="http://www.eumetsat.int/Home/Main/AboutEUMETSAT/ClimateMonitoring/index.htm?l=en" TargetMode="External"/><Relationship Id="rId33" Type="http://schemas.openxmlformats.org/officeDocument/2006/relationships/hyperlink" Target="http://www.niccd.org/NICCD_Disasters_Case_Study_EarlyWarning.pdf" TargetMode="External"/><Relationship Id="rId38" Type="http://schemas.openxmlformats.org/officeDocument/2006/relationships/hyperlink" Target="http://www.niccd.org/NICCD_AgricAdapt_Case_Study_PlantClinic.pdf" TargetMode="External"/><Relationship Id="rId59" Type="http://schemas.openxmlformats.org/officeDocument/2006/relationships/hyperlink" Target="http://www.ictinagriculture.org/ictinag/content/ict-agriculture-sourcebook" TargetMode="External"/><Relationship Id="rId103" Type="http://schemas.openxmlformats.org/officeDocument/2006/relationships/control" Target="activeX/activeX18.xml"/><Relationship Id="rId108" Type="http://schemas.openxmlformats.org/officeDocument/2006/relationships/image" Target="media/image25.wmf"/><Relationship Id="rId124" Type="http://schemas.openxmlformats.org/officeDocument/2006/relationships/image" Target="media/image33.wmf"/><Relationship Id="rId129" Type="http://schemas.openxmlformats.org/officeDocument/2006/relationships/control" Target="activeX/activeX31.xml"/><Relationship Id="rId54" Type="http://schemas.openxmlformats.org/officeDocument/2006/relationships/hyperlink" Target="http://mra.org.mt/climate-change/mitigation-of-greenhouse-gas-emissions/" TargetMode="External"/><Relationship Id="rId70" Type="http://schemas.openxmlformats.org/officeDocument/2006/relationships/image" Target="media/image6.wmf"/><Relationship Id="rId75" Type="http://schemas.openxmlformats.org/officeDocument/2006/relationships/control" Target="activeX/activeX4.xml"/><Relationship Id="rId91" Type="http://schemas.openxmlformats.org/officeDocument/2006/relationships/control" Target="activeX/activeX12.xml"/><Relationship Id="rId96" Type="http://schemas.openxmlformats.org/officeDocument/2006/relationships/image" Target="media/image19.wmf"/><Relationship Id="rId140" Type="http://schemas.openxmlformats.org/officeDocument/2006/relationships/image" Target="media/image41.wmf"/><Relationship Id="rId145" Type="http://schemas.openxmlformats.org/officeDocument/2006/relationships/control" Target="activeX/activeX39.xml"/><Relationship Id="rId161" Type="http://schemas.openxmlformats.org/officeDocument/2006/relationships/control" Target="activeX/activeX47.xml"/><Relationship Id="rId166" Type="http://schemas.openxmlformats.org/officeDocument/2006/relationships/image" Target="media/image54.wmf"/><Relationship Id="rId182" Type="http://schemas.openxmlformats.org/officeDocument/2006/relationships/image" Target="media/image57.emf"/><Relationship Id="rId187" Type="http://schemas.openxmlformats.org/officeDocument/2006/relationships/hyperlink" Target="http://capim.com.au/index.php?page=prac" TargetMode="External"/><Relationship Id="rId217" Type="http://schemas.openxmlformats.org/officeDocument/2006/relationships/chart" Target="charts/chart3.xm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hyperlink" Target="http://www.ecma-international.org/publications/standards/benchmark.htm" TargetMode="External"/><Relationship Id="rId23" Type="http://schemas.openxmlformats.org/officeDocument/2006/relationships/hyperlink" Target="http://www.niccd.org/sites/default/files/ICCD_Policy_Guidance_Paper.pdf" TargetMode="External"/><Relationship Id="rId28" Type="http://schemas.openxmlformats.org/officeDocument/2006/relationships/hyperlink" Target="http://www.niccd.org/ICTs_and_Climate_Change_Adaptation_Strategy_Brief.pdf" TargetMode="External"/><Relationship Id="rId49" Type="http://schemas.openxmlformats.org/officeDocument/2006/relationships/hyperlink" Target="http://www.niccd.org/NICCD_Strategy_Case_Study_IndiaENVIS.pdf" TargetMode="External"/><Relationship Id="rId114" Type="http://schemas.openxmlformats.org/officeDocument/2006/relationships/image" Target="media/image28.wmf"/><Relationship Id="rId119" Type="http://schemas.openxmlformats.org/officeDocument/2006/relationships/control" Target="activeX/activeX26.xml"/><Relationship Id="rId44" Type="http://schemas.openxmlformats.org/officeDocument/2006/relationships/hyperlink" Target="http://www.niccd.org/NICCD_Mitigation_Case_Study_MobileBasestations.pdf" TargetMode="External"/><Relationship Id="rId60" Type="http://schemas.openxmlformats.org/officeDocument/2006/relationships/hyperlink" Target="http://www.infodev.org/en/Document.1057.pdf" TargetMode="External"/><Relationship Id="rId65" Type="http://schemas.openxmlformats.org/officeDocument/2006/relationships/image" Target="media/image2.jpeg"/><Relationship Id="rId81" Type="http://schemas.openxmlformats.org/officeDocument/2006/relationships/control" Target="activeX/activeX7.xml"/><Relationship Id="rId86" Type="http://schemas.openxmlformats.org/officeDocument/2006/relationships/image" Target="media/image14.wmf"/><Relationship Id="rId130" Type="http://schemas.openxmlformats.org/officeDocument/2006/relationships/image" Target="media/image36.wmf"/><Relationship Id="rId135" Type="http://schemas.openxmlformats.org/officeDocument/2006/relationships/control" Target="activeX/activeX34.xml"/><Relationship Id="rId151" Type="http://schemas.openxmlformats.org/officeDocument/2006/relationships/control" Target="activeX/activeX42.xml"/><Relationship Id="rId156" Type="http://schemas.openxmlformats.org/officeDocument/2006/relationships/image" Target="media/image49.wmf"/><Relationship Id="rId177" Type="http://schemas.openxmlformats.org/officeDocument/2006/relationships/hyperlink" Target="http://www.alcatel-lucent.com/alternative-energy/" TargetMode="External"/><Relationship Id="rId198" Type="http://schemas.openxmlformats.org/officeDocument/2006/relationships/hyperlink" Target="http://www.mae.ncsu.edu/eischen/courses/mae415/docs/GreatestEngineeringAchievements.pdf" TargetMode="External"/><Relationship Id="rId172" Type="http://schemas.openxmlformats.org/officeDocument/2006/relationships/chart" Target="charts/chart1.xml"/><Relationship Id="rId193" Type="http://schemas.openxmlformats.org/officeDocument/2006/relationships/hyperlink" Target="http://www.itu.int/ITU-T/climatechange/report-smartgrids.html" TargetMode="External"/><Relationship Id="rId202" Type="http://schemas.openxmlformats.org/officeDocument/2006/relationships/hyperlink" Target="http://en.wikipedia.org/wiki/Advanced_Metering_Infrastructure" TargetMode="External"/><Relationship Id="rId207" Type="http://schemas.openxmlformats.org/officeDocument/2006/relationships/hyperlink" Target="file:///\\blue\dfs\bdt\STG\5StudyPeriod\Meetings\2013\SG2\revised-FINAL-REPORTS\&#8226;%09http:\ec.europa.eu\governance\impact\planned_ia\docs\2012_infso_007_energy_spectrum_en.pdf" TargetMode="External"/><Relationship Id="rId223" Type="http://schemas.openxmlformats.org/officeDocument/2006/relationships/hyperlink" Target="http://www.itu.int/publ/R-HDB-45/en" TargetMode="External"/><Relationship Id="rId228" Type="http://schemas.openxmlformats.org/officeDocument/2006/relationships/footer" Target="footer3.xml"/><Relationship Id="rId13" Type="http://schemas.openxmlformats.org/officeDocument/2006/relationships/hyperlink" Target="http://www.itu.int/themes/climate/" TargetMode="External"/><Relationship Id="rId18" Type="http://schemas.openxmlformats.org/officeDocument/2006/relationships/hyperlink" Target="http://www.cnes.fr/web/CNES-fr/7090-terre-environnement-et-climat.php" TargetMode="External"/><Relationship Id="rId39" Type="http://schemas.openxmlformats.org/officeDocument/2006/relationships/hyperlink" Target="http://www.niccd.org/NICCD_AgricAdapt_Case_Study_PeruRadio.pdf" TargetMode="External"/><Relationship Id="rId109" Type="http://schemas.openxmlformats.org/officeDocument/2006/relationships/control" Target="activeX/activeX21.xml"/><Relationship Id="rId34" Type="http://schemas.openxmlformats.org/officeDocument/2006/relationships/hyperlink" Target="http://www.niccd.org/NICCD_Disasters_Case_Study_MobileNepal.pdf" TargetMode="External"/><Relationship Id="rId50" Type="http://schemas.openxmlformats.org/officeDocument/2006/relationships/hyperlink" Target="http://www.niccd.org/NICCD_Strategy_Case_Study_MexicoCentre.pdf" TargetMode="External"/><Relationship Id="rId55" Type="http://schemas.openxmlformats.org/officeDocument/2006/relationships/hyperlink" Target="http://www.broadbandcommission.org/" TargetMode="External"/><Relationship Id="rId76" Type="http://schemas.openxmlformats.org/officeDocument/2006/relationships/image" Target="media/image9.wmf"/><Relationship Id="rId97" Type="http://schemas.openxmlformats.org/officeDocument/2006/relationships/control" Target="activeX/activeX15.xml"/><Relationship Id="rId104" Type="http://schemas.openxmlformats.org/officeDocument/2006/relationships/image" Target="media/image23.wmf"/><Relationship Id="rId120" Type="http://schemas.openxmlformats.org/officeDocument/2006/relationships/image" Target="media/image31.wmf"/><Relationship Id="rId125" Type="http://schemas.openxmlformats.org/officeDocument/2006/relationships/control" Target="activeX/activeX29.xml"/><Relationship Id="rId141" Type="http://schemas.openxmlformats.org/officeDocument/2006/relationships/control" Target="activeX/activeX37.xml"/><Relationship Id="rId146" Type="http://schemas.openxmlformats.org/officeDocument/2006/relationships/image" Target="media/image44.wmf"/><Relationship Id="rId167" Type="http://schemas.openxmlformats.org/officeDocument/2006/relationships/control" Target="activeX/activeX50.xml"/><Relationship Id="rId188" Type="http://schemas.openxmlformats.org/officeDocument/2006/relationships/hyperlink" Target="http://eur-lex.europa.eu/LexUriServ/LexUriServ.do?uri=COM:2011:0885:FIN:EN:PDF" TargetMode="External"/><Relationship Id="rId7" Type="http://schemas.openxmlformats.org/officeDocument/2006/relationships/footnotes" Target="footnotes.xml"/><Relationship Id="rId71" Type="http://schemas.openxmlformats.org/officeDocument/2006/relationships/control" Target="activeX/activeX2.xml"/><Relationship Id="rId92" Type="http://schemas.openxmlformats.org/officeDocument/2006/relationships/image" Target="media/image17.wmf"/><Relationship Id="rId162" Type="http://schemas.openxmlformats.org/officeDocument/2006/relationships/image" Target="media/image52.wmf"/><Relationship Id="rId183" Type="http://schemas.openxmlformats.org/officeDocument/2006/relationships/image" Target="media/image58.emf"/><Relationship Id="rId213" Type="http://schemas.openxmlformats.org/officeDocument/2006/relationships/hyperlink" Target="http://www.itu.int/md/D10-SG02-INF-0029/" TargetMode="External"/><Relationship Id="rId218" Type="http://schemas.openxmlformats.org/officeDocument/2006/relationships/chart" Target="charts/chart4.xml"/><Relationship Id="rId2" Type="http://schemas.openxmlformats.org/officeDocument/2006/relationships/numbering" Target="numbering.xml"/><Relationship Id="rId29" Type="http://schemas.openxmlformats.org/officeDocument/2006/relationships/hyperlink" Target="http://www.niccd.org/ICTs_and_Climate_Change_Mitigation_Strategy_Brief.pdf" TargetMode="External"/><Relationship Id="rId24" Type="http://schemas.openxmlformats.org/officeDocument/2006/relationships/hyperlink" Target="http://reliefweb.int/report/mozambique/municipal-ict-capacity-and-its-impact-climate-change-affected-urban-poor-case" TargetMode="External"/><Relationship Id="rId40" Type="http://schemas.openxmlformats.org/officeDocument/2006/relationships/hyperlink" Target="http://www.niccd.org/NICCD_AgricAdapt_Case_Study_CoastalFarmers.pdf" TargetMode="External"/><Relationship Id="rId45" Type="http://schemas.openxmlformats.org/officeDocument/2006/relationships/hyperlink" Target="http://www.niccd.org/NICCD_Monitoring_Case_Study_AmazonDeforestation.pdf" TargetMode="External"/><Relationship Id="rId66" Type="http://schemas.openxmlformats.org/officeDocument/2006/relationships/image" Target="media/image3.png"/><Relationship Id="rId87" Type="http://schemas.openxmlformats.org/officeDocument/2006/relationships/control" Target="activeX/activeX10.xml"/><Relationship Id="rId110" Type="http://schemas.openxmlformats.org/officeDocument/2006/relationships/image" Target="media/image26.wmf"/><Relationship Id="rId115" Type="http://schemas.openxmlformats.org/officeDocument/2006/relationships/control" Target="activeX/activeX24.xml"/><Relationship Id="rId131" Type="http://schemas.openxmlformats.org/officeDocument/2006/relationships/control" Target="activeX/activeX32.xml"/><Relationship Id="rId136" Type="http://schemas.openxmlformats.org/officeDocument/2006/relationships/image" Target="media/image39.wmf"/><Relationship Id="rId157" Type="http://schemas.openxmlformats.org/officeDocument/2006/relationships/control" Target="activeX/activeX45.xml"/><Relationship Id="rId178" Type="http://schemas.openxmlformats.org/officeDocument/2006/relationships/hyperlink" Target="http://www.greentouch.org/index.php?page=how-the-ict-industries-can-help-the-world-combat-climate-change" TargetMode="External"/><Relationship Id="rId61" Type="http://schemas.openxmlformats.org/officeDocument/2006/relationships/hyperlink" Target="http://www.infodev.org/en/Publication.19.html" TargetMode="External"/><Relationship Id="rId82" Type="http://schemas.openxmlformats.org/officeDocument/2006/relationships/image" Target="media/image12.wmf"/><Relationship Id="rId152" Type="http://schemas.openxmlformats.org/officeDocument/2006/relationships/image" Target="media/image47.wmf"/><Relationship Id="rId173" Type="http://schemas.openxmlformats.org/officeDocument/2006/relationships/hyperlink" Target="http://www.aviso.oceanobs.com" TargetMode="External"/><Relationship Id="rId194" Type="http://schemas.openxmlformats.org/officeDocument/2006/relationships/hyperlink" Target="http://www.itu.int/dms_pub/itu-t/oth/4B/01/T4B010000020001PDFE.pdf" TargetMode="External"/><Relationship Id="rId199" Type="http://schemas.openxmlformats.org/officeDocument/2006/relationships/hyperlink" Target="http://www.smartgrid.gov/the_smart_grid" TargetMode="External"/><Relationship Id="rId203" Type="http://schemas.openxmlformats.org/officeDocument/2006/relationships/hyperlink" Target="http://en.wikipedia.org/wiki/Smart_grid" TargetMode="External"/><Relationship Id="rId208" Type="http://schemas.openxmlformats.org/officeDocument/2006/relationships/hyperlink" Target="https://ec.europa.eu/digital-agenda/sites/digital-agenda/files/20121804_energy_efficiency_pc_summary.pdf" TargetMode="External"/><Relationship Id="rId229" Type="http://schemas.openxmlformats.org/officeDocument/2006/relationships/fontTable" Target="fontTable.xml"/><Relationship Id="rId19" Type="http://schemas.openxmlformats.org/officeDocument/2006/relationships/hyperlink" Target="http://www.esa.int/esaCP/ESAYGOZ84UC_France_0.html" TargetMode="External"/><Relationship Id="rId224" Type="http://schemas.openxmlformats.org/officeDocument/2006/relationships/hyperlink" Target="http://www.itu.int/publ/R-HDB-45/en" TargetMode="External"/><Relationship Id="rId14" Type="http://schemas.openxmlformats.org/officeDocument/2006/relationships/hyperlink" Target="http://www.itu.int/ITU-R/index.asp?category=conferences&amp;rlink=seminar-itu-wmo&amp;lang=en" TargetMode="External"/><Relationship Id="rId30" Type="http://schemas.openxmlformats.org/officeDocument/2006/relationships/hyperlink" Target="http://www.niccd.org/ICTs_and_Climate_Change_in_Rural_Agric_Communities_Strategy_Brief.pdf" TargetMode="External"/><Relationship Id="rId35" Type="http://schemas.openxmlformats.org/officeDocument/2006/relationships/hyperlink" Target="http://www.niccd.org/NICCD_NewICT_Case_Study_ParticipVideo.pdf" TargetMode="External"/><Relationship Id="rId56" Type="http://schemas.openxmlformats.org/officeDocument/2006/relationships/hyperlink" Target="http://www.broadbandcommission.org/Documents/Climate/BD-bbcomm-climate.pdf" TargetMode="External"/><Relationship Id="rId77" Type="http://schemas.openxmlformats.org/officeDocument/2006/relationships/control" Target="activeX/activeX5.xml"/><Relationship Id="rId100" Type="http://schemas.openxmlformats.org/officeDocument/2006/relationships/image" Target="media/image21.wmf"/><Relationship Id="rId105" Type="http://schemas.openxmlformats.org/officeDocument/2006/relationships/control" Target="activeX/activeX19.xml"/><Relationship Id="rId126" Type="http://schemas.openxmlformats.org/officeDocument/2006/relationships/image" Target="media/image34.wmf"/><Relationship Id="rId147" Type="http://schemas.openxmlformats.org/officeDocument/2006/relationships/control" Target="activeX/activeX40.xml"/><Relationship Id="rId168" Type="http://schemas.openxmlformats.org/officeDocument/2006/relationships/image" Target="media/image55.wmf"/><Relationship Id="rId8" Type="http://schemas.openxmlformats.org/officeDocument/2006/relationships/endnotes" Target="endnotes.xml"/><Relationship Id="rId51" Type="http://schemas.openxmlformats.org/officeDocument/2006/relationships/hyperlink" Target="http://www.niccd.org/NICCD_Strategy_Case_Study_PRECIS.pdf" TargetMode="External"/><Relationship Id="rId72" Type="http://schemas.openxmlformats.org/officeDocument/2006/relationships/image" Target="media/image7.wmf"/><Relationship Id="rId93" Type="http://schemas.openxmlformats.org/officeDocument/2006/relationships/control" Target="activeX/activeX13.xml"/><Relationship Id="rId98" Type="http://schemas.openxmlformats.org/officeDocument/2006/relationships/image" Target="media/image20.wmf"/><Relationship Id="rId121" Type="http://schemas.openxmlformats.org/officeDocument/2006/relationships/control" Target="activeX/activeX27.xml"/><Relationship Id="rId142" Type="http://schemas.openxmlformats.org/officeDocument/2006/relationships/image" Target="media/image42.wmf"/><Relationship Id="rId163" Type="http://schemas.openxmlformats.org/officeDocument/2006/relationships/control" Target="activeX/activeX48.xml"/><Relationship Id="rId184" Type="http://schemas.openxmlformats.org/officeDocument/2006/relationships/image" Target="media/image59.emf"/><Relationship Id="rId189" Type="http://schemas.openxmlformats.org/officeDocument/2006/relationships/hyperlink" Target="http://www.cisco.com/web/partners/downloads/765/other/WhatSmartGridMeansToYou.pdf" TargetMode="External"/><Relationship Id="rId219" Type="http://schemas.openxmlformats.org/officeDocument/2006/relationships/chart" Target="charts/chart5.xml"/><Relationship Id="rId3" Type="http://schemas.openxmlformats.org/officeDocument/2006/relationships/styles" Target="styles.xml"/><Relationship Id="rId214" Type="http://schemas.openxmlformats.org/officeDocument/2006/relationships/hyperlink" Target="http://www.apt.int/sites/default/files/Upload-files/ASTAP/Rept-1-Introduction%20to%20Green%20ICT%20Activities.pdf" TargetMode="External"/><Relationship Id="rId230" Type="http://schemas.openxmlformats.org/officeDocument/2006/relationships/theme" Target="theme/theme1.xml"/><Relationship Id="rId25" Type="http://schemas.openxmlformats.org/officeDocument/2006/relationships/hyperlink" Target="http://reliefweb.int/sites/reliefweb.int/files/resources/Situation_Report_14.pdf" TargetMode="External"/><Relationship Id="rId46" Type="http://schemas.openxmlformats.org/officeDocument/2006/relationships/hyperlink" Target="http://www.niccd.org/NICCD_Monitoring_Case_Study_ClimSATModelling.pdf" TargetMode="External"/><Relationship Id="rId67" Type="http://schemas.openxmlformats.org/officeDocument/2006/relationships/image" Target="media/image4.png"/><Relationship Id="rId116" Type="http://schemas.openxmlformats.org/officeDocument/2006/relationships/image" Target="media/image29.wmf"/><Relationship Id="rId137" Type="http://schemas.openxmlformats.org/officeDocument/2006/relationships/control" Target="activeX/activeX35.xml"/><Relationship Id="rId158" Type="http://schemas.openxmlformats.org/officeDocument/2006/relationships/image" Target="media/image50.wmf"/><Relationship Id="rId20" Type="http://schemas.openxmlformats.org/officeDocument/2006/relationships/hyperlink" Target="http://www.ncdc.noaa.gov/bams-state-of-the-climate/2010.php" TargetMode="External"/><Relationship Id="rId41" Type="http://schemas.openxmlformats.org/officeDocument/2006/relationships/hyperlink" Target="http://www.niccd.org/NICCD_AgricAdapt_Case_Study_MountainFarming.pdf" TargetMode="External"/><Relationship Id="rId62" Type="http://schemas.openxmlformats.org/officeDocument/2006/relationships/hyperlink" Target="http://www.epa.gov/climatechange/impacts-adaptation/" TargetMode="External"/><Relationship Id="rId83" Type="http://schemas.openxmlformats.org/officeDocument/2006/relationships/control" Target="activeX/activeX8.xml"/><Relationship Id="rId88" Type="http://schemas.openxmlformats.org/officeDocument/2006/relationships/image" Target="media/image15.wmf"/><Relationship Id="rId111" Type="http://schemas.openxmlformats.org/officeDocument/2006/relationships/control" Target="activeX/activeX22.xml"/><Relationship Id="rId132" Type="http://schemas.openxmlformats.org/officeDocument/2006/relationships/image" Target="media/image37.wmf"/><Relationship Id="rId153" Type="http://schemas.openxmlformats.org/officeDocument/2006/relationships/control" Target="activeX/activeX43.xml"/><Relationship Id="rId174" Type="http://schemas.openxmlformats.org/officeDocument/2006/relationships/hyperlink" Target="http://www.mercator-ocean.fr" TargetMode="External"/><Relationship Id="rId179" Type="http://schemas.openxmlformats.org/officeDocument/2006/relationships/hyperlink" Target="http://ieeexplore.ieee.org/xpls/abs_all.jsp?arnumber=5525713" TargetMode="External"/><Relationship Id="rId195" Type="http://schemas.openxmlformats.org/officeDocument/2006/relationships/hyperlink" Target="http://energy.gov/sites/prod/files/oeprod/DocumentsandMedia/DOE_SG_Book_Single_Pages%281%29.pdf" TargetMode="External"/><Relationship Id="rId209" Type="http://schemas.openxmlformats.org/officeDocument/2006/relationships/hyperlink" Target="http://gesi.org/files/Reports/Evaluating%20the%20carbon-reducing%20impacts%20of%20ICT_September2010.pdf" TargetMode="External"/><Relationship Id="rId190" Type="http://schemas.openxmlformats.org/officeDocument/2006/relationships/hyperlink" Target="http://energy.gov/oe/technology-development/smart-grid/demand-response" TargetMode="External"/><Relationship Id="rId204" Type="http://schemas.openxmlformats.org/officeDocument/2006/relationships/hyperlink" Target="http://www.spiked-online.com/site/article/12942/" TargetMode="External"/><Relationship Id="rId220" Type="http://schemas.openxmlformats.org/officeDocument/2006/relationships/hyperlink" Target="http://www.itu.int/pub/S-GEN-CLIM-2008-11/" TargetMode="External"/><Relationship Id="rId225" Type="http://schemas.openxmlformats.org/officeDocument/2006/relationships/header" Target="header2.xml"/><Relationship Id="rId15" Type="http://schemas.openxmlformats.org/officeDocument/2006/relationships/hyperlink" Target="http://www.ipcc.ch/home_languages_main_french.htm" TargetMode="External"/><Relationship Id="rId36" Type="http://schemas.openxmlformats.org/officeDocument/2006/relationships/hyperlink" Target="http://www.niccd.org/NICCD_NewICT_Case_Study_AfricaAdapt.pdf" TargetMode="External"/><Relationship Id="rId57" Type="http://schemas.openxmlformats.org/officeDocument/2006/relationships/hyperlink" Target="http://www.uncsd2012.org/content/documents/727The%20Future%20We%20Want%2019%20June%201230pm.pdf" TargetMode="External"/><Relationship Id="rId106" Type="http://schemas.openxmlformats.org/officeDocument/2006/relationships/image" Target="media/image24.wmf"/><Relationship Id="rId127" Type="http://schemas.openxmlformats.org/officeDocument/2006/relationships/control" Target="activeX/activeX30.xml"/><Relationship Id="rId10" Type="http://schemas.openxmlformats.org/officeDocument/2006/relationships/footer" Target="footer1.xml"/><Relationship Id="rId31" Type="http://schemas.openxmlformats.org/officeDocument/2006/relationships/hyperlink" Target="http://www.niccd.org/ICCD_Future_Research_Agenda_Strategy_Brief.pdf" TargetMode="External"/><Relationship Id="rId52" Type="http://schemas.openxmlformats.org/officeDocument/2006/relationships/hyperlink" Target="http://unpan1.un.org/intradoc/groups/public/documents/apcity/unpan045192.pdf" TargetMode="External"/><Relationship Id="rId73" Type="http://schemas.openxmlformats.org/officeDocument/2006/relationships/control" Target="activeX/activeX3.xml"/><Relationship Id="rId78" Type="http://schemas.openxmlformats.org/officeDocument/2006/relationships/image" Target="media/image10.wmf"/><Relationship Id="rId94" Type="http://schemas.openxmlformats.org/officeDocument/2006/relationships/image" Target="media/image18.wmf"/><Relationship Id="rId99" Type="http://schemas.openxmlformats.org/officeDocument/2006/relationships/control" Target="activeX/activeX16.xml"/><Relationship Id="rId101" Type="http://schemas.openxmlformats.org/officeDocument/2006/relationships/control" Target="activeX/activeX17.xml"/><Relationship Id="rId122" Type="http://schemas.openxmlformats.org/officeDocument/2006/relationships/image" Target="media/image32.wmf"/><Relationship Id="rId143" Type="http://schemas.openxmlformats.org/officeDocument/2006/relationships/control" Target="activeX/activeX38.xml"/><Relationship Id="rId148" Type="http://schemas.openxmlformats.org/officeDocument/2006/relationships/image" Target="media/image45.wmf"/><Relationship Id="rId164" Type="http://schemas.openxmlformats.org/officeDocument/2006/relationships/image" Target="media/image53.wmf"/><Relationship Id="rId169" Type="http://schemas.openxmlformats.org/officeDocument/2006/relationships/control" Target="activeX/activeX51.xml"/><Relationship Id="rId185" Type="http://schemas.openxmlformats.org/officeDocument/2006/relationships/image" Target="media/image60.emf"/><Relationship Id="rId4" Type="http://schemas.microsoft.com/office/2007/relationships/stylesWithEffects" Target="stylesWithEffects.xml"/><Relationship Id="rId9" Type="http://schemas.openxmlformats.org/officeDocument/2006/relationships/header" Target="header1.xml"/><Relationship Id="rId180" Type="http://schemas.openxmlformats.org/officeDocument/2006/relationships/hyperlink" Target="http://ieeexplore.ieee.org/xpls/abs_all.jsp?arnumber=5351778&amp;tag=1" TargetMode="External"/><Relationship Id="rId210" Type="http://schemas.openxmlformats.org/officeDocument/2006/relationships/hyperlink" Target="http://www.utopies.com/IMG/pdf/Consodurable_26janvier11h40_couv-2.pdf" TargetMode="External"/><Relationship Id="rId215" Type="http://schemas.openxmlformats.org/officeDocument/2006/relationships/hyperlink" Target="http://www.wsis.org/stocktaking" TargetMode="External"/><Relationship Id="rId26" Type="http://schemas.openxmlformats.org/officeDocument/2006/relationships/hyperlink" Target="http://www.etransformafrica.org/sites/default/files/Final-Report-Climate%20Change%20Adaptation_0.pdf" TargetMode="External"/><Relationship Id="rId47" Type="http://schemas.openxmlformats.org/officeDocument/2006/relationships/hyperlink" Target="http://www.niccd.org/NICCD_Monitoring_Case_Study_EgyptianSystems.pdf" TargetMode="External"/><Relationship Id="rId68" Type="http://schemas.openxmlformats.org/officeDocument/2006/relationships/image" Target="media/image5.wmf"/><Relationship Id="rId89" Type="http://schemas.openxmlformats.org/officeDocument/2006/relationships/control" Target="activeX/activeX11.xml"/><Relationship Id="rId112" Type="http://schemas.openxmlformats.org/officeDocument/2006/relationships/image" Target="media/image27.wmf"/><Relationship Id="rId133" Type="http://schemas.openxmlformats.org/officeDocument/2006/relationships/control" Target="activeX/activeX33.xml"/><Relationship Id="rId154" Type="http://schemas.openxmlformats.org/officeDocument/2006/relationships/image" Target="media/image48.wmf"/><Relationship Id="rId175" Type="http://schemas.openxmlformats.org/officeDocument/2006/relationships/hyperlink" Target="http://www.esa.int/SPECIALS/Space_for_our_climate/index.html" TargetMode="External"/><Relationship Id="rId196" Type="http://schemas.openxmlformats.org/officeDocument/2006/relationships/hyperlink" Target="http://ssrn.com/abstract=1628405" TargetMode="External"/><Relationship Id="rId200" Type="http://schemas.openxmlformats.org/officeDocument/2006/relationships/hyperlink" Target="http://www.smartgrid.gov/the_smart_grid" TargetMode="External"/><Relationship Id="rId16" Type="http://schemas.openxmlformats.org/officeDocument/2006/relationships/hyperlink" Target="http://www.ipcc.ch/publications_and_data/publications_and_data.htm" TargetMode="External"/><Relationship Id="rId221" Type="http://schemas.openxmlformats.org/officeDocument/2006/relationships/hyperlink" Target="http://www.itu.int/en/action/climate/Pages/default.aspx" TargetMode="External"/><Relationship Id="rId37" Type="http://schemas.openxmlformats.org/officeDocument/2006/relationships/hyperlink" Target="http://www.niccd.org/NICCD_AgricAdapt_Case_Study_eArik.pdf" TargetMode="External"/><Relationship Id="rId58" Type="http://schemas.openxmlformats.org/officeDocument/2006/relationships/hyperlink" Target="http://www.ictinagriculture.org/ictinag/content/research-impact-0" TargetMode="External"/><Relationship Id="rId79" Type="http://schemas.openxmlformats.org/officeDocument/2006/relationships/control" Target="activeX/activeX6.xml"/><Relationship Id="rId102" Type="http://schemas.openxmlformats.org/officeDocument/2006/relationships/image" Target="media/image22.wmf"/><Relationship Id="rId123" Type="http://schemas.openxmlformats.org/officeDocument/2006/relationships/control" Target="activeX/activeX28.xml"/><Relationship Id="rId144" Type="http://schemas.openxmlformats.org/officeDocument/2006/relationships/image" Target="media/image43.wmf"/><Relationship Id="rId90" Type="http://schemas.openxmlformats.org/officeDocument/2006/relationships/image" Target="media/image16.wmf"/><Relationship Id="rId165" Type="http://schemas.openxmlformats.org/officeDocument/2006/relationships/control" Target="activeX/activeX49.xml"/><Relationship Id="rId186" Type="http://schemas.openxmlformats.org/officeDocument/2006/relationships/hyperlink" Target="http://theautomaticearth.com/Energy/india-power-outage-the-shape-of-things-to-come.html" TargetMode="External"/><Relationship Id="rId211" Type="http://schemas.openxmlformats.org/officeDocument/2006/relationships/hyperlink" Target="http://www.scirp.org/journal/PaperInformation.aspx?paperID=6500"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8" Type="http://schemas.openxmlformats.org/officeDocument/2006/relationships/hyperlink" Target="http://eur-lex.europa.eu/LexUriServ/LexUriServ.do?uri=COM:2011:0885:FIN:EN:PDF" TargetMode="External"/><Relationship Id="rId13" Type="http://schemas.openxmlformats.org/officeDocument/2006/relationships/hyperlink" Target="http://www.americanprogress.org/wp-content/uploads/issues/2009/04/pdf/smart_infrastructure.pdf" TargetMode="External"/><Relationship Id="rId3" Type="http://schemas.openxmlformats.org/officeDocument/2006/relationships/hyperlink" Target="http://www.spiked-online.com/site/article/12942/" TargetMode="External"/><Relationship Id="rId7" Type="http://schemas.openxmlformats.org/officeDocument/2006/relationships/hyperlink" Target="http://en.wikipedia.org/wiki/Advanced_Metering_Infrastructure" TargetMode="External"/><Relationship Id="rId12" Type="http://schemas.openxmlformats.org/officeDocument/2006/relationships/hyperlink" Target="http://www.smartgrid.gov/the_smart_grid" TargetMode="External"/><Relationship Id="rId2" Type="http://schemas.openxmlformats.org/officeDocument/2006/relationships/hyperlink" Target="http://energy.gov/sites/prod/files/oeprod/DocumentsandMedia/DOE_SG_Book_Single_Pages%281%29.pdf" TargetMode="External"/><Relationship Id="rId16" Type="http://schemas.openxmlformats.org/officeDocument/2006/relationships/hyperlink" Target="http://capim.com.au/index.php?page=prac" TargetMode="External"/><Relationship Id="rId1" Type="http://schemas.openxmlformats.org/officeDocument/2006/relationships/hyperlink" Target="http://www.mae.ncsu.edu/eischen/courses/mae415/docs/GreatestEngineeringAchievements.pdf" TargetMode="External"/><Relationship Id="rId6" Type="http://schemas.openxmlformats.org/officeDocument/2006/relationships/hyperlink" Target="http://energy.gov/oe/technology-development/smart-grid/demand-response" TargetMode="External"/><Relationship Id="rId11" Type="http://schemas.openxmlformats.org/officeDocument/2006/relationships/hyperlink" Target="http://www.itu.int/dms_pub/itu-t/oth/4B/01/T4B010000020001PDFE.pdf" TargetMode="External"/><Relationship Id="rId5" Type="http://schemas.openxmlformats.org/officeDocument/2006/relationships/hyperlink" Target="http://www.itu.int/ITU-T/climatechange/report-smartgrids.html" TargetMode="External"/><Relationship Id="rId15" Type="http://schemas.openxmlformats.org/officeDocument/2006/relationships/hyperlink" Target="http://cdn.intechopen.com/pdfs/6923/InTech-Intelligent_communication_module_for_wireless_biosensor_networks.pdf" TargetMode="External"/><Relationship Id="rId10" Type="http://schemas.openxmlformats.org/officeDocument/2006/relationships/hyperlink" Target="http://www.cisco.com/web/partners/downloads/765/other/WhatSmartGridMeansToYou.pdf" TargetMode="External"/><Relationship Id="rId4" Type="http://schemas.openxmlformats.org/officeDocument/2006/relationships/hyperlink" Target="http://theautomaticearth.com/Energy/india-power-outage-the-shape-of-things-to-come.html" TargetMode="External"/><Relationship Id="rId9" Type="http://schemas.openxmlformats.org/officeDocument/2006/relationships/hyperlink" Target="http://ssrn.com/abstract=1628405" TargetMode="External"/><Relationship Id="rId14" Type="http://schemas.openxmlformats.org/officeDocument/2006/relationships/hyperlink" Target="http://www.eresearch.unimelb.edu.au/__data/assets/pdf_file/0004/622957/ALARM-final_Sep12.pdf"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24.xml.rels><?xml version="1.0" encoding="UTF-8" standalone="yes"?>
<Relationships xmlns="http://schemas.openxmlformats.org/package/2006/relationships"><Relationship Id="rId1" Type="http://schemas.microsoft.com/office/2006/relationships/activeXControlBinary" Target="activeX24.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5.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6.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7.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8.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9.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30.xml.rels><?xml version="1.0" encoding="UTF-8" standalone="yes"?>
<Relationships xmlns="http://schemas.openxmlformats.org/package/2006/relationships"><Relationship Id="rId1" Type="http://schemas.microsoft.com/office/2006/relationships/activeXControlBinary" Target="activeX30.bin"/></Relationships>
</file>

<file path=word/activeX/_rels/activeX31.xml.rels><?xml version="1.0" encoding="UTF-8" standalone="yes"?>
<Relationships xmlns="http://schemas.openxmlformats.org/package/2006/relationships"><Relationship Id="rId1" Type="http://schemas.microsoft.com/office/2006/relationships/activeXControlBinary" Target="activeX31.bin"/></Relationships>
</file>

<file path=word/activeX/_rels/activeX32.xml.rels><?xml version="1.0" encoding="UTF-8" standalone="yes"?>
<Relationships xmlns="http://schemas.openxmlformats.org/package/2006/relationships"><Relationship Id="rId1" Type="http://schemas.microsoft.com/office/2006/relationships/activeXControlBinary" Target="activeX32.bin"/></Relationships>
</file>

<file path=word/activeX/_rels/activeX33.xml.rels><?xml version="1.0" encoding="UTF-8" standalone="yes"?>
<Relationships xmlns="http://schemas.openxmlformats.org/package/2006/relationships"><Relationship Id="rId1" Type="http://schemas.microsoft.com/office/2006/relationships/activeXControlBinary" Target="activeX33.bin"/></Relationships>
</file>

<file path=word/activeX/_rels/activeX34.xml.rels><?xml version="1.0" encoding="UTF-8" standalone="yes"?>
<Relationships xmlns="http://schemas.openxmlformats.org/package/2006/relationships"><Relationship Id="rId1" Type="http://schemas.microsoft.com/office/2006/relationships/activeXControlBinary" Target="activeX34.bin"/></Relationships>
</file>

<file path=word/activeX/_rels/activeX35.xml.rels><?xml version="1.0" encoding="UTF-8" standalone="yes"?>
<Relationships xmlns="http://schemas.openxmlformats.org/package/2006/relationships"><Relationship Id="rId1" Type="http://schemas.microsoft.com/office/2006/relationships/activeXControlBinary" Target="activeX35.bin"/></Relationships>
</file>

<file path=word/activeX/_rels/activeX36.xml.rels><?xml version="1.0" encoding="UTF-8" standalone="yes"?>
<Relationships xmlns="http://schemas.openxmlformats.org/package/2006/relationships"><Relationship Id="rId1" Type="http://schemas.microsoft.com/office/2006/relationships/activeXControlBinary" Target="activeX36.bin"/></Relationships>
</file>

<file path=word/activeX/_rels/activeX37.xml.rels><?xml version="1.0" encoding="UTF-8" standalone="yes"?>
<Relationships xmlns="http://schemas.openxmlformats.org/package/2006/relationships"><Relationship Id="rId1" Type="http://schemas.microsoft.com/office/2006/relationships/activeXControlBinary" Target="activeX37.bin"/></Relationships>
</file>

<file path=word/activeX/_rels/activeX38.xml.rels><?xml version="1.0" encoding="UTF-8" standalone="yes"?>
<Relationships xmlns="http://schemas.openxmlformats.org/package/2006/relationships"><Relationship Id="rId1" Type="http://schemas.microsoft.com/office/2006/relationships/activeXControlBinary" Target="activeX38.bin"/></Relationships>
</file>

<file path=word/activeX/_rels/activeX39.xml.rels><?xml version="1.0" encoding="UTF-8" standalone="yes"?>
<Relationships xmlns="http://schemas.openxmlformats.org/package/2006/relationships"><Relationship Id="rId1" Type="http://schemas.microsoft.com/office/2006/relationships/activeXControlBinary" Target="activeX39.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40.xml.rels><?xml version="1.0" encoding="UTF-8" standalone="yes"?>
<Relationships xmlns="http://schemas.openxmlformats.org/package/2006/relationships"><Relationship Id="rId1" Type="http://schemas.microsoft.com/office/2006/relationships/activeXControlBinary" Target="activeX40.bin"/></Relationships>
</file>

<file path=word/activeX/_rels/activeX41.xml.rels><?xml version="1.0" encoding="UTF-8" standalone="yes"?>
<Relationships xmlns="http://schemas.openxmlformats.org/package/2006/relationships"><Relationship Id="rId1" Type="http://schemas.microsoft.com/office/2006/relationships/activeXControlBinary" Target="activeX41.bin"/></Relationships>
</file>

<file path=word/activeX/_rels/activeX42.xml.rels><?xml version="1.0" encoding="UTF-8" standalone="yes"?>
<Relationships xmlns="http://schemas.openxmlformats.org/package/2006/relationships"><Relationship Id="rId1" Type="http://schemas.microsoft.com/office/2006/relationships/activeXControlBinary" Target="activeX42.bin"/></Relationships>
</file>

<file path=word/activeX/_rels/activeX43.xml.rels><?xml version="1.0" encoding="UTF-8" standalone="yes"?>
<Relationships xmlns="http://schemas.openxmlformats.org/package/2006/relationships"><Relationship Id="rId1" Type="http://schemas.microsoft.com/office/2006/relationships/activeXControlBinary" Target="activeX43.bin"/></Relationships>
</file>

<file path=word/activeX/_rels/activeX44.xml.rels><?xml version="1.0" encoding="UTF-8" standalone="yes"?>
<Relationships xmlns="http://schemas.openxmlformats.org/package/2006/relationships"><Relationship Id="rId1" Type="http://schemas.microsoft.com/office/2006/relationships/activeXControlBinary" Target="activeX44.bin"/></Relationships>
</file>

<file path=word/activeX/_rels/activeX45.xml.rels><?xml version="1.0" encoding="UTF-8" standalone="yes"?>
<Relationships xmlns="http://schemas.openxmlformats.org/package/2006/relationships"><Relationship Id="rId1" Type="http://schemas.microsoft.com/office/2006/relationships/activeXControlBinary" Target="activeX45.bin"/></Relationships>
</file>

<file path=word/activeX/_rels/activeX46.xml.rels><?xml version="1.0" encoding="UTF-8" standalone="yes"?>
<Relationships xmlns="http://schemas.openxmlformats.org/package/2006/relationships"><Relationship Id="rId1" Type="http://schemas.microsoft.com/office/2006/relationships/activeXControlBinary" Target="activeX46.bin"/></Relationships>
</file>

<file path=word/activeX/_rels/activeX47.xml.rels><?xml version="1.0" encoding="UTF-8" standalone="yes"?>
<Relationships xmlns="http://schemas.openxmlformats.org/package/2006/relationships"><Relationship Id="rId1" Type="http://schemas.microsoft.com/office/2006/relationships/activeXControlBinary" Target="activeX47.bin"/></Relationships>
</file>

<file path=word/activeX/_rels/activeX48.xml.rels><?xml version="1.0" encoding="UTF-8" standalone="yes"?>
<Relationships xmlns="http://schemas.openxmlformats.org/package/2006/relationships"><Relationship Id="rId1" Type="http://schemas.microsoft.com/office/2006/relationships/activeXControlBinary" Target="activeX48.bin"/></Relationships>
</file>

<file path=word/activeX/_rels/activeX49.xml.rels><?xml version="1.0" encoding="UTF-8" standalone="yes"?>
<Relationships xmlns="http://schemas.openxmlformats.org/package/2006/relationships"><Relationship Id="rId1" Type="http://schemas.microsoft.com/office/2006/relationships/activeXControlBinary" Target="activeX49.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50.xml.rels><?xml version="1.0" encoding="UTF-8" standalone="yes"?>
<Relationships xmlns="http://schemas.openxmlformats.org/package/2006/relationships"><Relationship Id="rId1" Type="http://schemas.microsoft.com/office/2006/relationships/activeXControlBinary" Target="activeX50.bin"/></Relationships>
</file>

<file path=word/activeX/_rels/activeX51.xml.rels><?xml version="1.0" encoding="UTF-8" standalone="yes"?>
<Relationships xmlns="http://schemas.openxmlformats.org/package/2006/relationships"><Relationship Id="rId1" Type="http://schemas.microsoft.com/office/2006/relationships/activeXControlBinary" Target="activeX51.bin"/></Relationships>
</file>

<file path=word/activeX/_rels/activeX52.xml.rels><?xml version="1.0" encoding="UTF-8" standalone="yes"?>
<Relationships xmlns="http://schemas.openxmlformats.org/package/2006/relationships"><Relationship Id="rId1" Type="http://schemas.microsoft.com/office/2006/relationships/activeXControlBinary" Target="activeX52.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8-5CC6-11CF-8D67-00AA00BDCE1D}" ax:persistence="persistStream" r:id="rId1"/>
</file>

<file path=word/activeX/activeX10.xml><?xml version="1.0" encoding="utf-8"?>
<ax:ocx xmlns:ax="http://schemas.microsoft.com/office/2006/activeX" xmlns:r="http://schemas.openxmlformats.org/officeDocument/2006/relationships" ax:classid="{5512D118-5CC6-11CF-8D67-00AA00BDCE1D}" ax:persistence="persistStream" r:id="rId1"/>
</file>

<file path=word/activeX/activeX11.xml><?xml version="1.0" encoding="utf-8"?>
<ax:ocx xmlns:ax="http://schemas.microsoft.com/office/2006/activeX" xmlns:r="http://schemas.openxmlformats.org/officeDocument/2006/relationships" ax:classid="{5512D118-5CC6-11CF-8D67-00AA00BDCE1D}" ax:persistence="persistStream" r:id="rId1"/>
</file>

<file path=word/activeX/activeX12.xml><?xml version="1.0" encoding="utf-8"?>
<ax:ocx xmlns:ax="http://schemas.microsoft.com/office/2006/activeX" xmlns:r="http://schemas.openxmlformats.org/officeDocument/2006/relationships" ax:classid="{5512D118-5CC6-11CF-8D67-00AA00BDCE1D}" ax:persistence="persistStream" r:id="rId1"/>
</file>

<file path=word/activeX/activeX13.xml><?xml version="1.0" encoding="utf-8"?>
<ax:ocx xmlns:ax="http://schemas.microsoft.com/office/2006/activeX" xmlns:r="http://schemas.openxmlformats.org/officeDocument/2006/relationships" ax:classid="{5512D118-5CC6-11CF-8D67-00AA00BDCE1D}" ax:persistence="persistStream" r:id="rId1"/>
</file>

<file path=word/activeX/activeX14.xml><?xml version="1.0" encoding="utf-8"?>
<ax:ocx xmlns:ax="http://schemas.microsoft.com/office/2006/activeX" xmlns:r="http://schemas.openxmlformats.org/officeDocument/2006/relationships" ax:classid="{5512D118-5CC6-11CF-8D67-00AA00BDCE1D}" ax:persistence="persistStream" r:id="rId1"/>
</file>

<file path=word/activeX/activeX15.xml><?xml version="1.0" encoding="utf-8"?>
<ax:ocx xmlns:ax="http://schemas.microsoft.com/office/2006/activeX" xmlns:r="http://schemas.openxmlformats.org/officeDocument/2006/relationships" ax:classid="{5512D118-5CC6-11CF-8D67-00AA00BDCE1D}" ax:persistence="persistStream" r:id="rId1"/>
</file>

<file path=word/activeX/activeX16.xml><?xml version="1.0" encoding="utf-8"?>
<ax:ocx xmlns:ax="http://schemas.microsoft.com/office/2006/activeX" xmlns:r="http://schemas.openxmlformats.org/officeDocument/2006/relationships" ax:classid="{5512D118-5CC6-11CF-8D67-00AA00BDCE1D}" ax:persistence="persistStream" r:id="rId1"/>
</file>

<file path=word/activeX/activeX17.xml><?xml version="1.0" encoding="utf-8"?>
<ax:ocx xmlns:ax="http://schemas.microsoft.com/office/2006/activeX" xmlns:r="http://schemas.openxmlformats.org/officeDocument/2006/relationships" ax:classid="{5512D118-5CC6-11CF-8D67-00AA00BDCE1D}" ax:persistence="persistStream" r:id="rId1"/>
</file>

<file path=word/activeX/activeX18.xml><?xml version="1.0" encoding="utf-8"?>
<ax:ocx xmlns:ax="http://schemas.microsoft.com/office/2006/activeX" xmlns:r="http://schemas.openxmlformats.org/officeDocument/2006/relationships" ax:classid="{5512D118-5CC6-11CF-8D67-00AA00BDCE1D}" ax:persistence="persistStream" r:id="rId1"/>
</file>

<file path=word/activeX/activeX19.xml><?xml version="1.0" encoding="utf-8"?>
<ax:ocx xmlns:ax="http://schemas.microsoft.com/office/2006/activeX" xmlns:r="http://schemas.openxmlformats.org/officeDocument/2006/relationships" ax:classid="{5512D116-5CC6-11CF-8D67-00AA00BDCE1D}" ax:persistence="persistStream" r:id="rId1"/>
</file>

<file path=word/activeX/activeX2.xml><?xml version="1.0" encoding="utf-8"?>
<ax:ocx xmlns:ax="http://schemas.microsoft.com/office/2006/activeX" xmlns:r="http://schemas.openxmlformats.org/officeDocument/2006/relationships" ax:classid="{5512D118-5CC6-11CF-8D67-00AA00BDCE1D}" ax:persistence="persistStream" r:id="rId1"/>
</file>

<file path=word/activeX/activeX20.xml><?xml version="1.0" encoding="utf-8"?>
<ax:ocx xmlns:ax="http://schemas.microsoft.com/office/2006/activeX" xmlns:r="http://schemas.openxmlformats.org/officeDocument/2006/relationships" ax:classid="{5512D116-5CC6-11CF-8D67-00AA00BDCE1D}" ax:persistence="persistStream" r:id="rId1"/>
</file>

<file path=word/activeX/activeX21.xml><?xml version="1.0" encoding="utf-8"?>
<ax:ocx xmlns:ax="http://schemas.microsoft.com/office/2006/activeX" xmlns:r="http://schemas.openxmlformats.org/officeDocument/2006/relationships" ax:classid="{5512D116-5CC6-11CF-8D67-00AA00BDCE1D}" ax:persistence="persistStream" r:id="rId1"/>
</file>

<file path=word/activeX/activeX22.xml><?xml version="1.0" encoding="utf-8"?>
<ax:ocx xmlns:ax="http://schemas.microsoft.com/office/2006/activeX" xmlns:r="http://schemas.openxmlformats.org/officeDocument/2006/relationships" ax:classid="{5512D116-5CC6-11CF-8D67-00AA00BDCE1D}" ax:persistence="persistStream" r:id="rId1"/>
</file>

<file path=word/activeX/activeX23.xml><?xml version="1.0" encoding="utf-8"?>
<ax:ocx xmlns:ax="http://schemas.microsoft.com/office/2006/activeX" xmlns:r="http://schemas.openxmlformats.org/officeDocument/2006/relationships" ax:classid="{5512D116-5CC6-11CF-8D67-00AA00BDCE1D}" ax:persistence="persistStream" r:id="rId1"/>
</file>

<file path=word/activeX/activeX24.xml><?xml version="1.0" encoding="utf-8"?>
<ax:ocx xmlns:ax="http://schemas.microsoft.com/office/2006/activeX" xmlns:r="http://schemas.openxmlformats.org/officeDocument/2006/relationships" ax:classid="{5512D116-5CC6-11CF-8D67-00AA00BDCE1D}" ax:persistence="persistStream" r:id="rId1"/>
</file>

<file path=word/activeX/activeX25.xml><?xml version="1.0" encoding="utf-8"?>
<ax:ocx xmlns:ax="http://schemas.microsoft.com/office/2006/activeX" xmlns:r="http://schemas.openxmlformats.org/officeDocument/2006/relationships" ax:classid="{5512D116-5CC6-11CF-8D67-00AA00BDCE1D}" ax:persistence="persistStream" r:id="rId1"/>
</file>

<file path=word/activeX/activeX26.xml><?xml version="1.0" encoding="utf-8"?>
<ax:ocx xmlns:ax="http://schemas.microsoft.com/office/2006/activeX" xmlns:r="http://schemas.openxmlformats.org/officeDocument/2006/relationships" ax:classid="{5512D116-5CC6-11CF-8D67-00AA00BDCE1D}" ax:persistence="persistStream" r:id="rId1"/>
</file>

<file path=word/activeX/activeX27.xml><?xml version="1.0" encoding="utf-8"?>
<ax:ocx xmlns:ax="http://schemas.microsoft.com/office/2006/activeX" xmlns:r="http://schemas.openxmlformats.org/officeDocument/2006/relationships" ax:classid="{5512D116-5CC6-11CF-8D67-00AA00BDCE1D}" ax:persistence="persistStream" r:id="rId1"/>
</file>

<file path=word/activeX/activeX28.xml><?xml version="1.0" encoding="utf-8"?>
<ax:ocx xmlns:ax="http://schemas.microsoft.com/office/2006/activeX" xmlns:r="http://schemas.openxmlformats.org/officeDocument/2006/relationships" ax:classid="{5512D116-5CC6-11CF-8D67-00AA00BDCE1D}" ax:persistence="persistStream" r:id="rId1"/>
</file>

<file path=word/activeX/activeX29.xml><?xml version="1.0" encoding="utf-8"?>
<ax:ocx xmlns:ax="http://schemas.microsoft.com/office/2006/activeX" xmlns:r="http://schemas.openxmlformats.org/officeDocument/2006/relationships" ax:classid="{5512D116-5CC6-11CF-8D67-00AA00BDCE1D}" ax:persistence="persistStream" r:id="rId1"/>
</file>

<file path=word/activeX/activeX3.xml><?xml version="1.0" encoding="utf-8"?>
<ax:ocx xmlns:ax="http://schemas.microsoft.com/office/2006/activeX" xmlns:r="http://schemas.openxmlformats.org/officeDocument/2006/relationships" ax:classid="{5512D118-5CC6-11CF-8D67-00AA00BDCE1D}" ax:persistence="persistStream" r:id="rId1"/>
</file>

<file path=word/activeX/activeX30.xml><?xml version="1.0" encoding="utf-8"?>
<ax:ocx xmlns:ax="http://schemas.microsoft.com/office/2006/activeX" xmlns:r="http://schemas.openxmlformats.org/officeDocument/2006/relationships" ax:classid="{5512D116-5CC6-11CF-8D67-00AA00BDCE1D}" ax:persistence="persistStream" r:id="rId1"/>
</file>

<file path=word/activeX/activeX31.xml><?xml version="1.0" encoding="utf-8"?>
<ax:ocx xmlns:ax="http://schemas.microsoft.com/office/2006/activeX" xmlns:r="http://schemas.openxmlformats.org/officeDocument/2006/relationships" ax:classid="{5512D116-5CC6-11CF-8D67-00AA00BDCE1D}" ax:persistence="persistStream" r:id="rId1"/>
</file>

<file path=word/activeX/activeX32.xml><?xml version="1.0" encoding="utf-8"?>
<ax:ocx xmlns:ax="http://schemas.microsoft.com/office/2006/activeX" xmlns:r="http://schemas.openxmlformats.org/officeDocument/2006/relationships" ax:classid="{5512D116-5CC6-11CF-8D67-00AA00BDCE1D}" ax:persistence="persistStream" r:id="rId1"/>
</file>

<file path=word/activeX/activeX33.xml><?xml version="1.0" encoding="utf-8"?>
<ax:ocx xmlns:ax="http://schemas.microsoft.com/office/2006/activeX" xmlns:r="http://schemas.openxmlformats.org/officeDocument/2006/relationships" ax:classid="{5512D116-5CC6-11CF-8D67-00AA00BDCE1D}" ax:persistence="persistStream" r:id="rId1"/>
</file>

<file path=word/activeX/activeX34.xml><?xml version="1.0" encoding="utf-8"?>
<ax:ocx xmlns:ax="http://schemas.microsoft.com/office/2006/activeX" xmlns:r="http://schemas.openxmlformats.org/officeDocument/2006/relationships" ax:classid="{5512D116-5CC6-11CF-8D67-00AA00BDCE1D}" ax:persistence="persistStream" r:id="rId1"/>
</file>

<file path=word/activeX/activeX35.xml><?xml version="1.0" encoding="utf-8"?>
<ax:ocx xmlns:ax="http://schemas.microsoft.com/office/2006/activeX" xmlns:r="http://schemas.openxmlformats.org/officeDocument/2006/relationships" ax:classid="{5512D116-5CC6-11CF-8D67-00AA00BDCE1D}" ax:persistence="persistStream" r:id="rId1"/>
</file>

<file path=word/activeX/activeX36.xml><?xml version="1.0" encoding="utf-8"?>
<ax:ocx xmlns:ax="http://schemas.microsoft.com/office/2006/activeX" xmlns:r="http://schemas.openxmlformats.org/officeDocument/2006/relationships" ax:classid="{5512D116-5CC6-11CF-8D67-00AA00BDCE1D}" ax:persistence="persistStream" r:id="rId1"/>
</file>

<file path=word/activeX/activeX37.xml><?xml version="1.0" encoding="utf-8"?>
<ax:ocx xmlns:ax="http://schemas.microsoft.com/office/2006/activeX" xmlns:r="http://schemas.openxmlformats.org/officeDocument/2006/relationships" ax:classid="{5512D116-5CC6-11CF-8D67-00AA00BDCE1D}" ax:persistence="persistStream" r:id="rId1"/>
</file>

<file path=word/activeX/activeX38.xml><?xml version="1.0" encoding="utf-8"?>
<ax:ocx xmlns:ax="http://schemas.microsoft.com/office/2006/activeX" xmlns:r="http://schemas.openxmlformats.org/officeDocument/2006/relationships" ax:classid="{5512D116-5CC6-11CF-8D67-00AA00BDCE1D}" ax:persistence="persistStream" r:id="rId1"/>
</file>

<file path=word/activeX/activeX39.xml><?xml version="1.0" encoding="utf-8"?>
<ax:ocx xmlns:ax="http://schemas.microsoft.com/office/2006/activeX" xmlns:r="http://schemas.openxmlformats.org/officeDocument/2006/relationships" ax:classid="{5512D116-5CC6-11CF-8D67-00AA00BDCE1D}" ax:persistence="persistStream" r:id="rId1"/>
</file>

<file path=word/activeX/activeX4.xml><?xml version="1.0" encoding="utf-8"?>
<ax:ocx xmlns:ax="http://schemas.microsoft.com/office/2006/activeX" xmlns:r="http://schemas.openxmlformats.org/officeDocument/2006/relationships" ax:classid="{5512D118-5CC6-11CF-8D67-00AA00BDCE1D}" ax:persistence="persistStream" r:id="rId1"/>
</file>

<file path=word/activeX/activeX40.xml><?xml version="1.0" encoding="utf-8"?>
<ax:ocx xmlns:ax="http://schemas.microsoft.com/office/2006/activeX" xmlns:r="http://schemas.openxmlformats.org/officeDocument/2006/relationships" ax:classid="{5512D116-5CC6-11CF-8D67-00AA00BDCE1D}" ax:persistence="persistStream" r:id="rId1"/>
</file>

<file path=word/activeX/activeX41.xml><?xml version="1.0" encoding="utf-8"?>
<ax:ocx xmlns:ax="http://schemas.microsoft.com/office/2006/activeX" xmlns:r="http://schemas.openxmlformats.org/officeDocument/2006/relationships" ax:classid="{5512D116-5CC6-11CF-8D67-00AA00BDCE1D}" ax:persistence="persistStream" r:id="rId1"/>
</file>

<file path=word/activeX/activeX42.xml><?xml version="1.0" encoding="utf-8"?>
<ax:ocx xmlns:ax="http://schemas.microsoft.com/office/2006/activeX" xmlns:r="http://schemas.openxmlformats.org/officeDocument/2006/relationships" ax:classid="{5512D116-5CC6-11CF-8D67-00AA00BDCE1D}" ax:persistence="persistStream" r:id="rId1"/>
</file>

<file path=word/activeX/activeX43.xml><?xml version="1.0" encoding="utf-8"?>
<ax:ocx xmlns:ax="http://schemas.microsoft.com/office/2006/activeX" xmlns:r="http://schemas.openxmlformats.org/officeDocument/2006/relationships" ax:classid="{5512D116-5CC6-11CF-8D67-00AA00BDCE1D}" ax:persistence="persistStream" r:id="rId1"/>
</file>

<file path=word/activeX/activeX44.xml><?xml version="1.0" encoding="utf-8"?>
<ax:ocx xmlns:ax="http://schemas.microsoft.com/office/2006/activeX" xmlns:r="http://schemas.openxmlformats.org/officeDocument/2006/relationships" ax:classid="{5512D116-5CC6-11CF-8D67-00AA00BDCE1D}" ax:persistence="persistStream" r:id="rId1"/>
</file>

<file path=word/activeX/activeX45.xml><?xml version="1.0" encoding="utf-8"?>
<ax:ocx xmlns:ax="http://schemas.microsoft.com/office/2006/activeX" xmlns:r="http://schemas.openxmlformats.org/officeDocument/2006/relationships" ax:classid="{5512D116-5CC6-11CF-8D67-00AA00BDCE1D}" ax:persistence="persistStream" r:id="rId1"/>
</file>

<file path=word/activeX/activeX46.xml><?xml version="1.0" encoding="utf-8"?>
<ax:ocx xmlns:ax="http://schemas.microsoft.com/office/2006/activeX" xmlns:r="http://schemas.openxmlformats.org/officeDocument/2006/relationships" ax:classid="{5512D116-5CC6-11CF-8D67-00AA00BDCE1D}" ax:persistence="persistStream" r:id="rId1"/>
</file>

<file path=word/activeX/activeX47.xml><?xml version="1.0" encoding="utf-8"?>
<ax:ocx xmlns:ax="http://schemas.microsoft.com/office/2006/activeX" xmlns:r="http://schemas.openxmlformats.org/officeDocument/2006/relationships" ax:classid="{5512D116-5CC6-11CF-8D67-00AA00BDCE1D}" ax:persistence="persistStream" r:id="rId1"/>
</file>

<file path=word/activeX/activeX48.xml><?xml version="1.0" encoding="utf-8"?>
<ax:ocx xmlns:ax="http://schemas.microsoft.com/office/2006/activeX" xmlns:r="http://schemas.openxmlformats.org/officeDocument/2006/relationships" ax:classid="{5512D116-5CC6-11CF-8D67-00AA00BDCE1D}" ax:persistence="persistStream" r:id="rId1"/>
</file>

<file path=word/activeX/activeX49.xml><?xml version="1.0" encoding="utf-8"?>
<ax:ocx xmlns:ax="http://schemas.microsoft.com/office/2006/activeX" xmlns:r="http://schemas.openxmlformats.org/officeDocument/2006/relationships" ax:classid="{5512D116-5CC6-11CF-8D67-00AA00BDCE1D}" ax:persistence="persistStream" r:id="rId1"/>
</file>

<file path=word/activeX/activeX5.xml><?xml version="1.0" encoding="utf-8"?>
<ax:ocx xmlns:ax="http://schemas.microsoft.com/office/2006/activeX" xmlns:r="http://schemas.openxmlformats.org/officeDocument/2006/relationships" ax:classid="{5512D118-5CC6-11CF-8D67-00AA00BDCE1D}" ax:persistence="persistStream" r:id="rId1"/>
</file>

<file path=word/activeX/activeX50.xml><?xml version="1.0" encoding="utf-8"?>
<ax:ocx xmlns:ax="http://schemas.microsoft.com/office/2006/activeX" xmlns:r="http://schemas.openxmlformats.org/officeDocument/2006/relationships" ax:classid="{5512D116-5CC6-11CF-8D67-00AA00BDCE1D}" ax:persistence="persistStream" r:id="rId1"/>
</file>

<file path=word/activeX/activeX51.xml><?xml version="1.0" encoding="utf-8"?>
<ax:ocx xmlns:ax="http://schemas.microsoft.com/office/2006/activeX" xmlns:r="http://schemas.openxmlformats.org/officeDocument/2006/relationships" ax:classid="{5512D116-5CC6-11CF-8D67-00AA00BDCE1D}" ax:persistence="persistStream" r:id="rId1"/>
</file>

<file path=word/activeX/activeX52.xml><?xml version="1.0" encoding="utf-8"?>
<ax:ocx xmlns:ax="http://schemas.microsoft.com/office/2006/activeX" xmlns:r="http://schemas.openxmlformats.org/officeDocument/2006/relationships" ax:classid="{5512D116-5CC6-11CF-8D67-00AA00BDCE1D}" ax:persistence="persistStream" r:id="rId1"/>
</file>

<file path=word/activeX/activeX6.xml><?xml version="1.0" encoding="utf-8"?>
<ax:ocx xmlns:ax="http://schemas.microsoft.com/office/2006/activeX" xmlns:r="http://schemas.openxmlformats.org/officeDocument/2006/relationships" ax:classid="{5512D118-5CC6-11CF-8D67-00AA00BDCE1D}" ax:persistence="persistStream" r:id="rId1"/>
</file>

<file path=word/activeX/activeX7.xml><?xml version="1.0" encoding="utf-8"?>
<ax:ocx xmlns:ax="http://schemas.microsoft.com/office/2006/activeX" xmlns:r="http://schemas.openxmlformats.org/officeDocument/2006/relationships" ax:classid="{5512D118-5CC6-11CF-8D67-00AA00BDCE1D}" ax:persistence="persistStream" r:id="rId1"/>
</file>

<file path=word/activeX/activeX8.xml><?xml version="1.0" encoding="utf-8"?>
<ax:ocx xmlns:ax="http://schemas.microsoft.com/office/2006/activeX" xmlns:r="http://schemas.openxmlformats.org/officeDocument/2006/relationships" ax:classid="{5512D118-5CC6-11CF-8D67-00AA00BDCE1D}" ax:persistence="persistStream" r:id="rId1"/>
</file>

<file path=word/activeX/activeX9.xml><?xml version="1.0" encoding="utf-8"?>
<ax:ocx xmlns:ax="http://schemas.microsoft.com/office/2006/activeX" xmlns:r="http://schemas.openxmlformats.org/officeDocument/2006/relationships" ax:classid="{5512D118-5CC6-11CF-8D67-00AA00BDCE1D}" ax:persistence="persistStream" r:id="rId1"/>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haines\Desktop\WSIS%20input%20itu-2\WSIS%20projects.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haines\Desktop\WSIS%20input%20itu-2\WSIS%20projects.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C:\Users\haines\Desktop\WSIS%20input%20itu-2\WSIS%20projects.xlsx" TargetMode="External"/><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4181042803548012E-2"/>
          <c:y val="5.5492098100211204E-2"/>
          <c:w val="0.87499837292907123"/>
          <c:h val="0.55553260285894157"/>
        </c:manualLayout>
      </c:layout>
      <c:barChart>
        <c:barDir val="col"/>
        <c:grouping val="clustered"/>
        <c:varyColors val="0"/>
        <c:ser>
          <c:idx val="0"/>
          <c:order val="0"/>
          <c:tx>
            <c:strRef>
              <c:f>Sheet1!$B$1</c:f>
              <c:strCache>
                <c:ptCount val="1"/>
                <c:pt idx="0">
                  <c:v> Areas and the types of systems and applications used to adapt to climate change</c:v>
                </c:pt>
              </c:strCache>
            </c:strRef>
          </c:tx>
          <c:invertIfNegative val="0"/>
          <c:dLbls>
            <c:numFmt formatCode="General" sourceLinked="0"/>
            <c:txPr>
              <a:bodyPr/>
              <a:lstStyle/>
              <a:p>
                <a:pPr>
                  <a:defRPr sz="1400" b="1"/>
                </a:pPr>
                <a:endParaRPr lang="en-US"/>
              </a:p>
            </c:txPr>
            <c:showLegendKey val="0"/>
            <c:showVal val="1"/>
            <c:showCatName val="0"/>
            <c:showSerName val="0"/>
            <c:showPercent val="0"/>
            <c:showBubbleSize val="0"/>
            <c:showLeaderLines val="0"/>
          </c:dLbls>
          <c:cat>
            <c:strRef>
              <c:f>Sheet1!$A$2:$A$11</c:f>
              <c:strCache>
                <c:ptCount val="10"/>
                <c:pt idx="0">
                  <c:v>Water supply </c:v>
                </c:pt>
                <c:pt idx="1">
                  <c:v>Food supply </c:v>
                </c:pt>
                <c:pt idx="2">
                  <c:v>Health</c:v>
                </c:pt>
                <c:pt idx="3">
                  <c:v>Maintenance of infrastructure </c:v>
                </c:pt>
                <c:pt idx="4">
                  <c:v>Electricity</c:v>
                </c:pt>
                <c:pt idx="5">
                  <c:v>Gas </c:v>
                </c:pt>
                <c:pt idx="6">
                  <c:v>Road</c:v>
                </c:pt>
                <c:pt idx="7">
                  <c:v>Rail</c:v>
                </c:pt>
                <c:pt idx="8">
                  <c:v>Airport</c:v>
                </c:pt>
                <c:pt idx="9">
                  <c:v>Others</c:v>
                </c:pt>
              </c:strCache>
            </c:strRef>
          </c:cat>
          <c:val>
            <c:numRef>
              <c:f>Sheet1!$B$2:$B$11</c:f>
              <c:numCache>
                <c:formatCode>General</c:formatCode>
                <c:ptCount val="10"/>
                <c:pt idx="0">
                  <c:v>11</c:v>
                </c:pt>
                <c:pt idx="1">
                  <c:v>8</c:v>
                </c:pt>
                <c:pt idx="2">
                  <c:v>14</c:v>
                </c:pt>
                <c:pt idx="3">
                  <c:v>24</c:v>
                </c:pt>
                <c:pt idx="4">
                  <c:v>21</c:v>
                </c:pt>
                <c:pt idx="5">
                  <c:v>9</c:v>
                </c:pt>
                <c:pt idx="6">
                  <c:v>12</c:v>
                </c:pt>
                <c:pt idx="7">
                  <c:v>11</c:v>
                </c:pt>
                <c:pt idx="8">
                  <c:v>11</c:v>
                </c:pt>
                <c:pt idx="9">
                  <c:v>13</c:v>
                </c:pt>
              </c:numCache>
            </c:numRef>
          </c:val>
        </c:ser>
        <c:dLbls>
          <c:showLegendKey val="0"/>
          <c:showVal val="0"/>
          <c:showCatName val="0"/>
          <c:showSerName val="0"/>
          <c:showPercent val="0"/>
          <c:showBubbleSize val="0"/>
        </c:dLbls>
        <c:gapWidth val="100"/>
        <c:axId val="171947904"/>
        <c:axId val="171946368"/>
      </c:barChart>
      <c:valAx>
        <c:axId val="171946368"/>
        <c:scaling>
          <c:orientation val="minMax"/>
        </c:scaling>
        <c:delete val="0"/>
        <c:axPos val="l"/>
        <c:majorGridlines/>
        <c:numFmt formatCode="General" sourceLinked="1"/>
        <c:majorTickMark val="out"/>
        <c:minorTickMark val="none"/>
        <c:tickLblPos val="nextTo"/>
        <c:crossAx val="171947904"/>
        <c:crosses val="autoZero"/>
        <c:crossBetween val="between"/>
      </c:valAx>
      <c:catAx>
        <c:axId val="171947904"/>
        <c:scaling>
          <c:orientation val="minMax"/>
        </c:scaling>
        <c:delete val="0"/>
        <c:axPos val="b"/>
        <c:majorTickMark val="out"/>
        <c:minorTickMark val="none"/>
        <c:tickLblPos val="nextTo"/>
        <c:crossAx val="171946368"/>
        <c:crosses val="autoZero"/>
        <c:auto val="1"/>
        <c:lblAlgn val="ctr"/>
        <c:lblOffset val="100"/>
        <c:noMultiLvlLbl val="0"/>
      </c:catAx>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555981107141109"/>
          <c:y val="2.0319418874093394E-2"/>
          <c:w val="0.71150142344982614"/>
          <c:h val="0.53175490421699179"/>
        </c:manualLayout>
      </c:layout>
      <c:barChart>
        <c:barDir val="col"/>
        <c:grouping val="clustered"/>
        <c:varyColors val="0"/>
        <c:ser>
          <c:idx val="0"/>
          <c:order val="0"/>
          <c:tx>
            <c:strRef>
              <c:f>Sheet1!$B$1</c:f>
              <c:strCache>
                <c:ptCount val="1"/>
                <c:pt idx="0">
                  <c:v>The challenges to deploying Telecommunication infrastructure in rural/remote areas</c:v>
                </c:pt>
              </c:strCache>
            </c:strRef>
          </c:tx>
          <c:invertIfNegative val="0"/>
          <c:dLbls>
            <c:txPr>
              <a:bodyPr/>
              <a:lstStyle/>
              <a:p>
                <a:pPr>
                  <a:defRPr sz="1400" b="1"/>
                </a:pPr>
                <a:endParaRPr lang="en-US"/>
              </a:p>
            </c:txPr>
            <c:showLegendKey val="0"/>
            <c:showVal val="1"/>
            <c:showCatName val="0"/>
            <c:showSerName val="0"/>
            <c:showPercent val="0"/>
            <c:showBubbleSize val="0"/>
            <c:showLeaderLines val="0"/>
          </c:dLbls>
          <c:cat>
            <c:strRef>
              <c:f>Sheet1!$A$2:$A$12</c:f>
              <c:strCache>
                <c:ptCount val="10"/>
                <c:pt idx="0">
                  <c:v>Access to electricity</c:v>
                </c:pt>
                <c:pt idx="1">
                  <c:v>Expense of power backup</c:v>
                </c:pt>
                <c:pt idx="2">
                  <c:v>Terrain</c:v>
                </c:pt>
                <c:pt idx="3">
                  <c:v>Accessibility and transportation</c:v>
                </c:pt>
                <c:pt idx="4">
                  <c:v>Lack of skills manpower</c:v>
                </c:pt>
                <c:pt idx="5">
                  <c:v>Installation and maintenance of networks</c:v>
                </c:pt>
                <c:pt idx="6">
                  <c:v>Operating costs high</c:v>
                </c:pt>
                <c:pt idx="7">
                  <c:v>Average revenue per user low</c:v>
                </c:pt>
                <c:pt idx="8">
                  <c:v>Population sparse and scattered</c:v>
                </c:pt>
                <c:pt idx="9">
                  <c:v>Others (e.g. vandalism and/or theft)</c:v>
                </c:pt>
              </c:strCache>
            </c:strRef>
          </c:cat>
          <c:val>
            <c:numRef>
              <c:f>Sheet1!$B$2:$B$12</c:f>
              <c:numCache>
                <c:formatCode>General</c:formatCode>
                <c:ptCount val="11"/>
                <c:pt idx="0">
                  <c:v>35</c:v>
                </c:pt>
                <c:pt idx="1">
                  <c:v>25</c:v>
                </c:pt>
                <c:pt idx="2">
                  <c:v>22</c:v>
                </c:pt>
                <c:pt idx="3">
                  <c:v>26</c:v>
                </c:pt>
                <c:pt idx="4">
                  <c:v>18</c:v>
                </c:pt>
                <c:pt idx="5">
                  <c:v>30</c:v>
                </c:pt>
                <c:pt idx="6">
                  <c:v>29</c:v>
                </c:pt>
                <c:pt idx="7">
                  <c:v>29</c:v>
                </c:pt>
                <c:pt idx="8">
                  <c:v>28</c:v>
                </c:pt>
                <c:pt idx="9">
                  <c:v>17</c:v>
                </c:pt>
              </c:numCache>
            </c:numRef>
          </c:val>
        </c:ser>
        <c:dLbls>
          <c:showLegendKey val="0"/>
          <c:showVal val="0"/>
          <c:showCatName val="0"/>
          <c:showSerName val="0"/>
          <c:showPercent val="0"/>
          <c:showBubbleSize val="0"/>
        </c:dLbls>
        <c:gapWidth val="100"/>
        <c:axId val="172080512"/>
        <c:axId val="172078976"/>
      </c:barChart>
      <c:valAx>
        <c:axId val="172078976"/>
        <c:scaling>
          <c:orientation val="minMax"/>
        </c:scaling>
        <c:delete val="0"/>
        <c:axPos val="l"/>
        <c:majorGridlines/>
        <c:numFmt formatCode="General" sourceLinked="1"/>
        <c:majorTickMark val="out"/>
        <c:minorTickMark val="none"/>
        <c:tickLblPos val="nextTo"/>
        <c:crossAx val="172080512"/>
        <c:crosses val="autoZero"/>
        <c:crossBetween val="between"/>
      </c:valAx>
      <c:catAx>
        <c:axId val="172080512"/>
        <c:scaling>
          <c:orientation val="minMax"/>
        </c:scaling>
        <c:delete val="0"/>
        <c:axPos val="b"/>
        <c:majorTickMark val="out"/>
        <c:minorTickMark val="none"/>
        <c:tickLblPos val="nextTo"/>
        <c:crossAx val="172078976"/>
        <c:crosses val="autoZero"/>
        <c:auto val="1"/>
        <c:lblAlgn val="ctr"/>
        <c:lblOffset val="100"/>
        <c:noMultiLvlLbl val="0"/>
      </c:catAx>
      <c:spPr>
        <a:noFill/>
        <a:ln w="25400">
          <a:noFill/>
        </a:ln>
      </c:spPr>
    </c:plotArea>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174430524024799"/>
          <c:y val="7.8032644969260156E-2"/>
          <c:w val="0.26300303725431501"/>
          <c:h val="0.82434986600546745"/>
        </c:manualLayout>
      </c:layout>
      <c:pieChart>
        <c:varyColors val="1"/>
        <c:ser>
          <c:idx val="0"/>
          <c:order val="0"/>
          <c:dLbls>
            <c:showLegendKey val="0"/>
            <c:showVal val="0"/>
            <c:showCatName val="0"/>
            <c:showSerName val="0"/>
            <c:showPercent val="1"/>
            <c:showBubbleSize val="0"/>
            <c:showLeaderLines val="1"/>
          </c:dLbls>
          <c:cat>
            <c:strRef>
              <c:f>Sheet3!$A$1:$A$3</c:f>
              <c:strCache>
                <c:ptCount val="3"/>
                <c:pt idx="0">
                  <c:v>A. Environment and Natural Resources</c:v>
                </c:pt>
                <c:pt idx="1">
                  <c:v>B. ICT Sector</c:v>
                </c:pt>
                <c:pt idx="2">
                  <c:v>C. Natural Disasters</c:v>
                </c:pt>
              </c:strCache>
            </c:strRef>
          </c:cat>
          <c:val>
            <c:numRef>
              <c:f>Sheet3!$B$1:$B$3</c:f>
              <c:numCache>
                <c:formatCode>General</c:formatCode>
                <c:ptCount val="3"/>
                <c:pt idx="0">
                  <c:v>53</c:v>
                </c:pt>
                <c:pt idx="1">
                  <c:v>18</c:v>
                </c:pt>
                <c:pt idx="2">
                  <c:v>9</c:v>
                </c:pt>
              </c:numCache>
            </c:numRef>
          </c:val>
        </c:ser>
        <c:dLbls>
          <c:showLegendKey val="0"/>
          <c:showVal val="0"/>
          <c:showCatName val="0"/>
          <c:showSerName val="0"/>
          <c:showPercent val="1"/>
          <c:showBubbleSize val="0"/>
          <c:showLeaderLines val="1"/>
        </c:dLbls>
        <c:firstSliceAng val="0"/>
      </c:pieChart>
    </c:plotArea>
    <c:legend>
      <c:legendPos val="r"/>
      <c:layout>
        <c:manualLayout>
          <c:xMode val="edge"/>
          <c:yMode val="edge"/>
          <c:x val="0.54504946587627601"/>
          <c:y val="0.13647237185966199"/>
          <c:w val="0.41644140861086698"/>
          <c:h val="0.64563189261148535"/>
        </c:manualLayout>
      </c:layout>
      <c:overlay val="0"/>
    </c:legend>
    <c:plotVisOnly val="1"/>
    <c:dispBlanksAs val="zero"/>
    <c:showDLblsOverMax val="0"/>
  </c:chart>
  <c:spPr>
    <a:noFill/>
    <a:ln>
      <a:no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3356676160161"/>
          <c:y val="9.0393013100436695E-2"/>
          <c:w val="0.28701064196724757"/>
          <c:h val="0.75231560560540345"/>
        </c:manualLayout>
      </c:layout>
      <c:pieChart>
        <c:varyColors val="1"/>
        <c:ser>
          <c:idx val="0"/>
          <c:order val="0"/>
          <c:dLbls>
            <c:showLegendKey val="0"/>
            <c:showVal val="0"/>
            <c:showCatName val="0"/>
            <c:showSerName val="0"/>
            <c:showPercent val="1"/>
            <c:showBubbleSize val="0"/>
            <c:showLeaderLines val="1"/>
          </c:dLbls>
          <c:cat>
            <c:strRef>
              <c:f>Sheet3!$A$6:$A$13</c:f>
              <c:strCache>
                <c:ptCount val="8"/>
                <c:pt idx="0">
                  <c:v>Mapping/ Modeling/ Monitoring</c:v>
                </c:pt>
                <c:pt idx="1">
                  <c:v>Information System/ Database</c:v>
                </c:pt>
                <c:pt idx="2">
                  <c:v>Initiative</c:v>
                </c:pt>
                <c:pt idx="3">
                  <c:v>Website</c:v>
                </c:pt>
                <c:pt idx="4">
                  <c:v>Conference</c:v>
                </c:pt>
                <c:pt idx="5">
                  <c:v>National Plan</c:v>
                </c:pt>
                <c:pt idx="6">
                  <c:v>Research</c:v>
                </c:pt>
                <c:pt idx="7">
                  <c:v>MoU</c:v>
                </c:pt>
              </c:strCache>
            </c:strRef>
          </c:cat>
          <c:val>
            <c:numRef>
              <c:f>Sheet3!$B$6:$B$13</c:f>
              <c:numCache>
                <c:formatCode>General</c:formatCode>
                <c:ptCount val="8"/>
                <c:pt idx="0">
                  <c:v>20</c:v>
                </c:pt>
                <c:pt idx="1">
                  <c:v>20</c:v>
                </c:pt>
                <c:pt idx="2">
                  <c:v>18</c:v>
                </c:pt>
                <c:pt idx="3">
                  <c:v>8</c:v>
                </c:pt>
                <c:pt idx="4">
                  <c:v>5</c:v>
                </c:pt>
                <c:pt idx="5">
                  <c:v>5</c:v>
                </c:pt>
                <c:pt idx="6">
                  <c:v>3</c:v>
                </c:pt>
                <c:pt idx="7">
                  <c:v>1</c:v>
                </c:pt>
              </c:numCache>
            </c:numRef>
          </c:val>
        </c:ser>
        <c:dLbls>
          <c:showLegendKey val="0"/>
          <c:showVal val="0"/>
          <c:showCatName val="0"/>
          <c:showSerName val="0"/>
          <c:showPercent val="1"/>
          <c:showBubbleSize val="0"/>
          <c:showLeaderLines val="1"/>
        </c:dLbls>
        <c:firstSliceAng val="0"/>
      </c:pieChart>
    </c:plotArea>
    <c:legend>
      <c:legendPos val="r"/>
      <c:layout>
        <c:manualLayout>
          <c:xMode val="edge"/>
          <c:yMode val="edge"/>
          <c:x val="0.53473912882514496"/>
          <c:y val="9.6588658431081498E-2"/>
          <c:w val="0.38448098508963074"/>
          <c:h val="0.806822683137837"/>
        </c:manualLayout>
      </c:layout>
      <c:overlay val="0"/>
    </c:legend>
    <c:plotVisOnly val="1"/>
    <c:dispBlanksAs val="zero"/>
    <c:showDLblsOverMax val="0"/>
  </c:chart>
  <c:spPr>
    <a:noFill/>
    <a:ln>
      <a:noFill/>
    </a:ln>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065697625172923"/>
          <c:y val="0.12113462093416344"/>
          <c:w val="0.27572291968038898"/>
          <c:h val="0.85549892814445305"/>
        </c:manualLayout>
      </c:layout>
      <c:pieChart>
        <c:varyColors val="1"/>
        <c:ser>
          <c:idx val="0"/>
          <c:order val="0"/>
          <c:dLbls>
            <c:showLegendKey val="0"/>
            <c:showVal val="0"/>
            <c:showCatName val="0"/>
            <c:showSerName val="0"/>
            <c:showPercent val="1"/>
            <c:showBubbleSize val="0"/>
            <c:showLeaderLines val="1"/>
          </c:dLbls>
          <c:cat>
            <c:strRef>
              <c:f>Sheet3!$A$16:$A$19</c:f>
              <c:strCache>
                <c:ptCount val="4"/>
                <c:pt idx="0">
                  <c:v>Government</c:v>
                </c:pt>
                <c:pt idx="1">
                  <c:v>International Organization</c:v>
                </c:pt>
                <c:pt idx="2">
                  <c:v>Civil Society</c:v>
                </c:pt>
                <c:pt idx="3">
                  <c:v>Business </c:v>
                </c:pt>
              </c:strCache>
            </c:strRef>
          </c:cat>
          <c:val>
            <c:numRef>
              <c:f>Sheet3!$B$16:$B$19</c:f>
              <c:numCache>
                <c:formatCode>General</c:formatCode>
                <c:ptCount val="4"/>
                <c:pt idx="0">
                  <c:v>50</c:v>
                </c:pt>
                <c:pt idx="1">
                  <c:v>19</c:v>
                </c:pt>
                <c:pt idx="2">
                  <c:v>8</c:v>
                </c:pt>
                <c:pt idx="3">
                  <c:v>3</c:v>
                </c:pt>
              </c:numCache>
            </c:numRef>
          </c:val>
        </c:ser>
        <c:dLbls>
          <c:showLegendKey val="0"/>
          <c:showVal val="0"/>
          <c:showCatName val="0"/>
          <c:showSerName val="0"/>
          <c:showPercent val="1"/>
          <c:showBubbleSize val="0"/>
          <c:showLeaderLines val="1"/>
        </c:dLbls>
        <c:firstSliceAng val="0"/>
      </c:pieChart>
    </c:plotArea>
    <c:legend>
      <c:legendPos val="r"/>
      <c:layout>
        <c:manualLayout>
          <c:xMode val="edge"/>
          <c:yMode val="edge"/>
          <c:x val="0.53608111820193749"/>
          <c:y val="0.22214618460650531"/>
          <c:w val="0.32048741471438297"/>
          <c:h val="0.47337469596405235"/>
        </c:manualLayout>
      </c:layout>
      <c:overlay val="0"/>
    </c:legend>
    <c:plotVisOnly val="1"/>
    <c:dispBlanksAs val="zero"/>
    <c:showDLblsOverMax val="0"/>
  </c:chart>
  <c:spPr>
    <a:noFill/>
    <a:ln>
      <a:noFill/>
    </a:ln>
  </c:sp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BEC708-13FD-4243-B9EF-91F20F43A2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57</Pages>
  <Words>21974</Words>
  <Characters>138811</Characters>
  <Application>Microsoft Office Word</Application>
  <DocSecurity>0</DocSecurity>
  <Lines>1156</Lines>
  <Paragraphs>320</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Question</vt:lpstr>
      <vt:lpstr>HIPCAR Model Policy Guidelines and Legislative Text: Access to Public Information (Freedom of Information)</vt:lpstr>
    </vt:vector>
  </TitlesOfParts>
  <Company>ITU</Company>
  <LinksUpToDate>false</LinksUpToDate>
  <CharactersWithSpaces>160465</CharactersWithSpaces>
  <SharedDoc>false</SharedDoc>
  <HLinks>
    <vt:vector size="84" baseType="variant">
      <vt:variant>
        <vt:i4>1048635</vt:i4>
      </vt:variant>
      <vt:variant>
        <vt:i4>77</vt:i4>
      </vt:variant>
      <vt:variant>
        <vt:i4>0</vt:i4>
      </vt:variant>
      <vt:variant>
        <vt:i4>5</vt:i4>
      </vt:variant>
      <vt:variant>
        <vt:lpwstr/>
      </vt:variant>
      <vt:variant>
        <vt:lpwstr>_Toc375046965</vt:lpwstr>
      </vt:variant>
      <vt:variant>
        <vt:i4>1048635</vt:i4>
      </vt:variant>
      <vt:variant>
        <vt:i4>71</vt:i4>
      </vt:variant>
      <vt:variant>
        <vt:i4>0</vt:i4>
      </vt:variant>
      <vt:variant>
        <vt:i4>5</vt:i4>
      </vt:variant>
      <vt:variant>
        <vt:lpwstr/>
      </vt:variant>
      <vt:variant>
        <vt:lpwstr>_Toc375046964</vt:lpwstr>
      </vt:variant>
      <vt:variant>
        <vt:i4>1048635</vt:i4>
      </vt:variant>
      <vt:variant>
        <vt:i4>65</vt:i4>
      </vt:variant>
      <vt:variant>
        <vt:i4>0</vt:i4>
      </vt:variant>
      <vt:variant>
        <vt:i4>5</vt:i4>
      </vt:variant>
      <vt:variant>
        <vt:lpwstr/>
      </vt:variant>
      <vt:variant>
        <vt:lpwstr>_Toc375046963</vt:lpwstr>
      </vt:variant>
      <vt:variant>
        <vt:i4>1048635</vt:i4>
      </vt:variant>
      <vt:variant>
        <vt:i4>59</vt:i4>
      </vt:variant>
      <vt:variant>
        <vt:i4>0</vt:i4>
      </vt:variant>
      <vt:variant>
        <vt:i4>5</vt:i4>
      </vt:variant>
      <vt:variant>
        <vt:lpwstr/>
      </vt:variant>
      <vt:variant>
        <vt:lpwstr>_Toc375046962</vt:lpwstr>
      </vt:variant>
      <vt:variant>
        <vt:i4>1048635</vt:i4>
      </vt:variant>
      <vt:variant>
        <vt:i4>53</vt:i4>
      </vt:variant>
      <vt:variant>
        <vt:i4>0</vt:i4>
      </vt:variant>
      <vt:variant>
        <vt:i4>5</vt:i4>
      </vt:variant>
      <vt:variant>
        <vt:lpwstr/>
      </vt:variant>
      <vt:variant>
        <vt:lpwstr>_Toc375046961</vt:lpwstr>
      </vt:variant>
      <vt:variant>
        <vt:i4>1048635</vt:i4>
      </vt:variant>
      <vt:variant>
        <vt:i4>47</vt:i4>
      </vt:variant>
      <vt:variant>
        <vt:i4>0</vt:i4>
      </vt:variant>
      <vt:variant>
        <vt:i4>5</vt:i4>
      </vt:variant>
      <vt:variant>
        <vt:lpwstr/>
      </vt:variant>
      <vt:variant>
        <vt:lpwstr>_Toc375046960</vt:lpwstr>
      </vt:variant>
      <vt:variant>
        <vt:i4>1245243</vt:i4>
      </vt:variant>
      <vt:variant>
        <vt:i4>41</vt:i4>
      </vt:variant>
      <vt:variant>
        <vt:i4>0</vt:i4>
      </vt:variant>
      <vt:variant>
        <vt:i4>5</vt:i4>
      </vt:variant>
      <vt:variant>
        <vt:lpwstr/>
      </vt:variant>
      <vt:variant>
        <vt:lpwstr>_Toc375046959</vt:lpwstr>
      </vt:variant>
      <vt:variant>
        <vt:i4>1245243</vt:i4>
      </vt:variant>
      <vt:variant>
        <vt:i4>35</vt:i4>
      </vt:variant>
      <vt:variant>
        <vt:i4>0</vt:i4>
      </vt:variant>
      <vt:variant>
        <vt:i4>5</vt:i4>
      </vt:variant>
      <vt:variant>
        <vt:lpwstr/>
      </vt:variant>
      <vt:variant>
        <vt:lpwstr>_Toc375046958</vt:lpwstr>
      </vt:variant>
      <vt:variant>
        <vt:i4>1245243</vt:i4>
      </vt:variant>
      <vt:variant>
        <vt:i4>29</vt:i4>
      </vt:variant>
      <vt:variant>
        <vt:i4>0</vt:i4>
      </vt:variant>
      <vt:variant>
        <vt:i4>5</vt:i4>
      </vt:variant>
      <vt:variant>
        <vt:lpwstr/>
      </vt:variant>
      <vt:variant>
        <vt:lpwstr>_Toc375046957</vt:lpwstr>
      </vt:variant>
      <vt:variant>
        <vt:i4>1245243</vt:i4>
      </vt:variant>
      <vt:variant>
        <vt:i4>23</vt:i4>
      </vt:variant>
      <vt:variant>
        <vt:i4>0</vt:i4>
      </vt:variant>
      <vt:variant>
        <vt:i4>5</vt:i4>
      </vt:variant>
      <vt:variant>
        <vt:lpwstr/>
      </vt:variant>
      <vt:variant>
        <vt:lpwstr>_Toc375046956</vt:lpwstr>
      </vt:variant>
      <vt:variant>
        <vt:i4>1245243</vt:i4>
      </vt:variant>
      <vt:variant>
        <vt:i4>17</vt:i4>
      </vt:variant>
      <vt:variant>
        <vt:i4>0</vt:i4>
      </vt:variant>
      <vt:variant>
        <vt:i4>5</vt:i4>
      </vt:variant>
      <vt:variant>
        <vt:lpwstr/>
      </vt:variant>
      <vt:variant>
        <vt:lpwstr>_Toc375046955</vt:lpwstr>
      </vt:variant>
      <vt:variant>
        <vt:i4>1245243</vt:i4>
      </vt:variant>
      <vt:variant>
        <vt:i4>11</vt:i4>
      </vt:variant>
      <vt:variant>
        <vt:i4>0</vt:i4>
      </vt:variant>
      <vt:variant>
        <vt:i4>5</vt:i4>
      </vt:variant>
      <vt:variant>
        <vt:lpwstr/>
      </vt:variant>
      <vt:variant>
        <vt:lpwstr>_Toc375046954</vt:lpwstr>
      </vt:variant>
      <vt:variant>
        <vt:i4>1245243</vt:i4>
      </vt:variant>
      <vt:variant>
        <vt:i4>5</vt:i4>
      </vt:variant>
      <vt:variant>
        <vt:i4>0</vt:i4>
      </vt:variant>
      <vt:variant>
        <vt:i4>5</vt:i4>
      </vt:variant>
      <vt:variant>
        <vt:lpwstr/>
      </vt:variant>
      <vt:variant>
        <vt:lpwstr>_Toc375046953</vt:lpwstr>
      </vt:variant>
      <vt:variant>
        <vt:i4>1245243</vt:i4>
      </vt:variant>
      <vt:variant>
        <vt:i4>2</vt:i4>
      </vt:variant>
      <vt:variant>
        <vt:i4>0</vt:i4>
      </vt:variant>
      <vt:variant>
        <vt:i4>5</vt:i4>
      </vt:variant>
      <vt:variant>
        <vt:lpwstr/>
      </vt:variant>
      <vt:variant>
        <vt:lpwstr>_Toc375046952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Question</dc:title>
  <dc:subject>ITU/EU-funded HIPCAR project</dc:subject>
  <dc:creator>Clausel, Magali</dc:creator>
  <cp:lastModifiedBy>Al-Yammouni, Hala</cp:lastModifiedBy>
  <cp:revision>8</cp:revision>
  <cp:lastPrinted>2014-01-06T15:21:00Z</cp:lastPrinted>
  <dcterms:created xsi:type="dcterms:W3CDTF">2014-02-06T15:40:00Z</dcterms:created>
  <dcterms:modified xsi:type="dcterms:W3CDTF">2014-02-11T13:29:00Z</dcterms:modified>
</cp:coreProperties>
</file>